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91B97" w14:textId="217CA0F7" w:rsidR="001107C1" w:rsidRDefault="001107C1" w:rsidP="009F0987">
      <w:pPr>
        <w:spacing w:after="120"/>
        <w:jc w:val="center"/>
        <w:rPr>
          <w:rFonts w:asciiTheme="minorHAnsi" w:hAnsiTheme="minorHAnsi" w:cs="Arial"/>
          <w:b/>
          <w:bCs/>
          <w:sz w:val="52"/>
          <w:szCs w:val="52"/>
        </w:rPr>
      </w:pPr>
      <w:r>
        <w:rPr>
          <w:rFonts w:asciiTheme="minorHAnsi" w:hAnsiTheme="minorHAnsi" w:cs="Arial"/>
          <w:b/>
          <w:bCs/>
          <w:sz w:val="52"/>
          <w:szCs w:val="52"/>
        </w:rPr>
        <w:t>20</w:t>
      </w:r>
      <w:r w:rsidR="00B6183A">
        <w:rPr>
          <w:rFonts w:asciiTheme="minorHAnsi" w:hAnsiTheme="minorHAnsi" w:cs="Arial"/>
          <w:b/>
          <w:bCs/>
          <w:sz w:val="52"/>
          <w:szCs w:val="52"/>
        </w:rPr>
        <w:t>2</w:t>
      </w:r>
      <w:r w:rsidR="009C0DB4">
        <w:rPr>
          <w:rFonts w:asciiTheme="minorHAnsi" w:hAnsiTheme="minorHAnsi" w:cs="Arial"/>
          <w:b/>
          <w:bCs/>
          <w:sz w:val="52"/>
          <w:szCs w:val="52"/>
        </w:rPr>
        <w:t>1</w:t>
      </w:r>
      <w:r>
        <w:rPr>
          <w:rFonts w:asciiTheme="minorHAnsi" w:hAnsiTheme="minorHAnsi" w:cs="Arial"/>
          <w:b/>
          <w:bCs/>
          <w:sz w:val="52"/>
          <w:szCs w:val="52"/>
        </w:rPr>
        <w:t>/2</w:t>
      </w:r>
      <w:r w:rsidR="009C0DB4">
        <w:rPr>
          <w:rFonts w:asciiTheme="minorHAnsi" w:hAnsiTheme="minorHAnsi" w:cs="Arial"/>
          <w:b/>
          <w:bCs/>
          <w:sz w:val="52"/>
          <w:szCs w:val="52"/>
        </w:rPr>
        <w:t>2</w:t>
      </w:r>
    </w:p>
    <w:p w14:paraId="41518CCE" w14:textId="77777777" w:rsidR="00B44AD8" w:rsidRPr="00B44AD8" w:rsidRDefault="00B44AD8" w:rsidP="009F0987">
      <w:pPr>
        <w:spacing w:after="120"/>
        <w:jc w:val="center"/>
        <w:rPr>
          <w:rFonts w:asciiTheme="minorHAnsi" w:hAnsiTheme="minorHAnsi" w:cs="Arial"/>
          <w:b/>
          <w:bCs/>
          <w:sz w:val="52"/>
          <w:szCs w:val="52"/>
        </w:rPr>
      </w:pPr>
      <w:r w:rsidRPr="00B44AD8">
        <w:rPr>
          <w:rFonts w:asciiTheme="minorHAnsi" w:hAnsiTheme="minorHAnsi" w:cs="Arial"/>
          <w:b/>
          <w:bCs/>
          <w:sz w:val="52"/>
          <w:szCs w:val="52"/>
        </w:rPr>
        <w:t>DHB non-financial monitoring framework and</w:t>
      </w:r>
    </w:p>
    <w:p w14:paraId="70938C6E" w14:textId="56F6F4D6" w:rsidR="001107C1" w:rsidRDefault="007721B8" w:rsidP="009F0987">
      <w:pPr>
        <w:spacing w:after="60"/>
        <w:jc w:val="center"/>
        <w:rPr>
          <w:rFonts w:asciiTheme="minorHAnsi" w:hAnsiTheme="minorHAnsi" w:cs="Arial"/>
          <w:b/>
          <w:bCs/>
          <w:sz w:val="52"/>
          <w:szCs w:val="52"/>
        </w:rPr>
      </w:pPr>
      <w:r>
        <w:rPr>
          <w:rFonts w:asciiTheme="minorHAnsi" w:hAnsiTheme="minorHAnsi" w:cs="Arial"/>
          <w:b/>
          <w:bCs/>
          <w:sz w:val="52"/>
          <w:szCs w:val="52"/>
        </w:rPr>
        <w:t>p</w:t>
      </w:r>
      <w:r w:rsidR="00B44AD8" w:rsidRPr="00B44AD8">
        <w:rPr>
          <w:rFonts w:asciiTheme="minorHAnsi" w:hAnsiTheme="minorHAnsi" w:cs="Arial"/>
          <w:b/>
          <w:bCs/>
          <w:sz w:val="52"/>
          <w:szCs w:val="52"/>
        </w:rPr>
        <w:t>erformance</w:t>
      </w:r>
      <w:r>
        <w:rPr>
          <w:rFonts w:asciiTheme="minorHAnsi" w:hAnsiTheme="minorHAnsi" w:cs="Arial"/>
          <w:b/>
          <w:bCs/>
          <w:sz w:val="52"/>
          <w:szCs w:val="52"/>
        </w:rPr>
        <w:t xml:space="preserve"> </w:t>
      </w:r>
      <w:r w:rsidR="00B44AD8" w:rsidRPr="00B44AD8">
        <w:rPr>
          <w:rFonts w:asciiTheme="minorHAnsi" w:hAnsiTheme="minorHAnsi" w:cs="Arial"/>
          <w:b/>
          <w:bCs/>
          <w:sz w:val="52"/>
          <w:szCs w:val="52"/>
        </w:rPr>
        <w:t xml:space="preserve">measures </w:t>
      </w:r>
    </w:p>
    <w:p w14:paraId="433B0216" w14:textId="77777777" w:rsidR="00BA09BC" w:rsidRDefault="00BA09BC" w:rsidP="00BD7744">
      <w:pPr>
        <w:spacing w:before="240" w:after="60"/>
        <w:rPr>
          <w:rFonts w:asciiTheme="minorHAnsi" w:hAnsiTheme="minorHAnsi" w:cs="Arial"/>
          <w:b/>
          <w:bCs/>
        </w:rPr>
      </w:pPr>
    </w:p>
    <w:p w14:paraId="2F78E77B" w14:textId="77777777" w:rsidR="00BA09BC" w:rsidRDefault="00BA09BC" w:rsidP="00BD7744">
      <w:pPr>
        <w:spacing w:before="240" w:after="60"/>
        <w:rPr>
          <w:rFonts w:asciiTheme="minorHAnsi" w:hAnsiTheme="minorHAnsi" w:cs="Arial"/>
          <w:b/>
          <w:bCs/>
        </w:rPr>
      </w:pPr>
    </w:p>
    <w:p w14:paraId="197AE12C" w14:textId="3FA934F9" w:rsidR="00BA09BC" w:rsidRPr="00FF4A64" w:rsidRDefault="00BA09BC" w:rsidP="00BA09BC">
      <w:pPr>
        <w:spacing w:before="240" w:after="60"/>
        <w:rPr>
          <w:rFonts w:asciiTheme="minorHAnsi" w:hAnsiTheme="minorHAnsi" w:cs="Arial"/>
          <w:b/>
          <w:bCs/>
        </w:rPr>
      </w:pPr>
      <w:r>
        <w:rPr>
          <w:rFonts w:asciiTheme="minorHAnsi" w:hAnsiTheme="minorHAnsi" w:cs="Arial"/>
          <w:b/>
          <w:bCs/>
        </w:rPr>
        <w:t>U</w:t>
      </w:r>
      <w:r w:rsidRPr="00FF4A64">
        <w:rPr>
          <w:rFonts w:asciiTheme="minorHAnsi" w:hAnsiTheme="minorHAnsi" w:cs="Arial"/>
          <w:b/>
          <w:bCs/>
        </w:rPr>
        <w:t xml:space="preserve">pdate as </w:t>
      </w:r>
      <w:proofErr w:type="gramStart"/>
      <w:r w:rsidRPr="00FF4A64">
        <w:rPr>
          <w:rFonts w:asciiTheme="minorHAnsi" w:hAnsiTheme="minorHAnsi" w:cs="Arial"/>
          <w:b/>
          <w:bCs/>
        </w:rPr>
        <w:t>at</w:t>
      </w:r>
      <w:proofErr w:type="gramEnd"/>
      <w:r w:rsidRPr="00FF4A64">
        <w:rPr>
          <w:rFonts w:asciiTheme="minorHAnsi" w:hAnsiTheme="minorHAnsi" w:cs="Arial"/>
          <w:b/>
          <w:bCs/>
        </w:rPr>
        <w:t xml:space="preserve"> </w:t>
      </w:r>
      <w:r>
        <w:rPr>
          <w:rFonts w:asciiTheme="minorHAnsi" w:hAnsiTheme="minorHAnsi" w:cs="Arial"/>
          <w:b/>
          <w:bCs/>
        </w:rPr>
        <w:t>6 October</w:t>
      </w:r>
      <w:r w:rsidRPr="00FF4A64">
        <w:rPr>
          <w:rFonts w:asciiTheme="minorHAnsi" w:hAnsiTheme="minorHAnsi" w:cs="Arial"/>
          <w:b/>
          <w:bCs/>
        </w:rPr>
        <w:t xml:space="preserve"> 2021</w:t>
      </w:r>
    </w:p>
    <w:p w14:paraId="79398948" w14:textId="6859E393" w:rsidR="00BA09BC" w:rsidRPr="00BA09BC" w:rsidRDefault="00BA09BC" w:rsidP="00664838">
      <w:pPr>
        <w:pStyle w:val="ListParagraph"/>
        <w:numPr>
          <w:ilvl w:val="0"/>
          <w:numId w:val="147"/>
        </w:numPr>
        <w:spacing w:before="240" w:after="60"/>
        <w:ind w:left="1560" w:hanging="567"/>
        <w:rPr>
          <w:rFonts w:asciiTheme="minorHAnsi" w:hAnsiTheme="minorHAnsi" w:cs="Arial"/>
          <w:b/>
          <w:bCs/>
        </w:rPr>
      </w:pPr>
      <w:r w:rsidRPr="00BA09BC">
        <w:rPr>
          <w:rFonts w:asciiTheme="minorHAnsi" w:hAnsiTheme="minorHAnsi" w:cs="Arial"/>
          <w:i/>
          <w:iCs/>
        </w:rPr>
        <w:t>SS06</w:t>
      </w:r>
      <w:r w:rsidRPr="00BA09BC">
        <w:rPr>
          <w:rFonts w:asciiTheme="minorHAnsi" w:hAnsiTheme="minorHAnsi" w:cs="Arial"/>
          <w:i/>
          <w:iCs/>
        </w:rPr>
        <w:t xml:space="preserve">: Better help for smokers to quit in public </w:t>
      </w:r>
      <w:r>
        <w:rPr>
          <w:rFonts w:asciiTheme="minorHAnsi" w:hAnsiTheme="minorHAnsi" w:cs="Arial"/>
          <w:i/>
          <w:iCs/>
        </w:rPr>
        <w:t xml:space="preserve">– SS06 only applies to selected DHBs. Whanganui DHB is no longer included in the DHBs required to report this measure. </w:t>
      </w:r>
    </w:p>
    <w:p w14:paraId="18EA734C" w14:textId="2F5496B4" w:rsidR="00BD7744" w:rsidRPr="00FF4A64" w:rsidRDefault="00BD7744" w:rsidP="00BD7744">
      <w:pPr>
        <w:spacing w:before="240" w:after="60"/>
        <w:rPr>
          <w:rFonts w:asciiTheme="minorHAnsi" w:hAnsiTheme="minorHAnsi" w:cs="Arial"/>
          <w:b/>
          <w:bCs/>
        </w:rPr>
      </w:pPr>
      <w:bookmarkStart w:id="0" w:name="_Hlk84409819"/>
      <w:r>
        <w:rPr>
          <w:rFonts w:asciiTheme="minorHAnsi" w:hAnsiTheme="minorHAnsi" w:cs="Arial"/>
          <w:b/>
          <w:bCs/>
        </w:rPr>
        <w:t>U</w:t>
      </w:r>
      <w:r w:rsidRPr="00FF4A64">
        <w:rPr>
          <w:rFonts w:asciiTheme="minorHAnsi" w:hAnsiTheme="minorHAnsi" w:cs="Arial"/>
          <w:b/>
          <w:bCs/>
        </w:rPr>
        <w:t xml:space="preserve">pdate as at </w:t>
      </w:r>
      <w:r w:rsidR="00F20D8E">
        <w:rPr>
          <w:rFonts w:asciiTheme="minorHAnsi" w:hAnsiTheme="minorHAnsi" w:cs="Arial"/>
          <w:b/>
          <w:bCs/>
        </w:rPr>
        <w:t>28</w:t>
      </w:r>
      <w:r w:rsidR="00386ED7">
        <w:rPr>
          <w:rFonts w:asciiTheme="minorHAnsi" w:hAnsiTheme="minorHAnsi" w:cs="Arial"/>
          <w:b/>
          <w:bCs/>
        </w:rPr>
        <w:t xml:space="preserve"> August</w:t>
      </w:r>
      <w:r w:rsidRPr="00FF4A64">
        <w:rPr>
          <w:rFonts w:asciiTheme="minorHAnsi" w:hAnsiTheme="minorHAnsi" w:cs="Arial"/>
          <w:b/>
          <w:bCs/>
        </w:rPr>
        <w:t xml:space="preserve"> 2021</w:t>
      </w:r>
    </w:p>
    <w:p w14:paraId="75F59F76" w14:textId="05A27D6A" w:rsidR="00BD7744" w:rsidRDefault="0044112D" w:rsidP="007A312F">
      <w:pPr>
        <w:pStyle w:val="ListParagraph"/>
        <w:numPr>
          <w:ilvl w:val="0"/>
          <w:numId w:val="147"/>
        </w:numPr>
        <w:spacing w:before="240" w:after="60"/>
        <w:ind w:left="1560" w:hanging="567"/>
        <w:rPr>
          <w:rFonts w:asciiTheme="minorHAnsi" w:hAnsiTheme="minorHAnsi" w:cs="Arial"/>
          <w:b/>
          <w:bCs/>
        </w:rPr>
      </w:pPr>
      <w:r w:rsidRPr="0044112D">
        <w:rPr>
          <w:rFonts w:asciiTheme="minorHAnsi" w:hAnsiTheme="minorHAnsi" w:cs="Arial"/>
          <w:i/>
          <w:iCs/>
        </w:rPr>
        <w:t xml:space="preserve">MH03: </w:t>
      </w:r>
      <w:bookmarkStart w:id="1" w:name="_Hlk80706669"/>
      <w:r w:rsidRPr="0044112D">
        <w:rPr>
          <w:rFonts w:asciiTheme="minorHAnsi" w:hAnsiTheme="minorHAnsi" w:cs="Arial"/>
          <w:i/>
          <w:iCs/>
        </w:rPr>
        <w:t xml:space="preserve">Shorter waits for mental health services for under </w:t>
      </w:r>
      <w:proofErr w:type="gramStart"/>
      <w:r w:rsidRPr="0044112D">
        <w:rPr>
          <w:rFonts w:asciiTheme="minorHAnsi" w:hAnsiTheme="minorHAnsi" w:cs="Arial"/>
          <w:i/>
          <w:iCs/>
        </w:rPr>
        <w:t>25-year olds</w:t>
      </w:r>
      <w:proofErr w:type="gramEnd"/>
      <w:r w:rsidRPr="0044112D">
        <w:rPr>
          <w:rFonts w:asciiTheme="minorHAnsi" w:hAnsiTheme="minorHAnsi" w:cs="Arial"/>
          <w:i/>
          <w:iCs/>
        </w:rPr>
        <w:t>.</w:t>
      </w:r>
      <w:r w:rsidR="00386ED7">
        <w:rPr>
          <w:rFonts w:asciiTheme="minorHAnsi" w:hAnsiTheme="minorHAnsi" w:cs="Arial"/>
          <w:i/>
          <w:iCs/>
        </w:rPr>
        <w:t xml:space="preserve"> </w:t>
      </w:r>
      <w:bookmarkEnd w:id="1"/>
      <w:r>
        <w:rPr>
          <w:rFonts w:asciiTheme="minorHAnsi" w:hAnsiTheme="minorHAnsi" w:cs="Arial"/>
          <w:i/>
          <w:iCs/>
        </w:rPr>
        <w:t>Up</w:t>
      </w:r>
      <w:r w:rsidR="00386ED7">
        <w:rPr>
          <w:rFonts w:asciiTheme="minorHAnsi" w:hAnsiTheme="minorHAnsi" w:cs="Arial"/>
          <w:i/>
          <w:iCs/>
        </w:rPr>
        <w:t>date to reflect adjusted measure definition</w:t>
      </w:r>
      <w:bookmarkStart w:id="2" w:name="_Hlk80706524"/>
      <w:r w:rsidR="00386ED7">
        <w:rPr>
          <w:rFonts w:asciiTheme="minorHAnsi" w:hAnsiTheme="minorHAnsi" w:cs="Arial"/>
          <w:i/>
          <w:iCs/>
        </w:rPr>
        <w:t xml:space="preserve"> </w:t>
      </w:r>
      <w:r w:rsidR="00984B19">
        <w:rPr>
          <w:rFonts w:asciiTheme="minorHAnsi" w:hAnsiTheme="minorHAnsi" w:cs="Arial"/>
          <w:i/>
          <w:iCs/>
        </w:rPr>
        <w:t>to expand age group covered</w:t>
      </w:r>
      <w:r w:rsidRPr="0044112D">
        <w:rPr>
          <w:rFonts w:asciiTheme="minorHAnsi" w:hAnsiTheme="minorHAnsi" w:cs="Arial"/>
          <w:b/>
          <w:bCs/>
        </w:rPr>
        <w:t>.</w:t>
      </w:r>
    </w:p>
    <w:bookmarkEnd w:id="0"/>
    <w:p w14:paraId="5215B10B" w14:textId="6D13ED25" w:rsidR="00386ED7" w:rsidRPr="009A3C20" w:rsidRDefault="00386ED7" w:rsidP="00386ED7">
      <w:pPr>
        <w:pStyle w:val="ListParagraph"/>
        <w:numPr>
          <w:ilvl w:val="0"/>
          <w:numId w:val="147"/>
        </w:numPr>
        <w:spacing w:before="240" w:after="60"/>
        <w:ind w:left="1560" w:hanging="567"/>
        <w:rPr>
          <w:rFonts w:asciiTheme="minorHAnsi" w:hAnsiTheme="minorHAnsi" w:cs="Arial"/>
          <w:b/>
          <w:bCs/>
        </w:rPr>
      </w:pPr>
      <w:r w:rsidRPr="0044112D">
        <w:rPr>
          <w:rFonts w:asciiTheme="minorHAnsi" w:hAnsiTheme="minorHAnsi" w:cs="Arial"/>
          <w:i/>
          <w:iCs/>
        </w:rPr>
        <w:t>MH0</w:t>
      </w:r>
      <w:r w:rsidR="00984B19">
        <w:rPr>
          <w:rFonts w:asciiTheme="minorHAnsi" w:hAnsiTheme="minorHAnsi" w:cs="Arial"/>
          <w:i/>
          <w:iCs/>
        </w:rPr>
        <w:t>4</w:t>
      </w:r>
      <w:r w:rsidRPr="0044112D">
        <w:rPr>
          <w:rFonts w:asciiTheme="minorHAnsi" w:hAnsiTheme="minorHAnsi" w:cs="Arial"/>
          <w:i/>
          <w:iCs/>
        </w:rPr>
        <w:t xml:space="preserve">: </w:t>
      </w:r>
      <w:r w:rsidR="001E42D6" w:rsidRPr="001E42D6">
        <w:rPr>
          <w:rFonts w:asciiTheme="minorHAnsi" w:hAnsiTheme="minorHAnsi" w:cs="Arial"/>
          <w:i/>
          <w:iCs/>
        </w:rPr>
        <w:t>Mental Health and Addiction Service Development</w:t>
      </w:r>
      <w:r w:rsidR="003A61C0">
        <w:rPr>
          <w:rFonts w:asciiTheme="minorHAnsi" w:hAnsiTheme="minorHAnsi" w:cs="Arial"/>
          <w:i/>
          <w:iCs/>
        </w:rPr>
        <w:t xml:space="preserve"> </w:t>
      </w:r>
      <w:r w:rsidR="003879A2">
        <w:rPr>
          <w:rFonts w:asciiTheme="minorHAnsi" w:hAnsiTheme="minorHAnsi" w:cs="Arial"/>
          <w:i/>
          <w:iCs/>
        </w:rPr>
        <w:t xml:space="preserve">– update to </w:t>
      </w:r>
      <w:r w:rsidR="003A61C0" w:rsidRPr="003A61C0">
        <w:rPr>
          <w:rFonts w:asciiTheme="minorHAnsi" w:hAnsiTheme="minorHAnsi" w:cs="Arial"/>
          <w:i/>
          <w:iCs/>
        </w:rPr>
        <w:t>Focus Area 2 District Suicide Prevention and Postvention</w:t>
      </w:r>
    </w:p>
    <w:p w14:paraId="307D8925" w14:textId="33AA792F" w:rsidR="009A3C20" w:rsidRPr="00C42B7E" w:rsidRDefault="009A3C20" w:rsidP="00386ED7">
      <w:pPr>
        <w:pStyle w:val="ListParagraph"/>
        <w:numPr>
          <w:ilvl w:val="0"/>
          <w:numId w:val="147"/>
        </w:numPr>
        <w:spacing w:before="240" w:after="60"/>
        <w:ind w:left="1560" w:hanging="567"/>
        <w:rPr>
          <w:rFonts w:asciiTheme="minorHAnsi" w:hAnsiTheme="minorHAnsi" w:cs="Arial"/>
          <w:i/>
          <w:iCs/>
        </w:rPr>
      </w:pPr>
      <w:r w:rsidRPr="00C42B7E">
        <w:rPr>
          <w:rFonts w:asciiTheme="minorHAnsi" w:hAnsiTheme="minorHAnsi" w:cs="Arial"/>
          <w:i/>
          <w:iCs/>
        </w:rPr>
        <w:t>SS04:</w:t>
      </w:r>
      <w:r w:rsidR="00BA09BC" w:rsidRPr="00BA09BC">
        <w:rPr>
          <w:rFonts w:asciiTheme="minorHAnsi" w:hAnsiTheme="minorHAnsi" w:cs="Arial"/>
          <w:i/>
          <w:iCs/>
        </w:rPr>
        <w:t xml:space="preserve"> Implementing the Healthy Ageing Strategy</w:t>
      </w:r>
      <w:r w:rsidR="00BA09BC" w:rsidRPr="00BA09BC">
        <w:rPr>
          <w:rFonts w:asciiTheme="minorHAnsi" w:hAnsiTheme="minorHAnsi" w:cs="Arial"/>
          <w:i/>
          <w:iCs/>
        </w:rPr>
        <w:tab/>
        <w:t>95</w:t>
      </w:r>
      <w:r w:rsidR="00C42B7E" w:rsidRPr="00C42B7E">
        <w:rPr>
          <w:rFonts w:asciiTheme="minorHAnsi" w:hAnsiTheme="minorHAnsi" w:cs="Arial"/>
          <w:i/>
          <w:iCs/>
        </w:rPr>
        <w:t xml:space="preserve">Update to deliverables to be reported </w:t>
      </w:r>
      <w:r w:rsidR="00F148F9">
        <w:rPr>
          <w:rFonts w:asciiTheme="minorHAnsi" w:hAnsiTheme="minorHAnsi" w:cs="Arial"/>
          <w:i/>
          <w:iCs/>
        </w:rPr>
        <w:t>(note further modif</w:t>
      </w:r>
      <w:r w:rsidR="00CB4733">
        <w:rPr>
          <w:rFonts w:asciiTheme="minorHAnsi" w:hAnsiTheme="minorHAnsi" w:cs="Arial"/>
          <w:i/>
          <w:iCs/>
        </w:rPr>
        <w:t xml:space="preserve">ied 10/9/21 to include reference </w:t>
      </w:r>
      <w:r w:rsidR="007B7C11" w:rsidRPr="007B7C11">
        <w:rPr>
          <w:rFonts w:asciiTheme="minorHAnsi" w:hAnsiTheme="minorHAnsi" w:cs="Arial"/>
          <w:i/>
          <w:iCs/>
        </w:rPr>
        <w:t xml:space="preserve">people with dementia and their </w:t>
      </w:r>
      <w:proofErr w:type="spellStart"/>
      <w:r w:rsidR="007B7C11" w:rsidRPr="007B7C11">
        <w:rPr>
          <w:rFonts w:asciiTheme="minorHAnsi" w:hAnsiTheme="minorHAnsi" w:cs="Arial"/>
          <w:i/>
          <w:iCs/>
        </w:rPr>
        <w:t>carers</w:t>
      </w:r>
      <w:proofErr w:type="spellEnd"/>
      <w:r w:rsidR="007B7C11">
        <w:rPr>
          <w:rFonts w:asciiTheme="minorHAnsi" w:hAnsiTheme="minorHAnsi" w:cs="Arial"/>
          <w:i/>
          <w:iCs/>
        </w:rPr>
        <w:t xml:space="preserve"> in item 1.a)</w:t>
      </w:r>
    </w:p>
    <w:p w14:paraId="62397120" w14:textId="4D499883" w:rsidR="008401EF" w:rsidRPr="00932CB0" w:rsidRDefault="008401EF" w:rsidP="008401EF">
      <w:pPr>
        <w:pStyle w:val="ListParagraph"/>
        <w:numPr>
          <w:ilvl w:val="0"/>
          <w:numId w:val="147"/>
        </w:numPr>
        <w:spacing w:before="240" w:after="60"/>
        <w:ind w:left="1560" w:hanging="567"/>
        <w:rPr>
          <w:rFonts w:asciiTheme="minorHAnsi" w:hAnsiTheme="minorHAnsi" w:cs="Arial"/>
          <w:i/>
          <w:iCs/>
        </w:rPr>
      </w:pPr>
      <w:r w:rsidRPr="009A3C20">
        <w:rPr>
          <w:rFonts w:asciiTheme="minorHAnsi" w:hAnsiTheme="minorHAnsi" w:cs="Arial"/>
          <w:i/>
          <w:iCs/>
        </w:rPr>
        <w:t>SS15</w:t>
      </w:r>
      <w:r w:rsidR="00932CB0" w:rsidRPr="009A3C20">
        <w:rPr>
          <w:rFonts w:asciiTheme="minorHAnsi" w:hAnsiTheme="minorHAnsi" w:cs="Arial"/>
          <w:i/>
          <w:iCs/>
        </w:rPr>
        <w:t>:</w:t>
      </w:r>
      <w:r w:rsidR="003879A2" w:rsidRPr="009A3C20">
        <w:rPr>
          <w:i/>
          <w:iCs/>
        </w:rPr>
        <w:t xml:space="preserve"> </w:t>
      </w:r>
      <w:r w:rsidR="003879A2" w:rsidRPr="009A3C20">
        <w:rPr>
          <w:rFonts w:asciiTheme="minorHAnsi" w:hAnsiTheme="minorHAnsi" w:cs="Arial"/>
          <w:i/>
          <w:iCs/>
        </w:rPr>
        <w:t>Improving waiting times for colonoscopies</w:t>
      </w:r>
      <w:r w:rsidR="00940608" w:rsidRPr="009A3C20">
        <w:rPr>
          <w:rFonts w:asciiTheme="minorHAnsi" w:hAnsiTheme="minorHAnsi" w:cs="Arial"/>
          <w:i/>
          <w:iCs/>
        </w:rPr>
        <w:t xml:space="preserve"> </w:t>
      </w:r>
      <w:r w:rsidR="00984882" w:rsidRPr="009A3C20">
        <w:rPr>
          <w:rFonts w:asciiTheme="minorHAnsi" w:hAnsiTheme="minorHAnsi" w:cs="Arial"/>
          <w:i/>
          <w:iCs/>
        </w:rPr>
        <w:t>–</w:t>
      </w:r>
      <w:r w:rsidR="00940608" w:rsidRPr="009A3C20">
        <w:rPr>
          <w:rFonts w:asciiTheme="minorHAnsi" w:hAnsiTheme="minorHAnsi" w:cs="Arial"/>
          <w:i/>
          <w:iCs/>
        </w:rPr>
        <w:t xml:space="preserve"> </w:t>
      </w:r>
      <w:r w:rsidR="00984882" w:rsidRPr="009A3C20">
        <w:rPr>
          <w:rFonts w:asciiTheme="minorHAnsi" w:hAnsiTheme="minorHAnsi" w:cs="Arial"/>
          <w:i/>
          <w:iCs/>
        </w:rPr>
        <w:t>update</w:t>
      </w:r>
      <w:r w:rsidR="00984882">
        <w:rPr>
          <w:rFonts w:asciiTheme="minorHAnsi" w:hAnsiTheme="minorHAnsi" w:cs="Arial"/>
          <w:i/>
          <w:iCs/>
        </w:rPr>
        <w:t xml:space="preserve"> to months reported each quarter</w:t>
      </w:r>
    </w:p>
    <w:p w14:paraId="2CF273C9" w14:textId="77777777" w:rsidR="008401EF" w:rsidRPr="0044112D" w:rsidRDefault="008401EF" w:rsidP="00932CB0">
      <w:pPr>
        <w:pStyle w:val="ListParagraph"/>
        <w:spacing w:before="240" w:after="60"/>
        <w:ind w:left="1560"/>
        <w:rPr>
          <w:rFonts w:asciiTheme="minorHAnsi" w:hAnsiTheme="minorHAnsi" w:cs="Arial"/>
          <w:b/>
          <w:bCs/>
        </w:rPr>
      </w:pPr>
    </w:p>
    <w:bookmarkEnd w:id="2"/>
    <w:p w14:paraId="14F3B653" w14:textId="77777777" w:rsidR="00BD7744" w:rsidRDefault="00BD7744" w:rsidP="00437639">
      <w:pPr>
        <w:spacing w:before="240" w:after="60"/>
        <w:rPr>
          <w:rFonts w:asciiTheme="minorHAnsi" w:hAnsiTheme="minorHAnsi" w:cs="Arial"/>
          <w:b/>
          <w:bCs/>
        </w:rPr>
      </w:pPr>
    </w:p>
    <w:p w14:paraId="1C01A5DD" w14:textId="6AF35AEA" w:rsidR="00437639" w:rsidRPr="00FF4A64" w:rsidRDefault="00437639" w:rsidP="00437639">
      <w:pPr>
        <w:spacing w:before="240" w:after="60"/>
        <w:rPr>
          <w:rFonts w:asciiTheme="minorHAnsi" w:hAnsiTheme="minorHAnsi" w:cs="Arial"/>
          <w:b/>
          <w:bCs/>
        </w:rPr>
      </w:pPr>
      <w:r>
        <w:rPr>
          <w:rFonts w:asciiTheme="minorHAnsi" w:hAnsiTheme="minorHAnsi" w:cs="Arial"/>
          <w:b/>
          <w:bCs/>
        </w:rPr>
        <w:t>U</w:t>
      </w:r>
      <w:r w:rsidRPr="00FF4A64">
        <w:rPr>
          <w:rFonts w:asciiTheme="minorHAnsi" w:hAnsiTheme="minorHAnsi" w:cs="Arial"/>
          <w:b/>
          <w:bCs/>
        </w:rPr>
        <w:t xml:space="preserve">pdate as </w:t>
      </w:r>
      <w:proofErr w:type="gramStart"/>
      <w:r w:rsidRPr="00FF4A64">
        <w:rPr>
          <w:rFonts w:asciiTheme="minorHAnsi" w:hAnsiTheme="minorHAnsi" w:cs="Arial"/>
          <w:b/>
          <w:bCs/>
        </w:rPr>
        <w:t>at</w:t>
      </w:r>
      <w:proofErr w:type="gramEnd"/>
      <w:r w:rsidRPr="00FF4A64">
        <w:rPr>
          <w:rFonts w:asciiTheme="minorHAnsi" w:hAnsiTheme="minorHAnsi" w:cs="Arial"/>
          <w:b/>
          <w:bCs/>
        </w:rPr>
        <w:t xml:space="preserve"> </w:t>
      </w:r>
      <w:r>
        <w:rPr>
          <w:rFonts w:asciiTheme="minorHAnsi" w:hAnsiTheme="minorHAnsi" w:cs="Arial"/>
          <w:b/>
          <w:bCs/>
        </w:rPr>
        <w:t>28 May</w:t>
      </w:r>
      <w:r w:rsidRPr="00FF4A64">
        <w:rPr>
          <w:rFonts w:asciiTheme="minorHAnsi" w:hAnsiTheme="minorHAnsi" w:cs="Arial"/>
          <w:b/>
          <w:bCs/>
        </w:rPr>
        <w:t xml:space="preserve"> 2021</w:t>
      </w:r>
    </w:p>
    <w:p w14:paraId="40C13789" w14:textId="28EA9144" w:rsidR="00437639" w:rsidRPr="002F63E2" w:rsidRDefault="004B4352" w:rsidP="00FF4F49">
      <w:pPr>
        <w:pStyle w:val="ListParagraph"/>
        <w:numPr>
          <w:ilvl w:val="0"/>
          <w:numId w:val="147"/>
        </w:numPr>
        <w:spacing w:before="240" w:after="60"/>
        <w:ind w:left="1560" w:hanging="567"/>
        <w:rPr>
          <w:rFonts w:asciiTheme="minorHAnsi" w:hAnsiTheme="minorHAnsi" w:cs="Arial"/>
          <w:i/>
          <w:iCs/>
        </w:rPr>
      </w:pPr>
      <w:bookmarkStart w:id="3" w:name="_Hlk73105880"/>
      <w:r w:rsidRPr="002F63E2">
        <w:rPr>
          <w:rFonts w:asciiTheme="minorHAnsi" w:hAnsiTheme="minorHAnsi" w:cs="Arial"/>
          <w:i/>
          <w:iCs/>
        </w:rPr>
        <w:t xml:space="preserve">SS07 </w:t>
      </w:r>
      <w:r w:rsidR="00D42153" w:rsidRPr="002F63E2">
        <w:rPr>
          <w:rFonts w:asciiTheme="minorHAnsi" w:hAnsiTheme="minorHAnsi" w:cs="Arial"/>
          <w:i/>
          <w:iCs/>
        </w:rPr>
        <w:t xml:space="preserve">Planned care measures. </w:t>
      </w:r>
      <w:r w:rsidR="00EC1849" w:rsidRPr="002F63E2">
        <w:rPr>
          <w:rFonts w:asciiTheme="minorHAnsi" w:hAnsiTheme="minorHAnsi" w:cs="Arial"/>
          <w:i/>
          <w:iCs/>
        </w:rPr>
        <w:t xml:space="preserve">Reporting of planned care measures 1-5 is being managed via monthly meetings – only planned care  </w:t>
      </w:r>
      <w:r w:rsidR="000A27DD">
        <w:rPr>
          <w:rFonts w:asciiTheme="minorHAnsi" w:hAnsiTheme="minorHAnsi" w:cs="Arial"/>
          <w:i/>
          <w:iCs/>
        </w:rPr>
        <w:t xml:space="preserve">measures </w:t>
      </w:r>
      <w:r w:rsidR="00EC1849" w:rsidRPr="002F63E2">
        <w:rPr>
          <w:rFonts w:asciiTheme="minorHAnsi" w:hAnsiTheme="minorHAnsi" w:cs="Arial"/>
          <w:i/>
          <w:iCs/>
        </w:rPr>
        <w:t>6 and 7 are required to be reported through DHB quarterly reporting processes in 2021/22.</w:t>
      </w:r>
    </w:p>
    <w:p w14:paraId="347FF98D" w14:textId="0B4A3D3C" w:rsidR="00BD6CD7" w:rsidRPr="00BD6CD7" w:rsidRDefault="00BD6CD7" w:rsidP="00FB3765">
      <w:pPr>
        <w:spacing w:before="240" w:after="60"/>
        <w:ind w:left="1560" w:hanging="567"/>
        <w:rPr>
          <w:rFonts w:asciiTheme="minorHAnsi" w:hAnsiTheme="minorHAnsi" w:cs="Arial"/>
        </w:rPr>
      </w:pPr>
      <w:bookmarkStart w:id="4" w:name="_Hlk73102093"/>
      <w:bookmarkEnd w:id="3"/>
      <w:r w:rsidRPr="00BD6CD7">
        <w:rPr>
          <w:rFonts w:asciiTheme="minorHAnsi" w:hAnsiTheme="minorHAnsi" w:cs="Arial"/>
        </w:rPr>
        <w:t>•</w:t>
      </w:r>
      <w:bookmarkStart w:id="5" w:name="_Hlk73102055"/>
      <w:r w:rsidRPr="00BD6CD7">
        <w:rPr>
          <w:rFonts w:asciiTheme="minorHAnsi" w:hAnsiTheme="minorHAnsi" w:cs="Arial"/>
        </w:rPr>
        <w:tab/>
      </w:r>
      <w:r w:rsidRPr="00FF4F49">
        <w:rPr>
          <w:rFonts w:asciiTheme="minorHAnsi" w:hAnsiTheme="minorHAnsi" w:cs="Arial"/>
          <w:i/>
          <w:iCs/>
        </w:rPr>
        <w:t>CW04  Utilisation of DHB-funded dental services by adolescents from School Year 9</w:t>
      </w:r>
      <w:r w:rsidRPr="00BD6CD7">
        <w:rPr>
          <w:rFonts w:asciiTheme="minorHAnsi" w:hAnsiTheme="minorHAnsi" w:cs="Arial"/>
        </w:rPr>
        <w:t xml:space="preserve"> </w:t>
      </w:r>
    </w:p>
    <w:bookmarkEnd w:id="4"/>
    <w:bookmarkEnd w:id="5"/>
    <w:p w14:paraId="6FB1ED16" w14:textId="1A2FB493" w:rsidR="00437639" w:rsidRDefault="00DF093F" w:rsidP="00DA13E0">
      <w:pPr>
        <w:pStyle w:val="ListParagraph"/>
        <w:numPr>
          <w:ilvl w:val="1"/>
          <w:numId w:val="148"/>
        </w:numPr>
        <w:spacing w:before="240" w:after="60"/>
        <w:ind w:left="1843"/>
        <w:rPr>
          <w:rFonts w:asciiTheme="minorHAnsi" w:hAnsiTheme="minorHAnsi" w:cs="Arial"/>
        </w:rPr>
      </w:pPr>
      <w:r>
        <w:rPr>
          <w:rFonts w:asciiTheme="minorHAnsi" w:hAnsiTheme="minorHAnsi" w:cs="Arial"/>
        </w:rPr>
        <w:t>Update to confirm that w</w:t>
      </w:r>
      <w:r w:rsidR="00BD6CD7" w:rsidRPr="00132D60">
        <w:rPr>
          <w:rFonts w:asciiTheme="minorHAnsi" w:hAnsiTheme="minorHAnsi" w:cs="Arial"/>
        </w:rPr>
        <w:t>hen reporting the number of adolescents treated by non-Combined Dental Agreement providers (</w:t>
      </w:r>
      <w:proofErr w:type="spellStart"/>
      <w:r w:rsidR="00BD6CD7" w:rsidRPr="00132D60">
        <w:rPr>
          <w:rFonts w:asciiTheme="minorHAnsi" w:hAnsiTheme="minorHAnsi" w:cs="Arial"/>
        </w:rPr>
        <w:t>eg</w:t>
      </w:r>
      <w:proofErr w:type="spellEnd"/>
      <w:r w:rsidR="00BD6CD7" w:rsidRPr="00132D60">
        <w:rPr>
          <w:rFonts w:asciiTheme="minorHAnsi" w:hAnsiTheme="minorHAnsi" w:cs="Arial"/>
        </w:rPr>
        <w:t>, Maori oral health providers or the Community Oral Health Service), DHBs will need to be able to provide this information broken down by ethnicity (Māori, Pacific, Other). Ethnicity data is a key variable for understanding the health experiences and priorities of different population groups, leading to the development of more effective policies and programmes.</w:t>
      </w:r>
    </w:p>
    <w:p w14:paraId="05626F42" w14:textId="77777777" w:rsidR="00702271" w:rsidRDefault="00702271" w:rsidP="00702271">
      <w:pPr>
        <w:pStyle w:val="ListParagraph"/>
        <w:spacing w:before="240" w:after="60"/>
        <w:ind w:left="2880"/>
        <w:rPr>
          <w:rFonts w:asciiTheme="minorHAnsi" w:hAnsiTheme="minorHAnsi" w:cs="Arial"/>
        </w:rPr>
      </w:pPr>
    </w:p>
    <w:p w14:paraId="28384780" w14:textId="5B8ACFEC" w:rsidR="00702271" w:rsidRPr="00702271" w:rsidRDefault="00702271" w:rsidP="001C7CA5">
      <w:pPr>
        <w:pStyle w:val="ListParagraph"/>
        <w:spacing w:before="240" w:after="60"/>
        <w:ind w:left="1560" w:hanging="567"/>
        <w:rPr>
          <w:rFonts w:asciiTheme="minorHAnsi" w:hAnsiTheme="minorHAnsi" w:cs="Arial"/>
          <w:i/>
          <w:iCs/>
        </w:rPr>
      </w:pPr>
      <w:r w:rsidRPr="00702271">
        <w:rPr>
          <w:rFonts w:asciiTheme="minorHAnsi" w:hAnsiTheme="minorHAnsi" w:cs="Arial"/>
          <w:i/>
          <w:iCs/>
        </w:rPr>
        <w:lastRenderedPageBreak/>
        <w:t>•</w:t>
      </w:r>
      <w:r w:rsidRPr="00702271">
        <w:rPr>
          <w:rFonts w:asciiTheme="minorHAnsi" w:hAnsiTheme="minorHAnsi" w:cs="Arial"/>
          <w:i/>
          <w:iCs/>
        </w:rPr>
        <w:tab/>
        <w:t xml:space="preserve">CW03  </w:t>
      </w:r>
      <w:r w:rsidR="001C7CA5" w:rsidRPr="001C7CA5">
        <w:rPr>
          <w:rFonts w:asciiTheme="minorHAnsi" w:hAnsiTheme="minorHAnsi" w:cs="Arial"/>
          <w:i/>
          <w:iCs/>
        </w:rPr>
        <w:t>Improving the number of children enrolled in and accessing the Community Oral Health Service.</w:t>
      </w:r>
      <w:r w:rsidRPr="00702271">
        <w:rPr>
          <w:rFonts w:asciiTheme="minorHAnsi" w:hAnsiTheme="minorHAnsi" w:cs="Arial"/>
          <w:i/>
          <w:iCs/>
        </w:rPr>
        <w:t xml:space="preserve"> </w:t>
      </w:r>
    </w:p>
    <w:p w14:paraId="29FD8421" w14:textId="7DC2A36D" w:rsidR="00702271" w:rsidRDefault="00702271" w:rsidP="00DA13E0">
      <w:pPr>
        <w:pStyle w:val="ListParagraph"/>
        <w:spacing w:before="240" w:after="60"/>
        <w:ind w:left="2880"/>
        <w:rPr>
          <w:rFonts w:asciiTheme="minorHAnsi" w:hAnsiTheme="minorHAnsi" w:cs="Arial"/>
        </w:rPr>
      </w:pPr>
    </w:p>
    <w:p w14:paraId="2F048AB4" w14:textId="43E537A8" w:rsidR="00702271" w:rsidRPr="00DA13E0" w:rsidRDefault="001C7CA5" w:rsidP="00DA13E0">
      <w:pPr>
        <w:pStyle w:val="ListParagraph"/>
        <w:numPr>
          <w:ilvl w:val="0"/>
          <w:numId w:val="150"/>
        </w:numPr>
        <w:spacing w:before="240" w:after="60"/>
        <w:ind w:left="1985"/>
        <w:rPr>
          <w:rFonts w:asciiTheme="minorHAnsi" w:hAnsiTheme="minorHAnsi" w:cs="Arial"/>
        </w:rPr>
      </w:pPr>
      <w:r w:rsidRPr="00DA13E0">
        <w:rPr>
          <w:rFonts w:asciiTheme="minorHAnsi" w:hAnsiTheme="minorHAnsi" w:cs="Arial"/>
        </w:rPr>
        <w:t>T</w:t>
      </w:r>
      <w:r w:rsidR="00702271" w:rsidRPr="00DA13E0">
        <w:rPr>
          <w:rFonts w:asciiTheme="minorHAnsi" w:hAnsiTheme="minorHAnsi" w:cs="Arial"/>
        </w:rPr>
        <w:t>he COVID-19 pandemic has had on the number of children overdue for their scheduled examinations in many DHBs</w:t>
      </w:r>
      <w:r w:rsidRPr="00DA13E0">
        <w:rPr>
          <w:rFonts w:asciiTheme="minorHAnsi" w:hAnsiTheme="minorHAnsi" w:cs="Arial"/>
        </w:rPr>
        <w:t xml:space="preserve"> is acknowledged </w:t>
      </w:r>
      <w:r w:rsidR="00DA13E0" w:rsidRPr="00DA13E0">
        <w:rPr>
          <w:rFonts w:asciiTheme="minorHAnsi" w:hAnsiTheme="minorHAnsi" w:cs="Arial"/>
        </w:rPr>
        <w:t>and i</w:t>
      </w:r>
      <w:r w:rsidR="00702271" w:rsidRPr="00DA13E0">
        <w:rPr>
          <w:rFonts w:asciiTheme="minorHAnsi" w:hAnsiTheme="minorHAnsi" w:cs="Arial"/>
        </w:rPr>
        <w:t xml:space="preserve">t will take some time for those DHBs to address this and for COHS service delivery and the level of overdue examinations to return to pre-pandemic levels. </w:t>
      </w:r>
      <w:r w:rsidR="00DA13E0" w:rsidRPr="00DA13E0">
        <w:rPr>
          <w:rFonts w:asciiTheme="minorHAnsi" w:hAnsiTheme="minorHAnsi" w:cs="Arial"/>
        </w:rPr>
        <w:t xml:space="preserve"> </w:t>
      </w:r>
      <w:r w:rsidR="00702271" w:rsidRPr="00DA13E0">
        <w:rPr>
          <w:rFonts w:asciiTheme="minorHAnsi" w:hAnsiTheme="minorHAnsi" w:cs="Arial"/>
        </w:rPr>
        <w:t>However, given the level of overdue examinations has been increasing nationally, even before the COVID-19 pandemic, the Director-General of Health has requested that performance against CW03 part b is monitored more closely. Performance will now be monitored quarterly.</w:t>
      </w:r>
    </w:p>
    <w:p w14:paraId="2C586498" w14:textId="77777777" w:rsidR="00132D60" w:rsidRDefault="00132D60" w:rsidP="00132D60">
      <w:pPr>
        <w:pStyle w:val="ListParagraph"/>
        <w:spacing w:before="240" w:after="60"/>
        <w:ind w:left="2880"/>
        <w:rPr>
          <w:rFonts w:asciiTheme="minorHAnsi" w:hAnsiTheme="minorHAnsi" w:cs="Arial"/>
        </w:rPr>
      </w:pPr>
    </w:p>
    <w:p w14:paraId="388D339B" w14:textId="026A54C0" w:rsidR="00437639" w:rsidRPr="00FA577B" w:rsidRDefault="007056E2" w:rsidP="00FA577B">
      <w:pPr>
        <w:pStyle w:val="ListParagraph"/>
        <w:numPr>
          <w:ilvl w:val="0"/>
          <w:numId w:val="147"/>
        </w:numPr>
        <w:spacing w:before="240" w:after="60"/>
        <w:ind w:left="1560" w:hanging="426"/>
        <w:rPr>
          <w:rFonts w:asciiTheme="minorHAnsi" w:hAnsiTheme="minorHAnsi" w:cs="Arial"/>
          <w:b/>
          <w:bCs/>
        </w:rPr>
      </w:pPr>
      <w:r w:rsidRPr="0054402E">
        <w:rPr>
          <w:rFonts w:asciiTheme="minorHAnsi" w:hAnsiTheme="minorHAnsi" w:cs="Arial"/>
          <w:i/>
          <w:iCs/>
        </w:rPr>
        <w:t>SS13</w:t>
      </w:r>
      <w:r w:rsidR="00FA577B" w:rsidRPr="00FA577B">
        <w:rPr>
          <w:rFonts w:asciiTheme="minorHAnsi" w:hAnsiTheme="minorHAnsi" w:cs="Arial"/>
          <w:i/>
          <w:iCs/>
          <w:sz w:val="22"/>
          <w:szCs w:val="22"/>
        </w:rPr>
        <w:t xml:space="preserve"> </w:t>
      </w:r>
      <w:r w:rsidR="00FA577B" w:rsidRPr="004C5088">
        <w:rPr>
          <w:rFonts w:asciiTheme="minorHAnsi" w:hAnsiTheme="minorHAnsi" w:cs="Arial"/>
          <w:i/>
          <w:iCs/>
          <w:sz w:val="22"/>
          <w:szCs w:val="22"/>
        </w:rPr>
        <w:t>Improved management for long term conditions (CVD, Acute heart health, Diabetes, and Stroke)</w:t>
      </w:r>
      <w:r w:rsidR="00FA577B">
        <w:rPr>
          <w:rFonts w:asciiTheme="minorHAnsi" w:hAnsiTheme="minorHAnsi" w:cs="Arial"/>
          <w:i/>
          <w:iCs/>
        </w:rPr>
        <w:t xml:space="preserve"> </w:t>
      </w:r>
      <w:r w:rsidRPr="0054402E">
        <w:rPr>
          <w:rFonts w:asciiTheme="minorHAnsi" w:hAnsiTheme="minorHAnsi" w:cs="Arial"/>
          <w:i/>
          <w:iCs/>
        </w:rPr>
        <w:t xml:space="preserve"> </w:t>
      </w:r>
      <w:r w:rsidR="006612E3" w:rsidRPr="00FA577B">
        <w:rPr>
          <w:rFonts w:asciiTheme="minorHAnsi" w:hAnsiTheme="minorHAnsi" w:cs="Arial"/>
        </w:rPr>
        <w:t>I</w:t>
      </w:r>
      <w:r w:rsidR="0054402E" w:rsidRPr="00FA577B">
        <w:rPr>
          <w:rFonts w:asciiTheme="minorHAnsi" w:hAnsiTheme="minorHAnsi" w:cs="Arial"/>
        </w:rPr>
        <w:t xml:space="preserve">tems </w:t>
      </w:r>
      <w:r w:rsidR="000A27DD">
        <w:rPr>
          <w:rFonts w:asciiTheme="minorHAnsi" w:hAnsiTheme="minorHAnsi" w:cs="Arial"/>
        </w:rPr>
        <w:t xml:space="preserve">have now been </w:t>
      </w:r>
      <w:r w:rsidR="0054402E" w:rsidRPr="00FA577B">
        <w:rPr>
          <w:rFonts w:asciiTheme="minorHAnsi" w:hAnsiTheme="minorHAnsi" w:cs="Arial"/>
        </w:rPr>
        <w:t>removed from the section on ‘commentary to b</w:t>
      </w:r>
      <w:r w:rsidR="00FA577B">
        <w:rPr>
          <w:rFonts w:asciiTheme="minorHAnsi" w:hAnsiTheme="minorHAnsi" w:cs="Arial"/>
        </w:rPr>
        <w:t>e</w:t>
      </w:r>
      <w:r w:rsidR="0054402E" w:rsidRPr="00FA577B">
        <w:rPr>
          <w:rFonts w:asciiTheme="minorHAnsi" w:hAnsiTheme="minorHAnsi" w:cs="Arial"/>
        </w:rPr>
        <w:t xml:space="preserve"> provided’ to ensure </w:t>
      </w:r>
      <w:r w:rsidR="00FA577B" w:rsidRPr="00FA577B">
        <w:rPr>
          <w:rFonts w:asciiTheme="minorHAnsi" w:hAnsiTheme="minorHAnsi" w:cs="Arial"/>
        </w:rPr>
        <w:t xml:space="preserve">alignment with diabetes deliverables removed in </w:t>
      </w:r>
      <w:r w:rsidR="00E2249B">
        <w:rPr>
          <w:rFonts w:asciiTheme="minorHAnsi" w:hAnsiTheme="minorHAnsi" w:cs="Arial"/>
        </w:rPr>
        <w:t xml:space="preserve">the </w:t>
      </w:r>
      <w:r w:rsidR="00FA577B" w:rsidRPr="00FA577B">
        <w:rPr>
          <w:rFonts w:asciiTheme="minorHAnsi" w:hAnsiTheme="minorHAnsi" w:cs="Arial"/>
        </w:rPr>
        <w:t xml:space="preserve">April update </w:t>
      </w:r>
      <w:r w:rsidR="0054402E" w:rsidRPr="00FA577B">
        <w:rPr>
          <w:rFonts w:asciiTheme="minorHAnsi" w:hAnsiTheme="minorHAnsi" w:cs="Arial"/>
        </w:rPr>
        <w:t xml:space="preserve"> </w:t>
      </w:r>
    </w:p>
    <w:p w14:paraId="20EACB56" w14:textId="346A3005" w:rsidR="00E2249B" w:rsidRDefault="00E2249B">
      <w:pPr>
        <w:rPr>
          <w:rFonts w:asciiTheme="minorHAnsi" w:hAnsiTheme="minorHAnsi" w:cs="Arial"/>
          <w:b/>
          <w:bCs/>
        </w:rPr>
      </w:pPr>
    </w:p>
    <w:p w14:paraId="124E022D" w14:textId="58F09757" w:rsidR="00AB2061" w:rsidRPr="00FF4A64" w:rsidRDefault="00437639" w:rsidP="00AB2061">
      <w:pPr>
        <w:spacing w:before="240" w:after="60"/>
        <w:rPr>
          <w:rFonts w:asciiTheme="minorHAnsi" w:hAnsiTheme="minorHAnsi" w:cs="Arial"/>
          <w:b/>
          <w:bCs/>
        </w:rPr>
      </w:pPr>
      <w:r>
        <w:rPr>
          <w:rFonts w:asciiTheme="minorHAnsi" w:hAnsiTheme="minorHAnsi" w:cs="Arial"/>
          <w:b/>
          <w:bCs/>
        </w:rPr>
        <w:t>U</w:t>
      </w:r>
      <w:r w:rsidR="00AB2061" w:rsidRPr="00FF4A64">
        <w:rPr>
          <w:rFonts w:asciiTheme="minorHAnsi" w:hAnsiTheme="minorHAnsi" w:cs="Arial"/>
          <w:b/>
          <w:bCs/>
        </w:rPr>
        <w:t xml:space="preserve">pdate as </w:t>
      </w:r>
      <w:proofErr w:type="gramStart"/>
      <w:r w:rsidR="00AB2061" w:rsidRPr="00FF4A64">
        <w:rPr>
          <w:rFonts w:asciiTheme="minorHAnsi" w:hAnsiTheme="minorHAnsi" w:cs="Arial"/>
          <w:b/>
          <w:bCs/>
        </w:rPr>
        <w:t>at</w:t>
      </w:r>
      <w:proofErr w:type="gramEnd"/>
      <w:r w:rsidR="00AB2061" w:rsidRPr="00FF4A64">
        <w:rPr>
          <w:rFonts w:asciiTheme="minorHAnsi" w:hAnsiTheme="minorHAnsi" w:cs="Arial"/>
          <w:b/>
          <w:bCs/>
        </w:rPr>
        <w:t xml:space="preserve"> </w:t>
      </w:r>
      <w:r w:rsidR="00AB2061">
        <w:rPr>
          <w:rFonts w:asciiTheme="minorHAnsi" w:hAnsiTheme="minorHAnsi" w:cs="Arial"/>
          <w:b/>
          <w:bCs/>
        </w:rPr>
        <w:t xml:space="preserve">21 </w:t>
      </w:r>
      <w:r w:rsidR="00AB2061" w:rsidRPr="00FF4A64">
        <w:rPr>
          <w:rFonts w:asciiTheme="minorHAnsi" w:hAnsiTheme="minorHAnsi" w:cs="Arial"/>
          <w:b/>
          <w:bCs/>
        </w:rPr>
        <w:t>April 2021</w:t>
      </w:r>
    </w:p>
    <w:p w14:paraId="55B62FB8" w14:textId="77777777" w:rsidR="00AB2061" w:rsidRPr="00FF4A64" w:rsidRDefault="00AB2061" w:rsidP="00AB2061">
      <w:pPr>
        <w:spacing w:before="240" w:after="60"/>
        <w:rPr>
          <w:rFonts w:asciiTheme="minorHAnsi" w:hAnsiTheme="minorHAnsi" w:cs="Arial"/>
          <w:i/>
          <w:noProof/>
        </w:rPr>
      </w:pPr>
      <w:r w:rsidRPr="00FF4A64">
        <w:rPr>
          <w:rFonts w:asciiTheme="minorHAnsi" w:hAnsiTheme="minorHAnsi" w:cs="Arial"/>
          <w:i/>
          <w:noProof/>
        </w:rPr>
        <w:t>Update to the folowing measure to confirm deliverables have been removed for 2021/22:</w:t>
      </w:r>
    </w:p>
    <w:p w14:paraId="495196F7" w14:textId="77777777" w:rsidR="00AB2061" w:rsidRPr="004C5088" w:rsidRDefault="00AB2061" w:rsidP="00AB2061">
      <w:pPr>
        <w:pStyle w:val="ListParagraph"/>
        <w:numPr>
          <w:ilvl w:val="0"/>
          <w:numId w:val="145"/>
        </w:numPr>
        <w:spacing w:before="120"/>
        <w:rPr>
          <w:rFonts w:asciiTheme="minorHAnsi" w:hAnsiTheme="minorHAnsi" w:cstheme="minorHAnsi"/>
          <w:b/>
          <w:bCs/>
          <w:i/>
          <w:iCs/>
        </w:rPr>
      </w:pPr>
      <w:bookmarkStart w:id="6" w:name="_Hlk69902141"/>
      <w:r w:rsidRPr="004C5088">
        <w:rPr>
          <w:rFonts w:asciiTheme="minorHAnsi" w:hAnsiTheme="minorHAnsi" w:cs="Arial"/>
          <w:i/>
          <w:iCs/>
          <w:sz w:val="22"/>
          <w:szCs w:val="22"/>
        </w:rPr>
        <w:t xml:space="preserve">SS13 </w:t>
      </w:r>
      <w:bookmarkStart w:id="7" w:name="_Hlk73106060"/>
      <w:r w:rsidRPr="004C5088">
        <w:rPr>
          <w:rFonts w:asciiTheme="minorHAnsi" w:hAnsiTheme="minorHAnsi" w:cs="Arial"/>
          <w:i/>
          <w:iCs/>
          <w:sz w:val="22"/>
          <w:szCs w:val="22"/>
        </w:rPr>
        <w:t>Improved management for long term conditions (CVD, Acute heart health, Diabetes, and Stroke)</w:t>
      </w:r>
      <w:bookmarkEnd w:id="7"/>
    </w:p>
    <w:p w14:paraId="1CA0C1C5" w14:textId="2EC4F2DC" w:rsidR="00AB2061" w:rsidRDefault="00AB2061" w:rsidP="00AB2061">
      <w:pPr>
        <w:pStyle w:val="ListParagraph"/>
        <w:spacing w:before="120"/>
        <w:ind w:left="1429"/>
        <w:rPr>
          <w:rFonts w:asciiTheme="minorHAnsi" w:hAnsiTheme="minorHAnsi" w:cs="Arial"/>
          <w:i/>
          <w:iCs/>
          <w:sz w:val="22"/>
          <w:szCs w:val="22"/>
        </w:rPr>
      </w:pPr>
      <w:r>
        <w:rPr>
          <w:rFonts w:asciiTheme="minorHAnsi" w:hAnsiTheme="minorHAnsi" w:cs="Arial"/>
          <w:i/>
          <w:iCs/>
          <w:sz w:val="22"/>
          <w:szCs w:val="22"/>
        </w:rPr>
        <w:t xml:space="preserve">Please note requirements re diabetes annual </w:t>
      </w:r>
      <w:r w:rsidR="00F05780">
        <w:rPr>
          <w:rFonts w:asciiTheme="minorHAnsi" w:hAnsiTheme="minorHAnsi" w:cs="Arial"/>
          <w:i/>
          <w:iCs/>
          <w:sz w:val="22"/>
          <w:szCs w:val="22"/>
        </w:rPr>
        <w:t xml:space="preserve">are </w:t>
      </w:r>
      <w:r>
        <w:rPr>
          <w:rFonts w:asciiTheme="minorHAnsi" w:hAnsiTheme="minorHAnsi" w:cs="Arial"/>
          <w:i/>
          <w:iCs/>
          <w:sz w:val="22"/>
          <w:szCs w:val="22"/>
        </w:rPr>
        <w:t xml:space="preserve">also removed </w:t>
      </w:r>
    </w:p>
    <w:bookmarkEnd w:id="6"/>
    <w:p w14:paraId="54A5A9B4" w14:textId="77777777" w:rsidR="00F05780" w:rsidRPr="004C5088" w:rsidRDefault="00F05780" w:rsidP="00AB2061">
      <w:pPr>
        <w:pStyle w:val="ListParagraph"/>
        <w:spacing w:before="120"/>
        <w:ind w:left="1429"/>
        <w:rPr>
          <w:rFonts w:asciiTheme="minorHAnsi" w:hAnsiTheme="minorHAnsi" w:cstheme="minorHAnsi"/>
          <w:b/>
          <w:bCs/>
          <w:i/>
          <w:iCs/>
        </w:rPr>
      </w:pPr>
    </w:p>
    <w:p w14:paraId="5B1BA17D" w14:textId="2BC54312" w:rsidR="004D247C" w:rsidRPr="00093C90" w:rsidRDefault="0022383A" w:rsidP="00093C90">
      <w:pPr>
        <w:pStyle w:val="ListParagraph"/>
        <w:numPr>
          <w:ilvl w:val="0"/>
          <w:numId w:val="145"/>
        </w:numPr>
        <w:spacing w:before="120"/>
        <w:rPr>
          <w:rFonts w:asciiTheme="minorHAnsi" w:hAnsiTheme="minorHAnsi" w:cstheme="minorHAnsi"/>
          <w:b/>
          <w:bCs/>
          <w:i/>
          <w:iCs/>
        </w:rPr>
      </w:pPr>
      <w:r w:rsidRPr="00093C90">
        <w:rPr>
          <w:rFonts w:asciiTheme="minorHAnsi" w:hAnsiTheme="minorHAnsi" w:cs="Arial"/>
          <w:i/>
          <w:iCs/>
          <w:sz w:val="22"/>
          <w:szCs w:val="22"/>
        </w:rPr>
        <w:t>The MH KPI project has clarified  the MH07 numerator and denominator, updated defin</w:t>
      </w:r>
      <w:r w:rsidR="00CF6A7E" w:rsidRPr="00093C90">
        <w:rPr>
          <w:rFonts w:asciiTheme="minorHAnsi" w:hAnsiTheme="minorHAnsi" w:cs="Arial"/>
          <w:i/>
          <w:iCs/>
          <w:sz w:val="22"/>
          <w:szCs w:val="22"/>
        </w:rPr>
        <w:t>i</w:t>
      </w:r>
      <w:r w:rsidRPr="00093C90">
        <w:rPr>
          <w:rFonts w:asciiTheme="minorHAnsi" w:hAnsiTheme="minorHAnsi" w:cs="Arial"/>
          <w:i/>
          <w:iCs/>
          <w:sz w:val="22"/>
          <w:szCs w:val="22"/>
        </w:rPr>
        <w:t xml:space="preserve">tions now included </w:t>
      </w:r>
      <w:r w:rsidRPr="00093C90">
        <w:rPr>
          <w:rFonts w:asciiTheme="minorHAnsi" w:hAnsiTheme="minorHAnsi" w:cs="Arial"/>
          <w:b/>
          <w:bCs/>
          <w:sz w:val="52"/>
          <w:szCs w:val="52"/>
        </w:rPr>
        <w:t xml:space="preserve"> </w:t>
      </w:r>
    </w:p>
    <w:p w14:paraId="0E80E0C5" w14:textId="18673D5A" w:rsidR="005E5A6F" w:rsidRPr="00FF4A64" w:rsidRDefault="005E5A6F" w:rsidP="005E5A6F">
      <w:pPr>
        <w:spacing w:before="240" w:after="60"/>
        <w:rPr>
          <w:rFonts w:asciiTheme="minorHAnsi" w:hAnsiTheme="minorHAnsi" w:cs="Arial"/>
          <w:b/>
          <w:bCs/>
        </w:rPr>
      </w:pPr>
      <w:bookmarkStart w:id="8" w:name="_Hlk69902099"/>
      <w:r w:rsidRPr="00FF4A64">
        <w:rPr>
          <w:rFonts w:asciiTheme="minorHAnsi" w:hAnsiTheme="minorHAnsi" w:cs="Arial"/>
          <w:b/>
          <w:bCs/>
        </w:rPr>
        <w:t xml:space="preserve">Update as </w:t>
      </w:r>
      <w:proofErr w:type="gramStart"/>
      <w:r w:rsidRPr="00FF4A64">
        <w:rPr>
          <w:rFonts w:asciiTheme="minorHAnsi" w:hAnsiTheme="minorHAnsi" w:cs="Arial"/>
          <w:b/>
          <w:bCs/>
        </w:rPr>
        <w:t>at</w:t>
      </w:r>
      <w:proofErr w:type="gramEnd"/>
      <w:r w:rsidRPr="00FF4A64">
        <w:rPr>
          <w:rFonts w:asciiTheme="minorHAnsi" w:hAnsiTheme="minorHAnsi" w:cs="Arial"/>
          <w:b/>
          <w:bCs/>
        </w:rPr>
        <w:t xml:space="preserve"> </w:t>
      </w:r>
      <w:r w:rsidR="00BC0675">
        <w:rPr>
          <w:rFonts w:asciiTheme="minorHAnsi" w:hAnsiTheme="minorHAnsi" w:cs="Arial"/>
          <w:b/>
          <w:bCs/>
        </w:rPr>
        <w:t xml:space="preserve">6 </w:t>
      </w:r>
      <w:r w:rsidRPr="00FF4A64">
        <w:rPr>
          <w:rFonts w:asciiTheme="minorHAnsi" w:hAnsiTheme="minorHAnsi" w:cs="Arial"/>
          <w:b/>
          <w:bCs/>
        </w:rPr>
        <w:t>April 2021</w:t>
      </w:r>
    </w:p>
    <w:p w14:paraId="013B8C02" w14:textId="2EDC5C39" w:rsidR="005E5A6F" w:rsidRPr="00FF4A64" w:rsidRDefault="005E5A6F" w:rsidP="005E5A6F">
      <w:pPr>
        <w:spacing w:before="240" w:after="60"/>
        <w:rPr>
          <w:rFonts w:asciiTheme="minorHAnsi" w:hAnsiTheme="minorHAnsi" w:cs="Arial"/>
          <w:i/>
          <w:noProof/>
        </w:rPr>
      </w:pPr>
      <w:r w:rsidRPr="00FF4A64">
        <w:rPr>
          <w:rFonts w:asciiTheme="minorHAnsi" w:hAnsiTheme="minorHAnsi" w:cs="Arial"/>
          <w:i/>
          <w:noProof/>
        </w:rPr>
        <w:t xml:space="preserve">Update </w:t>
      </w:r>
      <w:r w:rsidR="004D7408" w:rsidRPr="00FF4A64">
        <w:rPr>
          <w:rFonts w:asciiTheme="minorHAnsi" w:hAnsiTheme="minorHAnsi" w:cs="Arial"/>
          <w:i/>
          <w:noProof/>
        </w:rPr>
        <w:t xml:space="preserve">to the folowing </w:t>
      </w:r>
      <w:r w:rsidRPr="00FF4A64">
        <w:rPr>
          <w:rFonts w:asciiTheme="minorHAnsi" w:hAnsiTheme="minorHAnsi" w:cs="Arial"/>
          <w:i/>
          <w:noProof/>
        </w:rPr>
        <w:t>measure</w:t>
      </w:r>
      <w:r w:rsidR="004D7408" w:rsidRPr="00FF4A64">
        <w:rPr>
          <w:rFonts w:asciiTheme="minorHAnsi" w:hAnsiTheme="minorHAnsi" w:cs="Arial"/>
          <w:i/>
          <w:noProof/>
        </w:rPr>
        <w:t xml:space="preserve"> to confirm deliverables </w:t>
      </w:r>
      <w:r w:rsidRPr="00FF4A64">
        <w:rPr>
          <w:rFonts w:asciiTheme="minorHAnsi" w:hAnsiTheme="minorHAnsi" w:cs="Arial"/>
          <w:i/>
          <w:noProof/>
        </w:rPr>
        <w:t>have been removed for 2021/22:</w:t>
      </w:r>
    </w:p>
    <w:p w14:paraId="6386982E" w14:textId="77777777" w:rsidR="00FF4A64" w:rsidRPr="004C5088" w:rsidRDefault="00FF4A64" w:rsidP="00C04FF1">
      <w:pPr>
        <w:pStyle w:val="ListParagraph"/>
        <w:numPr>
          <w:ilvl w:val="0"/>
          <w:numId w:val="145"/>
        </w:numPr>
        <w:spacing w:before="120"/>
        <w:rPr>
          <w:rFonts w:asciiTheme="minorHAnsi" w:hAnsiTheme="minorHAnsi" w:cstheme="minorHAnsi"/>
          <w:b/>
          <w:bCs/>
          <w:i/>
          <w:iCs/>
        </w:rPr>
      </w:pPr>
      <w:r w:rsidRPr="004C5088">
        <w:rPr>
          <w:rFonts w:asciiTheme="minorHAnsi" w:hAnsiTheme="minorHAnsi" w:cs="Arial"/>
          <w:i/>
          <w:iCs/>
          <w:sz w:val="22"/>
          <w:szCs w:val="22"/>
        </w:rPr>
        <w:t xml:space="preserve">SS13 </w:t>
      </w:r>
      <w:r w:rsidR="002033BC" w:rsidRPr="004C5088">
        <w:rPr>
          <w:rFonts w:asciiTheme="minorHAnsi" w:hAnsiTheme="minorHAnsi" w:cs="Arial"/>
          <w:i/>
          <w:iCs/>
          <w:sz w:val="22"/>
          <w:szCs w:val="22"/>
        </w:rPr>
        <w:t>Improved management for long term conditions (CVD, Acute heart health, Diabetes, and Stroke</w:t>
      </w:r>
      <w:r w:rsidRPr="004C5088">
        <w:rPr>
          <w:rFonts w:asciiTheme="minorHAnsi" w:hAnsiTheme="minorHAnsi" w:cs="Arial"/>
          <w:i/>
          <w:iCs/>
          <w:sz w:val="22"/>
          <w:szCs w:val="22"/>
        </w:rPr>
        <w:t>)</w:t>
      </w:r>
    </w:p>
    <w:p w14:paraId="6476E32B" w14:textId="061F5771" w:rsidR="005E5A6F" w:rsidRDefault="0021084B" w:rsidP="00FF4A64">
      <w:pPr>
        <w:pStyle w:val="ListParagraph"/>
        <w:spacing w:before="120"/>
        <w:ind w:left="1429"/>
        <w:rPr>
          <w:rFonts w:asciiTheme="minorHAnsi" w:hAnsiTheme="minorHAnsi" w:cs="Arial"/>
          <w:i/>
          <w:iCs/>
          <w:sz w:val="22"/>
          <w:szCs w:val="22"/>
        </w:rPr>
      </w:pPr>
      <w:r w:rsidRPr="004C5088">
        <w:rPr>
          <w:rFonts w:asciiTheme="minorHAnsi" w:hAnsiTheme="minorHAnsi" w:cs="Arial"/>
          <w:i/>
          <w:iCs/>
          <w:sz w:val="22"/>
          <w:szCs w:val="22"/>
        </w:rPr>
        <w:t xml:space="preserve">New deliverables signalled for the diabetes services -  focus area 2 including addition of an eGFR indicator and foot screening indicators </w:t>
      </w:r>
      <w:r w:rsidR="00FF4A64" w:rsidRPr="004C5088">
        <w:rPr>
          <w:rFonts w:asciiTheme="minorHAnsi" w:hAnsiTheme="minorHAnsi" w:cs="Arial"/>
          <w:i/>
          <w:iCs/>
          <w:sz w:val="22"/>
          <w:szCs w:val="22"/>
        </w:rPr>
        <w:t xml:space="preserve">are </w:t>
      </w:r>
      <w:r w:rsidRPr="004C5088">
        <w:rPr>
          <w:rFonts w:asciiTheme="minorHAnsi" w:hAnsiTheme="minorHAnsi" w:cs="Arial"/>
          <w:i/>
          <w:iCs/>
          <w:sz w:val="22"/>
          <w:szCs w:val="22"/>
        </w:rPr>
        <w:t xml:space="preserve">removed </w:t>
      </w:r>
    </w:p>
    <w:p w14:paraId="7B6A3056" w14:textId="4C547AE7" w:rsidR="007B3ED4" w:rsidRPr="004C5088" w:rsidRDefault="0092528E" w:rsidP="00FF4A64">
      <w:pPr>
        <w:pStyle w:val="ListParagraph"/>
        <w:spacing w:before="120"/>
        <w:ind w:left="1429"/>
        <w:rPr>
          <w:rFonts w:asciiTheme="minorHAnsi" w:hAnsiTheme="minorHAnsi" w:cstheme="minorHAnsi"/>
          <w:b/>
          <w:bCs/>
          <w:i/>
          <w:iCs/>
        </w:rPr>
      </w:pPr>
      <w:r>
        <w:rPr>
          <w:rFonts w:asciiTheme="minorHAnsi" w:hAnsiTheme="minorHAnsi" w:cs="Arial"/>
          <w:i/>
          <w:iCs/>
          <w:sz w:val="22"/>
          <w:szCs w:val="22"/>
        </w:rPr>
        <w:t xml:space="preserve">Please note </w:t>
      </w:r>
      <w:r w:rsidR="00AB2061">
        <w:rPr>
          <w:rFonts w:asciiTheme="minorHAnsi" w:hAnsiTheme="minorHAnsi" w:cs="Arial"/>
          <w:i/>
          <w:iCs/>
          <w:sz w:val="22"/>
          <w:szCs w:val="22"/>
        </w:rPr>
        <w:t>r</w:t>
      </w:r>
      <w:r>
        <w:rPr>
          <w:rFonts w:asciiTheme="minorHAnsi" w:hAnsiTheme="minorHAnsi" w:cs="Arial"/>
          <w:i/>
          <w:iCs/>
          <w:sz w:val="22"/>
          <w:szCs w:val="22"/>
        </w:rPr>
        <w:t>equiremen</w:t>
      </w:r>
      <w:r w:rsidR="00AB2061">
        <w:rPr>
          <w:rFonts w:asciiTheme="minorHAnsi" w:hAnsiTheme="minorHAnsi" w:cs="Arial"/>
          <w:i/>
          <w:iCs/>
          <w:sz w:val="22"/>
          <w:szCs w:val="22"/>
        </w:rPr>
        <w:t>ts</w:t>
      </w:r>
      <w:r>
        <w:rPr>
          <w:rFonts w:asciiTheme="minorHAnsi" w:hAnsiTheme="minorHAnsi" w:cs="Arial"/>
          <w:i/>
          <w:iCs/>
          <w:sz w:val="22"/>
          <w:szCs w:val="22"/>
        </w:rPr>
        <w:t xml:space="preserve"> re diabetes annual also removed </w:t>
      </w:r>
    </w:p>
    <w:bookmarkEnd w:id="8"/>
    <w:p w14:paraId="27AC0D24" w14:textId="77777777" w:rsidR="005E5A6F" w:rsidRDefault="005E5A6F" w:rsidP="00137DBA">
      <w:pPr>
        <w:spacing w:before="240" w:after="60"/>
        <w:rPr>
          <w:rFonts w:asciiTheme="minorHAnsi" w:hAnsiTheme="minorHAnsi" w:cs="Arial"/>
          <w:b/>
          <w:bCs/>
        </w:rPr>
      </w:pPr>
    </w:p>
    <w:p w14:paraId="03E6CA12" w14:textId="188E56FE" w:rsidR="00137DBA" w:rsidRDefault="00137DBA" w:rsidP="00137DBA">
      <w:pPr>
        <w:spacing w:before="240" w:after="60"/>
        <w:rPr>
          <w:rFonts w:asciiTheme="minorHAnsi" w:hAnsiTheme="minorHAnsi" w:cs="Arial"/>
          <w:b/>
          <w:bCs/>
        </w:rPr>
      </w:pPr>
      <w:r>
        <w:rPr>
          <w:rFonts w:asciiTheme="minorHAnsi" w:hAnsiTheme="minorHAnsi" w:cs="Arial"/>
          <w:b/>
          <w:bCs/>
        </w:rPr>
        <w:t xml:space="preserve">Update as </w:t>
      </w:r>
      <w:proofErr w:type="gramStart"/>
      <w:r>
        <w:rPr>
          <w:rFonts w:asciiTheme="minorHAnsi" w:hAnsiTheme="minorHAnsi" w:cs="Arial"/>
          <w:b/>
          <w:bCs/>
        </w:rPr>
        <w:t>at</w:t>
      </w:r>
      <w:proofErr w:type="gramEnd"/>
      <w:r>
        <w:rPr>
          <w:rFonts w:asciiTheme="minorHAnsi" w:hAnsiTheme="minorHAnsi" w:cs="Arial"/>
          <w:b/>
          <w:bCs/>
        </w:rPr>
        <w:t xml:space="preserve"> February 2021</w:t>
      </w:r>
    </w:p>
    <w:p w14:paraId="47E2B595" w14:textId="2B5C194A" w:rsidR="00137DBA" w:rsidRPr="00431EF3" w:rsidRDefault="00BD1B76" w:rsidP="00431EF3">
      <w:pPr>
        <w:spacing w:before="240" w:after="60"/>
        <w:rPr>
          <w:rFonts w:asciiTheme="minorHAnsi" w:hAnsiTheme="minorHAnsi" w:cs="Arial"/>
          <w:i/>
          <w:noProof/>
        </w:rPr>
      </w:pPr>
      <w:r w:rsidRPr="00431EF3">
        <w:rPr>
          <w:rFonts w:asciiTheme="minorHAnsi" w:hAnsiTheme="minorHAnsi" w:cs="Arial"/>
          <w:i/>
          <w:noProof/>
        </w:rPr>
        <w:t>Update c</w:t>
      </w:r>
      <w:r w:rsidR="00137DBA" w:rsidRPr="00431EF3">
        <w:rPr>
          <w:rFonts w:asciiTheme="minorHAnsi" w:hAnsiTheme="minorHAnsi" w:cs="Arial"/>
          <w:i/>
          <w:noProof/>
        </w:rPr>
        <w:t>onfirm</w:t>
      </w:r>
      <w:r w:rsidRPr="00431EF3">
        <w:rPr>
          <w:rFonts w:asciiTheme="minorHAnsi" w:hAnsiTheme="minorHAnsi" w:cs="Arial"/>
          <w:i/>
          <w:noProof/>
        </w:rPr>
        <w:t>ing the following measures have been removed for 2021/22:</w:t>
      </w:r>
    </w:p>
    <w:p w14:paraId="35BC3D53" w14:textId="77777777" w:rsidR="00246ECA" w:rsidRPr="00431EF3" w:rsidRDefault="00246ECA" w:rsidP="00C04FF1">
      <w:pPr>
        <w:pStyle w:val="ListParagraph"/>
        <w:numPr>
          <w:ilvl w:val="0"/>
          <w:numId w:val="145"/>
        </w:numPr>
        <w:spacing w:before="120"/>
        <w:rPr>
          <w:rFonts w:asciiTheme="minorHAnsi" w:hAnsiTheme="minorHAnsi" w:cstheme="minorHAnsi"/>
          <w:b/>
          <w:bCs/>
          <w:i/>
          <w:iCs/>
        </w:rPr>
      </w:pPr>
      <w:r w:rsidRPr="00431EF3">
        <w:rPr>
          <w:rFonts w:asciiTheme="minorHAnsi" w:hAnsiTheme="minorHAnsi" w:cstheme="minorHAnsi"/>
          <w:i/>
          <w:iCs/>
        </w:rPr>
        <w:t>SS02 Ensuring delivery of Regional Service Plans</w:t>
      </w:r>
      <w:r w:rsidRPr="00431EF3">
        <w:rPr>
          <w:rFonts w:asciiTheme="minorHAnsi" w:hAnsiTheme="minorHAnsi" w:cstheme="minorHAnsi"/>
          <w:b/>
          <w:bCs/>
          <w:i/>
          <w:iCs/>
        </w:rPr>
        <w:t xml:space="preserve"> </w:t>
      </w:r>
    </w:p>
    <w:p w14:paraId="1CD9A014" w14:textId="77777777" w:rsidR="005E5A6F" w:rsidRPr="005E5A6F" w:rsidRDefault="00246ECA" w:rsidP="00C04FF1">
      <w:pPr>
        <w:pStyle w:val="ListParagraph"/>
        <w:numPr>
          <w:ilvl w:val="0"/>
          <w:numId w:val="145"/>
        </w:numPr>
        <w:spacing w:before="120"/>
        <w:rPr>
          <w:rFonts w:ascii="Arial" w:hAnsi="Arial" w:cs="Arial"/>
          <w:sz w:val="22"/>
          <w:szCs w:val="22"/>
        </w:rPr>
      </w:pPr>
      <w:r w:rsidRPr="00431EF3">
        <w:rPr>
          <w:rFonts w:asciiTheme="minorHAnsi" w:hAnsiTheme="minorHAnsi" w:cstheme="minorHAnsi"/>
          <w:i/>
          <w:iCs/>
        </w:rPr>
        <w:t xml:space="preserve">SS08 Planned care </w:t>
      </w:r>
      <w:proofErr w:type="gramStart"/>
      <w:r w:rsidRPr="00431EF3">
        <w:rPr>
          <w:rFonts w:asciiTheme="minorHAnsi" w:hAnsiTheme="minorHAnsi" w:cstheme="minorHAnsi"/>
          <w:i/>
          <w:iCs/>
        </w:rPr>
        <w:t>three year</w:t>
      </w:r>
      <w:proofErr w:type="gramEnd"/>
      <w:r w:rsidRPr="00431EF3">
        <w:rPr>
          <w:rFonts w:asciiTheme="minorHAnsi" w:hAnsiTheme="minorHAnsi" w:cstheme="minorHAnsi"/>
          <w:i/>
          <w:iCs/>
        </w:rPr>
        <w:t xml:space="preserve"> plan</w:t>
      </w:r>
      <w:r w:rsidRPr="00431EF3">
        <w:rPr>
          <w:rFonts w:asciiTheme="minorHAnsi" w:hAnsiTheme="minorHAnsi" w:cstheme="minorHAnsi"/>
        </w:rPr>
        <w:t xml:space="preserve"> </w:t>
      </w:r>
    </w:p>
    <w:p w14:paraId="696A3979" w14:textId="492166F7" w:rsidR="00604CF8" w:rsidRPr="00431EF3" w:rsidRDefault="00783F81" w:rsidP="00C04FF1">
      <w:pPr>
        <w:pStyle w:val="ListParagraph"/>
        <w:numPr>
          <w:ilvl w:val="0"/>
          <w:numId w:val="145"/>
        </w:numPr>
        <w:spacing w:before="120"/>
        <w:rPr>
          <w:rFonts w:ascii="Arial" w:hAnsi="Arial" w:cs="Arial"/>
          <w:sz w:val="22"/>
          <w:szCs w:val="22"/>
        </w:rPr>
      </w:pPr>
      <w:r w:rsidRPr="00431EF3">
        <w:rPr>
          <w:rFonts w:ascii="Arial" w:hAnsi="Arial" w:cs="Arial"/>
          <w:sz w:val="22"/>
          <w:szCs w:val="22"/>
        </w:rPr>
        <w:br w:type="page"/>
      </w:r>
    </w:p>
    <w:p w14:paraId="68435545" w14:textId="2E2F391A" w:rsidR="00F66659" w:rsidRDefault="00F66659">
      <w:pPr>
        <w:rPr>
          <w:rFonts w:ascii="Arial" w:eastAsiaTheme="minorHAnsi" w:hAnsi="Arial" w:cstheme="minorBidi"/>
          <w:b/>
          <w:sz w:val="22"/>
          <w:szCs w:val="22"/>
        </w:rPr>
      </w:pPr>
    </w:p>
    <w:p w14:paraId="2BC378C5" w14:textId="71E5BE67" w:rsidR="0042670C" w:rsidRDefault="00F66659" w:rsidP="004F770C">
      <w:pPr>
        <w:shd w:val="clear" w:color="auto" w:fill="FFFFFF" w:themeFill="background1"/>
        <w:spacing w:before="120" w:after="120"/>
        <w:ind w:left="-284"/>
        <w:rPr>
          <w:rFonts w:ascii="Arial" w:hAnsi="Arial" w:cs="Arial"/>
          <w:bCs/>
          <w:i/>
          <w:kern w:val="32"/>
        </w:rPr>
      </w:pPr>
      <w:r>
        <w:rPr>
          <w:rFonts w:ascii="Arial" w:eastAsiaTheme="minorHAnsi" w:hAnsi="Arial" w:cstheme="minorBidi"/>
          <w:b/>
          <w:sz w:val="22"/>
          <w:szCs w:val="22"/>
        </w:rPr>
        <w:t xml:space="preserve">   </w:t>
      </w:r>
      <w:bookmarkStart w:id="9" w:name="_Toc373487913"/>
      <w:bookmarkStart w:id="10" w:name="_Toc374703754"/>
      <w:bookmarkStart w:id="11" w:name="_Toc374704393"/>
      <w:bookmarkStart w:id="12" w:name="_Toc381355163"/>
      <w:bookmarkStart w:id="13" w:name="_Toc386712802"/>
      <w:bookmarkStart w:id="14" w:name="_Toc401310846"/>
      <w:bookmarkStart w:id="15" w:name="_Toc401311010"/>
      <w:bookmarkStart w:id="16" w:name="_Toc406138442"/>
      <w:bookmarkStart w:id="17" w:name="_Toc406142840"/>
      <w:bookmarkStart w:id="18" w:name="_Toc372632990"/>
      <w:bookmarkStart w:id="19" w:name="_Toc411596987"/>
      <w:bookmarkStart w:id="20" w:name="_Toc411598698"/>
      <w:bookmarkStart w:id="21" w:name="_Toc433707229"/>
      <w:bookmarkStart w:id="22" w:name="_Toc433707936"/>
      <w:bookmarkStart w:id="23" w:name="_Toc433708748"/>
      <w:bookmarkStart w:id="24" w:name="_Toc437515512"/>
      <w:bookmarkStart w:id="25" w:name="_Toc444167674"/>
      <w:bookmarkStart w:id="26" w:name="_Toc444168215"/>
      <w:bookmarkStart w:id="27" w:name="_Toc444243205"/>
      <w:bookmarkStart w:id="28" w:name="_Toc448753676"/>
      <w:bookmarkStart w:id="29" w:name="_Toc448754713"/>
      <w:bookmarkStart w:id="30" w:name="_Toc461454652"/>
      <w:bookmarkStart w:id="31" w:name="_Toc461708827"/>
      <w:bookmarkStart w:id="32" w:name="_Toc461709121"/>
      <w:bookmarkStart w:id="33" w:name="_Toc469910647"/>
      <w:bookmarkStart w:id="34" w:name="_Toc469914131"/>
      <w:bookmarkStart w:id="35" w:name="_Toc491938833"/>
      <w:bookmarkStart w:id="36" w:name="_Toc510528820"/>
      <w:bookmarkStart w:id="37" w:name="_Toc513555914"/>
      <w:r w:rsidR="002E234E">
        <w:rPr>
          <w:rFonts w:ascii="Arial" w:hAnsi="Arial" w:cs="Arial"/>
          <w:b/>
          <w:bCs/>
          <w:kern w:val="32"/>
          <w:sz w:val="32"/>
          <w:szCs w:val="32"/>
        </w:rPr>
        <w:t>2021/22</w:t>
      </w:r>
      <w:r w:rsidR="00B44AD8" w:rsidRPr="00B44AD8">
        <w:rPr>
          <w:rFonts w:ascii="Arial" w:hAnsi="Arial" w:cs="Arial"/>
          <w:b/>
          <w:bCs/>
          <w:kern w:val="32"/>
          <w:sz w:val="32"/>
          <w:szCs w:val="32"/>
        </w:rPr>
        <w:t xml:space="preserve"> DHB non-financial monitoring framework</w:t>
      </w:r>
      <w:bookmarkEnd w:id="9"/>
      <w:bookmarkEnd w:id="10"/>
      <w:r w:rsidR="00B44AD8" w:rsidRPr="00B44AD8">
        <w:rPr>
          <w:rFonts w:ascii="Arial" w:hAnsi="Arial" w:cs="Arial"/>
          <w:b/>
          <w:bCs/>
          <w:kern w:val="32"/>
          <w:sz w:val="32"/>
          <w:szCs w:val="32"/>
        </w:rPr>
        <w:t xml:space="preserve"> </w:t>
      </w:r>
      <w:bookmarkStart w:id="38" w:name="_Toc368554663"/>
      <w:bookmarkStart w:id="39" w:name="_Toc37263299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Start w:id="40" w:name="_Toc461709122" w:displacedByCustomXml="next"/>
    <w:bookmarkStart w:id="41" w:name="_Toc491938834" w:displacedByCustomXml="next"/>
    <w:bookmarkStart w:id="42" w:name="_Toc513555915" w:displacedByCustomXml="next"/>
    <w:sdt>
      <w:sdtPr>
        <w:rPr>
          <w:rFonts w:ascii="Times New Roman" w:eastAsia="Times New Roman" w:hAnsi="Times New Roman"/>
          <w:b w:val="0"/>
          <w:bCs w:val="0"/>
          <w:color w:val="auto"/>
          <w:sz w:val="24"/>
          <w:szCs w:val="24"/>
          <w:lang w:val="en-NZ" w:eastAsia="en-US"/>
        </w:rPr>
        <w:id w:val="1865007553"/>
        <w:docPartObj>
          <w:docPartGallery w:val="Table of Contents"/>
          <w:docPartUnique/>
        </w:docPartObj>
      </w:sdtPr>
      <w:sdtEndPr>
        <w:rPr>
          <w:noProof/>
        </w:rPr>
      </w:sdtEndPr>
      <w:sdtContent>
        <w:p w14:paraId="239CAAD6" w14:textId="77777777" w:rsidR="00791CE3" w:rsidRPr="00791CE3" w:rsidRDefault="0029402F" w:rsidP="00287EE2">
          <w:pPr>
            <w:pStyle w:val="TOCHeading"/>
            <w:rPr>
              <w:b w:val="0"/>
              <w:noProof/>
            </w:rPr>
          </w:pPr>
          <w:r>
            <w:t>Table of Contents</w:t>
          </w:r>
          <w:r>
            <w:fldChar w:fldCharType="begin"/>
          </w:r>
          <w:r>
            <w:instrText xml:space="preserve"> TOC \o "1-3" \h \z \u </w:instrText>
          </w:r>
          <w:r>
            <w:fldChar w:fldCharType="separate"/>
          </w:r>
        </w:p>
        <w:p w14:paraId="2D110C44" w14:textId="556E00C8"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1943" w:history="1">
            <w:r w:rsidR="00E91840">
              <w:rPr>
                <w:rStyle w:val="Hyperlink"/>
                <w:b w:val="0"/>
                <w:sz w:val="20"/>
                <w:szCs w:val="20"/>
              </w:rPr>
              <w:t>T</w:t>
            </w:r>
            <w:r w:rsidR="00791CE3" w:rsidRPr="00791CE3">
              <w:rPr>
                <w:rStyle w:val="Hyperlink"/>
                <w:b w:val="0"/>
                <w:sz w:val="20"/>
                <w:szCs w:val="20"/>
              </w:rPr>
              <w:t>he DHB monitoring framework</w:t>
            </w:r>
            <w:r w:rsidR="00791CE3" w:rsidRPr="00791CE3">
              <w:rPr>
                <w:b w:val="0"/>
                <w:webHidden/>
                <w:sz w:val="20"/>
                <w:szCs w:val="20"/>
              </w:rPr>
              <w:tab/>
            </w:r>
            <w:r w:rsidR="00791CE3" w:rsidRPr="00791CE3">
              <w:rPr>
                <w:b w:val="0"/>
                <w:webHidden/>
                <w:sz w:val="20"/>
                <w:szCs w:val="20"/>
              </w:rPr>
              <w:fldChar w:fldCharType="begin"/>
            </w:r>
            <w:r w:rsidR="00791CE3" w:rsidRPr="00791CE3">
              <w:rPr>
                <w:b w:val="0"/>
                <w:webHidden/>
                <w:sz w:val="20"/>
                <w:szCs w:val="20"/>
              </w:rPr>
              <w:instrText xml:space="preserve"> PAGEREF _Toc9591943 \h </w:instrText>
            </w:r>
            <w:r w:rsidR="00791CE3" w:rsidRPr="00791CE3">
              <w:rPr>
                <w:b w:val="0"/>
                <w:webHidden/>
                <w:sz w:val="20"/>
                <w:szCs w:val="20"/>
              </w:rPr>
            </w:r>
            <w:r w:rsidR="00791CE3" w:rsidRPr="00791CE3">
              <w:rPr>
                <w:b w:val="0"/>
                <w:webHidden/>
                <w:sz w:val="20"/>
                <w:szCs w:val="20"/>
              </w:rPr>
              <w:fldChar w:fldCharType="separate"/>
            </w:r>
            <w:r w:rsidR="0021608C">
              <w:rPr>
                <w:b w:val="0"/>
                <w:webHidden/>
                <w:sz w:val="20"/>
                <w:szCs w:val="20"/>
              </w:rPr>
              <w:t>12</w:t>
            </w:r>
            <w:r w:rsidR="00791CE3" w:rsidRPr="00791CE3">
              <w:rPr>
                <w:b w:val="0"/>
                <w:webHidden/>
                <w:sz w:val="20"/>
                <w:szCs w:val="20"/>
              </w:rPr>
              <w:fldChar w:fldCharType="end"/>
            </w:r>
          </w:hyperlink>
        </w:p>
        <w:p w14:paraId="0210644C" w14:textId="07791521" w:rsidR="00791CE3" w:rsidRPr="00791CE3" w:rsidRDefault="00BA09BC" w:rsidP="00B274C0">
          <w:pPr>
            <w:pStyle w:val="TOC2"/>
            <w:rPr>
              <w:rFonts w:eastAsiaTheme="minorEastAsia"/>
              <w:lang w:eastAsia="en-NZ"/>
            </w:rPr>
          </w:pPr>
          <w:hyperlink w:anchor="_Toc9591944" w:history="1">
            <w:r w:rsidR="00791CE3" w:rsidRPr="00791CE3">
              <w:rPr>
                <w:rStyle w:val="Hyperlink"/>
              </w:rPr>
              <w:t>Summary overview of the DHB accountability measures for 20</w:t>
            </w:r>
            <w:r w:rsidR="00243A7B">
              <w:rPr>
                <w:rStyle w:val="Hyperlink"/>
              </w:rPr>
              <w:t>20</w:t>
            </w:r>
            <w:r w:rsidR="00791CE3" w:rsidRPr="00791CE3">
              <w:rPr>
                <w:rStyle w:val="Hyperlink"/>
              </w:rPr>
              <w:t>/</w:t>
            </w:r>
            <w:r w:rsidR="00243A7B">
              <w:rPr>
                <w:rStyle w:val="Hyperlink"/>
              </w:rPr>
              <w:t>19</w:t>
            </w:r>
            <w:r w:rsidR="00791CE3" w:rsidRPr="00791CE3">
              <w:rPr>
                <w:webHidden/>
              </w:rPr>
              <w:tab/>
            </w:r>
            <w:r w:rsidR="00791CE3" w:rsidRPr="00791CE3">
              <w:rPr>
                <w:webHidden/>
              </w:rPr>
              <w:fldChar w:fldCharType="begin"/>
            </w:r>
            <w:r w:rsidR="00791CE3" w:rsidRPr="00791CE3">
              <w:rPr>
                <w:webHidden/>
              </w:rPr>
              <w:instrText xml:space="preserve"> PAGEREF _Toc9591944 \h </w:instrText>
            </w:r>
            <w:r w:rsidR="00791CE3" w:rsidRPr="00791CE3">
              <w:rPr>
                <w:webHidden/>
              </w:rPr>
            </w:r>
            <w:r w:rsidR="00791CE3" w:rsidRPr="00791CE3">
              <w:rPr>
                <w:webHidden/>
              </w:rPr>
              <w:fldChar w:fldCharType="separate"/>
            </w:r>
            <w:r w:rsidR="0021608C">
              <w:rPr>
                <w:webHidden/>
              </w:rPr>
              <w:t>14</w:t>
            </w:r>
            <w:r w:rsidR="00791CE3" w:rsidRPr="00791CE3">
              <w:rPr>
                <w:webHidden/>
              </w:rPr>
              <w:fldChar w:fldCharType="end"/>
            </w:r>
          </w:hyperlink>
        </w:p>
        <w:p w14:paraId="3C97496B" w14:textId="77777777" w:rsidR="00791CE3" w:rsidRPr="00791CE3" w:rsidRDefault="00791CE3" w:rsidP="00B274C0">
          <w:pPr>
            <w:pStyle w:val="TOC2"/>
            <w:rPr>
              <w:rStyle w:val="Hyperlink"/>
            </w:rPr>
          </w:pPr>
        </w:p>
        <w:p w14:paraId="5336493A" w14:textId="77777777" w:rsidR="00791CE3" w:rsidRPr="00791CE3" w:rsidRDefault="00BA09BC" w:rsidP="00B274C0">
          <w:pPr>
            <w:pStyle w:val="TOC2"/>
            <w:rPr>
              <w:rFonts w:eastAsiaTheme="minorEastAsia"/>
              <w:lang w:eastAsia="en-NZ"/>
            </w:rPr>
          </w:pPr>
          <w:hyperlink w:anchor="_Toc9591993" w:history="1">
            <w:r w:rsidR="00791CE3" w:rsidRPr="00791CE3">
              <w:rPr>
                <w:rStyle w:val="Hyperlink"/>
              </w:rPr>
              <w:t>Improving child wellbeing CW01: Children caries-free at five years of age</w:t>
            </w:r>
            <w:r w:rsidR="00791CE3" w:rsidRPr="00791CE3">
              <w:rPr>
                <w:webHidden/>
              </w:rPr>
              <w:tab/>
            </w:r>
            <w:r w:rsidR="00791CE3" w:rsidRPr="00791CE3">
              <w:rPr>
                <w:webHidden/>
              </w:rPr>
              <w:fldChar w:fldCharType="begin"/>
            </w:r>
            <w:r w:rsidR="00791CE3" w:rsidRPr="00791CE3">
              <w:rPr>
                <w:webHidden/>
              </w:rPr>
              <w:instrText xml:space="preserve"> PAGEREF _Toc9591993 \h </w:instrText>
            </w:r>
            <w:r w:rsidR="00791CE3" w:rsidRPr="00791CE3">
              <w:rPr>
                <w:webHidden/>
              </w:rPr>
            </w:r>
            <w:r w:rsidR="00791CE3" w:rsidRPr="00791CE3">
              <w:rPr>
                <w:webHidden/>
              </w:rPr>
              <w:fldChar w:fldCharType="separate"/>
            </w:r>
            <w:r w:rsidR="0021608C">
              <w:rPr>
                <w:webHidden/>
              </w:rPr>
              <w:t>17</w:t>
            </w:r>
            <w:r w:rsidR="00791CE3" w:rsidRPr="00791CE3">
              <w:rPr>
                <w:webHidden/>
              </w:rPr>
              <w:fldChar w:fldCharType="end"/>
            </w:r>
          </w:hyperlink>
        </w:p>
        <w:p w14:paraId="64A41DB2" w14:textId="77777777" w:rsidR="00791CE3" w:rsidRPr="00791CE3" w:rsidRDefault="00BA09BC" w:rsidP="00B274C0">
          <w:pPr>
            <w:pStyle w:val="TOC2"/>
            <w:rPr>
              <w:rFonts w:eastAsiaTheme="minorEastAsia"/>
              <w:lang w:eastAsia="en-NZ"/>
            </w:rPr>
          </w:pPr>
          <w:hyperlink w:anchor="_Toc9591994" w:history="1">
            <w:r w:rsidR="00791CE3" w:rsidRPr="00791CE3">
              <w:rPr>
                <w:rStyle w:val="Hyperlink"/>
              </w:rPr>
              <w:t>Improving child wellbeing CW02: Oral Health- Mean DMFT score at school Year 8</w:t>
            </w:r>
            <w:r w:rsidR="00791CE3" w:rsidRPr="00791CE3">
              <w:rPr>
                <w:webHidden/>
              </w:rPr>
              <w:tab/>
            </w:r>
            <w:r w:rsidR="00791CE3" w:rsidRPr="00791CE3">
              <w:rPr>
                <w:webHidden/>
              </w:rPr>
              <w:fldChar w:fldCharType="begin"/>
            </w:r>
            <w:r w:rsidR="00791CE3" w:rsidRPr="00791CE3">
              <w:rPr>
                <w:webHidden/>
              </w:rPr>
              <w:instrText xml:space="preserve"> PAGEREF _Toc9591994 \h </w:instrText>
            </w:r>
            <w:r w:rsidR="00791CE3" w:rsidRPr="00791CE3">
              <w:rPr>
                <w:webHidden/>
              </w:rPr>
            </w:r>
            <w:r w:rsidR="00791CE3" w:rsidRPr="00791CE3">
              <w:rPr>
                <w:webHidden/>
              </w:rPr>
              <w:fldChar w:fldCharType="separate"/>
            </w:r>
            <w:r w:rsidR="0021608C">
              <w:rPr>
                <w:webHidden/>
              </w:rPr>
              <w:t>20</w:t>
            </w:r>
            <w:r w:rsidR="00791CE3" w:rsidRPr="00791CE3">
              <w:rPr>
                <w:webHidden/>
              </w:rPr>
              <w:fldChar w:fldCharType="end"/>
            </w:r>
          </w:hyperlink>
        </w:p>
        <w:p w14:paraId="07141786" w14:textId="77777777" w:rsidR="00791CE3" w:rsidRPr="00791CE3" w:rsidRDefault="00BA09BC" w:rsidP="00B274C0">
          <w:pPr>
            <w:pStyle w:val="TOC2"/>
            <w:rPr>
              <w:rFonts w:eastAsiaTheme="minorEastAsia"/>
              <w:lang w:eastAsia="en-NZ"/>
            </w:rPr>
          </w:pPr>
          <w:hyperlink w:anchor="_Toc9591995" w:history="1">
            <w:r w:rsidR="00791CE3" w:rsidRPr="00791CE3">
              <w:rPr>
                <w:rStyle w:val="Hyperlink"/>
              </w:rPr>
              <w:t>Improving child wellbeing CW03: Improving the number of children enrolled in and accessing the Community Oral Health Service.</w:t>
            </w:r>
            <w:r w:rsidR="00791CE3" w:rsidRPr="00791CE3">
              <w:rPr>
                <w:webHidden/>
              </w:rPr>
              <w:tab/>
            </w:r>
            <w:r w:rsidR="00791CE3" w:rsidRPr="00791CE3">
              <w:rPr>
                <w:webHidden/>
              </w:rPr>
              <w:fldChar w:fldCharType="begin"/>
            </w:r>
            <w:r w:rsidR="00791CE3" w:rsidRPr="00791CE3">
              <w:rPr>
                <w:webHidden/>
              </w:rPr>
              <w:instrText xml:space="preserve"> PAGEREF _Toc9591995 \h </w:instrText>
            </w:r>
            <w:r w:rsidR="00791CE3" w:rsidRPr="00791CE3">
              <w:rPr>
                <w:webHidden/>
              </w:rPr>
            </w:r>
            <w:r w:rsidR="00791CE3" w:rsidRPr="00791CE3">
              <w:rPr>
                <w:webHidden/>
              </w:rPr>
              <w:fldChar w:fldCharType="separate"/>
            </w:r>
            <w:r w:rsidR="0021608C">
              <w:rPr>
                <w:webHidden/>
              </w:rPr>
              <w:t>24</w:t>
            </w:r>
            <w:r w:rsidR="00791CE3" w:rsidRPr="00791CE3">
              <w:rPr>
                <w:webHidden/>
              </w:rPr>
              <w:fldChar w:fldCharType="end"/>
            </w:r>
          </w:hyperlink>
        </w:p>
        <w:p w14:paraId="28D72BB3" w14:textId="77777777" w:rsidR="00791CE3" w:rsidRPr="00791CE3" w:rsidRDefault="00BA09BC" w:rsidP="00B274C0">
          <w:pPr>
            <w:pStyle w:val="TOC2"/>
            <w:rPr>
              <w:rFonts w:eastAsiaTheme="minorEastAsia"/>
              <w:lang w:eastAsia="en-NZ"/>
            </w:rPr>
          </w:pPr>
          <w:hyperlink w:anchor="_Toc9591996" w:history="1">
            <w:r w:rsidR="00791CE3" w:rsidRPr="00791CE3">
              <w:rPr>
                <w:rStyle w:val="Hyperlink"/>
              </w:rPr>
              <w:t>Improving child wellbeing CW04: Utilisation of DHB-funded dental services by adolescents from School Year 9 up to and including age 17 years</w:t>
            </w:r>
            <w:r w:rsidR="00791CE3" w:rsidRPr="00791CE3">
              <w:rPr>
                <w:webHidden/>
              </w:rPr>
              <w:tab/>
            </w:r>
            <w:r w:rsidR="00791CE3" w:rsidRPr="00791CE3">
              <w:rPr>
                <w:webHidden/>
              </w:rPr>
              <w:fldChar w:fldCharType="begin"/>
            </w:r>
            <w:r w:rsidR="00791CE3" w:rsidRPr="00791CE3">
              <w:rPr>
                <w:webHidden/>
              </w:rPr>
              <w:instrText xml:space="preserve"> PAGEREF _Toc9591996 \h </w:instrText>
            </w:r>
            <w:r w:rsidR="00791CE3" w:rsidRPr="00791CE3">
              <w:rPr>
                <w:webHidden/>
              </w:rPr>
            </w:r>
            <w:r w:rsidR="00791CE3" w:rsidRPr="00791CE3">
              <w:rPr>
                <w:webHidden/>
              </w:rPr>
              <w:fldChar w:fldCharType="separate"/>
            </w:r>
            <w:r w:rsidR="0021608C">
              <w:rPr>
                <w:webHidden/>
              </w:rPr>
              <w:t>28</w:t>
            </w:r>
            <w:r w:rsidR="00791CE3" w:rsidRPr="00791CE3">
              <w:rPr>
                <w:webHidden/>
              </w:rPr>
              <w:fldChar w:fldCharType="end"/>
            </w:r>
          </w:hyperlink>
        </w:p>
        <w:p w14:paraId="61B43875" w14:textId="6728B148" w:rsidR="00791CE3" w:rsidRPr="00791CE3" w:rsidRDefault="00BA09BC" w:rsidP="00B274C0">
          <w:pPr>
            <w:pStyle w:val="TOC2"/>
            <w:rPr>
              <w:rFonts w:eastAsiaTheme="minorEastAsia"/>
              <w:lang w:eastAsia="en-NZ"/>
            </w:rPr>
          </w:pPr>
          <w:hyperlink w:anchor="_Toc9591997" w:history="1">
            <w:r w:rsidR="00791CE3" w:rsidRPr="00791CE3">
              <w:rPr>
                <w:rStyle w:val="Hyperlink"/>
                <w:bCs/>
                <w:iCs/>
              </w:rPr>
              <w:t>Improving child wellbeing CW05: Immunisation coverage (includes previous health target)</w:t>
            </w:r>
            <w:r w:rsidR="00791CE3" w:rsidRPr="00791CE3">
              <w:rPr>
                <w:webHidden/>
              </w:rPr>
              <w:tab/>
            </w:r>
            <w:r w:rsidR="00EB403D">
              <w:rPr>
                <w:webHidden/>
              </w:rPr>
              <w:t>40</w:t>
            </w:r>
          </w:hyperlink>
        </w:p>
        <w:p w14:paraId="07CBE280" w14:textId="17C0EABC"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1999" w:history="1">
            <w:r w:rsidR="00791CE3" w:rsidRPr="00791CE3">
              <w:rPr>
                <w:rStyle w:val="Hyperlink"/>
                <w:b w:val="0"/>
                <w:sz w:val="20"/>
                <w:szCs w:val="20"/>
              </w:rPr>
              <w:t>Improving child wellbeing CW06: Improving breastfeeding rates</w:t>
            </w:r>
            <w:r w:rsidR="00791CE3" w:rsidRPr="00791CE3">
              <w:rPr>
                <w:b w:val="0"/>
                <w:webHidden/>
                <w:sz w:val="20"/>
                <w:szCs w:val="20"/>
              </w:rPr>
              <w:tab/>
            </w:r>
          </w:hyperlink>
          <w:r w:rsidR="00EB403D">
            <w:rPr>
              <w:b w:val="0"/>
              <w:sz w:val="20"/>
              <w:szCs w:val="20"/>
            </w:rPr>
            <w:t>4</w:t>
          </w:r>
          <w:r w:rsidR="00554E42">
            <w:rPr>
              <w:b w:val="0"/>
              <w:sz w:val="20"/>
              <w:szCs w:val="20"/>
            </w:rPr>
            <w:t>2</w:t>
          </w:r>
        </w:p>
        <w:p w14:paraId="7512AC5E" w14:textId="40F7A615" w:rsidR="00791CE3" w:rsidRPr="00791CE3" w:rsidRDefault="00BA09BC" w:rsidP="00B274C0">
          <w:pPr>
            <w:pStyle w:val="TOC2"/>
            <w:rPr>
              <w:rFonts w:eastAsiaTheme="minorEastAsia"/>
              <w:lang w:eastAsia="en-NZ"/>
            </w:rPr>
          </w:pPr>
          <w:hyperlink w:anchor="_Toc9591999" w:history="1">
            <w:r w:rsidR="00F63418" w:rsidRPr="00791CE3">
              <w:rPr>
                <w:rStyle w:val="Hyperlink"/>
              </w:rPr>
              <w:t>Improving child wellbeing CW06: Improving breastfeeding rates</w:t>
            </w:r>
          </w:hyperlink>
          <w:hyperlink w:anchor="_Toc9592001" w:history="1"/>
        </w:p>
        <w:p w14:paraId="006A6900" w14:textId="20B0A0E5"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03" w:history="1">
            <w:r w:rsidR="00791CE3" w:rsidRPr="00791CE3">
              <w:rPr>
                <w:rStyle w:val="Hyperlink"/>
                <w:b w:val="0"/>
                <w:sz w:val="20"/>
                <w:szCs w:val="20"/>
              </w:rPr>
              <w:t>Improving child wellbeing CW08: Increased Immunisation</w:t>
            </w:r>
            <w:r w:rsidR="00791CE3" w:rsidRPr="00791CE3">
              <w:rPr>
                <w:b w:val="0"/>
                <w:webHidden/>
                <w:sz w:val="20"/>
                <w:szCs w:val="20"/>
              </w:rPr>
              <w:tab/>
            </w:r>
            <w:r w:rsidR="00554E42">
              <w:rPr>
                <w:b w:val="0"/>
                <w:webHidden/>
                <w:sz w:val="20"/>
                <w:szCs w:val="20"/>
              </w:rPr>
              <w:t>48</w:t>
            </w:r>
          </w:hyperlink>
        </w:p>
        <w:p w14:paraId="0D4AD568" w14:textId="3F625801"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04" w:history="1">
            <w:r w:rsidR="00791CE3" w:rsidRPr="00791CE3">
              <w:rPr>
                <w:rStyle w:val="Hyperlink"/>
                <w:b w:val="0"/>
                <w:sz w:val="20"/>
                <w:szCs w:val="20"/>
              </w:rPr>
              <w:t>Improving child wellbeing CW09: Better help for smokers to quit (maternity)</w:t>
            </w:r>
            <w:r w:rsidR="00791CE3" w:rsidRPr="00791CE3">
              <w:rPr>
                <w:b w:val="0"/>
                <w:webHidden/>
                <w:sz w:val="20"/>
                <w:szCs w:val="20"/>
              </w:rPr>
              <w:tab/>
            </w:r>
            <w:r w:rsidR="00554E42">
              <w:rPr>
                <w:b w:val="0"/>
                <w:webHidden/>
                <w:sz w:val="20"/>
                <w:szCs w:val="20"/>
              </w:rPr>
              <w:t>53</w:t>
            </w:r>
          </w:hyperlink>
        </w:p>
        <w:p w14:paraId="30D129D2" w14:textId="61B80EAF"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07" w:history="1">
            <w:r w:rsidR="00791CE3" w:rsidRPr="00791CE3">
              <w:rPr>
                <w:rStyle w:val="Hyperlink"/>
                <w:b w:val="0"/>
                <w:sz w:val="20"/>
                <w:szCs w:val="20"/>
              </w:rPr>
              <w:t>Improving child wellbeing CW10: Raising healthy kids</w:t>
            </w:r>
            <w:r w:rsidR="00791CE3" w:rsidRPr="00791CE3">
              <w:rPr>
                <w:b w:val="0"/>
                <w:webHidden/>
                <w:sz w:val="20"/>
                <w:szCs w:val="20"/>
              </w:rPr>
              <w:tab/>
            </w:r>
            <w:r w:rsidR="00791CE3" w:rsidRPr="00791CE3">
              <w:rPr>
                <w:b w:val="0"/>
                <w:webHidden/>
                <w:sz w:val="20"/>
                <w:szCs w:val="20"/>
              </w:rPr>
              <w:fldChar w:fldCharType="begin"/>
            </w:r>
            <w:r w:rsidR="00791CE3" w:rsidRPr="00791CE3">
              <w:rPr>
                <w:b w:val="0"/>
                <w:webHidden/>
                <w:sz w:val="20"/>
                <w:szCs w:val="20"/>
              </w:rPr>
              <w:instrText xml:space="preserve"> PAGEREF _Toc9592007 \h </w:instrText>
            </w:r>
            <w:r w:rsidR="00791CE3" w:rsidRPr="00791CE3">
              <w:rPr>
                <w:b w:val="0"/>
                <w:webHidden/>
                <w:sz w:val="20"/>
                <w:szCs w:val="20"/>
              </w:rPr>
            </w:r>
            <w:r w:rsidR="00791CE3" w:rsidRPr="00791CE3">
              <w:rPr>
                <w:b w:val="0"/>
                <w:webHidden/>
                <w:sz w:val="20"/>
                <w:szCs w:val="20"/>
              </w:rPr>
              <w:fldChar w:fldCharType="separate"/>
            </w:r>
            <w:r w:rsidR="0021608C">
              <w:rPr>
                <w:b w:val="0"/>
                <w:webHidden/>
                <w:sz w:val="20"/>
                <w:szCs w:val="20"/>
              </w:rPr>
              <w:t>5</w:t>
            </w:r>
            <w:r w:rsidR="00554E42">
              <w:rPr>
                <w:b w:val="0"/>
                <w:webHidden/>
                <w:sz w:val="20"/>
                <w:szCs w:val="20"/>
              </w:rPr>
              <w:t>4</w:t>
            </w:r>
            <w:r w:rsidR="00791CE3" w:rsidRPr="00791CE3">
              <w:rPr>
                <w:b w:val="0"/>
                <w:webHidden/>
                <w:sz w:val="20"/>
                <w:szCs w:val="20"/>
              </w:rPr>
              <w:fldChar w:fldCharType="end"/>
            </w:r>
          </w:hyperlink>
        </w:p>
        <w:p w14:paraId="616EC5D8" w14:textId="498BBE30" w:rsidR="00791CE3" w:rsidRPr="00791CE3" w:rsidRDefault="00BA09BC" w:rsidP="00B274C0">
          <w:pPr>
            <w:pStyle w:val="TOC2"/>
            <w:rPr>
              <w:rFonts w:eastAsiaTheme="minorEastAsia"/>
              <w:lang w:eastAsia="en-NZ"/>
            </w:rPr>
          </w:pPr>
          <w:hyperlink w:anchor="_Toc9592009" w:history="1">
            <w:r w:rsidR="00791CE3" w:rsidRPr="00791CE3">
              <w:rPr>
                <w:rStyle w:val="Hyperlink"/>
              </w:rPr>
              <w:t>Improving child wellbeing CW12: Youth health initiatives</w:t>
            </w:r>
            <w:r w:rsidR="00791CE3" w:rsidRPr="00791CE3">
              <w:rPr>
                <w:webHidden/>
              </w:rPr>
              <w:tab/>
            </w:r>
            <w:r w:rsidR="002E481C">
              <w:rPr>
                <w:webHidden/>
              </w:rPr>
              <w:t>5</w:t>
            </w:r>
            <w:r w:rsidR="00071E71">
              <w:rPr>
                <w:webHidden/>
              </w:rPr>
              <w:t>7</w:t>
            </w:r>
          </w:hyperlink>
        </w:p>
        <w:p w14:paraId="34FE0548" w14:textId="77777777" w:rsidR="00791CE3" w:rsidRPr="00791CE3" w:rsidRDefault="00791CE3" w:rsidP="00B274C0">
          <w:pPr>
            <w:pStyle w:val="TOC2"/>
            <w:rPr>
              <w:rStyle w:val="Hyperlink"/>
            </w:rPr>
          </w:pPr>
        </w:p>
        <w:p w14:paraId="3F97FFDA" w14:textId="4F42F77C" w:rsidR="00EB403D" w:rsidRDefault="00BA09BC" w:rsidP="00B274C0">
          <w:pPr>
            <w:pStyle w:val="TOC2"/>
          </w:pPr>
          <w:hyperlink w:anchor="_Toc9592014" w:history="1">
            <w:r w:rsidR="00791CE3" w:rsidRPr="00791CE3">
              <w:rPr>
                <w:rStyle w:val="Hyperlink"/>
              </w:rPr>
              <w:t>Improving mental wellbeing MH01: Improving the health status of people with severe mental illness through improved access</w:t>
            </w:r>
            <w:r w:rsidR="00791CE3" w:rsidRPr="00791CE3">
              <w:rPr>
                <w:webHidden/>
              </w:rPr>
              <w:tab/>
            </w:r>
            <w:r w:rsidR="00FB35EA">
              <w:rPr>
                <w:webHidden/>
              </w:rPr>
              <w:t>60</w:t>
            </w:r>
          </w:hyperlink>
        </w:p>
        <w:p w14:paraId="61FD42DA" w14:textId="1852134F" w:rsidR="00EB403D" w:rsidRPr="00791CE3" w:rsidRDefault="00BA09BC" w:rsidP="00EB403D">
          <w:pPr>
            <w:pStyle w:val="TOC2"/>
            <w:rPr>
              <w:rFonts w:eastAsiaTheme="minorEastAsia"/>
              <w:lang w:eastAsia="en-NZ"/>
            </w:rPr>
          </w:pPr>
          <w:hyperlink w:anchor="_Toc9592014" w:history="1">
            <w:r w:rsidR="00EB403D" w:rsidRPr="00791CE3">
              <w:rPr>
                <w:rStyle w:val="Hyperlink"/>
              </w:rPr>
              <w:t>Improving mental wellbeing MH0</w:t>
            </w:r>
            <w:r w:rsidR="00EB403D">
              <w:rPr>
                <w:rStyle w:val="Hyperlink"/>
              </w:rPr>
              <w:t>2</w:t>
            </w:r>
            <w:r w:rsidR="00EB403D" w:rsidRPr="00791CE3">
              <w:rPr>
                <w:rStyle w:val="Hyperlink"/>
              </w:rPr>
              <w:t>: Improving the health status of people with severe mental illness through improved access</w:t>
            </w:r>
            <w:r w:rsidR="00EB403D" w:rsidRPr="00791CE3">
              <w:rPr>
                <w:webHidden/>
              </w:rPr>
              <w:tab/>
            </w:r>
            <w:r w:rsidR="00C57FC0">
              <w:rPr>
                <w:webHidden/>
              </w:rPr>
              <w:t>6</w:t>
            </w:r>
            <w:r w:rsidR="00FB35EA">
              <w:rPr>
                <w:webHidden/>
              </w:rPr>
              <w:t>3</w:t>
            </w:r>
            <w:r w:rsidR="00EB403D" w:rsidRPr="00791CE3">
              <w:rPr>
                <w:webHidden/>
              </w:rPr>
              <w:fldChar w:fldCharType="begin"/>
            </w:r>
            <w:r w:rsidR="00EB403D" w:rsidRPr="00791CE3">
              <w:rPr>
                <w:webHidden/>
              </w:rPr>
              <w:instrText xml:space="preserve"> PAGEREF _Toc9592014 \h </w:instrText>
            </w:r>
            <w:r w:rsidR="00EB403D" w:rsidRPr="00791CE3">
              <w:rPr>
                <w:webHidden/>
              </w:rPr>
            </w:r>
            <w:r w:rsidR="00EB403D" w:rsidRPr="00791CE3">
              <w:rPr>
                <w:webHidden/>
              </w:rPr>
              <w:fldChar w:fldCharType="end"/>
            </w:r>
          </w:hyperlink>
          <w:hyperlink w:anchor="_Toc9592015" w:history="1"/>
        </w:p>
        <w:p w14:paraId="0245EE05" w14:textId="5913EDDC" w:rsidR="00791CE3" w:rsidRPr="00791CE3" w:rsidRDefault="00BA09BC" w:rsidP="00B274C0">
          <w:pPr>
            <w:pStyle w:val="TOC2"/>
            <w:rPr>
              <w:rFonts w:eastAsiaTheme="minorEastAsia"/>
              <w:lang w:eastAsia="en-NZ"/>
            </w:rPr>
          </w:pPr>
          <w:hyperlink w:anchor="_Toc9592017" w:history="1">
            <w:r w:rsidR="00791CE3" w:rsidRPr="00791CE3">
              <w:rPr>
                <w:rStyle w:val="Hyperlink"/>
              </w:rPr>
              <w:t xml:space="preserve">Improving mental wellbeing MH03: Shorter waits for non-urgent mental health and addiction services for </w:t>
            </w:r>
            <w:r w:rsidR="008401EF" w:rsidRPr="008401EF">
              <w:rPr>
                <w:rStyle w:val="Hyperlink"/>
              </w:rPr>
              <w:t xml:space="preserve">Shorter waits for mental health services for under 25-year olds. </w:t>
            </w:r>
          </w:hyperlink>
        </w:p>
        <w:p w14:paraId="4FC8E492" w14:textId="7461E37C" w:rsidR="00791CE3" w:rsidRPr="00791CE3" w:rsidRDefault="00BA09BC" w:rsidP="00B274C0">
          <w:pPr>
            <w:pStyle w:val="TOC2"/>
            <w:rPr>
              <w:rFonts w:eastAsiaTheme="minorEastAsia"/>
              <w:lang w:eastAsia="en-NZ"/>
            </w:rPr>
          </w:pPr>
          <w:hyperlink w:anchor="_Toc9592018" w:history="1">
            <w:r w:rsidR="00791CE3" w:rsidRPr="00791CE3">
              <w:rPr>
                <w:rStyle w:val="Hyperlink"/>
              </w:rPr>
              <w:t>Improving mental wellbeing MH04:  Mental Health and Addiction Service Development</w:t>
            </w:r>
            <w:r w:rsidR="00791CE3" w:rsidRPr="00791CE3">
              <w:rPr>
                <w:webHidden/>
              </w:rPr>
              <w:tab/>
            </w:r>
            <w:r w:rsidR="00791CE3" w:rsidRPr="00791CE3">
              <w:rPr>
                <w:webHidden/>
              </w:rPr>
              <w:fldChar w:fldCharType="begin"/>
            </w:r>
            <w:r w:rsidR="00791CE3" w:rsidRPr="00791CE3">
              <w:rPr>
                <w:webHidden/>
              </w:rPr>
              <w:instrText xml:space="preserve"> PAGEREF _Toc9592018 \h </w:instrText>
            </w:r>
            <w:r w:rsidR="00791CE3" w:rsidRPr="00791CE3">
              <w:rPr>
                <w:webHidden/>
              </w:rPr>
            </w:r>
            <w:r w:rsidR="00791CE3" w:rsidRPr="00791CE3">
              <w:rPr>
                <w:webHidden/>
              </w:rPr>
              <w:fldChar w:fldCharType="separate"/>
            </w:r>
            <w:r w:rsidR="00554E42">
              <w:rPr>
                <w:webHidden/>
              </w:rPr>
              <w:t>6</w:t>
            </w:r>
            <w:r w:rsidR="00FB35EA">
              <w:rPr>
                <w:webHidden/>
              </w:rPr>
              <w:t>7</w:t>
            </w:r>
            <w:r w:rsidR="00791CE3" w:rsidRPr="00791CE3">
              <w:rPr>
                <w:webHidden/>
              </w:rPr>
              <w:fldChar w:fldCharType="end"/>
            </w:r>
          </w:hyperlink>
        </w:p>
        <w:p w14:paraId="68F59C11" w14:textId="08E4203D"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19" w:history="1">
            <w:r w:rsidR="00791CE3" w:rsidRPr="00791CE3">
              <w:rPr>
                <w:rStyle w:val="Hyperlink"/>
                <w:b w:val="0"/>
                <w:sz w:val="20"/>
                <w:szCs w:val="20"/>
              </w:rPr>
              <w:t>Improving mental wellbeing MH05: Reduce the rate of Māori under the Mental Health Act: section 29 community treatment orders</w:t>
            </w:r>
            <w:r w:rsidR="00791CE3" w:rsidRPr="00791CE3">
              <w:rPr>
                <w:b w:val="0"/>
                <w:webHidden/>
                <w:sz w:val="20"/>
                <w:szCs w:val="20"/>
              </w:rPr>
              <w:tab/>
            </w:r>
            <w:r w:rsidR="00FB35EA">
              <w:rPr>
                <w:b w:val="0"/>
                <w:webHidden/>
                <w:sz w:val="20"/>
                <w:szCs w:val="20"/>
              </w:rPr>
              <w:t>69</w:t>
            </w:r>
          </w:hyperlink>
        </w:p>
        <w:bookmarkStart w:id="43" w:name="_Hlk41040032"/>
        <w:p w14:paraId="5BD81D96" w14:textId="5C514ABD" w:rsidR="00791CE3" w:rsidRDefault="00071E71" w:rsidP="00B274C0">
          <w:pPr>
            <w:pStyle w:val="TOC2"/>
          </w:pPr>
          <w:r>
            <w:fldChar w:fldCharType="begin"/>
          </w:r>
          <w:r>
            <w:instrText xml:space="preserve"> HYPERLINK \l "_Toc9592021" </w:instrText>
          </w:r>
          <w:r>
            <w:fldChar w:fldCharType="separate"/>
          </w:r>
          <w:r w:rsidR="00791CE3" w:rsidRPr="00791CE3">
            <w:rPr>
              <w:rStyle w:val="Hyperlink"/>
            </w:rPr>
            <w:t>Improving mental wellbeing MH06: Mental health output Delivery against Plan</w:t>
          </w:r>
          <w:r w:rsidR="00791CE3" w:rsidRPr="00791CE3">
            <w:rPr>
              <w:webHidden/>
            </w:rPr>
            <w:tab/>
          </w:r>
          <w:r w:rsidR="002E481C">
            <w:rPr>
              <w:webHidden/>
            </w:rPr>
            <w:t>7</w:t>
          </w:r>
          <w:r w:rsidR="00FB35EA">
            <w:rPr>
              <w:webHidden/>
            </w:rPr>
            <w:t>5</w:t>
          </w:r>
          <w:r>
            <w:fldChar w:fldCharType="end"/>
          </w:r>
        </w:p>
        <w:bookmarkEnd w:id="43"/>
        <w:p w14:paraId="3FB93048" w14:textId="1EBECD16" w:rsidR="00FB35EA" w:rsidRDefault="00FB35EA" w:rsidP="00FB35EA">
          <w:pPr>
            <w:pStyle w:val="TOC2"/>
          </w:pPr>
          <w:r>
            <w:fldChar w:fldCharType="begin"/>
          </w:r>
          <w:r>
            <w:instrText xml:space="preserve"> HYPERLINK \l "_Toc9592021" </w:instrText>
          </w:r>
          <w:r>
            <w:fldChar w:fldCharType="separate"/>
          </w:r>
          <w:r w:rsidRPr="00791CE3">
            <w:rPr>
              <w:rStyle w:val="Hyperlink"/>
            </w:rPr>
            <w:t>Improving mental wellbeing MH0</w:t>
          </w:r>
          <w:r>
            <w:rPr>
              <w:rStyle w:val="Hyperlink"/>
            </w:rPr>
            <w:t>7</w:t>
          </w:r>
          <w:r w:rsidRPr="00791CE3">
            <w:rPr>
              <w:rStyle w:val="Hyperlink"/>
            </w:rPr>
            <w:t>:</w:t>
          </w:r>
          <w:r w:rsidR="00D17AE4" w:rsidRPr="00D17AE4">
            <w:t xml:space="preserve"> </w:t>
          </w:r>
          <w:r w:rsidR="00D17AE4" w:rsidRPr="00B44AD8">
            <w:t>Improving the health status of people with severe mental illness through improved</w:t>
          </w:r>
          <w:r w:rsidR="00D17AE4">
            <w:t xml:space="preserve"> acute inpatient post discharge community care</w:t>
          </w:r>
          <w:r w:rsidRPr="00791CE3">
            <w:rPr>
              <w:webHidden/>
            </w:rPr>
            <w:tab/>
          </w:r>
          <w:r>
            <w:rPr>
              <w:webHidden/>
            </w:rPr>
            <w:t>77</w:t>
          </w:r>
          <w:r>
            <w:fldChar w:fldCharType="end"/>
          </w:r>
        </w:p>
        <w:p w14:paraId="42ED3520" w14:textId="77777777" w:rsidR="00791CE3" w:rsidRPr="00791CE3" w:rsidRDefault="00791CE3">
          <w:pPr>
            <w:pStyle w:val="TOC1"/>
            <w:tabs>
              <w:tab w:val="right" w:leader="dot" w:pos="10196"/>
            </w:tabs>
            <w:rPr>
              <w:rStyle w:val="Hyperlink"/>
              <w:b w:val="0"/>
              <w:sz w:val="20"/>
              <w:szCs w:val="20"/>
            </w:rPr>
          </w:pPr>
        </w:p>
        <w:p w14:paraId="0CF3EE1E" w14:textId="7B319F73"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22" w:history="1">
            <w:r w:rsidR="00791CE3" w:rsidRPr="00791CE3">
              <w:rPr>
                <w:rStyle w:val="Hyperlink"/>
                <w:b w:val="0"/>
                <w:sz w:val="20"/>
                <w:szCs w:val="20"/>
              </w:rPr>
              <w:t>Improving wellbeing through prevention PV01: Improving breast screening coverage and rescreening</w:t>
            </w:r>
            <w:r w:rsidR="00791CE3" w:rsidRPr="00791CE3">
              <w:rPr>
                <w:b w:val="0"/>
                <w:webHidden/>
                <w:sz w:val="20"/>
                <w:szCs w:val="20"/>
              </w:rPr>
              <w:tab/>
            </w:r>
          </w:hyperlink>
          <w:r w:rsidR="00FA6AD5">
            <w:rPr>
              <w:b w:val="0"/>
              <w:sz w:val="20"/>
              <w:szCs w:val="20"/>
            </w:rPr>
            <w:t>8</w:t>
          </w:r>
          <w:r w:rsidR="00276A34">
            <w:rPr>
              <w:b w:val="0"/>
              <w:sz w:val="20"/>
              <w:szCs w:val="20"/>
            </w:rPr>
            <w:t>1</w:t>
          </w:r>
        </w:p>
        <w:p w14:paraId="0502BA96" w14:textId="6C1299EA" w:rsidR="00791CE3" w:rsidRPr="00791CE3" w:rsidRDefault="00BA09BC" w:rsidP="00B274C0">
          <w:pPr>
            <w:pStyle w:val="TOC2"/>
            <w:rPr>
              <w:rFonts w:eastAsiaTheme="minorEastAsia"/>
              <w:lang w:eastAsia="en-NZ"/>
            </w:rPr>
          </w:pPr>
          <w:hyperlink w:anchor="_Toc9592023" w:history="1">
            <w:r w:rsidR="00791CE3" w:rsidRPr="00791CE3">
              <w:rPr>
                <w:rStyle w:val="Hyperlink"/>
                <w:rFonts w:eastAsia="Calibri"/>
              </w:rPr>
              <w:t>Improving wellbeing through prevention. PV02: Improving Cervical Screening coverage</w:t>
            </w:r>
            <w:r w:rsidR="00791CE3" w:rsidRPr="00791CE3">
              <w:rPr>
                <w:webHidden/>
              </w:rPr>
              <w:tab/>
            </w:r>
            <w:r w:rsidR="00FC1E32">
              <w:rPr>
                <w:webHidden/>
              </w:rPr>
              <w:t>8</w:t>
            </w:r>
            <w:r w:rsidR="00276A34">
              <w:rPr>
                <w:webHidden/>
              </w:rPr>
              <w:t>4</w:t>
            </w:r>
          </w:hyperlink>
        </w:p>
        <w:p w14:paraId="211BDB3A" w14:textId="77777777" w:rsidR="00791CE3" w:rsidRPr="00791CE3" w:rsidRDefault="00791CE3" w:rsidP="00B274C0">
          <w:pPr>
            <w:pStyle w:val="TOC2"/>
            <w:rPr>
              <w:rStyle w:val="Hyperlink"/>
            </w:rPr>
          </w:pPr>
        </w:p>
        <w:p w14:paraId="54BCBD1F" w14:textId="5A021E67" w:rsidR="00791CE3" w:rsidRPr="00791CE3" w:rsidRDefault="00BA09BC" w:rsidP="00B274C0">
          <w:pPr>
            <w:pStyle w:val="TOC2"/>
            <w:rPr>
              <w:rFonts w:eastAsiaTheme="minorEastAsia"/>
              <w:lang w:eastAsia="en-NZ"/>
            </w:rPr>
          </w:pPr>
          <w:hyperlink w:anchor="_Toc9592024" w:history="1">
            <w:r w:rsidR="00791CE3" w:rsidRPr="00791CE3">
              <w:rPr>
                <w:rStyle w:val="Hyperlink"/>
              </w:rPr>
              <w:t>Better population health outcomes supported by a strong and equitable public health and disability system SS01: Faster cancer treatment</w:t>
            </w:r>
            <w:r w:rsidR="00791CE3" w:rsidRPr="00791CE3">
              <w:rPr>
                <w:webHidden/>
              </w:rPr>
              <w:tab/>
            </w:r>
            <w:r w:rsidR="00FC1E32">
              <w:rPr>
                <w:webHidden/>
              </w:rPr>
              <w:t>8</w:t>
            </w:r>
            <w:r w:rsidR="00276A34">
              <w:rPr>
                <w:webHidden/>
              </w:rPr>
              <w:t>7</w:t>
            </w:r>
          </w:hyperlink>
        </w:p>
        <w:p w14:paraId="4FEAD3BD" w14:textId="446A6F81" w:rsidR="00791CE3" w:rsidRPr="00791CE3" w:rsidRDefault="00BA09BC" w:rsidP="00B274C0">
          <w:pPr>
            <w:pStyle w:val="TOC2"/>
            <w:rPr>
              <w:rFonts w:eastAsiaTheme="minorEastAsia"/>
              <w:lang w:eastAsia="en-NZ"/>
            </w:rPr>
          </w:pPr>
          <w:hyperlink w:anchor="_Toc9592027" w:history="1">
            <w:r w:rsidR="00791CE3" w:rsidRPr="00791CE3">
              <w:rPr>
                <w:rStyle w:val="Hyperlink"/>
              </w:rPr>
              <w:t>Better population health outcomes supported by a strong and equitable public health and disability system SS03: Ensuring delivery of Service Coverage</w:t>
            </w:r>
            <w:r w:rsidR="00791CE3" w:rsidRPr="00791CE3">
              <w:rPr>
                <w:webHidden/>
              </w:rPr>
              <w:tab/>
            </w:r>
            <w:r w:rsidR="00720118">
              <w:rPr>
                <w:webHidden/>
              </w:rPr>
              <w:t>9</w:t>
            </w:r>
            <w:r w:rsidR="00276A34">
              <w:rPr>
                <w:webHidden/>
              </w:rPr>
              <w:t>3</w:t>
            </w:r>
          </w:hyperlink>
        </w:p>
        <w:bookmarkStart w:id="44" w:name="_Hlk84409902"/>
        <w:p w14:paraId="7EC9D84B" w14:textId="575C1D24" w:rsidR="00791CE3" w:rsidRPr="00791CE3" w:rsidRDefault="00BA09BC">
          <w:pPr>
            <w:pStyle w:val="TOC1"/>
            <w:tabs>
              <w:tab w:val="right" w:leader="dot" w:pos="10196"/>
            </w:tabs>
            <w:rPr>
              <w:rFonts w:eastAsiaTheme="minorEastAsia"/>
              <w:b w:val="0"/>
              <w:bCs w:val="0"/>
              <w:i w:val="0"/>
              <w:iCs w:val="0"/>
              <w:kern w:val="0"/>
              <w:sz w:val="20"/>
              <w:szCs w:val="20"/>
              <w:lang w:eastAsia="en-NZ"/>
            </w:rPr>
          </w:pPr>
          <w:r>
            <w:fldChar w:fldCharType="begin"/>
          </w:r>
          <w:r>
            <w:instrText xml:space="preserve"> HYPERLINK \l "_Toc9592028" </w:instrText>
          </w:r>
          <w:r>
            <w:fldChar w:fldCharType="separate"/>
          </w:r>
          <w:r w:rsidR="00791CE3" w:rsidRPr="00791CE3">
            <w:rPr>
              <w:rStyle w:val="Hyperlink"/>
              <w:b w:val="0"/>
              <w:sz w:val="20"/>
              <w:szCs w:val="20"/>
            </w:rPr>
            <w:t>Better population health outcomes supported by a strong and equitable public health and disability system SS04: Implementing the Healthy Ageing Strategy</w:t>
          </w:r>
          <w:r w:rsidR="00791CE3" w:rsidRPr="00791CE3">
            <w:rPr>
              <w:b w:val="0"/>
              <w:webHidden/>
              <w:sz w:val="20"/>
              <w:szCs w:val="20"/>
            </w:rPr>
            <w:tab/>
          </w:r>
          <w:r w:rsidR="00720118">
            <w:rPr>
              <w:b w:val="0"/>
              <w:webHidden/>
              <w:sz w:val="20"/>
              <w:szCs w:val="20"/>
            </w:rPr>
            <w:t>9</w:t>
          </w:r>
          <w:r w:rsidR="00276A34">
            <w:rPr>
              <w:b w:val="0"/>
              <w:webHidden/>
              <w:sz w:val="20"/>
              <w:szCs w:val="20"/>
            </w:rPr>
            <w:t>5</w:t>
          </w:r>
          <w:r>
            <w:rPr>
              <w:b w:val="0"/>
              <w:sz w:val="20"/>
              <w:szCs w:val="20"/>
            </w:rPr>
            <w:fldChar w:fldCharType="end"/>
          </w:r>
        </w:p>
        <w:bookmarkEnd w:id="44"/>
        <w:p w14:paraId="22F429D2" w14:textId="423399A6" w:rsidR="00791CE3" w:rsidRPr="00791CE3" w:rsidRDefault="00BA09BC" w:rsidP="00B274C0">
          <w:pPr>
            <w:pStyle w:val="TOC2"/>
            <w:rPr>
              <w:rFonts w:eastAsiaTheme="minorEastAsia"/>
              <w:lang w:eastAsia="en-NZ"/>
            </w:rPr>
          </w:pPr>
          <w:r>
            <w:fldChar w:fldCharType="begin"/>
          </w:r>
          <w:r>
            <w:instrText xml:space="preserve"> HYPERLINK \l "_Toc9592031" </w:instrText>
          </w:r>
          <w:r>
            <w:fldChar w:fldCharType="separate"/>
          </w:r>
          <w:r w:rsidR="00791CE3" w:rsidRPr="00791CE3">
            <w:rPr>
              <w:rStyle w:val="Hyperlink"/>
            </w:rPr>
            <w:t>Better population health outcomes supported by a strong public health and disability system SS05: Ambulatory sensitive hospitalisations (ASH adult)</w:t>
          </w:r>
          <w:r w:rsidR="00791CE3" w:rsidRPr="00791CE3">
            <w:rPr>
              <w:webHidden/>
            </w:rPr>
            <w:tab/>
          </w:r>
          <w:r w:rsidR="00276A34">
            <w:rPr>
              <w:webHidden/>
            </w:rPr>
            <w:t>100</w:t>
          </w:r>
          <w:r>
            <w:fldChar w:fldCharType="end"/>
          </w:r>
        </w:p>
        <w:p w14:paraId="0BF52599" w14:textId="4C705DE1" w:rsidR="00791CE3" w:rsidRPr="00791CE3" w:rsidRDefault="00BA09BC">
          <w:pPr>
            <w:pStyle w:val="TOC1"/>
            <w:tabs>
              <w:tab w:val="right" w:leader="dot" w:pos="10196"/>
            </w:tabs>
            <w:rPr>
              <w:rFonts w:eastAsiaTheme="minorEastAsia"/>
              <w:b w:val="0"/>
              <w:bCs w:val="0"/>
              <w:i w:val="0"/>
              <w:iCs w:val="0"/>
              <w:kern w:val="0"/>
              <w:sz w:val="20"/>
              <w:szCs w:val="20"/>
              <w:lang w:eastAsia="en-NZ"/>
            </w:rPr>
          </w:pPr>
          <w:hyperlink w:anchor="_Toc9592032" w:history="1">
            <w:r w:rsidR="00791CE3" w:rsidRPr="00791CE3">
              <w:rPr>
                <w:rStyle w:val="Hyperlink"/>
                <w:b w:val="0"/>
                <w:sz w:val="20"/>
                <w:szCs w:val="20"/>
              </w:rPr>
              <w:t>Better population health outcomes supported by a strong public health and disability system SS06: Better help for smokers to quit in public hospitals)</w:t>
            </w:r>
            <w:r w:rsidR="00791CE3" w:rsidRPr="00791CE3">
              <w:rPr>
                <w:b w:val="0"/>
                <w:webHidden/>
                <w:sz w:val="20"/>
                <w:szCs w:val="20"/>
              </w:rPr>
              <w:tab/>
            </w:r>
          </w:hyperlink>
          <w:r w:rsidR="008F39AD">
            <w:rPr>
              <w:b w:val="0"/>
              <w:sz w:val="20"/>
              <w:szCs w:val="20"/>
            </w:rPr>
            <w:t>10</w:t>
          </w:r>
          <w:r w:rsidR="00276A34">
            <w:rPr>
              <w:b w:val="0"/>
              <w:sz w:val="20"/>
              <w:szCs w:val="20"/>
            </w:rPr>
            <w:t>3</w:t>
          </w:r>
        </w:p>
        <w:p w14:paraId="3373E772" w14:textId="071AA6E5" w:rsidR="00544BB2" w:rsidRDefault="00544BB2" w:rsidP="00B274C0">
          <w:pPr>
            <w:pStyle w:val="TOC2"/>
          </w:pPr>
          <w:r w:rsidRPr="00544BB2">
            <w:t>Better population health outcomes supported by a strong and equitable health and disability system SS0</w:t>
          </w:r>
          <w:r>
            <w:t>7</w:t>
          </w:r>
          <w:r w:rsidRPr="00544BB2">
            <w:t>:Planned care easures</w:t>
          </w:r>
          <w:r>
            <w:t>…………………………………………………………………………………………………………………..10</w:t>
          </w:r>
          <w:r w:rsidR="00276A34">
            <w:t>6</w:t>
          </w:r>
        </w:p>
        <w:p w14:paraId="3B260D8A" w14:textId="12A320E5" w:rsidR="00A06DA1" w:rsidRPr="00791CE3" w:rsidRDefault="00BA09BC" w:rsidP="00B274C0">
          <w:pPr>
            <w:pStyle w:val="TOC2"/>
            <w:rPr>
              <w:rFonts w:eastAsiaTheme="minorEastAsia"/>
              <w:lang w:eastAsia="en-NZ"/>
            </w:rPr>
          </w:pPr>
          <w:hyperlink w:anchor="_Toc9592035" w:history="1">
            <w:r w:rsidR="00A06DA1" w:rsidRPr="00791CE3">
              <w:rPr>
                <w:rStyle w:val="Hyperlink"/>
              </w:rPr>
              <w:t>Better population health outcomes supported by a strong and equitable health and disability system SS09: Improving the quality of identity data within the National Health Index (NHI) and data submitted to National Collections</w:t>
            </w:r>
            <w:r w:rsidR="00A06DA1" w:rsidRPr="00791CE3">
              <w:rPr>
                <w:webHidden/>
              </w:rPr>
              <w:tab/>
            </w:r>
            <w:r w:rsidR="00A06DA1" w:rsidRPr="00791CE3">
              <w:rPr>
                <w:webHidden/>
              </w:rPr>
              <w:fldChar w:fldCharType="begin"/>
            </w:r>
            <w:r w:rsidR="00A06DA1" w:rsidRPr="00791CE3">
              <w:rPr>
                <w:webHidden/>
              </w:rPr>
              <w:instrText xml:space="preserve"> PAGEREF _Toc9592035 \h </w:instrText>
            </w:r>
            <w:r w:rsidR="00A06DA1" w:rsidRPr="00791CE3">
              <w:rPr>
                <w:webHidden/>
              </w:rPr>
            </w:r>
            <w:r w:rsidR="00A06DA1" w:rsidRPr="00791CE3">
              <w:rPr>
                <w:webHidden/>
              </w:rPr>
              <w:fldChar w:fldCharType="separate"/>
            </w:r>
            <w:r w:rsidR="0021608C">
              <w:rPr>
                <w:webHidden/>
              </w:rPr>
              <w:t>1</w:t>
            </w:r>
            <w:r w:rsidR="009A242D">
              <w:rPr>
                <w:webHidden/>
              </w:rPr>
              <w:t>1</w:t>
            </w:r>
            <w:r w:rsidR="00AF4D95">
              <w:rPr>
                <w:webHidden/>
              </w:rPr>
              <w:t>3</w:t>
            </w:r>
            <w:r w:rsidR="00A06DA1" w:rsidRPr="00791CE3">
              <w:rPr>
                <w:webHidden/>
              </w:rPr>
              <w:fldChar w:fldCharType="end"/>
            </w:r>
          </w:hyperlink>
        </w:p>
        <w:p w14:paraId="1D7AC7CD" w14:textId="6A3B9B1D" w:rsidR="00791CE3" w:rsidRDefault="00BA09BC" w:rsidP="00B274C0">
          <w:pPr>
            <w:pStyle w:val="TOC2"/>
          </w:pPr>
          <w:hyperlink w:anchor="_Toc9592035" w:history="1">
            <w:r w:rsidR="00791CE3" w:rsidRPr="00791CE3">
              <w:rPr>
                <w:rStyle w:val="Hyperlink"/>
              </w:rPr>
              <w:t>Better population health outcomes supported by a strong and equitable health and disability system SS</w:t>
            </w:r>
            <w:r w:rsidR="00A06DA1">
              <w:rPr>
                <w:rStyle w:val="Hyperlink"/>
              </w:rPr>
              <w:t>10</w:t>
            </w:r>
            <w:r w:rsidR="00791CE3" w:rsidRPr="00791CE3">
              <w:rPr>
                <w:rStyle w:val="Hyperlink"/>
              </w:rPr>
              <w:t>:</w:t>
            </w:r>
            <w:r w:rsidR="00A06DA1">
              <w:rPr>
                <w:rStyle w:val="Hyperlink"/>
              </w:rPr>
              <w:t>shorter stays in Emergency Departments</w:t>
            </w:r>
            <w:r w:rsidR="00791CE3" w:rsidRPr="00791CE3">
              <w:rPr>
                <w:webHidden/>
              </w:rPr>
              <w:tab/>
            </w:r>
            <w:r w:rsidR="00544BB2">
              <w:rPr>
                <w:webHidden/>
              </w:rPr>
              <w:t>12</w:t>
            </w:r>
          </w:hyperlink>
          <w:r w:rsidR="00AF4D95">
            <w:t>1</w:t>
          </w:r>
        </w:p>
        <w:p w14:paraId="1B8038CB" w14:textId="101B6DDB" w:rsidR="001974F1" w:rsidRPr="001974F1" w:rsidRDefault="001974F1" w:rsidP="001974F1">
          <w:pPr>
            <w:rPr>
              <w:rFonts w:ascii="Arial" w:eastAsiaTheme="minorEastAsia" w:hAnsi="Arial" w:cs="Arial"/>
              <w:i/>
              <w:sz w:val="20"/>
              <w:szCs w:val="20"/>
            </w:rPr>
          </w:pPr>
          <w:r w:rsidRPr="001974F1">
            <w:rPr>
              <w:rFonts w:ascii="Arial" w:eastAsiaTheme="minorEastAsia" w:hAnsi="Arial" w:cs="Arial"/>
              <w:i/>
              <w:sz w:val="20"/>
              <w:szCs w:val="20"/>
            </w:rPr>
            <w:t>Better population health outcomes supported by a strong and equitable health and disability system SS11</w:t>
          </w:r>
          <w:r w:rsidRPr="001974F1">
            <w:rPr>
              <w:rFonts w:ascii="Arial" w:hAnsi="Arial" w:cs="Arial"/>
              <w:bCs/>
              <w:i/>
              <w:kern w:val="32"/>
              <w:sz w:val="20"/>
              <w:szCs w:val="20"/>
            </w:rPr>
            <w:t xml:space="preserve"> Faster cancer treatment (62 days)</w:t>
          </w:r>
          <w:r>
            <w:rPr>
              <w:rFonts w:ascii="Arial" w:hAnsi="Arial" w:cs="Arial"/>
              <w:bCs/>
              <w:i/>
              <w:kern w:val="32"/>
              <w:sz w:val="20"/>
              <w:szCs w:val="20"/>
            </w:rPr>
            <w:tab/>
          </w:r>
          <w:r>
            <w:rPr>
              <w:rFonts w:ascii="Arial" w:hAnsi="Arial" w:cs="Arial"/>
              <w:bCs/>
              <w:i/>
              <w:kern w:val="32"/>
              <w:sz w:val="20"/>
              <w:szCs w:val="20"/>
            </w:rPr>
            <w:tab/>
          </w:r>
          <w:r>
            <w:rPr>
              <w:rFonts w:ascii="Arial" w:hAnsi="Arial" w:cs="Arial"/>
              <w:bCs/>
              <w:i/>
              <w:kern w:val="32"/>
              <w:sz w:val="20"/>
              <w:szCs w:val="20"/>
            </w:rPr>
            <w:tab/>
          </w:r>
          <w:r>
            <w:rPr>
              <w:rFonts w:ascii="Arial" w:hAnsi="Arial" w:cs="Arial"/>
              <w:bCs/>
              <w:i/>
              <w:kern w:val="32"/>
              <w:sz w:val="20"/>
              <w:szCs w:val="20"/>
            </w:rPr>
            <w:tab/>
            <w:t xml:space="preserve">                          </w:t>
          </w:r>
          <w:r>
            <w:rPr>
              <w:rFonts w:ascii="Arial" w:hAnsi="Arial" w:cs="Arial"/>
              <w:bCs/>
              <w:i/>
              <w:kern w:val="32"/>
              <w:sz w:val="20"/>
              <w:szCs w:val="20"/>
            </w:rPr>
            <w:tab/>
          </w:r>
          <w:r>
            <w:rPr>
              <w:rFonts w:ascii="Arial" w:hAnsi="Arial" w:cs="Arial"/>
              <w:bCs/>
              <w:i/>
              <w:kern w:val="32"/>
              <w:sz w:val="20"/>
              <w:szCs w:val="20"/>
            </w:rPr>
            <w:tab/>
          </w:r>
          <w:r>
            <w:rPr>
              <w:rFonts w:ascii="Arial" w:hAnsi="Arial" w:cs="Arial"/>
              <w:bCs/>
              <w:i/>
              <w:kern w:val="32"/>
              <w:sz w:val="20"/>
              <w:szCs w:val="20"/>
            </w:rPr>
            <w:tab/>
          </w:r>
          <w:r>
            <w:rPr>
              <w:rFonts w:ascii="Arial" w:hAnsi="Arial" w:cs="Arial"/>
              <w:bCs/>
              <w:i/>
              <w:kern w:val="32"/>
              <w:sz w:val="20"/>
              <w:szCs w:val="20"/>
            </w:rPr>
            <w:tab/>
          </w:r>
          <w:r w:rsidR="00FB35EA">
            <w:rPr>
              <w:rFonts w:ascii="Arial" w:hAnsi="Arial" w:cs="Arial"/>
              <w:bCs/>
              <w:i/>
              <w:kern w:val="32"/>
              <w:sz w:val="20"/>
              <w:szCs w:val="20"/>
            </w:rPr>
            <w:t xml:space="preserve">       </w:t>
          </w:r>
          <w:r w:rsidR="0044372B">
            <w:rPr>
              <w:rFonts w:ascii="Arial" w:hAnsi="Arial" w:cs="Arial"/>
              <w:bCs/>
              <w:i/>
              <w:kern w:val="32"/>
              <w:sz w:val="20"/>
              <w:szCs w:val="20"/>
            </w:rPr>
            <w:t>12</w:t>
          </w:r>
          <w:r w:rsidR="00AF4D95">
            <w:rPr>
              <w:rFonts w:ascii="Arial" w:hAnsi="Arial" w:cs="Arial"/>
              <w:bCs/>
              <w:i/>
              <w:kern w:val="32"/>
              <w:sz w:val="20"/>
              <w:szCs w:val="20"/>
            </w:rPr>
            <w:t>4</w:t>
          </w:r>
        </w:p>
        <w:p w14:paraId="2FD11273" w14:textId="764B3A70" w:rsidR="00791CE3" w:rsidRPr="00791CE3" w:rsidRDefault="00BA09BC" w:rsidP="00B274C0">
          <w:pPr>
            <w:pStyle w:val="TOC2"/>
            <w:rPr>
              <w:rFonts w:eastAsiaTheme="minorEastAsia"/>
              <w:lang w:eastAsia="en-NZ"/>
            </w:rPr>
          </w:pPr>
          <w:hyperlink w:anchor="_Toc9592037" w:history="1">
            <w:r w:rsidR="00791CE3" w:rsidRPr="00791CE3">
              <w:rPr>
                <w:rStyle w:val="Hyperlink"/>
              </w:rPr>
              <w:t>Better population health outcomes supported by a strong and equitable health and disability system SS12: Engagement and obligations as a Treaty partner</w:t>
            </w:r>
            <w:r w:rsidR="00791CE3" w:rsidRPr="00791CE3">
              <w:rPr>
                <w:webHidden/>
              </w:rPr>
              <w:tab/>
            </w:r>
            <w:r w:rsidR="00791CE3" w:rsidRPr="00791CE3">
              <w:rPr>
                <w:webHidden/>
              </w:rPr>
              <w:fldChar w:fldCharType="begin"/>
            </w:r>
            <w:r w:rsidR="00791CE3" w:rsidRPr="00791CE3">
              <w:rPr>
                <w:webHidden/>
              </w:rPr>
              <w:instrText xml:space="preserve"> PAGEREF _Toc9592037 \h </w:instrText>
            </w:r>
            <w:r w:rsidR="00791CE3" w:rsidRPr="00791CE3">
              <w:rPr>
                <w:webHidden/>
              </w:rPr>
            </w:r>
            <w:r w:rsidR="00791CE3" w:rsidRPr="00791CE3">
              <w:rPr>
                <w:webHidden/>
              </w:rPr>
              <w:fldChar w:fldCharType="separate"/>
            </w:r>
            <w:r w:rsidR="0021608C">
              <w:rPr>
                <w:webHidden/>
              </w:rPr>
              <w:t>1</w:t>
            </w:r>
            <w:r w:rsidR="00783552">
              <w:rPr>
                <w:webHidden/>
              </w:rPr>
              <w:t>2</w:t>
            </w:r>
            <w:r w:rsidR="00AF4D95">
              <w:rPr>
                <w:webHidden/>
              </w:rPr>
              <w:t>6</w:t>
            </w:r>
            <w:r w:rsidR="00791CE3" w:rsidRPr="00791CE3">
              <w:rPr>
                <w:webHidden/>
              </w:rPr>
              <w:fldChar w:fldCharType="end"/>
            </w:r>
          </w:hyperlink>
        </w:p>
        <w:p w14:paraId="02BD9654" w14:textId="495642F3" w:rsidR="00791CE3" w:rsidRPr="00791CE3" w:rsidRDefault="00BA09BC" w:rsidP="00B274C0">
          <w:pPr>
            <w:pStyle w:val="TOC2"/>
            <w:rPr>
              <w:rFonts w:eastAsiaTheme="minorEastAsia"/>
              <w:lang w:eastAsia="en-NZ"/>
            </w:rPr>
          </w:pPr>
          <w:hyperlink w:anchor="_Toc9592038" w:history="1">
            <w:r w:rsidR="00791CE3" w:rsidRPr="00791CE3">
              <w:rPr>
                <w:rStyle w:val="Hyperlink"/>
                <w:bCs/>
                <w:iCs/>
              </w:rPr>
              <w:t>Better population health outcomes supported by a strong and equitable health and disability system SS13: Improved management for long term conditions (FA1 LTCs; FA2 Diabetes; FA3 CVDRA; FA4 acute heart health; FA5 Stroke)</w:t>
            </w:r>
            <w:r w:rsidR="00791CE3" w:rsidRPr="00791CE3">
              <w:rPr>
                <w:webHidden/>
              </w:rPr>
              <w:tab/>
            </w:r>
            <w:r w:rsidR="00A84ED3">
              <w:rPr>
                <w:webHidden/>
              </w:rPr>
              <w:t>1</w:t>
            </w:r>
            <w:r w:rsidR="00AF4D95">
              <w:rPr>
                <w:webHidden/>
              </w:rPr>
              <w:t>30</w:t>
            </w:r>
          </w:hyperlink>
        </w:p>
        <w:p w14:paraId="1C33A33B" w14:textId="4BB9CB22" w:rsidR="00A06DA1" w:rsidRPr="00791CE3" w:rsidRDefault="00BA09BC" w:rsidP="00B274C0">
          <w:pPr>
            <w:pStyle w:val="TOC2"/>
            <w:rPr>
              <w:rFonts w:eastAsiaTheme="minorEastAsia"/>
              <w:lang w:eastAsia="en-NZ"/>
            </w:rPr>
          </w:pPr>
          <w:hyperlink w:anchor="_Toc9592035" w:history="1">
            <w:r w:rsidR="00A06DA1" w:rsidRPr="00791CE3">
              <w:rPr>
                <w:rStyle w:val="Hyperlink"/>
              </w:rPr>
              <w:t>Better population health outcomes supported by a strong and equitable health and disability system SS</w:t>
            </w:r>
            <w:r w:rsidR="00A06DA1">
              <w:rPr>
                <w:rStyle w:val="Hyperlink"/>
              </w:rPr>
              <w:t>15</w:t>
            </w:r>
            <w:r w:rsidR="00A06DA1" w:rsidRPr="00791CE3">
              <w:rPr>
                <w:rStyle w:val="Hyperlink"/>
              </w:rPr>
              <w:t>:</w:t>
            </w:r>
            <w:r w:rsidR="00A06DA1" w:rsidRPr="00A06DA1">
              <w:t xml:space="preserve"> </w:t>
            </w:r>
            <w:r w:rsidR="00A06DA1" w:rsidRPr="00A06DA1">
              <w:rPr>
                <w:rStyle w:val="Hyperlink"/>
              </w:rPr>
              <w:t>Improving waiting times for Colonoscopy</w:t>
            </w:r>
            <w:r w:rsidR="00A06DA1" w:rsidRPr="00791CE3">
              <w:rPr>
                <w:webHidden/>
              </w:rPr>
              <w:tab/>
            </w:r>
            <w:r w:rsidR="00A06DA1" w:rsidRPr="00791CE3">
              <w:rPr>
                <w:webHidden/>
              </w:rPr>
              <w:fldChar w:fldCharType="begin"/>
            </w:r>
            <w:r w:rsidR="00A06DA1" w:rsidRPr="00791CE3">
              <w:rPr>
                <w:webHidden/>
              </w:rPr>
              <w:instrText xml:space="preserve"> PAGEREF _Toc9592035 \h </w:instrText>
            </w:r>
            <w:r w:rsidR="00A06DA1" w:rsidRPr="00791CE3">
              <w:rPr>
                <w:webHidden/>
              </w:rPr>
            </w:r>
            <w:r w:rsidR="00A06DA1" w:rsidRPr="00791CE3">
              <w:rPr>
                <w:webHidden/>
              </w:rPr>
              <w:fldChar w:fldCharType="separate"/>
            </w:r>
            <w:r w:rsidR="00554E42">
              <w:rPr>
                <w:webHidden/>
              </w:rPr>
              <w:t>1</w:t>
            </w:r>
            <w:r w:rsidR="00A84ED3">
              <w:rPr>
                <w:webHidden/>
              </w:rPr>
              <w:t>3</w:t>
            </w:r>
            <w:r w:rsidR="00AF4D95">
              <w:rPr>
                <w:webHidden/>
              </w:rPr>
              <w:t>7</w:t>
            </w:r>
            <w:r w:rsidR="00A06DA1" w:rsidRPr="00791CE3">
              <w:rPr>
                <w:webHidden/>
              </w:rPr>
              <w:fldChar w:fldCharType="end"/>
            </w:r>
          </w:hyperlink>
        </w:p>
        <w:p w14:paraId="3E5BD2C9" w14:textId="2FA911F3" w:rsidR="00A06DA1" w:rsidRDefault="00A06DA1" w:rsidP="00B274C0">
          <w:pPr>
            <w:pStyle w:val="TOC2"/>
            <w:rPr>
              <w:rStyle w:val="Hyperlink"/>
            </w:rPr>
          </w:pPr>
          <w:r w:rsidRPr="00A84ED3">
            <w:t>Better population health outcomes supported by a strong and equitable health and disability system SS17:</w:t>
          </w:r>
          <w:r w:rsidRPr="00A06DA1">
            <w:t xml:space="preserve"> </w:t>
          </w:r>
          <w:r w:rsidRPr="00A84ED3">
            <w:t>Delivery of Whānau Ora</w:t>
          </w:r>
          <w:r w:rsidRPr="00791CE3">
            <w:rPr>
              <w:webHidden/>
            </w:rPr>
            <w:tab/>
          </w:r>
          <w:r w:rsidRPr="00791CE3">
            <w:rPr>
              <w:webHidden/>
            </w:rPr>
            <w:fldChar w:fldCharType="begin"/>
          </w:r>
          <w:r w:rsidRPr="00791CE3">
            <w:rPr>
              <w:webHidden/>
            </w:rPr>
            <w:instrText xml:space="preserve"> PAGEREF _Toc9592035 \h </w:instrText>
          </w:r>
          <w:r w:rsidRPr="00791CE3">
            <w:rPr>
              <w:webHidden/>
            </w:rPr>
          </w:r>
          <w:r w:rsidRPr="00791CE3">
            <w:rPr>
              <w:webHidden/>
            </w:rPr>
            <w:fldChar w:fldCharType="separate"/>
          </w:r>
          <w:r w:rsidR="0021608C">
            <w:rPr>
              <w:webHidden/>
            </w:rPr>
            <w:t>1</w:t>
          </w:r>
          <w:r w:rsidR="00081864">
            <w:rPr>
              <w:webHidden/>
            </w:rPr>
            <w:t>4</w:t>
          </w:r>
          <w:r w:rsidR="00AF4D95">
            <w:rPr>
              <w:webHidden/>
            </w:rPr>
            <w:t>2</w:t>
          </w:r>
          <w:r w:rsidRPr="00791CE3">
            <w:rPr>
              <w:webHidden/>
            </w:rPr>
            <w:fldChar w:fldCharType="end"/>
          </w:r>
        </w:p>
        <w:p w14:paraId="3E553B7D" w14:textId="4897278E" w:rsidR="00791CE3" w:rsidRDefault="00BA09BC" w:rsidP="00B274C0">
          <w:pPr>
            <w:pStyle w:val="TOC2"/>
            <w:rPr>
              <w:rStyle w:val="Hyperlink"/>
            </w:rPr>
          </w:pPr>
          <w:hyperlink w:anchor="_Toc9592040" w:history="1">
            <w:r w:rsidR="00791CE3" w:rsidRPr="00B274C0">
              <w:rPr>
                <w:rStyle w:val="Hyperlink"/>
              </w:rPr>
              <w:t>Better population health outcomes supported by primary health care PH01: Improving system integration and SLMs</w:t>
            </w:r>
          </w:hyperlink>
        </w:p>
        <w:p w14:paraId="43D0E610" w14:textId="33EAF0A8" w:rsidR="00B274C0" w:rsidRPr="00B274C0" w:rsidRDefault="00B274C0" w:rsidP="00B274C0">
          <w:pPr>
            <w:rPr>
              <w:rFonts w:ascii="Arial" w:eastAsiaTheme="minorEastAsia" w:hAnsi="Arial" w:cs="Arial"/>
              <w:i/>
              <w:sz w:val="20"/>
              <w:szCs w:val="20"/>
            </w:rPr>
          </w:pPr>
          <w:r w:rsidRPr="00B274C0">
            <w:rPr>
              <w:rFonts w:ascii="Arial" w:eastAsiaTheme="minorEastAsia" w:hAnsi="Arial" w:cs="Arial"/>
              <w:i/>
              <w:sz w:val="20"/>
              <w:szCs w:val="20"/>
            </w:rPr>
            <w:t>…………………………………………………………………</w:t>
          </w:r>
          <w:r>
            <w:rPr>
              <w:rFonts w:ascii="Arial" w:eastAsiaTheme="minorEastAsia" w:hAnsi="Arial" w:cs="Arial"/>
              <w:i/>
              <w:sz w:val="20"/>
              <w:szCs w:val="20"/>
            </w:rPr>
            <w:t xml:space="preserve">                          </w:t>
          </w:r>
          <w:r w:rsidRPr="00B274C0">
            <w:rPr>
              <w:rFonts w:ascii="Arial" w:eastAsiaTheme="minorEastAsia" w:hAnsi="Arial" w:cs="Arial"/>
              <w:i/>
              <w:sz w:val="20"/>
              <w:szCs w:val="20"/>
            </w:rPr>
            <w:t>………………………………………….</w:t>
          </w:r>
          <w:r w:rsidR="006D48CF">
            <w:rPr>
              <w:rFonts w:ascii="Arial" w:eastAsiaTheme="minorEastAsia" w:hAnsi="Arial" w:cs="Arial"/>
              <w:i/>
              <w:sz w:val="20"/>
              <w:szCs w:val="20"/>
            </w:rPr>
            <w:t>1</w:t>
          </w:r>
          <w:r w:rsidR="00784D0A">
            <w:rPr>
              <w:rFonts w:ascii="Arial" w:eastAsiaTheme="minorEastAsia" w:hAnsi="Arial" w:cs="Arial"/>
              <w:i/>
              <w:sz w:val="20"/>
              <w:szCs w:val="20"/>
            </w:rPr>
            <w:t>4</w:t>
          </w:r>
          <w:r w:rsidR="00AF4D95">
            <w:rPr>
              <w:rFonts w:ascii="Arial" w:eastAsiaTheme="minorEastAsia" w:hAnsi="Arial" w:cs="Arial"/>
              <w:i/>
              <w:sz w:val="20"/>
              <w:szCs w:val="20"/>
            </w:rPr>
            <w:t>4</w:t>
          </w:r>
        </w:p>
        <w:p w14:paraId="66D8078B" w14:textId="60332117" w:rsidR="00791CE3" w:rsidRPr="009F3BDC" w:rsidRDefault="00BA09BC">
          <w:pPr>
            <w:pStyle w:val="TOC1"/>
            <w:tabs>
              <w:tab w:val="right" w:leader="dot" w:pos="10196"/>
            </w:tabs>
            <w:rPr>
              <w:rFonts w:eastAsiaTheme="minorEastAsia"/>
              <w:b w:val="0"/>
              <w:bCs w:val="0"/>
              <w:i w:val="0"/>
              <w:iCs w:val="0"/>
              <w:kern w:val="0"/>
              <w:sz w:val="20"/>
              <w:szCs w:val="20"/>
              <w:lang w:eastAsia="en-NZ"/>
            </w:rPr>
          </w:pPr>
          <w:hyperlink w:anchor="_Toc9592041" w:history="1">
            <w:r w:rsidR="00791CE3" w:rsidRPr="009F3BDC">
              <w:rPr>
                <w:rStyle w:val="Hyperlink"/>
                <w:b w:val="0"/>
                <w:sz w:val="20"/>
                <w:szCs w:val="20"/>
              </w:rPr>
              <w:t>Better population health outcomes supported by primary health care PH02: Improving the quality of ethnicity data collection in PHO and NHI registers</w:t>
            </w:r>
            <w:r w:rsidR="00791CE3" w:rsidRPr="009F3BDC">
              <w:rPr>
                <w:b w:val="0"/>
                <w:webHidden/>
                <w:sz w:val="20"/>
                <w:szCs w:val="20"/>
              </w:rPr>
              <w:tab/>
            </w:r>
            <w:r w:rsidR="00791CE3" w:rsidRPr="009F3BDC">
              <w:rPr>
                <w:b w:val="0"/>
                <w:webHidden/>
                <w:sz w:val="20"/>
                <w:szCs w:val="20"/>
              </w:rPr>
              <w:fldChar w:fldCharType="begin"/>
            </w:r>
            <w:r w:rsidR="00791CE3" w:rsidRPr="009F3BDC">
              <w:rPr>
                <w:b w:val="0"/>
                <w:webHidden/>
                <w:sz w:val="20"/>
                <w:szCs w:val="20"/>
              </w:rPr>
              <w:instrText xml:space="preserve"> PAGEREF _Toc9592041 \h </w:instrText>
            </w:r>
            <w:r w:rsidR="00791CE3" w:rsidRPr="009F3BDC">
              <w:rPr>
                <w:b w:val="0"/>
                <w:webHidden/>
                <w:sz w:val="20"/>
                <w:szCs w:val="20"/>
              </w:rPr>
            </w:r>
            <w:r w:rsidR="00791CE3" w:rsidRPr="009F3BDC">
              <w:rPr>
                <w:b w:val="0"/>
                <w:webHidden/>
                <w:sz w:val="20"/>
                <w:szCs w:val="20"/>
              </w:rPr>
              <w:fldChar w:fldCharType="separate"/>
            </w:r>
            <w:r w:rsidR="0021608C">
              <w:rPr>
                <w:b w:val="0"/>
                <w:webHidden/>
                <w:sz w:val="20"/>
                <w:szCs w:val="20"/>
              </w:rPr>
              <w:t>1</w:t>
            </w:r>
            <w:r w:rsidR="00784D0A">
              <w:rPr>
                <w:b w:val="0"/>
                <w:webHidden/>
                <w:sz w:val="20"/>
                <w:szCs w:val="20"/>
              </w:rPr>
              <w:t>4</w:t>
            </w:r>
            <w:r w:rsidR="00AF4D95">
              <w:rPr>
                <w:b w:val="0"/>
                <w:webHidden/>
                <w:sz w:val="20"/>
                <w:szCs w:val="20"/>
              </w:rPr>
              <w:t>6</w:t>
            </w:r>
            <w:r w:rsidR="00791CE3" w:rsidRPr="009F3BDC">
              <w:rPr>
                <w:b w:val="0"/>
                <w:webHidden/>
                <w:sz w:val="20"/>
                <w:szCs w:val="20"/>
              </w:rPr>
              <w:fldChar w:fldCharType="end"/>
            </w:r>
          </w:hyperlink>
        </w:p>
        <w:p w14:paraId="08A6573C" w14:textId="46EB79BC" w:rsidR="00791CE3" w:rsidRPr="009F3BDC" w:rsidRDefault="00BA09BC">
          <w:pPr>
            <w:pStyle w:val="TOC1"/>
            <w:tabs>
              <w:tab w:val="right" w:leader="dot" w:pos="10196"/>
            </w:tabs>
            <w:rPr>
              <w:rFonts w:eastAsiaTheme="minorEastAsia"/>
              <w:b w:val="0"/>
              <w:bCs w:val="0"/>
              <w:i w:val="0"/>
              <w:iCs w:val="0"/>
              <w:kern w:val="0"/>
              <w:sz w:val="20"/>
              <w:szCs w:val="20"/>
              <w:lang w:eastAsia="en-NZ"/>
            </w:rPr>
          </w:pPr>
          <w:hyperlink w:anchor="_Toc9592042" w:history="1">
            <w:r w:rsidR="00791CE3" w:rsidRPr="009F3BDC">
              <w:rPr>
                <w:rStyle w:val="Hyperlink"/>
                <w:b w:val="0"/>
                <w:sz w:val="20"/>
                <w:szCs w:val="20"/>
              </w:rPr>
              <w:t>Better population health outcomes supported by primary health care PH03: Improving Maori enrolment in PHOs to meet the national average of 90%</w:t>
            </w:r>
            <w:r w:rsidR="00791CE3" w:rsidRPr="009F3BDC">
              <w:rPr>
                <w:b w:val="0"/>
                <w:webHidden/>
                <w:sz w:val="20"/>
                <w:szCs w:val="20"/>
              </w:rPr>
              <w:tab/>
            </w:r>
            <w:r w:rsidR="00791CE3" w:rsidRPr="009F3BDC">
              <w:rPr>
                <w:b w:val="0"/>
                <w:webHidden/>
                <w:sz w:val="20"/>
                <w:szCs w:val="20"/>
              </w:rPr>
              <w:fldChar w:fldCharType="begin"/>
            </w:r>
            <w:r w:rsidR="00791CE3" w:rsidRPr="009F3BDC">
              <w:rPr>
                <w:b w:val="0"/>
                <w:webHidden/>
                <w:sz w:val="20"/>
                <w:szCs w:val="20"/>
              </w:rPr>
              <w:instrText xml:space="preserve"> PAGEREF _Toc9592042 \h </w:instrText>
            </w:r>
            <w:r w:rsidR="00791CE3" w:rsidRPr="009F3BDC">
              <w:rPr>
                <w:b w:val="0"/>
                <w:webHidden/>
                <w:sz w:val="20"/>
                <w:szCs w:val="20"/>
              </w:rPr>
            </w:r>
            <w:r w:rsidR="00791CE3" w:rsidRPr="009F3BDC">
              <w:rPr>
                <w:b w:val="0"/>
                <w:webHidden/>
                <w:sz w:val="20"/>
                <w:szCs w:val="20"/>
              </w:rPr>
              <w:fldChar w:fldCharType="separate"/>
            </w:r>
            <w:r w:rsidR="0021608C">
              <w:rPr>
                <w:b w:val="0"/>
                <w:webHidden/>
                <w:sz w:val="20"/>
                <w:szCs w:val="20"/>
              </w:rPr>
              <w:t>1</w:t>
            </w:r>
            <w:r w:rsidR="004C5586">
              <w:rPr>
                <w:b w:val="0"/>
                <w:webHidden/>
                <w:sz w:val="20"/>
                <w:szCs w:val="20"/>
              </w:rPr>
              <w:t>5</w:t>
            </w:r>
            <w:r w:rsidR="00AF4D95">
              <w:rPr>
                <w:b w:val="0"/>
                <w:webHidden/>
                <w:sz w:val="20"/>
                <w:szCs w:val="20"/>
              </w:rPr>
              <w:t>6</w:t>
            </w:r>
            <w:r w:rsidR="00791CE3" w:rsidRPr="009F3BDC">
              <w:rPr>
                <w:b w:val="0"/>
                <w:webHidden/>
                <w:sz w:val="20"/>
                <w:szCs w:val="20"/>
              </w:rPr>
              <w:fldChar w:fldCharType="end"/>
            </w:r>
          </w:hyperlink>
        </w:p>
        <w:p w14:paraId="2D9519C6" w14:textId="5D7BE63D" w:rsidR="00791CE3" w:rsidRPr="009F3BDC" w:rsidRDefault="00BA09BC">
          <w:pPr>
            <w:pStyle w:val="TOC1"/>
            <w:tabs>
              <w:tab w:val="right" w:leader="dot" w:pos="10196"/>
            </w:tabs>
            <w:rPr>
              <w:rFonts w:eastAsiaTheme="minorEastAsia"/>
              <w:b w:val="0"/>
              <w:bCs w:val="0"/>
              <w:i w:val="0"/>
              <w:iCs w:val="0"/>
              <w:kern w:val="0"/>
              <w:sz w:val="20"/>
              <w:szCs w:val="20"/>
              <w:lang w:eastAsia="en-NZ"/>
            </w:rPr>
          </w:pPr>
          <w:hyperlink w:anchor="_Toc9592044" w:history="1">
            <w:r w:rsidR="00791CE3" w:rsidRPr="009F3BDC">
              <w:rPr>
                <w:rStyle w:val="Hyperlink"/>
                <w:b w:val="0"/>
                <w:sz w:val="20"/>
                <w:szCs w:val="20"/>
              </w:rPr>
              <w:t>Better population health outcomes supported by primary health care PH04: Better help for smokers to quit (primary care)</w:t>
            </w:r>
            <w:r w:rsidR="00791CE3" w:rsidRPr="009F3BDC">
              <w:rPr>
                <w:b w:val="0"/>
                <w:webHidden/>
                <w:sz w:val="20"/>
                <w:szCs w:val="20"/>
              </w:rPr>
              <w:tab/>
            </w:r>
            <w:r w:rsidR="00791CE3" w:rsidRPr="009F3BDC">
              <w:rPr>
                <w:b w:val="0"/>
                <w:webHidden/>
                <w:sz w:val="20"/>
                <w:szCs w:val="20"/>
              </w:rPr>
              <w:fldChar w:fldCharType="begin"/>
            </w:r>
            <w:r w:rsidR="00791CE3" w:rsidRPr="009F3BDC">
              <w:rPr>
                <w:b w:val="0"/>
                <w:webHidden/>
                <w:sz w:val="20"/>
                <w:szCs w:val="20"/>
              </w:rPr>
              <w:instrText xml:space="preserve"> PAGEREF _Toc9592044 \h </w:instrText>
            </w:r>
            <w:r w:rsidR="00791CE3" w:rsidRPr="009F3BDC">
              <w:rPr>
                <w:b w:val="0"/>
                <w:webHidden/>
                <w:sz w:val="20"/>
                <w:szCs w:val="20"/>
              </w:rPr>
            </w:r>
            <w:r w:rsidR="00791CE3" w:rsidRPr="009F3BDC">
              <w:rPr>
                <w:b w:val="0"/>
                <w:webHidden/>
                <w:sz w:val="20"/>
                <w:szCs w:val="20"/>
              </w:rPr>
              <w:fldChar w:fldCharType="separate"/>
            </w:r>
            <w:r w:rsidR="0021608C">
              <w:rPr>
                <w:b w:val="0"/>
                <w:webHidden/>
                <w:sz w:val="20"/>
                <w:szCs w:val="20"/>
              </w:rPr>
              <w:t>15</w:t>
            </w:r>
            <w:r w:rsidR="00AF4D95">
              <w:rPr>
                <w:b w:val="0"/>
                <w:webHidden/>
                <w:sz w:val="20"/>
                <w:szCs w:val="20"/>
              </w:rPr>
              <w:t>1</w:t>
            </w:r>
            <w:r w:rsidR="00791CE3" w:rsidRPr="009F3BDC">
              <w:rPr>
                <w:b w:val="0"/>
                <w:webHidden/>
                <w:sz w:val="20"/>
                <w:szCs w:val="20"/>
              </w:rPr>
              <w:fldChar w:fldCharType="end"/>
            </w:r>
          </w:hyperlink>
        </w:p>
        <w:p w14:paraId="707CA792" w14:textId="32BEE08A" w:rsidR="004C5586" w:rsidRPr="00791CE3" w:rsidRDefault="00BA09BC" w:rsidP="00B274C0">
          <w:pPr>
            <w:pStyle w:val="TOC2"/>
            <w:rPr>
              <w:rFonts w:eastAsiaTheme="minorEastAsia"/>
              <w:lang w:eastAsia="en-NZ"/>
            </w:rPr>
          </w:pPr>
          <w:hyperlink w:anchor="_Toc9592046" w:history="1">
            <w:r w:rsidR="004C5586" w:rsidRPr="00791CE3">
              <w:rPr>
                <w:rStyle w:val="Hyperlink"/>
              </w:rPr>
              <w:t xml:space="preserve">Appendix </w:t>
            </w:r>
            <w:r w:rsidR="004C5586">
              <w:rPr>
                <w:rStyle w:val="Hyperlink"/>
              </w:rPr>
              <w:t>one:</w:t>
            </w:r>
            <w:r w:rsidR="004C5586" w:rsidRPr="00791CE3">
              <w:rPr>
                <w:rStyle w:val="Hyperlink"/>
              </w:rPr>
              <w:t xml:space="preserve"> </w:t>
            </w:r>
            <w:r w:rsidR="00B274C0" w:rsidRPr="00B274C0">
              <w:rPr>
                <w:rStyle w:val="Hyperlink"/>
              </w:rPr>
              <w:t>Status update Reports – actions included in annual plans</w:t>
            </w:r>
            <w:r w:rsidR="004C5586" w:rsidRPr="00791CE3">
              <w:rPr>
                <w:rStyle w:val="Hyperlink"/>
              </w:rPr>
              <w:t xml:space="preserve"> </w:t>
            </w:r>
            <w:r w:rsidR="004C5586" w:rsidRPr="00791CE3">
              <w:rPr>
                <w:webHidden/>
              </w:rPr>
              <w:tab/>
            </w:r>
            <w:r w:rsidR="004C5586" w:rsidRPr="00791CE3">
              <w:rPr>
                <w:webHidden/>
              </w:rPr>
              <w:fldChar w:fldCharType="begin"/>
            </w:r>
            <w:r w:rsidR="004C5586" w:rsidRPr="00791CE3">
              <w:rPr>
                <w:webHidden/>
              </w:rPr>
              <w:instrText xml:space="preserve"> PAGEREF _Toc9592046 \h </w:instrText>
            </w:r>
            <w:r w:rsidR="004C5586" w:rsidRPr="00791CE3">
              <w:rPr>
                <w:webHidden/>
              </w:rPr>
            </w:r>
            <w:r w:rsidR="004C5586" w:rsidRPr="00791CE3">
              <w:rPr>
                <w:webHidden/>
              </w:rPr>
              <w:fldChar w:fldCharType="separate"/>
            </w:r>
            <w:r w:rsidR="004C5586">
              <w:rPr>
                <w:webHidden/>
              </w:rPr>
              <w:t>1</w:t>
            </w:r>
            <w:r w:rsidR="00237A34">
              <w:rPr>
                <w:webHidden/>
              </w:rPr>
              <w:t>5</w:t>
            </w:r>
            <w:r w:rsidR="00AF4D95">
              <w:rPr>
                <w:webHidden/>
              </w:rPr>
              <w:t>4</w:t>
            </w:r>
            <w:r w:rsidR="004C5586" w:rsidRPr="00791CE3">
              <w:rPr>
                <w:webHidden/>
              </w:rPr>
              <w:fldChar w:fldCharType="end"/>
            </w:r>
          </w:hyperlink>
        </w:p>
        <w:p w14:paraId="4B8A6423" w14:textId="50C82E3C" w:rsidR="00791CE3" w:rsidRPr="00791CE3" w:rsidRDefault="00BA09BC" w:rsidP="00B274C0">
          <w:pPr>
            <w:pStyle w:val="TOC2"/>
            <w:rPr>
              <w:rFonts w:eastAsiaTheme="minorEastAsia"/>
              <w:lang w:eastAsia="en-NZ"/>
            </w:rPr>
          </w:pPr>
          <w:hyperlink w:anchor="_Toc9592046" w:history="1">
            <w:r w:rsidR="00791CE3" w:rsidRPr="00791CE3">
              <w:rPr>
                <w:rStyle w:val="Hyperlink"/>
              </w:rPr>
              <w:t>Appendix two: NZ organised acute stroke service specifications, stroke rehabilitation service specifications and Organised Inpatient Stroke Rehabilitation Service Minimum Expectations (refer SS13)</w:t>
            </w:r>
            <w:r w:rsidR="00791CE3" w:rsidRPr="00791CE3">
              <w:rPr>
                <w:webHidden/>
              </w:rPr>
              <w:tab/>
            </w:r>
            <w:r w:rsidR="00791CE3" w:rsidRPr="00791CE3">
              <w:rPr>
                <w:webHidden/>
              </w:rPr>
              <w:fldChar w:fldCharType="begin"/>
            </w:r>
            <w:r w:rsidR="00791CE3" w:rsidRPr="00791CE3">
              <w:rPr>
                <w:webHidden/>
              </w:rPr>
              <w:instrText xml:space="preserve"> PAGEREF _Toc9592046 \h </w:instrText>
            </w:r>
            <w:r w:rsidR="00791CE3" w:rsidRPr="00791CE3">
              <w:rPr>
                <w:webHidden/>
              </w:rPr>
            </w:r>
            <w:r w:rsidR="00791CE3" w:rsidRPr="00791CE3">
              <w:rPr>
                <w:webHidden/>
              </w:rPr>
              <w:fldChar w:fldCharType="separate"/>
            </w:r>
            <w:r w:rsidR="0021608C">
              <w:rPr>
                <w:webHidden/>
              </w:rPr>
              <w:t>1</w:t>
            </w:r>
            <w:r w:rsidR="00237A34">
              <w:rPr>
                <w:webHidden/>
              </w:rPr>
              <w:t>5</w:t>
            </w:r>
            <w:r w:rsidR="00AF4D95">
              <w:rPr>
                <w:webHidden/>
              </w:rPr>
              <w:t>5</w:t>
            </w:r>
            <w:r w:rsidR="00791CE3" w:rsidRPr="00791CE3">
              <w:rPr>
                <w:webHidden/>
              </w:rPr>
              <w:fldChar w:fldCharType="end"/>
            </w:r>
          </w:hyperlink>
        </w:p>
        <w:p w14:paraId="1730794B" w14:textId="4EBF0109" w:rsidR="00791CE3" w:rsidRPr="00791CE3" w:rsidRDefault="00BA09BC" w:rsidP="00B274C0">
          <w:pPr>
            <w:pStyle w:val="TOC2"/>
            <w:rPr>
              <w:rFonts w:eastAsiaTheme="minorEastAsia"/>
              <w:lang w:eastAsia="en-NZ"/>
            </w:rPr>
          </w:pPr>
          <w:hyperlink w:anchor="_Toc9592047" w:history="1">
            <w:r w:rsidR="00791CE3" w:rsidRPr="00791CE3">
              <w:rPr>
                <w:webHidden/>
              </w:rPr>
              <w:tab/>
            </w:r>
          </w:hyperlink>
        </w:p>
        <w:p w14:paraId="61140286" w14:textId="3A387A41" w:rsidR="0029402F" w:rsidRDefault="0029402F">
          <w:r>
            <w:rPr>
              <w:b/>
              <w:bCs/>
              <w:noProof/>
            </w:rPr>
            <w:fldChar w:fldCharType="end"/>
          </w:r>
        </w:p>
      </w:sdtContent>
    </w:sdt>
    <w:p w14:paraId="460D15B6" w14:textId="77777777" w:rsidR="00AD44FA" w:rsidRDefault="009F3BDC">
      <w:pPr>
        <w:rPr>
          <w:rFonts w:ascii="Arial" w:hAnsi="Arial" w:cs="Arial"/>
          <w:b/>
          <w:i/>
          <w:sz w:val="32"/>
          <w:szCs w:val="32"/>
        </w:rPr>
      </w:pPr>
      <w:r>
        <w:rPr>
          <w:rFonts w:ascii="Arial" w:hAnsi="Arial" w:cs="Arial"/>
          <w:b/>
          <w:i/>
          <w:sz w:val="32"/>
          <w:szCs w:val="32"/>
        </w:rPr>
        <w:br w:type="page"/>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8"/>
        <w:gridCol w:w="279"/>
      </w:tblGrid>
      <w:tr w:rsidR="00AD44FA" w14:paraId="156763DC" w14:textId="77777777" w:rsidTr="00AD44FA">
        <w:tc>
          <w:tcPr>
            <w:tcW w:w="9785" w:type="dxa"/>
            <w:gridSpan w:val="2"/>
            <w:tcBorders>
              <w:top w:val="single" w:sz="4" w:space="0" w:color="auto"/>
              <w:left w:val="single" w:sz="4" w:space="0" w:color="auto"/>
              <w:bottom w:val="single" w:sz="4" w:space="0" w:color="auto"/>
              <w:right w:val="nil"/>
            </w:tcBorders>
            <w:shd w:val="clear" w:color="auto" w:fill="C0C0C0"/>
            <w:hideMark/>
          </w:tcPr>
          <w:p w14:paraId="7F06BBC8" w14:textId="45DE42EB" w:rsidR="00AD44FA" w:rsidRDefault="00AD44FA">
            <w:pPr>
              <w:tabs>
                <w:tab w:val="num" w:pos="285"/>
              </w:tabs>
              <w:spacing w:before="60"/>
              <w:rPr>
                <w:rFonts w:asciiTheme="minorHAnsi" w:hAnsiTheme="minorHAnsi" w:cs="Arial"/>
                <w:b/>
                <w:sz w:val="22"/>
                <w:szCs w:val="22"/>
              </w:rPr>
            </w:pPr>
            <w:r>
              <w:rPr>
                <w:rFonts w:asciiTheme="minorHAnsi" w:hAnsiTheme="minorHAnsi" w:cs="Arial"/>
                <w:b/>
                <w:sz w:val="22"/>
                <w:szCs w:val="22"/>
              </w:rPr>
              <w:lastRenderedPageBreak/>
              <w:t>Change key - changes to DHB performance measures compared to 20</w:t>
            </w:r>
            <w:r w:rsidR="0079511C">
              <w:rPr>
                <w:rFonts w:asciiTheme="minorHAnsi" w:hAnsiTheme="minorHAnsi" w:cs="Arial"/>
                <w:b/>
                <w:sz w:val="22"/>
                <w:szCs w:val="22"/>
              </w:rPr>
              <w:t>20</w:t>
            </w:r>
            <w:r>
              <w:rPr>
                <w:rFonts w:asciiTheme="minorHAnsi" w:hAnsiTheme="minorHAnsi" w:cs="Arial"/>
                <w:b/>
                <w:sz w:val="22"/>
                <w:szCs w:val="22"/>
              </w:rPr>
              <w:t>/2</w:t>
            </w:r>
            <w:r w:rsidR="0079511C">
              <w:rPr>
                <w:rFonts w:asciiTheme="minorHAnsi" w:hAnsiTheme="minorHAnsi" w:cs="Arial"/>
                <w:b/>
                <w:sz w:val="22"/>
                <w:szCs w:val="22"/>
              </w:rPr>
              <w:t>1</w:t>
            </w:r>
          </w:p>
        </w:tc>
        <w:tc>
          <w:tcPr>
            <w:tcW w:w="279" w:type="dxa"/>
            <w:tcBorders>
              <w:top w:val="single" w:sz="4" w:space="0" w:color="auto"/>
              <w:left w:val="nil"/>
              <w:bottom w:val="single" w:sz="4" w:space="0" w:color="auto"/>
              <w:right w:val="single" w:sz="4" w:space="0" w:color="auto"/>
            </w:tcBorders>
            <w:shd w:val="clear" w:color="auto" w:fill="C0C0C0"/>
          </w:tcPr>
          <w:p w14:paraId="405EF199" w14:textId="77777777" w:rsidR="00AD44FA" w:rsidRDefault="00AD44FA">
            <w:pPr>
              <w:tabs>
                <w:tab w:val="num" w:pos="285"/>
              </w:tabs>
              <w:spacing w:before="60"/>
              <w:rPr>
                <w:rFonts w:asciiTheme="minorHAnsi" w:hAnsiTheme="minorHAnsi" w:cs="Arial"/>
                <w:b/>
                <w:sz w:val="22"/>
                <w:szCs w:val="22"/>
              </w:rPr>
            </w:pPr>
          </w:p>
        </w:tc>
      </w:tr>
      <w:tr w:rsidR="00AD44FA" w14:paraId="6594FCE1" w14:textId="77777777" w:rsidTr="00AD44FA">
        <w:tc>
          <w:tcPr>
            <w:tcW w:w="2977" w:type="dxa"/>
            <w:tcBorders>
              <w:top w:val="single" w:sz="4" w:space="0" w:color="auto"/>
              <w:left w:val="single" w:sz="4" w:space="0" w:color="auto"/>
              <w:bottom w:val="single" w:sz="4" w:space="0" w:color="auto"/>
              <w:right w:val="single" w:sz="4" w:space="0" w:color="auto"/>
            </w:tcBorders>
          </w:tcPr>
          <w:p w14:paraId="3A6EAA44" w14:textId="77777777" w:rsidR="00AD44FA" w:rsidRDefault="00AD44FA">
            <w:pPr>
              <w:tabs>
                <w:tab w:val="num" w:pos="285"/>
              </w:tabs>
              <w:spacing w:before="60"/>
              <w:rPr>
                <w:rFonts w:asciiTheme="minorHAnsi" w:hAnsiTheme="minorHAnsi" w:cs="Arial"/>
                <w:b/>
                <w:sz w:val="22"/>
                <w:szCs w:val="22"/>
              </w:rPr>
            </w:pPr>
          </w:p>
        </w:tc>
        <w:tc>
          <w:tcPr>
            <w:tcW w:w="6808" w:type="dxa"/>
            <w:tcBorders>
              <w:top w:val="single" w:sz="4" w:space="0" w:color="auto"/>
              <w:left w:val="single" w:sz="4" w:space="0" w:color="auto"/>
              <w:bottom w:val="single" w:sz="4" w:space="0" w:color="auto"/>
              <w:right w:val="nil"/>
            </w:tcBorders>
            <w:hideMark/>
          </w:tcPr>
          <w:p w14:paraId="4286C726" w14:textId="77777777" w:rsidR="00AD44FA" w:rsidRDefault="00AD44FA">
            <w:pPr>
              <w:tabs>
                <w:tab w:val="num" w:pos="285"/>
              </w:tabs>
              <w:spacing w:before="60"/>
              <w:rPr>
                <w:rFonts w:asciiTheme="minorHAnsi" w:hAnsiTheme="minorHAnsi" w:cs="Arial"/>
                <w:sz w:val="22"/>
                <w:szCs w:val="22"/>
                <w:highlight w:val="yellow"/>
              </w:rPr>
            </w:pPr>
            <w:r>
              <w:rPr>
                <w:rFonts w:asciiTheme="minorHAnsi" w:hAnsiTheme="minorHAnsi" w:cs="Arial"/>
                <w:sz w:val="22"/>
                <w:szCs w:val="22"/>
              </w:rPr>
              <w:t xml:space="preserve">No significant change </w:t>
            </w:r>
          </w:p>
        </w:tc>
        <w:tc>
          <w:tcPr>
            <w:tcW w:w="279" w:type="dxa"/>
            <w:tcBorders>
              <w:top w:val="single" w:sz="4" w:space="0" w:color="auto"/>
              <w:left w:val="nil"/>
              <w:bottom w:val="single" w:sz="4" w:space="0" w:color="auto"/>
              <w:right w:val="single" w:sz="4" w:space="0" w:color="auto"/>
            </w:tcBorders>
          </w:tcPr>
          <w:p w14:paraId="4792CB7B" w14:textId="77777777" w:rsidR="00AD44FA" w:rsidRDefault="00AD44FA">
            <w:pPr>
              <w:tabs>
                <w:tab w:val="num" w:pos="285"/>
              </w:tabs>
              <w:spacing w:before="60"/>
              <w:rPr>
                <w:rFonts w:asciiTheme="minorHAnsi" w:hAnsiTheme="minorHAnsi" w:cs="Arial"/>
                <w:sz w:val="22"/>
                <w:szCs w:val="22"/>
              </w:rPr>
            </w:pPr>
          </w:p>
        </w:tc>
      </w:tr>
      <w:tr w:rsidR="00AD44FA" w14:paraId="1B8EE6B4" w14:textId="77777777" w:rsidTr="00AD44FA">
        <w:tc>
          <w:tcPr>
            <w:tcW w:w="2977" w:type="dxa"/>
            <w:tcBorders>
              <w:top w:val="single" w:sz="4" w:space="0" w:color="auto"/>
              <w:left w:val="single" w:sz="4" w:space="0" w:color="auto"/>
              <w:bottom w:val="single" w:sz="4" w:space="0" w:color="auto"/>
              <w:right w:val="single" w:sz="4" w:space="0" w:color="auto"/>
            </w:tcBorders>
            <w:shd w:val="clear" w:color="auto" w:fill="FFFF00"/>
          </w:tcPr>
          <w:p w14:paraId="1FB643B8" w14:textId="77777777" w:rsidR="00AD44FA" w:rsidRDefault="00AD44FA">
            <w:pPr>
              <w:tabs>
                <w:tab w:val="num" w:pos="285"/>
              </w:tabs>
              <w:spacing w:before="60"/>
              <w:rPr>
                <w:rFonts w:asciiTheme="minorHAnsi" w:hAnsiTheme="minorHAnsi" w:cs="Arial"/>
                <w:b/>
                <w:sz w:val="22"/>
                <w:szCs w:val="22"/>
                <w:highlight w:val="yellow"/>
              </w:rPr>
            </w:pPr>
          </w:p>
        </w:tc>
        <w:tc>
          <w:tcPr>
            <w:tcW w:w="6808" w:type="dxa"/>
            <w:tcBorders>
              <w:top w:val="single" w:sz="4" w:space="0" w:color="auto"/>
              <w:left w:val="single" w:sz="4" w:space="0" w:color="auto"/>
              <w:bottom w:val="single" w:sz="4" w:space="0" w:color="auto"/>
              <w:right w:val="nil"/>
            </w:tcBorders>
            <w:hideMark/>
          </w:tcPr>
          <w:p w14:paraId="2E50A69D" w14:textId="77777777" w:rsidR="00AD44FA" w:rsidRDefault="00AD44FA">
            <w:pPr>
              <w:tabs>
                <w:tab w:val="num" w:pos="285"/>
              </w:tabs>
              <w:spacing w:before="60"/>
              <w:rPr>
                <w:rFonts w:asciiTheme="minorHAnsi" w:hAnsiTheme="minorHAnsi" w:cs="Arial"/>
                <w:sz w:val="22"/>
                <w:szCs w:val="22"/>
                <w:highlight w:val="yellow"/>
              </w:rPr>
            </w:pPr>
            <w:r>
              <w:rPr>
                <w:rFonts w:asciiTheme="minorHAnsi" w:hAnsiTheme="minorHAnsi" w:cs="Arial"/>
                <w:sz w:val="22"/>
                <w:szCs w:val="22"/>
              </w:rPr>
              <w:t xml:space="preserve">Changes made to deliverables/expectations </w:t>
            </w:r>
          </w:p>
        </w:tc>
        <w:tc>
          <w:tcPr>
            <w:tcW w:w="279" w:type="dxa"/>
            <w:tcBorders>
              <w:top w:val="single" w:sz="4" w:space="0" w:color="auto"/>
              <w:left w:val="nil"/>
              <w:bottom w:val="single" w:sz="4" w:space="0" w:color="auto"/>
              <w:right w:val="single" w:sz="4" w:space="0" w:color="auto"/>
            </w:tcBorders>
          </w:tcPr>
          <w:p w14:paraId="6714946C" w14:textId="77777777" w:rsidR="00AD44FA" w:rsidRDefault="00AD44FA">
            <w:pPr>
              <w:tabs>
                <w:tab w:val="num" w:pos="285"/>
              </w:tabs>
              <w:spacing w:before="60"/>
              <w:rPr>
                <w:rFonts w:asciiTheme="minorHAnsi" w:hAnsiTheme="minorHAnsi" w:cs="Arial"/>
                <w:sz w:val="22"/>
                <w:szCs w:val="22"/>
              </w:rPr>
            </w:pPr>
          </w:p>
        </w:tc>
      </w:tr>
      <w:tr w:rsidR="00AD44FA" w14:paraId="632C1867" w14:textId="77777777" w:rsidTr="00AD44FA">
        <w:tc>
          <w:tcPr>
            <w:tcW w:w="297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4353758" w14:textId="77777777" w:rsidR="00AD44FA" w:rsidRDefault="00AD44FA">
            <w:pPr>
              <w:tabs>
                <w:tab w:val="num" w:pos="285"/>
              </w:tabs>
              <w:spacing w:before="60"/>
              <w:rPr>
                <w:rFonts w:asciiTheme="minorHAnsi" w:hAnsiTheme="minorHAnsi" w:cs="Arial"/>
                <w:b/>
                <w:sz w:val="22"/>
                <w:szCs w:val="22"/>
              </w:rPr>
            </w:pPr>
          </w:p>
        </w:tc>
        <w:tc>
          <w:tcPr>
            <w:tcW w:w="6808" w:type="dxa"/>
            <w:tcBorders>
              <w:top w:val="single" w:sz="4" w:space="0" w:color="auto"/>
              <w:left w:val="single" w:sz="4" w:space="0" w:color="auto"/>
              <w:bottom w:val="single" w:sz="4" w:space="0" w:color="auto"/>
              <w:right w:val="nil"/>
            </w:tcBorders>
            <w:hideMark/>
          </w:tcPr>
          <w:p w14:paraId="18990E67" w14:textId="149CB77E" w:rsidR="00AD44FA" w:rsidRDefault="00AD44FA">
            <w:pPr>
              <w:tabs>
                <w:tab w:val="num" w:pos="285"/>
              </w:tabs>
              <w:spacing w:before="60"/>
              <w:rPr>
                <w:rFonts w:asciiTheme="minorHAnsi" w:hAnsiTheme="minorHAnsi" w:cs="Arial"/>
                <w:sz w:val="22"/>
                <w:szCs w:val="22"/>
              </w:rPr>
            </w:pPr>
            <w:r>
              <w:rPr>
                <w:rFonts w:asciiTheme="minorHAnsi" w:hAnsiTheme="minorHAnsi" w:cs="Arial"/>
                <w:sz w:val="22"/>
                <w:szCs w:val="22"/>
              </w:rPr>
              <w:t>measure signalled for removal in 2</w:t>
            </w:r>
            <w:r w:rsidR="005F3269">
              <w:rPr>
                <w:rFonts w:asciiTheme="minorHAnsi" w:hAnsiTheme="minorHAnsi" w:cs="Arial"/>
                <w:sz w:val="22"/>
                <w:szCs w:val="22"/>
              </w:rPr>
              <w:t>1</w:t>
            </w:r>
            <w:r>
              <w:rPr>
                <w:rFonts w:asciiTheme="minorHAnsi" w:hAnsiTheme="minorHAnsi" w:cs="Arial"/>
                <w:sz w:val="22"/>
                <w:szCs w:val="22"/>
              </w:rPr>
              <w:t>/2</w:t>
            </w:r>
            <w:r w:rsidR="005F3269">
              <w:rPr>
                <w:rFonts w:asciiTheme="minorHAnsi" w:hAnsiTheme="minorHAnsi" w:cs="Arial"/>
                <w:sz w:val="22"/>
                <w:szCs w:val="22"/>
              </w:rPr>
              <w:t>2</w:t>
            </w:r>
          </w:p>
        </w:tc>
        <w:tc>
          <w:tcPr>
            <w:tcW w:w="279" w:type="dxa"/>
            <w:tcBorders>
              <w:top w:val="single" w:sz="4" w:space="0" w:color="auto"/>
              <w:left w:val="nil"/>
              <w:bottom w:val="single" w:sz="4" w:space="0" w:color="auto"/>
              <w:right w:val="single" w:sz="4" w:space="0" w:color="auto"/>
            </w:tcBorders>
          </w:tcPr>
          <w:p w14:paraId="42CA3A51" w14:textId="77777777" w:rsidR="00AD44FA" w:rsidRDefault="00AD44FA">
            <w:pPr>
              <w:tabs>
                <w:tab w:val="num" w:pos="285"/>
              </w:tabs>
              <w:spacing w:before="60"/>
              <w:rPr>
                <w:rFonts w:asciiTheme="minorHAnsi" w:hAnsiTheme="minorHAnsi" w:cs="Arial"/>
                <w:sz w:val="22"/>
                <w:szCs w:val="22"/>
              </w:rPr>
            </w:pPr>
          </w:p>
        </w:tc>
      </w:tr>
      <w:tr w:rsidR="00AD44FA" w14:paraId="6497C461" w14:textId="77777777" w:rsidTr="00AD44FA">
        <w:tc>
          <w:tcPr>
            <w:tcW w:w="29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B12599" w14:textId="77777777" w:rsidR="00AD44FA" w:rsidRDefault="00AD44FA">
            <w:pPr>
              <w:tabs>
                <w:tab w:val="num" w:pos="285"/>
              </w:tabs>
              <w:spacing w:before="60"/>
              <w:rPr>
                <w:rFonts w:asciiTheme="minorHAnsi" w:hAnsiTheme="minorHAnsi" w:cs="Arial"/>
                <w:b/>
                <w:sz w:val="22"/>
                <w:szCs w:val="22"/>
              </w:rPr>
            </w:pPr>
          </w:p>
        </w:tc>
        <w:tc>
          <w:tcPr>
            <w:tcW w:w="6808" w:type="dxa"/>
            <w:tcBorders>
              <w:top w:val="single" w:sz="4" w:space="0" w:color="auto"/>
              <w:left w:val="single" w:sz="4" w:space="0" w:color="auto"/>
              <w:bottom w:val="single" w:sz="4" w:space="0" w:color="auto"/>
              <w:right w:val="nil"/>
            </w:tcBorders>
            <w:hideMark/>
          </w:tcPr>
          <w:p w14:paraId="7FFC33EC" w14:textId="64C1DDE1" w:rsidR="00AD44FA" w:rsidRDefault="00AD44FA">
            <w:pPr>
              <w:tabs>
                <w:tab w:val="num" w:pos="285"/>
              </w:tabs>
              <w:spacing w:before="60"/>
              <w:rPr>
                <w:rFonts w:asciiTheme="minorHAnsi" w:hAnsiTheme="minorHAnsi" w:cs="Arial"/>
                <w:sz w:val="22"/>
                <w:szCs w:val="22"/>
              </w:rPr>
            </w:pPr>
            <w:r>
              <w:rPr>
                <w:rFonts w:asciiTheme="minorHAnsi" w:hAnsiTheme="minorHAnsi" w:cs="Arial"/>
                <w:sz w:val="22"/>
                <w:szCs w:val="22"/>
              </w:rPr>
              <w:t>New measure included for 2</w:t>
            </w:r>
            <w:r w:rsidR="005F3269">
              <w:rPr>
                <w:rFonts w:asciiTheme="minorHAnsi" w:hAnsiTheme="minorHAnsi" w:cs="Arial"/>
                <w:sz w:val="22"/>
                <w:szCs w:val="22"/>
              </w:rPr>
              <w:t>1</w:t>
            </w:r>
            <w:r>
              <w:rPr>
                <w:rFonts w:asciiTheme="minorHAnsi" w:hAnsiTheme="minorHAnsi" w:cs="Arial"/>
                <w:sz w:val="22"/>
                <w:szCs w:val="22"/>
              </w:rPr>
              <w:t>/2</w:t>
            </w:r>
            <w:r w:rsidR="005F3269">
              <w:rPr>
                <w:rFonts w:asciiTheme="minorHAnsi" w:hAnsiTheme="minorHAnsi" w:cs="Arial"/>
                <w:sz w:val="22"/>
                <w:szCs w:val="22"/>
              </w:rPr>
              <w:t>2</w:t>
            </w:r>
          </w:p>
        </w:tc>
        <w:tc>
          <w:tcPr>
            <w:tcW w:w="279" w:type="dxa"/>
            <w:tcBorders>
              <w:top w:val="single" w:sz="4" w:space="0" w:color="auto"/>
              <w:left w:val="nil"/>
              <w:bottom w:val="single" w:sz="4" w:space="0" w:color="auto"/>
              <w:right w:val="single" w:sz="4" w:space="0" w:color="auto"/>
            </w:tcBorders>
          </w:tcPr>
          <w:p w14:paraId="0960E0AB" w14:textId="77777777" w:rsidR="00AD44FA" w:rsidRDefault="00AD44FA">
            <w:pPr>
              <w:tabs>
                <w:tab w:val="num" w:pos="285"/>
              </w:tabs>
              <w:spacing w:before="60"/>
              <w:rPr>
                <w:rFonts w:asciiTheme="minorHAnsi" w:hAnsiTheme="minorHAnsi" w:cs="Arial"/>
                <w:sz w:val="22"/>
                <w:szCs w:val="22"/>
              </w:rPr>
            </w:pPr>
          </w:p>
        </w:tc>
      </w:tr>
    </w:tbl>
    <w:p w14:paraId="2D55A949" w14:textId="77777777" w:rsidR="00AD44FA" w:rsidRDefault="00AD44FA" w:rsidP="00AD44FA">
      <w:pPr>
        <w:spacing w:before="240"/>
        <w:rPr>
          <w:rFonts w:asciiTheme="minorHAnsi" w:hAnsiTheme="minorHAnsi" w:cs="Arial"/>
          <w:b/>
          <w:bCs/>
          <w:sz w:val="22"/>
          <w:szCs w:val="22"/>
        </w:rPr>
      </w:pPr>
      <w:r>
        <w:rPr>
          <w:rFonts w:asciiTheme="minorHAnsi" w:hAnsiTheme="minorHAnsi" w:cs="Arial"/>
          <w:b/>
          <w:bCs/>
          <w:sz w:val="22"/>
          <w:szCs w:val="22"/>
        </w:rPr>
        <w:t xml:space="preserve">Overview – DHB performance measures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5521"/>
        <w:gridCol w:w="2412"/>
      </w:tblGrid>
      <w:tr w:rsidR="00841226" w14:paraId="2DCCF044" w14:textId="7DDBB733" w:rsidTr="004622DC">
        <w:trPr>
          <w:jc w:val="center"/>
        </w:trPr>
        <w:tc>
          <w:tcPr>
            <w:tcW w:w="7648" w:type="dxa"/>
            <w:gridSpan w:val="2"/>
            <w:shd w:val="clear" w:color="auto" w:fill="FFFFFF" w:themeFill="background1"/>
            <w:hideMark/>
          </w:tcPr>
          <w:p w14:paraId="4A4C2C83" w14:textId="77777777" w:rsidR="00841226" w:rsidRDefault="00841226" w:rsidP="00965F9A">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Measure </w:t>
            </w:r>
          </w:p>
        </w:tc>
        <w:tc>
          <w:tcPr>
            <w:tcW w:w="2412" w:type="dxa"/>
            <w:shd w:val="clear" w:color="auto" w:fill="auto"/>
          </w:tcPr>
          <w:p w14:paraId="71102D37" w14:textId="0216E90D" w:rsidR="00841226" w:rsidRPr="00AD237C" w:rsidRDefault="0079511C" w:rsidP="00AD237C">
            <w:pPr>
              <w:rPr>
                <w:rFonts w:asciiTheme="minorHAnsi" w:hAnsiTheme="minorHAnsi" w:cs="Arial"/>
                <w:sz w:val="22"/>
                <w:szCs w:val="22"/>
              </w:rPr>
            </w:pPr>
            <w:r w:rsidRPr="00AD237C">
              <w:rPr>
                <w:rFonts w:asciiTheme="minorHAnsi" w:hAnsiTheme="minorHAnsi" w:cs="Arial"/>
                <w:sz w:val="22"/>
                <w:szCs w:val="22"/>
              </w:rPr>
              <w:t>changes to DHB performance measures compared to 2020/21</w:t>
            </w:r>
          </w:p>
        </w:tc>
      </w:tr>
      <w:tr w:rsidR="00BF79CC" w14:paraId="7975E25B" w14:textId="4F5AA083" w:rsidTr="004622DC">
        <w:trPr>
          <w:jc w:val="center"/>
        </w:trPr>
        <w:tc>
          <w:tcPr>
            <w:tcW w:w="2127" w:type="dxa"/>
            <w:shd w:val="clear" w:color="auto" w:fill="FFFFFF" w:themeFill="background1"/>
            <w:hideMark/>
          </w:tcPr>
          <w:p w14:paraId="2A2A20B2" w14:textId="18BBCD9E" w:rsidR="00BF79CC" w:rsidRDefault="00497E13"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CW01</w:t>
            </w:r>
          </w:p>
        </w:tc>
        <w:tc>
          <w:tcPr>
            <w:tcW w:w="5521" w:type="dxa"/>
            <w:shd w:val="clear" w:color="auto" w:fill="auto"/>
            <w:hideMark/>
          </w:tcPr>
          <w:p w14:paraId="2D3504C9" w14:textId="77777777" w:rsidR="00BF79CC" w:rsidRDefault="00BF79CC"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Children caries free at 5 years of age</w:t>
            </w:r>
          </w:p>
        </w:tc>
        <w:tc>
          <w:tcPr>
            <w:tcW w:w="2412" w:type="dxa"/>
            <w:shd w:val="clear" w:color="auto" w:fill="auto"/>
          </w:tcPr>
          <w:p w14:paraId="62CC9BE0" w14:textId="78A6A795" w:rsidR="00BF79CC" w:rsidRPr="00AD237C" w:rsidRDefault="00BF79CC" w:rsidP="00AD237C">
            <w:pPr>
              <w:rPr>
                <w:rFonts w:asciiTheme="minorHAnsi" w:hAnsiTheme="minorHAnsi" w:cs="Arial"/>
                <w:sz w:val="22"/>
                <w:szCs w:val="22"/>
              </w:rPr>
            </w:pPr>
          </w:p>
        </w:tc>
      </w:tr>
      <w:tr w:rsidR="00BF79CC" w14:paraId="1464A946" w14:textId="750E15F6" w:rsidTr="0024146B">
        <w:trPr>
          <w:jc w:val="center"/>
        </w:trPr>
        <w:tc>
          <w:tcPr>
            <w:tcW w:w="2127" w:type="dxa"/>
            <w:shd w:val="clear" w:color="auto" w:fill="FFFFFF" w:themeFill="background1"/>
            <w:hideMark/>
          </w:tcPr>
          <w:p w14:paraId="3A79C8E0" w14:textId="6EF6B945" w:rsidR="00BF79CC" w:rsidRDefault="00321C5A"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CW02</w:t>
            </w:r>
          </w:p>
        </w:tc>
        <w:tc>
          <w:tcPr>
            <w:tcW w:w="5521" w:type="dxa"/>
            <w:shd w:val="clear" w:color="auto" w:fill="FFFFFF" w:themeFill="background1"/>
            <w:hideMark/>
          </w:tcPr>
          <w:p w14:paraId="6D1C111D" w14:textId="77777777" w:rsidR="00BF79CC" w:rsidRDefault="00BF79CC"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Oral health:  Mean DMFT score at school year 8</w:t>
            </w:r>
          </w:p>
        </w:tc>
        <w:tc>
          <w:tcPr>
            <w:tcW w:w="2412" w:type="dxa"/>
            <w:tcBorders>
              <w:bottom w:val="single" w:sz="4" w:space="0" w:color="auto"/>
            </w:tcBorders>
            <w:shd w:val="clear" w:color="auto" w:fill="FFFFFF" w:themeFill="background1"/>
          </w:tcPr>
          <w:p w14:paraId="386D81B8" w14:textId="77777777" w:rsidR="00BF79CC" w:rsidRPr="00AD237C" w:rsidRDefault="00BF79CC" w:rsidP="00AD237C">
            <w:pPr>
              <w:rPr>
                <w:rFonts w:asciiTheme="minorHAnsi" w:hAnsiTheme="minorHAnsi" w:cs="Arial"/>
                <w:sz w:val="22"/>
                <w:szCs w:val="22"/>
              </w:rPr>
            </w:pPr>
          </w:p>
        </w:tc>
      </w:tr>
      <w:tr w:rsidR="00BF79CC" w14:paraId="09C022E7" w14:textId="1E5456DC" w:rsidTr="0024146B">
        <w:trPr>
          <w:jc w:val="center"/>
        </w:trPr>
        <w:tc>
          <w:tcPr>
            <w:tcW w:w="2127" w:type="dxa"/>
            <w:shd w:val="clear" w:color="auto" w:fill="FFFFFF" w:themeFill="background1"/>
            <w:hideMark/>
          </w:tcPr>
          <w:p w14:paraId="74BE8DBC" w14:textId="7137A217" w:rsidR="00BF79CC" w:rsidRDefault="00321C5A"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CW03</w:t>
            </w:r>
          </w:p>
        </w:tc>
        <w:tc>
          <w:tcPr>
            <w:tcW w:w="5521" w:type="dxa"/>
            <w:shd w:val="clear" w:color="auto" w:fill="FFFFFF" w:themeFill="background1"/>
            <w:hideMark/>
          </w:tcPr>
          <w:p w14:paraId="4D50650D" w14:textId="77777777" w:rsidR="00BF79CC" w:rsidRDefault="00BF79CC" w:rsidP="00BF79CC">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Improving the number of children enrolled and accessing the Community Oral health service </w:t>
            </w:r>
          </w:p>
        </w:tc>
        <w:tc>
          <w:tcPr>
            <w:tcW w:w="2412" w:type="dxa"/>
            <w:tcBorders>
              <w:bottom w:val="single" w:sz="4" w:space="0" w:color="auto"/>
            </w:tcBorders>
            <w:shd w:val="clear" w:color="auto" w:fill="FFFFFF" w:themeFill="background1"/>
          </w:tcPr>
          <w:p w14:paraId="24950799" w14:textId="201C9910" w:rsidR="00BF79CC" w:rsidRPr="00441E2F" w:rsidRDefault="00441E2F" w:rsidP="00AD237C">
            <w:pPr>
              <w:rPr>
                <w:rFonts w:asciiTheme="minorHAnsi" w:hAnsiTheme="minorHAnsi" w:cs="Arial"/>
                <w:sz w:val="22"/>
                <w:szCs w:val="22"/>
                <w:shd w:val="clear" w:color="auto" w:fill="FFFF00"/>
              </w:rPr>
            </w:pPr>
            <w:r w:rsidRPr="00441E2F">
              <w:rPr>
                <w:rFonts w:asciiTheme="minorHAnsi" w:hAnsiTheme="minorHAnsi" w:cs="Arial"/>
                <w:sz w:val="22"/>
                <w:szCs w:val="22"/>
                <w:shd w:val="clear" w:color="auto" w:fill="FFFF00"/>
              </w:rPr>
              <w:t xml:space="preserve">Update to frequency of reporting </w:t>
            </w:r>
          </w:p>
        </w:tc>
      </w:tr>
      <w:tr w:rsidR="00BF79CC" w14:paraId="2C8EB3BA" w14:textId="3BA1BC4F" w:rsidTr="0024146B">
        <w:trPr>
          <w:jc w:val="center"/>
        </w:trPr>
        <w:tc>
          <w:tcPr>
            <w:tcW w:w="2127" w:type="dxa"/>
            <w:shd w:val="clear" w:color="auto" w:fill="FFFFFF" w:themeFill="background1"/>
            <w:hideMark/>
          </w:tcPr>
          <w:p w14:paraId="2B07BFC7" w14:textId="62EB923E" w:rsidR="00BF79CC" w:rsidRDefault="00321C5A"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CW04</w:t>
            </w:r>
          </w:p>
        </w:tc>
        <w:tc>
          <w:tcPr>
            <w:tcW w:w="5521" w:type="dxa"/>
            <w:shd w:val="clear" w:color="auto" w:fill="FFFFFF" w:themeFill="background1"/>
            <w:hideMark/>
          </w:tcPr>
          <w:p w14:paraId="6354F02F"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Utilisation of DHB funded dental services by adolescents from School Year 9 up to and including 17 years</w:t>
            </w:r>
          </w:p>
        </w:tc>
        <w:tc>
          <w:tcPr>
            <w:tcW w:w="2412" w:type="dxa"/>
            <w:shd w:val="clear" w:color="auto" w:fill="FFFFFF" w:themeFill="background1"/>
          </w:tcPr>
          <w:p w14:paraId="46C1EEAD" w14:textId="1ADB8F8B" w:rsidR="00BF79CC" w:rsidRPr="00AD237C" w:rsidRDefault="00441E2F" w:rsidP="00AD237C">
            <w:pPr>
              <w:rPr>
                <w:rFonts w:asciiTheme="minorHAnsi" w:hAnsiTheme="minorHAnsi" w:cs="Arial"/>
                <w:sz w:val="22"/>
                <w:szCs w:val="22"/>
                <w:shd w:val="clear" w:color="auto" w:fill="FFFF00"/>
              </w:rPr>
            </w:pPr>
            <w:r>
              <w:rPr>
                <w:rFonts w:asciiTheme="minorHAnsi" w:hAnsiTheme="minorHAnsi" w:cs="Arial"/>
                <w:sz w:val="22"/>
                <w:szCs w:val="22"/>
                <w:shd w:val="clear" w:color="auto" w:fill="FFFF00"/>
              </w:rPr>
              <w:t xml:space="preserve">Updates to clarify reporting by ethnicity is required </w:t>
            </w:r>
          </w:p>
        </w:tc>
      </w:tr>
      <w:tr w:rsidR="00BF79CC" w14:paraId="5FA2E284" w14:textId="00DB04CA" w:rsidTr="0024146B">
        <w:trPr>
          <w:jc w:val="center"/>
        </w:trPr>
        <w:tc>
          <w:tcPr>
            <w:tcW w:w="2127" w:type="dxa"/>
            <w:shd w:val="clear" w:color="auto" w:fill="FFFFFF" w:themeFill="background1"/>
            <w:hideMark/>
          </w:tcPr>
          <w:p w14:paraId="7991B385"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CW05</w:t>
            </w:r>
          </w:p>
        </w:tc>
        <w:tc>
          <w:tcPr>
            <w:tcW w:w="5521" w:type="dxa"/>
            <w:shd w:val="clear" w:color="auto" w:fill="FFFFFF" w:themeFill="background1"/>
            <w:hideMark/>
          </w:tcPr>
          <w:p w14:paraId="65A0E40F"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Now includes Immunisation coverage at 8 months and 5 years of age, immunisation coverage for human papilloma virus (HPV) and influenza immunisation at age 65 years and over</w:t>
            </w:r>
          </w:p>
        </w:tc>
        <w:tc>
          <w:tcPr>
            <w:tcW w:w="2412" w:type="dxa"/>
            <w:shd w:val="clear" w:color="auto" w:fill="FFFFFF" w:themeFill="background1"/>
          </w:tcPr>
          <w:p w14:paraId="6D535E18" w14:textId="73665532" w:rsidR="00BF79CC" w:rsidRPr="00AD237C" w:rsidRDefault="00BF79CC" w:rsidP="00AD237C">
            <w:pPr>
              <w:rPr>
                <w:rFonts w:asciiTheme="minorHAnsi" w:hAnsiTheme="minorHAnsi" w:cs="Arial"/>
                <w:sz w:val="22"/>
                <w:szCs w:val="22"/>
              </w:rPr>
            </w:pPr>
          </w:p>
        </w:tc>
      </w:tr>
      <w:tr w:rsidR="00BF79CC" w14:paraId="7509B40E" w14:textId="27320FE9" w:rsidTr="0024146B">
        <w:trPr>
          <w:jc w:val="center"/>
        </w:trPr>
        <w:tc>
          <w:tcPr>
            <w:tcW w:w="2127" w:type="dxa"/>
            <w:shd w:val="clear" w:color="auto" w:fill="FFFFFF" w:themeFill="background1"/>
            <w:hideMark/>
          </w:tcPr>
          <w:p w14:paraId="06D8C3BD"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CW06</w:t>
            </w:r>
          </w:p>
        </w:tc>
        <w:tc>
          <w:tcPr>
            <w:tcW w:w="5521" w:type="dxa"/>
            <w:shd w:val="clear" w:color="auto" w:fill="FFFFFF" w:themeFill="background1"/>
            <w:hideMark/>
          </w:tcPr>
          <w:p w14:paraId="44D9DEB6"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Child Health (Breastfeeding)</w:t>
            </w:r>
          </w:p>
        </w:tc>
        <w:tc>
          <w:tcPr>
            <w:tcW w:w="2412" w:type="dxa"/>
            <w:shd w:val="clear" w:color="auto" w:fill="FFFFFF" w:themeFill="background1"/>
          </w:tcPr>
          <w:p w14:paraId="469913D1" w14:textId="77777777" w:rsidR="00BF79CC" w:rsidRPr="00AD237C" w:rsidRDefault="00BF79CC" w:rsidP="00AD237C">
            <w:pPr>
              <w:rPr>
                <w:rFonts w:asciiTheme="minorHAnsi" w:hAnsiTheme="minorHAnsi" w:cs="Arial"/>
                <w:sz w:val="22"/>
                <w:szCs w:val="22"/>
              </w:rPr>
            </w:pPr>
          </w:p>
        </w:tc>
      </w:tr>
      <w:tr w:rsidR="00BF79CC" w14:paraId="3D87DE34" w14:textId="53D31094" w:rsidTr="004622DC">
        <w:trPr>
          <w:jc w:val="center"/>
        </w:trPr>
        <w:tc>
          <w:tcPr>
            <w:tcW w:w="2127" w:type="dxa"/>
            <w:shd w:val="clear" w:color="auto" w:fill="auto"/>
            <w:hideMark/>
          </w:tcPr>
          <w:p w14:paraId="104D79B2" w14:textId="77777777" w:rsidR="00BF79CC" w:rsidRPr="00965F9A" w:rsidRDefault="00BF79CC" w:rsidP="005E0F06">
            <w:pPr>
              <w:shd w:val="clear" w:color="auto" w:fill="FFFFFF" w:themeFill="background1"/>
              <w:rPr>
                <w:rFonts w:asciiTheme="minorHAnsi" w:hAnsiTheme="minorHAnsi" w:cs="Arial"/>
                <w:sz w:val="22"/>
                <w:szCs w:val="22"/>
              </w:rPr>
            </w:pPr>
            <w:r w:rsidRPr="00965F9A">
              <w:rPr>
                <w:rFonts w:asciiTheme="minorHAnsi" w:hAnsiTheme="minorHAnsi" w:cs="Arial"/>
                <w:sz w:val="22"/>
                <w:szCs w:val="22"/>
              </w:rPr>
              <w:t>CW07</w:t>
            </w:r>
          </w:p>
        </w:tc>
        <w:tc>
          <w:tcPr>
            <w:tcW w:w="5521" w:type="dxa"/>
            <w:shd w:val="clear" w:color="auto" w:fill="auto"/>
            <w:hideMark/>
          </w:tcPr>
          <w:p w14:paraId="074257D7" w14:textId="77777777" w:rsidR="00BF79CC" w:rsidRPr="00965F9A" w:rsidRDefault="00BF79CC" w:rsidP="005E0F06">
            <w:pPr>
              <w:shd w:val="clear" w:color="auto" w:fill="FFFFFF" w:themeFill="background1"/>
              <w:ind w:right="-59"/>
              <w:jc w:val="both"/>
              <w:rPr>
                <w:rFonts w:asciiTheme="minorHAnsi" w:hAnsiTheme="minorHAnsi" w:cs="Arial"/>
                <w:sz w:val="22"/>
                <w:szCs w:val="22"/>
              </w:rPr>
            </w:pPr>
            <w:proofErr w:type="spellStart"/>
            <w:r w:rsidRPr="00965F9A">
              <w:rPr>
                <w:rFonts w:asciiTheme="minorHAnsi" w:hAnsiTheme="minorHAnsi" w:cs="Arial"/>
                <w:sz w:val="22"/>
                <w:szCs w:val="22"/>
              </w:rPr>
              <w:t>Newborn</w:t>
            </w:r>
            <w:proofErr w:type="spellEnd"/>
            <w:r w:rsidRPr="00965F9A">
              <w:rPr>
                <w:rFonts w:asciiTheme="minorHAnsi" w:hAnsiTheme="minorHAnsi" w:cs="Arial"/>
                <w:sz w:val="22"/>
                <w:szCs w:val="22"/>
              </w:rPr>
              <w:t xml:space="preserve"> enrolment with General Practice </w:t>
            </w:r>
          </w:p>
        </w:tc>
        <w:tc>
          <w:tcPr>
            <w:tcW w:w="2412" w:type="dxa"/>
            <w:shd w:val="clear" w:color="auto" w:fill="auto"/>
          </w:tcPr>
          <w:p w14:paraId="632FEB29" w14:textId="77777777" w:rsidR="00BF79CC" w:rsidRPr="00AD237C" w:rsidRDefault="00BF79CC" w:rsidP="00AD237C">
            <w:pPr>
              <w:rPr>
                <w:rFonts w:asciiTheme="minorHAnsi" w:hAnsiTheme="minorHAnsi" w:cs="Arial"/>
                <w:sz w:val="22"/>
                <w:szCs w:val="22"/>
              </w:rPr>
            </w:pPr>
          </w:p>
        </w:tc>
      </w:tr>
      <w:tr w:rsidR="00BF79CC" w14:paraId="01199E53" w14:textId="7C1C4E8C" w:rsidTr="004622DC">
        <w:trPr>
          <w:jc w:val="center"/>
        </w:trPr>
        <w:tc>
          <w:tcPr>
            <w:tcW w:w="2127" w:type="dxa"/>
            <w:shd w:val="clear" w:color="auto" w:fill="auto"/>
            <w:hideMark/>
          </w:tcPr>
          <w:p w14:paraId="20644C9B"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CW08</w:t>
            </w:r>
          </w:p>
        </w:tc>
        <w:tc>
          <w:tcPr>
            <w:tcW w:w="5521" w:type="dxa"/>
            <w:shd w:val="clear" w:color="auto" w:fill="auto"/>
            <w:hideMark/>
          </w:tcPr>
          <w:p w14:paraId="42DB965F" w14:textId="6F4A8AD3" w:rsidR="00BF79CC" w:rsidRDefault="00BF79CC" w:rsidP="005E0F06">
            <w:pPr>
              <w:shd w:val="clear" w:color="auto" w:fill="FFFFFF" w:themeFill="background1"/>
              <w:ind w:right="-59"/>
              <w:jc w:val="both"/>
              <w:rPr>
                <w:rFonts w:asciiTheme="minorHAnsi" w:hAnsiTheme="minorHAnsi" w:cs="Arial"/>
                <w:sz w:val="22"/>
                <w:szCs w:val="22"/>
              </w:rPr>
            </w:pPr>
            <w:r>
              <w:rPr>
                <w:rFonts w:asciiTheme="minorHAnsi" w:hAnsiTheme="minorHAnsi" w:cs="Arial"/>
                <w:sz w:val="22"/>
                <w:szCs w:val="22"/>
              </w:rPr>
              <w:t xml:space="preserve">Increased immunisation  </w:t>
            </w:r>
          </w:p>
        </w:tc>
        <w:tc>
          <w:tcPr>
            <w:tcW w:w="2412" w:type="dxa"/>
            <w:shd w:val="clear" w:color="auto" w:fill="auto"/>
          </w:tcPr>
          <w:p w14:paraId="64FE448C" w14:textId="77777777" w:rsidR="00BF79CC" w:rsidRPr="00AD237C" w:rsidRDefault="00BF79CC" w:rsidP="00AD237C">
            <w:pPr>
              <w:rPr>
                <w:rFonts w:asciiTheme="minorHAnsi" w:hAnsiTheme="minorHAnsi" w:cs="Arial"/>
                <w:sz w:val="22"/>
                <w:szCs w:val="22"/>
              </w:rPr>
            </w:pPr>
          </w:p>
        </w:tc>
      </w:tr>
      <w:tr w:rsidR="00BF79CC" w14:paraId="1F46033E" w14:textId="67E0FF0C" w:rsidTr="004622DC">
        <w:trPr>
          <w:jc w:val="center"/>
        </w:trPr>
        <w:tc>
          <w:tcPr>
            <w:tcW w:w="2127" w:type="dxa"/>
            <w:shd w:val="clear" w:color="auto" w:fill="FFFFFF" w:themeFill="background1"/>
            <w:hideMark/>
          </w:tcPr>
          <w:p w14:paraId="4EDB96AA"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CW09 </w:t>
            </w:r>
            <w:r>
              <w:rPr>
                <w:rFonts w:asciiTheme="minorHAnsi" w:hAnsiTheme="minorHAnsi" w:cs="Arial"/>
                <w:sz w:val="18"/>
                <w:szCs w:val="18"/>
              </w:rPr>
              <w:t>(included as subcomponent of PH04)</w:t>
            </w:r>
          </w:p>
        </w:tc>
        <w:tc>
          <w:tcPr>
            <w:tcW w:w="5521" w:type="dxa"/>
            <w:shd w:val="clear" w:color="auto" w:fill="FFFFFF" w:themeFill="background1"/>
            <w:hideMark/>
          </w:tcPr>
          <w:p w14:paraId="592FE0A8" w14:textId="77777777" w:rsidR="00BF79CC" w:rsidRDefault="00BF79CC" w:rsidP="005E0F06">
            <w:pPr>
              <w:shd w:val="clear" w:color="auto" w:fill="FFFFFF" w:themeFill="background1"/>
              <w:ind w:right="-59"/>
              <w:jc w:val="both"/>
              <w:rPr>
                <w:rFonts w:asciiTheme="minorHAnsi" w:hAnsiTheme="minorHAnsi" w:cs="Arial"/>
                <w:sz w:val="22"/>
                <w:szCs w:val="22"/>
              </w:rPr>
            </w:pPr>
            <w:r>
              <w:rPr>
                <w:rFonts w:asciiTheme="minorHAnsi" w:hAnsiTheme="minorHAnsi" w:cs="Arial"/>
                <w:sz w:val="22"/>
                <w:szCs w:val="22"/>
              </w:rPr>
              <w:t>Better help for smokers to quit (maternity)</w:t>
            </w:r>
          </w:p>
        </w:tc>
        <w:tc>
          <w:tcPr>
            <w:tcW w:w="2412" w:type="dxa"/>
            <w:shd w:val="clear" w:color="auto" w:fill="auto"/>
          </w:tcPr>
          <w:p w14:paraId="3DA56E23" w14:textId="77777777" w:rsidR="00BF79CC" w:rsidRPr="00AD237C" w:rsidRDefault="00BF79CC" w:rsidP="00AD237C">
            <w:pPr>
              <w:rPr>
                <w:rFonts w:asciiTheme="minorHAnsi" w:hAnsiTheme="minorHAnsi" w:cs="Arial"/>
                <w:sz w:val="22"/>
                <w:szCs w:val="22"/>
              </w:rPr>
            </w:pPr>
          </w:p>
        </w:tc>
      </w:tr>
      <w:tr w:rsidR="00BF79CC" w14:paraId="74B0ABEA" w14:textId="3E96F58F" w:rsidTr="004622DC">
        <w:trPr>
          <w:trHeight w:val="361"/>
          <w:jc w:val="center"/>
        </w:trPr>
        <w:tc>
          <w:tcPr>
            <w:tcW w:w="2127" w:type="dxa"/>
            <w:shd w:val="clear" w:color="auto" w:fill="FFFFFF" w:themeFill="background1"/>
            <w:hideMark/>
          </w:tcPr>
          <w:p w14:paraId="5BF71D9D"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CW10</w:t>
            </w:r>
          </w:p>
        </w:tc>
        <w:tc>
          <w:tcPr>
            <w:tcW w:w="5521" w:type="dxa"/>
            <w:shd w:val="clear" w:color="auto" w:fill="FFFFFF" w:themeFill="background1"/>
            <w:hideMark/>
          </w:tcPr>
          <w:p w14:paraId="323803CD" w14:textId="77777777" w:rsidR="00BF79CC" w:rsidRPr="00412E09" w:rsidRDefault="00BF79CC" w:rsidP="005E0F06">
            <w:pPr>
              <w:shd w:val="clear" w:color="auto" w:fill="FFFFFF" w:themeFill="background1"/>
              <w:ind w:right="-59"/>
              <w:jc w:val="both"/>
              <w:rPr>
                <w:rFonts w:asciiTheme="minorHAnsi" w:hAnsiTheme="minorHAnsi" w:cs="Arial"/>
                <w:sz w:val="22"/>
                <w:szCs w:val="22"/>
              </w:rPr>
            </w:pPr>
            <w:r w:rsidRPr="00412E09">
              <w:rPr>
                <w:rFonts w:asciiTheme="minorHAnsi" w:hAnsiTheme="minorHAnsi" w:cs="Arial"/>
                <w:sz w:val="22"/>
                <w:szCs w:val="22"/>
              </w:rPr>
              <w:t>Raising healthy kids</w:t>
            </w:r>
          </w:p>
        </w:tc>
        <w:tc>
          <w:tcPr>
            <w:tcW w:w="2412" w:type="dxa"/>
            <w:shd w:val="clear" w:color="auto" w:fill="auto"/>
          </w:tcPr>
          <w:p w14:paraId="40575740" w14:textId="77777777" w:rsidR="00BF79CC" w:rsidRPr="00AD237C" w:rsidRDefault="00BF79CC" w:rsidP="00AD237C">
            <w:pPr>
              <w:rPr>
                <w:rFonts w:asciiTheme="minorHAnsi" w:hAnsiTheme="minorHAnsi" w:cs="Arial"/>
                <w:sz w:val="22"/>
                <w:szCs w:val="22"/>
              </w:rPr>
            </w:pPr>
          </w:p>
        </w:tc>
      </w:tr>
      <w:tr w:rsidR="00BF79CC" w14:paraId="7721A424" w14:textId="3BC5EED4" w:rsidTr="00B63325">
        <w:trPr>
          <w:jc w:val="center"/>
        </w:trPr>
        <w:tc>
          <w:tcPr>
            <w:tcW w:w="2127" w:type="dxa"/>
            <w:shd w:val="clear" w:color="auto" w:fill="FFFFFF" w:themeFill="background1"/>
            <w:hideMark/>
          </w:tcPr>
          <w:p w14:paraId="037AD496"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CW12</w:t>
            </w:r>
          </w:p>
        </w:tc>
        <w:tc>
          <w:tcPr>
            <w:tcW w:w="5521" w:type="dxa"/>
            <w:shd w:val="clear" w:color="auto" w:fill="FFFFFF" w:themeFill="background1"/>
            <w:hideMark/>
          </w:tcPr>
          <w:p w14:paraId="1A3A1F17" w14:textId="089DAFE9" w:rsidR="00BF79CC" w:rsidRPr="00412E09" w:rsidRDefault="00BF79CC" w:rsidP="005E0F06">
            <w:pPr>
              <w:shd w:val="clear" w:color="auto" w:fill="FFFFFF" w:themeFill="background1"/>
              <w:rPr>
                <w:rFonts w:asciiTheme="minorHAnsi" w:hAnsiTheme="minorHAnsi" w:cs="Arial"/>
                <w:sz w:val="22"/>
                <w:szCs w:val="22"/>
              </w:rPr>
            </w:pPr>
            <w:bookmarkStart w:id="45" w:name="_Hlk41041289"/>
            <w:r w:rsidRPr="00412E09">
              <w:rPr>
                <w:rFonts w:asciiTheme="minorHAnsi" w:hAnsiTheme="minorHAnsi" w:cs="Arial"/>
                <w:sz w:val="22"/>
                <w:szCs w:val="22"/>
              </w:rPr>
              <w:t>Youth health initiatives</w:t>
            </w:r>
            <w:bookmarkEnd w:id="45"/>
          </w:p>
        </w:tc>
        <w:tc>
          <w:tcPr>
            <w:tcW w:w="2412" w:type="dxa"/>
            <w:shd w:val="clear" w:color="auto" w:fill="FFFF00"/>
          </w:tcPr>
          <w:p w14:paraId="33681F92" w14:textId="22F41386" w:rsidR="00BF79CC" w:rsidRPr="00AD237C" w:rsidRDefault="00F55698" w:rsidP="00AD237C">
            <w:pPr>
              <w:rPr>
                <w:rFonts w:asciiTheme="minorHAnsi" w:hAnsiTheme="minorHAnsi" w:cs="Arial"/>
                <w:sz w:val="22"/>
                <w:szCs w:val="22"/>
              </w:rPr>
            </w:pPr>
            <w:r>
              <w:rPr>
                <w:rFonts w:asciiTheme="minorHAnsi" w:hAnsiTheme="minorHAnsi" w:cs="Arial"/>
                <w:sz w:val="22"/>
                <w:szCs w:val="22"/>
              </w:rPr>
              <w:t xml:space="preserve">Measure refocused as more general youth health measure – now includes youth SLAT requirements </w:t>
            </w:r>
          </w:p>
        </w:tc>
      </w:tr>
      <w:tr w:rsidR="00BF79CC" w14:paraId="00C482CE" w14:textId="73A288DF" w:rsidTr="00B8775A">
        <w:trPr>
          <w:jc w:val="center"/>
        </w:trPr>
        <w:tc>
          <w:tcPr>
            <w:tcW w:w="2127" w:type="dxa"/>
            <w:shd w:val="clear" w:color="auto" w:fill="D9D9D9" w:themeFill="background1" w:themeFillShade="D9"/>
          </w:tcPr>
          <w:p w14:paraId="3DC31268" w14:textId="77777777" w:rsidR="00BF79CC" w:rsidRDefault="00BF79CC" w:rsidP="005E0F06">
            <w:pPr>
              <w:rPr>
                <w:rFonts w:asciiTheme="minorHAnsi" w:hAnsiTheme="minorHAnsi" w:cs="Arial"/>
                <w:sz w:val="22"/>
                <w:szCs w:val="22"/>
              </w:rPr>
            </w:pPr>
          </w:p>
        </w:tc>
        <w:tc>
          <w:tcPr>
            <w:tcW w:w="5521" w:type="dxa"/>
            <w:shd w:val="clear" w:color="auto" w:fill="D9D9D9" w:themeFill="background1" w:themeFillShade="D9"/>
          </w:tcPr>
          <w:p w14:paraId="7FA5FBB7" w14:textId="77777777" w:rsidR="00BF79CC" w:rsidRDefault="00BF79CC" w:rsidP="005E0F06">
            <w:pPr>
              <w:ind w:right="-59"/>
              <w:jc w:val="both"/>
              <w:rPr>
                <w:rFonts w:asciiTheme="minorHAnsi" w:hAnsiTheme="minorHAnsi" w:cs="Arial"/>
                <w:sz w:val="22"/>
                <w:szCs w:val="22"/>
              </w:rPr>
            </w:pPr>
          </w:p>
        </w:tc>
        <w:tc>
          <w:tcPr>
            <w:tcW w:w="2412" w:type="dxa"/>
            <w:shd w:val="clear" w:color="auto" w:fill="D9D9D9" w:themeFill="background1" w:themeFillShade="D9"/>
          </w:tcPr>
          <w:p w14:paraId="3D69C055" w14:textId="77777777" w:rsidR="00BF79CC" w:rsidRPr="00AD237C" w:rsidRDefault="00BF79CC" w:rsidP="00AD237C">
            <w:pPr>
              <w:rPr>
                <w:rFonts w:asciiTheme="minorHAnsi" w:hAnsiTheme="minorHAnsi" w:cs="Arial"/>
                <w:sz w:val="22"/>
                <w:szCs w:val="22"/>
              </w:rPr>
            </w:pPr>
          </w:p>
        </w:tc>
      </w:tr>
      <w:tr w:rsidR="00BF79CC" w14:paraId="5B949773" w14:textId="0FBDCA79" w:rsidTr="004622DC">
        <w:trPr>
          <w:jc w:val="center"/>
        </w:trPr>
        <w:tc>
          <w:tcPr>
            <w:tcW w:w="2127" w:type="dxa"/>
            <w:shd w:val="clear" w:color="auto" w:fill="FFFFFF" w:themeFill="background1"/>
            <w:hideMark/>
          </w:tcPr>
          <w:p w14:paraId="1CD4A7FD"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MH01</w:t>
            </w:r>
          </w:p>
        </w:tc>
        <w:tc>
          <w:tcPr>
            <w:tcW w:w="5521" w:type="dxa"/>
            <w:shd w:val="clear" w:color="auto" w:fill="FFFFFF" w:themeFill="background1"/>
          </w:tcPr>
          <w:p w14:paraId="253D4624"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Improving</w:t>
            </w:r>
            <w:r>
              <w:rPr>
                <w:rFonts w:asciiTheme="minorHAnsi" w:hAnsiTheme="minorHAnsi"/>
                <w:sz w:val="22"/>
                <w:szCs w:val="22"/>
              </w:rPr>
              <w:t xml:space="preserve"> </w:t>
            </w:r>
            <w:r>
              <w:rPr>
                <w:rFonts w:asciiTheme="minorHAnsi" w:hAnsiTheme="minorHAnsi" w:cs="Arial"/>
                <w:sz w:val="22"/>
                <w:szCs w:val="22"/>
              </w:rPr>
              <w:t>the health status of people with severe mental illness through improved access</w:t>
            </w:r>
          </w:p>
          <w:p w14:paraId="3AB89384" w14:textId="77777777" w:rsidR="00BF79CC" w:rsidRDefault="00BF79CC" w:rsidP="005E0F06">
            <w:pPr>
              <w:shd w:val="clear" w:color="auto" w:fill="FFFFFF" w:themeFill="background1"/>
              <w:rPr>
                <w:rFonts w:asciiTheme="minorHAnsi" w:hAnsiTheme="minorHAnsi" w:cs="Arial"/>
                <w:sz w:val="22"/>
                <w:szCs w:val="22"/>
              </w:rPr>
            </w:pPr>
          </w:p>
        </w:tc>
        <w:tc>
          <w:tcPr>
            <w:tcW w:w="2412" w:type="dxa"/>
            <w:shd w:val="clear" w:color="auto" w:fill="auto"/>
          </w:tcPr>
          <w:p w14:paraId="7F0D2ED0" w14:textId="77777777" w:rsidR="00BF79CC" w:rsidRPr="00AD237C" w:rsidRDefault="00BF79CC" w:rsidP="00AD237C">
            <w:pPr>
              <w:rPr>
                <w:rFonts w:asciiTheme="minorHAnsi" w:hAnsiTheme="minorHAnsi" w:cs="Arial"/>
                <w:sz w:val="22"/>
                <w:szCs w:val="22"/>
              </w:rPr>
            </w:pPr>
          </w:p>
        </w:tc>
      </w:tr>
      <w:tr w:rsidR="00BF79CC" w14:paraId="11F766D6" w14:textId="0DF5E153" w:rsidTr="004622DC">
        <w:trPr>
          <w:jc w:val="center"/>
        </w:trPr>
        <w:tc>
          <w:tcPr>
            <w:tcW w:w="2127" w:type="dxa"/>
            <w:shd w:val="clear" w:color="auto" w:fill="FFFFFF" w:themeFill="background1"/>
            <w:hideMark/>
          </w:tcPr>
          <w:p w14:paraId="6E82FF73"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MH02</w:t>
            </w:r>
          </w:p>
        </w:tc>
        <w:tc>
          <w:tcPr>
            <w:tcW w:w="5521" w:type="dxa"/>
            <w:shd w:val="clear" w:color="auto" w:fill="FFFFFF" w:themeFill="background1"/>
            <w:hideMark/>
          </w:tcPr>
          <w:p w14:paraId="328ED577"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Improving mental health services using wellness and transition (discharge) planning</w:t>
            </w:r>
          </w:p>
        </w:tc>
        <w:tc>
          <w:tcPr>
            <w:tcW w:w="2412" w:type="dxa"/>
            <w:shd w:val="clear" w:color="auto" w:fill="auto"/>
          </w:tcPr>
          <w:p w14:paraId="2CD1E3C7" w14:textId="77777777" w:rsidR="00BF79CC" w:rsidRPr="00AD237C" w:rsidRDefault="00BF79CC" w:rsidP="00AD237C">
            <w:pPr>
              <w:rPr>
                <w:rFonts w:asciiTheme="minorHAnsi" w:hAnsiTheme="minorHAnsi" w:cs="Arial"/>
                <w:sz w:val="22"/>
                <w:szCs w:val="22"/>
              </w:rPr>
            </w:pPr>
          </w:p>
        </w:tc>
      </w:tr>
      <w:tr w:rsidR="00BF79CC" w14:paraId="7E0E6B36" w14:textId="68FC8F42" w:rsidTr="004622DC">
        <w:trPr>
          <w:jc w:val="center"/>
        </w:trPr>
        <w:tc>
          <w:tcPr>
            <w:tcW w:w="2127" w:type="dxa"/>
            <w:shd w:val="clear" w:color="auto" w:fill="FFFFFF" w:themeFill="background1"/>
            <w:hideMark/>
          </w:tcPr>
          <w:p w14:paraId="5B30E4C0"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MH03</w:t>
            </w:r>
          </w:p>
        </w:tc>
        <w:tc>
          <w:tcPr>
            <w:tcW w:w="5521" w:type="dxa"/>
            <w:shd w:val="clear" w:color="auto" w:fill="FFFFFF" w:themeFill="background1"/>
            <w:hideMark/>
          </w:tcPr>
          <w:p w14:paraId="7DC47EC0"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Shorter waits for non-urgent mental health and addiction services</w:t>
            </w:r>
          </w:p>
        </w:tc>
        <w:tc>
          <w:tcPr>
            <w:tcW w:w="2412" w:type="dxa"/>
            <w:shd w:val="clear" w:color="auto" w:fill="auto"/>
          </w:tcPr>
          <w:p w14:paraId="3C10CEA3" w14:textId="77777777" w:rsidR="00BF79CC" w:rsidRPr="00AD237C" w:rsidRDefault="00BF79CC" w:rsidP="00AD237C">
            <w:pPr>
              <w:rPr>
                <w:rFonts w:asciiTheme="minorHAnsi" w:hAnsiTheme="minorHAnsi" w:cs="Arial"/>
                <w:sz w:val="22"/>
                <w:szCs w:val="22"/>
              </w:rPr>
            </w:pPr>
          </w:p>
        </w:tc>
      </w:tr>
      <w:tr w:rsidR="00BF79CC" w14:paraId="0EA76A79" w14:textId="358BA876" w:rsidTr="004622DC">
        <w:trPr>
          <w:jc w:val="center"/>
        </w:trPr>
        <w:tc>
          <w:tcPr>
            <w:tcW w:w="2127" w:type="dxa"/>
            <w:shd w:val="clear" w:color="auto" w:fill="FFFFFF" w:themeFill="background1"/>
            <w:hideMark/>
          </w:tcPr>
          <w:p w14:paraId="0A3403B6"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MH04</w:t>
            </w:r>
          </w:p>
        </w:tc>
        <w:tc>
          <w:tcPr>
            <w:tcW w:w="5521" w:type="dxa"/>
            <w:shd w:val="clear" w:color="auto" w:fill="FFFFFF" w:themeFill="background1"/>
            <w:hideMark/>
          </w:tcPr>
          <w:p w14:paraId="087F11CC"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Rising to the Challenge: The Mental Health and Addiction Service Development Plan</w:t>
            </w:r>
          </w:p>
        </w:tc>
        <w:tc>
          <w:tcPr>
            <w:tcW w:w="2412" w:type="dxa"/>
            <w:shd w:val="clear" w:color="auto" w:fill="auto"/>
          </w:tcPr>
          <w:p w14:paraId="49CA750F" w14:textId="77777777" w:rsidR="00BF79CC" w:rsidRPr="00AD237C" w:rsidRDefault="00BF79CC" w:rsidP="00AD237C">
            <w:pPr>
              <w:rPr>
                <w:rFonts w:asciiTheme="minorHAnsi" w:hAnsiTheme="minorHAnsi" w:cs="Arial"/>
                <w:sz w:val="22"/>
                <w:szCs w:val="22"/>
              </w:rPr>
            </w:pPr>
          </w:p>
        </w:tc>
      </w:tr>
      <w:tr w:rsidR="00BF79CC" w14:paraId="2DFB2990" w14:textId="085EDC51" w:rsidTr="00B63325">
        <w:trPr>
          <w:jc w:val="center"/>
        </w:trPr>
        <w:tc>
          <w:tcPr>
            <w:tcW w:w="2127" w:type="dxa"/>
            <w:shd w:val="clear" w:color="auto" w:fill="FFFFFF" w:themeFill="background1"/>
            <w:hideMark/>
          </w:tcPr>
          <w:p w14:paraId="47AC51D0"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MH05</w:t>
            </w:r>
          </w:p>
        </w:tc>
        <w:tc>
          <w:tcPr>
            <w:tcW w:w="5521" w:type="dxa"/>
            <w:shd w:val="clear" w:color="auto" w:fill="FFFFFF" w:themeFill="background1"/>
            <w:hideMark/>
          </w:tcPr>
          <w:p w14:paraId="38CB78B2"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Reduce the rate of Māori under the Mental Health Act: section 29 community treatment orders</w:t>
            </w:r>
          </w:p>
        </w:tc>
        <w:tc>
          <w:tcPr>
            <w:tcW w:w="2412" w:type="dxa"/>
            <w:shd w:val="clear" w:color="auto" w:fill="FFFF00"/>
          </w:tcPr>
          <w:p w14:paraId="3A36D64F" w14:textId="56E66594" w:rsidR="00BF79CC" w:rsidRPr="00AD237C" w:rsidRDefault="00012780" w:rsidP="00AD237C">
            <w:pPr>
              <w:rPr>
                <w:rFonts w:asciiTheme="minorHAnsi" w:hAnsiTheme="minorHAnsi" w:cs="Arial"/>
                <w:sz w:val="22"/>
                <w:szCs w:val="22"/>
              </w:rPr>
            </w:pPr>
            <w:r>
              <w:rPr>
                <w:rFonts w:asciiTheme="minorHAnsi" w:hAnsiTheme="minorHAnsi" w:cs="Arial"/>
                <w:sz w:val="22"/>
                <w:szCs w:val="22"/>
              </w:rPr>
              <w:t xml:space="preserve">Data to be reported adjusted to be </w:t>
            </w:r>
            <w:proofErr w:type="gramStart"/>
            <w:r w:rsidR="004B1604">
              <w:rPr>
                <w:rFonts w:asciiTheme="minorHAnsi" w:hAnsiTheme="minorHAnsi" w:cs="Arial"/>
                <w:sz w:val="22"/>
                <w:szCs w:val="22"/>
              </w:rPr>
              <w:t>12 month</w:t>
            </w:r>
            <w:proofErr w:type="gramEnd"/>
            <w:r w:rsidR="004B1604">
              <w:rPr>
                <w:rFonts w:asciiTheme="minorHAnsi" w:hAnsiTheme="minorHAnsi" w:cs="Arial"/>
                <w:sz w:val="22"/>
                <w:szCs w:val="22"/>
              </w:rPr>
              <w:t xml:space="preserve"> data rather than quarterly </w:t>
            </w:r>
          </w:p>
        </w:tc>
      </w:tr>
      <w:tr w:rsidR="00BF79CC" w14:paraId="6E43417B" w14:textId="101DA6A2" w:rsidTr="004622DC">
        <w:trPr>
          <w:jc w:val="center"/>
        </w:trPr>
        <w:tc>
          <w:tcPr>
            <w:tcW w:w="2127" w:type="dxa"/>
            <w:shd w:val="clear" w:color="auto" w:fill="FFFFFF" w:themeFill="background1"/>
            <w:hideMark/>
          </w:tcPr>
          <w:p w14:paraId="177640B9"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MH06</w:t>
            </w:r>
          </w:p>
        </w:tc>
        <w:tc>
          <w:tcPr>
            <w:tcW w:w="5521" w:type="dxa"/>
            <w:shd w:val="clear" w:color="auto" w:fill="FFFFFF" w:themeFill="background1"/>
            <w:hideMark/>
          </w:tcPr>
          <w:p w14:paraId="2E9DB0A8" w14:textId="77777777" w:rsidR="00BF79CC" w:rsidRDefault="00BF79CC" w:rsidP="005E0F06">
            <w:pPr>
              <w:shd w:val="clear" w:color="auto" w:fill="FFFFFF" w:themeFill="background1"/>
              <w:tabs>
                <w:tab w:val="right" w:leader="dot" w:pos="10194"/>
              </w:tabs>
              <w:rPr>
                <w:rFonts w:asciiTheme="minorHAnsi" w:hAnsiTheme="minorHAnsi" w:cs="Arial"/>
                <w:noProof/>
                <w:sz w:val="22"/>
                <w:szCs w:val="22"/>
              </w:rPr>
            </w:pPr>
            <w:r>
              <w:rPr>
                <w:rFonts w:asciiTheme="minorHAnsi" w:hAnsiTheme="minorHAnsi" w:cs="Arial"/>
                <w:sz w:val="22"/>
                <w:szCs w:val="22"/>
              </w:rPr>
              <w:t>Output delivery against plan</w:t>
            </w:r>
          </w:p>
        </w:tc>
        <w:tc>
          <w:tcPr>
            <w:tcW w:w="2412" w:type="dxa"/>
            <w:shd w:val="clear" w:color="auto" w:fill="auto"/>
          </w:tcPr>
          <w:p w14:paraId="5C8E42EE" w14:textId="77777777" w:rsidR="00BF79CC" w:rsidRPr="00AD237C" w:rsidRDefault="00BF79CC" w:rsidP="00AD237C">
            <w:pPr>
              <w:rPr>
                <w:rFonts w:asciiTheme="minorHAnsi" w:hAnsiTheme="minorHAnsi" w:cs="Arial"/>
                <w:sz w:val="22"/>
                <w:szCs w:val="22"/>
              </w:rPr>
            </w:pPr>
          </w:p>
        </w:tc>
      </w:tr>
      <w:tr w:rsidR="00BF79CC" w14:paraId="709CE7D1" w14:textId="6D3BB6A4" w:rsidTr="00B63325">
        <w:trPr>
          <w:jc w:val="center"/>
        </w:trPr>
        <w:tc>
          <w:tcPr>
            <w:tcW w:w="2127" w:type="dxa"/>
            <w:shd w:val="clear" w:color="auto" w:fill="FFFFFF" w:themeFill="background1"/>
            <w:hideMark/>
          </w:tcPr>
          <w:p w14:paraId="2533EDEB"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MH07</w:t>
            </w:r>
          </w:p>
        </w:tc>
        <w:tc>
          <w:tcPr>
            <w:tcW w:w="5521" w:type="dxa"/>
            <w:shd w:val="clear" w:color="auto" w:fill="FFFFFF" w:themeFill="background1"/>
            <w:hideMark/>
          </w:tcPr>
          <w:p w14:paraId="543B08F1" w14:textId="77777777" w:rsidR="00BF79CC" w:rsidRDefault="00BF79CC" w:rsidP="005E0F06">
            <w:pPr>
              <w:shd w:val="clear" w:color="auto" w:fill="FFFFFF" w:themeFill="background1"/>
              <w:tabs>
                <w:tab w:val="right" w:leader="dot" w:pos="10194"/>
              </w:tabs>
              <w:rPr>
                <w:rFonts w:asciiTheme="minorHAnsi" w:hAnsiTheme="minorHAnsi" w:cs="Arial"/>
                <w:sz w:val="22"/>
                <w:szCs w:val="22"/>
              </w:rPr>
            </w:pPr>
            <w:bookmarkStart w:id="46" w:name="_Hlk50368463"/>
            <w:r>
              <w:rPr>
                <w:rFonts w:asciiTheme="minorHAnsi" w:hAnsiTheme="minorHAnsi" w:cs="Arial"/>
                <w:sz w:val="22"/>
                <w:szCs w:val="22"/>
              </w:rPr>
              <w:t>Improving the health status of people with severe mental illness through improved acute inpatient post discharge community care</w:t>
            </w:r>
            <w:bookmarkEnd w:id="46"/>
          </w:p>
        </w:tc>
        <w:tc>
          <w:tcPr>
            <w:tcW w:w="2412" w:type="dxa"/>
            <w:shd w:val="clear" w:color="auto" w:fill="FFFF00"/>
          </w:tcPr>
          <w:p w14:paraId="26DA94B6" w14:textId="35988DC9" w:rsidR="00BF79CC" w:rsidRPr="00AD237C" w:rsidRDefault="004B7198" w:rsidP="00AD237C">
            <w:pPr>
              <w:rPr>
                <w:rFonts w:asciiTheme="minorHAnsi" w:hAnsiTheme="minorHAnsi" w:cs="Arial"/>
                <w:sz w:val="22"/>
                <w:szCs w:val="22"/>
              </w:rPr>
            </w:pPr>
            <w:r w:rsidRPr="004B7198">
              <w:rPr>
                <w:rFonts w:asciiTheme="minorHAnsi" w:hAnsiTheme="minorHAnsi" w:cs="Arial"/>
                <w:sz w:val="22"/>
                <w:szCs w:val="22"/>
              </w:rPr>
              <w:t xml:space="preserve">Data to be reported adjusted to be </w:t>
            </w:r>
            <w:proofErr w:type="gramStart"/>
            <w:r w:rsidRPr="004B7198">
              <w:rPr>
                <w:rFonts w:asciiTheme="minorHAnsi" w:hAnsiTheme="minorHAnsi" w:cs="Arial"/>
                <w:sz w:val="22"/>
                <w:szCs w:val="22"/>
              </w:rPr>
              <w:t>12 month</w:t>
            </w:r>
            <w:proofErr w:type="gramEnd"/>
            <w:r w:rsidRPr="004B7198">
              <w:rPr>
                <w:rFonts w:asciiTheme="minorHAnsi" w:hAnsiTheme="minorHAnsi" w:cs="Arial"/>
                <w:sz w:val="22"/>
                <w:szCs w:val="22"/>
              </w:rPr>
              <w:t xml:space="preserve"> data rather than quarterly</w:t>
            </w:r>
          </w:p>
        </w:tc>
      </w:tr>
      <w:tr w:rsidR="00BF79CC" w14:paraId="6FF24EB9" w14:textId="49CBCFB9" w:rsidTr="00B8775A">
        <w:trPr>
          <w:jc w:val="center"/>
        </w:trPr>
        <w:tc>
          <w:tcPr>
            <w:tcW w:w="2127" w:type="dxa"/>
            <w:shd w:val="clear" w:color="auto" w:fill="D9D9D9" w:themeFill="background1" w:themeFillShade="D9"/>
          </w:tcPr>
          <w:p w14:paraId="0ABBF962" w14:textId="77777777" w:rsidR="00BF79CC" w:rsidRDefault="00BF79CC" w:rsidP="005E0F06">
            <w:pPr>
              <w:rPr>
                <w:rFonts w:asciiTheme="minorHAnsi" w:hAnsiTheme="minorHAnsi" w:cs="Arial"/>
                <w:sz w:val="22"/>
                <w:szCs w:val="22"/>
              </w:rPr>
            </w:pPr>
          </w:p>
        </w:tc>
        <w:tc>
          <w:tcPr>
            <w:tcW w:w="5521" w:type="dxa"/>
            <w:shd w:val="clear" w:color="auto" w:fill="D9D9D9" w:themeFill="background1" w:themeFillShade="D9"/>
          </w:tcPr>
          <w:p w14:paraId="685ACBA3" w14:textId="77777777" w:rsidR="00BF79CC" w:rsidRDefault="00BF79CC" w:rsidP="005E0F06">
            <w:pPr>
              <w:ind w:right="-59"/>
              <w:jc w:val="both"/>
              <w:rPr>
                <w:rFonts w:asciiTheme="minorHAnsi" w:hAnsiTheme="minorHAnsi" w:cs="Arial"/>
                <w:sz w:val="22"/>
                <w:szCs w:val="22"/>
              </w:rPr>
            </w:pPr>
          </w:p>
        </w:tc>
        <w:tc>
          <w:tcPr>
            <w:tcW w:w="2412" w:type="dxa"/>
            <w:shd w:val="clear" w:color="auto" w:fill="D9D9D9" w:themeFill="background1" w:themeFillShade="D9"/>
          </w:tcPr>
          <w:p w14:paraId="2AECD003" w14:textId="77777777" w:rsidR="00BF79CC" w:rsidRPr="00AD237C" w:rsidRDefault="00BF79CC" w:rsidP="00AD237C">
            <w:pPr>
              <w:rPr>
                <w:rFonts w:asciiTheme="minorHAnsi" w:hAnsiTheme="minorHAnsi" w:cs="Arial"/>
                <w:sz w:val="22"/>
                <w:szCs w:val="22"/>
              </w:rPr>
            </w:pPr>
          </w:p>
        </w:tc>
      </w:tr>
      <w:tr w:rsidR="00BF79CC" w14:paraId="5D9B9D61" w14:textId="2A1024CE" w:rsidTr="0000646E">
        <w:trPr>
          <w:jc w:val="center"/>
        </w:trPr>
        <w:tc>
          <w:tcPr>
            <w:tcW w:w="2127" w:type="dxa"/>
            <w:shd w:val="clear" w:color="auto" w:fill="FFFFFF" w:themeFill="background1"/>
            <w:hideMark/>
          </w:tcPr>
          <w:p w14:paraId="0E371904"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lastRenderedPageBreak/>
              <w:t>PV01</w:t>
            </w:r>
          </w:p>
        </w:tc>
        <w:tc>
          <w:tcPr>
            <w:tcW w:w="5521" w:type="dxa"/>
            <w:shd w:val="clear" w:color="auto" w:fill="FFFFFF" w:themeFill="background1"/>
            <w:hideMark/>
          </w:tcPr>
          <w:p w14:paraId="72C75419" w14:textId="77777777" w:rsidR="00BF79CC" w:rsidRDefault="00BF79CC" w:rsidP="005E0F06">
            <w:pPr>
              <w:pStyle w:val="Bullet"/>
              <w:numPr>
                <w:ilvl w:val="0"/>
                <w:numId w:val="0"/>
              </w:numPr>
              <w:shd w:val="clear" w:color="auto" w:fill="FFFFFF" w:themeFill="background1"/>
              <w:tabs>
                <w:tab w:val="left" w:pos="720"/>
              </w:tabs>
              <w:spacing w:before="60"/>
              <w:ind w:left="284" w:hanging="284"/>
              <w:rPr>
                <w:rFonts w:asciiTheme="minorHAnsi" w:hAnsiTheme="minorHAnsi" w:cs="Arial"/>
                <w:szCs w:val="22"/>
              </w:rPr>
            </w:pPr>
            <w:r>
              <w:rPr>
                <w:rFonts w:asciiTheme="minorHAnsi" w:hAnsiTheme="minorHAnsi" w:cs="Arial"/>
                <w:szCs w:val="22"/>
              </w:rPr>
              <w:t xml:space="preserve">Improving breast screening coverage and rescreening </w:t>
            </w:r>
          </w:p>
        </w:tc>
        <w:tc>
          <w:tcPr>
            <w:tcW w:w="2412" w:type="dxa"/>
            <w:shd w:val="clear" w:color="auto" w:fill="FFFF00"/>
          </w:tcPr>
          <w:p w14:paraId="323F34D6" w14:textId="77777777" w:rsidR="00BF79CC" w:rsidRDefault="002E3916" w:rsidP="00AD237C">
            <w:pPr>
              <w:rPr>
                <w:rFonts w:asciiTheme="minorHAnsi" w:hAnsiTheme="minorHAnsi" w:cs="Arial"/>
                <w:sz w:val="22"/>
                <w:szCs w:val="22"/>
              </w:rPr>
            </w:pPr>
            <w:r>
              <w:rPr>
                <w:rFonts w:asciiTheme="minorHAnsi" w:hAnsiTheme="minorHAnsi" w:cs="Arial"/>
                <w:sz w:val="22"/>
                <w:szCs w:val="22"/>
              </w:rPr>
              <w:t xml:space="preserve">Outcome area link adjusted to </w:t>
            </w:r>
            <w:r w:rsidR="00CC70B1">
              <w:rPr>
                <w:rFonts w:asciiTheme="minorHAnsi" w:hAnsiTheme="minorHAnsi" w:cs="Arial"/>
                <w:sz w:val="22"/>
                <w:szCs w:val="22"/>
              </w:rPr>
              <w:t>‘</w:t>
            </w:r>
            <w:r w:rsidRPr="002E3916">
              <w:rPr>
                <w:rFonts w:asciiTheme="minorHAnsi" w:hAnsiTheme="minorHAnsi" w:cs="Arial"/>
                <w:sz w:val="22"/>
                <w:szCs w:val="22"/>
              </w:rPr>
              <w:t>We have health equity for M</w:t>
            </w:r>
            <w:r>
              <w:rPr>
                <w:rFonts w:asciiTheme="minorHAnsi" w:hAnsiTheme="minorHAnsi" w:cs="Arial"/>
                <w:sz w:val="22"/>
                <w:szCs w:val="22"/>
              </w:rPr>
              <w:t>ā</w:t>
            </w:r>
            <w:r w:rsidRPr="002E3916">
              <w:rPr>
                <w:rFonts w:asciiTheme="minorHAnsi" w:hAnsiTheme="minorHAnsi" w:cs="Arial"/>
                <w:sz w:val="22"/>
                <w:szCs w:val="22"/>
              </w:rPr>
              <w:t>ori and other groups</w:t>
            </w:r>
            <w:r w:rsidR="00CC70B1">
              <w:rPr>
                <w:rFonts w:asciiTheme="minorHAnsi" w:hAnsiTheme="minorHAnsi" w:cs="Arial"/>
                <w:sz w:val="22"/>
                <w:szCs w:val="22"/>
              </w:rPr>
              <w:t>’</w:t>
            </w:r>
          </w:p>
          <w:p w14:paraId="3DFFCA1F" w14:textId="77777777" w:rsidR="00FC5B66" w:rsidRDefault="00FC5B66" w:rsidP="00AD237C">
            <w:pPr>
              <w:rPr>
                <w:rFonts w:asciiTheme="minorHAnsi" w:hAnsiTheme="minorHAnsi" w:cs="Arial"/>
                <w:sz w:val="22"/>
                <w:szCs w:val="22"/>
              </w:rPr>
            </w:pPr>
          </w:p>
          <w:p w14:paraId="3FF90D0B" w14:textId="77777777" w:rsidR="00FC5B66" w:rsidRDefault="00FC5B66" w:rsidP="00FC5B66">
            <w:pPr>
              <w:rPr>
                <w:rFonts w:asciiTheme="minorHAnsi" w:hAnsiTheme="minorHAnsi" w:cs="Arial"/>
                <w:sz w:val="22"/>
                <w:szCs w:val="22"/>
              </w:rPr>
            </w:pPr>
            <w:r>
              <w:rPr>
                <w:rFonts w:asciiTheme="minorHAnsi" w:hAnsiTheme="minorHAnsi" w:cs="Arial"/>
                <w:sz w:val="22"/>
                <w:szCs w:val="22"/>
              </w:rPr>
              <w:t>Age range in numerator adjusted to 45-69</w:t>
            </w:r>
          </w:p>
          <w:p w14:paraId="6169A72E" w14:textId="77777777" w:rsidR="00FC5B66" w:rsidRDefault="00FC5B66" w:rsidP="00FC5B66">
            <w:pPr>
              <w:rPr>
                <w:rFonts w:asciiTheme="minorHAnsi" w:hAnsiTheme="minorHAnsi" w:cs="Arial"/>
                <w:sz w:val="22"/>
                <w:szCs w:val="22"/>
              </w:rPr>
            </w:pPr>
          </w:p>
          <w:p w14:paraId="4860B692" w14:textId="1CE245A6" w:rsidR="00FC5B66" w:rsidRPr="00AD237C" w:rsidRDefault="00A03AE5" w:rsidP="00FC5B66">
            <w:pPr>
              <w:rPr>
                <w:rFonts w:asciiTheme="minorHAnsi" w:hAnsiTheme="minorHAnsi" w:cs="Arial"/>
                <w:sz w:val="22"/>
                <w:szCs w:val="22"/>
              </w:rPr>
            </w:pPr>
            <w:r>
              <w:rPr>
                <w:rFonts w:asciiTheme="minorHAnsi" w:hAnsiTheme="minorHAnsi" w:cs="Arial"/>
                <w:sz w:val="22"/>
                <w:szCs w:val="22"/>
              </w:rPr>
              <w:t xml:space="preserve">Update to expectations table </w:t>
            </w:r>
          </w:p>
        </w:tc>
      </w:tr>
      <w:tr w:rsidR="00BF79CC" w14:paraId="2A2CA160" w14:textId="619EF729" w:rsidTr="004622DC">
        <w:trPr>
          <w:jc w:val="center"/>
        </w:trPr>
        <w:tc>
          <w:tcPr>
            <w:tcW w:w="2127" w:type="dxa"/>
            <w:shd w:val="clear" w:color="auto" w:fill="FFFFFF" w:themeFill="background1"/>
            <w:hideMark/>
          </w:tcPr>
          <w:p w14:paraId="35F18148"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PV02</w:t>
            </w:r>
          </w:p>
        </w:tc>
        <w:tc>
          <w:tcPr>
            <w:tcW w:w="5521" w:type="dxa"/>
            <w:shd w:val="clear" w:color="auto" w:fill="FFFFFF" w:themeFill="background1"/>
            <w:vAlign w:val="center"/>
            <w:hideMark/>
          </w:tcPr>
          <w:p w14:paraId="0CF98857" w14:textId="77777777" w:rsidR="00BF79CC" w:rsidRDefault="00BF79CC" w:rsidP="005E0F06">
            <w:pPr>
              <w:pStyle w:val="Bullet"/>
              <w:numPr>
                <w:ilvl w:val="0"/>
                <w:numId w:val="0"/>
              </w:numPr>
              <w:shd w:val="clear" w:color="auto" w:fill="FFFFFF" w:themeFill="background1"/>
              <w:tabs>
                <w:tab w:val="left" w:pos="720"/>
              </w:tabs>
              <w:spacing w:before="60"/>
              <w:ind w:left="284" w:hanging="284"/>
              <w:rPr>
                <w:rFonts w:asciiTheme="minorHAnsi" w:hAnsiTheme="minorHAnsi" w:cs="Arial"/>
                <w:szCs w:val="22"/>
              </w:rPr>
            </w:pPr>
            <w:r>
              <w:rPr>
                <w:rFonts w:asciiTheme="minorHAnsi" w:hAnsiTheme="minorHAnsi" w:cs="Arial"/>
                <w:bCs/>
                <w:szCs w:val="22"/>
              </w:rPr>
              <w:t xml:space="preserve">Improving cervical Screening coverage </w:t>
            </w:r>
          </w:p>
        </w:tc>
        <w:tc>
          <w:tcPr>
            <w:tcW w:w="2412" w:type="dxa"/>
            <w:shd w:val="clear" w:color="auto" w:fill="auto"/>
          </w:tcPr>
          <w:p w14:paraId="2A7CD516" w14:textId="77777777" w:rsidR="00BF79CC" w:rsidRPr="00AD237C" w:rsidRDefault="00BF79CC" w:rsidP="00AD237C">
            <w:pPr>
              <w:rPr>
                <w:rFonts w:asciiTheme="minorHAnsi" w:hAnsiTheme="minorHAnsi" w:cs="Arial"/>
                <w:bCs/>
                <w:sz w:val="22"/>
                <w:szCs w:val="22"/>
              </w:rPr>
            </w:pPr>
          </w:p>
        </w:tc>
      </w:tr>
      <w:tr w:rsidR="00BF79CC" w14:paraId="1C38FF18" w14:textId="357A1648" w:rsidTr="00B8775A">
        <w:trPr>
          <w:jc w:val="center"/>
        </w:trPr>
        <w:tc>
          <w:tcPr>
            <w:tcW w:w="2127" w:type="dxa"/>
            <w:shd w:val="clear" w:color="auto" w:fill="D9D9D9" w:themeFill="background1" w:themeFillShade="D9"/>
          </w:tcPr>
          <w:p w14:paraId="4397F625" w14:textId="77777777" w:rsidR="00BF79CC" w:rsidRDefault="00BF79CC" w:rsidP="005E0F06">
            <w:pPr>
              <w:rPr>
                <w:rFonts w:asciiTheme="minorHAnsi" w:hAnsiTheme="minorHAnsi" w:cs="Arial"/>
                <w:sz w:val="22"/>
                <w:szCs w:val="22"/>
              </w:rPr>
            </w:pPr>
          </w:p>
        </w:tc>
        <w:tc>
          <w:tcPr>
            <w:tcW w:w="5521" w:type="dxa"/>
            <w:shd w:val="clear" w:color="auto" w:fill="D9D9D9" w:themeFill="background1" w:themeFillShade="D9"/>
          </w:tcPr>
          <w:p w14:paraId="37CAC42E" w14:textId="77777777" w:rsidR="00BF79CC" w:rsidRDefault="00BF79CC" w:rsidP="005E0F06">
            <w:pPr>
              <w:ind w:right="-59"/>
              <w:jc w:val="both"/>
              <w:rPr>
                <w:rFonts w:asciiTheme="minorHAnsi" w:hAnsiTheme="minorHAnsi" w:cs="Arial"/>
                <w:sz w:val="22"/>
                <w:szCs w:val="22"/>
              </w:rPr>
            </w:pPr>
          </w:p>
        </w:tc>
        <w:tc>
          <w:tcPr>
            <w:tcW w:w="2412" w:type="dxa"/>
            <w:shd w:val="clear" w:color="auto" w:fill="D9D9D9" w:themeFill="background1" w:themeFillShade="D9"/>
          </w:tcPr>
          <w:p w14:paraId="27B5A6DE" w14:textId="77777777" w:rsidR="00BF79CC" w:rsidRPr="00AD237C" w:rsidRDefault="00BF79CC" w:rsidP="00AD237C">
            <w:pPr>
              <w:rPr>
                <w:rFonts w:asciiTheme="minorHAnsi" w:hAnsiTheme="minorHAnsi" w:cs="Arial"/>
                <w:sz w:val="22"/>
                <w:szCs w:val="22"/>
              </w:rPr>
            </w:pPr>
          </w:p>
        </w:tc>
      </w:tr>
      <w:tr w:rsidR="00BF79CC" w14:paraId="190C20BF" w14:textId="52D5FAE9" w:rsidTr="004622DC">
        <w:trPr>
          <w:trHeight w:val="411"/>
          <w:jc w:val="center"/>
        </w:trPr>
        <w:tc>
          <w:tcPr>
            <w:tcW w:w="2127" w:type="dxa"/>
            <w:shd w:val="clear" w:color="auto" w:fill="FFFFFF" w:themeFill="background1"/>
            <w:hideMark/>
          </w:tcPr>
          <w:p w14:paraId="7BB6A5C9"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SS01 </w:t>
            </w:r>
          </w:p>
        </w:tc>
        <w:tc>
          <w:tcPr>
            <w:tcW w:w="5521" w:type="dxa"/>
            <w:shd w:val="clear" w:color="auto" w:fill="FFFFFF" w:themeFill="background1"/>
            <w:hideMark/>
          </w:tcPr>
          <w:p w14:paraId="29030522"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Faster cancer treatment </w:t>
            </w:r>
          </w:p>
          <w:p w14:paraId="73E8BF97"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 </w:t>
            </w:r>
            <w:proofErr w:type="gramStart"/>
            <w:r>
              <w:rPr>
                <w:rFonts w:asciiTheme="minorHAnsi" w:hAnsiTheme="minorHAnsi" w:cs="Arial"/>
                <w:sz w:val="22"/>
                <w:szCs w:val="22"/>
              </w:rPr>
              <w:t>31 day</w:t>
            </w:r>
            <w:proofErr w:type="gramEnd"/>
            <w:r>
              <w:rPr>
                <w:rFonts w:asciiTheme="minorHAnsi" w:hAnsiTheme="minorHAnsi" w:cs="Arial"/>
                <w:sz w:val="22"/>
                <w:szCs w:val="22"/>
              </w:rPr>
              <w:t xml:space="preserve"> indicator   </w:t>
            </w:r>
          </w:p>
        </w:tc>
        <w:tc>
          <w:tcPr>
            <w:tcW w:w="2412" w:type="dxa"/>
            <w:shd w:val="clear" w:color="auto" w:fill="auto"/>
          </w:tcPr>
          <w:p w14:paraId="760797AE" w14:textId="77777777" w:rsidR="00BF79CC" w:rsidRPr="00AD237C" w:rsidRDefault="00BF79CC" w:rsidP="00AD237C">
            <w:pPr>
              <w:rPr>
                <w:rFonts w:asciiTheme="minorHAnsi" w:hAnsiTheme="minorHAnsi" w:cs="Arial"/>
                <w:sz w:val="22"/>
                <w:szCs w:val="22"/>
              </w:rPr>
            </w:pPr>
          </w:p>
        </w:tc>
      </w:tr>
      <w:tr w:rsidR="00BF79CC" w14:paraId="09F89ADC" w14:textId="1EE2CF03" w:rsidTr="00B11378">
        <w:trPr>
          <w:jc w:val="center"/>
        </w:trPr>
        <w:tc>
          <w:tcPr>
            <w:tcW w:w="2127" w:type="dxa"/>
            <w:shd w:val="clear" w:color="auto" w:fill="FFFFFF" w:themeFill="background1"/>
            <w:hideMark/>
          </w:tcPr>
          <w:p w14:paraId="01510992"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SS02</w:t>
            </w:r>
          </w:p>
        </w:tc>
        <w:tc>
          <w:tcPr>
            <w:tcW w:w="5521" w:type="dxa"/>
            <w:shd w:val="clear" w:color="auto" w:fill="FFFFFF" w:themeFill="background1"/>
            <w:hideMark/>
          </w:tcPr>
          <w:p w14:paraId="1CE8D2C6"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Ensuring delivery of Regional Service Plans</w:t>
            </w:r>
          </w:p>
        </w:tc>
        <w:tc>
          <w:tcPr>
            <w:tcW w:w="2412" w:type="dxa"/>
            <w:shd w:val="clear" w:color="auto" w:fill="FABF8F" w:themeFill="accent6" w:themeFillTint="99"/>
          </w:tcPr>
          <w:p w14:paraId="7E2C579D" w14:textId="65AB61AF" w:rsidR="00BF79CC" w:rsidRPr="00AD237C" w:rsidRDefault="00B11378" w:rsidP="00AD237C">
            <w:pPr>
              <w:rPr>
                <w:rFonts w:asciiTheme="minorHAnsi" w:hAnsiTheme="minorHAnsi" w:cs="Arial"/>
                <w:sz w:val="22"/>
                <w:szCs w:val="22"/>
              </w:rPr>
            </w:pPr>
            <w:r>
              <w:rPr>
                <w:rFonts w:asciiTheme="minorHAnsi" w:hAnsiTheme="minorHAnsi" w:cs="Arial"/>
                <w:sz w:val="22"/>
                <w:szCs w:val="22"/>
              </w:rPr>
              <w:t>Regional plans are paused for 2021/22</w:t>
            </w:r>
          </w:p>
        </w:tc>
      </w:tr>
      <w:tr w:rsidR="00BF79CC" w14:paraId="15051B61" w14:textId="3BC71E29" w:rsidTr="004622DC">
        <w:trPr>
          <w:jc w:val="center"/>
        </w:trPr>
        <w:tc>
          <w:tcPr>
            <w:tcW w:w="2127" w:type="dxa"/>
            <w:shd w:val="clear" w:color="auto" w:fill="FFFFFF" w:themeFill="background1"/>
            <w:hideMark/>
          </w:tcPr>
          <w:p w14:paraId="2159A514"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SS03</w:t>
            </w:r>
          </w:p>
        </w:tc>
        <w:tc>
          <w:tcPr>
            <w:tcW w:w="5521" w:type="dxa"/>
            <w:shd w:val="clear" w:color="auto" w:fill="FFFFFF" w:themeFill="background1"/>
            <w:hideMark/>
          </w:tcPr>
          <w:p w14:paraId="071EC679"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Ensuring delivery of Service Coverage</w:t>
            </w:r>
          </w:p>
        </w:tc>
        <w:tc>
          <w:tcPr>
            <w:tcW w:w="2412" w:type="dxa"/>
            <w:shd w:val="clear" w:color="auto" w:fill="auto"/>
          </w:tcPr>
          <w:p w14:paraId="60DCE57B" w14:textId="77777777" w:rsidR="00BF79CC" w:rsidRPr="00AD237C" w:rsidRDefault="00BF79CC" w:rsidP="00AD237C">
            <w:pPr>
              <w:rPr>
                <w:rFonts w:asciiTheme="minorHAnsi" w:hAnsiTheme="minorHAnsi" w:cs="Arial"/>
                <w:sz w:val="22"/>
                <w:szCs w:val="22"/>
              </w:rPr>
            </w:pPr>
          </w:p>
        </w:tc>
      </w:tr>
      <w:tr w:rsidR="00BF79CC" w14:paraId="564C5570" w14:textId="451FB54D" w:rsidTr="004622DC">
        <w:trPr>
          <w:jc w:val="center"/>
        </w:trPr>
        <w:tc>
          <w:tcPr>
            <w:tcW w:w="2127" w:type="dxa"/>
            <w:shd w:val="clear" w:color="auto" w:fill="FFFFFF" w:themeFill="background1"/>
            <w:hideMark/>
          </w:tcPr>
          <w:p w14:paraId="7FF81454"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SS04</w:t>
            </w:r>
          </w:p>
        </w:tc>
        <w:tc>
          <w:tcPr>
            <w:tcW w:w="5521" w:type="dxa"/>
            <w:shd w:val="clear" w:color="auto" w:fill="FFFFFF" w:themeFill="background1"/>
            <w:hideMark/>
          </w:tcPr>
          <w:p w14:paraId="6B30CE47"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Delivery of actions to improve Wrap Around Services for Older People</w:t>
            </w:r>
          </w:p>
        </w:tc>
        <w:tc>
          <w:tcPr>
            <w:tcW w:w="2412" w:type="dxa"/>
            <w:shd w:val="clear" w:color="auto" w:fill="auto"/>
          </w:tcPr>
          <w:p w14:paraId="6C7B19DF" w14:textId="77777777" w:rsidR="00BF79CC" w:rsidRPr="00AD237C" w:rsidRDefault="00BF79CC" w:rsidP="00AD237C">
            <w:pPr>
              <w:rPr>
                <w:rFonts w:asciiTheme="minorHAnsi" w:hAnsiTheme="minorHAnsi" w:cs="Arial"/>
                <w:sz w:val="22"/>
                <w:szCs w:val="22"/>
              </w:rPr>
            </w:pPr>
          </w:p>
        </w:tc>
      </w:tr>
      <w:tr w:rsidR="00BF79CC" w14:paraId="167864DA" w14:textId="5F41B60F" w:rsidTr="004622DC">
        <w:trPr>
          <w:jc w:val="center"/>
        </w:trPr>
        <w:tc>
          <w:tcPr>
            <w:tcW w:w="2127" w:type="dxa"/>
            <w:shd w:val="clear" w:color="auto" w:fill="FFFFFF" w:themeFill="background1"/>
            <w:hideMark/>
          </w:tcPr>
          <w:p w14:paraId="4976894C"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SS05</w:t>
            </w:r>
          </w:p>
        </w:tc>
        <w:tc>
          <w:tcPr>
            <w:tcW w:w="5521" w:type="dxa"/>
            <w:shd w:val="clear" w:color="auto" w:fill="FFFFFF" w:themeFill="background1"/>
            <w:hideMark/>
          </w:tcPr>
          <w:p w14:paraId="637DF9C1"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Ambulatory sensitive hospitalisations (ASH adult)</w:t>
            </w:r>
          </w:p>
        </w:tc>
        <w:tc>
          <w:tcPr>
            <w:tcW w:w="2412" w:type="dxa"/>
            <w:shd w:val="clear" w:color="auto" w:fill="auto"/>
          </w:tcPr>
          <w:p w14:paraId="76F238A2" w14:textId="77777777" w:rsidR="00BF79CC" w:rsidRPr="00AD237C" w:rsidRDefault="00BF79CC" w:rsidP="00AD237C">
            <w:pPr>
              <w:rPr>
                <w:rFonts w:asciiTheme="minorHAnsi" w:hAnsiTheme="minorHAnsi" w:cs="Arial"/>
                <w:sz w:val="22"/>
                <w:szCs w:val="22"/>
              </w:rPr>
            </w:pPr>
          </w:p>
        </w:tc>
      </w:tr>
      <w:tr w:rsidR="00BF79CC" w14:paraId="6CC2F3C2" w14:textId="2975C3B2" w:rsidTr="004622DC">
        <w:trPr>
          <w:jc w:val="center"/>
        </w:trPr>
        <w:tc>
          <w:tcPr>
            <w:tcW w:w="2127" w:type="dxa"/>
            <w:shd w:val="clear" w:color="auto" w:fill="FFFFFF" w:themeFill="background1"/>
            <w:hideMark/>
          </w:tcPr>
          <w:p w14:paraId="23C1C867"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SS06</w:t>
            </w:r>
          </w:p>
        </w:tc>
        <w:tc>
          <w:tcPr>
            <w:tcW w:w="5521" w:type="dxa"/>
            <w:shd w:val="clear" w:color="auto" w:fill="FFFFFF" w:themeFill="background1"/>
            <w:hideMark/>
          </w:tcPr>
          <w:p w14:paraId="5C31DCA6"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Better help for smokers to quit in public hospitals (previous health target)</w:t>
            </w:r>
          </w:p>
        </w:tc>
        <w:tc>
          <w:tcPr>
            <w:tcW w:w="2412" w:type="dxa"/>
            <w:shd w:val="clear" w:color="auto" w:fill="auto"/>
          </w:tcPr>
          <w:p w14:paraId="25E15CE8" w14:textId="77777777" w:rsidR="00BF79CC" w:rsidRPr="00AD237C" w:rsidRDefault="00BF79CC" w:rsidP="00AD237C">
            <w:pPr>
              <w:rPr>
                <w:rFonts w:asciiTheme="minorHAnsi" w:hAnsiTheme="minorHAnsi" w:cs="Arial"/>
                <w:sz w:val="22"/>
                <w:szCs w:val="22"/>
              </w:rPr>
            </w:pPr>
          </w:p>
        </w:tc>
      </w:tr>
      <w:tr w:rsidR="00BF79CC" w14:paraId="6D97D782" w14:textId="27915580" w:rsidTr="00BC38FD">
        <w:trPr>
          <w:jc w:val="center"/>
        </w:trPr>
        <w:tc>
          <w:tcPr>
            <w:tcW w:w="2127" w:type="dxa"/>
            <w:shd w:val="clear" w:color="auto" w:fill="FFFFFF" w:themeFill="background1"/>
            <w:hideMark/>
          </w:tcPr>
          <w:p w14:paraId="0E0E5A48"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SS07</w:t>
            </w:r>
          </w:p>
        </w:tc>
        <w:tc>
          <w:tcPr>
            <w:tcW w:w="5521" w:type="dxa"/>
            <w:shd w:val="clear" w:color="auto" w:fill="FFFFFF" w:themeFill="background1"/>
            <w:hideMark/>
          </w:tcPr>
          <w:p w14:paraId="57AA38EC"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Planned Care Measures</w:t>
            </w:r>
          </w:p>
        </w:tc>
        <w:tc>
          <w:tcPr>
            <w:tcW w:w="2412" w:type="dxa"/>
            <w:shd w:val="clear" w:color="auto" w:fill="FFFFFF" w:themeFill="background1"/>
          </w:tcPr>
          <w:p w14:paraId="0D89D111" w14:textId="37F67C54" w:rsidR="00BF79CC" w:rsidRPr="00AD237C" w:rsidRDefault="00B80648" w:rsidP="00AD237C">
            <w:pPr>
              <w:rPr>
                <w:rFonts w:asciiTheme="minorHAnsi" w:hAnsiTheme="minorHAnsi" w:cs="Arial"/>
                <w:sz w:val="22"/>
                <w:szCs w:val="22"/>
              </w:rPr>
            </w:pPr>
            <w:r w:rsidRPr="006B0ECE">
              <w:rPr>
                <w:rFonts w:asciiTheme="minorHAnsi" w:hAnsiTheme="minorHAnsi" w:cs="Arial"/>
                <w:sz w:val="22"/>
                <w:szCs w:val="22"/>
                <w:highlight w:val="yellow"/>
              </w:rPr>
              <w:t>Updates to the way deliverables are reported</w:t>
            </w:r>
            <w:r>
              <w:rPr>
                <w:rFonts w:asciiTheme="minorHAnsi" w:hAnsiTheme="minorHAnsi" w:cs="Arial"/>
                <w:sz w:val="22"/>
                <w:szCs w:val="22"/>
              </w:rPr>
              <w:t xml:space="preserve"> </w:t>
            </w:r>
          </w:p>
        </w:tc>
      </w:tr>
      <w:tr w:rsidR="00BF79CC" w14:paraId="775F4216" w14:textId="124A40AE" w:rsidTr="00E50734">
        <w:trPr>
          <w:jc w:val="center"/>
        </w:trPr>
        <w:tc>
          <w:tcPr>
            <w:tcW w:w="2127" w:type="dxa"/>
            <w:shd w:val="clear" w:color="auto" w:fill="FFFFFF" w:themeFill="background1"/>
            <w:hideMark/>
          </w:tcPr>
          <w:p w14:paraId="753392E8" w14:textId="33B0A294" w:rsidR="00BF79CC" w:rsidRDefault="00D301A2"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SS08</w:t>
            </w:r>
          </w:p>
        </w:tc>
        <w:tc>
          <w:tcPr>
            <w:tcW w:w="5521" w:type="dxa"/>
            <w:shd w:val="clear" w:color="auto" w:fill="FFFFFF" w:themeFill="background1"/>
            <w:hideMark/>
          </w:tcPr>
          <w:p w14:paraId="5697B1B6" w14:textId="77777777" w:rsidR="00BF79CC" w:rsidRDefault="00BF79CC" w:rsidP="005E0F06">
            <w:pPr>
              <w:shd w:val="clear" w:color="auto" w:fill="FFFFFF" w:themeFill="background1"/>
              <w:rPr>
                <w:rFonts w:asciiTheme="minorHAnsi" w:hAnsiTheme="minorHAnsi" w:cs="Arial"/>
                <w:sz w:val="22"/>
                <w:szCs w:val="22"/>
              </w:rPr>
            </w:pPr>
            <w:bookmarkStart w:id="47" w:name="_Hlk63765883"/>
            <w:r>
              <w:rPr>
                <w:rFonts w:asciiTheme="minorHAnsi" w:hAnsiTheme="minorHAnsi" w:cs="Arial"/>
                <w:sz w:val="22"/>
                <w:szCs w:val="22"/>
              </w:rPr>
              <w:t xml:space="preserve">Planned care </w:t>
            </w:r>
            <w:proofErr w:type="gramStart"/>
            <w:r>
              <w:rPr>
                <w:rFonts w:asciiTheme="minorHAnsi" w:hAnsiTheme="minorHAnsi" w:cs="Arial"/>
                <w:sz w:val="22"/>
                <w:szCs w:val="22"/>
              </w:rPr>
              <w:t>three year</w:t>
            </w:r>
            <w:proofErr w:type="gramEnd"/>
            <w:r>
              <w:rPr>
                <w:rFonts w:asciiTheme="minorHAnsi" w:hAnsiTheme="minorHAnsi" w:cs="Arial"/>
                <w:sz w:val="22"/>
                <w:szCs w:val="22"/>
              </w:rPr>
              <w:t xml:space="preserve"> plan</w:t>
            </w:r>
            <w:bookmarkEnd w:id="47"/>
          </w:p>
        </w:tc>
        <w:tc>
          <w:tcPr>
            <w:tcW w:w="2412" w:type="dxa"/>
            <w:shd w:val="clear" w:color="auto" w:fill="FABF8F" w:themeFill="accent6" w:themeFillTint="99"/>
          </w:tcPr>
          <w:p w14:paraId="45A01C0B" w14:textId="33D36D5C" w:rsidR="00BF79CC" w:rsidRPr="00AD237C" w:rsidRDefault="00B11378" w:rsidP="00AD237C">
            <w:pPr>
              <w:rPr>
                <w:rFonts w:asciiTheme="minorHAnsi" w:hAnsiTheme="minorHAnsi" w:cs="Arial"/>
                <w:sz w:val="22"/>
                <w:szCs w:val="22"/>
              </w:rPr>
            </w:pPr>
            <w:r>
              <w:rPr>
                <w:rFonts w:asciiTheme="minorHAnsi" w:hAnsiTheme="minorHAnsi" w:cs="Arial"/>
                <w:sz w:val="22"/>
                <w:szCs w:val="22"/>
              </w:rPr>
              <w:t xml:space="preserve">Measure </w:t>
            </w:r>
            <w:r w:rsidR="009346F7">
              <w:rPr>
                <w:rFonts w:asciiTheme="minorHAnsi" w:hAnsiTheme="minorHAnsi" w:cs="Arial"/>
                <w:sz w:val="22"/>
                <w:szCs w:val="22"/>
              </w:rPr>
              <w:t xml:space="preserve">removed </w:t>
            </w:r>
          </w:p>
        </w:tc>
      </w:tr>
      <w:tr w:rsidR="00BF79CC" w14:paraId="266363D8" w14:textId="64FD2342" w:rsidTr="0000646E">
        <w:trPr>
          <w:jc w:val="center"/>
        </w:trPr>
        <w:tc>
          <w:tcPr>
            <w:tcW w:w="2127" w:type="dxa"/>
            <w:shd w:val="clear" w:color="auto" w:fill="FFFFFF" w:themeFill="background1"/>
            <w:hideMark/>
          </w:tcPr>
          <w:p w14:paraId="1C77400E" w14:textId="7F4CA003" w:rsidR="00BF79CC" w:rsidRDefault="00D301A2"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SS09</w:t>
            </w:r>
          </w:p>
        </w:tc>
        <w:tc>
          <w:tcPr>
            <w:tcW w:w="5521" w:type="dxa"/>
            <w:shd w:val="clear" w:color="auto" w:fill="FFFFFF" w:themeFill="background1"/>
            <w:hideMark/>
          </w:tcPr>
          <w:p w14:paraId="25E10884" w14:textId="77777777" w:rsidR="00BF79CC" w:rsidRDefault="00BF79CC" w:rsidP="005E0F06">
            <w:pPr>
              <w:shd w:val="clear" w:color="auto" w:fill="FFFFFF" w:themeFill="background1"/>
              <w:rPr>
                <w:rFonts w:asciiTheme="minorHAnsi" w:hAnsiTheme="minorHAnsi" w:cs="Arial"/>
                <w:sz w:val="22"/>
                <w:szCs w:val="22"/>
              </w:rPr>
            </w:pPr>
            <w:r>
              <w:rPr>
                <w:rFonts w:asciiTheme="minorHAnsi" w:hAnsiTheme="minorHAnsi" w:cs="Arial"/>
                <w:sz w:val="22"/>
                <w:szCs w:val="22"/>
              </w:rPr>
              <w:t>Improving the quality of identity data within the National Health Index (NHI) and data submitted to National Collections</w:t>
            </w:r>
            <w:r>
              <w:rPr>
                <w:rFonts w:asciiTheme="minorHAnsi" w:hAnsiTheme="minorHAnsi" w:cs="Arial"/>
                <w:sz w:val="22"/>
                <w:szCs w:val="22"/>
              </w:rPr>
              <w:tab/>
            </w:r>
          </w:p>
        </w:tc>
        <w:tc>
          <w:tcPr>
            <w:tcW w:w="2412" w:type="dxa"/>
            <w:shd w:val="clear" w:color="auto" w:fill="FFFF00"/>
          </w:tcPr>
          <w:p w14:paraId="5E3E86CC" w14:textId="43657474" w:rsidR="00BF79CC" w:rsidRPr="00AD237C" w:rsidRDefault="007356AA" w:rsidP="00AD237C">
            <w:pPr>
              <w:rPr>
                <w:rFonts w:asciiTheme="minorHAnsi" w:hAnsiTheme="minorHAnsi" w:cs="Arial"/>
                <w:sz w:val="22"/>
                <w:szCs w:val="22"/>
              </w:rPr>
            </w:pPr>
            <w:r>
              <w:rPr>
                <w:rFonts w:asciiTheme="minorHAnsi" w:hAnsiTheme="minorHAnsi" w:cs="Arial"/>
                <w:sz w:val="22"/>
                <w:szCs w:val="22"/>
              </w:rPr>
              <w:t>Updates to the numerator and denominator definit</w:t>
            </w:r>
            <w:r w:rsidR="007C29C5">
              <w:rPr>
                <w:rFonts w:asciiTheme="minorHAnsi" w:hAnsiTheme="minorHAnsi" w:cs="Arial"/>
                <w:sz w:val="22"/>
                <w:szCs w:val="22"/>
              </w:rPr>
              <w:t>i</w:t>
            </w:r>
            <w:r>
              <w:rPr>
                <w:rFonts w:asciiTheme="minorHAnsi" w:hAnsiTheme="minorHAnsi" w:cs="Arial"/>
                <w:sz w:val="22"/>
                <w:szCs w:val="22"/>
              </w:rPr>
              <w:t xml:space="preserve">ons </w:t>
            </w:r>
            <w:r w:rsidR="007C29C5">
              <w:rPr>
                <w:rFonts w:asciiTheme="minorHAnsi" w:hAnsiTheme="minorHAnsi" w:cs="Arial"/>
                <w:sz w:val="22"/>
                <w:szCs w:val="22"/>
              </w:rPr>
              <w:t xml:space="preserve">and  assessment criteria for </w:t>
            </w:r>
            <w:r w:rsidR="0000646E">
              <w:rPr>
                <w:rFonts w:asciiTheme="minorHAnsi" w:hAnsiTheme="minorHAnsi" w:cs="Arial"/>
                <w:sz w:val="22"/>
                <w:szCs w:val="22"/>
              </w:rPr>
              <w:t>f</w:t>
            </w:r>
            <w:r w:rsidR="007C29C5">
              <w:rPr>
                <w:rFonts w:asciiTheme="minorHAnsi" w:hAnsiTheme="minorHAnsi" w:cs="Arial"/>
                <w:sz w:val="22"/>
                <w:szCs w:val="22"/>
              </w:rPr>
              <w:t xml:space="preserve">ocus area 2 indicator 3 </w:t>
            </w:r>
          </w:p>
        </w:tc>
      </w:tr>
      <w:tr w:rsidR="004B1778" w14:paraId="0971B9F9" w14:textId="2476FC59" w:rsidTr="004622DC">
        <w:trPr>
          <w:jc w:val="center"/>
        </w:trPr>
        <w:tc>
          <w:tcPr>
            <w:tcW w:w="2127" w:type="dxa"/>
            <w:shd w:val="clear" w:color="auto" w:fill="FFFFFF" w:themeFill="background1"/>
            <w:hideMark/>
          </w:tcPr>
          <w:p w14:paraId="4DFA0F76" w14:textId="77777777" w:rsidR="004B1778" w:rsidRDefault="004B1778" w:rsidP="004B1778">
            <w:pPr>
              <w:shd w:val="clear" w:color="auto" w:fill="FFFFFF" w:themeFill="background1"/>
              <w:rPr>
                <w:rFonts w:asciiTheme="minorHAnsi" w:hAnsiTheme="minorHAnsi" w:cs="Arial"/>
                <w:sz w:val="22"/>
                <w:szCs w:val="22"/>
              </w:rPr>
            </w:pPr>
            <w:r>
              <w:rPr>
                <w:rFonts w:asciiTheme="minorHAnsi" w:hAnsiTheme="minorHAnsi" w:cs="Arial"/>
                <w:sz w:val="22"/>
                <w:szCs w:val="22"/>
              </w:rPr>
              <w:t xml:space="preserve">SS10 </w:t>
            </w:r>
          </w:p>
        </w:tc>
        <w:tc>
          <w:tcPr>
            <w:tcW w:w="5521" w:type="dxa"/>
            <w:shd w:val="clear" w:color="auto" w:fill="FFFFFF" w:themeFill="background1"/>
            <w:hideMark/>
          </w:tcPr>
          <w:p w14:paraId="0D301257" w14:textId="77777777" w:rsidR="004B1778" w:rsidRDefault="004B1778" w:rsidP="004B1778">
            <w:pPr>
              <w:shd w:val="clear" w:color="auto" w:fill="FFFFFF" w:themeFill="background1"/>
              <w:rPr>
                <w:rFonts w:asciiTheme="minorHAnsi" w:hAnsiTheme="minorHAnsi" w:cs="Arial"/>
                <w:sz w:val="22"/>
                <w:szCs w:val="22"/>
              </w:rPr>
            </w:pPr>
            <w:r>
              <w:rPr>
                <w:rFonts w:asciiTheme="minorHAnsi" w:hAnsiTheme="minorHAnsi" w:cs="Arial"/>
                <w:sz w:val="22"/>
                <w:szCs w:val="22"/>
              </w:rPr>
              <w:t>Shorter stays in Emergency Departments</w:t>
            </w:r>
          </w:p>
        </w:tc>
        <w:tc>
          <w:tcPr>
            <w:tcW w:w="2412" w:type="dxa"/>
            <w:shd w:val="clear" w:color="auto" w:fill="auto"/>
          </w:tcPr>
          <w:p w14:paraId="03BBACE4" w14:textId="77777777" w:rsidR="004B1778" w:rsidRPr="00AD237C" w:rsidRDefault="004B1778" w:rsidP="00AD237C">
            <w:pPr>
              <w:rPr>
                <w:rFonts w:asciiTheme="minorHAnsi" w:hAnsiTheme="minorHAnsi" w:cs="Arial"/>
                <w:sz w:val="22"/>
                <w:szCs w:val="22"/>
              </w:rPr>
            </w:pPr>
          </w:p>
        </w:tc>
      </w:tr>
      <w:tr w:rsidR="00F45F02" w14:paraId="258C3B71" w14:textId="1B4E5F19" w:rsidTr="004622DC">
        <w:trPr>
          <w:jc w:val="center"/>
        </w:trPr>
        <w:tc>
          <w:tcPr>
            <w:tcW w:w="2127" w:type="dxa"/>
            <w:shd w:val="clear" w:color="auto" w:fill="FFFFFF" w:themeFill="background1"/>
            <w:hideMark/>
          </w:tcPr>
          <w:p w14:paraId="6AF82B5E" w14:textId="77777777" w:rsidR="00F45F02" w:rsidRDefault="00F45F02" w:rsidP="004B1778">
            <w:pPr>
              <w:shd w:val="clear" w:color="auto" w:fill="FFFFFF" w:themeFill="background1"/>
              <w:rPr>
                <w:rFonts w:asciiTheme="minorHAnsi" w:hAnsiTheme="minorHAnsi" w:cs="Arial"/>
                <w:sz w:val="22"/>
                <w:szCs w:val="22"/>
              </w:rPr>
            </w:pPr>
            <w:r>
              <w:rPr>
                <w:rFonts w:asciiTheme="minorHAnsi" w:hAnsiTheme="minorHAnsi" w:cs="Arial"/>
                <w:sz w:val="22"/>
                <w:szCs w:val="22"/>
              </w:rPr>
              <w:t>SS11</w:t>
            </w:r>
          </w:p>
        </w:tc>
        <w:tc>
          <w:tcPr>
            <w:tcW w:w="5521" w:type="dxa"/>
            <w:shd w:val="clear" w:color="auto" w:fill="FFFFFF" w:themeFill="background1"/>
            <w:hideMark/>
          </w:tcPr>
          <w:p w14:paraId="4DA4B1E7" w14:textId="77777777" w:rsidR="00F45F02" w:rsidRDefault="00F45F02" w:rsidP="004B1778">
            <w:pPr>
              <w:shd w:val="clear" w:color="auto" w:fill="FFFFFF" w:themeFill="background1"/>
              <w:rPr>
                <w:rFonts w:asciiTheme="minorHAnsi" w:hAnsiTheme="minorHAnsi" w:cs="Arial"/>
                <w:sz w:val="22"/>
                <w:szCs w:val="22"/>
              </w:rPr>
            </w:pPr>
            <w:r>
              <w:rPr>
                <w:rFonts w:asciiTheme="minorHAnsi" w:hAnsiTheme="minorHAnsi" w:cs="Arial"/>
                <w:sz w:val="22"/>
                <w:szCs w:val="22"/>
              </w:rPr>
              <w:t>Faster Cancer Treatment (62 days)</w:t>
            </w:r>
          </w:p>
        </w:tc>
        <w:tc>
          <w:tcPr>
            <w:tcW w:w="2412" w:type="dxa"/>
            <w:shd w:val="clear" w:color="auto" w:fill="auto"/>
          </w:tcPr>
          <w:p w14:paraId="28A30359" w14:textId="77777777" w:rsidR="00F45F02" w:rsidRPr="00AD237C" w:rsidRDefault="00F45F02" w:rsidP="00AD237C">
            <w:pPr>
              <w:rPr>
                <w:rFonts w:asciiTheme="minorHAnsi" w:hAnsiTheme="minorHAnsi" w:cs="Arial"/>
                <w:sz w:val="22"/>
                <w:szCs w:val="22"/>
              </w:rPr>
            </w:pPr>
          </w:p>
        </w:tc>
      </w:tr>
      <w:tr w:rsidR="00F45F02" w:rsidRPr="00FC4AA5" w14:paraId="2EAF99D6" w14:textId="68EA64B3" w:rsidTr="00B8775A">
        <w:trPr>
          <w:jc w:val="center"/>
        </w:trPr>
        <w:tc>
          <w:tcPr>
            <w:tcW w:w="2127" w:type="dxa"/>
            <w:shd w:val="clear" w:color="auto" w:fill="FFFFFF" w:themeFill="background1"/>
            <w:hideMark/>
          </w:tcPr>
          <w:p w14:paraId="0FD116ED"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SS12</w:t>
            </w:r>
          </w:p>
        </w:tc>
        <w:tc>
          <w:tcPr>
            <w:tcW w:w="5521" w:type="dxa"/>
            <w:shd w:val="clear" w:color="auto" w:fill="FFFFFF" w:themeFill="background1"/>
            <w:hideMark/>
          </w:tcPr>
          <w:p w14:paraId="63693067"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Engagement and obligations as a Treaty partner</w:t>
            </w:r>
          </w:p>
        </w:tc>
        <w:tc>
          <w:tcPr>
            <w:tcW w:w="2412" w:type="dxa"/>
            <w:shd w:val="clear" w:color="auto" w:fill="FFFFFF" w:themeFill="background1"/>
          </w:tcPr>
          <w:p w14:paraId="03261D58" w14:textId="77777777" w:rsidR="00F45F02" w:rsidRPr="00AD237C" w:rsidRDefault="00F45F02" w:rsidP="00AD237C">
            <w:pPr>
              <w:rPr>
                <w:rFonts w:asciiTheme="minorHAnsi" w:hAnsiTheme="minorHAnsi" w:cs="Arial"/>
                <w:sz w:val="22"/>
                <w:szCs w:val="22"/>
              </w:rPr>
            </w:pPr>
          </w:p>
        </w:tc>
      </w:tr>
      <w:tr w:rsidR="00F45F02" w:rsidRPr="00FC4AA5" w14:paraId="2967E8F2" w14:textId="1AD9D3FE" w:rsidTr="00F267E0">
        <w:trPr>
          <w:jc w:val="center"/>
        </w:trPr>
        <w:tc>
          <w:tcPr>
            <w:tcW w:w="2127" w:type="dxa"/>
            <w:shd w:val="clear" w:color="auto" w:fill="FFFFFF" w:themeFill="background1"/>
            <w:hideMark/>
          </w:tcPr>
          <w:p w14:paraId="21AD817C"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SS13</w:t>
            </w:r>
          </w:p>
        </w:tc>
        <w:tc>
          <w:tcPr>
            <w:tcW w:w="5521" w:type="dxa"/>
            <w:shd w:val="clear" w:color="auto" w:fill="FFFFFF" w:themeFill="background1"/>
            <w:hideMark/>
          </w:tcPr>
          <w:p w14:paraId="184D2440"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Improved management for long term conditions (CVD, Acute heart health, Diabetes, and Stroke)</w:t>
            </w:r>
          </w:p>
        </w:tc>
        <w:tc>
          <w:tcPr>
            <w:tcW w:w="2412" w:type="dxa"/>
            <w:shd w:val="clear" w:color="auto" w:fill="FFFF00"/>
          </w:tcPr>
          <w:p w14:paraId="31A67E75" w14:textId="3BA14E42" w:rsidR="00F45F02" w:rsidRPr="00AD237C" w:rsidRDefault="0088157C" w:rsidP="00AD237C">
            <w:pPr>
              <w:rPr>
                <w:rFonts w:asciiTheme="minorHAnsi" w:hAnsiTheme="minorHAnsi" w:cs="Arial"/>
                <w:sz w:val="22"/>
                <w:szCs w:val="22"/>
              </w:rPr>
            </w:pPr>
            <w:r>
              <w:rPr>
                <w:rFonts w:asciiTheme="minorHAnsi" w:hAnsiTheme="minorHAnsi" w:cs="Arial"/>
                <w:sz w:val="22"/>
                <w:szCs w:val="22"/>
              </w:rPr>
              <w:t xml:space="preserve">New </w:t>
            </w:r>
            <w:r w:rsidR="005822D9">
              <w:rPr>
                <w:rFonts w:asciiTheme="minorHAnsi" w:hAnsiTheme="minorHAnsi" w:cs="Arial"/>
                <w:sz w:val="22"/>
                <w:szCs w:val="22"/>
              </w:rPr>
              <w:t xml:space="preserve">deliverables </w:t>
            </w:r>
            <w:r>
              <w:rPr>
                <w:rFonts w:asciiTheme="minorHAnsi" w:hAnsiTheme="minorHAnsi" w:cs="Arial"/>
                <w:sz w:val="22"/>
                <w:szCs w:val="22"/>
              </w:rPr>
              <w:t xml:space="preserve">signalled </w:t>
            </w:r>
            <w:r w:rsidR="00730BBD">
              <w:rPr>
                <w:rFonts w:asciiTheme="minorHAnsi" w:hAnsiTheme="minorHAnsi" w:cs="Arial"/>
                <w:sz w:val="22"/>
                <w:szCs w:val="22"/>
              </w:rPr>
              <w:t>for the diabetes services</w:t>
            </w:r>
            <w:r w:rsidR="00F267E0">
              <w:rPr>
                <w:rFonts w:asciiTheme="minorHAnsi" w:hAnsiTheme="minorHAnsi" w:cs="Arial"/>
                <w:sz w:val="22"/>
                <w:szCs w:val="22"/>
              </w:rPr>
              <w:t xml:space="preserve"> - </w:t>
            </w:r>
            <w:r w:rsidR="00730BBD">
              <w:rPr>
                <w:rFonts w:asciiTheme="minorHAnsi" w:hAnsiTheme="minorHAnsi" w:cs="Arial"/>
                <w:sz w:val="22"/>
                <w:szCs w:val="22"/>
              </w:rPr>
              <w:t xml:space="preserve"> focus area 2 </w:t>
            </w:r>
            <w:r w:rsidR="005822D9">
              <w:rPr>
                <w:rFonts w:asciiTheme="minorHAnsi" w:hAnsiTheme="minorHAnsi" w:cs="Arial"/>
                <w:sz w:val="22"/>
                <w:szCs w:val="22"/>
              </w:rPr>
              <w:t>including addition of a</w:t>
            </w:r>
            <w:r w:rsidR="00541A38">
              <w:rPr>
                <w:rFonts w:asciiTheme="minorHAnsi" w:hAnsiTheme="minorHAnsi" w:cs="Arial"/>
                <w:sz w:val="22"/>
                <w:szCs w:val="22"/>
              </w:rPr>
              <w:t>n eGFR</w:t>
            </w:r>
            <w:r w:rsidR="000034A8">
              <w:rPr>
                <w:rFonts w:asciiTheme="minorHAnsi" w:hAnsiTheme="minorHAnsi" w:cs="Arial"/>
                <w:sz w:val="22"/>
                <w:szCs w:val="22"/>
              </w:rPr>
              <w:t xml:space="preserve"> indicator and </w:t>
            </w:r>
            <w:r w:rsidR="005822D9">
              <w:rPr>
                <w:rFonts w:asciiTheme="minorHAnsi" w:hAnsiTheme="minorHAnsi" w:cs="Arial"/>
                <w:sz w:val="22"/>
                <w:szCs w:val="22"/>
              </w:rPr>
              <w:t>foot screening indicator</w:t>
            </w:r>
            <w:r w:rsidR="007B1927">
              <w:rPr>
                <w:rFonts w:asciiTheme="minorHAnsi" w:hAnsiTheme="minorHAnsi" w:cs="Arial"/>
                <w:sz w:val="22"/>
                <w:szCs w:val="22"/>
              </w:rPr>
              <w:t>s</w:t>
            </w:r>
            <w:r w:rsidR="005822D9">
              <w:rPr>
                <w:rFonts w:asciiTheme="minorHAnsi" w:hAnsiTheme="minorHAnsi" w:cs="Arial"/>
                <w:sz w:val="22"/>
                <w:szCs w:val="22"/>
              </w:rPr>
              <w:t xml:space="preserve"> </w:t>
            </w:r>
            <w:r>
              <w:rPr>
                <w:rFonts w:asciiTheme="minorHAnsi" w:hAnsiTheme="minorHAnsi" w:cs="Arial"/>
                <w:sz w:val="22"/>
                <w:szCs w:val="22"/>
              </w:rPr>
              <w:t xml:space="preserve">removed in April 21 update </w:t>
            </w:r>
          </w:p>
        </w:tc>
      </w:tr>
      <w:tr w:rsidR="00F45F02" w:rsidRPr="00FC4AA5" w14:paraId="5415CFB4" w14:textId="3179B6AE" w:rsidTr="004622DC">
        <w:trPr>
          <w:jc w:val="center"/>
        </w:trPr>
        <w:tc>
          <w:tcPr>
            <w:tcW w:w="2127" w:type="dxa"/>
            <w:shd w:val="clear" w:color="auto" w:fill="FFFFFF" w:themeFill="background1"/>
            <w:hideMark/>
          </w:tcPr>
          <w:p w14:paraId="126053C6"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SS15</w:t>
            </w:r>
          </w:p>
        </w:tc>
        <w:tc>
          <w:tcPr>
            <w:tcW w:w="5521" w:type="dxa"/>
            <w:shd w:val="clear" w:color="auto" w:fill="FFFFFF" w:themeFill="background1"/>
            <w:hideMark/>
          </w:tcPr>
          <w:p w14:paraId="147A8DD4"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 xml:space="preserve">Improving waiting times for Colonoscopy </w:t>
            </w:r>
          </w:p>
        </w:tc>
        <w:tc>
          <w:tcPr>
            <w:tcW w:w="2412" w:type="dxa"/>
            <w:shd w:val="clear" w:color="auto" w:fill="auto"/>
          </w:tcPr>
          <w:p w14:paraId="2561F77F" w14:textId="77777777" w:rsidR="00F45F02" w:rsidRPr="00AD237C" w:rsidRDefault="00F45F02" w:rsidP="00AD237C">
            <w:pPr>
              <w:rPr>
                <w:rFonts w:asciiTheme="minorHAnsi" w:hAnsiTheme="minorHAnsi" w:cs="Arial"/>
                <w:sz w:val="22"/>
                <w:szCs w:val="22"/>
              </w:rPr>
            </w:pPr>
          </w:p>
        </w:tc>
      </w:tr>
      <w:tr w:rsidR="00F45F02" w:rsidRPr="00FC4AA5" w14:paraId="060CF7C6" w14:textId="04A2D5F0" w:rsidTr="004622DC">
        <w:trPr>
          <w:jc w:val="center"/>
        </w:trPr>
        <w:tc>
          <w:tcPr>
            <w:tcW w:w="2127" w:type="dxa"/>
            <w:shd w:val="clear" w:color="auto" w:fill="FFFFFF" w:themeFill="background1"/>
            <w:hideMark/>
          </w:tcPr>
          <w:p w14:paraId="63CE1FB4"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SS17</w:t>
            </w:r>
          </w:p>
        </w:tc>
        <w:tc>
          <w:tcPr>
            <w:tcW w:w="5521" w:type="dxa"/>
            <w:shd w:val="clear" w:color="auto" w:fill="FFFFFF" w:themeFill="background1"/>
            <w:hideMark/>
          </w:tcPr>
          <w:p w14:paraId="75A32B22" w14:textId="7A26E819"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 xml:space="preserve">Delivery of </w:t>
            </w:r>
            <w:proofErr w:type="spellStart"/>
            <w:r w:rsidRPr="00FC4AA5">
              <w:rPr>
                <w:rFonts w:asciiTheme="minorHAnsi" w:hAnsiTheme="minorHAnsi" w:cs="Arial"/>
                <w:sz w:val="22"/>
                <w:szCs w:val="22"/>
              </w:rPr>
              <w:t>Whānau</w:t>
            </w:r>
            <w:proofErr w:type="spellEnd"/>
            <w:r w:rsidRPr="00FC4AA5">
              <w:rPr>
                <w:rFonts w:asciiTheme="minorHAnsi" w:hAnsiTheme="minorHAnsi" w:cs="Arial"/>
                <w:sz w:val="22"/>
                <w:szCs w:val="22"/>
              </w:rPr>
              <w:t xml:space="preserve"> </w:t>
            </w:r>
            <w:proofErr w:type="spellStart"/>
            <w:r w:rsidRPr="00FC4AA5">
              <w:rPr>
                <w:rFonts w:asciiTheme="minorHAnsi" w:hAnsiTheme="minorHAnsi" w:cs="Arial"/>
                <w:sz w:val="22"/>
                <w:szCs w:val="22"/>
              </w:rPr>
              <w:t>ora</w:t>
            </w:r>
            <w:proofErr w:type="spellEnd"/>
          </w:p>
        </w:tc>
        <w:tc>
          <w:tcPr>
            <w:tcW w:w="2412" w:type="dxa"/>
            <w:shd w:val="clear" w:color="auto" w:fill="auto"/>
          </w:tcPr>
          <w:p w14:paraId="75F5FC00" w14:textId="77777777" w:rsidR="00F45F02" w:rsidRPr="00AD237C" w:rsidRDefault="00F45F02" w:rsidP="00AD237C">
            <w:pPr>
              <w:rPr>
                <w:rFonts w:asciiTheme="minorHAnsi" w:hAnsiTheme="minorHAnsi" w:cs="Arial"/>
                <w:sz w:val="22"/>
                <w:szCs w:val="22"/>
              </w:rPr>
            </w:pPr>
          </w:p>
        </w:tc>
      </w:tr>
      <w:tr w:rsidR="00F45F02" w14:paraId="5AC07909" w14:textId="40EBAB7D" w:rsidTr="00B8775A">
        <w:trPr>
          <w:jc w:val="center"/>
        </w:trPr>
        <w:tc>
          <w:tcPr>
            <w:tcW w:w="2127" w:type="dxa"/>
            <w:shd w:val="clear" w:color="auto" w:fill="D9D9D9" w:themeFill="background1" w:themeFillShade="D9"/>
          </w:tcPr>
          <w:p w14:paraId="57C6D24F" w14:textId="77777777" w:rsidR="00F45F02" w:rsidRDefault="00F45F02" w:rsidP="004B1778">
            <w:pPr>
              <w:rPr>
                <w:rFonts w:asciiTheme="minorHAnsi" w:hAnsiTheme="minorHAnsi" w:cs="Arial"/>
                <w:sz w:val="22"/>
                <w:szCs w:val="22"/>
              </w:rPr>
            </w:pPr>
          </w:p>
        </w:tc>
        <w:tc>
          <w:tcPr>
            <w:tcW w:w="5521" w:type="dxa"/>
            <w:shd w:val="clear" w:color="auto" w:fill="D9D9D9" w:themeFill="background1" w:themeFillShade="D9"/>
          </w:tcPr>
          <w:p w14:paraId="017EF273" w14:textId="77777777" w:rsidR="00F45F02" w:rsidRDefault="00F45F02" w:rsidP="004B1778">
            <w:pPr>
              <w:ind w:right="-59"/>
              <w:jc w:val="both"/>
              <w:rPr>
                <w:rFonts w:asciiTheme="minorHAnsi" w:hAnsiTheme="minorHAnsi" w:cs="Arial"/>
                <w:sz w:val="22"/>
                <w:szCs w:val="22"/>
              </w:rPr>
            </w:pPr>
          </w:p>
        </w:tc>
        <w:tc>
          <w:tcPr>
            <w:tcW w:w="2412" w:type="dxa"/>
            <w:shd w:val="clear" w:color="auto" w:fill="D9D9D9" w:themeFill="background1" w:themeFillShade="D9"/>
          </w:tcPr>
          <w:p w14:paraId="2C1EB021" w14:textId="77777777" w:rsidR="00F45F02" w:rsidRPr="00AD237C" w:rsidRDefault="00F45F02" w:rsidP="00AD237C">
            <w:pPr>
              <w:rPr>
                <w:rFonts w:asciiTheme="minorHAnsi" w:hAnsiTheme="minorHAnsi" w:cs="Arial"/>
                <w:sz w:val="22"/>
                <w:szCs w:val="22"/>
              </w:rPr>
            </w:pPr>
          </w:p>
        </w:tc>
      </w:tr>
      <w:tr w:rsidR="00F45F02" w:rsidRPr="00FC4AA5" w14:paraId="1BFF307F" w14:textId="0AF385B4" w:rsidTr="004622DC">
        <w:trPr>
          <w:jc w:val="center"/>
        </w:trPr>
        <w:tc>
          <w:tcPr>
            <w:tcW w:w="2127" w:type="dxa"/>
            <w:shd w:val="clear" w:color="auto" w:fill="FFFFFF" w:themeFill="background1"/>
            <w:hideMark/>
          </w:tcPr>
          <w:p w14:paraId="7B28EDB2"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PH01</w:t>
            </w:r>
          </w:p>
        </w:tc>
        <w:tc>
          <w:tcPr>
            <w:tcW w:w="5521" w:type="dxa"/>
            <w:shd w:val="clear" w:color="auto" w:fill="FFFFFF" w:themeFill="background1"/>
            <w:hideMark/>
          </w:tcPr>
          <w:p w14:paraId="6C33B947"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noProof/>
                <w:sz w:val="22"/>
                <w:szCs w:val="22"/>
              </w:rPr>
              <w:t>Delivery of actions to improve SLMs</w:t>
            </w:r>
          </w:p>
        </w:tc>
        <w:tc>
          <w:tcPr>
            <w:tcW w:w="2412" w:type="dxa"/>
            <w:shd w:val="clear" w:color="auto" w:fill="auto"/>
          </w:tcPr>
          <w:p w14:paraId="3B5CF1A7" w14:textId="77777777" w:rsidR="00F45F02" w:rsidRPr="00AD237C" w:rsidRDefault="00F45F02" w:rsidP="00AD237C">
            <w:pPr>
              <w:rPr>
                <w:rFonts w:asciiTheme="minorHAnsi" w:hAnsiTheme="minorHAnsi" w:cs="Arial"/>
                <w:noProof/>
                <w:sz w:val="22"/>
                <w:szCs w:val="22"/>
              </w:rPr>
            </w:pPr>
          </w:p>
        </w:tc>
      </w:tr>
      <w:tr w:rsidR="00F45F02" w:rsidRPr="00FC4AA5" w14:paraId="0B64BB41" w14:textId="31B69009" w:rsidTr="004622DC">
        <w:trPr>
          <w:jc w:val="center"/>
        </w:trPr>
        <w:tc>
          <w:tcPr>
            <w:tcW w:w="2127" w:type="dxa"/>
            <w:shd w:val="clear" w:color="auto" w:fill="FFFFFF" w:themeFill="background1"/>
            <w:hideMark/>
          </w:tcPr>
          <w:p w14:paraId="27F430A2"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PH02</w:t>
            </w:r>
          </w:p>
        </w:tc>
        <w:tc>
          <w:tcPr>
            <w:tcW w:w="5521" w:type="dxa"/>
            <w:shd w:val="clear" w:color="auto" w:fill="FFFFFF" w:themeFill="background1"/>
            <w:hideMark/>
          </w:tcPr>
          <w:p w14:paraId="5DFA8F0A"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 xml:space="preserve">Improving the quality of ethnicity data collection in PHO and NHI registers </w:t>
            </w:r>
          </w:p>
        </w:tc>
        <w:tc>
          <w:tcPr>
            <w:tcW w:w="2412" w:type="dxa"/>
            <w:shd w:val="clear" w:color="auto" w:fill="auto"/>
          </w:tcPr>
          <w:p w14:paraId="43C08189" w14:textId="77777777" w:rsidR="00F45F02" w:rsidRPr="00AD237C" w:rsidRDefault="00F45F02" w:rsidP="00AD237C">
            <w:pPr>
              <w:rPr>
                <w:rFonts w:asciiTheme="minorHAnsi" w:hAnsiTheme="minorHAnsi" w:cs="Arial"/>
                <w:sz w:val="22"/>
                <w:szCs w:val="22"/>
              </w:rPr>
            </w:pPr>
          </w:p>
        </w:tc>
      </w:tr>
      <w:tr w:rsidR="00F45F02" w:rsidRPr="00FC4AA5" w14:paraId="1653C657" w14:textId="2A2F16E4" w:rsidTr="004622DC">
        <w:trPr>
          <w:jc w:val="center"/>
        </w:trPr>
        <w:tc>
          <w:tcPr>
            <w:tcW w:w="2127" w:type="dxa"/>
            <w:shd w:val="clear" w:color="auto" w:fill="FFFFFF" w:themeFill="background1"/>
            <w:hideMark/>
          </w:tcPr>
          <w:p w14:paraId="327072AC"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PH03</w:t>
            </w:r>
          </w:p>
        </w:tc>
        <w:tc>
          <w:tcPr>
            <w:tcW w:w="5521" w:type="dxa"/>
            <w:shd w:val="clear" w:color="auto" w:fill="FFFFFF" w:themeFill="background1"/>
            <w:hideMark/>
          </w:tcPr>
          <w:p w14:paraId="1EEC03F5"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Access to Care (PHO Enrolments)</w:t>
            </w:r>
          </w:p>
        </w:tc>
        <w:tc>
          <w:tcPr>
            <w:tcW w:w="2412" w:type="dxa"/>
            <w:shd w:val="clear" w:color="auto" w:fill="auto"/>
          </w:tcPr>
          <w:p w14:paraId="6B8DF1E2" w14:textId="77777777" w:rsidR="00F45F02" w:rsidRPr="00AD237C" w:rsidRDefault="00F45F02" w:rsidP="00AD237C">
            <w:pPr>
              <w:rPr>
                <w:rFonts w:asciiTheme="minorHAnsi" w:hAnsiTheme="minorHAnsi" w:cs="Arial"/>
                <w:sz w:val="22"/>
                <w:szCs w:val="22"/>
              </w:rPr>
            </w:pPr>
          </w:p>
        </w:tc>
      </w:tr>
      <w:tr w:rsidR="00F45F02" w14:paraId="42C838C0" w14:textId="36397343" w:rsidTr="004622DC">
        <w:trPr>
          <w:jc w:val="center"/>
        </w:trPr>
        <w:tc>
          <w:tcPr>
            <w:tcW w:w="2127" w:type="dxa"/>
            <w:shd w:val="clear" w:color="auto" w:fill="FFFFFF" w:themeFill="background1"/>
            <w:hideMark/>
          </w:tcPr>
          <w:p w14:paraId="26ECA5FD" w14:textId="77777777" w:rsidR="00F45F02" w:rsidRPr="00FC4AA5" w:rsidRDefault="00F45F02" w:rsidP="004B1778">
            <w:pPr>
              <w:rPr>
                <w:rFonts w:asciiTheme="minorHAnsi" w:hAnsiTheme="minorHAnsi" w:cs="Arial"/>
                <w:sz w:val="22"/>
                <w:szCs w:val="22"/>
              </w:rPr>
            </w:pPr>
            <w:r w:rsidRPr="00FC4AA5">
              <w:rPr>
                <w:rFonts w:asciiTheme="minorHAnsi" w:hAnsiTheme="minorHAnsi" w:cs="Arial"/>
                <w:sz w:val="22"/>
                <w:szCs w:val="22"/>
              </w:rPr>
              <w:t>PH04</w:t>
            </w:r>
          </w:p>
        </w:tc>
        <w:tc>
          <w:tcPr>
            <w:tcW w:w="5521" w:type="dxa"/>
            <w:shd w:val="clear" w:color="auto" w:fill="FFFFFF" w:themeFill="background1"/>
          </w:tcPr>
          <w:p w14:paraId="62EC40CC" w14:textId="20B2D5E5" w:rsidR="00F45F02" w:rsidRPr="00FC4AA5" w:rsidRDefault="00F45F02" w:rsidP="001130A6">
            <w:pPr>
              <w:rPr>
                <w:rFonts w:asciiTheme="minorHAnsi" w:hAnsiTheme="minorHAnsi" w:cs="Arial"/>
                <w:sz w:val="22"/>
                <w:szCs w:val="22"/>
              </w:rPr>
            </w:pPr>
            <w:r w:rsidRPr="00FC4AA5">
              <w:rPr>
                <w:rFonts w:asciiTheme="minorHAnsi" w:hAnsiTheme="minorHAnsi"/>
                <w:bCs/>
                <w:iCs/>
                <w:sz w:val="22"/>
                <w:szCs w:val="22"/>
              </w:rPr>
              <w:t>Better help for smokers to quit (primary care)</w:t>
            </w:r>
          </w:p>
        </w:tc>
        <w:tc>
          <w:tcPr>
            <w:tcW w:w="2412" w:type="dxa"/>
            <w:shd w:val="clear" w:color="auto" w:fill="auto"/>
          </w:tcPr>
          <w:p w14:paraId="5507AA94" w14:textId="77777777" w:rsidR="00F45F02" w:rsidRPr="00AD237C" w:rsidRDefault="00F45F02" w:rsidP="00AD237C">
            <w:pPr>
              <w:rPr>
                <w:rFonts w:asciiTheme="minorHAnsi" w:hAnsiTheme="minorHAnsi" w:cs="Arial"/>
                <w:bCs/>
                <w:iCs/>
                <w:sz w:val="22"/>
                <w:szCs w:val="22"/>
              </w:rPr>
            </w:pPr>
          </w:p>
        </w:tc>
      </w:tr>
      <w:tr w:rsidR="00F45F02" w14:paraId="25DC0A62" w14:textId="219701E1" w:rsidTr="00B8775A">
        <w:trPr>
          <w:jc w:val="center"/>
        </w:trPr>
        <w:tc>
          <w:tcPr>
            <w:tcW w:w="2127" w:type="dxa"/>
            <w:shd w:val="clear" w:color="auto" w:fill="D9D9D9" w:themeFill="background1" w:themeFillShade="D9"/>
          </w:tcPr>
          <w:p w14:paraId="1635FDD0" w14:textId="77777777" w:rsidR="00F45F02" w:rsidRDefault="00F45F02" w:rsidP="004B1778">
            <w:pPr>
              <w:rPr>
                <w:rFonts w:asciiTheme="minorHAnsi" w:hAnsiTheme="minorHAnsi" w:cs="Arial"/>
                <w:sz w:val="22"/>
                <w:szCs w:val="22"/>
              </w:rPr>
            </w:pPr>
            <w:bookmarkStart w:id="48" w:name="_Hlk59454743"/>
          </w:p>
        </w:tc>
        <w:tc>
          <w:tcPr>
            <w:tcW w:w="5521" w:type="dxa"/>
            <w:shd w:val="clear" w:color="auto" w:fill="D9D9D9" w:themeFill="background1" w:themeFillShade="D9"/>
          </w:tcPr>
          <w:p w14:paraId="3056C2CB" w14:textId="77777777" w:rsidR="00F45F02" w:rsidRDefault="00F45F02" w:rsidP="004B1778">
            <w:pPr>
              <w:ind w:right="-59"/>
              <w:jc w:val="both"/>
              <w:rPr>
                <w:rFonts w:asciiTheme="minorHAnsi" w:hAnsiTheme="minorHAnsi" w:cs="Arial"/>
                <w:sz w:val="22"/>
                <w:szCs w:val="22"/>
              </w:rPr>
            </w:pPr>
          </w:p>
        </w:tc>
        <w:tc>
          <w:tcPr>
            <w:tcW w:w="2412" w:type="dxa"/>
            <w:shd w:val="clear" w:color="auto" w:fill="D9D9D9" w:themeFill="background1" w:themeFillShade="D9"/>
          </w:tcPr>
          <w:p w14:paraId="392FD64D" w14:textId="77777777" w:rsidR="00F45F02" w:rsidRPr="00AD237C" w:rsidRDefault="00F45F02" w:rsidP="00AD237C">
            <w:pPr>
              <w:rPr>
                <w:rFonts w:asciiTheme="minorHAnsi" w:hAnsiTheme="minorHAnsi" w:cs="Arial"/>
                <w:sz w:val="22"/>
                <w:szCs w:val="22"/>
              </w:rPr>
            </w:pPr>
          </w:p>
        </w:tc>
      </w:tr>
      <w:tr w:rsidR="00F45F02" w14:paraId="028CC313" w14:textId="77777777" w:rsidTr="00B8775A">
        <w:trPr>
          <w:trHeight w:val="56"/>
          <w:jc w:val="center"/>
        </w:trPr>
        <w:tc>
          <w:tcPr>
            <w:tcW w:w="2127" w:type="dxa"/>
            <w:shd w:val="clear" w:color="auto" w:fill="D9D9D9" w:themeFill="background1" w:themeFillShade="D9"/>
          </w:tcPr>
          <w:p w14:paraId="2701F659" w14:textId="77777777" w:rsidR="00F45F02" w:rsidRDefault="00F45F02" w:rsidP="004B1778">
            <w:pPr>
              <w:rPr>
                <w:rFonts w:asciiTheme="minorHAnsi" w:hAnsiTheme="minorHAnsi" w:cs="Arial"/>
                <w:sz w:val="22"/>
                <w:szCs w:val="22"/>
              </w:rPr>
            </w:pPr>
          </w:p>
        </w:tc>
        <w:tc>
          <w:tcPr>
            <w:tcW w:w="5521" w:type="dxa"/>
            <w:shd w:val="clear" w:color="auto" w:fill="D9D9D9" w:themeFill="background1" w:themeFillShade="D9"/>
          </w:tcPr>
          <w:p w14:paraId="11547F57" w14:textId="77777777" w:rsidR="00F45F02" w:rsidRDefault="00F45F02" w:rsidP="004B1778">
            <w:pPr>
              <w:ind w:right="-59"/>
              <w:jc w:val="both"/>
              <w:rPr>
                <w:rFonts w:asciiTheme="minorHAnsi" w:hAnsiTheme="minorHAnsi" w:cs="Arial"/>
                <w:sz w:val="22"/>
                <w:szCs w:val="22"/>
              </w:rPr>
            </w:pPr>
          </w:p>
        </w:tc>
        <w:tc>
          <w:tcPr>
            <w:tcW w:w="2412" w:type="dxa"/>
            <w:shd w:val="clear" w:color="auto" w:fill="D9D9D9" w:themeFill="background1" w:themeFillShade="D9"/>
          </w:tcPr>
          <w:p w14:paraId="71A5D943" w14:textId="77777777" w:rsidR="00F45F02" w:rsidRPr="00AD237C" w:rsidRDefault="00F45F02" w:rsidP="00AD237C">
            <w:pPr>
              <w:rPr>
                <w:rFonts w:asciiTheme="minorHAnsi" w:hAnsiTheme="minorHAnsi" w:cs="Arial"/>
                <w:sz w:val="22"/>
                <w:szCs w:val="22"/>
              </w:rPr>
            </w:pPr>
          </w:p>
        </w:tc>
      </w:tr>
    </w:tbl>
    <w:bookmarkEnd w:id="48"/>
    <w:p w14:paraId="27EEC109" w14:textId="561455C6" w:rsidR="00AD44FA" w:rsidRDefault="00AD44FA" w:rsidP="00AD237C">
      <w:pPr>
        <w:spacing w:before="120" w:after="120"/>
        <w:ind w:left="-284"/>
        <w:rPr>
          <w:rFonts w:ascii="Arial" w:eastAsiaTheme="minorHAnsi" w:hAnsi="Arial" w:cstheme="minorBidi"/>
          <w:b/>
          <w:sz w:val="22"/>
          <w:szCs w:val="22"/>
        </w:rPr>
      </w:pPr>
      <w:r>
        <w:rPr>
          <w:rFonts w:ascii="Arial" w:eastAsiaTheme="minorHAnsi" w:hAnsi="Arial" w:cstheme="minorBidi"/>
          <w:b/>
          <w:sz w:val="22"/>
          <w:szCs w:val="22"/>
        </w:rPr>
        <w:lastRenderedPageBreak/>
        <w:t xml:space="preserve">    </w:t>
      </w:r>
      <w:r>
        <w:rPr>
          <w:rFonts w:ascii="Arial" w:eastAsiaTheme="minorHAnsi" w:hAnsi="Arial" w:cstheme="minorBidi"/>
          <w:b/>
          <w:sz w:val="22"/>
          <w:szCs w:val="22"/>
        </w:rPr>
        <w:br w:type="page"/>
      </w:r>
    </w:p>
    <w:p w14:paraId="4460F3A2" w14:textId="12A586E5" w:rsidR="00352916" w:rsidRPr="00352916" w:rsidRDefault="00352916" w:rsidP="008E5492">
      <w:pPr>
        <w:spacing w:before="60" w:after="120"/>
        <w:jc w:val="both"/>
        <w:rPr>
          <w:rFonts w:ascii="Arial" w:hAnsi="Arial" w:cs="Arial"/>
          <w:b/>
          <w:i/>
          <w:sz w:val="32"/>
          <w:szCs w:val="32"/>
        </w:rPr>
      </w:pPr>
      <w:r>
        <w:rPr>
          <w:rFonts w:ascii="Arial" w:hAnsi="Arial" w:cs="Arial"/>
          <w:b/>
          <w:i/>
          <w:sz w:val="32"/>
          <w:szCs w:val="32"/>
        </w:rPr>
        <w:lastRenderedPageBreak/>
        <w:t>Government o</w:t>
      </w:r>
      <w:r w:rsidRPr="00352916">
        <w:rPr>
          <w:rFonts w:ascii="Arial" w:hAnsi="Arial" w:cs="Arial"/>
          <w:b/>
          <w:i/>
          <w:sz w:val="32"/>
          <w:szCs w:val="32"/>
        </w:rPr>
        <w:t xml:space="preserve">utcomes and priorities </w:t>
      </w:r>
    </w:p>
    <w:p w14:paraId="566F6C8F" w14:textId="51CA9D53" w:rsidR="00352916" w:rsidRPr="0073201E" w:rsidRDefault="00352916" w:rsidP="0073201E">
      <w:pPr>
        <w:autoSpaceDE w:val="0"/>
        <w:autoSpaceDN w:val="0"/>
        <w:adjustRightInd w:val="0"/>
        <w:spacing w:after="120" w:line="276" w:lineRule="auto"/>
        <w:rPr>
          <w:rFonts w:ascii="Arial" w:hAnsi="Arial" w:cs="Arial"/>
          <w:color w:val="000000"/>
          <w:sz w:val="22"/>
          <w:szCs w:val="22"/>
          <w:lang w:eastAsia="en-NZ"/>
        </w:rPr>
      </w:pPr>
      <w:r w:rsidRPr="0073201E">
        <w:rPr>
          <w:rFonts w:ascii="Arial" w:hAnsi="Arial" w:cs="Arial"/>
          <w:color w:val="000000"/>
          <w:sz w:val="22"/>
          <w:szCs w:val="22"/>
          <w:lang w:eastAsia="en-NZ"/>
        </w:rPr>
        <w:t xml:space="preserve">On 16 September 2018, the Prime Minister announced a </w:t>
      </w:r>
      <w:proofErr w:type="gramStart"/>
      <w:r w:rsidRPr="0073201E">
        <w:rPr>
          <w:rFonts w:ascii="Arial" w:hAnsi="Arial" w:cs="Arial"/>
          <w:color w:val="000000"/>
          <w:sz w:val="22"/>
          <w:szCs w:val="22"/>
          <w:lang w:eastAsia="en-NZ"/>
        </w:rPr>
        <w:t>long term</w:t>
      </w:r>
      <w:proofErr w:type="gramEnd"/>
      <w:r w:rsidRPr="0073201E">
        <w:rPr>
          <w:rFonts w:ascii="Arial" w:hAnsi="Arial" w:cs="Arial"/>
          <w:color w:val="000000"/>
          <w:sz w:val="22"/>
          <w:szCs w:val="22"/>
          <w:lang w:eastAsia="en-NZ"/>
        </w:rPr>
        <w:t xml:space="preserve"> plan to build a modern and fairer New Zealand.  One that New Zealanders can be proud of, underpinned by three outcome areas, and twelve key priorities. As part of the plan, the Government commits to improving the wellbeing of all New Zealanders and their families,</w:t>
      </w:r>
      <w:r w:rsidR="00B46C58">
        <w:rPr>
          <w:rFonts w:ascii="Arial" w:hAnsi="Arial" w:cs="Arial"/>
          <w:color w:val="000000"/>
          <w:sz w:val="22"/>
          <w:szCs w:val="22"/>
          <w:lang w:eastAsia="en-NZ"/>
        </w:rPr>
        <w:t xml:space="preserve"> </w:t>
      </w:r>
      <w:r w:rsidRPr="0073201E">
        <w:rPr>
          <w:rFonts w:ascii="Arial" w:hAnsi="Arial" w:cs="Arial"/>
          <w:color w:val="000000"/>
          <w:sz w:val="22"/>
          <w:szCs w:val="22"/>
          <w:lang w:eastAsia="en-NZ"/>
        </w:rPr>
        <w:t xml:space="preserve">and ensuring that the economy is growing and working for all. </w:t>
      </w:r>
      <w:r w:rsidRPr="0073201E">
        <w:rPr>
          <w:rFonts w:ascii="Arial" w:hAnsi="Arial" w:cs="Arial"/>
          <w:color w:val="000000"/>
          <w:sz w:val="22"/>
          <w:szCs w:val="22"/>
          <w:lang w:eastAsia="en-NZ"/>
        </w:rPr>
        <w:tab/>
      </w:r>
    </w:p>
    <w:p w14:paraId="0BA49A92" w14:textId="77777777" w:rsidR="00352916" w:rsidRPr="0073201E" w:rsidRDefault="00352916" w:rsidP="0073201E">
      <w:pPr>
        <w:autoSpaceDE w:val="0"/>
        <w:autoSpaceDN w:val="0"/>
        <w:adjustRightInd w:val="0"/>
        <w:spacing w:after="120" w:line="276" w:lineRule="auto"/>
        <w:rPr>
          <w:rFonts w:ascii="Arial" w:hAnsi="Arial" w:cs="Arial"/>
          <w:color w:val="000000"/>
          <w:sz w:val="22"/>
          <w:szCs w:val="22"/>
          <w:lang w:eastAsia="en-NZ"/>
        </w:rPr>
      </w:pPr>
      <w:r w:rsidRPr="0073201E">
        <w:rPr>
          <w:rFonts w:ascii="Arial" w:hAnsi="Arial" w:cs="Arial"/>
          <w:color w:val="000000"/>
          <w:sz w:val="22"/>
          <w:szCs w:val="22"/>
          <w:lang w:eastAsia="en-NZ"/>
        </w:rPr>
        <w:t xml:space="preserve">The health system has an important role in supporting all of these goals. Three of our government’s priorities are of particular importance for the health and disability sector. If we want support all that are able to </w:t>
      </w:r>
      <w:proofErr w:type="gramStart"/>
      <w:r w:rsidRPr="0073201E">
        <w:rPr>
          <w:rFonts w:ascii="Arial" w:hAnsi="Arial" w:cs="Arial"/>
          <w:color w:val="000000"/>
          <w:sz w:val="22"/>
          <w:szCs w:val="22"/>
          <w:lang w:eastAsia="en-NZ"/>
        </w:rPr>
        <w:t>earning</w:t>
      </w:r>
      <w:proofErr w:type="gramEnd"/>
      <w:r w:rsidRPr="0073201E">
        <w:rPr>
          <w:rFonts w:ascii="Arial" w:hAnsi="Arial" w:cs="Arial"/>
          <w:color w:val="000000"/>
          <w:sz w:val="22"/>
          <w:szCs w:val="22"/>
          <w:lang w:eastAsia="en-NZ"/>
        </w:rPr>
        <w:t xml:space="preserve">, learning, caring and volunteering, and to drive the Government’s priorities to support healthier, safer, more connected communities and make New Zealand the best place in the world to be a child, we need to be sure that our public health system is strong, equitable, is performing well, and is focussed on the right things to make all New Zealanders’ lives better. </w:t>
      </w:r>
    </w:p>
    <w:p w14:paraId="44CA86BD" w14:textId="77777777" w:rsidR="00352916" w:rsidRPr="0073201E" w:rsidRDefault="00352916" w:rsidP="0073201E">
      <w:pPr>
        <w:autoSpaceDE w:val="0"/>
        <w:autoSpaceDN w:val="0"/>
        <w:adjustRightInd w:val="0"/>
        <w:spacing w:after="120" w:line="276" w:lineRule="auto"/>
        <w:rPr>
          <w:rFonts w:ascii="Arial" w:hAnsi="Arial" w:cs="Arial"/>
          <w:color w:val="000000"/>
          <w:sz w:val="22"/>
          <w:szCs w:val="22"/>
          <w:lang w:eastAsia="en-NZ"/>
        </w:rPr>
      </w:pPr>
      <w:r w:rsidRPr="0073201E">
        <w:rPr>
          <w:rFonts w:ascii="Arial" w:hAnsi="Arial" w:cs="Arial"/>
          <w:color w:val="000000"/>
          <w:sz w:val="22"/>
          <w:szCs w:val="22"/>
          <w:lang w:eastAsia="en-NZ"/>
        </w:rPr>
        <w:t>To best give effect to the Government’s vision, based on advice and evidence, the health and disability system has been asked to focus on the following priorities:</w:t>
      </w:r>
    </w:p>
    <w:p w14:paraId="4B2533F5" w14:textId="0C24E9BA" w:rsidR="00227B21" w:rsidRPr="0073201E" w:rsidRDefault="00BA12F5" w:rsidP="00C04FF1">
      <w:pPr>
        <w:pStyle w:val="ListParagraph"/>
        <w:numPr>
          <w:ilvl w:val="0"/>
          <w:numId w:val="82"/>
        </w:numPr>
        <w:autoSpaceDE w:val="0"/>
        <w:autoSpaceDN w:val="0"/>
        <w:adjustRightInd w:val="0"/>
        <w:spacing w:after="120" w:line="276" w:lineRule="auto"/>
        <w:rPr>
          <w:rFonts w:ascii="Arial" w:hAnsi="Arial" w:cs="Arial"/>
          <w:color w:val="000000"/>
          <w:sz w:val="22"/>
          <w:szCs w:val="22"/>
          <w:lang w:eastAsia="en-NZ"/>
        </w:rPr>
      </w:pPr>
      <w:r>
        <w:rPr>
          <w:rFonts w:ascii="Arial" w:hAnsi="Arial" w:cs="Arial"/>
          <w:color w:val="000000"/>
          <w:sz w:val="22"/>
          <w:szCs w:val="22"/>
          <w:lang w:eastAsia="en-NZ"/>
        </w:rPr>
        <w:t>Improving c</w:t>
      </w:r>
      <w:r w:rsidR="00227B21" w:rsidRPr="0073201E">
        <w:rPr>
          <w:rFonts w:ascii="Arial" w:hAnsi="Arial" w:cs="Arial"/>
          <w:color w:val="000000"/>
          <w:sz w:val="22"/>
          <w:szCs w:val="22"/>
          <w:lang w:eastAsia="en-NZ"/>
        </w:rPr>
        <w:t>hild wellbeing</w:t>
      </w:r>
    </w:p>
    <w:p w14:paraId="1976DC30" w14:textId="1FDFE78D" w:rsidR="00352916" w:rsidRDefault="00BA12F5" w:rsidP="00C04FF1">
      <w:pPr>
        <w:pStyle w:val="ListParagraph"/>
        <w:numPr>
          <w:ilvl w:val="0"/>
          <w:numId w:val="82"/>
        </w:numPr>
        <w:autoSpaceDE w:val="0"/>
        <w:autoSpaceDN w:val="0"/>
        <w:adjustRightInd w:val="0"/>
        <w:spacing w:after="120" w:line="276" w:lineRule="auto"/>
        <w:rPr>
          <w:rFonts w:ascii="Arial" w:hAnsi="Arial" w:cs="Arial"/>
          <w:color w:val="000000"/>
          <w:sz w:val="22"/>
          <w:szCs w:val="22"/>
          <w:lang w:eastAsia="en-NZ"/>
        </w:rPr>
      </w:pPr>
      <w:r>
        <w:rPr>
          <w:rFonts w:ascii="Arial" w:hAnsi="Arial" w:cs="Arial"/>
          <w:color w:val="000000"/>
          <w:sz w:val="22"/>
          <w:szCs w:val="22"/>
          <w:lang w:eastAsia="en-NZ"/>
        </w:rPr>
        <w:t>Improving m</w:t>
      </w:r>
      <w:r w:rsidR="00352916" w:rsidRPr="0073201E">
        <w:rPr>
          <w:rFonts w:ascii="Arial" w:hAnsi="Arial" w:cs="Arial"/>
          <w:color w:val="000000"/>
          <w:sz w:val="22"/>
          <w:szCs w:val="22"/>
          <w:lang w:eastAsia="en-NZ"/>
        </w:rPr>
        <w:t xml:space="preserve">ental </w:t>
      </w:r>
      <w:r w:rsidR="000921F1" w:rsidRPr="0073201E">
        <w:rPr>
          <w:rFonts w:ascii="Arial" w:hAnsi="Arial" w:cs="Arial"/>
          <w:color w:val="000000"/>
          <w:sz w:val="22"/>
          <w:szCs w:val="22"/>
          <w:lang w:eastAsia="en-NZ"/>
        </w:rPr>
        <w:t>wellbeing</w:t>
      </w:r>
    </w:p>
    <w:p w14:paraId="0EA0BA3A" w14:textId="49086D83" w:rsidR="00C85FB3" w:rsidRPr="00BA12F5" w:rsidRDefault="00C25BAA" w:rsidP="00C04FF1">
      <w:pPr>
        <w:pStyle w:val="ListParagraph"/>
        <w:numPr>
          <w:ilvl w:val="0"/>
          <w:numId w:val="82"/>
        </w:numPr>
        <w:spacing w:before="60" w:after="60" w:line="276" w:lineRule="auto"/>
        <w:jc w:val="both"/>
        <w:rPr>
          <w:rFonts w:ascii="Arial" w:hAnsi="Arial" w:cs="Arial"/>
          <w:sz w:val="22"/>
          <w:szCs w:val="22"/>
        </w:rPr>
      </w:pPr>
      <w:r>
        <w:rPr>
          <w:rFonts w:ascii="Arial" w:hAnsi="Arial" w:cs="Arial"/>
          <w:sz w:val="22"/>
          <w:szCs w:val="22"/>
        </w:rPr>
        <w:t xml:space="preserve">Improving wellbeing through </w:t>
      </w:r>
      <w:r w:rsidR="00C85FB3" w:rsidRPr="00BA12F5">
        <w:rPr>
          <w:rFonts w:ascii="Arial" w:hAnsi="Arial" w:cs="Arial"/>
          <w:sz w:val="22"/>
          <w:szCs w:val="22"/>
        </w:rPr>
        <w:t xml:space="preserve">prevention. </w:t>
      </w:r>
    </w:p>
    <w:p w14:paraId="635E0A9D" w14:textId="77777777" w:rsidR="00C25BAA" w:rsidRPr="00C25BAA" w:rsidRDefault="00BA12F5" w:rsidP="00C04FF1">
      <w:pPr>
        <w:pStyle w:val="ListParagraph"/>
        <w:numPr>
          <w:ilvl w:val="0"/>
          <w:numId w:val="82"/>
        </w:numPr>
        <w:spacing w:before="60" w:after="60" w:line="276" w:lineRule="auto"/>
        <w:jc w:val="both"/>
        <w:rPr>
          <w:rFonts w:ascii="Arial" w:hAnsi="Arial" w:cs="Arial"/>
          <w:b/>
          <w:i/>
          <w:sz w:val="22"/>
          <w:szCs w:val="22"/>
        </w:rPr>
      </w:pPr>
      <w:r>
        <w:rPr>
          <w:rFonts w:ascii="Arial" w:hAnsi="Arial" w:cs="Arial"/>
          <w:color w:val="000000"/>
          <w:sz w:val="22"/>
          <w:szCs w:val="22"/>
          <w:lang w:eastAsia="en-NZ"/>
        </w:rPr>
        <w:t>Better population health outcomes supported by strong and equitable public health services</w:t>
      </w:r>
    </w:p>
    <w:p w14:paraId="4C2DC292" w14:textId="1A2412C2" w:rsidR="00352916" w:rsidRPr="00BA12F5" w:rsidRDefault="00C25BAA" w:rsidP="00C04FF1">
      <w:pPr>
        <w:pStyle w:val="ListParagraph"/>
        <w:numPr>
          <w:ilvl w:val="0"/>
          <w:numId w:val="82"/>
        </w:numPr>
        <w:spacing w:before="60" w:after="60" w:line="276" w:lineRule="auto"/>
        <w:jc w:val="both"/>
        <w:rPr>
          <w:rFonts w:ascii="Arial" w:hAnsi="Arial" w:cs="Arial"/>
          <w:b/>
          <w:i/>
          <w:sz w:val="22"/>
          <w:szCs w:val="22"/>
        </w:rPr>
      </w:pPr>
      <w:r>
        <w:rPr>
          <w:rFonts w:ascii="Arial" w:hAnsi="Arial" w:cs="Arial"/>
          <w:color w:val="000000"/>
          <w:sz w:val="22"/>
          <w:szCs w:val="22"/>
          <w:lang w:eastAsia="en-NZ"/>
        </w:rPr>
        <w:t xml:space="preserve">Better population health outcomes supported by primary health care. </w:t>
      </w:r>
    </w:p>
    <w:p w14:paraId="5C848308" w14:textId="78F37A3B" w:rsidR="00B15AFF" w:rsidRPr="00BA12F5" w:rsidRDefault="00227B21" w:rsidP="00BA12F5">
      <w:pPr>
        <w:spacing w:before="60" w:after="60" w:line="276" w:lineRule="auto"/>
        <w:jc w:val="both"/>
        <w:rPr>
          <w:rFonts w:ascii="Arial" w:hAnsi="Arial" w:cs="Arial"/>
          <w:sz w:val="22"/>
          <w:szCs w:val="22"/>
        </w:rPr>
      </w:pPr>
      <w:r w:rsidRPr="00BA12F5">
        <w:rPr>
          <w:rFonts w:ascii="Arial" w:hAnsi="Arial" w:cs="Arial"/>
          <w:sz w:val="22"/>
          <w:szCs w:val="22"/>
        </w:rPr>
        <w:t xml:space="preserve">These </w:t>
      </w:r>
      <w:r w:rsidR="00B15AFF" w:rsidRPr="00BA12F5">
        <w:rPr>
          <w:rFonts w:ascii="Arial" w:hAnsi="Arial" w:cs="Arial"/>
          <w:sz w:val="22"/>
          <w:szCs w:val="22"/>
        </w:rPr>
        <w:t>priorities contribute to the Government’s commitment to improve the wellbeing of New Zealanders and their families</w:t>
      </w:r>
      <w:r w:rsidRPr="00BA12F5">
        <w:rPr>
          <w:rFonts w:ascii="Arial" w:hAnsi="Arial" w:cs="Arial"/>
          <w:sz w:val="22"/>
          <w:szCs w:val="22"/>
        </w:rPr>
        <w:t xml:space="preserve"> and are underpinned b</w:t>
      </w:r>
      <w:r w:rsidR="00B15AFF" w:rsidRPr="00BA12F5">
        <w:rPr>
          <w:rFonts w:ascii="Arial" w:hAnsi="Arial" w:cs="Arial"/>
          <w:sz w:val="22"/>
          <w:szCs w:val="22"/>
        </w:rPr>
        <w:t xml:space="preserve">y a system outcomes and performance framework for the health and disability system </w:t>
      </w:r>
      <w:r w:rsidRPr="00BA12F5">
        <w:rPr>
          <w:rFonts w:ascii="Arial" w:hAnsi="Arial" w:cs="Arial"/>
          <w:sz w:val="22"/>
          <w:szCs w:val="22"/>
        </w:rPr>
        <w:t>to he</w:t>
      </w:r>
      <w:r w:rsidR="00B15AFF" w:rsidRPr="00BA12F5">
        <w:rPr>
          <w:rFonts w:ascii="Arial" w:hAnsi="Arial" w:cs="Arial"/>
          <w:sz w:val="22"/>
          <w:szCs w:val="22"/>
        </w:rPr>
        <w:t>lp establish a strong enduring foundation for system improvement.</w:t>
      </w:r>
    </w:p>
    <w:p w14:paraId="3160937B" w14:textId="4E8B12AF" w:rsidR="00227B21" w:rsidRPr="0073201E" w:rsidRDefault="0073201E" w:rsidP="0048590A">
      <w:pPr>
        <w:spacing w:before="240"/>
        <w:jc w:val="both"/>
        <w:rPr>
          <w:rFonts w:ascii="Arial" w:hAnsi="Arial" w:cs="Arial"/>
          <w:b/>
          <w:sz w:val="22"/>
          <w:szCs w:val="22"/>
        </w:rPr>
      </w:pPr>
      <w:r>
        <w:rPr>
          <w:rFonts w:ascii="Arial" w:hAnsi="Arial" w:cs="Arial"/>
          <w:b/>
          <w:sz w:val="22"/>
          <w:szCs w:val="22"/>
        </w:rPr>
        <w:t>Health system outcomes</w:t>
      </w:r>
    </w:p>
    <w:p w14:paraId="5076AFFD" w14:textId="3C585FEA" w:rsidR="0073201E" w:rsidRPr="0073201E" w:rsidRDefault="0073201E" w:rsidP="0073201E">
      <w:pPr>
        <w:spacing w:after="120" w:line="276" w:lineRule="auto"/>
        <w:contextualSpacing/>
        <w:rPr>
          <w:rFonts w:ascii="Arial" w:hAnsi="Arial" w:cs="Arial"/>
          <w:sz w:val="22"/>
          <w:szCs w:val="22"/>
        </w:rPr>
      </w:pPr>
      <w:r w:rsidRPr="0073201E">
        <w:rPr>
          <w:rFonts w:ascii="Arial" w:hAnsi="Arial" w:cs="Arial"/>
          <w:sz w:val="22"/>
          <w:szCs w:val="22"/>
        </w:rPr>
        <w:t xml:space="preserve">A clear vision for the System is important if we are to align efforts to deliver improved health outcomes for all New Zealanders and deliver on the Government’s wellbeing goals. </w:t>
      </w:r>
      <w:r>
        <w:rPr>
          <w:rFonts w:ascii="Arial" w:hAnsi="Arial" w:cs="Arial"/>
          <w:sz w:val="22"/>
          <w:szCs w:val="22"/>
        </w:rPr>
        <w:t xml:space="preserve">Our system vision </w:t>
      </w:r>
      <w:r w:rsidRPr="0073201E">
        <w:rPr>
          <w:rFonts w:ascii="Arial" w:hAnsi="Arial" w:cs="Arial"/>
          <w:sz w:val="22"/>
          <w:szCs w:val="22"/>
        </w:rPr>
        <w:t>is to attain “</w:t>
      </w:r>
      <w:proofErr w:type="spellStart"/>
      <w:r w:rsidRPr="0073201E">
        <w:rPr>
          <w:rFonts w:ascii="Arial" w:hAnsi="Arial" w:cs="Arial"/>
          <w:sz w:val="22"/>
          <w:szCs w:val="22"/>
        </w:rPr>
        <w:t>Pae</w:t>
      </w:r>
      <w:proofErr w:type="spellEnd"/>
      <w:r w:rsidRPr="0073201E">
        <w:rPr>
          <w:rFonts w:ascii="Arial" w:hAnsi="Arial" w:cs="Arial"/>
          <w:sz w:val="22"/>
          <w:szCs w:val="22"/>
        </w:rPr>
        <w:t xml:space="preserve"> Ora – Healthy Futures”. This is a holistic concept and includes three interconnected elements: mauri </w:t>
      </w:r>
      <w:proofErr w:type="spellStart"/>
      <w:r w:rsidRPr="0073201E">
        <w:rPr>
          <w:rFonts w:ascii="Arial" w:hAnsi="Arial" w:cs="Arial"/>
          <w:sz w:val="22"/>
          <w:szCs w:val="22"/>
        </w:rPr>
        <w:t>ora</w:t>
      </w:r>
      <w:proofErr w:type="spellEnd"/>
      <w:r w:rsidRPr="0073201E">
        <w:rPr>
          <w:rFonts w:ascii="Arial" w:hAnsi="Arial" w:cs="Arial"/>
          <w:sz w:val="22"/>
          <w:szCs w:val="22"/>
        </w:rPr>
        <w:t xml:space="preserve"> – healthy individuals; </w:t>
      </w:r>
      <w:proofErr w:type="spellStart"/>
      <w:r w:rsidRPr="0073201E">
        <w:rPr>
          <w:rFonts w:ascii="Arial" w:hAnsi="Arial" w:cs="Arial"/>
          <w:sz w:val="22"/>
          <w:szCs w:val="22"/>
        </w:rPr>
        <w:t>whānau</w:t>
      </w:r>
      <w:proofErr w:type="spellEnd"/>
      <w:r w:rsidRPr="0073201E">
        <w:rPr>
          <w:rFonts w:ascii="Arial" w:hAnsi="Arial" w:cs="Arial"/>
          <w:sz w:val="22"/>
          <w:szCs w:val="22"/>
        </w:rPr>
        <w:t xml:space="preserve"> </w:t>
      </w:r>
      <w:proofErr w:type="spellStart"/>
      <w:r w:rsidRPr="0073201E">
        <w:rPr>
          <w:rFonts w:ascii="Arial" w:hAnsi="Arial" w:cs="Arial"/>
          <w:sz w:val="22"/>
          <w:szCs w:val="22"/>
        </w:rPr>
        <w:t>ora</w:t>
      </w:r>
      <w:proofErr w:type="spellEnd"/>
      <w:r w:rsidRPr="0073201E">
        <w:rPr>
          <w:rFonts w:ascii="Arial" w:hAnsi="Arial" w:cs="Arial"/>
          <w:sz w:val="22"/>
          <w:szCs w:val="22"/>
        </w:rPr>
        <w:t xml:space="preserve"> – healthy families; and </w:t>
      </w:r>
      <w:proofErr w:type="spellStart"/>
      <w:r w:rsidRPr="0073201E">
        <w:rPr>
          <w:rFonts w:ascii="Arial" w:hAnsi="Arial" w:cs="Arial"/>
          <w:sz w:val="22"/>
          <w:szCs w:val="22"/>
        </w:rPr>
        <w:t>wai</w:t>
      </w:r>
      <w:proofErr w:type="spellEnd"/>
      <w:r w:rsidRPr="0073201E">
        <w:rPr>
          <w:rFonts w:ascii="Arial" w:hAnsi="Arial" w:cs="Arial"/>
          <w:sz w:val="22"/>
          <w:szCs w:val="22"/>
        </w:rPr>
        <w:t xml:space="preserve"> </w:t>
      </w:r>
      <w:proofErr w:type="spellStart"/>
      <w:r w:rsidRPr="0073201E">
        <w:rPr>
          <w:rFonts w:ascii="Arial" w:hAnsi="Arial" w:cs="Arial"/>
          <w:sz w:val="22"/>
          <w:szCs w:val="22"/>
        </w:rPr>
        <w:t>ora</w:t>
      </w:r>
      <w:proofErr w:type="spellEnd"/>
      <w:r w:rsidRPr="0073201E">
        <w:rPr>
          <w:rFonts w:ascii="Arial" w:hAnsi="Arial" w:cs="Arial"/>
          <w:sz w:val="22"/>
          <w:szCs w:val="22"/>
        </w:rPr>
        <w:t xml:space="preserve"> – healthy environments (see figure 1)</w:t>
      </w:r>
    </w:p>
    <w:p w14:paraId="019C74F6" w14:textId="77777777" w:rsidR="0073201E" w:rsidRDefault="0073201E" w:rsidP="0073201E">
      <w:pPr>
        <w:spacing w:after="120" w:line="276" w:lineRule="auto"/>
        <w:contextualSpacing/>
        <w:rPr>
          <w:rFonts w:ascii="Arial" w:hAnsi="Arial" w:cs="Arial"/>
          <w:sz w:val="22"/>
          <w:szCs w:val="22"/>
        </w:rPr>
      </w:pPr>
    </w:p>
    <w:p w14:paraId="744A5CE4" w14:textId="3F4F1260" w:rsidR="0073201E" w:rsidRPr="0073201E" w:rsidRDefault="0073201E" w:rsidP="0073201E">
      <w:pPr>
        <w:spacing w:after="120" w:line="276" w:lineRule="auto"/>
        <w:contextualSpacing/>
        <w:rPr>
          <w:rFonts w:ascii="Arial" w:hAnsi="Arial" w:cs="Arial"/>
          <w:sz w:val="22"/>
          <w:szCs w:val="22"/>
        </w:rPr>
      </w:pPr>
      <w:r w:rsidRPr="0073201E">
        <w:rPr>
          <w:rFonts w:ascii="Arial" w:hAnsi="Arial" w:cs="Arial"/>
          <w:sz w:val="22"/>
          <w:szCs w:val="22"/>
        </w:rPr>
        <w:t xml:space="preserve">The vision is supported by high level outcomes that represent a complete view of population health at a high level, and respond to New Zealand’s important population health challenges. The three key </w:t>
      </w:r>
      <w:proofErr w:type="gramStart"/>
      <w:r w:rsidRPr="0073201E">
        <w:rPr>
          <w:rFonts w:ascii="Arial" w:hAnsi="Arial" w:cs="Arial"/>
          <w:sz w:val="22"/>
          <w:szCs w:val="22"/>
        </w:rPr>
        <w:t>high level</w:t>
      </w:r>
      <w:proofErr w:type="gramEnd"/>
      <w:r w:rsidRPr="0073201E">
        <w:rPr>
          <w:rFonts w:ascii="Arial" w:hAnsi="Arial" w:cs="Arial"/>
          <w:sz w:val="22"/>
          <w:szCs w:val="22"/>
        </w:rPr>
        <w:t xml:space="preserve"> outcomes are: </w:t>
      </w:r>
    </w:p>
    <w:p w14:paraId="63DA8AD1" w14:textId="77777777" w:rsidR="0073201E" w:rsidRPr="0073201E" w:rsidRDefault="0073201E" w:rsidP="0073201E">
      <w:pPr>
        <w:spacing w:after="240" w:line="276" w:lineRule="auto"/>
        <w:ind w:left="709"/>
        <w:contextualSpacing/>
        <w:rPr>
          <w:rFonts w:ascii="Arial" w:hAnsi="Arial" w:cs="Arial"/>
          <w:sz w:val="22"/>
          <w:szCs w:val="22"/>
        </w:rPr>
      </w:pPr>
      <w:r w:rsidRPr="0073201E">
        <w:rPr>
          <w:rFonts w:ascii="Arial" w:hAnsi="Arial" w:cs="Arial"/>
          <w:sz w:val="22"/>
          <w:szCs w:val="22"/>
        </w:rPr>
        <w:t>“We live longer in good health”</w:t>
      </w:r>
    </w:p>
    <w:p w14:paraId="520C54A8" w14:textId="77777777" w:rsidR="0073201E" w:rsidRPr="0073201E" w:rsidRDefault="0073201E" w:rsidP="0073201E">
      <w:pPr>
        <w:spacing w:after="240" w:line="276" w:lineRule="auto"/>
        <w:ind w:left="709"/>
        <w:contextualSpacing/>
        <w:rPr>
          <w:rFonts w:ascii="Arial" w:hAnsi="Arial" w:cs="Arial"/>
          <w:sz w:val="22"/>
          <w:szCs w:val="22"/>
        </w:rPr>
      </w:pPr>
      <w:r w:rsidRPr="0073201E">
        <w:rPr>
          <w:rFonts w:ascii="Arial" w:hAnsi="Arial" w:cs="Arial"/>
          <w:sz w:val="22"/>
          <w:szCs w:val="22"/>
        </w:rPr>
        <w:t>“We have improved quality of life”</w:t>
      </w:r>
    </w:p>
    <w:p w14:paraId="3E189DFA" w14:textId="77777777" w:rsidR="0073201E" w:rsidRDefault="0073201E" w:rsidP="0073201E">
      <w:pPr>
        <w:spacing w:after="240" w:line="276" w:lineRule="auto"/>
        <w:ind w:left="709"/>
        <w:contextualSpacing/>
        <w:rPr>
          <w:rFonts w:ascii="Arial" w:hAnsi="Arial" w:cs="Arial"/>
          <w:sz w:val="22"/>
          <w:szCs w:val="22"/>
        </w:rPr>
      </w:pPr>
      <w:r w:rsidRPr="0073201E">
        <w:rPr>
          <w:rFonts w:ascii="Arial" w:hAnsi="Arial" w:cs="Arial"/>
          <w:sz w:val="22"/>
          <w:szCs w:val="22"/>
        </w:rPr>
        <w:t>“We have health equity for Māori and other groups”.</w:t>
      </w:r>
    </w:p>
    <w:p w14:paraId="2FC2F32A" w14:textId="77777777" w:rsidR="0073201E" w:rsidRDefault="0073201E" w:rsidP="0073201E">
      <w:pPr>
        <w:spacing w:after="240" w:line="276" w:lineRule="auto"/>
        <w:ind w:left="709"/>
        <w:contextualSpacing/>
        <w:rPr>
          <w:rFonts w:ascii="Arial" w:hAnsi="Arial" w:cs="Arial"/>
          <w:sz w:val="22"/>
          <w:szCs w:val="22"/>
        </w:rPr>
      </w:pPr>
    </w:p>
    <w:p w14:paraId="4D81BC3E" w14:textId="051F7277" w:rsidR="001C551E" w:rsidRPr="001C551E" w:rsidRDefault="001C551E" w:rsidP="0048590A">
      <w:pPr>
        <w:spacing w:before="240" w:line="276" w:lineRule="auto"/>
        <w:rPr>
          <w:rFonts w:ascii="Arial" w:hAnsi="Arial" w:cs="Arial"/>
          <w:b/>
          <w:sz w:val="22"/>
          <w:szCs w:val="22"/>
        </w:rPr>
      </w:pPr>
      <w:r w:rsidRPr="001C551E">
        <w:rPr>
          <w:rFonts w:ascii="Arial" w:hAnsi="Arial" w:cs="Arial"/>
          <w:b/>
          <w:sz w:val="22"/>
          <w:szCs w:val="22"/>
        </w:rPr>
        <w:t xml:space="preserve">The health system performance story </w:t>
      </w:r>
    </w:p>
    <w:p w14:paraId="64F76161" w14:textId="2428B5C4" w:rsidR="0073201E" w:rsidRDefault="0073201E" w:rsidP="0073201E">
      <w:pPr>
        <w:spacing w:after="240" w:line="276" w:lineRule="auto"/>
        <w:contextualSpacing/>
        <w:rPr>
          <w:rFonts w:ascii="Arial" w:hAnsi="Arial" w:cs="Arial"/>
          <w:sz w:val="22"/>
          <w:szCs w:val="22"/>
        </w:rPr>
      </w:pPr>
      <w:r>
        <w:rPr>
          <w:rFonts w:ascii="Arial" w:hAnsi="Arial" w:cs="Arial"/>
          <w:sz w:val="22"/>
          <w:szCs w:val="22"/>
        </w:rPr>
        <w:t xml:space="preserve">The DHB </w:t>
      </w:r>
      <w:r w:rsidR="001C551E">
        <w:rPr>
          <w:rFonts w:ascii="Arial" w:hAnsi="Arial" w:cs="Arial"/>
          <w:sz w:val="22"/>
          <w:szCs w:val="22"/>
        </w:rPr>
        <w:t xml:space="preserve">monitoring </w:t>
      </w:r>
      <w:r>
        <w:rPr>
          <w:rFonts w:ascii="Arial" w:hAnsi="Arial" w:cs="Arial"/>
          <w:sz w:val="22"/>
          <w:szCs w:val="22"/>
        </w:rPr>
        <w:t xml:space="preserve">framework </w:t>
      </w:r>
      <w:r w:rsidR="001C551E">
        <w:rPr>
          <w:rFonts w:ascii="Arial" w:hAnsi="Arial" w:cs="Arial"/>
          <w:sz w:val="22"/>
          <w:szCs w:val="22"/>
        </w:rPr>
        <w:t xml:space="preserve">and accountability measures </w:t>
      </w:r>
      <w:r w:rsidR="00764E0A">
        <w:rPr>
          <w:rFonts w:ascii="Arial" w:hAnsi="Arial" w:cs="Arial"/>
          <w:sz w:val="22"/>
          <w:szCs w:val="22"/>
        </w:rPr>
        <w:t>are linked to th</w:t>
      </w:r>
      <w:r w:rsidR="001C551E">
        <w:rPr>
          <w:rFonts w:ascii="Arial" w:hAnsi="Arial" w:cs="Arial"/>
          <w:sz w:val="22"/>
          <w:szCs w:val="22"/>
        </w:rPr>
        <w:t xml:space="preserve">e health system priorities that support delivery of </w:t>
      </w:r>
      <w:r>
        <w:rPr>
          <w:rFonts w:ascii="Arial" w:hAnsi="Arial" w:cs="Arial"/>
          <w:sz w:val="22"/>
          <w:szCs w:val="22"/>
        </w:rPr>
        <w:t>the Government’s priority goals for New Zealand</w:t>
      </w:r>
      <w:r w:rsidR="001C551E">
        <w:rPr>
          <w:rFonts w:ascii="Arial" w:hAnsi="Arial" w:cs="Arial"/>
          <w:sz w:val="22"/>
          <w:szCs w:val="22"/>
        </w:rPr>
        <w:t xml:space="preserve"> and </w:t>
      </w:r>
      <w:r>
        <w:rPr>
          <w:rFonts w:ascii="Arial" w:hAnsi="Arial" w:cs="Arial"/>
          <w:sz w:val="22"/>
          <w:szCs w:val="22"/>
        </w:rPr>
        <w:t xml:space="preserve">the health system </w:t>
      </w:r>
      <w:r w:rsidR="001C551E">
        <w:rPr>
          <w:rFonts w:ascii="Arial" w:hAnsi="Arial" w:cs="Arial"/>
          <w:sz w:val="22"/>
          <w:szCs w:val="22"/>
        </w:rPr>
        <w:t xml:space="preserve">vision and outcomes, within a system that has a foundation of financial, </w:t>
      </w:r>
      <w:proofErr w:type="gramStart"/>
      <w:r w:rsidR="001C551E">
        <w:rPr>
          <w:rFonts w:ascii="Arial" w:hAnsi="Arial" w:cs="Arial"/>
          <w:sz w:val="22"/>
          <w:szCs w:val="22"/>
        </w:rPr>
        <w:t>clinical</w:t>
      </w:r>
      <w:proofErr w:type="gramEnd"/>
      <w:r w:rsidR="001C551E">
        <w:rPr>
          <w:rFonts w:ascii="Arial" w:hAnsi="Arial" w:cs="Arial"/>
          <w:sz w:val="22"/>
          <w:szCs w:val="22"/>
        </w:rPr>
        <w:t xml:space="preserve"> and service sustainability and strong governance.</w:t>
      </w:r>
    </w:p>
    <w:p w14:paraId="2849A601" w14:textId="77777777" w:rsidR="00BA12F5" w:rsidRDefault="00BA12F5">
      <w:pPr>
        <w:rPr>
          <w:rFonts w:ascii="Arial" w:hAnsi="Arial" w:cs="Arial"/>
          <w:b/>
          <w:sz w:val="22"/>
          <w:szCs w:val="22"/>
        </w:rPr>
      </w:pPr>
    </w:p>
    <w:p w14:paraId="357D119A" w14:textId="77777777" w:rsidR="00BA12F5" w:rsidRDefault="00BA12F5">
      <w:pPr>
        <w:rPr>
          <w:rFonts w:ascii="Arial" w:hAnsi="Arial" w:cs="Arial"/>
          <w:b/>
          <w:sz w:val="22"/>
          <w:szCs w:val="22"/>
        </w:rPr>
      </w:pPr>
      <w:r>
        <w:rPr>
          <w:rFonts w:ascii="Arial" w:hAnsi="Arial" w:cs="Arial"/>
          <w:b/>
          <w:sz w:val="22"/>
          <w:szCs w:val="22"/>
        </w:rPr>
        <w:br w:type="page"/>
      </w:r>
    </w:p>
    <w:p w14:paraId="189A391E" w14:textId="6CC3B7BB" w:rsidR="008E5492" w:rsidRDefault="008E5492" w:rsidP="00BA12F5">
      <w:pPr>
        <w:rPr>
          <w:rFonts w:ascii="Arial" w:hAnsi="Arial" w:cs="Arial"/>
          <w:sz w:val="20"/>
          <w:szCs w:val="20"/>
        </w:rPr>
      </w:pPr>
      <w:r w:rsidRPr="0048590A">
        <w:rPr>
          <w:rFonts w:ascii="Arial" w:hAnsi="Arial" w:cs="Arial"/>
          <w:b/>
          <w:sz w:val="22"/>
          <w:szCs w:val="22"/>
        </w:rPr>
        <w:lastRenderedPageBreak/>
        <w:t xml:space="preserve">Figure 1. </w:t>
      </w:r>
      <w:r w:rsidR="0048590A">
        <w:rPr>
          <w:rFonts w:ascii="Arial" w:hAnsi="Arial" w:cs="Arial"/>
          <w:b/>
          <w:sz w:val="22"/>
          <w:szCs w:val="22"/>
        </w:rPr>
        <w:t xml:space="preserve"> Health system vision and outcomes </w:t>
      </w:r>
    </w:p>
    <w:p w14:paraId="24AB04FA" w14:textId="78E8F986" w:rsidR="008E5492" w:rsidRDefault="008E5492">
      <w:pPr>
        <w:rPr>
          <w:rFonts w:ascii="Arial" w:hAnsi="Arial" w:cs="Arial"/>
          <w:sz w:val="20"/>
          <w:szCs w:val="20"/>
        </w:rPr>
      </w:pPr>
    </w:p>
    <w:p w14:paraId="4FEAA411" w14:textId="5F6EEAFB" w:rsidR="008E5492" w:rsidRDefault="008E5492">
      <w:pPr>
        <w:rPr>
          <w:rFonts w:ascii="Arial" w:hAnsi="Arial" w:cs="Arial"/>
          <w:sz w:val="20"/>
          <w:szCs w:val="20"/>
        </w:rPr>
      </w:pPr>
    </w:p>
    <w:p w14:paraId="77A4F152" w14:textId="653E2700" w:rsidR="008E5492" w:rsidRDefault="008E5492">
      <w:pPr>
        <w:rPr>
          <w:rFonts w:ascii="Arial" w:hAnsi="Arial" w:cs="Arial"/>
          <w:sz w:val="20"/>
          <w:szCs w:val="20"/>
        </w:rPr>
      </w:pPr>
    </w:p>
    <w:p w14:paraId="0DCACC21" w14:textId="30613D12" w:rsidR="008E5492" w:rsidRDefault="008E5492" w:rsidP="008E5492">
      <w:pPr>
        <w:ind w:left="142"/>
        <w:rPr>
          <w:rFonts w:ascii="Arial" w:hAnsi="Arial" w:cs="Arial"/>
          <w:sz w:val="20"/>
          <w:szCs w:val="20"/>
        </w:rPr>
      </w:pPr>
    </w:p>
    <w:p w14:paraId="3805D2D9" w14:textId="77777777" w:rsidR="008E5492" w:rsidRDefault="008E5492">
      <w:pPr>
        <w:rPr>
          <w:rFonts w:ascii="Arial" w:hAnsi="Arial" w:cs="Arial"/>
          <w:sz w:val="20"/>
          <w:szCs w:val="20"/>
        </w:rPr>
      </w:pPr>
    </w:p>
    <w:p w14:paraId="5276A5E6" w14:textId="77777777" w:rsidR="008E5492" w:rsidRDefault="008E5492">
      <w:pPr>
        <w:rPr>
          <w:rFonts w:ascii="Arial" w:hAnsi="Arial" w:cs="Arial"/>
          <w:sz w:val="20"/>
          <w:szCs w:val="20"/>
        </w:rPr>
      </w:pPr>
    </w:p>
    <w:p w14:paraId="6F8DFDDA" w14:textId="77777777" w:rsidR="008E5492" w:rsidRDefault="008E5492">
      <w:pPr>
        <w:rPr>
          <w:rFonts w:ascii="Arial" w:hAnsi="Arial" w:cs="Arial"/>
          <w:sz w:val="20"/>
          <w:szCs w:val="20"/>
        </w:rPr>
      </w:pPr>
    </w:p>
    <w:p w14:paraId="355078C0" w14:textId="77777777" w:rsidR="008E5492" w:rsidRDefault="008E5492">
      <w:pPr>
        <w:rPr>
          <w:rFonts w:ascii="Arial" w:hAnsi="Arial" w:cs="Arial"/>
          <w:sz w:val="20"/>
          <w:szCs w:val="20"/>
        </w:rPr>
      </w:pPr>
    </w:p>
    <w:p w14:paraId="6B352E98" w14:textId="69BEE01B" w:rsidR="008E5492" w:rsidRDefault="00BA12F5" w:rsidP="00BA12F5">
      <w:pPr>
        <w:jc w:val="center"/>
        <w:rPr>
          <w:rFonts w:ascii="Arial" w:hAnsi="Arial" w:cs="Arial"/>
          <w:sz w:val="20"/>
          <w:szCs w:val="20"/>
        </w:rPr>
      </w:pPr>
      <w:r>
        <w:rPr>
          <w:rFonts w:ascii="Arial" w:hAnsi="Arial" w:cs="Arial"/>
          <w:noProof/>
          <w:sz w:val="20"/>
          <w:szCs w:val="20"/>
          <w:lang w:eastAsia="en-NZ"/>
        </w:rPr>
        <w:drawing>
          <wp:inline distT="0" distB="0" distL="0" distR="0" wp14:anchorId="1F539D3F" wp14:editId="535472A4">
            <wp:extent cx="5409565" cy="540004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9565" cy="5400040"/>
                    </a:xfrm>
                    <a:prstGeom prst="rect">
                      <a:avLst/>
                    </a:prstGeom>
                    <a:noFill/>
                  </pic:spPr>
                </pic:pic>
              </a:graphicData>
            </a:graphic>
          </wp:inline>
        </w:drawing>
      </w:r>
    </w:p>
    <w:p w14:paraId="72497D0B" w14:textId="77777777" w:rsidR="008E5492" w:rsidRDefault="008E5492">
      <w:pPr>
        <w:rPr>
          <w:rFonts w:ascii="Arial" w:hAnsi="Arial" w:cs="Arial"/>
          <w:sz w:val="20"/>
          <w:szCs w:val="20"/>
        </w:rPr>
      </w:pPr>
    </w:p>
    <w:p w14:paraId="084F0AB5" w14:textId="77777777" w:rsidR="008E5492" w:rsidRDefault="008E5492">
      <w:pPr>
        <w:rPr>
          <w:rFonts w:ascii="Arial" w:hAnsi="Arial" w:cs="Arial"/>
          <w:sz w:val="20"/>
          <w:szCs w:val="20"/>
        </w:rPr>
      </w:pPr>
    </w:p>
    <w:p w14:paraId="5B5A7108" w14:textId="77777777" w:rsidR="008E5492" w:rsidRDefault="008E5492">
      <w:pPr>
        <w:rPr>
          <w:rFonts w:ascii="Arial" w:hAnsi="Arial" w:cs="Arial"/>
          <w:sz w:val="20"/>
          <w:szCs w:val="20"/>
        </w:rPr>
      </w:pPr>
    </w:p>
    <w:p w14:paraId="37AF3159" w14:textId="77777777" w:rsidR="008E5492" w:rsidRDefault="008E5492">
      <w:pPr>
        <w:rPr>
          <w:rFonts w:ascii="Arial" w:hAnsi="Arial" w:cs="Arial"/>
          <w:sz w:val="20"/>
          <w:szCs w:val="20"/>
        </w:rPr>
      </w:pPr>
    </w:p>
    <w:p w14:paraId="5704FD52" w14:textId="77777777" w:rsidR="008E5492" w:rsidRDefault="008E5492">
      <w:pPr>
        <w:rPr>
          <w:rFonts w:ascii="Arial" w:hAnsi="Arial" w:cs="Arial"/>
          <w:sz w:val="20"/>
          <w:szCs w:val="20"/>
        </w:rPr>
      </w:pPr>
    </w:p>
    <w:p w14:paraId="75771265" w14:textId="09416A80" w:rsidR="008E5492" w:rsidRDefault="008E5492">
      <w:pPr>
        <w:rPr>
          <w:rFonts w:ascii="Arial" w:hAnsi="Arial" w:cs="Arial"/>
          <w:sz w:val="20"/>
          <w:szCs w:val="20"/>
        </w:rPr>
      </w:pPr>
    </w:p>
    <w:p w14:paraId="7409A433" w14:textId="0A99DC72" w:rsidR="008E5492" w:rsidRDefault="008E5492">
      <w:pPr>
        <w:rPr>
          <w:rFonts w:ascii="Arial" w:hAnsi="Arial" w:cs="Arial"/>
          <w:sz w:val="20"/>
          <w:szCs w:val="20"/>
        </w:rPr>
      </w:pPr>
    </w:p>
    <w:p w14:paraId="30ED2DF1" w14:textId="4A023392" w:rsidR="008E5492" w:rsidRDefault="008E5492">
      <w:pPr>
        <w:rPr>
          <w:rFonts w:ascii="Arial" w:hAnsi="Arial" w:cs="Arial"/>
          <w:sz w:val="20"/>
          <w:szCs w:val="20"/>
        </w:rPr>
      </w:pPr>
    </w:p>
    <w:p w14:paraId="1608424E" w14:textId="33334504" w:rsidR="008E5492" w:rsidRDefault="008E5492">
      <w:pPr>
        <w:rPr>
          <w:rFonts w:ascii="Arial" w:hAnsi="Arial" w:cs="Arial"/>
          <w:sz w:val="20"/>
          <w:szCs w:val="20"/>
        </w:rPr>
      </w:pPr>
    </w:p>
    <w:p w14:paraId="55E47650" w14:textId="1E5C16FC" w:rsidR="008E5492" w:rsidRDefault="008E5492">
      <w:pPr>
        <w:rPr>
          <w:rFonts w:ascii="Arial" w:hAnsi="Arial" w:cs="Arial"/>
          <w:sz w:val="20"/>
          <w:szCs w:val="20"/>
        </w:rPr>
      </w:pPr>
    </w:p>
    <w:p w14:paraId="389BBBF2" w14:textId="77777777" w:rsidR="008E5492" w:rsidRDefault="008E5492">
      <w:pPr>
        <w:rPr>
          <w:rFonts w:ascii="Arial" w:hAnsi="Arial" w:cs="Arial"/>
          <w:sz w:val="20"/>
          <w:szCs w:val="20"/>
        </w:rPr>
      </w:pPr>
    </w:p>
    <w:p w14:paraId="4986076F" w14:textId="63494B36" w:rsidR="008E5492" w:rsidRDefault="008E5492">
      <w:pPr>
        <w:rPr>
          <w:rFonts w:ascii="Arial" w:hAnsi="Arial" w:cs="Arial"/>
          <w:sz w:val="20"/>
          <w:szCs w:val="20"/>
        </w:rPr>
      </w:pPr>
    </w:p>
    <w:p w14:paraId="35D802F8" w14:textId="1761336E" w:rsidR="008E5492" w:rsidRDefault="008E5492">
      <w:pPr>
        <w:rPr>
          <w:rFonts w:ascii="Arial" w:hAnsi="Arial" w:cs="Arial"/>
          <w:sz w:val="20"/>
          <w:szCs w:val="20"/>
        </w:rPr>
      </w:pPr>
    </w:p>
    <w:p w14:paraId="3AF6AF2C" w14:textId="4CF26DF9" w:rsidR="008E5492" w:rsidRDefault="008E5492">
      <w:pPr>
        <w:rPr>
          <w:rFonts w:ascii="Arial" w:hAnsi="Arial" w:cs="Arial"/>
          <w:sz w:val="20"/>
          <w:szCs w:val="20"/>
        </w:rPr>
      </w:pPr>
    </w:p>
    <w:p w14:paraId="4A0F5899" w14:textId="55183A63" w:rsidR="00227B21" w:rsidRDefault="00227B21">
      <w:pPr>
        <w:rPr>
          <w:rFonts w:ascii="Arial" w:hAnsi="Arial" w:cs="Arial"/>
          <w:sz w:val="20"/>
          <w:szCs w:val="20"/>
        </w:rPr>
      </w:pPr>
    </w:p>
    <w:p w14:paraId="38138C77" w14:textId="021347C7" w:rsidR="00B44AD8" w:rsidRPr="00352916" w:rsidRDefault="00D13541" w:rsidP="00E700FB">
      <w:pPr>
        <w:pStyle w:val="Heading1"/>
        <w:rPr>
          <w:i/>
        </w:rPr>
      </w:pPr>
      <w:bookmarkStart w:id="49" w:name="_Toc4588473"/>
      <w:bookmarkStart w:id="50" w:name="_Toc4588616"/>
      <w:bookmarkStart w:id="51" w:name="_Toc9591942"/>
      <w:r w:rsidRPr="00352916">
        <w:rPr>
          <w:i/>
        </w:rPr>
        <w:lastRenderedPageBreak/>
        <w:t>T</w:t>
      </w:r>
      <w:r w:rsidR="00B44AD8" w:rsidRPr="00352916">
        <w:rPr>
          <w:i/>
        </w:rPr>
        <w:t>he DHB monitoring framework</w:t>
      </w:r>
      <w:bookmarkEnd w:id="38"/>
      <w:bookmarkEnd w:id="39"/>
      <w:bookmarkEnd w:id="49"/>
      <w:bookmarkEnd w:id="50"/>
      <w:bookmarkEnd w:id="51"/>
      <w:bookmarkEnd w:id="42"/>
      <w:bookmarkEnd w:id="41"/>
      <w:bookmarkEnd w:id="40"/>
    </w:p>
    <w:p w14:paraId="61008B25" w14:textId="77777777" w:rsidR="00B44AD8" w:rsidRPr="00CD650D" w:rsidRDefault="00B44AD8" w:rsidP="00B44AD8">
      <w:pPr>
        <w:rPr>
          <w:rFonts w:ascii="Arial" w:hAnsi="Arial" w:cs="Arial"/>
          <w:sz w:val="16"/>
          <w:szCs w:val="16"/>
        </w:rPr>
      </w:pPr>
    </w:p>
    <w:p w14:paraId="6CE6E314" w14:textId="77777777" w:rsidR="00B44AD8" w:rsidRPr="008F0D5D" w:rsidRDefault="00B44AD8" w:rsidP="008F0D5D">
      <w:pPr>
        <w:spacing w:line="276" w:lineRule="auto"/>
        <w:rPr>
          <w:rFonts w:ascii="Arial" w:hAnsi="Arial" w:cs="Arial"/>
          <w:b/>
          <w:i/>
          <w:sz w:val="22"/>
          <w:szCs w:val="22"/>
        </w:rPr>
      </w:pPr>
      <w:r w:rsidRPr="008F0D5D">
        <w:rPr>
          <w:rFonts w:ascii="Arial" w:hAnsi="Arial" w:cs="Arial"/>
          <w:b/>
          <w:i/>
          <w:sz w:val="22"/>
          <w:szCs w:val="22"/>
        </w:rPr>
        <w:t>Context</w:t>
      </w:r>
    </w:p>
    <w:p w14:paraId="70A271E5" w14:textId="4E3F3B91" w:rsidR="00B44AD8" w:rsidRPr="008F0D5D" w:rsidRDefault="00B44AD8" w:rsidP="008F0D5D">
      <w:pPr>
        <w:spacing w:line="276" w:lineRule="auto"/>
        <w:rPr>
          <w:rFonts w:ascii="Arial" w:hAnsi="Arial" w:cs="Arial"/>
          <w:sz w:val="22"/>
          <w:szCs w:val="22"/>
        </w:rPr>
      </w:pPr>
      <w:r w:rsidRPr="008F0D5D">
        <w:rPr>
          <w:rFonts w:ascii="Arial" w:hAnsi="Arial" w:cs="Arial"/>
          <w:sz w:val="22"/>
          <w:szCs w:val="22"/>
          <w:lang w:eastAsia="en-GB"/>
        </w:rPr>
        <w:t xml:space="preserve">The </w:t>
      </w:r>
      <w:r w:rsidR="00AC10D5" w:rsidRPr="008F0D5D">
        <w:rPr>
          <w:rFonts w:ascii="Arial" w:hAnsi="Arial" w:cs="Arial"/>
          <w:sz w:val="22"/>
          <w:szCs w:val="22"/>
          <w:lang w:eastAsia="en-GB"/>
        </w:rPr>
        <w:t>district health board (D</w:t>
      </w:r>
      <w:r w:rsidRPr="008F0D5D">
        <w:rPr>
          <w:rFonts w:ascii="Arial" w:hAnsi="Arial" w:cs="Arial"/>
          <w:sz w:val="22"/>
          <w:szCs w:val="22"/>
          <w:lang w:eastAsia="en-GB"/>
        </w:rPr>
        <w:t>HB</w:t>
      </w:r>
      <w:r w:rsidR="00AC10D5" w:rsidRPr="008F0D5D">
        <w:rPr>
          <w:rFonts w:ascii="Arial" w:hAnsi="Arial" w:cs="Arial"/>
          <w:sz w:val="22"/>
          <w:szCs w:val="22"/>
          <w:lang w:eastAsia="en-GB"/>
        </w:rPr>
        <w:t>)</w:t>
      </w:r>
      <w:r w:rsidRPr="008F0D5D">
        <w:rPr>
          <w:rFonts w:ascii="Arial" w:hAnsi="Arial" w:cs="Arial"/>
          <w:sz w:val="22"/>
          <w:szCs w:val="22"/>
          <w:lang w:eastAsia="en-GB"/>
        </w:rPr>
        <w:t xml:space="preserve"> monitoring framework was developed recognising </w:t>
      </w:r>
      <w:r w:rsidRPr="008F0D5D">
        <w:rPr>
          <w:rFonts w:ascii="Arial" w:hAnsi="Arial" w:cs="Arial"/>
          <w:sz w:val="22"/>
          <w:szCs w:val="22"/>
        </w:rPr>
        <w:t xml:space="preserve">a DHB funding and operating environment where: </w:t>
      </w:r>
    </w:p>
    <w:p w14:paraId="22F8534E" w14:textId="77777777" w:rsidR="00B44AD8" w:rsidRPr="008F0D5D" w:rsidRDefault="00B44AD8" w:rsidP="008F0D5D">
      <w:pPr>
        <w:spacing w:line="276" w:lineRule="auto"/>
        <w:ind w:left="709" w:hanging="709"/>
        <w:rPr>
          <w:rFonts w:ascii="Arial" w:hAnsi="Arial" w:cs="Arial"/>
          <w:sz w:val="22"/>
          <w:szCs w:val="22"/>
        </w:rPr>
      </w:pPr>
      <w:r w:rsidRPr="008F0D5D">
        <w:rPr>
          <w:rFonts w:ascii="Arial" w:hAnsi="Arial" w:cs="Arial"/>
          <w:sz w:val="22"/>
          <w:szCs w:val="22"/>
        </w:rPr>
        <w:t>•</w:t>
      </w:r>
      <w:r w:rsidRPr="008F0D5D">
        <w:rPr>
          <w:rFonts w:ascii="Arial" w:hAnsi="Arial" w:cs="Arial"/>
          <w:sz w:val="22"/>
          <w:szCs w:val="22"/>
        </w:rPr>
        <w:tab/>
        <w:t>DHBs have responsibility for making decisions on the mix, level and quality of health and disability services, within the parameters of the NZ Health and Disability Strategies and nationwide minimum service coverage and safety standards.</w:t>
      </w:r>
    </w:p>
    <w:p w14:paraId="2BA0AD94" w14:textId="77777777" w:rsidR="00B44AD8" w:rsidRPr="008F0D5D" w:rsidRDefault="00B44AD8" w:rsidP="008F0D5D">
      <w:pPr>
        <w:spacing w:line="276" w:lineRule="auto"/>
        <w:ind w:left="709" w:hanging="709"/>
        <w:rPr>
          <w:rFonts w:ascii="Arial" w:hAnsi="Arial" w:cs="Arial"/>
          <w:sz w:val="22"/>
          <w:szCs w:val="22"/>
        </w:rPr>
      </w:pPr>
      <w:r w:rsidRPr="008F0D5D">
        <w:rPr>
          <w:rFonts w:ascii="Arial" w:hAnsi="Arial" w:cs="Arial"/>
          <w:sz w:val="22"/>
          <w:szCs w:val="22"/>
        </w:rPr>
        <w:t>•</w:t>
      </w:r>
      <w:r w:rsidRPr="008F0D5D">
        <w:rPr>
          <w:rFonts w:ascii="Arial" w:hAnsi="Arial" w:cs="Arial"/>
          <w:sz w:val="22"/>
          <w:szCs w:val="22"/>
        </w:rPr>
        <w:tab/>
        <w:t>The Ministry of Health, as agent of the Minister of Health, defines nationwide service coverage, safety standards and the operating environment. The Minister enters into funding agreements with DHBs, containing DHB specific agreed performance targets, and may exercise reserve powers in the case of repeated performance failures.</w:t>
      </w:r>
    </w:p>
    <w:p w14:paraId="4E2FE33A" w14:textId="77777777" w:rsidR="00B44AD8" w:rsidRPr="008F0D5D" w:rsidRDefault="00B44AD8" w:rsidP="008F0D5D">
      <w:pPr>
        <w:spacing w:line="276" w:lineRule="auto"/>
        <w:rPr>
          <w:rFonts w:ascii="Arial" w:hAnsi="Arial" w:cs="Arial"/>
          <w:sz w:val="22"/>
          <w:szCs w:val="22"/>
          <w:lang w:eastAsia="en-GB"/>
        </w:rPr>
      </w:pPr>
    </w:p>
    <w:p w14:paraId="1E2D0775" w14:textId="77777777" w:rsidR="00B44AD8" w:rsidRPr="008F0D5D" w:rsidRDefault="00B44AD8" w:rsidP="008F0D5D">
      <w:pPr>
        <w:spacing w:line="276" w:lineRule="auto"/>
        <w:rPr>
          <w:rFonts w:ascii="Arial" w:hAnsi="Arial" w:cs="Arial"/>
          <w:sz w:val="22"/>
          <w:szCs w:val="22"/>
          <w:lang w:eastAsia="en-GB"/>
        </w:rPr>
      </w:pPr>
      <w:r w:rsidRPr="008F0D5D">
        <w:rPr>
          <w:rFonts w:ascii="Arial" w:hAnsi="Arial" w:cs="Arial"/>
          <w:sz w:val="22"/>
          <w:szCs w:val="22"/>
          <w:lang w:eastAsia="en-GB"/>
        </w:rPr>
        <w:t xml:space="preserve">DHB non-financial monitoring arrangements operate within wider DHB accountability arrangements including legislative requirements, obligations formalised via Crown Funding Agreements and other contractual requirements, along with formal planning documents agreed with the Minister of Health/Minister of Finance. </w:t>
      </w:r>
    </w:p>
    <w:p w14:paraId="4083CFBF" w14:textId="77777777" w:rsidR="00B44AD8" w:rsidRPr="008F0D5D" w:rsidRDefault="00B44AD8" w:rsidP="008F0D5D">
      <w:pPr>
        <w:spacing w:line="276" w:lineRule="auto"/>
        <w:rPr>
          <w:rFonts w:ascii="Arial" w:hAnsi="Arial" w:cs="Arial"/>
          <w:sz w:val="22"/>
          <w:szCs w:val="22"/>
          <w:lang w:eastAsia="en-GB"/>
        </w:rPr>
      </w:pPr>
    </w:p>
    <w:p w14:paraId="09A67C29" w14:textId="488369EC" w:rsidR="00B44AD8" w:rsidRPr="008F0D5D" w:rsidRDefault="00B44AD8" w:rsidP="008F0D5D">
      <w:pPr>
        <w:spacing w:line="276" w:lineRule="auto"/>
        <w:rPr>
          <w:rFonts w:ascii="Arial" w:hAnsi="Arial" w:cs="Arial"/>
          <w:sz w:val="22"/>
          <w:szCs w:val="22"/>
          <w:lang w:eastAsia="en-GB"/>
        </w:rPr>
      </w:pPr>
      <w:r w:rsidRPr="008F0D5D">
        <w:rPr>
          <w:rFonts w:ascii="Arial" w:hAnsi="Arial" w:cs="Arial"/>
          <w:sz w:val="22"/>
          <w:szCs w:val="22"/>
          <w:lang w:eastAsia="en-GB"/>
        </w:rPr>
        <w:t xml:space="preserve">The measures included within the DHB non-financial monitoring framework are </w:t>
      </w:r>
      <w:r w:rsidR="00AC10D5" w:rsidRPr="008F0D5D">
        <w:rPr>
          <w:rFonts w:ascii="Arial" w:hAnsi="Arial" w:cs="Arial"/>
          <w:sz w:val="22"/>
          <w:szCs w:val="22"/>
          <w:lang w:eastAsia="en-GB"/>
        </w:rPr>
        <w:t xml:space="preserve">those where formal performance expectations are agreed with DHBs in their annual plans.  The measures are </w:t>
      </w:r>
      <w:r w:rsidRPr="008F0D5D">
        <w:rPr>
          <w:rFonts w:ascii="Arial" w:hAnsi="Arial" w:cs="Arial"/>
          <w:sz w:val="22"/>
          <w:szCs w:val="22"/>
          <w:lang w:eastAsia="en-GB"/>
        </w:rPr>
        <w:t xml:space="preserve">intended to cover a specific set of markers of DHB performance in key areas, rather than all health services or DHB activity. </w:t>
      </w:r>
      <w:r w:rsidR="00AC10D5" w:rsidRPr="008F0D5D">
        <w:rPr>
          <w:rFonts w:ascii="Arial" w:hAnsi="Arial" w:cs="Arial"/>
          <w:sz w:val="22"/>
          <w:szCs w:val="22"/>
          <w:lang w:eastAsia="en-GB"/>
        </w:rPr>
        <w:t xml:space="preserve"> </w:t>
      </w:r>
      <w:r w:rsidRPr="008F0D5D">
        <w:rPr>
          <w:rFonts w:ascii="Arial" w:hAnsi="Arial" w:cs="Arial"/>
          <w:sz w:val="22"/>
          <w:szCs w:val="22"/>
          <w:lang w:eastAsia="en-GB"/>
        </w:rPr>
        <w:t xml:space="preserve">Views and perspectives about what </w:t>
      </w:r>
      <w:proofErr w:type="gramStart"/>
      <w:r w:rsidRPr="008F0D5D">
        <w:rPr>
          <w:rFonts w:ascii="Arial" w:hAnsi="Arial" w:cs="Arial"/>
          <w:sz w:val="22"/>
          <w:szCs w:val="22"/>
          <w:lang w:eastAsia="en-GB"/>
        </w:rPr>
        <w:t>is</w:t>
      </w:r>
      <w:proofErr w:type="gramEnd"/>
      <w:r w:rsidRPr="008F0D5D">
        <w:rPr>
          <w:rFonts w:ascii="Arial" w:hAnsi="Arial" w:cs="Arial"/>
          <w:sz w:val="22"/>
          <w:szCs w:val="22"/>
          <w:lang w:eastAsia="en-GB"/>
        </w:rPr>
        <w:t xml:space="preserve"> most important to monitor, measure, and report for accountability purposes change over time with changing priorities.  As a result the monitoring framework is updated periodically, and the measures that populate the framework are updated annually. </w:t>
      </w:r>
    </w:p>
    <w:p w14:paraId="52F5DE3A" w14:textId="77777777" w:rsidR="00B44AD8" w:rsidRPr="008F0D5D" w:rsidRDefault="00B44AD8" w:rsidP="008F0D5D">
      <w:pPr>
        <w:spacing w:line="276" w:lineRule="auto"/>
        <w:rPr>
          <w:rFonts w:ascii="Arial" w:hAnsi="Arial" w:cs="Arial"/>
          <w:sz w:val="22"/>
          <w:szCs w:val="22"/>
          <w:lang w:eastAsia="en-GB"/>
        </w:rPr>
      </w:pPr>
    </w:p>
    <w:p w14:paraId="3D5B2CCA" w14:textId="77777777" w:rsidR="00B44AD8" w:rsidRPr="008F0D5D" w:rsidRDefault="005C268C" w:rsidP="008F0D5D">
      <w:pPr>
        <w:spacing w:line="276" w:lineRule="auto"/>
        <w:rPr>
          <w:rFonts w:ascii="Arial" w:hAnsi="Arial" w:cs="Arial"/>
          <w:sz w:val="22"/>
          <w:szCs w:val="22"/>
          <w:lang w:eastAsia="en-GB"/>
        </w:rPr>
      </w:pPr>
      <w:r w:rsidRPr="008F0D5D">
        <w:rPr>
          <w:rFonts w:ascii="Arial" w:hAnsi="Arial" w:cs="Arial"/>
          <w:sz w:val="22"/>
          <w:szCs w:val="22"/>
          <w:lang w:eastAsia="en-GB"/>
        </w:rPr>
        <w:t xml:space="preserve">Within the </w:t>
      </w:r>
      <w:r w:rsidR="00B44AD8" w:rsidRPr="008F0D5D">
        <w:rPr>
          <w:rFonts w:ascii="Arial" w:hAnsi="Arial" w:cs="Arial"/>
          <w:sz w:val="22"/>
          <w:szCs w:val="22"/>
          <w:lang w:eastAsia="en-GB"/>
        </w:rPr>
        <w:t>Ministry</w:t>
      </w:r>
      <w:r w:rsidRPr="008F0D5D">
        <w:rPr>
          <w:rFonts w:ascii="Arial" w:hAnsi="Arial" w:cs="Arial"/>
          <w:sz w:val="22"/>
          <w:szCs w:val="22"/>
          <w:lang w:eastAsia="en-GB"/>
        </w:rPr>
        <w:t xml:space="preserve"> of Health c</w:t>
      </w:r>
      <w:r w:rsidR="00B44AD8" w:rsidRPr="008F0D5D">
        <w:rPr>
          <w:rFonts w:ascii="Arial" w:hAnsi="Arial" w:cs="Arial"/>
          <w:sz w:val="22"/>
          <w:szCs w:val="22"/>
          <w:lang w:eastAsia="en-GB"/>
        </w:rPr>
        <w:t xml:space="preserve">linical and subject area experts are involved in all aspects of the monitoring work programme </w:t>
      </w:r>
      <w:proofErr w:type="gramStart"/>
      <w:r w:rsidR="00B44AD8" w:rsidRPr="008F0D5D">
        <w:rPr>
          <w:rFonts w:ascii="Arial" w:hAnsi="Arial" w:cs="Arial"/>
          <w:sz w:val="22"/>
          <w:szCs w:val="22"/>
          <w:lang w:eastAsia="en-GB"/>
        </w:rPr>
        <w:t>including:</w:t>
      </w:r>
      <w:proofErr w:type="gramEnd"/>
      <w:r w:rsidR="00B44AD8" w:rsidRPr="008F0D5D">
        <w:rPr>
          <w:rFonts w:ascii="Arial" w:hAnsi="Arial" w:cs="Arial"/>
          <w:sz w:val="22"/>
          <w:szCs w:val="22"/>
          <w:lang w:eastAsia="en-GB"/>
        </w:rPr>
        <w:t xml:space="preserve"> indicator design and definition; establishment of baselines; agreement of performance expectations; data supply and performance feedback; performance management and escalation of non-performance; reporting to Ministers and publication of results. </w:t>
      </w:r>
    </w:p>
    <w:p w14:paraId="6DD2136D" w14:textId="77777777" w:rsidR="00B44AD8" w:rsidRPr="008F0D5D" w:rsidRDefault="00B44AD8" w:rsidP="008F0D5D">
      <w:pPr>
        <w:spacing w:line="276" w:lineRule="auto"/>
        <w:rPr>
          <w:rFonts w:ascii="Arial" w:hAnsi="Arial" w:cs="Arial"/>
          <w:sz w:val="22"/>
          <w:szCs w:val="22"/>
          <w:lang w:eastAsia="en-GB"/>
        </w:rPr>
      </w:pPr>
    </w:p>
    <w:p w14:paraId="2F4038D5" w14:textId="77777777" w:rsidR="00B44AD8" w:rsidRPr="008F0D5D" w:rsidRDefault="005C268C" w:rsidP="008F0D5D">
      <w:pPr>
        <w:spacing w:line="276" w:lineRule="auto"/>
        <w:rPr>
          <w:rFonts w:ascii="Arial" w:hAnsi="Arial" w:cs="Arial"/>
          <w:sz w:val="22"/>
          <w:szCs w:val="22"/>
          <w:lang w:eastAsia="en-GB"/>
        </w:rPr>
      </w:pPr>
      <w:r w:rsidRPr="008F0D5D">
        <w:rPr>
          <w:rFonts w:ascii="Arial" w:hAnsi="Arial" w:cs="Arial"/>
          <w:sz w:val="22"/>
          <w:szCs w:val="22"/>
          <w:lang w:eastAsia="en-GB"/>
        </w:rPr>
        <w:t xml:space="preserve">The Ministry of Health </w:t>
      </w:r>
      <w:r w:rsidR="00B44AD8" w:rsidRPr="008F0D5D">
        <w:rPr>
          <w:rFonts w:ascii="Arial" w:hAnsi="Arial" w:cs="Arial"/>
          <w:sz w:val="22"/>
          <w:szCs w:val="22"/>
          <w:lang w:eastAsia="en-GB"/>
        </w:rPr>
        <w:t>review</w:t>
      </w:r>
      <w:r w:rsidRPr="008F0D5D">
        <w:rPr>
          <w:rFonts w:ascii="Arial" w:hAnsi="Arial" w:cs="Arial"/>
          <w:sz w:val="22"/>
          <w:szCs w:val="22"/>
          <w:lang w:eastAsia="en-GB"/>
        </w:rPr>
        <w:t>s</w:t>
      </w:r>
      <w:r w:rsidR="00B44AD8" w:rsidRPr="008F0D5D">
        <w:rPr>
          <w:rFonts w:ascii="Arial" w:hAnsi="Arial" w:cs="Arial"/>
          <w:sz w:val="22"/>
          <w:szCs w:val="22"/>
          <w:lang w:eastAsia="en-GB"/>
        </w:rPr>
        <w:t xml:space="preserve"> the measures within the monitoring framework as part of the development of annual DHB planning advice. Working drafts are shared with DHBs for comment and feedback. If new measures are included in the framework, these measures must:</w:t>
      </w:r>
    </w:p>
    <w:p w14:paraId="4DD0FD26" w14:textId="77777777" w:rsidR="00B44AD8" w:rsidRPr="008F0D5D" w:rsidRDefault="00B44AD8" w:rsidP="008F0D5D">
      <w:pPr>
        <w:numPr>
          <w:ilvl w:val="0"/>
          <w:numId w:val="9"/>
        </w:numPr>
        <w:spacing w:line="276" w:lineRule="auto"/>
        <w:ind w:left="426"/>
        <w:rPr>
          <w:rFonts w:ascii="Arial" w:hAnsi="Arial" w:cs="Arial"/>
          <w:sz w:val="22"/>
          <w:szCs w:val="22"/>
          <w:lang w:eastAsia="en-GB"/>
        </w:rPr>
      </w:pPr>
      <w:r w:rsidRPr="008F0D5D">
        <w:rPr>
          <w:rFonts w:ascii="Arial" w:hAnsi="Arial" w:cs="Arial"/>
          <w:sz w:val="22"/>
          <w:szCs w:val="22"/>
          <w:lang w:eastAsia="en-GB"/>
        </w:rPr>
        <w:t>incorporate intervention logic and a performance story linking the measure to sector outcomes</w:t>
      </w:r>
    </w:p>
    <w:p w14:paraId="658C765D" w14:textId="77777777" w:rsidR="00B44AD8" w:rsidRPr="008F0D5D" w:rsidRDefault="00B44AD8" w:rsidP="008F0D5D">
      <w:pPr>
        <w:numPr>
          <w:ilvl w:val="0"/>
          <w:numId w:val="9"/>
        </w:numPr>
        <w:spacing w:line="276" w:lineRule="auto"/>
        <w:ind w:left="426"/>
        <w:rPr>
          <w:rFonts w:ascii="Arial" w:hAnsi="Arial" w:cs="Arial"/>
          <w:sz w:val="22"/>
          <w:szCs w:val="22"/>
          <w:lang w:eastAsia="en-GB"/>
        </w:rPr>
      </w:pPr>
      <w:r w:rsidRPr="008F0D5D">
        <w:rPr>
          <w:rFonts w:ascii="Arial" w:hAnsi="Arial" w:cs="Arial"/>
          <w:sz w:val="22"/>
          <w:szCs w:val="22"/>
          <w:lang w:eastAsia="en-GB"/>
        </w:rPr>
        <w:t>provide clear and transparent deliverables including clearly defined numerators and denominators for quantitative measures, with data sources clearly identified</w:t>
      </w:r>
    </w:p>
    <w:p w14:paraId="58A5CCA3" w14:textId="77777777" w:rsidR="00B44AD8" w:rsidRPr="008F0D5D" w:rsidRDefault="00B44AD8" w:rsidP="008F0D5D">
      <w:pPr>
        <w:numPr>
          <w:ilvl w:val="0"/>
          <w:numId w:val="9"/>
        </w:numPr>
        <w:spacing w:line="276" w:lineRule="auto"/>
        <w:ind w:left="426"/>
        <w:rPr>
          <w:rFonts w:ascii="Arial" w:hAnsi="Arial" w:cs="Arial"/>
          <w:sz w:val="22"/>
          <w:szCs w:val="22"/>
          <w:lang w:eastAsia="en-GB"/>
        </w:rPr>
      </w:pPr>
      <w:r w:rsidRPr="008F0D5D">
        <w:rPr>
          <w:rFonts w:ascii="Arial" w:hAnsi="Arial" w:cs="Arial"/>
          <w:sz w:val="22"/>
          <w:szCs w:val="22"/>
          <w:lang w:eastAsia="en-GB"/>
        </w:rPr>
        <w:t>identify the actions DHB funders can take to influence performance, and activities DHBs can put in place that have a proven impact on the measure</w:t>
      </w:r>
    </w:p>
    <w:p w14:paraId="6BA876E8" w14:textId="77777777" w:rsidR="00B44AD8" w:rsidRPr="008F0D5D" w:rsidRDefault="00B44AD8" w:rsidP="008F0D5D">
      <w:pPr>
        <w:numPr>
          <w:ilvl w:val="0"/>
          <w:numId w:val="9"/>
        </w:numPr>
        <w:spacing w:line="276" w:lineRule="auto"/>
        <w:ind w:left="426"/>
        <w:rPr>
          <w:rFonts w:ascii="Arial" w:hAnsi="Arial" w:cs="Arial"/>
          <w:sz w:val="22"/>
          <w:szCs w:val="22"/>
          <w:lang w:eastAsia="en-GB"/>
        </w:rPr>
      </w:pPr>
      <w:r w:rsidRPr="008F0D5D">
        <w:rPr>
          <w:rFonts w:ascii="Arial" w:hAnsi="Arial" w:cs="Arial"/>
          <w:sz w:val="22"/>
          <w:szCs w:val="22"/>
          <w:lang w:eastAsia="en-GB"/>
        </w:rPr>
        <w:t xml:space="preserve">identify the required detail and frequency of reporting </w:t>
      </w:r>
    </w:p>
    <w:p w14:paraId="38E69F7D" w14:textId="399B6F51" w:rsidR="00B44AD8" w:rsidRPr="008F0D5D" w:rsidRDefault="008D2874" w:rsidP="008F0D5D">
      <w:pPr>
        <w:numPr>
          <w:ilvl w:val="0"/>
          <w:numId w:val="9"/>
        </w:numPr>
        <w:spacing w:line="276" w:lineRule="auto"/>
        <w:ind w:left="426"/>
        <w:rPr>
          <w:rFonts w:ascii="Arial" w:hAnsi="Arial" w:cs="Arial"/>
          <w:sz w:val="22"/>
          <w:szCs w:val="22"/>
          <w:lang w:eastAsia="en-GB"/>
        </w:rPr>
      </w:pPr>
      <w:r w:rsidRPr="008F0D5D">
        <w:rPr>
          <w:rFonts w:ascii="Arial" w:hAnsi="Arial" w:cs="Arial"/>
          <w:sz w:val="22"/>
          <w:szCs w:val="22"/>
          <w:lang w:eastAsia="en-GB"/>
        </w:rPr>
        <w:t>Identify</w:t>
      </w:r>
      <w:r w:rsidR="00B44AD8" w:rsidRPr="008F0D5D">
        <w:rPr>
          <w:rFonts w:ascii="Arial" w:hAnsi="Arial" w:cs="Arial"/>
          <w:sz w:val="22"/>
          <w:szCs w:val="22"/>
          <w:lang w:eastAsia="en-GB"/>
        </w:rPr>
        <w:t xml:space="preserve"> clear performance expectations, including what constitutes achievement, partial </w:t>
      </w:r>
      <w:proofErr w:type="gramStart"/>
      <w:r w:rsidR="00B44AD8" w:rsidRPr="008F0D5D">
        <w:rPr>
          <w:rFonts w:ascii="Arial" w:hAnsi="Arial" w:cs="Arial"/>
          <w:sz w:val="22"/>
          <w:szCs w:val="22"/>
          <w:lang w:eastAsia="en-GB"/>
        </w:rPr>
        <w:t>achievement</w:t>
      </w:r>
      <w:proofErr w:type="gramEnd"/>
      <w:r w:rsidR="00B44AD8" w:rsidRPr="008F0D5D">
        <w:rPr>
          <w:rFonts w:ascii="Arial" w:hAnsi="Arial" w:cs="Arial"/>
          <w:sz w:val="22"/>
          <w:szCs w:val="22"/>
          <w:lang w:eastAsia="en-GB"/>
        </w:rPr>
        <w:t xml:space="preserve"> and non-achievement of the measure. </w:t>
      </w:r>
    </w:p>
    <w:p w14:paraId="028145F9" w14:textId="77777777" w:rsidR="00B44AD8" w:rsidRPr="008F0D5D" w:rsidRDefault="00B44AD8" w:rsidP="008F0D5D">
      <w:pPr>
        <w:spacing w:line="276" w:lineRule="auto"/>
        <w:rPr>
          <w:rFonts w:ascii="Arial" w:hAnsi="Arial" w:cs="Arial"/>
          <w:sz w:val="22"/>
          <w:szCs w:val="22"/>
          <w:lang w:eastAsia="en-GB"/>
        </w:rPr>
      </w:pPr>
    </w:p>
    <w:p w14:paraId="3466007A" w14:textId="211ACA4A" w:rsidR="00B44AD8" w:rsidRPr="008F0D5D" w:rsidRDefault="00B44AD8" w:rsidP="008F0D5D">
      <w:pPr>
        <w:spacing w:line="276" w:lineRule="auto"/>
        <w:rPr>
          <w:rFonts w:ascii="Arial" w:hAnsi="Arial" w:cs="Arial"/>
          <w:sz w:val="22"/>
          <w:szCs w:val="22"/>
          <w:lang w:eastAsia="en-GB"/>
        </w:rPr>
      </w:pPr>
      <w:r w:rsidRPr="008F0D5D">
        <w:rPr>
          <w:rFonts w:ascii="Arial" w:hAnsi="Arial" w:cs="Arial"/>
          <w:sz w:val="22"/>
          <w:szCs w:val="22"/>
          <w:lang w:eastAsia="en-GB"/>
        </w:rPr>
        <w:t xml:space="preserve">The burden of reporting is </w:t>
      </w:r>
      <w:r w:rsidR="00AC10D5" w:rsidRPr="008F0D5D">
        <w:rPr>
          <w:rFonts w:ascii="Arial" w:hAnsi="Arial" w:cs="Arial"/>
          <w:sz w:val="22"/>
          <w:szCs w:val="22"/>
          <w:lang w:eastAsia="en-GB"/>
        </w:rPr>
        <w:t>also an important consideration and n</w:t>
      </w:r>
      <w:r w:rsidRPr="008F0D5D">
        <w:rPr>
          <w:rFonts w:ascii="Arial" w:hAnsi="Arial" w:cs="Arial"/>
          <w:sz w:val="22"/>
          <w:szCs w:val="22"/>
          <w:lang w:eastAsia="en-GB"/>
        </w:rPr>
        <w:t>ew measures need to be strongly justified before they are included in the framework</w:t>
      </w:r>
      <w:r w:rsidR="00AC10D5" w:rsidRPr="008F0D5D">
        <w:rPr>
          <w:rFonts w:ascii="Arial" w:hAnsi="Arial" w:cs="Arial"/>
          <w:sz w:val="22"/>
          <w:szCs w:val="22"/>
          <w:lang w:eastAsia="en-GB"/>
        </w:rPr>
        <w:t>.</w:t>
      </w:r>
      <w:r w:rsidRPr="008F0D5D">
        <w:rPr>
          <w:rFonts w:ascii="Arial" w:hAnsi="Arial" w:cs="Arial"/>
          <w:sz w:val="22"/>
          <w:szCs w:val="22"/>
          <w:lang w:eastAsia="en-GB"/>
        </w:rPr>
        <w:t xml:space="preserve"> </w:t>
      </w:r>
    </w:p>
    <w:p w14:paraId="482D29CE" w14:textId="77777777" w:rsidR="00B44AD8" w:rsidRPr="008F0D5D" w:rsidRDefault="00B44AD8" w:rsidP="008F0D5D">
      <w:pPr>
        <w:spacing w:line="276" w:lineRule="auto"/>
        <w:rPr>
          <w:rFonts w:ascii="Arial" w:hAnsi="Arial" w:cs="Arial"/>
          <w:sz w:val="22"/>
          <w:szCs w:val="22"/>
          <w:lang w:eastAsia="en-GB"/>
        </w:rPr>
      </w:pPr>
    </w:p>
    <w:p w14:paraId="07A99A62" w14:textId="77777777" w:rsidR="00B44AD8" w:rsidRPr="008F0D5D" w:rsidRDefault="00B44AD8" w:rsidP="008F0D5D">
      <w:pPr>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 xml:space="preserve">DHBs formally agree to deliver on the performance expectations associated with the measures in the DHB monitoring framework through DHB Annual Plans.   Each individual measure owner </w:t>
      </w:r>
      <w:r w:rsidR="005C268C" w:rsidRPr="008F0D5D">
        <w:rPr>
          <w:rFonts w:ascii="Arial" w:hAnsi="Arial" w:cs="Arial"/>
          <w:color w:val="000000"/>
          <w:sz w:val="22"/>
          <w:szCs w:val="22"/>
          <w:lang w:eastAsia="en-NZ"/>
        </w:rPr>
        <w:t xml:space="preserve">within the Ministry of Health </w:t>
      </w:r>
      <w:r w:rsidRPr="008F0D5D">
        <w:rPr>
          <w:rFonts w:ascii="Arial" w:hAnsi="Arial" w:cs="Arial"/>
          <w:color w:val="000000"/>
          <w:sz w:val="22"/>
          <w:szCs w:val="22"/>
          <w:lang w:eastAsia="en-NZ"/>
        </w:rPr>
        <w:t xml:space="preserve">reviews and approves performance expectation for their measures. </w:t>
      </w:r>
    </w:p>
    <w:p w14:paraId="10944D37" w14:textId="77777777" w:rsidR="00B44AD8" w:rsidRPr="008F0D5D" w:rsidRDefault="00B44AD8" w:rsidP="008F0D5D">
      <w:pPr>
        <w:autoSpaceDE w:val="0"/>
        <w:autoSpaceDN w:val="0"/>
        <w:adjustRightInd w:val="0"/>
        <w:spacing w:line="276" w:lineRule="auto"/>
        <w:rPr>
          <w:rFonts w:ascii="Arial" w:hAnsi="Arial" w:cs="Arial"/>
          <w:color w:val="000000"/>
          <w:sz w:val="22"/>
          <w:szCs w:val="22"/>
          <w:lang w:eastAsia="en-NZ"/>
        </w:rPr>
      </w:pPr>
    </w:p>
    <w:p w14:paraId="2462DF85" w14:textId="77777777" w:rsidR="00B44AD8" w:rsidRPr="008F0D5D" w:rsidRDefault="00B44AD8" w:rsidP="008F0D5D">
      <w:pPr>
        <w:autoSpaceDE w:val="0"/>
        <w:autoSpaceDN w:val="0"/>
        <w:adjustRightInd w:val="0"/>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 xml:space="preserve">DHBs provide quarterly reports to the Ministry via a </w:t>
      </w:r>
      <w:proofErr w:type="gramStart"/>
      <w:r w:rsidRPr="008F0D5D">
        <w:rPr>
          <w:rFonts w:ascii="Arial" w:hAnsi="Arial" w:cs="Arial"/>
          <w:color w:val="000000"/>
          <w:sz w:val="22"/>
          <w:szCs w:val="22"/>
          <w:lang w:eastAsia="en-NZ"/>
        </w:rPr>
        <w:t>web based</w:t>
      </w:r>
      <w:proofErr w:type="gramEnd"/>
      <w:r w:rsidRPr="008F0D5D">
        <w:rPr>
          <w:rFonts w:ascii="Arial" w:hAnsi="Arial" w:cs="Arial"/>
          <w:color w:val="000000"/>
          <w:sz w:val="22"/>
          <w:szCs w:val="22"/>
          <w:lang w:eastAsia="en-NZ"/>
        </w:rPr>
        <w:t xml:space="preserve"> reporting tool.   DHB performance against each target or measure is assessed by the Ministry measure owner/subject expert, and performance assessment and feedback </w:t>
      </w:r>
      <w:proofErr w:type="gramStart"/>
      <w:r w:rsidRPr="008F0D5D">
        <w:rPr>
          <w:rFonts w:ascii="Arial" w:hAnsi="Arial" w:cs="Arial"/>
          <w:color w:val="000000"/>
          <w:sz w:val="22"/>
          <w:szCs w:val="22"/>
          <w:lang w:eastAsia="en-NZ"/>
        </w:rPr>
        <w:t>is</w:t>
      </w:r>
      <w:proofErr w:type="gramEnd"/>
      <w:r w:rsidRPr="008F0D5D">
        <w:rPr>
          <w:rFonts w:ascii="Arial" w:hAnsi="Arial" w:cs="Arial"/>
          <w:color w:val="000000"/>
          <w:sz w:val="22"/>
          <w:szCs w:val="22"/>
          <w:lang w:eastAsia="en-NZ"/>
        </w:rPr>
        <w:t xml:space="preserve"> provided directly to DHBs via the web based reporting tool. </w:t>
      </w:r>
    </w:p>
    <w:p w14:paraId="0025AF10" w14:textId="77777777" w:rsidR="00B44AD8" w:rsidRPr="008F0D5D" w:rsidRDefault="00B44AD8" w:rsidP="008F0D5D">
      <w:pPr>
        <w:autoSpaceDE w:val="0"/>
        <w:autoSpaceDN w:val="0"/>
        <w:adjustRightInd w:val="0"/>
        <w:spacing w:line="276" w:lineRule="auto"/>
        <w:rPr>
          <w:rFonts w:ascii="Arial" w:hAnsi="Arial" w:cs="Arial"/>
          <w:color w:val="000000"/>
          <w:sz w:val="22"/>
          <w:szCs w:val="22"/>
          <w:lang w:eastAsia="en-NZ"/>
        </w:rPr>
      </w:pPr>
    </w:p>
    <w:p w14:paraId="40B99FB3" w14:textId="3D178936" w:rsidR="00B44AD8" w:rsidRPr="008F0D5D" w:rsidRDefault="00B44AD8" w:rsidP="008F0D5D">
      <w:pPr>
        <w:autoSpaceDE w:val="0"/>
        <w:autoSpaceDN w:val="0"/>
        <w:adjustRightInd w:val="0"/>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Where DHBs do not meet performance expectations, Ministry measure owner/subject expert determines whether the DHB has:</w:t>
      </w:r>
    </w:p>
    <w:p w14:paraId="2C307A49" w14:textId="77777777" w:rsidR="00B44AD8" w:rsidRPr="008F0D5D" w:rsidRDefault="00B44AD8" w:rsidP="008F0D5D">
      <w:pPr>
        <w:numPr>
          <w:ilvl w:val="0"/>
          <w:numId w:val="10"/>
        </w:numPr>
        <w:autoSpaceDE w:val="0"/>
        <w:autoSpaceDN w:val="0"/>
        <w:adjustRightInd w:val="0"/>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 xml:space="preserve">Partially achieved i.e. some or all expected performance expectations/deliverables associated with the measure not met, however there is </w:t>
      </w:r>
      <w:proofErr w:type="gramStart"/>
      <w:r w:rsidRPr="008F0D5D">
        <w:rPr>
          <w:rFonts w:ascii="Arial" w:hAnsi="Arial" w:cs="Arial"/>
          <w:color w:val="000000"/>
          <w:sz w:val="22"/>
          <w:szCs w:val="22"/>
          <w:lang w:eastAsia="en-NZ"/>
        </w:rPr>
        <w:t>a an</w:t>
      </w:r>
      <w:proofErr w:type="gramEnd"/>
      <w:r w:rsidRPr="008F0D5D">
        <w:rPr>
          <w:rFonts w:ascii="Arial" w:hAnsi="Arial" w:cs="Arial"/>
          <w:color w:val="000000"/>
          <w:sz w:val="22"/>
          <w:szCs w:val="22"/>
          <w:lang w:eastAsia="en-NZ"/>
        </w:rPr>
        <w:t xml:space="preserve"> appropriate resolution plan</w:t>
      </w:r>
      <w:r w:rsidR="00ED5127" w:rsidRPr="008F0D5D">
        <w:rPr>
          <w:rFonts w:ascii="Arial" w:hAnsi="Arial" w:cs="Arial"/>
          <w:color w:val="000000"/>
          <w:sz w:val="22"/>
          <w:szCs w:val="22"/>
          <w:lang w:eastAsia="en-NZ"/>
        </w:rPr>
        <w:t xml:space="preserve"> </w:t>
      </w:r>
    </w:p>
    <w:p w14:paraId="5AD005BB" w14:textId="77777777" w:rsidR="00B44AD8" w:rsidRPr="008F0D5D" w:rsidRDefault="00B44AD8" w:rsidP="008F0D5D">
      <w:pPr>
        <w:numPr>
          <w:ilvl w:val="0"/>
          <w:numId w:val="10"/>
        </w:numPr>
        <w:autoSpaceDE w:val="0"/>
        <w:autoSpaceDN w:val="0"/>
        <w:adjustRightInd w:val="0"/>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 xml:space="preserve">Not achieved i.e. the deliverable is not met and the DHB does not have an adequate resolution plan. </w:t>
      </w:r>
    </w:p>
    <w:p w14:paraId="7978AE26" w14:textId="77777777" w:rsidR="00B44AD8" w:rsidRPr="008F0D5D" w:rsidRDefault="00B44AD8" w:rsidP="008F0D5D">
      <w:pPr>
        <w:tabs>
          <w:tab w:val="num" w:pos="0"/>
        </w:tabs>
        <w:spacing w:before="240" w:line="276" w:lineRule="auto"/>
        <w:jc w:val="both"/>
        <w:rPr>
          <w:rFonts w:ascii="Arial" w:hAnsi="Arial" w:cs="Arial"/>
          <w:i/>
          <w:iCs/>
          <w:sz w:val="22"/>
          <w:szCs w:val="22"/>
        </w:rPr>
      </w:pPr>
      <w:r w:rsidRPr="008F0D5D">
        <w:rPr>
          <w:rFonts w:ascii="Arial" w:hAnsi="Arial" w:cs="Arial"/>
          <w:color w:val="000000"/>
          <w:sz w:val="22"/>
          <w:szCs w:val="22"/>
          <w:lang w:eastAsia="en-NZ"/>
        </w:rPr>
        <w:t xml:space="preserve">Where a ‘not achieved’ assessment is made, performance escalation </w:t>
      </w:r>
      <w:r w:rsidR="005C268C" w:rsidRPr="008F0D5D">
        <w:rPr>
          <w:rFonts w:ascii="Arial" w:hAnsi="Arial" w:cs="Arial"/>
          <w:color w:val="000000"/>
          <w:sz w:val="22"/>
          <w:szCs w:val="22"/>
          <w:lang w:eastAsia="en-NZ"/>
        </w:rPr>
        <w:t xml:space="preserve">is </w:t>
      </w:r>
      <w:r w:rsidRPr="008F0D5D">
        <w:rPr>
          <w:rFonts w:ascii="Arial" w:hAnsi="Arial" w:cs="Arial"/>
          <w:color w:val="000000"/>
          <w:sz w:val="22"/>
          <w:szCs w:val="22"/>
          <w:lang w:eastAsia="en-NZ"/>
        </w:rPr>
        <w:t>coordinated by DHB Relationship Managers and through formal monitoring and intervention processes where required.</w:t>
      </w:r>
      <w:r w:rsidRPr="008F0D5D">
        <w:rPr>
          <w:rFonts w:ascii="Arial" w:hAnsi="Arial" w:cs="Arial"/>
          <w:sz w:val="22"/>
          <w:szCs w:val="22"/>
          <w:lang w:eastAsia="en-GB"/>
        </w:rPr>
        <w:t xml:space="preserve"> A monitoring and Intervention Framework is used by the Ministry to monitor and manage DHB performance, and provides for increasingly intensive levels of monitoring and, where necessary, intervention to ensure that issues relating to poor performance are addressed.  </w:t>
      </w:r>
    </w:p>
    <w:p w14:paraId="25BDD221" w14:textId="77777777" w:rsidR="00B44AD8" w:rsidRPr="008F0D5D" w:rsidRDefault="00B44AD8" w:rsidP="008F0D5D">
      <w:pPr>
        <w:autoSpaceDE w:val="0"/>
        <w:autoSpaceDN w:val="0"/>
        <w:adjustRightInd w:val="0"/>
        <w:spacing w:line="276" w:lineRule="auto"/>
        <w:rPr>
          <w:rFonts w:ascii="Arial" w:hAnsi="Arial" w:cs="Arial"/>
          <w:color w:val="000000"/>
          <w:sz w:val="22"/>
          <w:szCs w:val="22"/>
          <w:lang w:eastAsia="en-NZ"/>
        </w:rPr>
      </w:pPr>
    </w:p>
    <w:p w14:paraId="7E330C3C" w14:textId="156AE970" w:rsidR="00B44AD8" w:rsidRPr="008F0D5D" w:rsidRDefault="005C268C" w:rsidP="008F0D5D">
      <w:pPr>
        <w:autoSpaceDE w:val="0"/>
        <w:autoSpaceDN w:val="0"/>
        <w:adjustRightInd w:val="0"/>
        <w:spacing w:line="276" w:lineRule="auto"/>
        <w:rPr>
          <w:rFonts w:ascii="Arial" w:hAnsi="Arial" w:cs="Arial"/>
          <w:color w:val="000000"/>
          <w:sz w:val="22"/>
          <w:szCs w:val="22"/>
          <w:lang w:eastAsia="en-NZ"/>
        </w:rPr>
      </w:pPr>
      <w:r w:rsidRPr="008F0D5D">
        <w:rPr>
          <w:rFonts w:ascii="Arial" w:hAnsi="Arial" w:cs="Arial"/>
          <w:color w:val="000000"/>
          <w:sz w:val="22"/>
          <w:szCs w:val="22"/>
          <w:lang w:eastAsia="en-NZ"/>
        </w:rPr>
        <w:t xml:space="preserve">A </w:t>
      </w:r>
      <w:r w:rsidR="00495BEB">
        <w:rPr>
          <w:rFonts w:ascii="Arial" w:hAnsi="Arial" w:cs="Arial"/>
          <w:color w:val="000000"/>
          <w:sz w:val="22"/>
          <w:szCs w:val="22"/>
          <w:lang w:eastAsia="en-NZ"/>
        </w:rPr>
        <w:t xml:space="preserve">summary </w:t>
      </w:r>
      <w:r w:rsidRPr="008F0D5D">
        <w:rPr>
          <w:rFonts w:ascii="Arial" w:hAnsi="Arial" w:cs="Arial"/>
          <w:color w:val="000000"/>
          <w:sz w:val="22"/>
          <w:szCs w:val="22"/>
          <w:lang w:eastAsia="en-NZ"/>
        </w:rPr>
        <w:t>report is produced each quarter b</w:t>
      </w:r>
      <w:r w:rsidR="00B44AD8" w:rsidRPr="008F0D5D">
        <w:rPr>
          <w:rFonts w:ascii="Arial" w:hAnsi="Arial" w:cs="Arial"/>
          <w:color w:val="000000"/>
          <w:sz w:val="22"/>
          <w:szCs w:val="22"/>
          <w:lang w:eastAsia="en-NZ"/>
        </w:rPr>
        <w:t>ased on the performance assessments undertaken by the Ministry measure owner/subject</w:t>
      </w:r>
      <w:r w:rsidRPr="008F0D5D">
        <w:rPr>
          <w:rFonts w:ascii="Arial" w:hAnsi="Arial" w:cs="Arial"/>
          <w:color w:val="000000"/>
          <w:sz w:val="22"/>
          <w:szCs w:val="22"/>
          <w:lang w:eastAsia="en-NZ"/>
        </w:rPr>
        <w:t xml:space="preserve">.  These reports </w:t>
      </w:r>
      <w:r w:rsidR="000A3EEE">
        <w:rPr>
          <w:rFonts w:ascii="Arial" w:hAnsi="Arial" w:cs="Arial"/>
          <w:color w:val="000000"/>
          <w:sz w:val="22"/>
          <w:szCs w:val="22"/>
          <w:lang w:eastAsia="en-NZ"/>
        </w:rPr>
        <w:t xml:space="preserve">are </w:t>
      </w:r>
      <w:r w:rsidR="00B44AD8" w:rsidRPr="008F0D5D">
        <w:rPr>
          <w:rFonts w:ascii="Arial" w:hAnsi="Arial" w:cs="Arial"/>
          <w:color w:val="000000"/>
          <w:sz w:val="22"/>
          <w:szCs w:val="22"/>
          <w:lang w:eastAsia="en-NZ"/>
        </w:rPr>
        <w:t>summaris</w:t>
      </w:r>
      <w:r w:rsidRPr="008F0D5D">
        <w:rPr>
          <w:rFonts w:ascii="Arial" w:hAnsi="Arial" w:cs="Arial"/>
          <w:color w:val="000000"/>
          <w:sz w:val="22"/>
          <w:szCs w:val="22"/>
          <w:lang w:eastAsia="en-NZ"/>
        </w:rPr>
        <w:t>e</w:t>
      </w:r>
      <w:r w:rsidR="000A3EEE">
        <w:rPr>
          <w:rFonts w:ascii="Arial" w:hAnsi="Arial" w:cs="Arial"/>
          <w:color w:val="000000"/>
          <w:sz w:val="22"/>
          <w:szCs w:val="22"/>
          <w:lang w:eastAsia="en-NZ"/>
        </w:rPr>
        <w:t>d</w:t>
      </w:r>
      <w:r w:rsidR="00B44AD8" w:rsidRPr="008F0D5D">
        <w:rPr>
          <w:rFonts w:ascii="Arial" w:hAnsi="Arial" w:cs="Arial"/>
          <w:color w:val="000000"/>
          <w:sz w:val="22"/>
          <w:szCs w:val="22"/>
          <w:lang w:eastAsia="en-NZ"/>
        </w:rPr>
        <w:t xml:space="preserve"> on </w:t>
      </w:r>
      <w:r w:rsidR="000A3EEE">
        <w:rPr>
          <w:rFonts w:ascii="Arial" w:hAnsi="Arial" w:cs="Arial"/>
          <w:color w:val="000000"/>
          <w:sz w:val="22"/>
          <w:szCs w:val="22"/>
          <w:lang w:eastAsia="en-NZ"/>
        </w:rPr>
        <w:t xml:space="preserve">a </w:t>
      </w:r>
      <w:r w:rsidR="00B44AD8" w:rsidRPr="008F0D5D">
        <w:rPr>
          <w:rFonts w:ascii="Arial" w:hAnsi="Arial" w:cs="Arial"/>
          <w:color w:val="000000"/>
          <w:sz w:val="22"/>
          <w:szCs w:val="22"/>
          <w:lang w:eastAsia="en-NZ"/>
        </w:rPr>
        <w:t>one</w:t>
      </w:r>
      <w:r w:rsidR="006971E7">
        <w:rPr>
          <w:rFonts w:ascii="Arial" w:hAnsi="Arial" w:cs="Arial"/>
          <w:color w:val="000000"/>
          <w:sz w:val="22"/>
          <w:szCs w:val="22"/>
          <w:lang w:eastAsia="en-NZ"/>
        </w:rPr>
        <w:t>-</w:t>
      </w:r>
      <w:r w:rsidR="00B44AD8" w:rsidRPr="008F0D5D">
        <w:rPr>
          <w:rFonts w:ascii="Arial" w:hAnsi="Arial" w:cs="Arial"/>
          <w:color w:val="000000"/>
          <w:sz w:val="22"/>
          <w:szCs w:val="22"/>
          <w:lang w:eastAsia="en-NZ"/>
        </w:rPr>
        <w:t xml:space="preserve">page </w:t>
      </w:r>
      <w:r w:rsidR="000A3EEE">
        <w:rPr>
          <w:rFonts w:ascii="Arial" w:hAnsi="Arial" w:cs="Arial"/>
          <w:color w:val="000000"/>
          <w:sz w:val="22"/>
          <w:szCs w:val="22"/>
          <w:lang w:eastAsia="en-NZ"/>
        </w:rPr>
        <w:t xml:space="preserve">heat map of </w:t>
      </w:r>
      <w:r w:rsidR="006971E7">
        <w:rPr>
          <w:rFonts w:ascii="Arial" w:hAnsi="Arial" w:cs="Arial"/>
          <w:color w:val="000000"/>
          <w:sz w:val="22"/>
          <w:szCs w:val="22"/>
          <w:lang w:eastAsia="en-NZ"/>
        </w:rPr>
        <w:t xml:space="preserve">each DHB’s </w:t>
      </w:r>
      <w:r w:rsidR="00B44AD8" w:rsidRPr="008F0D5D">
        <w:rPr>
          <w:rFonts w:ascii="Arial" w:hAnsi="Arial" w:cs="Arial"/>
          <w:color w:val="000000"/>
          <w:sz w:val="22"/>
          <w:szCs w:val="22"/>
          <w:lang w:eastAsia="en-NZ"/>
        </w:rPr>
        <w:t xml:space="preserve">performance for the quarter </w:t>
      </w:r>
      <w:r w:rsidR="00523477">
        <w:rPr>
          <w:rFonts w:ascii="Arial" w:hAnsi="Arial" w:cs="Arial"/>
          <w:color w:val="000000"/>
          <w:sz w:val="22"/>
          <w:szCs w:val="22"/>
          <w:lang w:eastAsia="en-NZ"/>
        </w:rPr>
        <w:t>and also contribute to the DHB balanced scorecard</w:t>
      </w:r>
      <w:r w:rsidR="006971E7">
        <w:rPr>
          <w:rFonts w:ascii="Arial" w:hAnsi="Arial" w:cs="Arial"/>
          <w:color w:val="000000"/>
          <w:sz w:val="22"/>
          <w:szCs w:val="22"/>
          <w:lang w:eastAsia="en-NZ"/>
        </w:rPr>
        <w:t>.  T</w:t>
      </w:r>
      <w:r w:rsidR="00F206F5">
        <w:rPr>
          <w:rFonts w:ascii="Arial" w:hAnsi="Arial" w:cs="Arial"/>
          <w:color w:val="000000"/>
          <w:sz w:val="22"/>
          <w:szCs w:val="22"/>
          <w:lang w:eastAsia="en-NZ"/>
        </w:rPr>
        <w:t>ogether t</w:t>
      </w:r>
      <w:r w:rsidR="006971E7">
        <w:rPr>
          <w:rFonts w:ascii="Arial" w:hAnsi="Arial" w:cs="Arial"/>
          <w:color w:val="000000"/>
          <w:sz w:val="22"/>
          <w:szCs w:val="22"/>
          <w:lang w:eastAsia="en-NZ"/>
        </w:rPr>
        <w:t>he DHB heat map and score card</w:t>
      </w:r>
      <w:r w:rsidR="00D2703D">
        <w:rPr>
          <w:rFonts w:ascii="Arial" w:hAnsi="Arial" w:cs="Arial"/>
          <w:color w:val="000000"/>
          <w:sz w:val="22"/>
          <w:szCs w:val="22"/>
          <w:lang w:eastAsia="en-NZ"/>
        </w:rPr>
        <w:t xml:space="preserve"> form</w:t>
      </w:r>
      <w:r w:rsidR="00F206F5">
        <w:rPr>
          <w:rFonts w:ascii="Arial" w:hAnsi="Arial" w:cs="Arial"/>
          <w:color w:val="000000"/>
          <w:sz w:val="22"/>
          <w:szCs w:val="22"/>
          <w:lang w:eastAsia="en-NZ"/>
        </w:rPr>
        <w:t xml:space="preserve"> a key</w:t>
      </w:r>
      <w:r w:rsidR="00495BEB">
        <w:rPr>
          <w:rFonts w:ascii="Arial" w:hAnsi="Arial" w:cs="Arial"/>
          <w:sz w:val="22"/>
          <w:szCs w:val="22"/>
        </w:rPr>
        <w:t xml:space="preserve"> part of the </w:t>
      </w:r>
      <w:r w:rsidR="00072F66">
        <w:rPr>
          <w:rFonts w:ascii="Arial" w:hAnsi="Arial" w:cs="Arial"/>
          <w:sz w:val="22"/>
          <w:szCs w:val="22"/>
        </w:rPr>
        <w:t xml:space="preserve">regular </w:t>
      </w:r>
      <w:r w:rsidR="0022701C">
        <w:rPr>
          <w:rFonts w:ascii="Arial" w:hAnsi="Arial" w:cs="Arial"/>
          <w:sz w:val="22"/>
          <w:szCs w:val="22"/>
        </w:rPr>
        <w:t>DHB performance informat</w:t>
      </w:r>
      <w:r w:rsidR="00A26B26">
        <w:rPr>
          <w:rFonts w:ascii="Arial" w:hAnsi="Arial" w:cs="Arial"/>
          <w:sz w:val="22"/>
          <w:szCs w:val="22"/>
        </w:rPr>
        <w:t>i</w:t>
      </w:r>
      <w:r w:rsidR="0022701C">
        <w:rPr>
          <w:rFonts w:ascii="Arial" w:hAnsi="Arial" w:cs="Arial"/>
          <w:sz w:val="22"/>
          <w:szCs w:val="22"/>
        </w:rPr>
        <w:t>on</w:t>
      </w:r>
      <w:r w:rsidR="00B44AD8" w:rsidRPr="008F0D5D">
        <w:rPr>
          <w:rFonts w:ascii="Arial" w:hAnsi="Arial" w:cs="Arial"/>
          <w:color w:val="000000"/>
          <w:sz w:val="22"/>
          <w:szCs w:val="22"/>
          <w:lang w:eastAsia="en-NZ"/>
        </w:rPr>
        <w:t xml:space="preserve"> </w:t>
      </w:r>
      <w:r w:rsidR="0022701C">
        <w:rPr>
          <w:rFonts w:ascii="Arial" w:hAnsi="Arial" w:cs="Arial"/>
          <w:color w:val="000000"/>
          <w:sz w:val="22"/>
          <w:szCs w:val="22"/>
          <w:lang w:eastAsia="en-NZ"/>
        </w:rPr>
        <w:t xml:space="preserve">provided </w:t>
      </w:r>
      <w:r w:rsidR="00322E5E" w:rsidRPr="008F0D5D">
        <w:rPr>
          <w:rFonts w:ascii="Arial" w:hAnsi="Arial" w:cs="Arial"/>
          <w:color w:val="000000"/>
          <w:sz w:val="22"/>
          <w:szCs w:val="22"/>
          <w:lang w:eastAsia="en-NZ"/>
        </w:rPr>
        <w:t xml:space="preserve">to the Minister of Health. </w:t>
      </w:r>
    </w:p>
    <w:p w14:paraId="0769483F" w14:textId="24D54662" w:rsidR="00B44AD8" w:rsidRPr="008F0D5D" w:rsidRDefault="00B44AD8" w:rsidP="008F0D5D">
      <w:pPr>
        <w:keepNext/>
        <w:spacing w:before="240" w:after="60" w:line="276" w:lineRule="auto"/>
        <w:outlineLvl w:val="0"/>
        <w:rPr>
          <w:rFonts w:ascii="Arial" w:hAnsi="Arial" w:cs="Arial"/>
          <w:b/>
          <w:bCs/>
          <w:i/>
          <w:iCs/>
          <w:kern w:val="32"/>
          <w:sz w:val="22"/>
          <w:szCs w:val="22"/>
        </w:rPr>
      </w:pPr>
      <w:bookmarkStart w:id="52" w:name="_Toc308176016"/>
      <w:bookmarkStart w:id="53" w:name="_Toc308177296"/>
      <w:bookmarkStart w:id="54" w:name="_Toc308686894"/>
      <w:bookmarkStart w:id="55" w:name="_Toc309640142"/>
      <w:bookmarkStart w:id="56" w:name="_Toc318187778"/>
      <w:bookmarkStart w:id="57" w:name="_Toc336001200"/>
      <w:bookmarkStart w:id="58" w:name="_Toc340489530"/>
      <w:bookmarkStart w:id="59" w:name="_Toc340490129"/>
      <w:bookmarkStart w:id="60" w:name="_Toc342381801"/>
      <w:bookmarkStart w:id="61" w:name="_Toc342981954"/>
      <w:bookmarkStart w:id="62" w:name="_Toc343768778"/>
      <w:bookmarkStart w:id="63" w:name="_Toc343769024"/>
      <w:bookmarkStart w:id="64" w:name="_Toc343769115"/>
      <w:bookmarkStart w:id="65" w:name="_Toc343774688"/>
      <w:bookmarkStart w:id="66" w:name="_Toc348337556"/>
      <w:bookmarkStart w:id="67" w:name="_Toc348339221"/>
      <w:bookmarkStart w:id="68" w:name="_Toc349305945"/>
      <w:bookmarkStart w:id="69" w:name="_Toc350510627"/>
      <w:bookmarkStart w:id="70" w:name="_Toc356565137"/>
      <w:bookmarkStart w:id="71" w:name="_Toc368554664"/>
      <w:bookmarkStart w:id="72" w:name="_Toc372632992"/>
      <w:bookmarkStart w:id="73" w:name="_Toc373487915"/>
      <w:bookmarkStart w:id="74" w:name="_Toc374703756"/>
      <w:bookmarkStart w:id="75" w:name="_Toc374704395"/>
      <w:bookmarkStart w:id="76" w:name="_Toc381355165"/>
      <w:bookmarkStart w:id="77" w:name="_Toc386712804"/>
      <w:bookmarkStart w:id="78" w:name="_Toc401310847"/>
      <w:bookmarkStart w:id="79" w:name="_Toc401311011"/>
      <w:bookmarkStart w:id="80" w:name="_Toc406138443"/>
      <w:bookmarkStart w:id="81" w:name="_Toc406142841"/>
      <w:bookmarkStart w:id="82" w:name="_Toc433707230"/>
      <w:bookmarkStart w:id="83" w:name="_Toc433707937"/>
      <w:bookmarkStart w:id="84" w:name="_Toc433708749"/>
      <w:bookmarkStart w:id="85" w:name="_Toc444243206"/>
      <w:bookmarkStart w:id="86" w:name="_Toc448753677"/>
      <w:bookmarkStart w:id="87" w:name="_Toc461709123"/>
      <w:bookmarkStart w:id="88" w:name="_Toc469910649"/>
      <w:bookmarkStart w:id="89" w:name="_Toc469914133"/>
      <w:bookmarkStart w:id="90" w:name="_Toc482789072"/>
      <w:bookmarkStart w:id="91" w:name="_Toc491938835"/>
      <w:bookmarkStart w:id="92" w:name="_Toc510528822"/>
      <w:bookmarkStart w:id="93" w:name="_Toc513555916"/>
      <w:bookmarkStart w:id="94" w:name="_Toc4588474"/>
      <w:bookmarkStart w:id="95" w:name="_Toc4588617"/>
      <w:bookmarkStart w:id="96" w:name="_Toc9591943"/>
      <w:bookmarkStart w:id="97" w:name="_Toc501611021"/>
      <w:r w:rsidRPr="008F0D5D">
        <w:rPr>
          <w:rFonts w:ascii="Arial" w:hAnsi="Arial" w:cs="Arial"/>
          <w:b/>
          <w:bCs/>
          <w:i/>
          <w:iCs/>
          <w:kern w:val="32"/>
          <w:sz w:val="22"/>
          <w:szCs w:val="22"/>
        </w:rPr>
        <w:t xml:space="preserve">Overview of the </w:t>
      </w:r>
      <w:r w:rsidR="002E234E">
        <w:rPr>
          <w:rFonts w:ascii="Arial" w:hAnsi="Arial" w:cs="Arial"/>
          <w:b/>
          <w:bCs/>
          <w:i/>
          <w:iCs/>
          <w:kern w:val="32"/>
          <w:sz w:val="22"/>
          <w:szCs w:val="22"/>
        </w:rPr>
        <w:t>2021/22</w:t>
      </w:r>
      <w:r w:rsidR="00CD650D" w:rsidRPr="008F0D5D">
        <w:rPr>
          <w:rFonts w:ascii="Arial" w:hAnsi="Arial" w:cs="Arial"/>
          <w:b/>
          <w:bCs/>
          <w:i/>
          <w:iCs/>
          <w:kern w:val="32"/>
          <w:sz w:val="22"/>
          <w:szCs w:val="22"/>
        </w:rPr>
        <w:t xml:space="preserve"> DHB </w:t>
      </w:r>
      <w:r w:rsidRPr="008F0D5D">
        <w:rPr>
          <w:rFonts w:ascii="Arial" w:hAnsi="Arial" w:cs="Arial"/>
          <w:b/>
          <w:bCs/>
          <w:i/>
          <w:iCs/>
          <w:kern w:val="32"/>
          <w:sz w:val="22"/>
          <w:szCs w:val="22"/>
        </w:rPr>
        <w:t>monitoring framework</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8B014E" w:rsidRPr="008F0D5D">
        <w:rPr>
          <w:rFonts w:ascii="Arial" w:hAnsi="Arial" w:cs="Arial"/>
          <w:b/>
          <w:bCs/>
          <w:i/>
          <w:iCs/>
          <w:kern w:val="32"/>
          <w:sz w:val="22"/>
          <w:szCs w:val="22"/>
        </w:rPr>
        <w:t xml:space="preserve"> </w:t>
      </w:r>
      <w:bookmarkEnd w:id="97"/>
    </w:p>
    <w:p w14:paraId="1D3310DE" w14:textId="1A6FF325" w:rsidR="003F772F" w:rsidRPr="008F0D5D" w:rsidRDefault="00150682" w:rsidP="008F0D5D">
      <w:pPr>
        <w:tabs>
          <w:tab w:val="left" w:pos="275"/>
        </w:tabs>
        <w:spacing w:after="120" w:line="276" w:lineRule="auto"/>
        <w:rPr>
          <w:rFonts w:ascii="Arial" w:hAnsi="Arial" w:cs="Arial"/>
          <w:sz w:val="22"/>
          <w:szCs w:val="22"/>
        </w:rPr>
      </w:pPr>
      <w:r w:rsidRPr="008F0D5D">
        <w:rPr>
          <w:rFonts w:ascii="Arial" w:hAnsi="Arial" w:cs="Arial"/>
          <w:sz w:val="22"/>
          <w:szCs w:val="22"/>
        </w:rPr>
        <w:t>Four key measure types</w:t>
      </w:r>
      <w:r w:rsidR="003F772F" w:rsidRPr="008F0D5D">
        <w:rPr>
          <w:rFonts w:ascii="Arial" w:hAnsi="Arial" w:cs="Arial"/>
          <w:sz w:val="22"/>
          <w:szCs w:val="22"/>
        </w:rPr>
        <w:t xml:space="preserve"> are included</w:t>
      </w:r>
      <w:r w:rsidR="00616E8F" w:rsidRPr="008F0D5D">
        <w:rPr>
          <w:rFonts w:ascii="Arial" w:hAnsi="Arial" w:cs="Arial"/>
          <w:sz w:val="22"/>
          <w:szCs w:val="22"/>
        </w:rPr>
        <w:t xml:space="preserve"> in the DHB monitoring framework</w:t>
      </w:r>
      <w:r w:rsidR="003F772F" w:rsidRPr="008F0D5D">
        <w:rPr>
          <w:rFonts w:ascii="Arial" w:hAnsi="Arial" w:cs="Arial"/>
          <w:sz w:val="22"/>
          <w:szCs w:val="22"/>
        </w:rPr>
        <w:t>:</w:t>
      </w:r>
    </w:p>
    <w:p w14:paraId="69C1E724" w14:textId="1D9BED8A" w:rsidR="003F772F" w:rsidRPr="008F0D5D" w:rsidRDefault="00690D47" w:rsidP="00C04FF1">
      <w:pPr>
        <w:pStyle w:val="ListParagraph"/>
        <w:numPr>
          <w:ilvl w:val="0"/>
          <w:numId w:val="81"/>
        </w:numPr>
        <w:tabs>
          <w:tab w:val="left" w:pos="275"/>
        </w:tabs>
        <w:spacing w:after="120" w:line="276" w:lineRule="auto"/>
        <w:rPr>
          <w:rFonts w:ascii="Arial" w:hAnsi="Arial" w:cs="Arial"/>
          <w:sz w:val="22"/>
          <w:szCs w:val="22"/>
        </w:rPr>
      </w:pPr>
      <w:r>
        <w:rPr>
          <w:rFonts w:ascii="Arial" w:hAnsi="Arial" w:cs="Arial"/>
          <w:sz w:val="22"/>
          <w:szCs w:val="22"/>
        </w:rPr>
        <w:t>Priority h</w:t>
      </w:r>
      <w:r w:rsidR="003F772F" w:rsidRPr="008F0D5D">
        <w:rPr>
          <w:rFonts w:ascii="Arial" w:hAnsi="Arial" w:cs="Arial"/>
          <w:sz w:val="22"/>
          <w:szCs w:val="22"/>
        </w:rPr>
        <w:t xml:space="preserve">ealth measures </w:t>
      </w:r>
      <w:r w:rsidR="00885139" w:rsidRPr="008F0D5D">
        <w:rPr>
          <w:rFonts w:ascii="Arial" w:hAnsi="Arial" w:cs="Arial"/>
          <w:sz w:val="22"/>
          <w:szCs w:val="22"/>
        </w:rPr>
        <w:t xml:space="preserve">- </w:t>
      </w:r>
      <w:r w:rsidR="003F772F" w:rsidRPr="008F0D5D">
        <w:rPr>
          <w:rFonts w:ascii="Arial" w:hAnsi="Arial" w:cs="Arial"/>
          <w:sz w:val="22"/>
          <w:szCs w:val="22"/>
        </w:rPr>
        <w:t xml:space="preserve">measures contributing to whole of Government or </w:t>
      </w:r>
      <w:r w:rsidR="00616E8F" w:rsidRPr="008F0D5D">
        <w:rPr>
          <w:rFonts w:ascii="Arial" w:hAnsi="Arial" w:cs="Arial"/>
          <w:sz w:val="22"/>
          <w:szCs w:val="22"/>
        </w:rPr>
        <w:t>Ministerial health system priorities</w:t>
      </w:r>
      <w:r w:rsidR="00885139" w:rsidRPr="008F0D5D">
        <w:rPr>
          <w:rFonts w:ascii="Arial" w:hAnsi="Arial" w:cs="Arial"/>
          <w:sz w:val="22"/>
          <w:szCs w:val="22"/>
        </w:rPr>
        <w:t xml:space="preserve"> </w:t>
      </w:r>
      <w:r w:rsidR="003F772F" w:rsidRPr="008F0D5D">
        <w:rPr>
          <w:rFonts w:ascii="Arial" w:hAnsi="Arial" w:cs="Arial"/>
          <w:sz w:val="22"/>
          <w:szCs w:val="22"/>
        </w:rPr>
        <w:t xml:space="preserve"> </w:t>
      </w:r>
    </w:p>
    <w:p w14:paraId="1374D0BD" w14:textId="21C959C9" w:rsidR="003F772F" w:rsidRPr="008F0D5D" w:rsidRDefault="003F772F" w:rsidP="00C04FF1">
      <w:pPr>
        <w:pStyle w:val="ListParagraph"/>
        <w:numPr>
          <w:ilvl w:val="0"/>
          <w:numId w:val="81"/>
        </w:numPr>
        <w:tabs>
          <w:tab w:val="left" w:pos="275"/>
        </w:tabs>
        <w:spacing w:after="120" w:line="276" w:lineRule="auto"/>
        <w:rPr>
          <w:rFonts w:ascii="Arial" w:hAnsi="Arial" w:cs="Arial"/>
          <w:sz w:val="22"/>
          <w:szCs w:val="22"/>
        </w:rPr>
      </w:pPr>
      <w:r w:rsidRPr="008F0D5D">
        <w:rPr>
          <w:rFonts w:ascii="Arial" w:hAnsi="Arial" w:cs="Arial"/>
          <w:sz w:val="22"/>
          <w:szCs w:val="22"/>
        </w:rPr>
        <w:t xml:space="preserve">System Level Measures </w:t>
      </w:r>
      <w:r w:rsidR="00DE1F5B" w:rsidRPr="008F0D5D">
        <w:rPr>
          <w:rFonts w:ascii="Arial" w:hAnsi="Arial" w:cs="Arial"/>
          <w:sz w:val="22"/>
          <w:szCs w:val="22"/>
        </w:rPr>
        <w:t xml:space="preserve">(SLMs) – the SLM framework aims to improve health outcomes for people by supporting DHBs to work in collaboration with health system partners (primary, community and hospital) using specific quality improvement measures.. </w:t>
      </w:r>
      <w:r w:rsidR="00020333" w:rsidRPr="008F0D5D">
        <w:rPr>
          <w:rFonts w:ascii="Arial" w:hAnsi="Arial" w:cs="Arial"/>
          <w:sz w:val="22"/>
          <w:szCs w:val="22"/>
        </w:rPr>
        <w:t>DHBs are responsible for submitting the SLM improvement plan and quarterly reports on behalf of their alliance, these quarterly reports are captured through a DHB accountability measure (</w:t>
      </w:r>
      <w:r w:rsidR="00253672" w:rsidRPr="008F0D5D">
        <w:rPr>
          <w:rFonts w:ascii="Arial" w:hAnsi="Arial" w:cs="Arial"/>
          <w:sz w:val="22"/>
          <w:szCs w:val="22"/>
        </w:rPr>
        <w:t>PH01</w:t>
      </w:r>
      <w:r w:rsidR="00020333" w:rsidRPr="008F0D5D">
        <w:rPr>
          <w:rFonts w:ascii="Arial" w:hAnsi="Arial" w:cs="Arial"/>
          <w:sz w:val="22"/>
          <w:szCs w:val="22"/>
        </w:rPr>
        <w:t>)</w:t>
      </w:r>
      <w:r w:rsidR="00253672" w:rsidRPr="008F0D5D">
        <w:rPr>
          <w:rFonts w:ascii="Arial" w:hAnsi="Arial" w:cs="Arial"/>
          <w:sz w:val="22"/>
          <w:szCs w:val="22"/>
        </w:rPr>
        <w:t xml:space="preserve">. </w:t>
      </w:r>
    </w:p>
    <w:p w14:paraId="4196EC66" w14:textId="77777777" w:rsidR="00616E8F" w:rsidRPr="008F0D5D" w:rsidRDefault="003F772F" w:rsidP="00C04FF1">
      <w:pPr>
        <w:pStyle w:val="ListParagraph"/>
        <w:numPr>
          <w:ilvl w:val="0"/>
          <w:numId w:val="81"/>
        </w:numPr>
        <w:tabs>
          <w:tab w:val="left" w:pos="275"/>
        </w:tabs>
        <w:spacing w:after="120" w:line="276" w:lineRule="auto"/>
        <w:rPr>
          <w:rFonts w:ascii="Arial" w:hAnsi="Arial" w:cs="Arial"/>
          <w:sz w:val="22"/>
          <w:szCs w:val="22"/>
        </w:rPr>
      </w:pPr>
      <w:r w:rsidRPr="008F0D5D">
        <w:rPr>
          <w:rFonts w:ascii="Arial" w:hAnsi="Arial" w:cs="Arial"/>
          <w:sz w:val="22"/>
          <w:szCs w:val="22"/>
        </w:rPr>
        <w:t>DHB accountability measures</w:t>
      </w:r>
      <w:r w:rsidR="00616E8F" w:rsidRPr="008F0D5D">
        <w:rPr>
          <w:rFonts w:ascii="Arial" w:hAnsi="Arial" w:cs="Arial"/>
          <w:sz w:val="22"/>
          <w:szCs w:val="22"/>
        </w:rPr>
        <w:t>:</w:t>
      </w:r>
    </w:p>
    <w:p w14:paraId="66E93F6C" w14:textId="6ABDD243" w:rsidR="003F772F" w:rsidRPr="008F0D5D" w:rsidRDefault="00FE3144" w:rsidP="00C04FF1">
      <w:pPr>
        <w:pStyle w:val="ListParagraph"/>
        <w:numPr>
          <w:ilvl w:val="1"/>
          <w:numId w:val="81"/>
        </w:numPr>
        <w:tabs>
          <w:tab w:val="left" w:pos="275"/>
        </w:tabs>
        <w:spacing w:after="120" w:line="276" w:lineRule="auto"/>
        <w:rPr>
          <w:rFonts w:ascii="Arial" w:hAnsi="Arial" w:cs="Arial"/>
          <w:sz w:val="22"/>
          <w:szCs w:val="22"/>
        </w:rPr>
      </w:pPr>
      <w:r w:rsidRPr="008F0D5D">
        <w:rPr>
          <w:rFonts w:ascii="Arial" w:hAnsi="Arial" w:cs="Arial"/>
          <w:sz w:val="22"/>
          <w:szCs w:val="22"/>
        </w:rPr>
        <w:t>k</w:t>
      </w:r>
      <w:r w:rsidR="00243181" w:rsidRPr="008F0D5D">
        <w:rPr>
          <w:rFonts w:ascii="Arial" w:hAnsi="Arial" w:cs="Arial"/>
          <w:sz w:val="22"/>
          <w:szCs w:val="22"/>
        </w:rPr>
        <w:t xml:space="preserve">ey markers </w:t>
      </w:r>
      <w:r w:rsidR="006D4063" w:rsidRPr="008F0D5D">
        <w:rPr>
          <w:rFonts w:ascii="Arial" w:hAnsi="Arial" w:cs="Arial"/>
          <w:sz w:val="22"/>
          <w:szCs w:val="22"/>
        </w:rPr>
        <w:t>that include a mix of measures</w:t>
      </w:r>
      <w:r w:rsidR="00C272D7" w:rsidRPr="008F0D5D">
        <w:rPr>
          <w:rFonts w:ascii="Arial" w:hAnsi="Arial" w:cs="Arial"/>
          <w:sz w:val="22"/>
          <w:szCs w:val="22"/>
        </w:rPr>
        <w:t xml:space="preserve"> </w:t>
      </w:r>
      <w:r w:rsidR="006D4063" w:rsidRPr="008F0D5D">
        <w:rPr>
          <w:rFonts w:ascii="Arial" w:hAnsi="Arial" w:cs="Arial"/>
          <w:sz w:val="22"/>
          <w:szCs w:val="22"/>
        </w:rPr>
        <w:t xml:space="preserve">covering a </w:t>
      </w:r>
      <w:r w:rsidR="00243181" w:rsidRPr="008F0D5D">
        <w:rPr>
          <w:rFonts w:ascii="Arial" w:hAnsi="Arial" w:cs="Arial"/>
          <w:sz w:val="22"/>
          <w:szCs w:val="22"/>
        </w:rPr>
        <w:t xml:space="preserve">funder </w:t>
      </w:r>
      <w:r w:rsidR="006D4063" w:rsidRPr="008F0D5D">
        <w:rPr>
          <w:rFonts w:ascii="Arial" w:hAnsi="Arial" w:cs="Arial"/>
          <w:sz w:val="22"/>
          <w:szCs w:val="22"/>
        </w:rPr>
        <w:t xml:space="preserve">a provider and </w:t>
      </w:r>
      <w:r w:rsidR="00243181" w:rsidRPr="008F0D5D">
        <w:rPr>
          <w:rFonts w:ascii="Arial" w:hAnsi="Arial" w:cs="Arial"/>
          <w:sz w:val="22"/>
          <w:szCs w:val="22"/>
        </w:rPr>
        <w:t>a population view</w:t>
      </w:r>
      <w:r w:rsidR="00C272D7" w:rsidRPr="008F0D5D">
        <w:rPr>
          <w:rFonts w:ascii="Arial" w:hAnsi="Arial" w:cs="Arial"/>
          <w:sz w:val="22"/>
          <w:szCs w:val="22"/>
        </w:rPr>
        <w:t xml:space="preserve"> of performance</w:t>
      </w:r>
      <w:r w:rsidR="006D4063" w:rsidRPr="008F0D5D">
        <w:rPr>
          <w:rFonts w:ascii="Arial" w:hAnsi="Arial" w:cs="Arial"/>
          <w:sz w:val="22"/>
          <w:szCs w:val="22"/>
        </w:rPr>
        <w:t xml:space="preserve">. Therefore measures </w:t>
      </w:r>
      <w:r w:rsidR="00C272D7" w:rsidRPr="008F0D5D">
        <w:rPr>
          <w:rFonts w:ascii="Arial" w:hAnsi="Arial" w:cs="Arial"/>
          <w:sz w:val="22"/>
          <w:szCs w:val="22"/>
        </w:rPr>
        <w:t>cover</w:t>
      </w:r>
      <w:r w:rsidR="00243181" w:rsidRPr="008F0D5D">
        <w:rPr>
          <w:rFonts w:ascii="Arial" w:hAnsi="Arial" w:cs="Arial"/>
          <w:sz w:val="22"/>
          <w:szCs w:val="22"/>
        </w:rPr>
        <w:t xml:space="preserve"> some services not directly funded or provided by the DHB and some services delivered by the DHB for other populations</w:t>
      </w:r>
      <w:r w:rsidR="006D4063" w:rsidRPr="008F0D5D">
        <w:rPr>
          <w:rFonts w:ascii="Arial" w:hAnsi="Arial" w:cs="Arial"/>
          <w:sz w:val="22"/>
          <w:szCs w:val="22"/>
        </w:rPr>
        <w:t>. Includes reporting by ethnicity for all quantitative measures where data allows</w:t>
      </w:r>
      <w:r w:rsidR="00243181" w:rsidRPr="008F0D5D">
        <w:rPr>
          <w:rFonts w:ascii="Arial" w:hAnsi="Arial" w:cs="Arial"/>
          <w:sz w:val="22"/>
          <w:szCs w:val="22"/>
        </w:rPr>
        <w:t xml:space="preserve">) </w:t>
      </w:r>
    </w:p>
    <w:p w14:paraId="7CBD4D9A" w14:textId="50DF3953" w:rsidR="00FE3144" w:rsidRPr="008F0D5D" w:rsidRDefault="00885139" w:rsidP="00C04FF1">
      <w:pPr>
        <w:pStyle w:val="ListParagraph"/>
        <w:numPr>
          <w:ilvl w:val="1"/>
          <w:numId w:val="81"/>
        </w:numPr>
        <w:spacing w:before="60" w:after="60" w:line="276" w:lineRule="auto"/>
        <w:jc w:val="both"/>
        <w:rPr>
          <w:rFonts w:ascii="Arial" w:hAnsi="Arial" w:cs="Arial"/>
          <w:sz w:val="22"/>
          <w:szCs w:val="22"/>
        </w:rPr>
      </w:pPr>
      <w:r w:rsidRPr="008F0D5D">
        <w:rPr>
          <w:rFonts w:ascii="Arial" w:hAnsi="Arial" w:cs="Arial"/>
          <w:sz w:val="22"/>
          <w:szCs w:val="22"/>
        </w:rPr>
        <w:t>m</w:t>
      </w:r>
      <w:r w:rsidR="003F772F" w:rsidRPr="008F0D5D">
        <w:rPr>
          <w:rFonts w:ascii="Arial" w:hAnsi="Arial" w:cs="Arial"/>
          <w:sz w:val="22"/>
          <w:szCs w:val="22"/>
        </w:rPr>
        <w:t xml:space="preserve">easures tracking </w:t>
      </w:r>
      <w:r w:rsidR="00FC1EA5" w:rsidRPr="008F0D5D">
        <w:rPr>
          <w:rFonts w:ascii="Arial" w:hAnsi="Arial" w:cs="Arial"/>
          <w:sz w:val="22"/>
          <w:szCs w:val="22"/>
        </w:rPr>
        <w:t xml:space="preserve">and confirming </w:t>
      </w:r>
      <w:r w:rsidR="003F772F" w:rsidRPr="008F0D5D">
        <w:rPr>
          <w:rFonts w:ascii="Arial" w:hAnsi="Arial" w:cs="Arial"/>
          <w:sz w:val="22"/>
          <w:szCs w:val="22"/>
        </w:rPr>
        <w:t>delivery of actions</w:t>
      </w:r>
      <w:r w:rsidR="00150682" w:rsidRPr="008F0D5D">
        <w:rPr>
          <w:rFonts w:ascii="Arial" w:hAnsi="Arial" w:cs="Arial"/>
          <w:sz w:val="22"/>
          <w:szCs w:val="22"/>
        </w:rPr>
        <w:t xml:space="preserve"> (including equity</w:t>
      </w:r>
      <w:r w:rsidR="003F772F" w:rsidRPr="008F0D5D">
        <w:rPr>
          <w:rFonts w:ascii="Arial" w:hAnsi="Arial" w:cs="Arial"/>
          <w:sz w:val="22"/>
          <w:szCs w:val="22"/>
        </w:rPr>
        <w:t xml:space="preserve"> </w:t>
      </w:r>
      <w:r w:rsidR="00150682" w:rsidRPr="008F0D5D">
        <w:rPr>
          <w:rFonts w:ascii="Arial" w:hAnsi="Arial" w:cs="Arial"/>
          <w:sz w:val="22"/>
          <w:szCs w:val="22"/>
        </w:rPr>
        <w:t xml:space="preserve">actions) </w:t>
      </w:r>
      <w:r w:rsidR="00253672" w:rsidRPr="008F0D5D">
        <w:rPr>
          <w:rFonts w:ascii="Arial" w:hAnsi="Arial" w:cs="Arial"/>
          <w:sz w:val="22"/>
          <w:szCs w:val="22"/>
        </w:rPr>
        <w:t xml:space="preserve">across the priority areas </w:t>
      </w:r>
      <w:r w:rsidR="00616E8F" w:rsidRPr="008F0D5D">
        <w:rPr>
          <w:rFonts w:ascii="Arial" w:hAnsi="Arial" w:cs="Arial"/>
          <w:sz w:val="22"/>
          <w:szCs w:val="22"/>
        </w:rPr>
        <w:t>agreed</w:t>
      </w:r>
      <w:r w:rsidR="003F772F" w:rsidRPr="008F0D5D">
        <w:rPr>
          <w:rFonts w:ascii="Arial" w:hAnsi="Arial" w:cs="Arial"/>
          <w:sz w:val="22"/>
          <w:szCs w:val="22"/>
        </w:rPr>
        <w:t xml:space="preserve"> in DHB annual plans</w:t>
      </w:r>
    </w:p>
    <w:p w14:paraId="3CDABE77" w14:textId="77777777" w:rsidR="00352916" w:rsidRPr="008F0D5D" w:rsidRDefault="00FE3144" w:rsidP="00C04FF1">
      <w:pPr>
        <w:pStyle w:val="ListParagraph"/>
        <w:numPr>
          <w:ilvl w:val="0"/>
          <w:numId w:val="81"/>
        </w:numPr>
        <w:spacing w:before="60" w:after="60" w:line="276" w:lineRule="auto"/>
        <w:jc w:val="both"/>
        <w:rPr>
          <w:rFonts w:ascii="Arial" w:hAnsi="Arial" w:cs="Arial"/>
          <w:sz w:val="22"/>
          <w:szCs w:val="22"/>
        </w:rPr>
      </w:pPr>
      <w:r w:rsidRPr="008F0D5D">
        <w:rPr>
          <w:rFonts w:ascii="Arial" w:hAnsi="Arial" w:cs="Arial"/>
          <w:sz w:val="22"/>
          <w:szCs w:val="22"/>
        </w:rPr>
        <w:t>measures included in Crown Funding Agreement Variations</w:t>
      </w:r>
      <w:r w:rsidR="00885139" w:rsidRPr="008F0D5D">
        <w:rPr>
          <w:rFonts w:ascii="Arial" w:hAnsi="Arial" w:cs="Arial"/>
          <w:sz w:val="22"/>
          <w:szCs w:val="22"/>
        </w:rPr>
        <w:t xml:space="preserve"> (these measures are not included in this document)</w:t>
      </w:r>
      <w:r w:rsidRPr="008F0D5D">
        <w:rPr>
          <w:rFonts w:ascii="Arial" w:hAnsi="Arial" w:cs="Arial"/>
          <w:sz w:val="22"/>
          <w:szCs w:val="22"/>
        </w:rPr>
        <w:t>.</w:t>
      </w:r>
    </w:p>
    <w:p w14:paraId="51E62D2D" w14:textId="77777777" w:rsidR="00352916" w:rsidRPr="008F0D5D" w:rsidRDefault="00352916" w:rsidP="008F0D5D">
      <w:pPr>
        <w:spacing w:before="60" w:after="60" w:line="276" w:lineRule="auto"/>
        <w:jc w:val="both"/>
        <w:rPr>
          <w:rFonts w:ascii="Arial" w:hAnsi="Arial" w:cs="Arial"/>
          <w:sz w:val="22"/>
          <w:szCs w:val="22"/>
        </w:rPr>
      </w:pPr>
    </w:p>
    <w:p w14:paraId="221B4AB3" w14:textId="738238F8" w:rsidR="00FE3144" w:rsidRPr="008F0D5D" w:rsidRDefault="00352916" w:rsidP="008F0D5D">
      <w:pPr>
        <w:spacing w:before="60" w:after="60" w:line="276" w:lineRule="auto"/>
        <w:jc w:val="both"/>
        <w:rPr>
          <w:rFonts w:ascii="Arial" w:hAnsi="Arial" w:cs="Arial"/>
          <w:sz w:val="22"/>
          <w:szCs w:val="22"/>
        </w:rPr>
      </w:pPr>
      <w:r w:rsidRPr="008F0D5D">
        <w:rPr>
          <w:rFonts w:ascii="Arial" w:hAnsi="Arial" w:cs="Arial"/>
          <w:sz w:val="22"/>
          <w:szCs w:val="22"/>
        </w:rPr>
        <w:t xml:space="preserve">A summary table below provides a view of the clustering of measures to health system outcomes. </w:t>
      </w:r>
    </w:p>
    <w:p w14:paraId="7A9CC0F4" w14:textId="77777777" w:rsidR="00FE3144" w:rsidRDefault="00FE3144" w:rsidP="00FE3144">
      <w:pPr>
        <w:spacing w:before="60" w:after="60"/>
        <w:jc w:val="both"/>
        <w:rPr>
          <w:rFonts w:ascii="Arial" w:hAnsi="Arial" w:cs="Arial"/>
          <w:sz w:val="20"/>
          <w:szCs w:val="20"/>
        </w:rPr>
      </w:pPr>
    </w:p>
    <w:p w14:paraId="43EEE4E1" w14:textId="77777777" w:rsidR="00E6526B" w:rsidRDefault="00E6526B" w:rsidP="00E6526B">
      <w:pPr>
        <w:autoSpaceDE w:val="0"/>
        <w:autoSpaceDN w:val="0"/>
        <w:adjustRightInd w:val="0"/>
        <w:rPr>
          <w:rFonts w:ascii="Tms Rmn" w:hAnsi="Tms Rmn"/>
          <w:lang w:eastAsia="en-NZ"/>
        </w:rPr>
      </w:pPr>
    </w:p>
    <w:p w14:paraId="3ECF6846" w14:textId="77777777" w:rsidR="00E6526B" w:rsidRDefault="00E6526B" w:rsidP="00E6526B">
      <w:pPr>
        <w:autoSpaceDE w:val="0"/>
        <w:autoSpaceDN w:val="0"/>
        <w:adjustRightInd w:val="0"/>
        <w:rPr>
          <w:rFonts w:ascii="Tms Rmn" w:hAnsi="Tms Rmn"/>
          <w:lang w:eastAsia="en-NZ"/>
        </w:rPr>
      </w:pPr>
    </w:p>
    <w:tbl>
      <w:tblPr>
        <w:tblStyle w:val="TableGrid"/>
        <w:tblW w:w="10485" w:type="dxa"/>
        <w:tblLook w:val="04A0" w:firstRow="1" w:lastRow="0" w:firstColumn="1" w:lastColumn="0" w:noHBand="0" w:noVBand="1"/>
      </w:tblPr>
      <w:tblGrid>
        <w:gridCol w:w="1838"/>
        <w:gridCol w:w="2410"/>
        <w:gridCol w:w="283"/>
        <w:gridCol w:w="2836"/>
        <w:gridCol w:w="3118"/>
      </w:tblGrid>
      <w:tr w:rsidR="001C5A62" w14:paraId="16610471" w14:textId="77777777" w:rsidTr="00E82342">
        <w:trPr>
          <w:trHeight w:val="373"/>
        </w:trPr>
        <w:tc>
          <w:tcPr>
            <w:tcW w:w="10485" w:type="dxa"/>
            <w:gridSpan w:val="5"/>
            <w:shd w:val="clear" w:color="auto" w:fill="D9D9D9" w:themeFill="background1" w:themeFillShade="D9"/>
            <w:vAlign w:val="center"/>
          </w:tcPr>
          <w:p w14:paraId="3067BA40" w14:textId="344B94D4" w:rsidR="001C5A62" w:rsidRPr="00885139" w:rsidRDefault="00E6526B" w:rsidP="006B1FE3">
            <w:pPr>
              <w:pStyle w:val="Heading2"/>
              <w:spacing w:before="0" w:after="0"/>
              <w:jc w:val="center"/>
              <w:rPr>
                <w:rFonts w:asciiTheme="minorHAnsi" w:hAnsiTheme="minorHAnsi"/>
                <w:i w:val="0"/>
                <w:sz w:val="22"/>
                <w:szCs w:val="22"/>
              </w:rPr>
            </w:pPr>
            <w:r>
              <w:rPr>
                <w:rFonts w:ascii="Tms Rmn" w:hAnsi="Tms Rmn"/>
                <w:lang w:eastAsia="en-NZ"/>
              </w:rPr>
              <w:lastRenderedPageBreak/>
              <w:t xml:space="preserve"> </w:t>
            </w:r>
            <w:bookmarkStart w:id="98" w:name="_Toc4588475"/>
            <w:bookmarkStart w:id="99" w:name="_Toc4588618"/>
            <w:bookmarkStart w:id="100" w:name="_Toc9591944"/>
            <w:bookmarkStart w:id="101" w:name="_Toc302385161"/>
            <w:bookmarkStart w:id="102" w:name="_Toc308176017"/>
            <w:r w:rsidR="001C5A62" w:rsidRPr="00885139">
              <w:rPr>
                <w:rFonts w:asciiTheme="minorHAnsi" w:hAnsiTheme="minorHAnsi"/>
                <w:i w:val="0"/>
                <w:sz w:val="22"/>
                <w:szCs w:val="22"/>
              </w:rPr>
              <w:t xml:space="preserve">Summary overview of the DHB accountability measures for </w:t>
            </w:r>
            <w:r w:rsidR="002E234E">
              <w:rPr>
                <w:rFonts w:asciiTheme="minorHAnsi" w:hAnsiTheme="minorHAnsi"/>
                <w:i w:val="0"/>
                <w:sz w:val="22"/>
                <w:szCs w:val="22"/>
              </w:rPr>
              <w:t>2021/22</w:t>
            </w:r>
            <w:bookmarkEnd w:id="98"/>
            <w:bookmarkEnd w:id="99"/>
            <w:bookmarkEnd w:id="100"/>
          </w:p>
        </w:tc>
      </w:tr>
      <w:tr w:rsidR="001D6C06" w14:paraId="7E1F2EE2" w14:textId="77777777" w:rsidTr="000F287D">
        <w:trPr>
          <w:trHeight w:val="549"/>
        </w:trPr>
        <w:tc>
          <w:tcPr>
            <w:tcW w:w="1838" w:type="dxa"/>
            <w:shd w:val="clear" w:color="auto" w:fill="D9D9D9" w:themeFill="background1" w:themeFillShade="D9"/>
            <w:vAlign w:val="center"/>
          </w:tcPr>
          <w:p w14:paraId="0BF26D50" w14:textId="1902A2B9" w:rsidR="001D6C06" w:rsidRPr="00C62339" w:rsidRDefault="001D6C06" w:rsidP="006B1FE3">
            <w:pPr>
              <w:pStyle w:val="Heading2"/>
              <w:spacing w:before="0" w:after="0"/>
              <w:jc w:val="both"/>
              <w:rPr>
                <w:rFonts w:asciiTheme="minorHAnsi" w:hAnsiTheme="minorHAnsi"/>
                <w:b w:val="0"/>
                <w:i w:val="0"/>
                <w:sz w:val="18"/>
                <w:szCs w:val="18"/>
              </w:rPr>
            </w:pPr>
            <w:bookmarkStart w:id="103" w:name="_Toc4588476"/>
            <w:bookmarkStart w:id="104" w:name="_Toc4588619"/>
            <w:bookmarkStart w:id="105" w:name="_Toc9591945"/>
            <w:r w:rsidRPr="00C62339">
              <w:rPr>
                <w:rFonts w:asciiTheme="minorHAnsi" w:hAnsiTheme="minorHAnsi"/>
                <w:b w:val="0"/>
                <w:i w:val="0"/>
                <w:sz w:val="18"/>
                <w:szCs w:val="18"/>
              </w:rPr>
              <w:t>Government priority</w:t>
            </w:r>
            <w:bookmarkEnd w:id="103"/>
            <w:bookmarkEnd w:id="104"/>
            <w:bookmarkEnd w:id="105"/>
          </w:p>
        </w:tc>
        <w:tc>
          <w:tcPr>
            <w:tcW w:w="8647" w:type="dxa"/>
            <w:gridSpan w:val="4"/>
            <w:shd w:val="clear" w:color="auto" w:fill="F2F2F2" w:themeFill="background1" w:themeFillShade="F2"/>
            <w:vAlign w:val="center"/>
          </w:tcPr>
          <w:p w14:paraId="1627561C" w14:textId="131AF33F" w:rsidR="001D6C06" w:rsidRPr="00C62339" w:rsidRDefault="001D6C06" w:rsidP="006B1FE3">
            <w:pPr>
              <w:pStyle w:val="Heading2"/>
              <w:spacing w:before="0" w:after="0"/>
              <w:jc w:val="center"/>
              <w:rPr>
                <w:rFonts w:asciiTheme="minorHAnsi" w:hAnsiTheme="minorHAnsi"/>
                <w:b w:val="0"/>
                <w:i w:val="0"/>
                <w:sz w:val="18"/>
                <w:szCs w:val="18"/>
              </w:rPr>
            </w:pPr>
            <w:bookmarkStart w:id="106" w:name="_Toc4588477"/>
            <w:bookmarkStart w:id="107" w:name="_Toc4588620"/>
            <w:bookmarkStart w:id="108" w:name="_Toc9591946"/>
            <w:r w:rsidRPr="00C62339">
              <w:rPr>
                <w:rFonts w:asciiTheme="minorHAnsi" w:hAnsiTheme="minorHAnsi"/>
                <w:b w:val="0"/>
                <w:i w:val="0"/>
                <w:sz w:val="18"/>
                <w:szCs w:val="18"/>
              </w:rPr>
              <w:t>Improving the wellbeing of New Zealanders and their families</w:t>
            </w:r>
            <w:bookmarkEnd w:id="106"/>
            <w:bookmarkEnd w:id="107"/>
            <w:bookmarkEnd w:id="108"/>
          </w:p>
        </w:tc>
      </w:tr>
      <w:tr w:rsidR="001D6C06" w14:paraId="59166492" w14:textId="77777777" w:rsidTr="000F287D">
        <w:trPr>
          <w:trHeight w:val="591"/>
        </w:trPr>
        <w:tc>
          <w:tcPr>
            <w:tcW w:w="1838" w:type="dxa"/>
            <w:tcBorders>
              <w:bottom w:val="single" w:sz="4" w:space="0" w:color="auto"/>
            </w:tcBorders>
            <w:shd w:val="clear" w:color="auto" w:fill="D9D9D9" w:themeFill="background1" w:themeFillShade="D9"/>
          </w:tcPr>
          <w:p w14:paraId="4EF8430D" w14:textId="573B4CEA" w:rsidR="001D6C06" w:rsidRPr="00C62339" w:rsidRDefault="001D6C06" w:rsidP="006B1FE3">
            <w:pPr>
              <w:pStyle w:val="Heading2"/>
              <w:spacing w:before="0" w:after="0"/>
              <w:jc w:val="both"/>
              <w:rPr>
                <w:rFonts w:asciiTheme="minorHAnsi" w:hAnsiTheme="minorHAnsi"/>
                <w:b w:val="0"/>
                <w:i w:val="0"/>
                <w:sz w:val="18"/>
                <w:szCs w:val="18"/>
              </w:rPr>
            </w:pPr>
            <w:bookmarkStart w:id="109" w:name="_Toc4588478"/>
            <w:bookmarkStart w:id="110" w:name="_Toc4588621"/>
            <w:bookmarkStart w:id="111" w:name="_Toc9591947"/>
            <w:r w:rsidRPr="00C62339">
              <w:rPr>
                <w:rFonts w:asciiTheme="minorHAnsi" w:hAnsiTheme="minorHAnsi"/>
                <w:b w:val="0"/>
                <w:i w:val="0"/>
                <w:sz w:val="18"/>
                <w:szCs w:val="18"/>
              </w:rPr>
              <w:t>Government priority outcomes</w:t>
            </w:r>
            <w:bookmarkEnd w:id="109"/>
            <w:bookmarkEnd w:id="110"/>
            <w:bookmarkEnd w:id="111"/>
          </w:p>
        </w:tc>
        <w:tc>
          <w:tcPr>
            <w:tcW w:w="2693" w:type="dxa"/>
            <w:gridSpan w:val="2"/>
            <w:tcBorders>
              <w:bottom w:val="single" w:sz="4" w:space="0" w:color="auto"/>
            </w:tcBorders>
            <w:shd w:val="clear" w:color="auto" w:fill="F2F2F2" w:themeFill="background1" w:themeFillShade="F2"/>
          </w:tcPr>
          <w:p w14:paraId="0D569595" w14:textId="3631A16C" w:rsidR="001D6C06" w:rsidRPr="00C62339" w:rsidRDefault="001D6C06" w:rsidP="0005016F">
            <w:pPr>
              <w:pStyle w:val="Heading2"/>
              <w:spacing w:before="0" w:after="0"/>
              <w:rPr>
                <w:rFonts w:asciiTheme="minorHAnsi" w:hAnsiTheme="minorHAnsi"/>
                <w:b w:val="0"/>
                <w:i w:val="0"/>
                <w:sz w:val="18"/>
                <w:szCs w:val="18"/>
              </w:rPr>
            </w:pPr>
            <w:bookmarkStart w:id="112" w:name="_Toc4588479"/>
            <w:bookmarkStart w:id="113" w:name="_Toc4588622"/>
            <w:bookmarkStart w:id="114" w:name="_Toc9591948"/>
            <w:r w:rsidRPr="00C62339">
              <w:rPr>
                <w:rFonts w:asciiTheme="minorHAnsi" w:hAnsiTheme="minorHAnsi"/>
                <w:b w:val="0"/>
                <w:i w:val="0"/>
                <w:sz w:val="18"/>
                <w:szCs w:val="18"/>
              </w:rPr>
              <w:t xml:space="preserve">Ensure everyone who is able to, is earning, learning, </w:t>
            </w:r>
            <w:proofErr w:type="gramStart"/>
            <w:r w:rsidRPr="00C62339">
              <w:rPr>
                <w:rFonts w:asciiTheme="minorHAnsi" w:hAnsiTheme="minorHAnsi"/>
                <w:b w:val="0"/>
                <w:i w:val="0"/>
                <w:sz w:val="18"/>
                <w:szCs w:val="18"/>
              </w:rPr>
              <w:t>caring</w:t>
            </w:r>
            <w:proofErr w:type="gramEnd"/>
            <w:r w:rsidRPr="00C62339">
              <w:rPr>
                <w:rFonts w:asciiTheme="minorHAnsi" w:hAnsiTheme="minorHAnsi"/>
                <w:b w:val="0"/>
                <w:i w:val="0"/>
                <w:sz w:val="18"/>
                <w:szCs w:val="18"/>
              </w:rPr>
              <w:t xml:space="preserve"> or volunteering</w:t>
            </w:r>
            <w:bookmarkEnd w:id="112"/>
            <w:bookmarkEnd w:id="113"/>
            <w:bookmarkEnd w:id="114"/>
          </w:p>
        </w:tc>
        <w:tc>
          <w:tcPr>
            <w:tcW w:w="2836" w:type="dxa"/>
            <w:tcBorders>
              <w:bottom w:val="single" w:sz="4" w:space="0" w:color="auto"/>
            </w:tcBorders>
            <w:shd w:val="clear" w:color="auto" w:fill="F2F2F2" w:themeFill="background1" w:themeFillShade="F2"/>
          </w:tcPr>
          <w:p w14:paraId="4DB523CF" w14:textId="2A7A9F6A" w:rsidR="001D6C06" w:rsidRPr="00C62339" w:rsidRDefault="001D6C06" w:rsidP="006B1FE3">
            <w:pPr>
              <w:pStyle w:val="Heading2"/>
              <w:spacing w:before="0" w:after="0"/>
              <w:rPr>
                <w:rFonts w:asciiTheme="minorHAnsi" w:hAnsiTheme="minorHAnsi"/>
                <w:b w:val="0"/>
                <w:i w:val="0"/>
                <w:sz w:val="18"/>
                <w:szCs w:val="18"/>
              </w:rPr>
            </w:pPr>
            <w:bookmarkStart w:id="115" w:name="_Toc4588480"/>
            <w:bookmarkStart w:id="116" w:name="_Toc4588623"/>
            <w:bookmarkStart w:id="117" w:name="_Toc9591949"/>
            <w:r w:rsidRPr="00C62339">
              <w:rPr>
                <w:rFonts w:asciiTheme="minorHAnsi" w:hAnsiTheme="minorHAnsi"/>
                <w:b w:val="0"/>
                <w:i w:val="0"/>
                <w:sz w:val="18"/>
                <w:szCs w:val="18"/>
              </w:rPr>
              <w:t xml:space="preserve">Support healthier, </w:t>
            </w:r>
            <w:proofErr w:type="gramStart"/>
            <w:r w:rsidRPr="00C62339">
              <w:rPr>
                <w:rFonts w:asciiTheme="minorHAnsi" w:hAnsiTheme="minorHAnsi"/>
                <w:b w:val="0"/>
                <w:i w:val="0"/>
                <w:sz w:val="18"/>
                <w:szCs w:val="18"/>
              </w:rPr>
              <w:t>safer</w:t>
            </w:r>
            <w:proofErr w:type="gramEnd"/>
            <w:r w:rsidRPr="00C62339">
              <w:rPr>
                <w:rFonts w:asciiTheme="minorHAnsi" w:hAnsiTheme="minorHAnsi"/>
                <w:b w:val="0"/>
                <w:i w:val="0"/>
                <w:sz w:val="18"/>
                <w:szCs w:val="18"/>
              </w:rPr>
              <w:t xml:space="preserve"> and more connected communities</w:t>
            </w:r>
            <w:bookmarkEnd w:id="115"/>
            <w:bookmarkEnd w:id="116"/>
            <w:bookmarkEnd w:id="117"/>
          </w:p>
        </w:tc>
        <w:tc>
          <w:tcPr>
            <w:tcW w:w="3118" w:type="dxa"/>
            <w:tcBorders>
              <w:bottom w:val="single" w:sz="4" w:space="0" w:color="auto"/>
            </w:tcBorders>
            <w:shd w:val="clear" w:color="auto" w:fill="F2F2F2" w:themeFill="background1" w:themeFillShade="F2"/>
          </w:tcPr>
          <w:p w14:paraId="392B9C42" w14:textId="5644A215" w:rsidR="001D6C06" w:rsidRPr="00C62339" w:rsidRDefault="001D6C06" w:rsidP="006B1FE3">
            <w:pPr>
              <w:pStyle w:val="Heading2"/>
              <w:spacing w:before="0" w:after="0"/>
              <w:rPr>
                <w:rFonts w:asciiTheme="minorHAnsi" w:hAnsiTheme="minorHAnsi"/>
                <w:b w:val="0"/>
                <w:i w:val="0"/>
                <w:sz w:val="18"/>
                <w:szCs w:val="18"/>
              </w:rPr>
            </w:pPr>
            <w:bookmarkStart w:id="118" w:name="_Toc4588481"/>
            <w:bookmarkStart w:id="119" w:name="_Toc4588624"/>
            <w:bookmarkStart w:id="120" w:name="_Toc9591950"/>
            <w:r w:rsidRPr="00C62339">
              <w:rPr>
                <w:rFonts w:asciiTheme="minorHAnsi" w:hAnsiTheme="minorHAnsi"/>
                <w:b w:val="0"/>
                <w:i w:val="0"/>
                <w:sz w:val="18"/>
                <w:szCs w:val="18"/>
              </w:rPr>
              <w:t>Make New Zealand the best place in the world to be a child</w:t>
            </w:r>
            <w:bookmarkEnd w:id="118"/>
            <w:bookmarkEnd w:id="119"/>
            <w:bookmarkEnd w:id="120"/>
          </w:p>
        </w:tc>
      </w:tr>
      <w:tr w:rsidR="001D6C06" w:rsidRPr="00E82342" w14:paraId="4AD8E57F" w14:textId="77777777" w:rsidTr="000F287D">
        <w:trPr>
          <w:trHeight w:val="125"/>
        </w:trPr>
        <w:tc>
          <w:tcPr>
            <w:tcW w:w="1838" w:type="dxa"/>
            <w:tcBorders>
              <w:left w:val="nil"/>
              <w:right w:val="nil"/>
            </w:tcBorders>
            <w:vAlign w:val="center"/>
          </w:tcPr>
          <w:p w14:paraId="68E92016" w14:textId="77777777" w:rsidR="001D6C06" w:rsidRPr="00E82342" w:rsidRDefault="001D6C06" w:rsidP="001D6C06">
            <w:pPr>
              <w:pStyle w:val="Heading2"/>
              <w:spacing w:before="0"/>
              <w:jc w:val="both"/>
              <w:rPr>
                <w:rFonts w:asciiTheme="minorHAnsi" w:hAnsiTheme="minorHAnsi"/>
                <w:b w:val="0"/>
                <w:i w:val="0"/>
                <w:sz w:val="4"/>
                <w:szCs w:val="18"/>
              </w:rPr>
            </w:pPr>
          </w:p>
        </w:tc>
        <w:tc>
          <w:tcPr>
            <w:tcW w:w="2410" w:type="dxa"/>
            <w:tcBorders>
              <w:left w:val="nil"/>
              <w:right w:val="nil"/>
            </w:tcBorders>
            <w:vAlign w:val="center"/>
          </w:tcPr>
          <w:p w14:paraId="4B1D11A6" w14:textId="253121C4" w:rsidR="001D6C06" w:rsidRPr="00E82342" w:rsidRDefault="001D6C06" w:rsidP="001D6C06">
            <w:pPr>
              <w:pStyle w:val="Heading2"/>
              <w:spacing w:before="0"/>
              <w:rPr>
                <w:rFonts w:asciiTheme="minorHAnsi" w:hAnsiTheme="minorHAnsi"/>
                <w:b w:val="0"/>
                <w:i w:val="0"/>
                <w:sz w:val="4"/>
                <w:szCs w:val="18"/>
              </w:rPr>
            </w:pPr>
          </w:p>
        </w:tc>
        <w:tc>
          <w:tcPr>
            <w:tcW w:w="3119" w:type="dxa"/>
            <w:gridSpan w:val="2"/>
            <w:tcBorders>
              <w:left w:val="nil"/>
              <w:right w:val="nil"/>
            </w:tcBorders>
            <w:vAlign w:val="center"/>
          </w:tcPr>
          <w:p w14:paraId="353AFAA0" w14:textId="77777777" w:rsidR="001D6C06" w:rsidRPr="00E82342" w:rsidRDefault="001D6C06" w:rsidP="001D6C06">
            <w:pPr>
              <w:pStyle w:val="Heading2"/>
              <w:spacing w:before="0"/>
              <w:rPr>
                <w:rFonts w:asciiTheme="minorHAnsi" w:hAnsiTheme="minorHAnsi"/>
                <w:b w:val="0"/>
                <w:i w:val="0"/>
                <w:sz w:val="4"/>
                <w:szCs w:val="18"/>
              </w:rPr>
            </w:pPr>
          </w:p>
        </w:tc>
        <w:tc>
          <w:tcPr>
            <w:tcW w:w="3118" w:type="dxa"/>
            <w:tcBorders>
              <w:left w:val="nil"/>
              <w:right w:val="nil"/>
            </w:tcBorders>
            <w:vAlign w:val="center"/>
          </w:tcPr>
          <w:p w14:paraId="32ADA67D" w14:textId="77777777" w:rsidR="001D6C06" w:rsidRPr="00E82342" w:rsidRDefault="001D6C06" w:rsidP="001D6C06">
            <w:pPr>
              <w:pStyle w:val="Heading2"/>
              <w:spacing w:before="0"/>
              <w:rPr>
                <w:rFonts w:asciiTheme="minorHAnsi" w:hAnsiTheme="minorHAnsi"/>
                <w:b w:val="0"/>
                <w:i w:val="0"/>
                <w:sz w:val="4"/>
                <w:szCs w:val="18"/>
              </w:rPr>
            </w:pPr>
          </w:p>
        </w:tc>
      </w:tr>
      <w:tr w:rsidR="0051328F" w14:paraId="4DB0B2F6" w14:textId="764D6688" w:rsidTr="000F287D">
        <w:tc>
          <w:tcPr>
            <w:tcW w:w="1838" w:type="dxa"/>
            <w:shd w:val="clear" w:color="auto" w:fill="D9D9D9" w:themeFill="background1" w:themeFillShade="D9"/>
          </w:tcPr>
          <w:p w14:paraId="3473E88C" w14:textId="102C0F33" w:rsidR="0051328F" w:rsidRPr="00C62339" w:rsidRDefault="0051328F" w:rsidP="0005016F">
            <w:pPr>
              <w:pStyle w:val="Heading2"/>
              <w:spacing w:before="0" w:after="0"/>
              <w:jc w:val="both"/>
              <w:rPr>
                <w:rFonts w:asciiTheme="minorHAnsi" w:hAnsiTheme="minorHAnsi"/>
                <w:b w:val="0"/>
                <w:i w:val="0"/>
                <w:sz w:val="18"/>
                <w:szCs w:val="18"/>
              </w:rPr>
            </w:pPr>
            <w:bookmarkStart w:id="121" w:name="_Toc4588482"/>
            <w:bookmarkStart w:id="122" w:name="_Toc4588625"/>
            <w:bookmarkStart w:id="123" w:name="_Toc9591951"/>
            <w:r w:rsidRPr="00C62339">
              <w:rPr>
                <w:rFonts w:asciiTheme="minorHAnsi" w:hAnsiTheme="minorHAnsi"/>
                <w:b w:val="0"/>
                <w:i w:val="0"/>
                <w:sz w:val="18"/>
                <w:szCs w:val="18"/>
              </w:rPr>
              <w:t>Vision</w:t>
            </w:r>
            <w:bookmarkEnd w:id="121"/>
            <w:bookmarkEnd w:id="122"/>
            <w:bookmarkEnd w:id="123"/>
          </w:p>
        </w:tc>
        <w:tc>
          <w:tcPr>
            <w:tcW w:w="8647" w:type="dxa"/>
            <w:gridSpan w:val="4"/>
            <w:vMerge w:val="restart"/>
            <w:shd w:val="clear" w:color="auto" w:fill="F2F2F2" w:themeFill="background1" w:themeFillShade="F2"/>
          </w:tcPr>
          <w:p w14:paraId="6EA51201" w14:textId="74677699" w:rsidR="0051328F" w:rsidRPr="00C62339" w:rsidRDefault="0051328F" w:rsidP="0005016F">
            <w:pPr>
              <w:pStyle w:val="Heading2"/>
              <w:spacing w:before="0" w:after="0"/>
              <w:jc w:val="center"/>
              <w:rPr>
                <w:rFonts w:asciiTheme="minorHAnsi" w:hAnsiTheme="minorHAnsi"/>
                <w:b w:val="0"/>
                <w:i w:val="0"/>
                <w:sz w:val="18"/>
                <w:szCs w:val="18"/>
              </w:rPr>
            </w:pPr>
            <w:bookmarkStart w:id="124" w:name="_Toc4588483"/>
            <w:bookmarkStart w:id="125" w:name="_Toc4588626"/>
            <w:bookmarkStart w:id="126" w:name="_Toc9591952"/>
            <w:proofErr w:type="spellStart"/>
            <w:r w:rsidRPr="00C62339">
              <w:rPr>
                <w:rFonts w:asciiTheme="minorHAnsi" w:hAnsiTheme="minorHAnsi"/>
                <w:b w:val="0"/>
                <w:i w:val="0"/>
                <w:sz w:val="18"/>
                <w:szCs w:val="18"/>
              </w:rPr>
              <w:t>Pae</w:t>
            </w:r>
            <w:proofErr w:type="spellEnd"/>
            <w:r w:rsidRPr="00C62339">
              <w:rPr>
                <w:rFonts w:asciiTheme="minorHAnsi" w:hAnsiTheme="minorHAnsi"/>
                <w:b w:val="0"/>
                <w:i w:val="0"/>
                <w:sz w:val="18"/>
                <w:szCs w:val="18"/>
              </w:rPr>
              <w:t xml:space="preserve"> Ora Healthy Futures</w:t>
            </w:r>
            <w:bookmarkEnd w:id="124"/>
            <w:bookmarkEnd w:id="125"/>
            <w:bookmarkEnd w:id="126"/>
          </w:p>
        </w:tc>
      </w:tr>
      <w:tr w:rsidR="0051328F" w14:paraId="6EA60816" w14:textId="77777777" w:rsidTr="000F287D">
        <w:trPr>
          <w:trHeight w:val="220"/>
        </w:trPr>
        <w:tc>
          <w:tcPr>
            <w:tcW w:w="1838" w:type="dxa"/>
            <w:vMerge w:val="restart"/>
            <w:shd w:val="clear" w:color="auto" w:fill="D9D9D9" w:themeFill="background1" w:themeFillShade="D9"/>
          </w:tcPr>
          <w:p w14:paraId="54415B90" w14:textId="137E97CE" w:rsidR="0051328F" w:rsidRPr="00C62339" w:rsidRDefault="0051328F" w:rsidP="0005016F">
            <w:pPr>
              <w:pStyle w:val="Heading2"/>
              <w:spacing w:before="0" w:after="0"/>
              <w:jc w:val="both"/>
              <w:rPr>
                <w:rFonts w:asciiTheme="minorHAnsi" w:hAnsiTheme="minorHAnsi"/>
                <w:b w:val="0"/>
                <w:i w:val="0"/>
                <w:sz w:val="18"/>
                <w:szCs w:val="18"/>
              </w:rPr>
            </w:pPr>
            <w:bookmarkStart w:id="127" w:name="_Toc4588484"/>
            <w:bookmarkStart w:id="128" w:name="_Toc4588627"/>
            <w:bookmarkStart w:id="129" w:name="_Toc9591953"/>
            <w:r w:rsidRPr="00C62339">
              <w:rPr>
                <w:rFonts w:asciiTheme="minorHAnsi" w:hAnsiTheme="minorHAnsi"/>
                <w:b w:val="0"/>
                <w:i w:val="0"/>
                <w:sz w:val="18"/>
                <w:szCs w:val="18"/>
              </w:rPr>
              <w:t>Outcomes</w:t>
            </w:r>
            <w:bookmarkEnd w:id="127"/>
            <w:bookmarkEnd w:id="128"/>
            <w:bookmarkEnd w:id="129"/>
            <w:r w:rsidRPr="00C62339">
              <w:rPr>
                <w:rFonts w:asciiTheme="minorHAnsi" w:hAnsiTheme="minorHAnsi"/>
                <w:b w:val="0"/>
                <w:i w:val="0"/>
                <w:sz w:val="18"/>
                <w:szCs w:val="18"/>
              </w:rPr>
              <w:t xml:space="preserve"> </w:t>
            </w:r>
          </w:p>
        </w:tc>
        <w:tc>
          <w:tcPr>
            <w:tcW w:w="8647" w:type="dxa"/>
            <w:gridSpan w:val="4"/>
            <w:vMerge/>
            <w:shd w:val="clear" w:color="auto" w:fill="F2F2F2" w:themeFill="background1" w:themeFillShade="F2"/>
          </w:tcPr>
          <w:p w14:paraId="0FE566D1" w14:textId="38F6AE50" w:rsidR="0051328F" w:rsidRPr="00C62339" w:rsidRDefault="0051328F" w:rsidP="0005016F">
            <w:pPr>
              <w:pStyle w:val="Heading2"/>
              <w:spacing w:before="0" w:after="0"/>
              <w:jc w:val="center"/>
              <w:rPr>
                <w:rFonts w:asciiTheme="minorHAnsi" w:hAnsiTheme="minorHAnsi"/>
                <w:b w:val="0"/>
                <w:i w:val="0"/>
                <w:sz w:val="18"/>
                <w:szCs w:val="18"/>
              </w:rPr>
            </w:pPr>
          </w:p>
        </w:tc>
      </w:tr>
      <w:tr w:rsidR="001D6C06" w14:paraId="1582D7D5" w14:textId="77777777" w:rsidTr="000F287D">
        <w:tc>
          <w:tcPr>
            <w:tcW w:w="1838" w:type="dxa"/>
            <w:vMerge/>
            <w:tcBorders>
              <w:bottom w:val="single" w:sz="4" w:space="0" w:color="auto"/>
            </w:tcBorders>
            <w:shd w:val="clear" w:color="auto" w:fill="D9D9D9" w:themeFill="background1" w:themeFillShade="D9"/>
          </w:tcPr>
          <w:p w14:paraId="5F795210" w14:textId="77777777" w:rsidR="001D6C06" w:rsidRPr="00C62339" w:rsidRDefault="001D6C06" w:rsidP="006B1FE3">
            <w:pPr>
              <w:pStyle w:val="Heading2"/>
              <w:spacing w:before="0"/>
              <w:jc w:val="both"/>
              <w:rPr>
                <w:rFonts w:asciiTheme="minorHAnsi" w:hAnsiTheme="minorHAnsi"/>
                <w:b w:val="0"/>
                <w:i w:val="0"/>
                <w:sz w:val="18"/>
                <w:szCs w:val="18"/>
              </w:rPr>
            </w:pPr>
          </w:p>
        </w:tc>
        <w:tc>
          <w:tcPr>
            <w:tcW w:w="2693" w:type="dxa"/>
            <w:gridSpan w:val="2"/>
            <w:tcBorders>
              <w:bottom w:val="single" w:sz="4" w:space="0" w:color="auto"/>
            </w:tcBorders>
            <w:shd w:val="clear" w:color="auto" w:fill="F2F2F2" w:themeFill="background1" w:themeFillShade="F2"/>
          </w:tcPr>
          <w:p w14:paraId="72911B9E" w14:textId="38C5D801" w:rsidR="001D6C06" w:rsidRPr="00C62339" w:rsidRDefault="00E82342" w:rsidP="00E82342">
            <w:pPr>
              <w:pStyle w:val="Heading2"/>
              <w:spacing w:before="0"/>
              <w:rPr>
                <w:rFonts w:asciiTheme="minorHAnsi" w:hAnsiTheme="minorHAnsi"/>
                <w:b w:val="0"/>
                <w:i w:val="0"/>
                <w:sz w:val="18"/>
                <w:szCs w:val="18"/>
              </w:rPr>
            </w:pPr>
            <w:bookmarkStart w:id="130" w:name="_Toc4588485"/>
            <w:bookmarkStart w:id="131" w:name="_Toc4588628"/>
            <w:bookmarkStart w:id="132" w:name="_Toc9591954"/>
            <w:r>
              <w:rPr>
                <w:rFonts w:asciiTheme="minorHAnsi" w:hAnsiTheme="minorHAnsi"/>
                <w:b w:val="0"/>
                <w:i w:val="0"/>
                <w:sz w:val="18"/>
                <w:szCs w:val="18"/>
              </w:rPr>
              <w:t>W</w:t>
            </w:r>
            <w:r w:rsidR="001D6C06" w:rsidRPr="00C62339">
              <w:rPr>
                <w:rFonts w:asciiTheme="minorHAnsi" w:hAnsiTheme="minorHAnsi"/>
                <w:b w:val="0"/>
                <w:i w:val="0"/>
                <w:sz w:val="18"/>
                <w:szCs w:val="18"/>
              </w:rPr>
              <w:t>e live longer in good health</w:t>
            </w:r>
            <w:bookmarkEnd w:id="130"/>
            <w:bookmarkEnd w:id="131"/>
            <w:bookmarkEnd w:id="132"/>
          </w:p>
        </w:tc>
        <w:tc>
          <w:tcPr>
            <w:tcW w:w="2836" w:type="dxa"/>
            <w:tcBorders>
              <w:bottom w:val="single" w:sz="4" w:space="0" w:color="auto"/>
            </w:tcBorders>
            <w:shd w:val="clear" w:color="auto" w:fill="F2F2F2" w:themeFill="background1" w:themeFillShade="F2"/>
          </w:tcPr>
          <w:p w14:paraId="43DD5E54" w14:textId="27268560" w:rsidR="001D6C06" w:rsidRPr="00C62339" w:rsidRDefault="00E82342" w:rsidP="00E82342">
            <w:pPr>
              <w:pStyle w:val="Heading2"/>
              <w:spacing w:before="0"/>
              <w:rPr>
                <w:rFonts w:asciiTheme="minorHAnsi" w:hAnsiTheme="minorHAnsi"/>
                <w:b w:val="0"/>
                <w:i w:val="0"/>
                <w:sz w:val="18"/>
                <w:szCs w:val="18"/>
              </w:rPr>
            </w:pPr>
            <w:bookmarkStart w:id="133" w:name="_Toc4588486"/>
            <w:bookmarkStart w:id="134" w:name="_Toc4588629"/>
            <w:bookmarkStart w:id="135" w:name="_Toc9591955"/>
            <w:r>
              <w:rPr>
                <w:rFonts w:asciiTheme="minorHAnsi" w:hAnsiTheme="minorHAnsi"/>
                <w:b w:val="0"/>
                <w:i w:val="0"/>
                <w:sz w:val="18"/>
                <w:szCs w:val="18"/>
              </w:rPr>
              <w:t>W</w:t>
            </w:r>
            <w:r w:rsidR="001D6C06" w:rsidRPr="00C62339">
              <w:rPr>
                <w:rFonts w:asciiTheme="minorHAnsi" w:hAnsiTheme="minorHAnsi"/>
                <w:b w:val="0"/>
                <w:i w:val="0"/>
                <w:sz w:val="18"/>
                <w:szCs w:val="18"/>
              </w:rPr>
              <w:t>e have improved quality of life</w:t>
            </w:r>
            <w:bookmarkEnd w:id="133"/>
            <w:bookmarkEnd w:id="134"/>
            <w:bookmarkEnd w:id="135"/>
          </w:p>
        </w:tc>
        <w:tc>
          <w:tcPr>
            <w:tcW w:w="3118" w:type="dxa"/>
            <w:tcBorders>
              <w:bottom w:val="single" w:sz="4" w:space="0" w:color="auto"/>
            </w:tcBorders>
            <w:shd w:val="clear" w:color="auto" w:fill="F2F2F2" w:themeFill="background1" w:themeFillShade="F2"/>
          </w:tcPr>
          <w:p w14:paraId="1E78A5F1" w14:textId="671F7A41" w:rsidR="001D6C06" w:rsidRPr="00C62339" w:rsidRDefault="00E82342" w:rsidP="00E82342">
            <w:pPr>
              <w:pStyle w:val="Heading2"/>
              <w:spacing w:before="0"/>
              <w:rPr>
                <w:rFonts w:asciiTheme="minorHAnsi" w:hAnsiTheme="minorHAnsi"/>
                <w:b w:val="0"/>
                <w:i w:val="0"/>
                <w:sz w:val="18"/>
                <w:szCs w:val="18"/>
              </w:rPr>
            </w:pPr>
            <w:bookmarkStart w:id="136" w:name="_Toc4588487"/>
            <w:bookmarkStart w:id="137" w:name="_Toc4588630"/>
            <w:bookmarkStart w:id="138" w:name="_Toc9591956"/>
            <w:r>
              <w:rPr>
                <w:rFonts w:asciiTheme="minorHAnsi" w:hAnsiTheme="minorHAnsi"/>
                <w:b w:val="0"/>
                <w:i w:val="0"/>
                <w:sz w:val="18"/>
                <w:szCs w:val="18"/>
              </w:rPr>
              <w:t>W</w:t>
            </w:r>
            <w:r w:rsidR="001D6C06" w:rsidRPr="00C62339">
              <w:rPr>
                <w:rFonts w:asciiTheme="minorHAnsi" w:hAnsiTheme="minorHAnsi"/>
                <w:b w:val="0"/>
                <w:i w:val="0"/>
                <w:sz w:val="18"/>
                <w:szCs w:val="18"/>
              </w:rPr>
              <w:t>e have health equity for Maori and other groups</w:t>
            </w:r>
            <w:bookmarkEnd w:id="136"/>
            <w:bookmarkEnd w:id="137"/>
            <w:bookmarkEnd w:id="138"/>
          </w:p>
        </w:tc>
      </w:tr>
      <w:tr w:rsidR="001D6C06" w:rsidRPr="00E82342" w14:paraId="3B4BD2F7" w14:textId="77777777" w:rsidTr="000F287D">
        <w:tc>
          <w:tcPr>
            <w:tcW w:w="1838" w:type="dxa"/>
            <w:tcBorders>
              <w:left w:val="nil"/>
              <w:right w:val="nil"/>
            </w:tcBorders>
            <w:vAlign w:val="center"/>
          </w:tcPr>
          <w:p w14:paraId="7BC7F208" w14:textId="77777777" w:rsidR="001D6C06" w:rsidRPr="00E82342" w:rsidRDefault="001D6C06" w:rsidP="001D6C06">
            <w:pPr>
              <w:pStyle w:val="Heading2"/>
              <w:spacing w:before="0"/>
              <w:jc w:val="both"/>
              <w:rPr>
                <w:rFonts w:asciiTheme="minorHAnsi" w:hAnsiTheme="minorHAnsi"/>
                <w:b w:val="0"/>
                <w:i w:val="0"/>
                <w:sz w:val="4"/>
                <w:szCs w:val="18"/>
              </w:rPr>
            </w:pPr>
          </w:p>
        </w:tc>
        <w:tc>
          <w:tcPr>
            <w:tcW w:w="2693" w:type="dxa"/>
            <w:gridSpan w:val="2"/>
            <w:tcBorders>
              <w:left w:val="nil"/>
              <w:right w:val="nil"/>
            </w:tcBorders>
            <w:vAlign w:val="center"/>
          </w:tcPr>
          <w:p w14:paraId="7273EEB8" w14:textId="10E351DB" w:rsidR="001D6C06" w:rsidRPr="00E82342" w:rsidRDefault="001D6C06" w:rsidP="001D6C06">
            <w:pPr>
              <w:pStyle w:val="Heading2"/>
              <w:spacing w:before="0"/>
              <w:rPr>
                <w:rFonts w:asciiTheme="minorHAnsi" w:hAnsiTheme="minorHAnsi"/>
                <w:b w:val="0"/>
                <w:i w:val="0"/>
                <w:sz w:val="4"/>
                <w:szCs w:val="18"/>
              </w:rPr>
            </w:pPr>
          </w:p>
        </w:tc>
        <w:tc>
          <w:tcPr>
            <w:tcW w:w="2836" w:type="dxa"/>
            <w:tcBorders>
              <w:left w:val="nil"/>
              <w:right w:val="nil"/>
            </w:tcBorders>
            <w:vAlign w:val="center"/>
          </w:tcPr>
          <w:p w14:paraId="6499EDC5" w14:textId="77777777" w:rsidR="001D6C06" w:rsidRPr="00E82342" w:rsidRDefault="001D6C06" w:rsidP="001D6C06">
            <w:pPr>
              <w:pStyle w:val="Heading2"/>
              <w:spacing w:before="0"/>
              <w:rPr>
                <w:rFonts w:asciiTheme="minorHAnsi" w:hAnsiTheme="minorHAnsi"/>
                <w:b w:val="0"/>
                <w:i w:val="0"/>
                <w:sz w:val="4"/>
                <w:szCs w:val="18"/>
              </w:rPr>
            </w:pPr>
          </w:p>
        </w:tc>
        <w:tc>
          <w:tcPr>
            <w:tcW w:w="3118" w:type="dxa"/>
            <w:tcBorders>
              <w:left w:val="nil"/>
              <w:right w:val="nil"/>
            </w:tcBorders>
            <w:vAlign w:val="center"/>
          </w:tcPr>
          <w:p w14:paraId="0043922F" w14:textId="77777777" w:rsidR="001D6C06" w:rsidRPr="00E82342" w:rsidRDefault="001D6C06" w:rsidP="001D6C06">
            <w:pPr>
              <w:pStyle w:val="Heading2"/>
              <w:spacing w:before="0"/>
              <w:rPr>
                <w:rFonts w:asciiTheme="minorHAnsi" w:hAnsiTheme="minorHAnsi"/>
                <w:b w:val="0"/>
                <w:i w:val="0"/>
                <w:sz w:val="4"/>
                <w:szCs w:val="18"/>
              </w:rPr>
            </w:pPr>
          </w:p>
        </w:tc>
      </w:tr>
      <w:tr w:rsidR="000F287D" w14:paraId="6528201B" w14:textId="77777777" w:rsidTr="000F287D">
        <w:trPr>
          <w:trHeight w:val="411"/>
        </w:trPr>
        <w:tc>
          <w:tcPr>
            <w:tcW w:w="1838" w:type="dxa"/>
            <w:vMerge w:val="restart"/>
            <w:shd w:val="clear" w:color="auto" w:fill="D9D9D9" w:themeFill="background1" w:themeFillShade="D9"/>
            <w:vAlign w:val="center"/>
          </w:tcPr>
          <w:p w14:paraId="5422CDE0" w14:textId="04CD1081" w:rsidR="000F287D" w:rsidRDefault="000F287D" w:rsidP="001F57FE">
            <w:pPr>
              <w:pStyle w:val="Heading2"/>
              <w:spacing w:before="0" w:after="0"/>
              <w:jc w:val="both"/>
              <w:rPr>
                <w:rFonts w:asciiTheme="minorHAnsi" w:hAnsiTheme="minorHAnsi"/>
                <w:b w:val="0"/>
                <w:i w:val="0"/>
                <w:sz w:val="18"/>
                <w:szCs w:val="18"/>
              </w:rPr>
            </w:pPr>
            <w:bookmarkStart w:id="139" w:name="_Toc4588488"/>
            <w:bookmarkStart w:id="140" w:name="_Toc4588631"/>
            <w:bookmarkStart w:id="141" w:name="_Toc9591957"/>
            <w:r>
              <w:rPr>
                <w:rFonts w:asciiTheme="minorHAnsi" w:hAnsiTheme="minorHAnsi"/>
                <w:b w:val="0"/>
                <w:i w:val="0"/>
                <w:sz w:val="18"/>
                <w:szCs w:val="18"/>
              </w:rPr>
              <w:t>20</w:t>
            </w:r>
            <w:r w:rsidR="00243A7B">
              <w:rPr>
                <w:rFonts w:asciiTheme="minorHAnsi" w:hAnsiTheme="minorHAnsi"/>
                <w:b w:val="0"/>
                <w:i w:val="0"/>
                <w:sz w:val="18"/>
                <w:szCs w:val="18"/>
              </w:rPr>
              <w:t>2</w:t>
            </w:r>
            <w:r w:rsidR="00364929">
              <w:rPr>
                <w:rFonts w:asciiTheme="minorHAnsi" w:hAnsiTheme="minorHAnsi"/>
                <w:b w:val="0"/>
                <w:i w:val="0"/>
                <w:sz w:val="18"/>
                <w:szCs w:val="18"/>
              </w:rPr>
              <w:t>1</w:t>
            </w:r>
            <w:r w:rsidR="00243A7B">
              <w:rPr>
                <w:rFonts w:asciiTheme="minorHAnsi" w:hAnsiTheme="minorHAnsi"/>
                <w:b w:val="0"/>
                <w:i w:val="0"/>
                <w:sz w:val="18"/>
                <w:szCs w:val="18"/>
              </w:rPr>
              <w:t>/2</w:t>
            </w:r>
            <w:r w:rsidR="00E81931">
              <w:rPr>
                <w:rFonts w:asciiTheme="minorHAnsi" w:hAnsiTheme="minorHAnsi"/>
                <w:b w:val="0"/>
                <w:i w:val="0"/>
                <w:sz w:val="18"/>
                <w:szCs w:val="18"/>
              </w:rPr>
              <w:t>2</w:t>
            </w:r>
            <w:bookmarkEnd w:id="139"/>
            <w:bookmarkEnd w:id="140"/>
            <w:bookmarkEnd w:id="141"/>
            <w:r>
              <w:rPr>
                <w:rFonts w:asciiTheme="minorHAnsi" w:hAnsiTheme="minorHAnsi"/>
                <w:b w:val="0"/>
                <w:i w:val="0"/>
                <w:sz w:val="18"/>
                <w:szCs w:val="18"/>
              </w:rPr>
              <w:t xml:space="preserve"> </w:t>
            </w:r>
          </w:p>
          <w:p w14:paraId="01E221E2" w14:textId="77777777" w:rsidR="000F287D" w:rsidRDefault="000F287D" w:rsidP="001F57FE">
            <w:pPr>
              <w:pStyle w:val="Heading2"/>
              <w:spacing w:before="0" w:after="0"/>
              <w:jc w:val="both"/>
              <w:rPr>
                <w:rFonts w:asciiTheme="minorHAnsi" w:hAnsiTheme="minorHAnsi"/>
                <w:b w:val="0"/>
                <w:i w:val="0"/>
                <w:sz w:val="18"/>
                <w:szCs w:val="18"/>
              </w:rPr>
            </w:pPr>
            <w:bookmarkStart w:id="142" w:name="_Toc4588489"/>
            <w:bookmarkStart w:id="143" w:name="_Toc4588632"/>
            <w:bookmarkStart w:id="144" w:name="_Toc9591958"/>
            <w:r w:rsidRPr="00C62339">
              <w:rPr>
                <w:rFonts w:asciiTheme="minorHAnsi" w:hAnsiTheme="minorHAnsi"/>
                <w:b w:val="0"/>
                <w:i w:val="0"/>
                <w:sz w:val="18"/>
                <w:szCs w:val="18"/>
              </w:rPr>
              <w:t>DHB accountability measures</w:t>
            </w:r>
            <w:bookmarkEnd w:id="142"/>
            <w:bookmarkEnd w:id="143"/>
            <w:bookmarkEnd w:id="144"/>
            <w:r w:rsidRPr="00C62339">
              <w:rPr>
                <w:rFonts w:asciiTheme="minorHAnsi" w:hAnsiTheme="minorHAnsi"/>
                <w:b w:val="0"/>
                <w:i w:val="0"/>
                <w:sz w:val="18"/>
                <w:szCs w:val="18"/>
              </w:rPr>
              <w:t xml:space="preserve"> </w:t>
            </w:r>
          </w:p>
          <w:p w14:paraId="5B3A9638" w14:textId="77777777" w:rsidR="000F287D" w:rsidRDefault="000F287D" w:rsidP="000F287D"/>
          <w:p w14:paraId="65393B17" w14:textId="3AEF19CA" w:rsidR="000F287D" w:rsidRPr="00AD3BCC" w:rsidRDefault="000F287D" w:rsidP="00AD3BCC">
            <w:pPr>
              <w:rPr>
                <w:sz w:val="16"/>
                <w:szCs w:val="16"/>
              </w:rPr>
            </w:pPr>
            <w:r w:rsidRPr="00AD3BCC">
              <w:rPr>
                <w:rFonts w:asciiTheme="minorHAnsi" w:hAnsiTheme="minorHAnsi" w:cs="Arial"/>
                <w:i/>
                <w:sz w:val="16"/>
                <w:szCs w:val="16"/>
              </w:rPr>
              <w:t xml:space="preserve">Note: some measures such as those under review as part of the planned care work and whanau </w:t>
            </w:r>
            <w:proofErr w:type="spellStart"/>
            <w:r w:rsidRPr="00AD3BCC">
              <w:rPr>
                <w:rFonts w:asciiTheme="minorHAnsi" w:hAnsiTheme="minorHAnsi" w:cs="Arial"/>
                <w:i/>
                <w:sz w:val="16"/>
                <w:szCs w:val="16"/>
              </w:rPr>
              <w:t>ora</w:t>
            </w:r>
            <w:proofErr w:type="spellEnd"/>
            <w:r w:rsidRPr="00AD3BCC">
              <w:rPr>
                <w:rFonts w:asciiTheme="minorHAnsi" w:hAnsiTheme="minorHAnsi" w:cs="Arial"/>
                <w:i/>
                <w:sz w:val="16"/>
                <w:szCs w:val="16"/>
              </w:rPr>
              <w:t xml:space="preserve"> </w:t>
            </w:r>
            <w:r w:rsidR="003F7CAF">
              <w:rPr>
                <w:rFonts w:asciiTheme="minorHAnsi" w:hAnsiTheme="minorHAnsi" w:cs="Arial"/>
                <w:i/>
                <w:sz w:val="16"/>
                <w:szCs w:val="16"/>
              </w:rPr>
              <w:t>are not currently</w:t>
            </w:r>
            <w:r w:rsidRPr="00AD3BCC">
              <w:rPr>
                <w:rFonts w:asciiTheme="minorHAnsi" w:hAnsiTheme="minorHAnsi" w:cs="Arial"/>
                <w:i/>
                <w:sz w:val="16"/>
                <w:szCs w:val="16"/>
              </w:rPr>
              <w:t xml:space="preserve"> included in th</w:t>
            </w:r>
            <w:r w:rsidR="00AD3BCC">
              <w:rPr>
                <w:rFonts w:asciiTheme="minorHAnsi" w:hAnsiTheme="minorHAnsi" w:cs="Arial"/>
                <w:i/>
                <w:sz w:val="16"/>
                <w:szCs w:val="16"/>
              </w:rPr>
              <w:t>is</w:t>
            </w:r>
            <w:r w:rsidRPr="00AD3BCC">
              <w:rPr>
                <w:rFonts w:asciiTheme="minorHAnsi" w:hAnsiTheme="minorHAnsi" w:cs="Arial"/>
                <w:i/>
                <w:sz w:val="16"/>
                <w:szCs w:val="16"/>
              </w:rPr>
              <w:t xml:space="preserve"> table</w:t>
            </w:r>
            <w:r w:rsidR="00AD3BCC">
              <w:rPr>
                <w:rFonts w:asciiTheme="minorHAnsi" w:hAnsiTheme="minorHAnsi" w:cs="Arial"/>
                <w:i/>
                <w:sz w:val="16"/>
                <w:szCs w:val="16"/>
              </w:rPr>
              <w:t xml:space="preserve">. </w:t>
            </w:r>
            <w:r w:rsidRPr="00AD3BCC">
              <w:rPr>
                <w:rFonts w:asciiTheme="minorHAnsi" w:hAnsiTheme="minorHAnsi" w:cs="Arial"/>
                <w:i/>
                <w:sz w:val="16"/>
                <w:szCs w:val="16"/>
              </w:rPr>
              <w:t xml:space="preserve"> </w:t>
            </w:r>
          </w:p>
        </w:tc>
        <w:tc>
          <w:tcPr>
            <w:tcW w:w="2693" w:type="dxa"/>
            <w:gridSpan w:val="2"/>
            <w:shd w:val="clear" w:color="auto" w:fill="B8CCE4" w:themeFill="accent1" w:themeFillTint="66"/>
          </w:tcPr>
          <w:p w14:paraId="66E928EB" w14:textId="08CDF4DE" w:rsidR="000F287D" w:rsidRPr="00C62339" w:rsidRDefault="00AD5133" w:rsidP="00AD5133">
            <w:pPr>
              <w:pStyle w:val="Heading2"/>
              <w:spacing w:before="0" w:after="0"/>
              <w:rPr>
                <w:rFonts w:asciiTheme="minorHAnsi" w:hAnsiTheme="minorHAnsi"/>
                <w:b w:val="0"/>
                <w:i w:val="0"/>
                <w:sz w:val="18"/>
                <w:szCs w:val="18"/>
              </w:rPr>
            </w:pPr>
            <w:bookmarkStart w:id="145" w:name="_Toc4588490"/>
            <w:bookmarkStart w:id="146" w:name="_Toc4588633"/>
            <w:bookmarkStart w:id="147" w:name="_Toc9591959"/>
            <w:r>
              <w:rPr>
                <w:rFonts w:asciiTheme="minorHAnsi" w:hAnsiTheme="minorHAnsi"/>
                <w:b w:val="0"/>
                <w:i w:val="0"/>
                <w:sz w:val="18"/>
                <w:szCs w:val="18"/>
              </w:rPr>
              <w:t>Strong and equitable public health and disability system</w:t>
            </w:r>
            <w:r w:rsidR="000F287D">
              <w:rPr>
                <w:rFonts w:asciiTheme="minorHAnsi" w:hAnsiTheme="minorHAnsi"/>
                <w:b w:val="0"/>
                <w:i w:val="0"/>
                <w:sz w:val="18"/>
                <w:szCs w:val="18"/>
              </w:rPr>
              <w:t xml:space="preserve"> </w:t>
            </w:r>
            <w:r w:rsidR="000F287D" w:rsidRPr="00C62339">
              <w:rPr>
                <w:rFonts w:asciiTheme="minorHAnsi" w:hAnsiTheme="minorHAnsi"/>
                <w:b w:val="0"/>
                <w:i w:val="0"/>
                <w:sz w:val="18"/>
                <w:szCs w:val="18"/>
              </w:rPr>
              <w:t>SS</w:t>
            </w:r>
            <w:r w:rsidR="000F287D">
              <w:rPr>
                <w:rFonts w:asciiTheme="minorHAnsi" w:hAnsiTheme="minorHAnsi"/>
                <w:b w:val="0"/>
                <w:i w:val="0"/>
                <w:sz w:val="18"/>
                <w:szCs w:val="18"/>
              </w:rPr>
              <w:t>03</w:t>
            </w:r>
            <w:r>
              <w:rPr>
                <w:rFonts w:asciiTheme="minorHAnsi" w:hAnsiTheme="minorHAnsi"/>
                <w:b w:val="0"/>
                <w:i w:val="0"/>
                <w:sz w:val="18"/>
                <w:szCs w:val="18"/>
              </w:rPr>
              <w:t>:</w:t>
            </w:r>
            <w:r w:rsidR="000F287D" w:rsidRPr="00C62339">
              <w:rPr>
                <w:rFonts w:asciiTheme="minorHAnsi" w:hAnsiTheme="minorHAnsi"/>
                <w:b w:val="0"/>
                <w:i w:val="0"/>
                <w:sz w:val="18"/>
                <w:szCs w:val="18"/>
              </w:rPr>
              <w:t xml:space="preserve"> Ensuring delivery of service coverage</w:t>
            </w:r>
            <w:bookmarkEnd w:id="145"/>
            <w:bookmarkEnd w:id="146"/>
            <w:bookmarkEnd w:id="147"/>
          </w:p>
        </w:tc>
        <w:tc>
          <w:tcPr>
            <w:tcW w:w="2836" w:type="dxa"/>
            <w:shd w:val="clear" w:color="auto" w:fill="B8CCE4" w:themeFill="accent1" w:themeFillTint="66"/>
          </w:tcPr>
          <w:p w14:paraId="19D3A9C6" w14:textId="7CE6F990" w:rsidR="000F287D" w:rsidRPr="00C62339" w:rsidRDefault="00AD5133" w:rsidP="00AD5133">
            <w:pPr>
              <w:pStyle w:val="Heading2"/>
              <w:spacing w:before="0" w:after="0"/>
              <w:rPr>
                <w:rFonts w:asciiTheme="minorHAnsi" w:hAnsiTheme="minorHAnsi"/>
                <w:b w:val="0"/>
                <w:i w:val="0"/>
                <w:sz w:val="18"/>
                <w:szCs w:val="18"/>
              </w:rPr>
            </w:pPr>
            <w:bookmarkStart w:id="148" w:name="_Toc4588491"/>
            <w:bookmarkStart w:id="149" w:name="_Toc4588634"/>
            <w:bookmarkStart w:id="150" w:name="_Toc9591960"/>
            <w:r>
              <w:rPr>
                <w:rFonts w:asciiTheme="minorHAnsi" w:hAnsiTheme="minorHAnsi"/>
                <w:b w:val="0"/>
                <w:i w:val="0"/>
                <w:sz w:val="18"/>
                <w:szCs w:val="18"/>
              </w:rPr>
              <w:t xml:space="preserve">Strong and equitable public health and disability system </w:t>
            </w:r>
            <w:r w:rsidR="000F287D" w:rsidRPr="00C62339">
              <w:rPr>
                <w:rFonts w:asciiTheme="minorHAnsi" w:hAnsiTheme="minorHAnsi"/>
                <w:b w:val="0"/>
                <w:i w:val="0"/>
                <w:sz w:val="18"/>
                <w:szCs w:val="18"/>
              </w:rPr>
              <w:t>SS</w:t>
            </w:r>
            <w:r w:rsidR="000F287D">
              <w:rPr>
                <w:rFonts w:asciiTheme="minorHAnsi" w:hAnsiTheme="minorHAnsi"/>
                <w:b w:val="0"/>
                <w:i w:val="0"/>
                <w:sz w:val="18"/>
                <w:szCs w:val="18"/>
              </w:rPr>
              <w:t xml:space="preserve">01: </w:t>
            </w:r>
            <w:r w:rsidR="000F287D" w:rsidRPr="00C62339">
              <w:rPr>
                <w:rFonts w:asciiTheme="minorHAnsi" w:hAnsiTheme="minorHAnsi"/>
                <w:b w:val="0"/>
                <w:i w:val="0"/>
                <w:sz w:val="18"/>
                <w:szCs w:val="18"/>
              </w:rPr>
              <w:t>Faster cancer treatment</w:t>
            </w:r>
            <w:r w:rsidR="000F287D">
              <w:rPr>
                <w:rFonts w:asciiTheme="minorHAnsi" w:hAnsiTheme="minorHAnsi"/>
                <w:b w:val="0"/>
                <w:i w:val="0"/>
                <w:sz w:val="18"/>
                <w:szCs w:val="18"/>
              </w:rPr>
              <w:t xml:space="preserve"> (31 days)</w:t>
            </w:r>
            <w:bookmarkEnd w:id="148"/>
            <w:bookmarkEnd w:id="149"/>
            <w:bookmarkEnd w:id="150"/>
          </w:p>
        </w:tc>
        <w:tc>
          <w:tcPr>
            <w:tcW w:w="3118" w:type="dxa"/>
            <w:shd w:val="clear" w:color="auto" w:fill="B8CCE4" w:themeFill="accent1" w:themeFillTint="66"/>
          </w:tcPr>
          <w:p w14:paraId="6824C1B5" w14:textId="49D92D41" w:rsidR="000F287D" w:rsidRPr="00C62339" w:rsidRDefault="000F287D" w:rsidP="00932207">
            <w:pPr>
              <w:pStyle w:val="Heading2"/>
              <w:spacing w:before="0" w:after="0"/>
              <w:rPr>
                <w:rFonts w:asciiTheme="minorHAnsi" w:hAnsiTheme="minorHAnsi"/>
                <w:b w:val="0"/>
                <w:i w:val="0"/>
                <w:sz w:val="18"/>
                <w:szCs w:val="18"/>
              </w:rPr>
            </w:pPr>
            <w:bookmarkStart w:id="151" w:name="_Toc4588492"/>
            <w:bookmarkStart w:id="152" w:name="_Toc4588635"/>
            <w:bookmarkStart w:id="153" w:name="_Toc9591961"/>
            <w:r w:rsidRPr="0013137D">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sidRPr="0013137D">
              <w:rPr>
                <w:rFonts w:asciiTheme="minorHAnsi" w:hAnsiTheme="minorHAnsi"/>
                <w:b w:val="0"/>
                <w:i w:val="0"/>
                <w:sz w:val="18"/>
                <w:szCs w:val="18"/>
              </w:rPr>
              <w:t xml:space="preserve"> CW0</w:t>
            </w:r>
            <w:r w:rsidR="00932207">
              <w:rPr>
                <w:rFonts w:asciiTheme="minorHAnsi" w:hAnsiTheme="minorHAnsi"/>
                <w:b w:val="0"/>
                <w:i w:val="0"/>
                <w:sz w:val="18"/>
                <w:szCs w:val="18"/>
              </w:rPr>
              <w:t>2</w:t>
            </w:r>
            <w:r w:rsidRPr="0013137D">
              <w:rPr>
                <w:rFonts w:asciiTheme="minorHAnsi" w:hAnsiTheme="minorHAnsi"/>
                <w:b w:val="0"/>
                <w:i w:val="0"/>
                <w:sz w:val="18"/>
                <w:szCs w:val="18"/>
              </w:rPr>
              <w:t>: Oral Health- Mean DMFT score at school Year 8</w:t>
            </w:r>
            <w:bookmarkEnd w:id="151"/>
            <w:bookmarkEnd w:id="152"/>
            <w:bookmarkEnd w:id="153"/>
          </w:p>
        </w:tc>
      </w:tr>
      <w:tr w:rsidR="000F287D" w14:paraId="51B93CB8" w14:textId="77777777" w:rsidTr="000F287D">
        <w:tc>
          <w:tcPr>
            <w:tcW w:w="1838" w:type="dxa"/>
            <w:vMerge/>
            <w:shd w:val="clear" w:color="auto" w:fill="D9D9D9" w:themeFill="background1" w:themeFillShade="D9"/>
            <w:vAlign w:val="center"/>
          </w:tcPr>
          <w:p w14:paraId="1C0F7F64" w14:textId="77777777" w:rsidR="000F287D" w:rsidRPr="00C62339" w:rsidRDefault="000F287D" w:rsidP="001D6C0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1996E5B0" w14:textId="242D7092" w:rsidR="000F287D" w:rsidRPr="00C62339" w:rsidRDefault="00AD5133" w:rsidP="00AD5133">
            <w:pPr>
              <w:pStyle w:val="Heading2"/>
              <w:spacing w:before="0"/>
              <w:rPr>
                <w:rFonts w:asciiTheme="minorHAnsi" w:hAnsiTheme="minorHAnsi"/>
                <w:b w:val="0"/>
                <w:i w:val="0"/>
                <w:sz w:val="18"/>
                <w:szCs w:val="18"/>
              </w:rPr>
            </w:pPr>
            <w:bookmarkStart w:id="154" w:name="_Toc4588493"/>
            <w:bookmarkStart w:id="155" w:name="_Toc4588636"/>
            <w:bookmarkStart w:id="156" w:name="_Toc9591962"/>
            <w:r>
              <w:rPr>
                <w:rFonts w:asciiTheme="minorHAnsi" w:hAnsiTheme="minorHAnsi"/>
                <w:b w:val="0"/>
                <w:i w:val="0"/>
                <w:sz w:val="18"/>
                <w:szCs w:val="18"/>
              </w:rPr>
              <w:t xml:space="preserve">Strong and equitable public health and disability system </w:t>
            </w:r>
            <w:r w:rsidR="000F287D" w:rsidRPr="00A16064">
              <w:rPr>
                <w:rFonts w:asciiTheme="minorHAnsi" w:hAnsiTheme="minorHAnsi"/>
                <w:b w:val="0"/>
                <w:i w:val="0"/>
                <w:sz w:val="18"/>
                <w:szCs w:val="18"/>
              </w:rPr>
              <w:t>SS05: Ambulatory sensitive hospitalisations (ASH adult)</w:t>
            </w:r>
            <w:bookmarkEnd w:id="154"/>
            <w:bookmarkEnd w:id="155"/>
            <w:bookmarkEnd w:id="156"/>
            <w:r w:rsidR="000F287D" w:rsidRPr="00A16064">
              <w:rPr>
                <w:rFonts w:asciiTheme="minorHAnsi" w:hAnsiTheme="minorHAnsi"/>
                <w:b w:val="0"/>
                <w:i w:val="0"/>
                <w:sz w:val="18"/>
                <w:szCs w:val="18"/>
              </w:rPr>
              <w:t xml:space="preserve"> </w:t>
            </w:r>
          </w:p>
        </w:tc>
        <w:tc>
          <w:tcPr>
            <w:tcW w:w="2836" w:type="dxa"/>
            <w:shd w:val="clear" w:color="auto" w:fill="B8CCE4" w:themeFill="accent1" w:themeFillTint="66"/>
          </w:tcPr>
          <w:p w14:paraId="4CF659EB" w14:textId="3E772C30" w:rsidR="000F287D" w:rsidRPr="00C62339" w:rsidRDefault="000F287D" w:rsidP="00AD5133">
            <w:pPr>
              <w:rPr>
                <w:rFonts w:asciiTheme="minorHAnsi" w:hAnsiTheme="minorHAnsi" w:cs="Arial"/>
                <w:sz w:val="18"/>
                <w:szCs w:val="18"/>
              </w:rPr>
            </w:pPr>
            <w:r w:rsidRPr="00C62339">
              <w:rPr>
                <w:rFonts w:asciiTheme="minorHAnsi" w:hAnsiTheme="minorHAnsi" w:cs="Arial"/>
                <w:sz w:val="18"/>
                <w:szCs w:val="18"/>
              </w:rPr>
              <w:t xml:space="preserve">Mental </w:t>
            </w:r>
            <w:r w:rsidR="00AD5133">
              <w:rPr>
                <w:rFonts w:asciiTheme="minorHAnsi" w:hAnsiTheme="minorHAnsi" w:cs="Arial"/>
                <w:sz w:val="18"/>
                <w:szCs w:val="18"/>
              </w:rPr>
              <w:t>wellbeing</w:t>
            </w:r>
            <w:r w:rsidRPr="00C62339">
              <w:rPr>
                <w:rFonts w:asciiTheme="minorHAnsi" w:hAnsiTheme="minorHAnsi" w:cs="Arial"/>
                <w:sz w:val="18"/>
                <w:szCs w:val="18"/>
              </w:rPr>
              <w:t xml:space="preserve"> MH01: Improving the health status of people with severe mental illness through improved access</w:t>
            </w:r>
          </w:p>
        </w:tc>
        <w:tc>
          <w:tcPr>
            <w:tcW w:w="3118" w:type="dxa"/>
            <w:shd w:val="clear" w:color="auto" w:fill="B8CCE4" w:themeFill="accent1" w:themeFillTint="66"/>
          </w:tcPr>
          <w:p w14:paraId="21E46311" w14:textId="2F247EB7" w:rsidR="000F287D" w:rsidRPr="00C62339" w:rsidRDefault="000F287D" w:rsidP="00932207">
            <w:pPr>
              <w:pStyle w:val="Heading2"/>
              <w:spacing w:before="0"/>
              <w:rPr>
                <w:rFonts w:asciiTheme="minorHAnsi" w:hAnsiTheme="minorHAnsi"/>
                <w:b w:val="0"/>
                <w:i w:val="0"/>
                <w:sz w:val="18"/>
                <w:szCs w:val="18"/>
              </w:rPr>
            </w:pPr>
            <w:bookmarkStart w:id="157" w:name="_Toc4588494"/>
            <w:bookmarkStart w:id="158" w:name="_Toc4588637"/>
            <w:bookmarkStart w:id="159" w:name="_Toc9591963"/>
            <w:r w:rsidRPr="0013137D">
              <w:rPr>
                <w:rFonts w:asciiTheme="minorHAnsi" w:hAnsiTheme="minorHAnsi"/>
                <w:b w:val="0"/>
                <w:i w:val="0"/>
                <w:sz w:val="18"/>
                <w:szCs w:val="18"/>
              </w:rPr>
              <w:t>Child-</w:t>
            </w:r>
            <w:r w:rsidR="00326BE9">
              <w:rPr>
                <w:rFonts w:asciiTheme="minorHAnsi" w:hAnsiTheme="minorHAnsi"/>
                <w:b w:val="0"/>
                <w:i w:val="0"/>
                <w:sz w:val="18"/>
                <w:szCs w:val="18"/>
              </w:rPr>
              <w:t>wellbeing</w:t>
            </w:r>
            <w:r w:rsidRPr="0013137D">
              <w:rPr>
                <w:rFonts w:asciiTheme="minorHAnsi" w:hAnsiTheme="minorHAnsi"/>
                <w:b w:val="0"/>
                <w:i w:val="0"/>
                <w:sz w:val="18"/>
                <w:szCs w:val="18"/>
              </w:rPr>
              <w:t xml:space="preserve"> CW0</w:t>
            </w:r>
            <w:r w:rsidR="00932207">
              <w:rPr>
                <w:rFonts w:asciiTheme="minorHAnsi" w:hAnsiTheme="minorHAnsi"/>
                <w:b w:val="0"/>
                <w:i w:val="0"/>
                <w:sz w:val="18"/>
                <w:szCs w:val="18"/>
              </w:rPr>
              <w:t>1</w:t>
            </w:r>
            <w:r w:rsidRPr="0013137D">
              <w:rPr>
                <w:rFonts w:asciiTheme="minorHAnsi" w:hAnsiTheme="minorHAnsi"/>
                <w:b w:val="0"/>
                <w:i w:val="0"/>
                <w:sz w:val="18"/>
                <w:szCs w:val="18"/>
              </w:rPr>
              <w:t>: Children caries-free at five years of age</w:t>
            </w:r>
            <w:bookmarkEnd w:id="157"/>
            <w:bookmarkEnd w:id="158"/>
            <w:bookmarkEnd w:id="159"/>
          </w:p>
        </w:tc>
      </w:tr>
      <w:tr w:rsidR="000F287D" w14:paraId="01BE4EB6" w14:textId="77777777" w:rsidTr="000F287D">
        <w:trPr>
          <w:trHeight w:val="1146"/>
        </w:trPr>
        <w:tc>
          <w:tcPr>
            <w:tcW w:w="1838" w:type="dxa"/>
            <w:vMerge/>
            <w:shd w:val="clear" w:color="auto" w:fill="D9D9D9" w:themeFill="background1" w:themeFillShade="D9"/>
            <w:vAlign w:val="center"/>
          </w:tcPr>
          <w:p w14:paraId="71420B02" w14:textId="77777777" w:rsidR="000F287D" w:rsidRPr="00C62339" w:rsidRDefault="000F287D" w:rsidP="00E324D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0DAD4B08" w14:textId="572C3383" w:rsidR="000F287D" w:rsidRPr="0096600A" w:rsidRDefault="000F287D" w:rsidP="0005016F">
            <w:pPr>
              <w:pStyle w:val="Heading2"/>
              <w:spacing w:before="0"/>
              <w:rPr>
                <w:rFonts w:asciiTheme="minorHAnsi" w:hAnsiTheme="minorHAnsi"/>
                <w:b w:val="0"/>
                <w:i w:val="0"/>
                <w:sz w:val="18"/>
                <w:szCs w:val="18"/>
              </w:rPr>
            </w:pPr>
            <w:bookmarkStart w:id="160" w:name="_Toc4588495"/>
            <w:bookmarkStart w:id="161" w:name="_Toc4588638"/>
            <w:bookmarkStart w:id="162" w:name="_Toc9591964"/>
            <w:r w:rsidRPr="00786A00">
              <w:rPr>
                <w:rFonts w:asciiTheme="minorHAnsi" w:hAnsiTheme="minorHAnsi"/>
                <w:b w:val="0"/>
                <w:i w:val="0"/>
                <w:sz w:val="18"/>
                <w:szCs w:val="18"/>
              </w:rPr>
              <w:t>Mental health MH0</w:t>
            </w:r>
            <w:r>
              <w:rPr>
                <w:rFonts w:asciiTheme="minorHAnsi" w:hAnsiTheme="minorHAnsi"/>
                <w:b w:val="0"/>
                <w:i w:val="0"/>
                <w:sz w:val="18"/>
                <w:szCs w:val="18"/>
              </w:rPr>
              <w:t>4:</w:t>
            </w:r>
            <w:r w:rsidRPr="00786A00">
              <w:rPr>
                <w:rFonts w:asciiTheme="minorHAnsi" w:hAnsiTheme="minorHAnsi"/>
                <w:b w:val="0"/>
                <w:i w:val="0"/>
                <w:sz w:val="18"/>
                <w:szCs w:val="18"/>
              </w:rPr>
              <w:t xml:space="preserve">  Mental Health and Addiction Service Development (to be reviewed following decisions that are made in regard to the MH&amp;A Inquiry).</w:t>
            </w:r>
            <w:bookmarkEnd w:id="160"/>
            <w:bookmarkEnd w:id="161"/>
            <w:bookmarkEnd w:id="162"/>
          </w:p>
        </w:tc>
        <w:tc>
          <w:tcPr>
            <w:tcW w:w="2836" w:type="dxa"/>
            <w:shd w:val="clear" w:color="auto" w:fill="B8CCE4" w:themeFill="accent1" w:themeFillTint="66"/>
          </w:tcPr>
          <w:p w14:paraId="4C243CC2" w14:textId="6E581675" w:rsidR="000F287D" w:rsidRPr="00C62339" w:rsidRDefault="000F287D" w:rsidP="00AD5133">
            <w:pPr>
              <w:rPr>
                <w:rFonts w:asciiTheme="minorHAnsi" w:hAnsiTheme="minorHAnsi" w:cs="Arial"/>
                <w:sz w:val="18"/>
                <w:szCs w:val="18"/>
              </w:rPr>
            </w:pPr>
            <w:r w:rsidRPr="00C62339">
              <w:rPr>
                <w:rFonts w:asciiTheme="minorHAnsi" w:hAnsiTheme="minorHAnsi" w:cs="Arial"/>
                <w:sz w:val="18"/>
                <w:szCs w:val="18"/>
              </w:rPr>
              <w:t xml:space="preserve">Mental </w:t>
            </w:r>
            <w:r w:rsidR="00AD5133">
              <w:rPr>
                <w:rFonts w:asciiTheme="minorHAnsi" w:hAnsiTheme="minorHAnsi" w:cs="Arial"/>
                <w:sz w:val="18"/>
                <w:szCs w:val="18"/>
              </w:rPr>
              <w:t>wellbeing</w:t>
            </w:r>
            <w:r w:rsidRPr="00C62339">
              <w:rPr>
                <w:rFonts w:asciiTheme="minorHAnsi" w:hAnsiTheme="minorHAnsi" w:cs="Arial"/>
                <w:sz w:val="18"/>
                <w:szCs w:val="18"/>
              </w:rPr>
              <w:t xml:space="preserve"> MH02: Improving mental health services using wellness and transition (discharge) planning</w:t>
            </w:r>
          </w:p>
        </w:tc>
        <w:tc>
          <w:tcPr>
            <w:tcW w:w="3118" w:type="dxa"/>
            <w:shd w:val="clear" w:color="auto" w:fill="B8CCE4" w:themeFill="accent1" w:themeFillTint="66"/>
          </w:tcPr>
          <w:p w14:paraId="253BC9ED" w14:textId="65F463B0" w:rsidR="000F287D" w:rsidRPr="00C62339" w:rsidRDefault="000F287D" w:rsidP="00932207">
            <w:pPr>
              <w:pStyle w:val="Heading2"/>
              <w:spacing w:before="0"/>
              <w:rPr>
                <w:rFonts w:asciiTheme="minorHAnsi" w:hAnsiTheme="minorHAnsi"/>
                <w:b w:val="0"/>
                <w:i w:val="0"/>
                <w:sz w:val="18"/>
                <w:szCs w:val="18"/>
              </w:rPr>
            </w:pPr>
            <w:bookmarkStart w:id="163" w:name="_Toc4588496"/>
            <w:bookmarkStart w:id="164" w:name="_Toc4588639"/>
            <w:bookmarkStart w:id="165" w:name="_Toc9591965"/>
            <w:r w:rsidRPr="0013137D">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sidRPr="0013137D">
              <w:rPr>
                <w:rFonts w:asciiTheme="minorHAnsi" w:hAnsiTheme="minorHAnsi"/>
                <w:b w:val="0"/>
                <w:i w:val="0"/>
                <w:sz w:val="18"/>
                <w:szCs w:val="18"/>
              </w:rPr>
              <w:t xml:space="preserve"> CW0</w:t>
            </w:r>
            <w:r w:rsidR="00932207">
              <w:rPr>
                <w:rFonts w:asciiTheme="minorHAnsi" w:hAnsiTheme="minorHAnsi"/>
                <w:b w:val="0"/>
                <w:i w:val="0"/>
                <w:sz w:val="18"/>
                <w:szCs w:val="18"/>
              </w:rPr>
              <w:t>4</w:t>
            </w:r>
            <w:r w:rsidRPr="0013137D">
              <w:rPr>
                <w:rFonts w:asciiTheme="minorHAnsi" w:hAnsiTheme="minorHAnsi"/>
                <w:b w:val="0"/>
                <w:i w:val="0"/>
                <w:sz w:val="18"/>
                <w:szCs w:val="18"/>
              </w:rPr>
              <w:t>: Utilisation of DHB-funded dental services by adolescents from School Year 9 up to and including age 17 years</w:t>
            </w:r>
            <w:bookmarkEnd w:id="163"/>
            <w:bookmarkEnd w:id="164"/>
            <w:bookmarkEnd w:id="165"/>
          </w:p>
        </w:tc>
      </w:tr>
      <w:tr w:rsidR="000F287D" w14:paraId="60AF6676" w14:textId="77777777" w:rsidTr="000F287D">
        <w:tc>
          <w:tcPr>
            <w:tcW w:w="1838" w:type="dxa"/>
            <w:vMerge/>
            <w:shd w:val="clear" w:color="auto" w:fill="D9D9D9" w:themeFill="background1" w:themeFillShade="D9"/>
            <w:vAlign w:val="center"/>
          </w:tcPr>
          <w:p w14:paraId="5CEA9A2D" w14:textId="77777777" w:rsidR="000F287D" w:rsidRPr="00C62339" w:rsidRDefault="000F287D" w:rsidP="00E324D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2F299308" w14:textId="770412F2" w:rsidR="000F287D" w:rsidRPr="00E324D6" w:rsidRDefault="00AD5133" w:rsidP="00AD5133">
            <w:pPr>
              <w:pStyle w:val="Heading2"/>
              <w:spacing w:before="0"/>
              <w:rPr>
                <w:rFonts w:asciiTheme="minorHAnsi" w:hAnsiTheme="minorHAnsi"/>
                <w:b w:val="0"/>
                <w:i w:val="0"/>
                <w:sz w:val="18"/>
                <w:szCs w:val="18"/>
              </w:rPr>
            </w:pPr>
            <w:bookmarkStart w:id="166" w:name="_Toc4588497"/>
            <w:bookmarkStart w:id="167" w:name="_Toc4588640"/>
            <w:bookmarkStart w:id="168" w:name="_Toc9591966"/>
            <w:r>
              <w:rPr>
                <w:rFonts w:asciiTheme="minorHAnsi" w:hAnsiTheme="minorHAnsi"/>
                <w:b w:val="0"/>
                <w:i w:val="0"/>
                <w:sz w:val="18"/>
                <w:szCs w:val="18"/>
              </w:rPr>
              <w:t xml:space="preserve">Strong and equitable public health and disability system </w:t>
            </w:r>
            <w:r w:rsidR="000F287D">
              <w:rPr>
                <w:rFonts w:asciiTheme="minorHAnsi" w:hAnsiTheme="minorHAnsi"/>
                <w:b w:val="0"/>
                <w:i w:val="0"/>
                <w:sz w:val="18"/>
                <w:szCs w:val="18"/>
              </w:rPr>
              <w:t xml:space="preserve">SS04: </w:t>
            </w:r>
            <w:r w:rsidR="000F287D" w:rsidRPr="0096600A">
              <w:rPr>
                <w:rFonts w:asciiTheme="minorHAnsi" w:hAnsiTheme="minorHAnsi"/>
                <w:b w:val="0"/>
                <w:i w:val="0"/>
                <w:sz w:val="18"/>
                <w:szCs w:val="18"/>
              </w:rPr>
              <w:t>Delivery of actions to improve Wrap Around Services for Older People</w:t>
            </w:r>
            <w:bookmarkEnd w:id="166"/>
            <w:bookmarkEnd w:id="167"/>
            <w:bookmarkEnd w:id="168"/>
          </w:p>
        </w:tc>
        <w:tc>
          <w:tcPr>
            <w:tcW w:w="2836" w:type="dxa"/>
            <w:shd w:val="clear" w:color="auto" w:fill="B8CCE4" w:themeFill="accent1" w:themeFillTint="66"/>
          </w:tcPr>
          <w:p w14:paraId="68FA55D9" w14:textId="20C51149" w:rsidR="000F287D" w:rsidRPr="00C62339" w:rsidRDefault="000F287D" w:rsidP="00AD5133">
            <w:pPr>
              <w:rPr>
                <w:rFonts w:asciiTheme="minorHAnsi" w:hAnsiTheme="minorHAnsi" w:cs="Arial"/>
                <w:sz w:val="18"/>
                <w:szCs w:val="18"/>
              </w:rPr>
            </w:pPr>
            <w:r w:rsidRPr="005E4266">
              <w:rPr>
                <w:rFonts w:asciiTheme="minorHAnsi" w:hAnsiTheme="minorHAnsi" w:cs="Arial"/>
                <w:sz w:val="18"/>
                <w:szCs w:val="18"/>
              </w:rPr>
              <w:t xml:space="preserve">Mental </w:t>
            </w:r>
            <w:r w:rsidR="00AD5133">
              <w:rPr>
                <w:rFonts w:asciiTheme="minorHAnsi" w:hAnsiTheme="minorHAnsi" w:cs="Arial"/>
                <w:sz w:val="18"/>
                <w:szCs w:val="18"/>
              </w:rPr>
              <w:t>wellbeing</w:t>
            </w:r>
            <w:r w:rsidRPr="005E4266">
              <w:rPr>
                <w:rFonts w:asciiTheme="minorHAnsi" w:hAnsiTheme="minorHAnsi" w:cs="Arial"/>
                <w:sz w:val="18"/>
                <w:szCs w:val="18"/>
              </w:rPr>
              <w:t xml:space="preserve"> MH03: Shorter waits for non-urgent mental health and addiction services fo</w:t>
            </w:r>
            <w:r w:rsidR="000E1649">
              <w:rPr>
                <w:rFonts w:asciiTheme="minorHAnsi" w:hAnsiTheme="minorHAnsi" w:cs="Arial"/>
                <w:sz w:val="18"/>
                <w:szCs w:val="18"/>
              </w:rPr>
              <w:t xml:space="preserve">r </w:t>
            </w:r>
            <w:r w:rsidR="007E5D3B">
              <w:rPr>
                <w:rFonts w:asciiTheme="minorHAnsi" w:hAnsiTheme="minorHAnsi" w:cs="Arial"/>
                <w:sz w:val="18"/>
                <w:szCs w:val="18"/>
              </w:rPr>
              <w:t xml:space="preserve">under </w:t>
            </w:r>
            <w:proofErr w:type="gramStart"/>
            <w:r w:rsidR="007E5D3B">
              <w:rPr>
                <w:rFonts w:asciiTheme="minorHAnsi" w:hAnsiTheme="minorHAnsi" w:cs="Arial"/>
                <w:sz w:val="18"/>
                <w:szCs w:val="18"/>
              </w:rPr>
              <w:t>25 year olds</w:t>
            </w:r>
            <w:proofErr w:type="gramEnd"/>
          </w:p>
        </w:tc>
        <w:tc>
          <w:tcPr>
            <w:tcW w:w="3118" w:type="dxa"/>
            <w:shd w:val="clear" w:color="auto" w:fill="B8CCE4" w:themeFill="accent1" w:themeFillTint="66"/>
          </w:tcPr>
          <w:p w14:paraId="66BC4BA8" w14:textId="260663DC" w:rsidR="000F287D" w:rsidRPr="00C62339" w:rsidRDefault="000F287D" w:rsidP="00932207">
            <w:pPr>
              <w:pStyle w:val="Heading2"/>
              <w:spacing w:before="0"/>
              <w:rPr>
                <w:rFonts w:asciiTheme="minorHAnsi" w:hAnsiTheme="minorHAnsi"/>
                <w:b w:val="0"/>
                <w:i w:val="0"/>
                <w:sz w:val="18"/>
                <w:szCs w:val="18"/>
              </w:rPr>
            </w:pPr>
            <w:bookmarkStart w:id="169" w:name="_Toc4588498"/>
            <w:bookmarkStart w:id="170" w:name="_Toc4588641"/>
            <w:bookmarkStart w:id="171" w:name="_Toc9591967"/>
            <w:r w:rsidRPr="00D44568">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sidRPr="00D44568">
              <w:rPr>
                <w:rFonts w:asciiTheme="minorHAnsi" w:hAnsiTheme="minorHAnsi"/>
                <w:b w:val="0"/>
                <w:i w:val="0"/>
                <w:sz w:val="18"/>
                <w:szCs w:val="18"/>
              </w:rPr>
              <w:t xml:space="preserve"> CW0</w:t>
            </w:r>
            <w:r w:rsidR="00932207">
              <w:rPr>
                <w:rFonts w:asciiTheme="minorHAnsi" w:hAnsiTheme="minorHAnsi"/>
                <w:b w:val="0"/>
                <w:i w:val="0"/>
                <w:sz w:val="18"/>
                <w:szCs w:val="18"/>
              </w:rPr>
              <w:t>3</w:t>
            </w:r>
            <w:r w:rsidRPr="00D44568">
              <w:rPr>
                <w:rFonts w:asciiTheme="minorHAnsi" w:hAnsiTheme="minorHAnsi"/>
                <w:b w:val="0"/>
                <w:i w:val="0"/>
                <w:sz w:val="18"/>
                <w:szCs w:val="18"/>
              </w:rPr>
              <w:t>: Improving the number of children enrolled in and accessing the Community Oral Health Service.</w:t>
            </w:r>
            <w:bookmarkEnd w:id="169"/>
            <w:bookmarkEnd w:id="170"/>
            <w:bookmarkEnd w:id="171"/>
          </w:p>
        </w:tc>
      </w:tr>
      <w:tr w:rsidR="000F287D" w14:paraId="467B58D1" w14:textId="77777777" w:rsidTr="000F287D">
        <w:tc>
          <w:tcPr>
            <w:tcW w:w="1838" w:type="dxa"/>
            <w:vMerge/>
            <w:shd w:val="clear" w:color="auto" w:fill="D9D9D9" w:themeFill="background1" w:themeFillShade="D9"/>
            <w:vAlign w:val="center"/>
          </w:tcPr>
          <w:p w14:paraId="5F7AEB36" w14:textId="77777777" w:rsidR="000F287D" w:rsidRPr="00C62339" w:rsidRDefault="000F287D" w:rsidP="00E324D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099E6F1B" w14:textId="6B52B815" w:rsidR="000F287D" w:rsidRPr="00C62339" w:rsidRDefault="00AD5133" w:rsidP="00AD5133">
            <w:pPr>
              <w:pStyle w:val="Heading2"/>
              <w:spacing w:before="0"/>
              <w:rPr>
                <w:rFonts w:asciiTheme="minorHAnsi" w:hAnsiTheme="minorHAnsi"/>
                <w:b w:val="0"/>
                <w:i w:val="0"/>
                <w:sz w:val="18"/>
                <w:szCs w:val="18"/>
              </w:rPr>
            </w:pPr>
            <w:bookmarkStart w:id="172" w:name="_Toc4588499"/>
            <w:bookmarkStart w:id="173" w:name="_Toc4588642"/>
            <w:bookmarkStart w:id="174" w:name="_Toc9591968"/>
            <w:r>
              <w:rPr>
                <w:rFonts w:asciiTheme="minorHAnsi" w:hAnsiTheme="minorHAnsi"/>
                <w:b w:val="0"/>
                <w:i w:val="0"/>
                <w:sz w:val="18"/>
                <w:szCs w:val="18"/>
              </w:rPr>
              <w:t xml:space="preserve">Strong and equitable public health and disability system </w:t>
            </w:r>
            <w:r w:rsidR="000F287D" w:rsidRPr="00E324D6">
              <w:rPr>
                <w:rFonts w:asciiTheme="minorHAnsi" w:hAnsiTheme="minorHAnsi"/>
                <w:b w:val="0"/>
                <w:i w:val="0"/>
                <w:sz w:val="18"/>
                <w:szCs w:val="18"/>
              </w:rPr>
              <w:t>SS05: Better help for smokers to quit in public hospitals</w:t>
            </w:r>
            <w:bookmarkEnd w:id="172"/>
            <w:bookmarkEnd w:id="173"/>
            <w:bookmarkEnd w:id="174"/>
            <w:r w:rsidR="000F287D" w:rsidRPr="00E324D6">
              <w:rPr>
                <w:rFonts w:asciiTheme="minorHAnsi" w:hAnsiTheme="minorHAnsi"/>
                <w:b w:val="0"/>
                <w:i w:val="0"/>
                <w:sz w:val="18"/>
                <w:szCs w:val="18"/>
              </w:rPr>
              <w:t xml:space="preserve"> </w:t>
            </w:r>
          </w:p>
        </w:tc>
        <w:tc>
          <w:tcPr>
            <w:tcW w:w="2836" w:type="dxa"/>
            <w:shd w:val="clear" w:color="auto" w:fill="B8CCE4" w:themeFill="accent1" w:themeFillTint="66"/>
          </w:tcPr>
          <w:p w14:paraId="1E191549" w14:textId="321F0A4E" w:rsidR="000F287D" w:rsidRPr="005E4266" w:rsidRDefault="000F287D" w:rsidP="00AD5133">
            <w:pPr>
              <w:rPr>
                <w:rFonts w:asciiTheme="minorHAnsi" w:hAnsiTheme="minorHAnsi" w:cs="Arial"/>
                <w:sz w:val="18"/>
                <w:szCs w:val="18"/>
              </w:rPr>
            </w:pPr>
            <w:r w:rsidRPr="001F57FE">
              <w:rPr>
                <w:rFonts w:asciiTheme="minorHAnsi" w:hAnsiTheme="minorHAnsi" w:cs="Arial"/>
                <w:sz w:val="18"/>
                <w:szCs w:val="18"/>
              </w:rPr>
              <w:t xml:space="preserve">Primary </w:t>
            </w:r>
            <w:r w:rsidR="00AD5133">
              <w:rPr>
                <w:rFonts w:asciiTheme="minorHAnsi" w:hAnsiTheme="minorHAnsi" w:cs="Arial"/>
                <w:sz w:val="18"/>
                <w:szCs w:val="18"/>
              </w:rPr>
              <w:t>care and prevention</w:t>
            </w:r>
            <w:r w:rsidRPr="001F57FE">
              <w:rPr>
                <w:rFonts w:asciiTheme="minorHAnsi" w:hAnsiTheme="minorHAnsi" w:cs="Arial"/>
                <w:sz w:val="18"/>
                <w:szCs w:val="18"/>
              </w:rPr>
              <w:t xml:space="preserve"> PH01: Improving system integration and SLMs</w:t>
            </w:r>
            <w:r>
              <w:rPr>
                <w:rFonts w:asciiTheme="minorHAnsi" w:hAnsiTheme="minorHAnsi" w:cs="Arial"/>
                <w:sz w:val="18"/>
                <w:szCs w:val="18"/>
              </w:rPr>
              <w:t xml:space="preserve"> </w:t>
            </w:r>
          </w:p>
        </w:tc>
        <w:tc>
          <w:tcPr>
            <w:tcW w:w="3118" w:type="dxa"/>
            <w:shd w:val="clear" w:color="auto" w:fill="B8CCE4" w:themeFill="accent1" w:themeFillTint="66"/>
          </w:tcPr>
          <w:p w14:paraId="43524705" w14:textId="4CD7E65F" w:rsidR="000F287D" w:rsidRPr="00C62339" w:rsidRDefault="000F287D" w:rsidP="00E324D6">
            <w:pPr>
              <w:pStyle w:val="Heading2"/>
              <w:spacing w:before="0"/>
              <w:rPr>
                <w:rFonts w:asciiTheme="minorHAnsi" w:hAnsiTheme="minorHAnsi"/>
                <w:b w:val="0"/>
                <w:i w:val="0"/>
                <w:sz w:val="18"/>
                <w:szCs w:val="18"/>
              </w:rPr>
            </w:pPr>
            <w:bookmarkStart w:id="175" w:name="_Toc4588500"/>
            <w:bookmarkStart w:id="176" w:name="_Toc4588643"/>
            <w:bookmarkStart w:id="177" w:name="_Toc9591969"/>
            <w:r w:rsidRPr="0013137D">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sidRPr="0013137D">
              <w:rPr>
                <w:rFonts w:asciiTheme="minorHAnsi" w:hAnsiTheme="minorHAnsi"/>
                <w:b w:val="0"/>
                <w:i w:val="0"/>
                <w:sz w:val="18"/>
                <w:szCs w:val="18"/>
              </w:rPr>
              <w:t xml:space="preserve"> CW05: Immunisation coverage</w:t>
            </w:r>
            <w:bookmarkEnd w:id="175"/>
            <w:bookmarkEnd w:id="176"/>
            <w:bookmarkEnd w:id="177"/>
          </w:p>
        </w:tc>
      </w:tr>
      <w:tr w:rsidR="000F287D" w14:paraId="5FE49590" w14:textId="77777777" w:rsidTr="000F287D">
        <w:trPr>
          <w:trHeight w:val="599"/>
        </w:trPr>
        <w:tc>
          <w:tcPr>
            <w:tcW w:w="1838" w:type="dxa"/>
            <w:vMerge/>
            <w:shd w:val="clear" w:color="auto" w:fill="D9D9D9" w:themeFill="background1" w:themeFillShade="D9"/>
            <w:vAlign w:val="center"/>
          </w:tcPr>
          <w:p w14:paraId="7CDCDB65" w14:textId="77777777" w:rsidR="000F287D" w:rsidRPr="00C62339" w:rsidRDefault="000F287D" w:rsidP="00E324D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3FD9B74A" w14:textId="5069A121" w:rsidR="000F287D" w:rsidRPr="00C62339" w:rsidRDefault="000F287D" w:rsidP="00E324D6">
            <w:pPr>
              <w:pStyle w:val="Heading2"/>
              <w:spacing w:before="0"/>
              <w:rPr>
                <w:rFonts w:asciiTheme="minorHAnsi" w:hAnsiTheme="minorHAnsi"/>
                <w:b w:val="0"/>
                <w:i w:val="0"/>
                <w:sz w:val="18"/>
                <w:szCs w:val="18"/>
              </w:rPr>
            </w:pPr>
            <w:bookmarkStart w:id="178" w:name="_Toc4588501"/>
            <w:bookmarkStart w:id="179" w:name="_Toc4588644"/>
            <w:bookmarkStart w:id="180" w:name="_Toc9591970"/>
            <w:r>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Pr>
                <w:rFonts w:asciiTheme="minorHAnsi" w:hAnsiTheme="minorHAnsi"/>
                <w:b w:val="0"/>
                <w:i w:val="0"/>
                <w:sz w:val="18"/>
                <w:szCs w:val="18"/>
              </w:rPr>
              <w:t xml:space="preserve"> CW06: Improving breast- feeding rates</w:t>
            </w:r>
            <w:bookmarkEnd w:id="178"/>
            <w:bookmarkEnd w:id="179"/>
            <w:bookmarkEnd w:id="180"/>
          </w:p>
        </w:tc>
        <w:tc>
          <w:tcPr>
            <w:tcW w:w="2836" w:type="dxa"/>
            <w:shd w:val="clear" w:color="auto" w:fill="B8CCE4" w:themeFill="accent1" w:themeFillTint="66"/>
          </w:tcPr>
          <w:p w14:paraId="1E5966A1" w14:textId="678B8A8F" w:rsidR="000F287D" w:rsidRPr="00786A00" w:rsidRDefault="000F287D" w:rsidP="003007AB">
            <w:pPr>
              <w:pStyle w:val="Heading2"/>
              <w:spacing w:before="0"/>
              <w:rPr>
                <w:rFonts w:asciiTheme="minorHAnsi" w:hAnsiTheme="minorHAnsi"/>
                <w:b w:val="0"/>
                <w:i w:val="0"/>
                <w:sz w:val="18"/>
                <w:szCs w:val="18"/>
              </w:rPr>
            </w:pPr>
          </w:p>
        </w:tc>
        <w:tc>
          <w:tcPr>
            <w:tcW w:w="3118" w:type="dxa"/>
            <w:shd w:val="clear" w:color="auto" w:fill="B8CCE4" w:themeFill="accent1" w:themeFillTint="66"/>
          </w:tcPr>
          <w:p w14:paraId="66C2F2AC" w14:textId="2EFE4639" w:rsidR="000F287D" w:rsidRPr="00C62339" w:rsidRDefault="000F287D" w:rsidP="00AD5133">
            <w:pPr>
              <w:pStyle w:val="Heading2"/>
              <w:spacing w:before="0"/>
              <w:rPr>
                <w:rFonts w:asciiTheme="minorHAnsi" w:hAnsiTheme="minorHAnsi"/>
                <w:b w:val="0"/>
                <w:i w:val="0"/>
                <w:sz w:val="18"/>
                <w:szCs w:val="18"/>
              </w:rPr>
            </w:pPr>
            <w:bookmarkStart w:id="181" w:name="_Toc4588503"/>
            <w:bookmarkStart w:id="182" w:name="_Toc4588646"/>
            <w:bookmarkStart w:id="183" w:name="_Toc9591972"/>
            <w:r>
              <w:rPr>
                <w:rFonts w:asciiTheme="minorHAnsi" w:hAnsiTheme="minorHAnsi"/>
                <w:b w:val="0"/>
                <w:i w:val="0"/>
                <w:sz w:val="18"/>
                <w:szCs w:val="18"/>
              </w:rPr>
              <w:t>Primary care</w:t>
            </w:r>
            <w:r w:rsidR="00AD5133">
              <w:rPr>
                <w:rFonts w:asciiTheme="minorHAnsi" w:hAnsiTheme="minorHAnsi"/>
                <w:b w:val="0"/>
                <w:i w:val="0"/>
                <w:sz w:val="18"/>
                <w:szCs w:val="18"/>
              </w:rPr>
              <w:t xml:space="preserve"> and prevention</w:t>
            </w:r>
            <w:r>
              <w:rPr>
                <w:rFonts w:asciiTheme="minorHAnsi" w:hAnsiTheme="minorHAnsi"/>
                <w:b w:val="0"/>
                <w:i w:val="0"/>
                <w:sz w:val="18"/>
                <w:szCs w:val="18"/>
              </w:rPr>
              <w:t xml:space="preserve"> PH02: Improving the quality of data collection in PHO and NHI registers</w:t>
            </w:r>
            <w:bookmarkEnd w:id="181"/>
            <w:bookmarkEnd w:id="182"/>
            <w:bookmarkEnd w:id="183"/>
          </w:p>
        </w:tc>
      </w:tr>
      <w:tr w:rsidR="000F287D" w14:paraId="59A6ECEF" w14:textId="77777777" w:rsidTr="000F287D">
        <w:tc>
          <w:tcPr>
            <w:tcW w:w="1838" w:type="dxa"/>
            <w:vMerge/>
            <w:shd w:val="clear" w:color="auto" w:fill="D9D9D9" w:themeFill="background1" w:themeFillShade="D9"/>
            <w:vAlign w:val="center"/>
          </w:tcPr>
          <w:p w14:paraId="3BAAAEC4" w14:textId="77777777" w:rsidR="000F287D" w:rsidRPr="00C62339" w:rsidRDefault="000F287D" w:rsidP="00E324D6">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1DFF5C9D" w14:textId="54C24578" w:rsidR="000F287D" w:rsidRPr="00C62339" w:rsidRDefault="000F287D" w:rsidP="0005016F">
            <w:pPr>
              <w:pStyle w:val="Heading2"/>
              <w:spacing w:before="0"/>
              <w:rPr>
                <w:rFonts w:asciiTheme="minorHAnsi" w:hAnsiTheme="minorHAnsi"/>
                <w:b w:val="0"/>
                <w:i w:val="0"/>
                <w:sz w:val="18"/>
                <w:szCs w:val="18"/>
              </w:rPr>
            </w:pPr>
            <w:bookmarkStart w:id="184" w:name="_Toc4588504"/>
            <w:bookmarkStart w:id="185" w:name="_Toc4588647"/>
            <w:bookmarkStart w:id="186" w:name="_Toc9591973"/>
            <w:r w:rsidRPr="00AE4577">
              <w:rPr>
                <w:rFonts w:asciiTheme="minorHAnsi" w:hAnsiTheme="minorHAnsi"/>
                <w:b w:val="0"/>
                <w:i w:val="0"/>
                <w:sz w:val="18"/>
                <w:szCs w:val="18"/>
              </w:rPr>
              <w:t xml:space="preserve">Child </w:t>
            </w:r>
            <w:r w:rsidR="00326BE9">
              <w:rPr>
                <w:rFonts w:asciiTheme="minorHAnsi" w:hAnsiTheme="minorHAnsi"/>
                <w:b w:val="0"/>
                <w:i w:val="0"/>
                <w:sz w:val="18"/>
                <w:szCs w:val="18"/>
              </w:rPr>
              <w:t>wellbeing</w:t>
            </w:r>
            <w:r w:rsidRPr="00AE4577">
              <w:rPr>
                <w:rFonts w:asciiTheme="minorHAnsi" w:hAnsiTheme="minorHAnsi"/>
                <w:b w:val="0"/>
                <w:i w:val="0"/>
                <w:sz w:val="18"/>
                <w:szCs w:val="18"/>
              </w:rPr>
              <w:t xml:space="preserve"> CW07: Improving </w:t>
            </w:r>
            <w:proofErr w:type="spellStart"/>
            <w:r w:rsidRPr="00AE4577">
              <w:rPr>
                <w:rFonts w:asciiTheme="minorHAnsi" w:hAnsiTheme="minorHAnsi"/>
                <w:b w:val="0"/>
                <w:i w:val="0"/>
                <w:sz w:val="18"/>
                <w:szCs w:val="18"/>
              </w:rPr>
              <w:t>newborn</w:t>
            </w:r>
            <w:proofErr w:type="spellEnd"/>
            <w:r w:rsidRPr="00AE4577">
              <w:rPr>
                <w:rFonts w:asciiTheme="minorHAnsi" w:hAnsiTheme="minorHAnsi"/>
                <w:b w:val="0"/>
                <w:i w:val="0"/>
                <w:sz w:val="18"/>
                <w:szCs w:val="18"/>
              </w:rPr>
              <w:t xml:space="preserve"> enrolment in General Practice</w:t>
            </w:r>
            <w:bookmarkEnd w:id="184"/>
            <w:bookmarkEnd w:id="185"/>
            <w:bookmarkEnd w:id="186"/>
          </w:p>
        </w:tc>
        <w:tc>
          <w:tcPr>
            <w:tcW w:w="2836" w:type="dxa"/>
            <w:shd w:val="clear" w:color="auto" w:fill="B8CCE4" w:themeFill="accent1" w:themeFillTint="66"/>
          </w:tcPr>
          <w:p w14:paraId="6890AA7B" w14:textId="20118A63" w:rsidR="000F287D" w:rsidRPr="00786A00" w:rsidRDefault="00AD5133" w:rsidP="00AD5133">
            <w:pPr>
              <w:spacing w:after="120"/>
              <w:rPr>
                <w:rFonts w:asciiTheme="minorHAnsi" w:hAnsiTheme="minorHAnsi"/>
                <w:b/>
                <w:i/>
                <w:sz w:val="18"/>
                <w:szCs w:val="18"/>
              </w:rPr>
            </w:pPr>
            <w:r w:rsidRPr="00AD5133">
              <w:rPr>
                <w:rFonts w:asciiTheme="minorHAnsi" w:hAnsiTheme="minorHAnsi"/>
                <w:sz w:val="18"/>
                <w:szCs w:val="18"/>
              </w:rPr>
              <w:t xml:space="preserve">Strong and equitable public health and disability system </w:t>
            </w:r>
            <w:r w:rsidR="000F287D" w:rsidRPr="00AD5133">
              <w:rPr>
                <w:rFonts w:asciiTheme="minorHAnsi" w:hAnsiTheme="minorHAnsi" w:cs="Arial"/>
                <w:sz w:val="18"/>
                <w:szCs w:val="18"/>
              </w:rPr>
              <w:t xml:space="preserve"> </w:t>
            </w:r>
            <w:r w:rsidR="000F287D" w:rsidRPr="0018086E">
              <w:rPr>
                <w:rFonts w:asciiTheme="minorHAnsi" w:hAnsiTheme="minorHAnsi" w:cs="Arial"/>
                <w:sz w:val="18"/>
                <w:szCs w:val="18"/>
              </w:rPr>
              <w:t>SS10: Shorter stays in Emergency Departments</w:t>
            </w:r>
          </w:p>
        </w:tc>
        <w:tc>
          <w:tcPr>
            <w:tcW w:w="3118" w:type="dxa"/>
            <w:shd w:val="clear" w:color="auto" w:fill="B8CCE4" w:themeFill="accent1" w:themeFillTint="66"/>
          </w:tcPr>
          <w:p w14:paraId="10E91A69" w14:textId="0AE5B046" w:rsidR="000F287D" w:rsidRPr="00C62339" w:rsidRDefault="000F287D" w:rsidP="00AD5133">
            <w:pPr>
              <w:pStyle w:val="Heading2"/>
              <w:spacing w:before="0"/>
              <w:rPr>
                <w:rFonts w:asciiTheme="minorHAnsi" w:hAnsiTheme="minorHAnsi"/>
                <w:b w:val="0"/>
                <w:i w:val="0"/>
                <w:sz w:val="18"/>
                <w:szCs w:val="18"/>
              </w:rPr>
            </w:pPr>
            <w:bookmarkStart w:id="187" w:name="_Toc4588505"/>
            <w:bookmarkStart w:id="188" w:name="_Toc4588648"/>
            <w:bookmarkStart w:id="189" w:name="_Toc9591974"/>
            <w:r>
              <w:rPr>
                <w:rFonts w:asciiTheme="minorHAnsi" w:hAnsiTheme="minorHAnsi"/>
                <w:b w:val="0"/>
                <w:i w:val="0"/>
                <w:sz w:val="18"/>
                <w:szCs w:val="18"/>
              </w:rPr>
              <w:t xml:space="preserve">Primary </w:t>
            </w:r>
            <w:r w:rsidR="00AD5133">
              <w:rPr>
                <w:rFonts w:asciiTheme="minorHAnsi" w:hAnsiTheme="minorHAnsi"/>
                <w:b w:val="0"/>
                <w:i w:val="0"/>
                <w:sz w:val="18"/>
                <w:szCs w:val="18"/>
              </w:rPr>
              <w:t>care and prevention</w:t>
            </w:r>
            <w:r>
              <w:rPr>
                <w:rFonts w:asciiTheme="minorHAnsi" w:hAnsiTheme="minorHAnsi"/>
                <w:b w:val="0"/>
                <w:i w:val="0"/>
                <w:sz w:val="18"/>
                <w:szCs w:val="18"/>
              </w:rPr>
              <w:t xml:space="preserve"> PH03: Improving Maori enrolment in PHOs to meet the national average of 90%</w:t>
            </w:r>
            <w:bookmarkEnd w:id="187"/>
            <w:bookmarkEnd w:id="188"/>
            <w:bookmarkEnd w:id="189"/>
          </w:p>
        </w:tc>
      </w:tr>
      <w:tr w:rsidR="00AF5AC1" w14:paraId="2F84C55C" w14:textId="77777777" w:rsidTr="000F287D">
        <w:trPr>
          <w:trHeight w:val="843"/>
        </w:trPr>
        <w:tc>
          <w:tcPr>
            <w:tcW w:w="1838" w:type="dxa"/>
            <w:vMerge/>
            <w:shd w:val="clear" w:color="auto" w:fill="D9D9D9" w:themeFill="background1" w:themeFillShade="D9"/>
            <w:vAlign w:val="center"/>
          </w:tcPr>
          <w:p w14:paraId="40E65EA8" w14:textId="77777777" w:rsidR="00AF5AC1" w:rsidRPr="00C62339" w:rsidRDefault="00AF5AC1" w:rsidP="00AF5AC1">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60CA2779" w14:textId="08623CA6" w:rsidR="00AF5AC1" w:rsidRPr="00C62339" w:rsidRDefault="00AF5AC1" w:rsidP="00AF5AC1">
            <w:pPr>
              <w:pStyle w:val="Heading2"/>
              <w:spacing w:before="0" w:after="0"/>
              <w:rPr>
                <w:rFonts w:asciiTheme="minorHAnsi" w:hAnsiTheme="minorHAnsi"/>
                <w:b w:val="0"/>
                <w:i w:val="0"/>
                <w:sz w:val="18"/>
                <w:szCs w:val="18"/>
              </w:rPr>
            </w:pPr>
            <w:bookmarkStart w:id="190" w:name="_Toc4588508"/>
            <w:bookmarkStart w:id="191" w:name="_Toc9591977"/>
            <w:r>
              <w:rPr>
                <w:rFonts w:asciiTheme="minorHAnsi" w:hAnsiTheme="minorHAnsi"/>
                <w:b w:val="0"/>
                <w:i w:val="0"/>
                <w:sz w:val="18"/>
                <w:szCs w:val="18"/>
              </w:rPr>
              <w:t>Strong and equitable public health and disability system PV02</w:t>
            </w:r>
            <w:r w:rsidRPr="001F15E5">
              <w:rPr>
                <w:rFonts w:asciiTheme="minorHAnsi" w:eastAsia="Calibri" w:hAnsiTheme="minorHAnsi"/>
                <w:b w:val="0"/>
                <w:i w:val="0"/>
                <w:sz w:val="18"/>
                <w:szCs w:val="18"/>
              </w:rPr>
              <w:t>: Improving Cervical Screening coverage</w:t>
            </w:r>
            <w:bookmarkEnd w:id="190"/>
            <w:bookmarkEnd w:id="191"/>
          </w:p>
        </w:tc>
        <w:tc>
          <w:tcPr>
            <w:tcW w:w="2836" w:type="dxa"/>
            <w:shd w:val="clear" w:color="auto" w:fill="B8CCE4" w:themeFill="accent1" w:themeFillTint="66"/>
          </w:tcPr>
          <w:p w14:paraId="4E5BA48C" w14:textId="6F4F8B34" w:rsidR="00AF5AC1" w:rsidRPr="007C52D8" w:rsidRDefault="00AF5AC1" w:rsidP="00AF5AC1">
            <w:pPr>
              <w:jc w:val="both"/>
              <w:rPr>
                <w:rFonts w:asciiTheme="minorHAnsi" w:hAnsiTheme="minorHAnsi" w:cs="Arial"/>
                <w:sz w:val="18"/>
                <w:szCs w:val="18"/>
              </w:rPr>
            </w:pPr>
            <w:r w:rsidRPr="00AD5133">
              <w:rPr>
                <w:rFonts w:asciiTheme="minorHAnsi" w:hAnsiTheme="minorHAnsi"/>
                <w:sz w:val="18"/>
                <w:szCs w:val="18"/>
              </w:rPr>
              <w:t>Strong and equitable public health and disability system</w:t>
            </w:r>
            <w:r w:rsidRPr="007C52D8">
              <w:rPr>
                <w:rFonts w:asciiTheme="minorHAnsi" w:hAnsiTheme="minorHAnsi" w:cs="Arial"/>
                <w:bCs/>
                <w:kern w:val="32"/>
                <w:sz w:val="18"/>
                <w:szCs w:val="18"/>
              </w:rPr>
              <w:t xml:space="preserve"> SS11: Faster cancer treatment (62 days)</w:t>
            </w:r>
          </w:p>
          <w:p w14:paraId="465941FF" w14:textId="77777777" w:rsidR="00AF5AC1" w:rsidRPr="00786A00" w:rsidRDefault="00AF5AC1" w:rsidP="00AF5AC1">
            <w:pPr>
              <w:pStyle w:val="Heading2"/>
              <w:rPr>
                <w:rFonts w:asciiTheme="minorHAnsi" w:hAnsiTheme="minorHAnsi"/>
                <w:b w:val="0"/>
                <w:i w:val="0"/>
                <w:sz w:val="18"/>
                <w:szCs w:val="18"/>
              </w:rPr>
            </w:pPr>
          </w:p>
        </w:tc>
        <w:tc>
          <w:tcPr>
            <w:tcW w:w="3118" w:type="dxa"/>
            <w:shd w:val="clear" w:color="auto" w:fill="B8CCE4" w:themeFill="accent1" w:themeFillTint="66"/>
          </w:tcPr>
          <w:p w14:paraId="6945A2D5" w14:textId="6B477F4D" w:rsidR="00AF5AC1" w:rsidRDefault="00AF5AC1" w:rsidP="00AF5AC1">
            <w:pPr>
              <w:pStyle w:val="Heading2"/>
              <w:spacing w:before="0"/>
              <w:rPr>
                <w:rFonts w:asciiTheme="minorHAnsi" w:hAnsiTheme="minorHAnsi"/>
                <w:b w:val="0"/>
                <w:i w:val="0"/>
                <w:sz w:val="18"/>
                <w:szCs w:val="18"/>
              </w:rPr>
            </w:pPr>
            <w:bookmarkStart w:id="192" w:name="_Toc4588507"/>
            <w:bookmarkStart w:id="193" w:name="_Toc4588650"/>
            <w:bookmarkStart w:id="194" w:name="_Toc9591976"/>
            <w:r w:rsidRPr="001F15E5">
              <w:rPr>
                <w:rFonts w:asciiTheme="minorHAnsi" w:hAnsiTheme="minorHAnsi"/>
                <w:b w:val="0"/>
                <w:i w:val="0"/>
                <w:sz w:val="18"/>
                <w:szCs w:val="18"/>
              </w:rPr>
              <w:t>Mental health MH05: Reduce the rate of Māori under the Mental Health Act: section 29 community treatment orders</w:t>
            </w:r>
            <w:bookmarkEnd w:id="192"/>
            <w:bookmarkEnd w:id="193"/>
            <w:bookmarkEnd w:id="194"/>
          </w:p>
        </w:tc>
      </w:tr>
      <w:tr w:rsidR="00AF5AC1" w:rsidRPr="001F15E5" w14:paraId="0531AED4" w14:textId="77777777" w:rsidTr="000F287D">
        <w:tc>
          <w:tcPr>
            <w:tcW w:w="1838" w:type="dxa"/>
            <w:vMerge/>
            <w:shd w:val="clear" w:color="auto" w:fill="D9D9D9" w:themeFill="background1" w:themeFillShade="D9"/>
            <w:vAlign w:val="center"/>
          </w:tcPr>
          <w:p w14:paraId="3A49F046" w14:textId="77777777" w:rsidR="00AF5AC1" w:rsidRPr="001F15E5" w:rsidRDefault="00AF5AC1" w:rsidP="00AF5AC1">
            <w:pPr>
              <w:pStyle w:val="Heading2"/>
              <w:spacing w:before="0" w:after="0"/>
              <w:rPr>
                <w:rFonts w:asciiTheme="minorHAnsi" w:hAnsiTheme="minorHAnsi"/>
                <w:b w:val="0"/>
                <w:i w:val="0"/>
                <w:sz w:val="18"/>
                <w:szCs w:val="18"/>
              </w:rPr>
            </w:pPr>
          </w:p>
        </w:tc>
        <w:tc>
          <w:tcPr>
            <w:tcW w:w="2693" w:type="dxa"/>
            <w:gridSpan w:val="2"/>
            <w:shd w:val="clear" w:color="auto" w:fill="B8CCE4" w:themeFill="accent1" w:themeFillTint="66"/>
          </w:tcPr>
          <w:p w14:paraId="419383E6" w14:textId="3BBD68C6" w:rsidR="00AF5AC1" w:rsidRPr="001F15E5" w:rsidRDefault="00AF5AC1" w:rsidP="00AF5AC1">
            <w:pPr>
              <w:pStyle w:val="Heading2"/>
              <w:spacing w:before="0" w:after="0"/>
              <w:rPr>
                <w:rFonts w:asciiTheme="minorHAnsi" w:hAnsiTheme="minorHAnsi"/>
                <w:b w:val="0"/>
                <w:i w:val="0"/>
                <w:sz w:val="18"/>
                <w:szCs w:val="18"/>
              </w:rPr>
            </w:pPr>
            <w:bookmarkStart w:id="195" w:name="_Toc4588511"/>
            <w:bookmarkStart w:id="196" w:name="_Toc4588654"/>
            <w:bookmarkStart w:id="197" w:name="_Toc9591980"/>
            <w:r>
              <w:rPr>
                <w:rFonts w:asciiTheme="minorHAnsi" w:hAnsiTheme="minorHAnsi"/>
                <w:b w:val="0"/>
                <w:i w:val="0"/>
                <w:sz w:val="18"/>
                <w:szCs w:val="18"/>
              </w:rPr>
              <w:t xml:space="preserve">Strong and equitable public health and disability system </w:t>
            </w:r>
            <w:r w:rsidRPr="006B1FE3">
              <w:rPr>
                <w:rFonts w:asciiTheme="minorHAnsi" w:hAnsiTheme="minorHAnsi"/>
                <w:b w:val="0"/>
                <w:i w:val="0"/>
                <w:sz w:val="18"/>
                <w:szCs w:val="18"/>
              </w:rPr>
              <w:t>SS09: Improving the quality of identity data within the National Health Index (NHI) and data submitted to National Collections</w:t>
            </w:r>
            <w:bookmarkEnd w:id="195"/>
            <w:bookmarkEnd w:id="196"/>
            <w:bookmarkEnd w:id="197"/>
          </w:p>
        </w:tc>
        <w:tc>
          <w:tcPr>
            <w:tcW w:w="2836" w:type="dxa"/>
            <w:shd w:val="clear" w:color="auto" w:fill="B8CCE4" w:themeFill="accent1" w:themeFillTint="66"/>
          </w:tcPr>
          <w:p w14:paraId="5337D98F" w14:textId="3EADBCE5" w:rsidR="00AF5AC1" w:rsidRPr="001F15E5" w:rsidRDefault="00AF5AC1" w:rsidP="00AF5AC1">
            <w:pPr>
              <w:pStyle w:val="Heading2"/>
              <w:spacing w:before="0" w:after="0"/>
              <w:rPr>
                <w:rFonts w:asciiTheme="minorHAnsi" w:hAnsiTheme="minorHAnsi"/>
                <w:b w:val="0"/>
                <w:i w:val="0"/>
                <w:sz w:val="18"/>
                <w:szCs w:val="18"/>
              </w:rPr>
            </w:pPr>
            <w:bookmarkStart w:id="198" w:name="_Toc4588509"/>
            <w:bookmarkStart w:id="199" w:name="_Toc9591978"/>
            <w:r>
              <w:rPr>
                <w:rFonts w:asciiTheme="minorHAnsi" w:hAnsiTheme="minorHAnsi"/>
                <w:b w:val="0"/>
                <w:i w:val="0"/>
                <w:sz w:val="18"/>
                <w:szCs w:val="18"/>
              </w:rPr>
              <w:t xml:space="preserve">Strong and equitable public health and disability system </w:t>
            </w:r>
            <w:r w:rsidRPr="00C01F39">
              <w:rPr>
                <w:rFonts w:asciiTheme="minorHAnsi" w:hAnsiTheme="minorHAnsi"/>
                <w:b w:val="0"/>
                <w:i w:val="0"/>
                <w:sz w:val="18"/>
                <w:szCs w:val="18"/>
              </w:rPr>
              <w:t>SS1</w:t>
            </w:r>
            <w:r>
              <w:rPr>
                <w:rFonts w:asciiTheme="minorHAnsi" w:hAnsiTheme="minorHAnsi"/>
                <w:b w:val="0"/>
                <w:i w:val="0"/>
                <w:sz w:val="18"/>
                <w:szCs w:val="18"/>
              </w:rPr>
              <w:t>3</w:t>
            </w:r>
            <w:r w:rsidRPr="00C01F39">
              <w:rPr>
                <w:rFonts w:asciiTheme="minorHAnsi" w:hAnsiTheme="minorHAnsi"/>
                <w:b w:val="0"/>
                <w:i w:val="0"/>
                <w:sz w:val="18"/>
                <w:szCs w:val="18"/>
              </w:rPr>
              <w:t>: Improved management for long term conditions</w:t>
            </w:r>
            <w:bookmarkEnd w:id="198"/>
            <w:bookmarkEnd w:id="199"/>
          </w:p>
        </w:tc>
        <w:tc>
          <w:tcPr>
            <w:tcW w:w="3118" w:type="dxa"/>
            <w:shd w:val="clear" w:color="auto" w:fill="B8CCE4" w:themeFill="accent1" w:themeFillTint="66"/>
          </w:tcPr>
          <w:p w14:paraId="20A215F9" w14:textId="7DA73F26" w:rsidR="00AF5AC1" w:rsidRPr="001F15E5" w:rsidRDefault="00AF5AC1" w:rsidP="00AF5AC1">
            <w:pPr>
              <w:pStyle w:val="Heading2"/>
              <w:spacing w:before="0" w:after="0"/>
              <w:rPr>
                <w:rFonts w:asciiTheme="minorHAnsi" w:hAnsiTheme="minorHAnsi"/>
                <w:b w:val="0"/>
                <w:i w:val="0"/>
                <w:sz w:val="18"/>
                <w:szCs w:val="18"/>
              </w:rPr>
            </w:pPr>
            <w:bookmarkStart w:id="200" w:name="_Toc4588510"/>
            <w:bookmarkStart w:id="201" w:name="_Toc4588653"/>
            <w:bookmarkStart w:id="202" w:name="_Toc9591979"/>
            <w:r w:rsidRPr="001C5A62">
              <w:rPr>
                <w:rFonts w:asciiTheme="minorHAnsi" w:hAnsiTheme="minorHAnsi"/>
                <w:b w:val="0"/>
                <w:i w:val="0"/>
                <w:sz w:val="18"/>
                <w:szCs w:val="18"/>
              </w:rPr>
              <w:t xml:space="preserve">Child </w:t>
            </w:r>
            <w:r>
              <w:rPr>
                <w:rFonts w:asciiTheme="minorHAnsi" w:hAnsiTheme="minorHAnsi"/>
                <w:b w:val="0"/>
                <w:i w:val="0"/>
                <w:sz w:val="18"/>
                <w:szCs w:val="18"/>
              </w:rPr>
              <w:t>wellbeing</w:t>
            </w:r>
            <w:r w:rsidRPr="001C5A62">
              <w:rPr>
                <w:rFonts w:asciiTheme="minorHAnsi" w:hAnsiTheme="minorHAnsi"/>
                <w:b w:val="0"/>
                <w:i w:val="0"/>
                <w:sz w:val="18"/>
                <w:szCs w:val="18"/>
              </w:rPr>
              <w:t xml:space="preserve"> CW</w:t>
            </w:r>
            <w:r>
              <w:rPr>
                <w:rFonts w:asciiTheme="minorHAnsi" w:hAnsiTheme="minorHAnsi"/>
                <w:b w:val="0"/>
                <w:i w:val="0"/>
                <w:sz w:val="18"/>
                <w:szCs w:val="18"/>
              </w:rPr>
              <w:t>10</w:t>
            </w:r>
            <w:r w:rsidRPr="001C5A62">
              <w:rPr>
                <w:rFonts w:asciiTheme="minorHAnsi" w:hAnsiTheme="minorHAnsi"/>
                <w:b w:val="0"/>
                <w:i w:val="0"/>
                <w:sz w:val="18"/>
                <w:szCs w:val="18"/>
              </w:rPr>
              <w:t>:</w:t>
            </w:r>
            <w:r>
              <w:rPr>
                <w:rFonts w:asciiTheme="minorHAnsi" w:hAnsiTheme="minorHAnsi"/>
                <w:b w:val="0"/>
                <w:i w:val="0"/>
                <w:sz w:val="18"/>
                <w:szCs w:val="18"/>
              </w:rPr>
              <w:t xml:space="preserve"> </w:t>
            </w:r>
            <w:r w:rsidRPr="001C5A62">
              <w:rPr>
                <w:rFonts w:asciiTheme="minorHAnsi" w:hAnsiTheme="minorHAnsi"/>
                <w:b w:val="0"/>
                <w:i w:val="0"/>
                <w:sz w:val="18"/>
                <w:szCs w:val="18"/>
              </w:rPr>
              <w:t>Raising healthy kids</w:t>
            </w:r>
            <w:bookmarkEnd w:id="200"/>
            <w:bookmarkEnd w:id="201"/>
            <w:bookmarkEnd w:id="202"/>
          </w:p>
        </w:tc>
      </w:tr>
      <w:tr w:rsidR="00AF5AC1" w:rsidRPr="001F15E5" w14:paraId="72859421" w14:textId="77777777" w:rsidTr="001F7949">
        <w:tc>
          <w:tcPr>
            <w:tcW w:w="1838" w:type="dxa"/>
            <w:vMerge/>
            <w:shd w:val="clear" w:color="auto" w:fill="D9D9D9" w:themeFill="background1" w:themeFillShade="D9"/>
            <w:vAlign w:val="center"/>
          </w:tcPr>
          <w:p w14:paraId="2AC1BB4F" w14:textId="77777777" w:rsidR="00AF5AC1" w:rsidRPr="001F15E5" w:rsidRDefault="00AF5AC1" w:rsidP="00AF5AC1">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653B8011" w14:textId="6C693DCE" w:rsidR="00AF5AC1" w:rsidRPr="001F15E5" w:rsidRDefault="00AF5AC1" w:rsidP="00AF5AC1">
            <w:pPr>
              <w:pStyle w:val="Heading2"/>
              <w:spacing w:before="0"/>
              <w:rPr>
                <w:rFonts w:asciiTheme="minorHAnsi" w:hAnsiTheme="minorHAnsi"/>
                <w:b w:val="0"/>
                <w:i w:val="0"/>
                <w:sz w:val="18"/>
                <w:szCs w:val="18"/>
              </w:rPr>
            </w:pPr>
            <w:bookmarkStart w:id="203" w:name="_Toc4588513"/>
            <w:bookmarkStart w:id="204" w:name="_Toc4588656"/>
            <w:bookmarkStart w:id="205" w:name="_Toc9591982"/>
            <w:r>
              <w:rPr>
                <w:rFonts w:asciiTheme="minorHAnsi" w:hAnsiTheme="minorHAnsi"/>
                <w:b w:val="0"/>
                <w:i w:val="0"/>
                <w:sz w:val="18"/>
                <w:szCs w:val="18"/>
              </w:rPr>
              <w:t>Mental wellbeing MH06: Output delivery against plan</w:t>
            </w:r>
            <w:bookmarkEnd w:id="203"/>
            <w:bookmarkEnd w:id="204"/>
            <w:bookmarkEnd w:id="205"/>
          </w:p>
        </w:tc>
        <w:tc>
          <w:tcPr>
            <w:tcW w:w="2836" w:type="dxa"/>
            <w:shd w:val="clear" w:color="auto" w:fill="B8CCE4" w:themeFill="accent1" w:themeFillTint="66"/>
          </w:tcPr>
          <w:p w14:paraId="36ACF91F" w14:textId="605D17A5" w:rsidR="00AF5AC1" w:rsidRPr="001F15E5" w:rsidRDefault="00AF5AC1" w:rsidP="00AF5AC1">
            <w:pPr>
              <w:pStyle w:val="Heading2"/>
              <w:spacing w:before="0"/>
              <w:rPr>
                <w:rFonts w:asciiTheme="minorHAnsi" w:hAnsiTheme="minorHAnsi"/>
                <w:b w:val="0"/>
                <w:i w:val="0"/>
                <w:sz w:val="18"/>
                <w:szCs w:val="18"/>
              </w:rPr>
            </w:pPr>
            <w:r>
              <w:rPr>
                <w:rFonts w:asciiTheme="minorHAnsi" w:hAnsiTheme="minorHAnsi"/>
                <w:b w:val="0"/>
                <w:i w:val="0"/>
                <w:sz w:val="18"/>
                <w:szCs w:val="18"/>
              </w:rPr>
              <w:t>S</w:t>
            </w:r>
            <w:r w:rsidRPr="000D629F">
              <w:rPr>
                <w:rFonts w:asciiTheme="minorHAnsi" w:hAnsiTheme="minorHAnsi"/>
                <w:b w:val="0"/>
                <w:i w:val="0"/>
                <w:sz w:val="18"/>
                <w:szCs w:val="18"/>
              </w:rPr>
              <w:t>trong public health and disability system SS07: Planned Care Measures</w:t>
            </w:r>
          </w:p>
        </w:tc>
        <w:tc>
          <w:tcPr>
            <w:tcW w:w="3118" w:type="dxa"/>
            <w:shd w:val="clear" w:color="auto" w:fill="B8CCE4" w:themeFill="accent1" w:themeFillTint="66"/>
          </w:tcPr>
          <w:p w14:paraId="24DDF826" w14:textId="247221E9" w:rsidR="00AF5AC1" w:rsidRPr="001F15E5" w:rsidRDefault="00AF5AC1" w:rsidP="00AF5AC1">
            <w:pPr>
              <w:pStyle w:val="Heading2"/>
              <w:spacing w:before="0"/>
              <w:rPr>
                <w:rFonts w:asciiTheme="minorHAnsi" w:hAnsiTheme="minorHAnsi"/>
                <w:b w:val="0"/>
                <w:i w:val="0"/>
                <w:sz w:val="18"/>
                <w:szCs w:val="18"/>
              </w:rPr>
            </w:pPr>
            <w:bookmarkStart w:id="206" w:name="_Toc4588512"/>
            <w:bookmarkStart w:id="207" w:name="_Toc4588655"/>
            <w:bookmarkStart w:id="208" w:name="_Toc9591981"/>
            <w:r w:rsidRPr="001F7949">
              <w:rPr>
                <w:rFonts w:asciiTheme="minorHAnsi" w:hAnsiTheme="minorHAnsi"/>
                <w:b w:val="0"/>
                <w:i w:val="0"/>
                <w:sz w:val="18"/>
                <w:szCs w:val="18"/>
              </w:rPr>
              <w:t>Child wellbeing CW12: Youth health</w:t>
            </w:r>
            <w:bookmarkEnd w:id="206"/>
            <w:bookmarkEnd w:id="207"/>
            <w:bookmarkEnd w:id="208"/>
            <w:r>
              <w:rPr>
                <w:rFonts w:asciiTheme="minorHAnsi" w:hAnsiTheme="minorHAnsi"/>
                <w:b w:val="0"/>
                <w:i w:val="0"/>
                <w:sz w:val="18"/>
                <w:szCs w:val="18"/>
              </w:rPr>
              <w:t xml:space="preserve"> </w:t>
            </w:r>
          </w:p>
        </w:tc>
      </w:tr>
      <w:tr w:rsidR="00AF5AC1" w:rsidRPr="001F15E5" w14:paraId="1A102445" w14:textId="77777777" w:rsidTr="000F287D">
        <w:tc>
          <w:tcPr>
            <w:tcW w:w="1838" w:type="dxa"/>
            <w:vMerge/>
            <w:shd w:val="clear" w:color="auto" w:fill="D9D9D9" w:themeFill="background1" w:themeFillShade="D9"/>
            <w:vAlign w:val="center"/>
          </w:tcPr>
          <w:p w14:paraId="6EF6C521" w14:textId="77777777" w:rsidR="00AF5AC1" w:rsidRPr="001F15E5" w:rsidRDefault="00AF5AC1" w:rsidP="00AF5AC1">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0BF56E10" w14:textId="1C750BCA" w:rsidR="00AF5AC1" w:rsidRPr="00AF5AC1" w:rsidRDefault="00AF5AC1" w:rsidP="00AF5AC1">
            <w:pPr>
              <w:pStyle w:val="Heading2"/>
              <w:spacing w:before="0"/>
              <w:rPr>
                <w:rFonts w:asciiTheme="minorHAnsi" w:hAnsiTheme="minorHAnsi"/>
                <w:b w:val="0"/>
                <w:bCs w:val="0"/>
                <w:i w:val="0"/>
                <w:iCs w:val="0"/>
                <w:sz w:val="18"/>
                <w:szCs w:val="18"/>
              </w:rPr>
            </w:pPr>
            <w:bookmarkStart w:id="209" w:name="_Toc4588515"/>
            <w:bookmarkStart w:id="210" w:name="_Toc4588658"/>
            <w:bookmarkStart w:id="211" w:name="_Toc9591984"/>
            <w:r w:rsidRPr="00AF5AC1">
              <w:rPr>
                <w:rFonts w:asciiTheme="minorHAnsi" w:hAnsiTheme="minorHAnsi"/>
                <w:b w:val="0"/>
                <w:bCs w:val="0"/>
                <w:i w:val="0"/>
                <w:iCs w:val="0"/>
                <w:kern w:val="32"/>
                <w:sz w:val="18"/>
                <w:szCs w:val="18"/>
              </w:rPr>
              <w:t>Child wellbeing CW08: Increased Immunisation</w:t>
            </w:r>
            <w:bookmarkEnd w:id="209"/>
            <w:bookmarkEnd w:id="210"/>
            <w:bookmarkEnd w:id="211"/>
          </w:p>
        </w:tc>
        <w:tc>
          <w:tcPr>
            <w:tcW w:w="2836" w:type="dxa"/>
            <w:shd w:val="clear" w:color="auto" w:fill="B8CCE4" w:themeFill="accent1" w:themeFillTint="66"/>
          </w:tcPr>
          <w:p w14:paraId="618C2504" w14:textId="4FA7C43F" w:rsidR="00AF5AC1" w:rsidRPr="001F15E5" w:rsidRDefault="00AF5AC1" w:rsidP="00AF5AC1">
            <w:pPr>
              <w:pStyle w:val="Heading2"/>
              <w:spacing w:before="0"/>
              <w:rPr>
                <w:rFonts w:asciiTheme="minorHAnsi" w:hAnsiTheme="minorHAnsi"/>
                <w:b w:val="0"/>
                <w:i w:val="0"/>
                <w:sz w:val="18"/>
                <w:szCs w:val="18"/>
              </w:rPr>
            </w:pPr>
          </w:p>
        </w:tc>
        <w:tc>
          <w:tcPr>
            <w:tcW w:w="3118" w:type="dxa"/>
            <w:shd w:val="clear" w:color="auto" w:fill="B8CCE4" w:themeFill="accent1" w:themeFillTint="66"/>
          </w:tcPr>
          <w:p w14:paraId="5874F60D" w14:textId="495DE17D" w:rsidR="00AF5AC1" w:rsidRPr="001F15E5" w:rsidRDefault="00AF5AC1" w:rsidP="00AF5AC1">
            <w:pPr>
              <w:pStyle w:val="Heading2"/>
              <w:spacing w:before="0"/>
              <w:rPr>
                <w:rFonts w:asciiTheme="minorHAnsi" w:hAnsiTheme="minorHAnsi"/>
                <w:b w:val="0"/>
                <w:i w:val="0"/>
                <w:sz w:val="18"/>
                <w:szCs w:val="18"/>
              </w:rPr>
            </w:pPr>
            <w:r w:rsidRPr="00AF5AC1">
              <w:rPr>
                <w:rFonts w:asciiTheme="minorHAnsi" w:hAnsiTheme="minorHAnsi"/>
                <w:b w:val="0"/>
                <w:i w:val="0"/>
                <w:sz w:val="18"/>
                <w:szCs w:val="18"/>
              </w:rPr>
              <w:t>Strong and equitable public health and disability system PV01: improving breast screening coverage and rescreening</w:t>
            </w:r>
          </w:p>
        </w:tc>
      </w:tr>
      <w:tr w:rsidR="00AF5AC1" w:rsidRPr="001F15E5" w14:paraId="51261F0C" w14:textId="77777777" w:rsidTr="000F287D">
        <w:tc>
          <w:tcPr>
            <w:tcW w:w="1838" w:type="dxa"/>
            <w:vMerge/>
            <w:shd w:val="clear" w:color="auto" w:fill="D9D9D9" w:themeFill="background1" w:themeFillShade="D9"/>
            <w:vAlign w:val="center"/>
          </w:tcPr>
          <w:p w14:paraId="337F41D9" w14:textId="77777777" w:rsidR="00AF5AC1" w:rsidRPr="001F15E5" w:rsidRDefault="00AF5AC1" w:rsidP="00AF5AC1">
            <w:pPr>
              <w:pStyle w:val="Heading2"/>
              <w:spacing w:before="0" w:after="0"/>
              <w:rPr>
                <w:rFonts w:asciiTheme="minorHAnsi" w:hAnsiTheme="minorHAnsi"/>
                <w:b w:val="0"/>
                <w:i w:val="0"/>
                <w:sz w:val="18"/>
                <w:szCs w:val="18"/>
              </w:rPr>
            </w:pPr>
          </w:p>
        </w:tc>
        <w:tc>
          <w:tcPr>
            <w:tcW w:w="2693" w:type="dxa"/>
            <w:gridSpan w:val="2"/>
            <w:shd w:val="clear" w:color="auto" w:fill="B8CCE4" w:themeFill="accent1" w:themeFillTint="66"/>
          </w:tcPr>
          <w:p w14:paraId="5151F2EA" w14:textId="77777777" w:rsidR="00AF5AC1" w:rsidRPr="003A54D1" w:rsidRDefault="00AF5AC1" w:rsidP="00AF5AC1">
            <w:pPr>
              <w:keepNext/>
              <w:shd w:val="clear" w:color="auto" w:fill="B8CCE4" w:themeFill="accent1" w:themeFillTint="66"/>
              <w:outlineLvl w:val="0"/>
              <w:rPr>
                <w:rFonts w:asciiTheme="minorHAnsi" w:hAnsiTheme="minorHAnsi" w:cs="Arial"/>
                <w:bCs/>
                <w:iCs/>
                <w:kern w:val="32"/>
                <w:sz w:val="18"/>
                <w:szCs w:val="18"/>
              </w:rPr>
            </w:pPr>
            <w:bookmarkStart w:id="212" w:name="_Toc4588517"/>
            <w:bookmarkStart w:id="213" w:name="_Toc4588660"/>
            <w:bookmarkStart w:id="214" w:name="_Toc9591986"/>
            <w:r>
              <w:rPr>
                <w:rFonts w:asciiTheme="minorHAnsi" w:hAnsiTheme="minorHAnsi" w:cs="Arial"/>
                <w:bCs/>
                <w:iCs/>
                <w:kern w:val="32"/>
                <w:sz w:val="18"/>
                <w:szCs w:val="18"/>
              </w:rPr>
              <w:t>Primary health care PH04</w:t>
            </w:r>
            <w:r w:rsidRPr="003A54D1">
              <w:rPr>
                <w:rFonts w:asciiTheme="minorHAnsi" w:hAnsiTheme="minorHAnsi" w:cs="Arial"/>
                <w:bCs/>
                <w:iCs/>
                <w:kern w:val="32"/>
                <w:sz w:val="18"/>
                <w:szCs w:val="18"/>
              </w:rPr>
              <w:t xml:space="preserve"> :Better help for smokers to quit (primary care)</w:t>
            </w:r>
            <w:bookmarkEnd w:id="212"/>
            <w:bookmarkEnd w:id="213"/>
            <w:bookmarkEnd w:id="214"/>
          </w:p>
          <w:p w14:paraId="340DF335" w14:textId="7E6A32F5" w:rsidR="00AF5AC1" w:rsidRPr="00B57FB6" w:rsidRDefault="00AF5AC1" w:rsidP="00AF5AC1">
            <w:pPr>
              <w:keepNext/>
              <w:outlineLvl w:val="0"/>
              <w:rPr>
                <w:rFonts w:asciiTheme="minorHAnsi" w:hAnsiTheme="minorHAnsi"/>
                <w:i/>
                <w:sz w:val="18"/>
                <w:szCs w:val="18"/>
              </w:rPr>
            </w:pPr>
          </w:p>
        </w:tc>
        <w:tc>
          <w:tcPr>
            <w:tcW w:w="2836" w:type="dxa"/>
            <w:shd w:val="clear" w:color="auto" w:fill="B8CCE4" w:themeFill="accent1" w:themeFillTint="66"/>
          </w:tcPr>
          <w:p w14:paraId="1637F5C6" w14:textId="793C9B84" w:rsidR="00AF5AC1" w:rsidRPr="001F15E5" w:rsidRDefault="00AF5AC1" w:rsidP="00AF5AC1">
            <w:pPr>
              <w:pStyle w:val="Heading2"/>
              <w:spacing w:before="0" w:after="0"/>
              <w:rPr>
                <w:rFonts w:asciiTheme="minorHAnsi" w:hAnsiTheme="minorHAnsi"/>
                <w:b w:val="0"/>
                <w:i w:val="0"/>
                <w:sz w:val="18"/>
                <w:szCs w:val="18"/>
              </w:rPr>
            </w:pPr>
            <w:r w:rsidRPr="00AF5AC1">
              <w:rPr>
                <w:rFonts w:asciiTheme="minorHAnsi" w:hAnsiTheme="minorHAnsi"/>
                <w:b w:val="0"/>
                <w:i w:val="0"/>
                <w:sz w:val="18"/>
                <w:szCs w:val="18"/>
              </w:rPr>
              <w:t>Improving mental wellbeing MH07: Improving mental health services by improving inpatient post discharge follow-up rates</w:t>
            </w:r>
          </w:p>
        </w:tc>
        <w:tc>
          <w:tcPr>
            <w:tcW w:w="3118" w:type="dxa"/>
            <w:shd w:val="clear" w:color="auto" w:fill="B8CCE4" w:themeFill="accent1" w:themeFillTint="66"/>
          </w:tcPr>
          <w:p w14:paraId="7BDC6546" w14:textId="117EB48C" w:rsidR="00AF5AC1" w:rsidRPr="00056D22" w:rsidRDefault="00AF5AC1" w:rsidP="00AF5AC1">
            <w:pPr>
              <w:pStyle w:val="Heading2"/>
              <w:spacing w:before="0" w:after="0"/>
              <w:rPr>
                <w:rFonts w:asciiTheme="minorHAnsi" w:hAnsiTheme="minorHAnsi"/>
                <w:b w:val="0"/>
                <w:i w:val="0"/>
                <w:sz w:val="18"/>
                <w:szCs w:val="18"/>
              </w:rPr>
            </w:pPr>
            <w:bookmarkStart w:id="215" w:name="_Toc4588516"/>
            <w:bookmarkStart w:id="216" w:name="_Toc4588659"/>
            <w:bookmarkStart w:id="217" w:name="_Toc9591985"/>
            <w:r>
              <w:rPr>
                <w:rFonts w:asciiTheme="minorHAnsi" w:hAnsiTheme="minorHAnsi"/>
                <w:b w:val="0"/>
                <w:i w:val="0"/>
                <w:sz w:val="18"/>
                <w:szCs w:val="18"/>
              </w:rPr>
              <w:t xml:space="preserve">Strong and equitable public health and disability system SS12: </w:t>
            </w:r>
            <w:r w:rsidRPr="00056D22">
              <w:rPr>
                <w:rFonts w:asciiTheme="minorHAnsi" w:hAnsiTheme="minorHAnsi"/>
                <w:b w:val="0"/>
                <w:i w:val="0"/>
                <w:sz w:val="18"/>
                <w:szCs w:val="18"/>
              </w:rPr>
              <w:t>Engagement and obligations as a Treaty partner</w:t>
            </w:r>
            <w:bookmarkEnd w:id="215"/>
            <w:bookmarkEnd w:id="216"/>
            <w:bookmarkEnd w:id="217"/>
          </w:p>
        </w:tc>
      </w:tr>
      <w:tr w:rsidR="00AF5AC1" w:rsidRPr="001F15E5" w14:paraId="3649B6C4" w14:textId="77777777" w:rsidTr="001C63F1">
        <w:tc>
          <w:tcPr>
            <w:tcW w:w="1838" w:type="dxa"/>
            <w:vMerge/>
            <w:shd w:val="clear" w:color="auto" w:fill="D9D9D9" w:themeFill="background1" w:themeFillShade="D9"/>
            <w:vAlign w:val="center"/>
          </w:tcPr>
          <w:p w14:paraId="74530954" w14:textId="77777777" w:rsidR="00AF5AC1" w:rsidRPr="001F15E5" w:rsidRDefault="00AF5AC1" w:rsidP="00AF5AC1">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3099D01B" w14:textId="1AA38403" w:rsidR="00AF5AC1" w:rsidRPr="00B57FB6" w:rsidRDefault="00AF5AC1" w:rsidP="00AF5AC1">
            <w:pPr>
              <w:keepNext/>
              <w:outlineLvl w:val="0"/>
              <w:rPr>
                <w:rFonts w:asciiTheme="minorHAnsi" w:hAnsiTheme="minorHAnsi" w:cs="Arial"/>
                <w:bCs/>
                <w:iCs/>
                <w:kern w:val="32"/>
                <w:sz w:val="18"/>
                <w:szCs w:val="18"/>
              </w:rPr>
            </w:pPr>
            <w:r w:rsidRPr="00AF5AC1">
              <w:rPr>
                <w:rFonts w:asciiTheme="minorHAnsi" w:hAnsiTheme="minorHAnsi" w:cs="Arial"/>
                <w:bCs/>
                <w:iCs/>
                <w:kern w:val="32"/>
                <w:sz w:val="18"/>
                <w:szCs w:val="18"/>
              </w:rPr>
              <w:t>Child wellbeing CW09 :Better help for smokers to quit (maternity)</w:t>
            </w:r>
          </w:p>
        </w:tc>
        <w:tc>
          <w:tcPr>
            <w:tcW w:w="2836" w:type="dxa"/>
            <w:shd w:val="clear" w:color="auto" w:fill="B8CCE4" w:themeFill="accent1" w:themeFillTint="66"/>
          </w:tcPr>
          <w:p w14:paraId="17D16790" w14:textId="0D1944C5" w:rsidR="00AF5AC1" w:rsidRPr="001F15E5" w:rsidRDefault="00AF5AC1" w:rsidP="00AF5AC1">
            <w:pPr>
              <w:pStyle w:val="Heading2"/>
              <w:spacing w:before="100" w:beforeAutospacing="1"/>
              <w:contextualSpacing/>
              <w:rPr>
                <w:rFonts w:asciiTheme="minorHAnsi" w:hAnsiTheme="minorHAnsi"/>
                <w:b w:val="0"/>
                <w:i w:val="0"/>
                <w:sz w:val="18"/>
                <w:szCs w:val="18"/>
              </w:rPr>
            </w:pPr>
          </w:p>
        </w:tc>
        <w:tc>
          <w:tcPr>
            <w:tcW w:w="3118" w:type="dxa"/>
            <w:shd w:val="clear" w:color="auto" w:fill="B8CCE4" w:themeFill="accent1" w:themeFillTint="66"/>
          </w:tcPr>
          <w:p w14:paraId="577ECB4A" w14:textId="08C846E9" w:rsidR="00AF5AC1" w:rsidRPr="001F15E5" w:rsidRDefault="00AF5AC1" w:rsidP="00AF5AC1">
            <w:pPr>
              <w:pStyle w:val="Heading2"/>
              <w:spacing w:before="0"/>
              <w:rPr>
                <w:rFonts w:asciiTheme="minorHAnsi" w:hAnsiTheme="minorHAnsi"/>
                <w:b w:val="0"/>
                <w:i w:val="0"/>
                <w:sz w:val="18"/>
                <w:szCs w:val="18"/>
              </w:rPr>
            </w:pPr>
            <w:bookmarkStart w:id="218" w:name="_Toc4588519"/>
            <w:bookmarkStart w:id="219" w:name="_Toc4588662"/>
            <w:bookmarkStart w:id="220" w:name="_Toc9591988"/>
            <w:r>
              <w:rPr>
                <w:rFonts w:asciiTheme="minorHAnsi" w:hAnsiTheme="minorHAnsi"/>
                <w:b w:val="0"/>
                <w:i w:val="0"/>
                <w:sz w:val="18"/>
                <w:szCs w:val="18"/>
              </w:rPr>
              <w:t>Strong and equitable public health and disability system SS15: improving waiting times for colonoscopies</w:t>
            </w:r>
            <w:bookmarkEnd w:id="218"/>
            <w:bookmarkEnd w:id="219"/>
            <w:bookmarkEnd w:id="220"/>
          </w:p>
        </w:tc>
      </w:tr>
      <w:tr w:rsidR="00AF5AC1" w:rsidRPr="001F15E5" w14:paraId="1BBF2F1A" w14:textId="77777777" w:rsidTr="000F287D">
        <w:tc>
          <w:tcPr>
            <w:tcW w:w="1838" w:type="dxa"/>
            <w:vMerge/>
            <w:shd w:val="clear" w:color="auto" w:fill="D9D9D9" w:themeFill="background1" w:themeFillShade="D9"/>
            <w:vAlign w:val="center"/>
          </w:tcPr>
          <w:p w14:paraId="7D684A2A" w14:textId="77777777" w:rsidR="00AF5AC1" w:rsidRPr="001F15E5" w:rsidRDefault="00AF5AC1" w:rsidP="00AF5AC1">
            <w:pPr>
              <w:pStyle w:val="Heading2"/>
              <w:spacing w:before="0"/>
              <w:rPr>
                <w:rFonts w:asciiTheme="minorHAnsi" w:hAnsiTheme="minorHAnsi"/>
                <w:b w:val="0"/>
                <w:i w:val="0"/>
                <w:sz w:val="18"/>
                <w:szCs w:val="18"/>
              </w:rPr>
            </w:pPr>
          </w:p>
        </w:tc>
        <w:tc>
          <w:tcPr>
            <w:tcW w:w="2693" w:type="dxa"/>
            <w:gridSpan w:val="2"/>
            <w:shd w:val="clear" w:color="auto" w:fill="B8CCE4" w:themeFill="accent1" w:themeFillTint="66"/>
          </w:tcPr>
          <w:p w14:paraId="24F235B4" w14:textId="0209D45C" w:rsidR="00AF5AC1" w:rsidRPr="003A54D1" w:rsidRDefault="00AF5AC1" w:rsidP="00AF5AC1">
            <w:pPr>
              <w:keepNext/>
              <w:outlineLvl w:val="0"/>
              <w:rPr>
                <w:rFonts w:asciiTheme="minorHAnsi" w:hAnsiTheme="minorHAnsi" w:cs="Arial"/>
                <w:bCs/>
                <w:iCs/>
                <w:kern w:val="32"/>
                <w:sz w:val="18"/>
                <w:szCs w:val="18"/>
              </w:rPr>
            </w:pPr>
          </w:p>
        </w:tc>
        <w:tc>
          <w:tcPr>
            <w:tcW w:w="2836" w:type="dxa"/>
            <w:shd w:val="clear" w:color="auto" w:fill="B8CCE4" w:themeFill="accent1" w:themeFillTint="66"/>
          </w:tcPr>
          <w:p w14:paraId="7B030B63" w14:textId="77777777" w:rsidR="00AF5AC1" w:rsidRPr="001F15E5" w:rsidRDefault="00AF5AC1" w:rsidP="00AF5AC1">
            <w:pPr>
              <w:pStyle w:val="Heading2"/>
              <w:rPr>
                <w:rFonts w:asciiTheme="minorHAnsi" w:hAnsiTheme="minorHAnsi"/>
                <w:b w:val="0"/>
                <w:i w:val="0"/>
                <w:sz w:val="18"/>
                <w:szCs w:val="18"/>
              </w:rPr>
            </w:pPr>
          </w:p>
        </w:tc>
        <w:tc>
          <w:tcPr>
            <w:tcW w:w="3118" w:type="dxa"/>
            <w:shd w:val="clear" w:color="auto" w:fill="B8CCE4" w:themeFill="accent1" w:themeFillTint="66"/>
          </w:tcPr>
          <w:p w14:paraId="3ED8BC5E" w14:textId="6DA21F12" w:rsidR="00AF5AC1" w:rsidRPr="001F15E5" w:rsidRDefault="00AF5AC1" w:rsidP="00AF5AC1">
            <w:pPr>
              <w:pStyle w:val="Heading2"/>
              <w:spacing w:before="0"/>
              <w:rPr>
                <w:rFonts w:asciiTheme="minorHAnsi" w:hAnsiTheme="minorHAnsi"/>
                <w:b w:val="0"/>
                <w:i w:val="0"/>
                <w:sz w:val="18"/>
                <w:szCs w:val="18"/>
              </w:rPr>
            </w:pPr>
            <w:bookmarkStart w:id="221" w:name="_Toc9591990"/>
            <w:r>
              <w:rPr>
                <w:rFonts w:asciiTheme="minorHAnsi" w:hAnsiTheme="minorHAnsi"/>
                <w:b w:val="0"/>
                <w:i w:val="0"/>
                <w:sz w:val="18"/>
                <w:szCs w:val="18"/>
              </w:rPr>
              <w:t xml:space="preserve">Strong and equitable public health and disability system SS17: </w:t>
            </w:r>
            <w:r w:rsidRPr="00660B23">
              <w:rPr>
                <w:rFonts w:asciiTheme="minorHAnsi" w:hAnsiTheme="minorHAnsi"/>
                <w:b w:val="0"/>
                <w:i w:val="0"/>
                <w:sz w:val="18"/>
                <w:szCs w:val="18"/>
              </w:rPr>
              <w:t xml:space="preserve">Delivery of </w:t>
            </w:r>
            <w:proofErr w:type="spellStart"/>
            <w:r w:rsidRPr="00660B23">
              <w:rPr>
                <w:rFonts w:asciiTheme="minorHAnsi" w:hAnsiTheme="minorHAnsi"/>
                <w:b w:val="0"/>
                <w:i w:val="0"/>
                <w:sz w:val="18"/>
                <w:szCs w:val="18"/>
              </w:rPr>
              <w:t>Whānau</w:t>
            </w:r>
            <w:proofErr w:type="spellEnd"/>
            <w:r w:rsidRPr="00660B23">
              <w:rPr>
                <w:rFonts w:asciiTheme="minorHAnsi" w:hAnsiTheme="minorHAnsi"/>
                <w:b w:val="0"/>
                <w:i w:val="0"/>
                <w:sz w:val="18"/>
                <w:szCs w:val="18"/>
              </w:rPr>
              <w:t xml:space="preserve"> Ora</w:t>
            </w:r>
            <w:bookmarkEnd w:id="221"/>
          </w:p>
        </w:tc>
      </w:tr>
    </w:tbl>
    <w:p w14:paraId="6F2CA9DF" w14:textId="13AA288B" w:rsidR="004A3FA9" w:rsidRPr="0056665B" w:rsidRDefault="00C33CF9" w:rsidP="00E82342">
      <w:pPr>
        <w:pStyle w:val="BodyText3"/>
        <w:tabs>
          <w:tab w:val="num" w:pos="360"/>
        </w:tabs>
        <w:spacing w:after="0"/>
        <w:ind w:right="-1"/>
        <w:rPr>
          <w:rFonts w:ascii="Arial" w:hAnsi="Arial" w:cs="Arial"/>
          <w:i/>
          <w:sz w:val="20"/>
          <w:szCs w:val="20"/>
        </w:rPr>
      </w:pPr>
      <w:r w:rsidRPr="0056665B">
        <w:rPr>
          <w:rFonts w:ascii="Arial" w:hAnsi="Arial" w:cs="Arial"/>
          <w:i/>
          <w:sz w:val="20"/>
          <w:szCs w:val="20"/>
        </w:rPr>
        <w:t>.</w:t>
      </w:r>
    </w:p>
    <w:p w14:paraId="1FBE097E" w14:textId="2D58FBAF" w:rsidR="00101995" w:rsidRPr="008F0D5D" w:rsidRDefault="00101995" w:rsidP="008F0D5D">
      <w:pPr>
        <w:tabs>
          <w:tab w:val="left" w:pos="275"/>
        </w:tabs>
        <w:spacing w:after="120" w:line="276" w:lineRule="auto"/>
        <w:rPr>
          <w:rFonts w:ascii="Arial" w:hAnsi="Arial" w:cs="Arial"/>
          <w:b/>
          <w:sz w:val="22"/>
          <w:szCs w:val="22"/>
        </w:rPr>
      </w:pPr>
      <w:r w:rsidRPr="008F0D5D">
        <w:rPr>
          <w:rFonts w:ascii="Arial" w:hAnsi="Arial" w:cs="Arial"/>
          <w:b/>
          <w:sz w:val="22"/>
          <w:szCs w:val="22"/>
        </w:rPr>
        <w:t xml:space="preserve">Progress updates for actions included in Annual Plans </w:t>
      </w:r>
    </w:p>
    <w:p w14:paraId="01ECCB69" w14:textId="7EEB2488" w:rsidR="001C3F5E" w:rsidRPr="008F0D5D" w:rsidRDefault="004A3FA9" w:rsidP="008F0D5D">
      <w:pPr>
        <w:tabs>
          <w:tab w:val="left" w:pos="275"/>
        </w:tabs>
        <w:spacing w:after="120" w:line="276" w:lineRule="auto"/>
        <w:rPr>
          <w:rFonts w:ascii="Arial" w:hAnsi="Arial" w:cs="Arial"/>
          <w:b/>
          <w:bCs/>
          <w:i/>
          <w:iCs/>
          <w:sz w:val="22"/>
          <w:szCs w:val="22"/>
        </w:rPr>
      </w:pPr>
      <w:r w:rsidRPr="008F0D5D">
        <w:rPr>
          <w:rFonts w:ascii="Arial" w:hAnsi="Arial" w:cs="Arial"/>
          <w:sz w:val="22"/>
          <w:szCs w:val="22"/>
        </w:rPr>
        <w:t>Actions are agreed with each DHB in its Annual Plan t</w:t>
      </w:r>
      <w:r w:rsidR="00101995" w:rsidRPr="008F0D5D">
        <w:rPr>
          <w:rFonts w:ascii="Arial" w:hAnsi="Arial" w:cs="Arial"/>
          <w:sz w:val="22"/>
          <w:szCs w:val="22"/>
        </w:rPr>
        <w:t>o</w:t>
      </w:r>
      <w:r w:rsidRPr="008F0D5D">
        <w:rPr>
          <w:rFonts w:ascii="Arial" w:hAnsi="Arial" w:cs="Arial"/>
          <w:sz w:val="22"/>
          <w:szCs w:val="22"/>
        </w:rPr>
        <w:t xml:space="preserve"> reflect how the DHB will deliver on the planning priorities.  Progress updates for these actions </w:t>
      </w:r>
      <w:r w:rsidR="00C7501F">
        <w:rPr>
          <w:rFonts w:ascii="Arial" w:hAnsi="Arial" w:cs="Arial"/>
          <w:sz w:val="22"/>
          <w:szCs w:val="22"/>
        </w:rPr>
        <w:t xml:space="preserve">are </w:t>
      </w:r>
      <w:r w:rsidRPr="008F0D5D">
        <w:rPr>
          <w:rFonts w:ascii="Arial" w:hAnsi="Arial" w:cs="Arial"/>
          <w:sz w:val="22"/>
          <w:szCs w:val="22"/>
        </w:rPr>
        <w:t>captured through quarterly reporting processes.</w:t>
      </w:r>
      <w:r w:rsidR="00101995" w:rsidRPr="008F0D5D">
        <w:rPr>
          <w:rFonts w:ascii="Arial" w:hAnsi="Arial" w:cs="Arial"/>
          <w:sz w:val="22"/>
          <w:szCs w:val="22"/>
        </w:rPr>
        <w:t xml:space="preserve"> Once Annual plans actions a</w:t>
      </w:r>
      <w:r w:rsidR="00FC5A1F" w:rsidRPr="008F0D5D">
        <w:rPr>
          <w:rFonts w:ascii="Arial" w:hAnsi="Arial" w:cs="Arial"/>
          <w:sz w:val="22"/>
          <w:szCs w:val="22"/>
        </w:rPr>
        <w:t>r</w:t>
      </w:r>
      <w:r w:rsidR="00101995" w:rsidRPr="008F0D5D">
        <w:rPr>
          <w:rFonts w:ascii="Arial" w:hAnsi="Arial" w:cs="Arial"/>
          <w:sz w:val="22"/>
          <w:szCs w:val="22"/>
        </w:rPr>
        <w:t xml:space="preserve">e confirmed, </w:t>
      </w:r>
      <w:r w:rsidR="005D08CA" w:rsidRPr="008F0D5D">
        <w:rPr>
          <w:rFonts w:ascii="Arial" w:hAnsi="Arial" w:cs="Arial"/>
          <w:sz w:val="22"/>
          <w:szCs w:val="22"/>
        </w:rPr>
        <w:t xml:space="preserve">DHBs are expected to provide quarterly status reports via the template provided.  Refer </w:t>
      </w:r>
      <w:r w:rsidR="00932207">
        <w:rPr>
          <w:rFonts w:ascii="Arial" w:hAnsi="Arial" w:cs="Arial"/>
          <w:sz w:val="22"/>
          <w:szCs w:val="22"/>
        </w:rPr>
        <w:t>appendix one.</w:t>
      </w:r>
      <w:r w:rsidR="00101995" w:rsidRPr="008F0D5D">
        <w:rPr>
          <w:rFonts w:ascii="Arial" w:hAnsi="Arial" w:cs="Arial"/>
          <w:sz w:val="22"/>
          <w:szCs w:val="22"/>
        </w:rPr>
        <w:t xml:space="preserve"> </w:t>
      </w:r>
      <w:r w:rsidRPr="008F0D5D">
        <w:rPr>
          <w:rFonts w:ascii="Arial" w:hAnsi="Arial" w:cs="Arial"/>
          <w:b/>
          <w:bCs/>
          <w:i/>
          <w:iCs/>
          <w:sz w:val="22"/>
          <w:szCs w:val="22"/>
        </w:rPr>
        <w:tab/>
      </w:r>
      <w:bookmarkStart w:id="222" w:name="_Toc308177297"/>
      <w:bookmarkStart w:id="223" w:name="_Toc308686895"/>
      <w:bookmarkStart w:id="224" w:name="_Toc309640143"/>
      <w:bookmarkStart w:id="225" w:name="_Toc318187779"/>
      <w:bookmarkStart w:id="226" w:name="_Toc336001201"/>
      <w:bookmarkStart w:id="227" w:name="_Toc340489531"/>
      <w:bookmarkStart w:id="228" w:name="_Toc340490130"/>
      <w:bookmarkStart w:id="229" w:name="_Toc342381802"/>
      <w:bookmarkStart w:id="230" w:name="_Toc342981955"/>
      <w:bookmarkStart w:id="231" w:name="_Toc343768779"/>
      <w:bookmarkStart w:id="232" w:name="_Toc343769025"/>
      <w:bookmarkStart w:id="233" w:name="_Toc343769116"/>
      <w:bookmarkStart w:id="234" w:name="_Toc343774689"/>
      <w:bookmarkStart w:id="235" w:name="_Toc348337557"/>
      <w:bookmarkStart w:id="236" w:name="_Toc348339222"/>
      <w:bookmarkStart w:id="237" w:name="_Toc349305946"/>
      <w:bookmarkStart w:id="238" w:name="_Toc350510628"/>
      <w:bookmarkStart w:id="239" w:name="_Toc356565138"/>
      <w:bookmarkStart w:id="240" w:name="_Toc368554665"/>
      <w:bookmarkStart w:id="241" w:name="_Toc372632993"/>
      <w:bookmarkStart w:id="242" w:name="_Toc373487916"/>
      <w:bookmarkStart w:id="243" w:name="_Toc374703757"/>
      <w:bookmarkStart w:id="244" w:name="_Toc374704396"/>
      <w:bookmarkStart w:id="245" w:name="_Toc381355166"/>
      <w:bookmarkStart w:id="246" w:name="_Toc386712805"/>
      <w:bookmarkStart w:id="247" w:name="_Toc401310848"/>
      <w:bookmarkStart w:id="248" w:name="_Toc401311012"/>
      <w:bookmarkStart w:id="249" w:name="_Toc406138444"/>
      <w:bookmarkStart w:id="250" w:name="_Toc406142842"/>
      <w:bookmarkStart w:id="251" w:name="_Toc433707231"/>
      <w:bookmarkStart w:id="252" w:name="_Toc433707938"/>
      <w:bookmarkStart w:id="253" w:name="_Toc433708750"/>
      <w:bookmarkStart w:id="254" w:name="_Toc444243207"/>
      <w:bookmarkStart w:id="255" w:name="_Toc448753678"/>
      <w:bookmarkStart w:id="256" w:name="_Toc461454655"/>
      <w:bookmarkStart w:id="257" w:name="_Toc461709124"/>
      <w:bookmarkStart w:id="258" w:name="_Toc482789073"/>
      <w:bookmarkStart w:id="259" w:name="_Toc491938836"/>
      <w:bookmarkStart w:id="260" w:name="_Toc501611022"/>
      <w:bookmarkStart w:id="261" w:name="_Toc513555917"/>
      <w:bookmarkEnd w:id="101"/>
      <w:bookmarkEnd w:id="102"/>
    </w:p>
    <w:p w14:paraId="2095AF4A" w14:textId="09A6AEF3" w:rsidR="00544871" w:rsidRPr="008F0D5D" w:rsidRDefault="00544871" w:rsidP="008F0D5D">
      <w:pPr>
        <w:keepNext/>
        <w:spacing w:before="240" w:after="60" w:line="276" w:lineRule="auto"/>
        <w:outlineLvl w:val="0"/>
        <w:rPr>
          <w:rFonts w:ascii="Arial" w:hAnsi="Arial" w:cs="Arial"/>
          <w:b/>
          <w:bCs/>
          <w:kern w:val="32"/>
          <w:sz w:val="22"/>
          <w:szCs w:val="22"/>
        </w:rPr>
      </w:pPr>
      <w:bookmarkStart w:id="262" w:name="_Toc4588521"/>
      <w:bookmarkStart w:id="263" w:name="_Toc4588664"/>
      <w:bookmarkStart w:id="264" w:name="_Toc9591991"/>
      <w:r w:rsidRPr="008F0D5D">
        <w:rPr>
          <w:rFonts w:ascii="Arial" w:hAnsi="Arial" w:cs="Arial"/>
          <w:b/>
          <w:bCs/>
          <w:kern w:val="32"/>
          <w:sz w:val="22"/>
          <w:szCs w:val="22"/>
        </w:rPr>
        <w:t xml:space="preserve">System level measures – for measure definitions please refer to </w:t>
      </w:r>
      <w:bookmarkEnd w:id="262"/>
      <w:bookmarkEnd w:id="263"/>
      <w:bookmarkEnd w:id="264"/>
      <w:r w:rsidR="00BA2302" w:rsidRPr="00BA2302">
        <w:rPr>
          <w:rFonts w:ascii="Arial" w:hAnsi="Arial" w:cs="Arial"/>
          <w:b/>
          <w:bCs/>
          <w:kern w:val="32"/>
          <w:sz w:val="22"/>
          <w:szCs w:val="22"/>
        </w:rPr>
        <w:t>https://nsfl.health.govt.nz/dhb-planning-package/system-level-measures-framework/health-quality-measures-nz</w:t>
      </w:r>
    </w:p>
    <w:p w14:paraId="29726C92" w14:textId="77777777" w:rsidR="00544871" w:rsidRPr="008F0D5D" w:rsidRDefault="00544871" w:rsidP="008F0D5D">
      <w:pPr>
        <w:spacing w:line="276" w:lineRule="auto"/>
        <w:ind w:left="284"/>
        <w:rPr>
          <w:rFonts w:ascii="Arial" w:hAnsi="Arial" w:cs="Arial"/>
          <w:color w:val="000000"/>
          <w:sz w:val="22"/>
          <w:szCs w:val="22"/>
          <w:lang w:val="en" w:eastAsia="en-NZ"/>
        </w:rPr>
      </w:pPr>
      <w:r w:rsidRPr="008F0D5D">
        <w:rPr>
          <w:rFonts w:ascii="Arial" w:hAnsi="Arial" w:cs="Arial"/>
          <w:color w:val="000000"/>
          <w:sz w:val="22"/>
          <w:szCs w:val="22"/>
          <w:lang w:val="en" w:eastAsia="en-NZ"/>
        </w:rPr>
        <w:t>There are six System Level Measures:</w:t>
      </w:r>
    </w:p>
    <w:p w14:paraId="25BBE9D8"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 xml:space="preserve">Ambulatory Sensitive </w:t>
      </w:r>
      <w:proofErr w:type="spellStart"/>
      <w:r w:rsidRPr="008F0D5D">
        <w:rPr>
          <w:rFonts w:ascii="Arial" w:hAnsi="Arial" w:cs="Arial"/>
          <w:color w:val="000000"/>
          <w:sz w:val="22"/>
          <w:szCs w:val="22"/>
          <w:lang w:val="en" w:eastAsia="en-NZ"/>
        </w:rPr>
        <w:t>Hospitalisation</w:t>
      </w:r>
      <w:proofErr w:type="spellEnd"/>
      <w:r w:rsidRPr="008F0D5D">
        <w:rPr>
          <w:rFonts w:ascii="Arial" w:hAnsi="Arial" w:cs="Arial"/>
          <w:color w:val="000000"/>
          <w:sz w:val="22"/>
          <w:szCs w:val="22"/>
          <w:lang w:val="en" w:eastAsia="en-NZ"/>
        </w:rPr>
        <w:t xml:space="preserve"> (ASH) rates for 0–</w:t>
      </w:r>
      <w:proofErr w:type="gramStart"/>
      <w:r w:rsidRPr="008F0D5D">
        <w:rPr>
          <w:rFonts w:ascii="Arial" w:hAnsi="Arial" w:cs="Arial"/>
          <w:color w:val="000000"/>
          <w:sz w:val="22"/>
          <w:szCs w:val="22"/>
          <w:lang w:val="en" w:eastAsia="en-NZ"/>
        </w:rPr>
        <w:t xml:space="preserve">4 year </w:t>
      </w:r>
      <w:proofErr w:type="spellStart"/>
      <w:r w:rsidRPr="008F0D5D">
        <w:rPr>
          <w:rFonts w:ascii="Arial" w:hAnsi="Arial" w:cs="Arial"/>
          <w:color w:val="000000"/>
          <w:sz w:val="22"/>
          <w:szCs w:val="22"/>
          <w:lang w:val="en" w:eastAsia="en-NZ"/>
        </w:rPr>
        <w:t>olds</w:t>
      </w:r>
      <w:proofErr w:type="spellEnd"/>
      <w:proofErr w:type="gramEnd"/>
      <w:r w:rsidRPr="008F0D5D">
        <w:rPr>
          <w:rFonts w:ascii="Arial" w:hAnsi="Arial" w:cs="Arial"/>
          <w:color w:val="000000"/>
          <w:sz w:val="22"/>
          <w:szCs w:val="22"/>
          <w:lang w:val="en" w:eastAsia="en-NZ"/>
        </w:rPr>
        <w:t xml:space="preserve"> (keeping children out of hospital)</w:t>
      </w:r>
    </w:p>
    <w:p w14:paraId="3506BDEA"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acute hospital bed days per capita (using health resources effectively)</w:t>
      </w:r>
    </w:p>
    <w:p w14:paraId="5EB0878F"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Patient experience of care (person-</w:t>
      </w:r>
      <w:proofErr w:type="spellStart"/>
      <w:r w:rsidRPr="008F0D5D">
        <w:rPr>
          <w:rFonts w:ascii="Arial" w:hAnsi="Arial" w:cs="Arial"/>
          <w:color w:val="000000"/>
          <w:sz w:val="22"/>
          <w:szCs w:val="22"/>
          <w:lang w:val="en" w:eastAsia="en-NZ"/>
        </w:rPr>
        <w:t>centred</w:t>
      </w:r>
      <w:proofErr w:type="spellEnd"/>
      <w:r w:rsidRPr="008F0D5D">
        <w:rPr>
          <w:rFonts w:ascii="Arial" w:hAnsi="Arial" w:cs="Arial"/>
          <w:color w:val="000000"/>
          <w:sz w:val="22"/>
          <w:szCs w:val="22"/>
          <w:lang w:val="en" w:eastAsia="en-NZ"/>
        </w:rPr>
        <w:t xml:space="preserve"> care) – this is made up of adult inpatient and primary care patient experience surveys. Further information about the survey, its development and administration, privacy assessment, results of inpatient experience surveys and information for patients, PHOs and practices can be found on the </w:t>
      </w:r>
      <w:hyperlink r:id="rId13" w:tgtFrame="_blank" w:history="1">
        <w:r w:rsidRPr="008F0D5D">
          <w:rPr>
            <w:rFonts w:ascii="Arial" w:hAnsi="Arial" w:cs="Arial"/>
            <w:color w:val="005D85"/>
            <w:sz w:val="22"/>
            <w:szCs w:val="22"/>
            <w:u w:val="single"/>
            <w:lang w:val="en" w:eastAsia="en-NZ"/>
          </w:rPr>
          <w:t>Health Quality &amp; Safety Commission website</w:t>
        </w:r>
      </w:hyperlink>
      <w:r w:rsidRPr="008F0D5D">
        <w:rPr>
          <w:rFonts w:ascii="Arial" w:hAnsi="Arial" w:cs="Arial"/>
          <w:color w:val="000000"/>
          <w:sz w:val="22"/>
          <w:szCs w:val="22"/>
          <w:lang w:val="en" w:eastAsia="en-NZ"/>
        </w:rPr>
        <w:t xml:space="preserve">. The first national report on results from the first year of pilots for the Primary care patient experience survey is also available from the </w:t>
      </w:r>
      <w:hyperlink r:id="rId14" w:tgtFrame="_blank" w:history="1">
        <w:r w:rsidRPr="008F0D5D">
          <w:rPr>
            <w:rFonts w:ascii="Arial" w:hAnsi="Arial" w:cs="Arial"/>
            <w:color w:val="005D85"/>
            <w:sz w:val="22"/>
            <w:szCs w:val="22"/>
            <w:u w:val="single"/>
            <w:lang w:val="en" w:eastAsia="en-NZ"/>
          </w:rPr>
          <w:t>Health Quality and Safety Commission website</w:t>
        </w:r>
      </w:hyperlink>
      <w:r w:rsidRPr="008F0D5D">
        <w:rPr>
          <w:rFonts w:ascii="Arial" w:hAnsi="Arial" w:cs="Arial"/>
          <w:color w:val="000000"/>
          <w:sz w:val="22"/>
          <w:szCs w:val="22"/>
          <w:lang w:val="en" w:eastAsia="en-NZ"/>
        </w:rPr>
        <w:t>.</w:t>
      </w:r>
    </w:p>
    <w:p w14:paraId="354D52B7"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amenable mortality rates (prevention and early detection)</w:t>
      </w:r>
    </w:p>
    <w:p w14:paraId="726B012E"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babies living in smoke-free homes (a healthy start)</w:t>
      </w:r>
    </w:p>
    <w:p w14:paraId="0E194597" w14:textId="77777777" w:rsidR="00544871" w:rsidRPr="008F0D5D" w:rsidRDefault="00544871" w:rsidP="00C04FF1">
      <w:pPr>
        <w:numPr>
          <w:ilvl w:val="0"/>
          <w:numId w:val="83"/>
        </w:numPr>
        <w:tabs>
          <w:tab w:val="num" w:pos="720"/>
        </w:tabs>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 xml:space="preserve">Youth access to and </w:t>
      </w:r>
      <w:proofErr w:type="spellStart"/>
      <w:r w:rsidRPr="008F0D5D">
        <w:rPr>
          <w:rFonts w:ascii="Arial" w:hAnsi="Arial" w:cs="Arial"/>
          <w:color w:val="000000"/>
          <w:sz w:val="22"/>
          <w:szCs w:val="22"/>
          <w:lang w:val="en" w:eastAsia="en-NZ"/>
        </w:rPr>
        <w:t>utilisation</w:t>
      </w:r>
      <w:proofErr w:type="spellEnd"/>
      <w:r w:rsidRPr="008F0D5D">
        <w:rPr>
          <w:rFonts w:ascii="Arial" w:hAnsi="Arial" w:cs="Arial"/>
          <w:color w:val="000000"/>
          <w:sz w:val="22"/>
          <w:szCs w:val="22"/>
          <w:lang w:val="en" w:eastAsia="en-NZ"/>
        </w:rPr>
        <w:t xml:space="preserve"> of youth appropriate health services (youth are healthy, </w:t>
      </w:r>
      <w:proofErr w:type="gramStart"/>
      <w:r w:rsidRPr="008F0D5D">
        <w:rPr>
          <w:rFonts w:ascii="Arial" w:hAnsi="Arial" w:cs="Arial"/>
          <w:color w:val="000000"/>
          <w:sz w:val="22"/>
          <w:szCs w:val="22"/>
          <w:lang w:val="en" w:eastAsia="en-NZ"/>
        </w:rPr>
        <w:t>safe</w:t>
      </w:r>
      <w:proofErr w:type="gramEnd"/>
      <w:r w:rsidRPr="008F0D5D">
        <w:rPr>
          <w:rFonts w:ascii="Arial" w:hAnsi="Arial" w:cs="Arial"/>
          <w:color w:val="000000"/>
          <w:sz w:val="22"/>
          <w:szCs w:val="22"/>
          <w:lang w:val="en" w:eastAsia="en-NZ"/>
        </w:rPr>
        <w:t xml:space="preserve"> and supported). This SLM is made up of five domains with corresponding outcomes and national health indicators. Further information about this SLM, including the youth engagement story board can be found on the </w:t>
      </w:r>
      <w:hyperlink r:id="rId15" w:tgtFrame="_blank" w:history="1">
        <w:r w:rsidRPr="008F0D5D">
          <w:rPr>
            <w:rFonts w:ascii="Arial" w:hAnsi="Arial" w:cs="Arial"/>
            <w:color w:val="005D85"/>
            <w:sz w:val="22"/>
            <w:szCs w:val="22"/>
            <w:u w:val="single"/>
            <w:lang w:val="en" w:eastAsia="en-NZ"/>
          </w:rPr>
          <w:t>Ministry website</w:t>
        </w:r>
      </w:hyperlink>
      <w:hyperlink r:id="rId16" w:tgtFrame="_blank" w:history="1">
        <w:r w:rsidRPr="008F0D5D">
          <w:rPr>
            <w:rFonts w:ascii="Arial" w:hAnsi="Arial" w:cs="Arial"/>
            <w:color w:val="005D85"/>
            <w:sz w:val="22"/>
            <w:szCs w:val="22"/>
            <w:u w:val="single"/>
            <w:lang w:val="en" w:eastAsia="en-NZ"/>
          </w:rPr>
          <w:t>.</w:t>
        </w:r>
      </w:hyperlink>
    </w:p>
    <w:p w14:paraId="7A8F5957" w14:textId="2B7394D8" w:rsidR="00544871" w:rsidRPr="008F0D5D" w:rsidRDefault="009011CF" w:rsidP="008F0D5D">
      <w:pPr>
        <w:spacing w:line="276" w:lineRule="auto"/>
        <w:ind w:left="284"/>
        <w:rPr>
          <w:rFonts w:ascii="Arial" w:hAnsi="Arial" w:cs="Arial"/>
          <w:color w:val="000000"/>
          <w:sz w:val="22"/>
          <w:szCs w:val="22"/>
          <w:lang w:val="en" w:eastAsia="en-NZ"/>
        </w:rPr>
      </w:pPr>
      <w:r w:rsidRPr="008F0D5D">
        <w:rPr>
          <w:rFonts w:ascii="Arial" w:hAnsi="Arial" w:cs="Arial"/>
          <w:color w:val="000000"/>
          <w:sz w:val="22"/>
          <w:szCs w:val="22"/>
          <w:lang w:val="en" w:eastAsia="en-NZ"/>
        </w:rPr>
        <w:t xml:space="preserve">System Level Measures </w:t>
      </w:r>
      <w:proofErr w:type="spellStart"/>
      <w:r w:rsidRPr="008F0D5D">
        <w:rPr>
          <w:rFonts w:ascii="Arial" w:hAnsi="Arial" w:cs="Arial"/>
          <w:color w:val="000000"/>
          <w:sz w:val="22"/>
          <w:szCs w:val="22"/>
          <w:lang w:val="en" w:eastAsia="en-NZ"/>
        </w:rPr>
        <w:t>recognise</w:t>
      </w:r>
      <w:proofErr w:type="spellEnd"/>
      <w:r w:rsidR="00544871" w:rsidRPr="008F0D5D">
        <w:rPr>
          <w:rFonts w:ascii="Arial" w:hAnsi="Arial" w:cs="Arial"/>
          <w:color w:val="000000"/>
          <w:sz w:val="22"/>
          <w:szCs w:val="22"/>
          <w:lang w:val="en" w:eastAsia="en-NZ"/>
        </w:rPr>
        <w:t xml:space="preserve"> that good health outcomes require health system partners to work together. </w:t>
      </w:r>
      <w:proofErr w:type="gramStart"/>
      <w:r w:rsidR="00544871" w:rsidRPr="008F0D5D">
        <w:rPr>
          <w:rFonts w:ascii="Arial" w:hAnsi="Arial" w:cs="Arial"/>
          <w:color w:val="000000"/>
          <w:sz w:val="22"/>
          <w:szCs w:val="22"/>
          <w:lang w:val="en" w:eastAsia="en-NZ"/>
        </w:rPr>
        <w:t>Therefore</w:t>
      </w:r>
      <w:proofErr w:type="gramEnd"/>
      <w:r w:rsidR="00544871" w:rsidRPr="008F0D5D">
        <w:rPr>
          <w:rFonts w:ascii="Arial" w:hAnsi="Arial" w:cs="Arial"/>
          <w:color w:val="000000"/>
          <w:sz w:val="22"/>
          <w:szCs w:val="22"/>
          <w:lang w:val="en" w:eastAsia="en-NZ"/>
        </w:rPr>
        <w:t xml:space="preserve"> the district alliances are responsible for implementing SLMs in their districts.</w:t>
      </w:r>
    </w:p>
    <w:p w14:paraId="6863543E" w14:textId="77777777" w:rsidR="00544871" w:rsidRPr="008F0D5D" w:rsidRDefault="00544871" w:rsidP="00C04FF1">
      <w:pPr>
        <w:numPr>
          <w:ilvl w:val="0"/>
          <w:numId w:val="84"/>
        </w:numPr>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harnessing perspectives from all relevant parts of health system to identify shared vision and key objectives</w:t>
      </w:r>
    </w:p>
    <w:p w14:paraId="45A3AF41" w14:textId="77777777" w:rsidR="00544871" w:rsidRPr="008F0D5D" w:rsidRDefault="00544871" w:rsidP="00C04FF1">
      <w:pPr>
        <w:numPr>
          <w:ilvl w:val="0"/>
          <w:numId w:val="84"/>
        </w:numPr>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applying alliancing principles (way of working)</w:t>
      </w:r>
    </w:p>
    <w:p w14:paraId="33873D8F" w14:textId="77777777" w:rsidR="00544871" w:rsidRPr="008F0D5D" w:rsidRDefault="00544871" w:rsidP="00C04FF1">
      <w:pPr>
        <w:numPr>
          <w:ilvl w:val="0"/>
          <w:numId w:val="84"/>
        </w:numPr>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using SLMs to drive system integration in their districts</w:t>
      </w:r>
    </w:p>
    <w:p w14:paraId="665174D5" w14:textId="77777777" w:rsidR="00544871" w:rsidRPr="008F0D5D" w:rsidRDefault="00544871" w:rsidP="00C04FF1">
      <w:pPr>
        <w:numPr>
          <w:ilvl w:val="0"/>
          <w:numId w:val="84"/>
        </w:numPr>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allocating resources required for the development, implementation, monitoring and reporting of the SLMs</w:t>
      </w:r>
    </w:p>
    <w:p w14:paraId="5DFC0012" w14:textId="77777777" w:rsidR="00544871" w:rsidRPr="008F0D5D" w:rsidRDefault="00544871" w:rsidP="00C04FF1">
      <w:pPr>
        <w:numPr>
          <w:ilvl w:val="0"/>
          <w:numId w:val="84"/>
        </w:numPr>
        <w:spacing w:line="276" w:lineRule="auto"/>
        <w:ind w:left="851"/>
        <w:rPr>
          <w:rFonts w:ascii="Arial" w:hAnsi="Arial" w:cs="Arial"/>
          <w:color w:val="000000"/>
          <w:sz w:val="22"/>
          <w:szCs w:val="22"/>
          <w:lang w:val="en" w:eastAsia="en-NZ"/>
        </w:rPr>
      </w:pPr>
      <w:r w:rsidRPr="008F0D5D">
        <w:rPr>
          <w:rFonts w:ascii="Arial" w:hAnsi="Arial" w:cs="Arial"/>
          <w:color w:val="000000"/>
          <w:sz w:val="22"/>
          <w:szCs w:val="22"/>
          <w:lang w:val="en" w:eastAsia="en-NZ"/>
        </w:rPr>
        <w:t>leading the development of the SLM improvement plan.</w:t>
      </w:r>
    </w:p>
    <w:p w14:paraId="0AAA747E" w14:textId="77777777" w:rsidR="00E707D1" w:rsidRPr="008F0D5D" w:rsidRDefault="00E707D1" w:rsidP="008F0D5D">
      <w:pPr>
        <w:spacing w:line="276" w:lineRule="auto"/>
        <w:ind w:left="284"/>
        <w:rPr>
          <w:rFonts w:ascii="Arial" w:hAnsi="Arial" w:cs="Arial"/>
          <w:bCs/>
          <w:color w:val="000000"/>
          <w:sz w:val="22"/>
          <w:szCs w:val="22"/>
          <w:lang w:val="en" w:eastAsia="en-NZ"/>
        </w:rPr>
      </w:pPr>
    </w:p>
    <w:p w14:paraId="279B9393" w14:textId="03D2B380" w:rsidR="00544871" w:rsidRPr="008F0D5D" w:rsidRDefault="00544871" w:rsidP="008F0D5D">
      <w:pPr>
        <w:spacing w:line="276" w:lineRule="auto"/>
        <w:ind w:left="284"/>
        <w:rPr>
          <w:rFonts w:ascii="Arial" w:hAnsi="Arial" w:cs="Arial"/>
          <w:color w:val="000000"/>
          <w:sz w:val="22"/>
          <w:szCs w:val="22"/>
          <w:lang w:val="en" w:eastAsia="en-NZ"/>
        </w:rPr>
      </w:pPr>
      <w:r w:rsidRPr="008F0D5D">
        <w:rPr>
          <w:rFonts w:ascii="Arial" w:hAnsi="Arial" w:cs="Arial"/>
          <w:bCs/>
          <w:color w:val="000000"/>
          <w:sz w:val="22"/>
          <w:szCs w:val="22"/>
          <w:lang w:val="en" w:eastAsia="en-NZ"/>
        </w:rPr>
        <w:t>DHBs are responsible for submitting the SLM improvement plan and the quarterly reports on behalf of their alliance.</w:t>
      </w:r>
      <w:r w:rsidRPr="008F0D5D">
        <w:rPr>
          <w:rFonts w:ascii="Arial" w:hAnsi="Arial" w:cs="Arial"/>
          <w:sz w:val="22"/>
          <w:szCs w:val="22"/>
        </w:rPr>
        <w:t xml:space="preserve"> These reports are captured through measure PH01: </w:t>
      </w:r>
      <w:r w:rsidRPr="008F0D5D">
        <w:rPr>
          <w:rFonts w:ascii="Arial" w:hAnsi="Arial" w:cs="Arial"/>
          <w:bCs/>
          <w:color w:val="000000"/>
          <w:sz w:val="22"/>
          <w:szCs w:val="22"/>
          <w:lang w:val="en" w:eastAsia="en-NZ"/>
        </w:rPr>
        <w:t>Delivery of actions to improve system integration and SLMs</w:t>
      </w:r>
      <w:r w:rsidR="00352916" w:rsidRPr="008F0D5D">
        <w:rPr>
          <w:rFonts w:ascii="Arial" w:hAnsi="Arial" w:cs="Arial"/>
          <w:bCs/>
          <w:color w:val="000000"/>
          <w:sz w:val="22"/>
          <w:szCs w:val="22"/>
          <w:lang w:val="en" w:eastAsia="en-NZ"/>
        </w:rPr>
        <w:t>.</w:t>
      </w:r>
    </w:p>
    <w:p w14:paraId="242CB4E6" w14:textId="77777777" w:rsidR="00352916" w:rsidRDefault="00352916">
      <w:pPr>
        <w:rPr>
          <w:rFonts w:ascii="Arial" w:hAnsi="Arial" w:cs="Arial"/>
          <w:b/>
          <w:bCs/>
          <w:i/>
          <w:iCs/>
          <w:sz w:val="28"/>
          <w:szCs w:val="28"/>
        </w:rPr>
      </w:pPr>
      <w:r>
        <w:br w:type="page"/>
      </w:r>
    </w:p>
    <w:p w14:paraId="2DA66306" w14:textId="6025C613" w:rsidR="00B44AD8" w:rsidRPr="00B44AD8" w:rsidRDefault="00B44AD8" w:rsidP="00E700FB">
      <w:pPr>
        <w:pStyle w:val="Heading2"/>
      </w:pPr>
      <w:bookmarkStart w:id="265" w:name="_Toc4588522"/>
      <w:bookmarkStart w:id="266" w:name="_Toc4588665"/>
      <w:bookmarkStart w:id="267" w:name="_Toc9591992"/>
      <w:r w:rsidRPr="00B44AD8">
        <w:lastRenderedPageBreak/>
        <w:t>Assessment Criteria/Ratings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5"/>
      <w:bookmarkEnd w:id="266"/>
      <w:bookmarkEnd w:id="267"/>
    </w:p>
    <w:p w14:paraId="75A6D157" w14:textId="77777777" w:rsidR="009011CF" w:rsidRDefault="009011CF" w:rsidP="00B44AD8">
      <w:pPr>
        <w:spacing w:before="60" w:after="60"/>
        <w:jc w:val="both"/>
        <w:rPr>
          <w:rFonts w:ascii="Arial" w:hAnsi="Arial" w:cs="Arial"/>
          <w:sz w:val="22"/>
        </w:rPr>
      </w:pPr>
      <w:r>
        <w:rPr>
          <w:rFonts w:ascii="Arial" w:hAnsi="Arial" w:cs="Arial"/>
          <w:sz w:val="22"/>
        </w:rPr>
        <w:t xml:space="preserve">Reporting by ethnicity is expected for all measures where data can be reliably disaggregated. </w:t>
      </w:r>
    </w:p>
    <w:p w14:paraId="450DD9AD" w14:textId="77777777" w:rsidR="009011CF" w:rsidRDefault="009011CF" w:rsidP="00B44AD8">
      <w:pPr>
        <w:spacing w:before="60" w:after="60"/>
        <w:jc w:val="both"/>
        <w:rPr>
          <w:rFonts w:ascii="Arial" w:hAnsi="Arial" w:cs="Arial"/>
          <w:sz w:val="22"/>
        </w:rPr>
      </w:pPr>
    </w:p>
    <w:p w14:paraId="63319646" w14:textId="64E37DA0" w:rsidR="00B44AD8" w:rsidRPr="00B44AD8" w:rsidRDefault="00B44AD8" w:rsidP="00B44AD8">
      <w:pPr>
        <w:spacing w:before="60" w:after="60"/>
        <w:jc w:val="both"/>
        <w:rPr>
          <w:rFonts w:ascii="Arial" w:hAnsi="Arial" w:cs="Arial"/>
          <w:sz w:val="22"/>
          <w:szCs w:val="22"/>
        </w:rPr>
      </w:pPr>
      <w:r w:rsidRPr="00B44AD8">
        <w:rPr>
          <w:rFonts w:ascii="Arial" w:hAnsi="Arial" w:cs="Arial"/>
          <w:sz w:val="22"/>
        </w:rPr>
        <w:t xml:space="preserve">Unless otherwise stated in the definition of the performance measure, </w:t>
      </w:r>
      <w:r w:rsidRPr="00B44AD8">
        <w:rPr>
          <w:rFonts w:ascii="Arial" w:hAnsi="Arial" w:cs="Arial"/>
          <w:sz w:val="22"/>
          <w:szCs w:val="22"/>
        </w:rPr>
        <w:t>the following performance assessment criteria will apply</w:t>
      </w:r>
      <w:r w:rsidR="009011CF">
        <w:rPr>
          <w:rFonts w:ascii="Arial" w:hAnsi="Arial" w:cs="Arial"/>
          <w:sz w:val="22"/>
          <w:szCs w:val="22"/>
        </w:rPr>
        <w:t xml:space="preserve"> for an overall measure  (please note that where data is able to </w:t>
      </w:r>
      <w:proofErr w:type="gramStart"/>
      <w:r w:rsidR="009011CF">
        <w:rPr>
          <w:rFonts w:ascii="Arial" w:hAnsi="Arial" w:cs="Arial"/>
          <w:sz w:val="22"/>
          <w:szCs w:val="22"/>
        </w:rPr>
        <w:t>disaggregated</w:t>
      </w:r>
      <w:proofErr w:type="gramEnd"/>
      <w:r w:rsidR="009011CF">
        <w:rPr>
          <w:rFonts w:ascii="Arial" w:hAnsi="Arial" w:cs="Arial"/>
          <w:sz w:val="22"/>
          <w:szCs w:val="22"/>
        </w:rPr>
        <w:t xml:space="preserve"> by ethnicity individual assessment by population group against the measure goal will be displayed on DHB performance dashboards)</w:t>
      </w:r>
      <w:r w:rsidRPr="00B44AD8">
        <w:rPr>
          <w:rFonts w:ascii="Arial" w:hAnsi="Arial" w:cs="Arial"/>
          <w:sz w:val="22"/>
          <w:szCs w:val="22"/>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073"/>
        <w:gridCol w:w="8"/>
        <w:gridCol w:w="6479"/>
      </w:tblGrid>
      <w:tr w:rsidR="00B44AD8" w:rsidRPr="00B44AD8" w14:paraId="271E26EB" w14:textId="77777777" w:rsidTr="001E7A70">
        <w:trPr>
          <w:trHeight w:val="607"/>
        </w:trPr>
        <w:tc>
          <w:tcPr>
            <w:tcW w:w="2880" w:type="dxa"/>
            <w:shd w:val="clear" w:color="auto" w:fill="C0C0C0"/>
            <w:vAlign w:val="center"/>
          </w:tcPr>
          <w:p w14:paraId="005EE502" w14:textId="77777777" w:rsidR="00B44AD8" w:rsidRPr="00B44AD8" w:rsidRDefault="00B44AD8" w:rsidP="00B44AD8">
            <w:pPr>
              <w:rPr>
                <w:rFonts w:ascii="Calibri" w:hAnsi="Calibri" w:cs="Arial"/>
                <w:b/>
                <w:bCs/>
                <w:lang w:val="en-GB"/>
              </w:rPr>
            </w:pPr>
            <w:r w:rsidRPr="00B44AD8">
              <w:rPr>
                <w:rFonts w:ascii="Calibri" w:hAnsi="Calibri" w:cs="Arial"/>
                <w:b/>
                <w:bCs/>
                <w:lang w:val="en-GB"/>
              </w:rPr>
              <w:t>Rating</w:t>
            </w:r>
          </w:p>
        </w:tc>
        <w:tc>
          <w:tcPr>
            <w:tcW w:w="1073" w:type="dxa"/>
            <w:shd w:val="clear" w:color="auto" w:fill="C0C0C0"/>
            <w:vAlign w:val="center"/>
          </w:tcPr>
          <w:p w14:paraId="53842E94" w14:textId="77777777" w:rsidR="00B44AD8" w:rsidRPr="00B44AD8" w:rsidRDefault="00B44AD8" w:rsidP="00B44AD8">
            <w:pPr>
              <w:rPr>
                <w:rFonts w:ascii="Calibri" w:hAnsi="Calibri" w:cs="Arial"/>
                <w:b/>
                <w:bCs/>
                <w:lang w:val="en-GB"/>
              </w:rPr>
            </w:pPr>
            <w:r w:rsidRPr="00B44AD8">
              <w:rPr>
                <w:rFonts w:ascii="Calibri" w:hAnsi="Calibri" w:cs="Arial"/>
                <w:b/>
                <w:bCs/>
                <w:lang w:val="en-GB"/>
              </w:rPr>
              <w:t>Abbrev</w:t>
            </w:r>
          </w:p>
        </w:tc>
        <w:tc>
          <w:tcPr>
            <w:tcW w:w="6487" w:type="dxa"/>
            <w:gridSpan w:val="2"/>
            <w:shd w:val="clear" w:color="auto" w:fill="C0C0C0"/>
            <w:vAlign w:val="center"/>
          </w:tcPr>
          <w:p w14:paraId="10FBCE18" w14:textId="1BC696FC" w:rsidR="00B44AD8" w:rsidRPr="00B44AD8" w:rsidRDefault="00B44AD8" w:rsidP="00B44AD8">
            <w:pPr>
              <w:keepNext/>
              <w:autoSpaceDE w:val="0"/>
              <w:outlineLvl w:val="3"/>
              <w:rPr>
                <w:rFonts w:ascii="Calibri" w:hAnsi="Calibri" w:cs="Arial"/>
                <w:b/>
                <w:bCs/>
                <w:lang w:val="en-GB"/>
              </w:rPr>
            </w:pPr>
            <w:r w:rsidRPr="00B44AD8">
              <w:rPr>
                <w:rFonts w:ascii="ZWAdobeF" w:hAnsi="ZWAdobeF" w:cs="ZWAdobeF"/>
                <w:bCs/>
                <w:sz w:val="2"/>
                <w:szCs w:val="2"/>
                <w:lang w:val="en-GB"/>
              </w:rPr>
              <w:t>0</w:t>
            </w:r>
            <w:r w:rsidRPr="00B44AD8">
              <w:rPr>
                <w:rFonts w:ascii="Calibri" w:hAnsi="Calibri" w:cs="Arial"/>
                <w:b/>
                <w:bCs/>
                <w:lang w:val="en-GB"/>
              </w:rPr>
              <w:t>Criteria</w:t>
            </w:r>
            <w:r w:rsidR="00E6795C">
              <w:rPr>
                <w:rFonts w:ascii="Calibri" w:hAnsi="Calibri" w:cs="Arial"/>
                <w:b/>
                <w:bCs/>
                <w:lang w:val="en-GB"/>
              </w:rPr>
              <w:t xml:space="preserve"> </w:t>
            </w:r>
          </w:p>
        </w:tc>
      </w:tr>
      <w:tr w:rsidR="00B44AD8" w:rsidRPr="00B44AD8" w14:paraId="4DEB929F" w14:textId="77777777" w:rsidTr="001E7A70">
        <w:trPr>
          <w:trHeight w:val="890"/>
        </w:trPr>
        <w:tc>
          <w:tcPr>
            <w:tcW w:w="2880" w:type="dxa"/>
          </w:tcPr>
          <w:p w14:paraId="4AC7C1B0" w14:textId="77777777" w:rsidR="00B44AD8" w:rsidRPr="00E6795C" w:rsidRDefault="00B44AD8" w:rsidP="00B44AD8">
            <w:pPr>
              <w:rPr>
                <w:rFonts w:ascii="Calibri" w:hAnsi="Calibri" w:cs="Arial"/>
                <w:b/>
                <w:bCs/>
                <w:sz w:val="20"/>
                <w:szCs w:val="20"/>
                <w:lang w:val="en-GB"/>
              </w:rPr>
            </w:pPr>
            <w:r w:rsidRPr="00E6795C">
              <w:rPr>
                <w:rFonts w:ascii="Calibri" w:hAnsi="Calibri" w:cs="Arial"/>
                <w:b/>
                <w:bCs/>
                <w:sz w:val="20"/>
                <w:szCs w:val="20"/>
                <w:lang w:val="en-GB"/>
              </w:rPr>
              <w:t>Outstanding performer/sector leader</w:t>
            </w:r>
          </w:p>
        </w:tc>
        <w:tc>
          <w:tcPr>
            <w:tcW w:w="1081" w:type="dxa"/>
            <w:gridSpan w:val="2"/>
            <w:tcBorders>
              <w:bottom w:val="single" w:sz="4" w:space="0" w:color="auto"/>
            </w:tcBorders>
            <w:shd w:val="clear" w:color="auto" w:fill="FFFF00"/>
            <w:vAlign w:val="center"/>
          </w:tcPr>
          <w:p w14:paraId="6C5E5F3E" w14:textId="77777777" w:rsidR="00B44AD8" w:rsidRPr="00E6795C" w:rsidRDefault="00B44AD8" w:rsidP="00B44AD8">
            <w:pPr>
              <w:jc w:val="center"/>
              <w:rPr>
                <w:rFonts w:ascii="Calibri" w:hAnsi="Calibri" w:cs="Arial"/>
                <w:b/>
                <w:bCs/>
                <w:sz w:val="20"/>
                <w:szCs w:val="20"/>
                <w:lang w:val="en-GB"/>
              </w:rPr>
            </w:pPr>
            <w:r w:rsidRPr="00E6795C">
              <w:rPr>
                <w:rFonts w:ascii="Calibri" w:hAnsi="Calibri" w:cs="Arial"/>
                <w:b/>
                <w:bCs/>
                <w:sz w:val="20"/>
                <w:szCs w:val="20"/>
                <w:lang w:val="en-GB"/>
              </w:rPr>
              <w:t>O</w:t>
            </w:r>
          </w:p>
        </w:tc>
        <w:tc>
          <w:tcPr>
            <w:tcW w:w="6479" w:type="dxa"/>
          </w:tcPr>
          <w:p w14:paraId="7B78B359" w14:textId="77777777" w:rsidR="00B44AD8" w:rsidRPr="00E6795C" w:rsidRDefault="00B44AD8" w:rsidP="00B44AD8">
            <w:pPr>
              <w:numPr>
                <w:ilvl w:val="0"/>
                <w:numId w:val="4"/>
              </w:numPr>
              <w:rPr>
                <w:rFonts w:ascii="Calibri" w:hAnsi="Calibri" w:cs="Arial"/>
                <w:sz w:val="20"/>
                <w:szCs w:val="20"/>
                <w:lang w:val="en-GB"/>
              </w:rPr>
            </w:pPr>
            <w:r w:rsidRPr="00E6795C">
              <w:rPr>
                <w:rFonts w:ascii="Calibri" w:hAnsi="Calibri" w:cs="Arial"/>
                <w:sz w:val="20"/>
                <w:szCs w:val="20"/>
                <w:lang w:val="en-GB"/>
              </w:rPr>
              <w:t xml:space="preserve">This rating indicates that the DHB achieved a level of performance considerably better than the agreed DHB and/or sector expectations.  </w:t>
            </w:r>
          </w:p>
          <w:p w14:paraId="7687AC58" w14:textId="77777777" w:rsidR="00B44AD8" w:rsidRPr="00E6795C" w:rsidRDefault="00B44AD8" w:rsidP="00B44AD8">
            <w:pPr>
              <w:spacing w:before="60" w:after="60"/>
              <w:jc w:val="both"/>
              <w:rPr>
                <w:rFonts w:ascii="Calibri" w:hAnsi="Calibri" w:cs="Arial"/>
                <w:sz w:val="20"/>
                <w:szCs w:val="20"/>
                <w:lang w:val="en-GB"/>
              </w:rPr>
            </w:pPr>
            <w:r w:rsidRPr="00E6795C">
              <w:rPr>
                <w:rFonts w:ascii="Calibri" w:hAnsi="Calibri" w:cs="Arial"/>
                <w:sz w:val="20"/>
                <w:szCs w:val="20"/>
                <w:lang w:val="en-GB"/>
              </w:rPr>
              <w:t>Note: this rating can only be applied in the fourth quarter for measures that are reported quarterly or six-monthly.  Measures reported annually can receive an ‘O’ rating, irrespective of when the reporting is due.</w:t>
            </w:r>
          </w:p>
        </w:tc>
      </w:tr>
      <w:tr w:rsidR="00B44AD8" w:rsidRPr="00B44AD8" w14:paraId="17FB5AC0" w14:textId="77777777" w:rsidTr="001E7A70">
        <w:tc>
          <w:tcPr>
            <w:tcW w:w="2880" w:type="dxa"/>
          </w:tcPr>
          <w:p w14:paraId="6164B1E8" w14:textId="77777777" w:rsidR="00B44AD8" w:rsidRPr="00E6795C" w:rsidRDefault="00B44AD8" w:rsidP="00B44AD8">
            <w:pPr>
              <w:rPr>
                <w:rFonts w:ascii="Calibri" w:hAnsi="Calibri" w:cs="Arial"/>
                <w:b/>
                <w:bCs/>
                <w:sz w:val="20"/>
                <w:szCs w:val="20"/>
                <w:lang w:val="en-GB"/>
              </w:rPr>
            </w:pPr>
            <w:r w:rsidRPr="00E6795C">
              <w:rPr>
                <w:rFonts w:ascii="Calibri" w:hAnsi="Calibri" w:cs="Arial"/>
                <w:b/>
                <w:bCs/>
                <w:sz w:val="20"/>
                <w:szCs w:val="20"/>
                <w:lang w:val="en-GB"/>
              </w:rPr>
              <w:t>Achieved</w:t>
            </w:r>
          </w:p>
        </w:tc>
        <w:tc>
          <w:tcPr>
            <w:tcW w:w="1081" w:type="dxa"/>
            <w:gridSpan w:val="2"/>
            <w:tcBorders>
              <w:bottom w:val="single" w:sz="4" w:space="0" w:color="auto"/>
            </w:tcBorders>
            <w:shd w:val="clear" w:color="auto" w:fill="00FF00"/>
            <w:vAlign w:val="center"/>
          </w:tcPr>
          <w:p w14:paraId="6F09EA72" w14:textId="77777777" w:rsidR="00B44AD8" w:rsidRPr="00E6795C" w:rsidRDefault="00B44AD8" w:rsidP="00B44AD8">
            <w:pPr>
              <w:jc w:val="center"/>
              <w:rPr>
                <w:rFonts w:ascii="Calibri" w:hAnsi="Calibri" w:cs="Arial"/>
                <w:b/>
                <w:bCs/>
                <w:sz w:val="20"/>
                <w:szCs w:val="20"/>
                <w:lang w:val="en-GB"/>
              </w:rPr>
            </w:pPr>
            <w:r w:rsidRPr="00E6795C">
              <w:rPr>
                <w:rFonts w:ascii="Calibri" w:hAnsi="Calibri" w:cs="Arial"/>
                <w:b/>
                <w:bCs/>
                <w:sz w:val="20"/>
                <w:szCs w:val="20"/>
                <w:lang w:val="en-GB"/>
              </w:rPr>
              <w:t>A</w:t>
            </w:r>
          </w:p>
        </w:tc>
        <w:tc>
          <w:tcPr>
            <w:tcW w:w="6479" w:type="dxa"/>
          </w:tcPr>
          <w:p w14:paraId="6A73F718" w14:textId="77777777" w:rsidR="00B44AD8" w:rsidRPr="00E6795C" w:rsidRDefault="00B44AD8" w:rsidP="00B44AD8">
            <w:pPr>
              <w:numPr>
                <w:ilvl w:val="0"/>
                <w:numId w:val="5"/>
              </w:numPr>
              <w:spacing w:before="60" w:after="60"/>
              <w:jc w:val="both"/>
              <w:rPr>
                <w:rFonts w:ascii="Calibri" w:hAnsi="Calibri" w:cs="Arial"/>
                <w:sz w:val="20"/>
                <w:szCs w:val="20"/>
                <w:lang w:val="en-GB"/>
              </w:rPr>
            </w:pPr>
            <w:r w:rsidRPr="00E6795C">
              <w:rPr>
                <w:rFonts w:ascii="Calibri" w:hAnsi="Calibri" w:cs="Arial"/>
                <w:sz w:val="20"/>
                <w:szCs w:val="20"/>
                <w:lang w:val="en-GB"/>
              </w:rPr>
              <w:t>Deliverable demonstrates targets / expectations have been met in full.</w:t>
            </w:r>
          </w:p>
          <w:p w14:paraId="7DDB5245" w14:textId="77777777" w:rsidR="00B44AD8" w:rsidRPr="00E6795C" w:rsidRDefault="00B44AD8" w:rsidP="00B44AD8">
            <w:pPr>
              <w:numPr>
                <w:ilvl w:val="0"/>
                <w:numId w:val="5"/>
              </w:numPr>
              <w:spacing w:before="60" w:after="60"/>
              <w:jc w:val="both"/>
              <w:rPr>
                <w:rFonts w:ascii="Calibri" w:hAnsi="Calibri" w:cs="Arial"/>
                <w:sz w:val="20"/>
                <w:szCs w:val="20"/>
                <w:lang w:val="en-GB"/>
              </w:rPr>
            </w:pPr>
            <w:r w:rsidRPr="00E6795C">
              <w:rPr>
                <w:rFonts w:ascii="Calibri" w:hAnsi="Calibri" w:cs="Arial"/>
                <w:sz w:val="20"/>
                <w:szCs w:val="20"/>
                <w:lang w:val="en-GB"/>
              </w:rPr>
              <w:t>In the case of deliverables with multiple requirements, all requirements are met.</w:t>
            </w:r>
          </w:p>
          <w:p w14:paraId="61F01940" w14:textId="30CDF536" w:rsidR="00B44AD8" w:rsidRPr="00E6795C" w:rsidRDefault="009B22D2" w:rsidP="00B44AD8">
            <w:pPr>
              <w:numPr>
                <w:ilvl w:val="0"/>
                <w:numId w:val="5"/>
              </w:numPr>
              <w:rPr>
                <w:rFonts w:ascii="Calibri" w:hAnsi="Calibri" w:cs="Arial"/>
                <w:color w:val="FF0000"/>
                <w:sz w:val="20"/>
                <w:szCs w:val="20"/>
                <w:lang w:val="en-GB"/>
              </w:rPr>
            </w:pPr>
            <w:r w:rsidRPr="009B22D2">
              <w:rPr>
                <w:rFonts w:ascii="Calibri" w:hAnsi="Calibri" w:cs="Arial"/>
                <w:b/>
                <w:color w:val="FF0000"/>
                <w:sz w:val="20"/>
                <w:szCs w:val="20"/>
                <w:lang w:val="en-GB"/>
              </w:rPr>
              <w:t>Important note</w:t>
            </w:r>
            <w:r>
              <w:rPr>
                <w:rFonts w:ascii="Calibri" w:hAnsi="Calibri" w:cs="Arial"/>
                <w:color w:val="FF0000"/>
                <w:sz w:val="20"/>
                <w:szCs w:val="20"/>
                <w:lang w:val="en-GB"/>
              </w:rPr>
              <w:t xml:space="preserve"> </w:t>
            </w:r>
            <w:proofErr w:type="gramStart"/>
            <w:r w:rsidR="00EC34CE" w:rsidRPr="00E6795C">
              <w:rPr>
                <w:rFonts w:ascii="Calibri" w:hAnsi="Calibri" w:cs="Arial"/>
                <w:color w:val="FF0000"/>
                <w:sz w:val="20"/>
                <w:szCs w:val="20"/>
                <w:lang w:val="en-GB"/>
              </w:rPr>
              <w:t>For</w:t>
            </w:r>
            <w:proofErr w:type="gramEnd"/>
            <w:r w:rsidR="00EC34CE" w:rsidRPr="00E6795C">
              <w:rPr>
                <w:rFonts w:ascii="Calibri" w:hAnsi="Calibri" w:cs="Arial"/>
                <w:color w:val="FF0000"/>
                <w:sz w:val="20"/>
                <w:szCs w:val="20"/>
                <w:lang w:val="en-GB"/>
              </w:rPr>
              <w:t xml:space="preserve"> those measures where reporting by ethnicity is expected</w:t>
            </w:r>
            <w:r w:rsidR="00B44AD8" w:rsidRPr="00E6795C">
              <w:rPr>
                <w:rFonts w:ascii="Calibri" w:hAnsi="Calibri" w:cs="Arial"/>
                <w:color w:val="FF0000"/>
                <w:sz w:val="20"/>
                <w:szCs w:val="20"/>
                <w:lang w:val="en-GB"/>
              </w:rPr>
              <w:t xml:space="preserve">, </w:t>
            </w:r>
            <w:r w:rsidR="009011CF">
              <w:rPr>
                <w:rFonts w:ascii="Calibri" w:hAnsi="Calibri" w:cs="Arial"/>
                <w:color w:val="FF0000"/>
                <w:sz w:val="20"/>
                <w:szCs w:val="20"/>
                <w:lang w:val="en-GB"/>
              </w:rPr>
              <w:t>individual assessments by population group against  the measure goal will be displayed on DHB performance dashboards</w:t>
            </w:r>
            <w:r>
              <w:rPr>
                <w:rFonts w:ascii="Calibri" w:hAnsi="Calibri" w:cs="Arial"/>
                <w:color w:val="FF0000"/>
                <w:sz w:val="20"/>
                <w:szCs w:val="20"/>
                <w:lang w:val="en-GB"/>
              </w:rPr>
              <w:t xml:space="preserve"> for Total, </w:t>
            </w:r>
            <w:r w:rsidR="00B44AD8" w:rsidRPr="00E6795C">
              <w:rPr>
                <w:rFonts w:ascii="Calibri" w:hAnsi="Calibri" w:cs="Arial"/>
                <w:color w:val="FF0000"/>
                <w:sz w:val="20"/>
                <w:szCs w:val="20"/>
                <w:lang w:val="en-GB"/>
              </w:rPr>
              <w:t>Maori</w:t>
            </w:r>
            <w:r w:rsidR="00F042AD">
              <w:rPr>
                <w:rFonts w:ascii="Calibri" w:hAnsi="Calibri" w:cs="Arial"/>
                <w:color w:val="FF0000"/>
                <w:sz w:val="20"/>
                <w:szCs w:val="20"/>
                <w:lang w:val="en-GB"/>
              </w:rPr>
              <w:t>,</w:t>
            </w:r>
            <w:r w:rsidR="00B44AD8" w:rsidRPr="00E6795C">
              <w:rPr>
                <w:rFonts w:ascii="Calibri" w:hAnsi="Calibri" w:cs="Arial"/>
                <w:color w:val="FF0000"/>
                <w:sz w:val="20"/>
                <w:szCs w:val="20"/>
                <w:lang w:val="en-GB"/>
              </w:rPr>
              <w:t xml:space="preserve"> Pacific </w:t>
            </w:r>
            <w:r>
              <w:rPr>
                <w:rFonts w:ascii="Calibri" w:hAnsi="Calibri" w:cs="Arial"/>
                <w:color w:val="FF0000"/>
                <w:sz w:val="20"/>
                <w:szCs w:val="20"/>
                <w:lang w:val="en-GB"/>
              </w:rPr>
              <w:t xml:space="preserve">and Other </w:t>
            </w:r>
            <w:r w:rsidR="00B44AD8" w:rsidRPr="00E6795C">
              <w:rPr>
                <w:rFonts w:ascii="Calibri" w:hAnsi="Calibri" w:cs="Arial"/>
                <w:color w:val="FF0000"/>
                <w:sz w:val="20"/>
                <w:szCs w:val="20"/>
                <w:lang w:val="en-GB"/>
              </w:rPr>
              <w:t>population group</w:t>
            </w:r>
            <w:r>
              <w:rPr>
                <w:rFonts w:ascii="Calibri" w:hAnsi="Calibri" w:cs="Arial"/>
                <w:color w:val="FF0000"/>
                <w:sz w:val="20"/>
                <w:szCs w:val="20"/>
                <w:lang w:val="en-GB"/>
              </w:rPr>
              <w:t>s</w:t>
            </w:r>
            <w:r w:rsidR="00926CF7">
              <w:rPr>
                <w:rFonts w:ascii="Calibri" w:hAnsi="Calibri" w:cs="Arial"/>
                <w:color w:val="FF0000"/>
                <w:sz w:val="20"/>
                <w:szCs w:val="20"/>
                <w:lang w:val="en-GB"/>
              </w:rPr>
              <w:t xml:space="preserve"> – in all case</w:t>
            </w:r>
            <w:r w:rsidR="00572E22">
              <w:rPr>
                <w:rFonts w:ascii="Calibri" w:hAnsi="Calibri" w:cs="Arial"/>
                <w:color w:val="FF0000"/>
                <w:sz w:val="20"/>
                <w:szCs w:val="20"/>
                <w:lang w:val="en-GB"/>
              </w:rPr>
              <w:t xml:space="preserve">s where reporting by ethnicity is expected </w:t>
            </w:r>
            <w:r w:rsidR="00926CF7">
              <w:rPr>
                <w:rFonts w:ascii="Calibri" w:hAnsi="Calibri" w:cs="Arial"/>
                <w:color w:val="FF0000"/>
                <w:sz w:val="20"/>
                <w:szCs w:val="20"/>
                <w:lang w:val="en-GB"/>
              </w:rPr>
              <w:t xml:space="preserve"> a resolution plan must be provided if the measure goal is not met for Maori and Pacific populations (Pacific DHBs).</w:t>
            </w:r>
          </w:p>
          <w:p w14:paraId="53059393" w14:textId="77777777" w:rsidR="00B44AD8" w:rsidRPr="00E6795C" w:rsidRDefault="00B44AD8" w:rsidP="001A4387">
            <w:pPr>
              <w:numPr>
                <w:ilvl w:val="0"/>
                <w:numId w:val="5"/>
              </w:numPr>
              <w:spacing w:before="60" w:after="60"/>
              <w:jc w:val="both"/>
              <w:rPr>
                <w:rFonts w:ascii="Calibri" w:hAnsi="Calibri" w:cs="Arial"/>
                <w:sz w:val="20"/>
                <w:szCs w:val="20"/>
                <w:lang w:val="en-GB"/>
              </w:rPr>
            </w:pPr>
            <w:r w:rsidRPr="00E6795C">
              <w:rPr>
                <w:rFonts w:ascii="Calibri" w:hAnsi="Calibri" w:cs="Arial"/>
                <w:sz w:val="20"/>
                <w:szCs w:val="20"/>
                <w:lang w:val="en-GB"/>
              </w:rPr>
              <w:t>Data, or a report confirming expectations have been met, has been provided through a mechanism outside the Quarterly Reporting process, and the assessor can confirm.</w:t>
            </w:r>
          </w:p>
        </w:tc>
      </w:tr>
      <w:tr w:rsidR="00B44AD8" w:rsidRPr="00B44AD8" w14:paraId="5F4ADC73" w14:textId="77777777" w:rsidTr="001E7A70">
        <w:tc>
          <w:tcPr>
            <w:tcW w:w="2880" w:type="dxa"/>
          </w:tcPr>
          <w:p w14:paraId="20D54441" w14:textId="77777777" w:rsidR="00B44AD8" w:rsidRPr="00E6795C" w:rsidRDefault="00B44AD8" w:rsidP="00B44AD8">
            <w:pPr>
              <w:rPr>
                <w:rFonts w:ascii="Calibri" w:hAnsi="Calibri" w:cs="Arial"/>
                <w:b/>
                <w:bCs/>
                <w:sz w:val="20"/>
                <w:szCs w:val="20"/>
                <w:lang w:val="en-GB"/>
              </w:rPr>
            </w:pPr>
            <w:r w:rsidRPr="00E6795C">
              <w:rPr>
                <w:rFonts w:ascii="Calibri" w:hAnsi="Calibri" w:cs="Arial"/>
                <w:b/>
                <w:bCs/>
                <w:sz w:val="20"/>
                <w:szCs w:val="20"/>
                <w:lang w:val="en-GB"/>
              </w:rPr>
              <w:t>Partial achievement</w:t>
            </w:r>
          </w:p>
        </w:tc>
        <w:tc>
          <w:tcPr>
            <w:tcW w:w="1081" w:type="dxa"/>
            <w:gridSpan w:val="2"/>
            <w:tcBorders>
              <w:bottom w:val="single" w:sz="4" w:space="0" w:color="auto"/>
            </w:tcBorders>
            <w:shd w:val="clear" w:color="auto" w:fill="FF9900"/>
            <w:vAlign w:val="center"/>
          </w:tcPr>
          <w:p w14:paraId="30A8368C" w14:textId="77777777" w:rsidR="00B44AD8" w:rsidRPr="00E6795C" w:rsidRDefault="00B44AD8" w:rsidP="00B44AD8">
            <w:pPr>
              <w:jc w:val="center"/>
              <w:rPr>
                <w:rFonts w:ascii="Calibri" w:hAnsi="Calibri" w:cs="Arial"/>
                <w:b/>
                <w:bCs/>
                <w:sz w:val="20"/>
                <w:szCs w:val="20"/>
                <w:lang w:val="en-GB"/>
              </w:rPr>
            </w:pPr>
            <w:r w:rsidRPr="00E6795C">
              <w:rPr>
                <w:rFonts w:ascii="Calibri" w:hAnsi="Calibri" w:cs="Arial"/>
                <w:b/>
                <w:bCs/>
                <w:sz w:val="20"/>
                <w:szCs w:val="20"/>
                <w:lang w:val="en-GB"/>
              </w:rPr>
              <w:t>P</w:t>
            </w:r>
          </w:p>
        </w:tc>
        <w:tc>
          <w:tcPr>
            <w:tcW w:w="6479" w:type="dxa"/>
          </w:tcPr>
          <w:p w14:paraId="404176E5" w14:textId="3D9F778A" w:rsidR="00B44AD8" w:rsidRPr="00E6795C" w:rsidRDefault="00B44AD8" w:rsidP="00B44AD8">
            <w:pPr>
              <w:numPr>
                <w:ilvl w:val="0"/>
                <w:numId w:val="6"/>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Target/expectation not fully met, (including not meeting expectations for Maori and Pacific population groups</w:t>
            </w:r>
            <w:r w:rsidR="00857D27" w:rsidRPr="00E6795C">
              <w:rPr>
                <w:rFonts w:ascii="Calibri" w:hAnsi="Calibri" w:cs="Arial"/>
                <w:sz w:val="20"/>
                <w:szCs w:val="20"/>
                <w:lang w:val="en-GB"/>
              </w:rPr>
              <w:t xml:space="preserve"> or other specified equity gaps</w:t>
            </w:r>
            <w:r w:rsidRPr="00E6795C">
              <w:rPr>
                <w:rFonts w:ascii="Calibri" w:hAnsi="Calibri" w:cs="Arial"/>
                <w:sz w:val="20"/>
                <w:szCs w:val="20"/>
                <w:lang w:val="en-GB"/>
              </w:rPr>
              <w:t xml:space="preserve">) </w:t>
            </w:r>
            <w:r w:rsidR="00EC34CE" w:rsidRPr="00E6795C">
              <w:rPr>
                <w:rFonts w:ascii="Calibri" w:hAnsi="Calibri" w:cs="Arial"/>
                <w:sz w:val="20"/>
                <w:szCs w:val="20"/>
                <w:lang w:val="en-GB"/>
              </w:rPr>
              <w:t xml:space="preserve">and </w:t>
            </w:r>
            <w:r w:rsidRPr="00E6795C">
              <w:rPr>
                <w:rFonts w:ascii="Calibri" w:hAnsi="Calibri" w:cs="Arial"/>
                <w:sz w:val="20"/>
                <w:szCs w:val="20"/>
                <w:lang w:val="en-GB"/>
              </w:rPr>
              <w:t>the resolution plan satisfies the assessor that the DHB is on track to compliance</w:t>
            </w:r>
            <w:r w:rsidR="00E6795C" w:rsidRPr="00E6795C">
              <w:rPr>
                <w:rFonts w:ascii="Calibri" w:hAnsi="Calibri" w:cs="Arial"/>
                <w:sz w:val="20"/>
                <w:szCs w:val="20"/>
                <w:lang w:val="en-GB"/>
              </w:rPr>
              <w:t xml:space="preserve"> in the year the assessment applies to</w:t>
            </w:r>
            <w:r w:rsidRPr="00E6795C">
              <w:rPr>
                <w:rFonts w:ascii="Calibri" w:hAnsi="Calibri" w:cs="Arial"/>
                <w:sz w:val="20"/>
                <w:szCs w:val="20"/>
                <w:lang w:val="en-GB"/>
              </w:rPr>
              <w:t>.</w:t>
            </w:r>
          </w:p>
          <w:p w14:paraId="2A7B0775" w14:textId="77777777" w:rsidR="00B44AD8" w:rsidRPr="00E6795C" w:rsidRDefault="00B44AD8" w:rsidP="00B44AD8">
            <w:pPr>
              <w:numPr>
                <w:ilvl w:val="0"/>
                <w:numId w:val="6"/>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A deliverable has been received, but some clarification is required.</w:t>
            </w:r>
          </w:p>
          <w:p w14:paraId="4CD9EC4B" w14:textId="2172667F" w:rsidR="00B44AD8" w:rsidRPr="00E6795C" w:rsidRDefault="00B44AD8" w:rsidP="00EC34CE">
            <w:pPr>
              <w:numPr>
                <w:ilvl w:val="0"/>
                <w:numId w:val="6"/>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In the case of deliverables with multi-requirements, where all requirements have not been met at least 50% of the requirements have been achieved</w:t>
            </w:r>
            <w:r w:rsidR="00EC34CE" w:rsidRPr="00E6795C">
              <w:rPr>
                <w:rFonts w:ascii="Calibri" w:hAnsi="Calibri" w:cs="Arial"/>
                <w:sz w:val="20"/>
                <w:szCs w:val="20"/>
                <w:lang w:val="en-GB"/>
              </w:rPr>
              <w:t>,</w:t>
            </w:r>
            <w:r w:rsidR="00EC34CE" w:rsidRPr="00E6795C">
              <w:rPr>
                <w:sz w:val="20"/>
                <w:szCs w:val="20"/>
              </w:rPr>
              <w:t xml:space="preserve"> </w:t>
            </w:r>
            <w:r w:rsidR="00EC34CE" w:rsidRPr="00E6795C">
              <w:rPr>
                <w:rFonts w:ascii="Calibri" w:hAnsi="Calibri" w:cs="Arial"/>
                <w:sz w:val="20"/>
                <w:szCs w:val="20"/>
                <w:lang w:val="en-GB"/>
              </w:rPr>
              <w:t xml:space="preserve">and a resolution plan satisfies the assessor that the DHB is on track to compliance for the requirements not met. </w:t>
            </w:r>
          </w:p>
        </w:tc>
      </w:tr>
      <w:tr w:rsidR="00B44AD8" w:rsidRPr="00B44AD8" w14:paraId="327296DA" w14:textId="77777777" w:rsidTr="001E7A70">
        <w:trPr>
          <w:trHeight w:val="2359"/>
        </w:trPr>
        <w:tc>
          <w:tcPr>
            <w:tcW w:w="2880" w:type="dxa"/>
          </w:tcPr>
          <w:p w14:paraId="55F8147F" w14:textId="77777777" w:rsidR="00B44AD8" w:rsidRPr="00E6795C" w:rsidRDefault="00B44AD8" w:rsidP="00B44AD8">
            <w:pPr>
              <w:rPr>
                <w:rFonts w:ascii="Calibri" w:hAnsi="Calibri" w:cs="Arial"/>
                <w:b/>
                <w:bCs/>
                <w:sz w:val="20"/>
                <w:szCs w:val="20"/>
                <w:lang w:val="en-GB"/>
              </w:rPr>
            </w:pPr>
            <w:r w:rsidRPr="00E6795C">
              <w:rPr>
                <w:rFonts w:ascii="Calibri" w:hAnsi="Calibri" w:cs="Arial"/>
                <w:b/>
                <w:bCs/>
                <w:sz w:val="20"/>
                <w:szCs w:val="20"/>
                <w:lang w:val="en-GB"/>
              </w:rPr>
              <w:t xml:space="preserve">Not achieved </w:t>
            </w:r>
          </w:p>
          <w:p w14:paraId="29373B7B" w14:textId="77777777" w:rsidR="00B44AD8" w:rsidRPr="00E6795C" w:rsidRDefault="00B44AD8" w:rsidP="00B44AD8">
            <w:pPr>
              <w:rPr>
                <w:rFonts w:ascii="Calibri" w:hAnsi="Calibri" w:cs="Arial"/>
                <w:b/>
                <w:bCs/>
                <w:sz w:val="20"/>
                <w:szCs w:val="20"/>
                <w:lang w:val="en-GB"/>
              </w:rPr>
            </w:pPr>
            <w:r w:rsidRPr="00E6795C">
              <w:rPr>
                <w:rFonts w:ascii="Calibri" w:hAnsi="Calibri" w:cs="Arial"/>
                <w:b/>
                <w:bCs/>
                <w:sz w:val="20"/>
                <w:szCs w:val="20"/>
                <w:lang w:val="en-GB"/>
              </w:rPr>
              <w:t>– escalation required</w:t>
            </w:r>
          </w:p>
        </w:tc>
        <w:tc>
          <w:tcPr>
            <w:tcW w:w="1081" w:type="dxa"/>
            <w:gridSpan w:val="2"/>
            <w:tcBorders>
              <w:bottom w:val="single" w:sz="4" w:space="0" w:color="auto"/>
            </w:tcBorders>
            <w:shd w:val="clear" w:color="auto" w:fill="FF0000"/>
            <w:vAlign w:val="center"/>
          </w:tcPr>
          <w:p w14:paraId="46F1B460" w14:textId="77777777" w:rsidR="00B44AD8" w:rsidRPr="00E6795C" w:rsidRDefault="00B44AD8" w:rsidP="00B44AD8">
            <w:pPr>
              <w:jc w:val="center"/>
              <w:rPr>
                <w:rFonts w:ascii="Calibri" w:hAnsi="Calibri" w:cs="Arial"/>
                <w:b/>
                <w:bCs/>
                <w:sz w:val="20"/>
                <w:szCs w:val="20"/>
                <w:lang w:val="en-GB"/>
              </w:rPr>
            </w:pPr>
            <w:r w:rsidRPr="00E6795C">
              <w:rPr>
                <w:rFonts w:ascii="Calibri" w:hAnsi="Calibri" w:cs="Arial"/>
                <w:b/>
                <w:bCs/>
                <w:sz w:val="20"/>
                <w:szCs w:val="20"/>
                <w:lang w:val="en-GB"/>
              </w:rPr>
              <w:t>N</w:t>
            </w:r>
          </w:p>
        </w:tc>
        <w:tc>
          <w:tcPr>
            <w:tcW w:w="6479" w:type="dxa"/>
          </w:tcPr>
          <w:p w14:paraId="41A1A6C9"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The deliverable is not met.</w:t>
            </w:r>
          </w:p>
          <w:p w14:paraId="718833AD"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There is no resolution plan if deliverable indicates non-compliance.</w:t>
            </w:r>
          </w:p>
          <w:p w14:paraId="113358B4"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A resolution plan is included, but it is significantly deficient.</w:t>
            </w:r>
          </w:p>
          <w:p w14:paraId="79DEB7BF"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A report is provided, but it does not answer the criteria of the performance indicator.</w:t>
            </w:r>
          </w:p>
          <w:p w14:paraId="703C09BA"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 xml:space="preserve">There are significant gaps in delivery. </w:t>
            </w:r>
          </w:p>
          <w:p w14:paraId="4A4E21C6" w14:textId="77777777" w:rsidR="00B44AD8" w:rsidRPr="00E6795C" w:rsidRDefault="00B44AD8" w:rsidP="00B44AD8">
            <w:pPr>
              <w:numPr>
                <w:ilvl w:val="0"/>
                <w:numId w:val="7"/>
              </w:numPr>
              <w:tabs>
                <w:tab w:val="left" w:pos="431"/>
              </w:tabs>
              <w:spacing w:before="60" w:after="60"/>
              <w:jc w:val="both"/>
              <w:rPr>
                <w:rFonts w:ascii="Calibri" w:hAnsi="Calibri" w:cs="Arial"/>
                <w:sz w:val="20"/>
                <w:szCs w:val="20"/>
                <w:lang w:val="en-GB"/>
              </w:rPr>
            </w:pPr>
            <w:r w:rsidRPr="00E6795C">
              <w:rPr>
                <w:rFonts w:ascii="Calibri" w:hAnsi="Calibri" w:cs="Arial"/>
                <w:sz w:val="20"/>
                <w:szCs w:val="20"/>
                <w:lang w:val="en-GB"/>
              </w:rPr>
              <w:t>It cannot be confirmed that data or a report has been provided through channels other than the quarterly process.</w:t>
            </w:r>
          </w:p>
        </w:tc>
      </w:tr>
    </w:tbl>
    <w:p w14:paraId="57FA853F" w14:textId="77777777" w:rsidR="008C74DC" w:rsidRDefault="008C74DC">
      <w:pPr>
        <w:rPr>
          <w:rFonts w:ascii="Arial" w:hAnsi="Arial" w:cs="Arial"/>
          <w:b/>
          <w:i/>
        </w:rPr>
      </w:pPr>
      <w:r>
        <w:rPr>
          <w:rFonts w:ascii="Arial" w:hAnsi="Arial" w:cs="Arial"/>
          <w:b/>
          <w:i/>
        </w:rPr>
        <w:br w:type="page"/>
      </w:r>
    </w:p>
    <w:p w14:paraId="1D923907" w14:textId="77777777" w:rsidR="00B116B8" w:rsidRPr="00B116B8" w:rsidRDefault="00B116B8" w:rsidP="00663810">
      <w:pPr>
        <w:pStyle w:val="Heading2"/>
      </w:pPr>
      <w:bookmarkStart w:id="268" w:name="_Toc340489534"/>
      <w:bookmarkStart w:id="269" w:name="_Toc340490133"/>
      <w:bookmarkStart w:id="270" w:name="_Toc342381804"/>
      <w:bookmarkStart w:id="271" w:name="_Toc342981957"/>
      <w:bookmarkStart w:id="272" w:name="_Toc343768781"/>
      <w:bookmarkStart w:id="273" w:name="_Toc343769027"/>
      <w:bookmarkStart w:id="274" w:name="_Toc343769118"/>
      <w:bookmarkStart w:id="275" w:name="_Toc343774691"/>
      <w:bookmarkStart w:id="276" w:name="_Toc348337559"/>
      <w:bookmarkStart w:id="277" w:name="_Toc348339224"/>
      <w:bookmarkStart w:id="278" w:name="_Toc349305948"/>
      <w:bookmarkStart w:id="279" w:name="_Toc350510630"/>
      <w:bookmarkStart w:id="280" w:name="_Toc356565140"/>
      <w:bookmarkStart w:id="281" w:name="_Toc368315709"/>
      <w:bookmarkStart w:id="282" w:name="_Toc386712806"/>
      <w:bookmarkStart w:id="283" w:name="_Toc401310849"/>
      <w:bookmarkStart w:id="284" w:name="_Toc401311013"/>
      <w:bookmarkStart w:id="285" w:name="_Toc406138445"/>
      <w:bookmarkStart w:id="286" w:name="_Toc406142843"/>
      <w:bookmarkStart w:id="287" w:name="_Toc433707232"/>
      <w:bookmarkStart w:id="288" w:name="_Toc433707939"/>
      <w:bookmarkStart w:id="289" w:name="_Toc433708751"/>
      <w:bookmarkStart w:id="290" w:name="_Toc444243208"/>
      <w:bookmarkStart w:id="291" w:name="_Toc448753679"/>
      <w:bookmarkStart w:id="292" w:name="_Toc461709126"/>
      <w:bookmarkStart w:id="293" w:name="_Toc491938838"/>
      <w:bookmarkStart w:id="294" w:name="_Toc513555919"/>
      <w:r w:rsidRPr="00B116B8">
        <w:lastRenderedPageBreak/>
        <w:t>Outcome priority: We have health equity for Maori and other groups</w:t>
      </w:r>
    </w:p>
    <w:p w14:paraId="0DA2959E" w14:textId="77777777" w:rsidR="00B116B8" w:rsidRPr="00B116B8" w:rsidRDefault="00B116B8" w:rsidP="00663810">
      <w:pPr>
        <w:pStyle w:val="Heading2"/>
      </w:pPr>
      <w:bookmarkStart w:id="295" w:name="_Toc4588523"/>
      <w:bookmarkStart w:id="296" w:name="_Toc9591993"/>
      <w:r w:rsidRPr="00B116B8">
        <w:t>Improving child wellbeing CW01: Children caries-free at five years of age</w:t>
      </w:r>
      <w:bookmarkEnd w:id="295"/>
      <w:bookmarkEnd w:id="296"/>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B116B8" w:rsidRPr="00B116B8" w14:paraId="44280D3D" w14:textId="77777777" w:rsidTr="00D21813">
        <w:tc>
          <w:tcPr>
            <w:tcW w:w="10094" w:type="dxa"/>
            <w:gridSpan w:val="2"/>
            <w:shd w:val="clear" w:color="auto" w:fill="D9D9D9"/>
          </w:tcPr>
          <w:p w14:paraId="31527A3C" w14:textId="77777777" w:rsidR="00B116B8" w:rsidRPr="00B116B8" w:rsidRDefault="00B116B8" w:rsidP="00B116B8">
            <w:pPr>
              <w:shd w:val="clear" w:color="auto" w:fill="FFFFFF"/>
              <w:spacing w:before="60" w:after="60"/>
              <w:jc w:val="center"/>
              <w:rPr>
                <w:rFonts w:ascii="Arial" w:hAnsi="Arial" w:cs="Arial"/>
                <w:b/>
                <w:sz w:val="22"/>
                <w:szCs w:val="22"/>
              </w:rPr>
            </w:pPr>
            <w:r w:rsidRPr="00B116B8">
              <w:rPr>
                <w:rFonts w:ascii="Arial" w:hAnsi="Arial" w:cs="Arial"/>
                <w:b/>
                <w:sz w:val="22"/>
                <w:szCs w:val="22"/>
              </w:rPr>
              <w:t>Summary information</w:t>
            </w:r>
          </w:p>
        </w:tc>
      </w:tr>
      <w:tr w:rsidR="00B116B8" w:rsidRPr="00B116B8" w14:paraId="1EDBA6F0" w14:textId="77777777" w:rsidTr="00D21813">
        <w:tc>
          <w:tcPr>
            <w:tcW w:w="2864" w:type="dxa"/>
            <w:shd w:val="clear" w:color="auto" w:fill="auto"/>
          </w:tcPr>
          <w:p w14:paraId="4F90B4E7"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Target/performance expectation</w:t>
            </w:r>
          </w:p>
        </w:tc>
        <w:tc>
          <w:tcPr>
            <w:tcW w:w="7230" w:type="dxa"/>
            <w:shd w:val="clear" w:color="auto" w:fill="auto"/>
          </w:tcPr>
          <w:p w14:paraId="7D78D04A" w14:textId="77777777" w:rsidR="00B116B8" w:rsidRPr="00B116B8" w:rsidRDefault="00B116B8" w:rsidP="00B116B8">
            <w:pPr>
              <w:shd w:val="clear" w:color="auto" w:fill="FFFFFF"/>
              <w:spacing w:before="60" w:after="60"/>
              <w:jc w:val="both"/>
              <w:rPr>
                <w:rFonts w:ascii="Arial" w:hAnsi="Arial" w:cs="Arial"/>
                <w:b/>
                <w:i/>
                <w:sz w:val="20"/>
                <w:szCs w:val="20"/>
              </w:rPr>
            </w:pPr>
            <w:r w:rsidRPr="00B116B8">
              <w:rPr>
                <w:rFonts w:ascii="Arial" w:hAnsi="Arial" w:cs="Arial"/>
                <w:sz w:val="20"/>
                <w:szCs w:val="20"/>
              </w:rPr>
              <w:t>Agreed in DHB Annual Plan</w:t>
            </w:r>
          </w:p>
        </w:tc>
      </w:tr>
      <w:tr w:rsidR="00B116B8" w:rsidRPr="00B116B8" w14:paraId="31D07884" w14:textId="77777777" w:rsidTr="00D21813">
        <w:trPr>
          <w:trHeight w:val="493"/>
        </w:trPr>
        <w:tc>
          <w:tcPr>
            <w:tcW w:w="2864" w:type="dxa"/>
            <w:shd w:val="clear" w:color="auto" w:fill="auto"/>
          </w:tcPr>
          <w:p w14:paraId="6BA008FF"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Reporting frequency</w:t>
            </w:r>
          </w:p>
        </w:tc>
        <w:tc>
          <w:tcPr>
            <w:tcW w:w="7230" w:type="dxa"/>
            <w:shd w:val="clear" w:color="auto" w:fill="auto"/>
          </w:tcPr>
          <w:p w14:paraId="7586073C" w14:textId="77777777" w:rsidR="00B116B8" w:rsidRPr="00B116B8" w:rsidRDefault="00B116B8" w:rsidP="00B116B8">
            <w:pPr>
              <w:shd w:val="clear" w:color="auto" w:fill="FFFFFF"/>
              <w:spacing w:before="60" w:after="60"/>
              <w:jc w:val="both"/>
              <w:rPr>
                <w:rFonts w:ascii="Arial" w:hAnsi="Arial" w:cs="Arial"/>
                <w:sz w:val="20"/>
                <w:szCs w:val="20"/>
              </w:rPr>
            </w:pPr>
            <w:r w:rsidRPr="00B116B8">
              <w:rPr>
                <w:rFonts w:ascii="Arial" w:hAnsi="Arial" w:cs="Arial"/>
                <w:sz w:val="20"/>
                <w:szCs w:val="20"/>
              </w:rPr>
              <w:t>Annually in quarter 3</w:t>
            </w:r>
          </w:p>
        </w:tc>
      </w:tr>
      <w:tr w:rsidR="00B116B8" w:rsidRPr="00B116B8" w14:paraId="3DF965E2" w14:textId="77777777" w:rsidTr="00D21813">
        <w:tc>
          <w:tcPr>
            <w:tcW w:w="2864" w:type="dxa"/>
            <w:shd w:val="clear" w:color="auto" w:fill="auto"/>
          </w:tcPr>
          <w:p w14:paraId="25AC3333"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Source information for reporting provided by:</w:t>
            </w:r>
          </w:p>
        </w:tc>
        <w:tc>
          <w:tcPr>
            <w:tcW w:w="7230" w:type="dxa"/>
            <w:shd w:val="clear" w:color="auto" w:fill="auto"/>
          </w:tcPr>
          <w:p w14:paraId="5A34FDCC" w14:textId="77777777" w:rsidR="00B116B8" w:rsidRPr="00B116B8" w:rsidRDefault="00B116B8" w:rsidP="00B116B8">
            <w:pPr>
              <w:shd w:val="clear" w:color="auto" w:fill="FFFFFF"/>
              <w:spacing w:before="60" w:after="60"/>
              <w:rPr>
                <w:rFonts w:ascii="Arial" w:hAnsi="Arial" w:cs="Arial"/>
                <w:sz w:val="20"/>
                <w:szCs w:val="20"/>
              </w:rPr>
            </w:pPr>
            <w:r w:rsidRPr="00B116B8">
              <w:rPr>
                <w:rFonts w:ascii="Arial" w:hAnsi="Arial" w:cs="Arial"/>
                <w:i/>
                <w:sz w:val="20"/>
                <w:szCs w:val="20"/>
              </w:rPr>
              <w:t xml:space="preserve"> </w:t>
            </w:r>
            <w:r w:rsidRPr="00B116B8">
              <w:rPr>
                <w:rFonts w:ascii="Arial" w:hAnsi="Arial" w:cs="Arial"/>
                <w:sz w:val="20"/>
                <w:szCs w:val="20"/>
              </w:rPr>
              <w:t xml:space="preserve">Data to be supplied by DHBs template is on the </w:t>
            </w:r>
            <w:proofErr w:type="spellStart"/>
            <w:r w:rsidRPr="00B116B8">
              <w:rPr>
                <w:rFonts w:ascii="Arial" w:hAnsi="Arial" w:cs="Arial"/>
                <w:sz w:val="20"/>
                <w:szCs w:val="20"/>
              </w:rPr>
              <w:t>nsfl</w:t>
            </w:r>
            <w:proofErr w:type="spellEnd"/>
            <w:r w:rsidRPr="00B116B8">
              <w:rPr>
                <w:rFonts w:ascii="Arial" w:hAnsi="Arial" w:cs="Arial"/>
                <w:sz w:val="20"/>
                <w:szCs w:val="20"/>
              </w:rPr>
              <w:t xml:space="preserve"> website</w:t>
            </w:r>
          </w:p>
        </w:tc>
      </w:tr>
      <w:tr w:rsidR="00B116B8" w:rsidRPr="00B116B8" w14:paraId="1B549735" w14:textId="77777777" w:rsidTr="00D21813">
        <w:trPr>
          <w:trHeight w:val="2182"/>
        </w:trPr>
        <w:tc>
          <w:tcPr>
            <w:tcW w:w="2864" w:type="dxa"/>
            <w:shd w:val="clear" w:color="auto" w:fill="auto"/>
          </w:tcPr>
          <w:p w14:paraId="23C662B9"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Quarterly reporting  - standard timeline applies</w:t>
            </w:r>
          </w:p>
        </w:tc>
        <w:tc>
          <w:tcPr>
            <w:tcW w:w="7230" w:type="dxa"/>
            <w:shd w:val="clear" w:color="auto" w:fill="auto"/>
          </w:tcPr>
          <w:p w14:paraId="0CC621F6" w14:textId="77777777" w:rsidR="00B116B8" w:rsidRPr="00B116B8" w:rsidRDefault="00B116B8" w:rsidP="00B116B8">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B116B8" w:rsidRPr="00B116B8" w14:paraId="32031ED4"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18A2C"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8F7A"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20th of the month following the end of the quarter</w:t>
                  </w:r>
                </w:p>
              </w:tc>
            </w:tr>
            <w:tr w:rsidR="00B116B8" w:rsidRPr="00B116B8" w14:paraId="3F04178F"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266E2"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CAF7"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8-10 working days from receiving reports</w:t>
                  </w:r>
                </w:p>
              </w:tc>
            </w:tr>
            <w:tr w:rsidR="00B116B8" w:rsidRPr="00B116B8" w14:paraId="3F133D2D"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89AC6"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65EE5"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5 working days from receiving initial ratings</w:t>
                  </w:r>
                </w:p>
              </w:tc>
            </w:tr>
            <w:tr w:rsidR="00B116B8" w:rsidRPr="00B116B8" w14:paraId="68750B05"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B3D9"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67722"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4-5 working days from receiving DHB feedback</w:t>
                  </w:r>
                </w:p>
              </w:tc>
            </w:tr>
          </w:tbl>
          <w:p w14:paraId="6D34BD71" w14:textId="77777777" w:rsidR="00B116B8" w:rsidRPr="00B116B8" w:rsidRDefault="00B116B8" w:rsidP="00B116B8">
            <w:pPr>
              <w:shd w:val="clear" w:color="auto" w:fill="FFFFFF"/>
              <w:spacing w:before="60" w:after="60"/>
              <w:jc w:val="both"/>
              <w:rPr>
                <w:rFonts w:ascii="Arial" w:hAnsi="Arial" w:cs="Arial"/>
                <w:i/>
                <w:sz w:val="16"/>
                <w:szCs w:val="16"/>
              </w:rPr>
            </w:pPr>
          </w:p>
        </w:tc>
      </w:tr>
      <w:tr w:rsidR="00B116B8" w:rsidRPr="00B116B8" w14:paraId="3F7403EC" w14:textId="77777777" w:rsidTr="00D21813">
        <w:trPr>
          <w:trHeight w:val="603"/>
        </w:trPr>
        <w:tc>
          <w:tcPr>
            <w:tcW w:w="2864" w:type="dxa"/>
            <w:shd w:val="clear" w:color="auto" w:fill="auto"/>
          </w:tcPr>
          <w:p w14:paraId="1739892C"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 xml:space="preserve">Linkage </w:t>
            </w:r>
          </w:p>
        </w:tc>
        <w:tc>
          <w:tcPr>
            <w:tcW w:w="7230" w:type="dxa"/>
            <w:shd w:val="clear" w:color="auto" w:fill="auto"/>
          </w:tcPr>
          <w:p w14:paraId="15502A50" w14:textId="77777777" w:rsidR="00B116B8" w:rsidRPr="00B116B8" w:rsidRDefault="00B116B8" w:rsidP="00B116B8">
            <w:pPr>
              <w:shd w:val="clear" w:color="auto" w:fill="FFFFFF"/>
              <w:spacing w:before="60" w:after="60"/>
              <w:jc w:val="both"/>
              <w:rPr>
                <w:rFonts w:ascii="Arial" w:hAnsi="Arial" w:cs="Arial"/>
                <w:sz w:val="20"/>
                <w:szCs w:val="20"/>
              </w:rPr>
            </w:pPr>
            <w:r w:rsidRPr="00B116B8">
              <w:rPr>
                <w:rFonts w:ascii="Arial" w:hAnsi="Arial" w:cs="Arial"/>
                <w:sz w:val="20"/>
                <w:szCs w:val="20"/>
              </w:rPr>
              <w:t xml:space="preserve">This measure links to SI5: Delivery of </w:t>
            </w:r>
            <w:proofErr w:type="spellStart"/>
            <w:r w:rsidRPr="00B116B8">
              <w:rPr>
                <w:rFonts w:ascii="Arial" w:hAnsi="Arial" w:cs="Arial"/>
                <w:sz w:val="20"/>
                <w:szCs w:val="20"/>
              </w:rPr>
              <w:t>Whānau</w:t>
            </w:r>
            <w:proofErr w:type="spellEnd"/>
            <w:r w:rsidRPr="00B116B8">
              <w:rPr>
                <w:rFonts w:ascii="Arial" w:hAnsi="Arial" w:cs="Arial"/>
                <w:sz w:val="20"/>
                <w:szCs w:val="20"/>
              </w:rPr>
              <w:t xml:space="preserve"> Ora</w:t>
            </w:r>
          </w:p>
        </w:tc>
      </w:tr>
    </w:tbl>
    <w:p w14:paraId="60C74BCD" w14:textId="77777777" w:rsidR="00B116B8" w:rsidRPr="00B116B8" w:rsidRDefault="00B116B8" w:rsidP="00B116B8">
      <w:pPr>
        <w:shd w:val="clear" w:color="auto" w:fill="FFFFFF"/>
        <w:spacing w:before="60" w:after="60"/>
        <w:jc w:val="both"/>
        <w:rPr>
          <w:rFonts w:ascii="Arial" w:hAnsi="Arial" w:cs="Arial"/>
          <w:b/>
          <w:i/>
          <w:szCs w:val="22"/>
        </w:rPr>
      </w:pPr>
      <w:r w:rsidRPr="00B116B8">
        <w:rPr>
          <w:rFonts w:ascii="Arial" w:hAnsi="Arial" w:cs="Arial"/>
          <w:b/>
          <w:szCs w:val="22"/>
        </w:rPr>
        <w:t>Link to outcomes and priority areas</w:t>
      </w:r>
    </w:p>
    <w:p w14:paraId="58B3D3DC" w14:textId="77777777" w:rsidR="00B116B8" w:rsidRPr="00B116B8" w:rsidRDefault="00B116B8" w:rsidP="00B116B8">
      <w:pPr>
        <w:spacing w:after="120" w:line="300" w:lineRule="auto"/>
        <w:rPr>
          <w:rFonts w:ascii="Arial" w:hAnsi="Arial" w:cs="Arial"/>
          <w:sz w:val="22"/>
          <w:szCs w:val="22"/>
        </w:rPr>
      </w:pPr>
      <w:r w:rsidRPr="00B116B8">
        <w:rPr>
          <w:rFonts w:ascii="Arial" w:hAnsi="Arial" w:cs="Arial"/>
          <w:sz w:val="22"/>
          <w:szCs w:val="22"/>
        </w:rPr>
        <w:t xml:space="preserve">Delivery of this measure supports the vision for the New Zealand health and disability system of </w:t>
      </w:r>
      <w:proofErr w:type="spellStart"/>
      <w:r w:rsidRPr="00B116B8">
        <w:rPr>
          <w:rFonts w:ascii="Arial" w:hAnsi="Arial" w:cs="Arial"/>
          <w:sz w:val="22"/>
          <w:szCs w:val="22"/>
        </w:rPr>
        <w:t>Pae</w:t>
      </w:r>
      <w:proofErr w:type="spellEnd"/>
      <w:r w:rsidRPr="00B116B8">
        <w:rPr>
          <w:rFonts w:ascii="Arial" w:hAnsi="Arial" w:cs="Arial"/>
          <w:sz w:val="22"/>
          <w:szCs w:val="22"/>
        </w:rPr>
        <w:t xml:space="preserve"> Ora – healthy futures.</w:t>
      </w:r>
    </w:p>
    <w:p w14:paraId="05D37757" w14:textId="77777777" w:rsidR="00B116B8" w:rsidRPr="00B116B8" w:rsidRDefault="00B116B8" w:rsidP="00B116B8">
      <w:pPr>
        <w:shd w:val="clear" w:color="auto" w:fill="FFFFFF"/>
        <w:jc w:val="both"/>
        <w:rPr>
          <w:rFonts w:ascii="Arial" w:hAnsi="Arial" w:cs="Arial"/>
          <w:sz w:val="22"/>
          <w:szCs w:val="22"/>
        </w:rPr>
      </w:pPr>
      <w:r w:rsidRPr="00B116B8">
        <w:rPr>
          <w:rFonts w:ascii="Arial" w:hAnsi="Arial" w:cs="Arial"/>
          <w:sz w:val="22"/>
          <w:szCs w:val="22"/>
        </w:rPr>
        <w:t>By improving children’s oral health DHBs will support Government's priority to make New Zealand the best place in the world to be a child and our health system outcome that we have health equity for Maori and other groups.</w:t>
      </w:r>
    </w:p>
    <w:p w14:paraId="1C9604F9" w14:textId="77777777" w:rsidR="00B116B8" w:rsidRPr="00B116B8" w:rsidRDefault="00B116B8" w:rsidP="00B116B8">
      <w:pPr>
        <w:shd w:val="clear" w:color="auto" w:fill="FFFFFF"/>
        <w:spacing w:before="60" w:after="60"/>
        <w:jc w:val="both"/>
        <w:rPr>
          <w:rFonts w:ascii="Arial" w:hAnsi="Arial" w:cs="Arial"/>
          <w:bCs/>
          <w:sz w:val="22"/>
          <w:szCs w:val="22"/>
        </w:rPr>
      </w:pPr>
    </w:p>
    <w:p w14:paraId="4249790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bCs/>
          <w:sz w:val="22"/>
          <w:szCs w:val="22"/>
        </w:rPr>
        <w:t>Delivery of this measure most strongly supports the following sector outcomes and government priorities:</w:t>
      </w:r>
      <w:r w:rsidRPr="00B116B8">
        <w:rPr>
          <w:rFonts w:ascii="Arial" w:hAnsi="Arial" w:cs="Arial"/>
          <w:sz w:val="22"/>
          <w:szCs w:val="22"/>
        </w:rPr>
        <w:t xml:space="preserve"> Increasing the proportion of </w:t>
      </w:r>
      <w:proofErr w:type="gramStart"/>
      <w:r w:rsidRPr="00B116B8">
        <w:rPr>
          <w:rFonts w:ascii="Arial" w:hAnsi="Arial" w:cs="Arial"/>
          <w:sz w:val="22"/>
          <w:szCs w:val="22"/>
        </w:rPr>
        <w:t>5-year olds</w:t>
      </w:r>
      <w:proofErr w:type="gramEnd"/>
      <w:r w:rsidRPr="00B116B8">
        <w:rPr>
          <w:rFonts w:ascii="Arial" w:hAnsi="Arial" w:cs="Arial"/>
          <w:sz w:val="22"/>
          <w:szCs w:val="22"/>
        </w:rPr>
        <w:t xml:space="preserve"> who have never experienced tooth decay will show that the DHB has made an impact on the outcome of protecting and promoting good health and independence through providing effective publicly-funded child oral health programmes (health promotion, prevention and treatment) that reduce the prevalence of oral disease in children of pre-school age.  Delivery of this measure also influences long-term oral health outcomes for adolescents and adults.  Evidence indicates that oral health at age five predicts oral health status at age 26.</w:t>
      </w:r>
    </w:p>
    <w:p w14:paraId="17B5FB8F" w14:textId="77777777" w:rsidR="00B116B8" w:rsidRPr="00B116B8" w:rsidRDefault="00B116B8" w:rsidP="00B116B8">
      <w:pPr>
        <w:shd w:val="clear" w:color="auto" w:fill="FFFFFF"/>
        <w:spacing w:before="60" w:after="60"/>
        <w:jc w:val="both"/>
        <w:rPr>
          <w:rFonts w:ascii="Arial" w:hAnsi="Arial" w:cs="Arial"/>
          <w:sz w:val="22"/>
          <w:szCs w:val="22"/>
        </w:rPr>
      </w:pPr>
    </w:p>
    <w:p w14:paraId="3B805EE3"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measure also provides information that allows DHBs and the Ministry to evaluate how health promotion programmes, and services such as the Community Oral Health Service (COHS) and Well Child/Tamariki Ora (WCTO) services, are influencing the oral health status of children.  The data itemised by ethnicity and fluoridation status enable DHBs to identify and target the populations in their district where children’s oral health status is poorest.</w:t>
      </w:r>
    </w:p>
    <w:p w14:paraId="46C4FE4F" w14:textId="77777777" w:rsidR="00B116B8" w:rsidRPr="00B116B8" w:rsidRDefault="00B116B8" w:rsidP="00B116B8">
      <w:pPr>
        <w:shd w:val="clear" w:color="auto" w:fill="FFFFFF"/>
        <w:spacing w:before="60" w:after="60"/>
        <w:jc w:val="both"/>
        <w:rPr>
          <w:rFonts w:ascii="Arial" w:hAnsi="Arial" w:cs="Arial"/>
          <w:sz w:val="22"/>
          <w:szCs w:val="22"/>
        </w:rPr>
      </w:pPr>
    </w:p>
    <w:p w14:paraId="0E5D005B"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Through the intermediate outcome, the measure contributes to the </w:t>
      </w:r>
      <w:proofErr w:type="gramStart"/>
      <w:r w:rsidRPr="00B116B8">
        <w:rPr>
          <w:rFonts w:ascii="Arial" w:hAnsi="Arial" w:cs="Arial"/>
          <w:sz w:val="22"/>
          <w:szCs w:val="22"/>
        </w:rPr>
        <w:t>high level</w:t>
      </w:r>
      <w:proofErr w:type="gramEnd"/>
      <w:r w:rsidRPr="00B116B8">
        <w:rPr>
          <w:rFonts w:ascii="Arial" w:hAnsi="Arial" w:cs="Arial"/>
          <w:sz w:val="22"/>
          <w:szCs w:val="22"/>
        </w:rPr>
        <w:t xml:space="preserve"> outcome of New Zealanders living longer, healthier and more independent lives.</w:t>
      </w:r>
    </w:p>
    <w:p w14:paraId="20E36CDD" w14:textId="77777777" w:rsidR="00B116B8" w:rsidRPr="00B116B8" w:rsidRDefault="00B116B8" w:rsidP="00B116B8">
      <w:pPr>
        <w:shd w:val="clear" w:color="auto" w:fill="FFFFFF"/>
        <w:spacing w:before="60" w:after="60"/>
        <w:jc w:val="both"/>
        <w:rPr>
          <w:rFonts w:ascii="Arial" w:hAnsi="Arial" w:cs="Arial"/>
          <w:b/>
          <w:sz w:val="22"/>
          <w:szCs w:val="22"/>
        </w:rPr>
      </w:pPr>
    </w:p>
    <w:p w14:paraId="4FD430E7"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Actions and activities that have a proven impact on this measure:</w:t>
      </w:r>
    </w:p>
    <w:p w14:paraId="1A64E6DC"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following actions and activities are examples of initiatives that have a proven impact on this measure:</w:t>
      </w:r>
    </w:p>
    <w:p w14:paraId="2BF950B4" w14:textId="77777777" w:rsidR="00B116B8" w:rsidRPr="00B116B8" w:rsidRDefault="00B116B8" w:rsidP="00B116B8">
      <w:pPr>
        <w:numPr>
          <w:ilvl w:val="0"/>
          <w:numId w:val="11"/>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increasing enrolment of pre-school children in publicly funded child oral health programmes enables early engagement and provides opportunities for oral health promotion and interventions aimed at </w:t>
      </w:r>
      <w:r w:rsidRPr="00B116B8">
        <w:rPr>
          <w:rFonts w:ascii="Arial" w:hAnsi="Arial" w:cs="Arial"/>
          <w:sz w:val="22"/>
          <w:szCs w:val="22"/>
        </w:rPr>
        <w:lastRenderedPageBreak/>
        <w:t xml:space="preserve">prevention of oral disease, and reduces the prevalence of dental </w:t>
      </w:r>
      <w:proofErr w:type="spellStart"/>
      <w:r w:rsidRPr="00B116B8">
        <w:rPr>
          <w:rFonts w:ascii="Arial" w:hAnsi="Arial" w:cs="Arial"/>
          <w:sz w:val="22"/>
          <w:szCs w:val="22"/>
        </w:rPr>
        <w:t>decayreducing</w:t>
      </w:r>
      <w:proofErr w:type="spellEnd"/>
      <w:r w:rsidRPr="00B116B8">
        <w:rPr>
          <w:rFonts w:ascii="Arial" w:hAnsi="Arial" w:cs="Arial"/>
          <w:sz w:val="22"/>
          <w:szCs w:val="22"/>
        </w:rPr>
        <w:t xml:space="preserve"> the number of children overdue for their scheduled examinations with the COHS</w:t>
      </w:r>
    </w:p>
    <w:p w14:paraId="1699C782" w14:textId="77777777" w:rsidR="00B116B8" w:rsidRPr="00B116B8" w:rsidRDefault="00B116B8" w:rsidP="00B116B8">
      <w:pPr>
        <w:numPr>
          <w:ilvl w:val="0"/>
          <w:numId w:val="11"/>
        </w:numPr>
        <w:shd w:val="clear" w:color="auto" w:fill="FFFFFF"/>
        <w:spacing w:before="60" w:after="60"/>
        <w:jc w:val="both"/>
        <w:rPr>
          <w:rFonts w:ascii="Arial" w:hAnsi="Arial" w:cs="Arial"/>
          <w:sz w:val="22"/>
          <w:szCs w:val="22"/>
        </w:rPr>
      </w:pPr>
      <w:r w:rsidRPr="00B116B8">
        <w:rPr>
          <w:rFonts w:ascii="Arial" w:hAnsi="Arial" w:cs="Arial"/>
          <w:sz w:val="22"/>
          <w:szCs w:val="22"/>
        </w:rPr>
        <w:t>improving accessibility of regular care through “hub” and mobile clinics that will be open throughout the year and operate longer hours, and as well as maximising service productivity to increase service coverage for a greater number of children during the year.</w:t>
      </w:r>
    </w:p>
    <w:p w14:paraId="24878FF5"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Context</w:t>
      </w:r>
    </w:p>
    <w:p w14:paraId="7FAA79A6"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This measure indicates the prevalence of oral disease experienced in children of pre-school age, measured at five years of age. </w:t>
      </w:r>
    </w:p>
    <w:p w14:paraId="4A09D8BB"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Publicly funded oral health services are available to children and adolescents from birth to 17 years of age, through the Community Oral Health Service (COHS) provided by DHBs throughout New Zealand, DHB-funded contracts with Maori oral health providers to provide child oral health services, and DHB-funded contracts with private dentists and Maori oral health providers to provide adolescent oral health services.  </w:t>
      </w:r>
    </w:p>
    <w:p w14:paraId="76CC487C"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Improvements in this measure will show the effectiveness of publicly funded child oral health services, in particular the COHS, and of oral health promotion activities. </w:t>
      </w:r>
    </w:p>
    <w:p w14:paraId="1605B2FD" w14:textId="77777777" w:rsidR="00B116B8" w:rsidRPr="00B116B8" w:rsidRDefault="00B116B8" w:rsidP="00B116B8">
      <w:pPr>
        <w:shd w:val="clear" w:color="auto" w:fill="FFFFFF"/>
        <w:spacing w:before="60" w:after="60"/>
        <w:jc w:val="both"/>
        <w:rPr>
          <w:rFonts w:ascii="Arial" w:hAnsi="Arial" w:cs="Arial"/>
          <w:sz w:val="22"/>
          <w:szCs w:val="22"/>
        </w:rPr>
      </w:pPr>
    </w:p>
    <w:p w14:paraId="73B043C9" w14:textId="77777777" w:rsidR="00B116B8" w:rsidRPr="00B116B8" w:rsidRDefault="00B116B8" w:rsidP="00B116B8">
      <w:pPr>
        <w:shd w:val="clear" w:color="auto" w:fill="FFFFFF"/>
        <w:spacing w:before="60" w:after="60"/>
        <w:jc w:val="both"/>
        <w:rPr>
          <w:rFonts w:ascii="Arial" w:hAnsi="Arial" w:cs="Arial"/>
          <w:b/>
          <w:szCs w:val="22"/>
        </w:rPr>
      </w:pPr>
      <w:proofErr w:type="gramStart"/>
      <w:r w:rsidRPr="00B116B8">
        <w:rPr>
          <w:rFonts w:ascii="Arial" w:hAnsi="Arial" w:cs="Arial"/>
          <w:b/>
          <w:szCs w:val="22"/>
        </w:rPr>
        <w:t>Deliverables</w:t>
      </w:r>
      <w:proofErr w:type="gramEnd"/>
      <w:r w:rsidRPr="00B116B8">
        <w:rPr>
          <w:rFonts w:ascii="Arial" w:hAnsi="Arial" w:cs="Arial"/>
          <w:b/>
          <w:szCs w:val="22"/>
        </w:rPr>
        <w:t xml:space="preserve"> definitions</w:t>
      </w:r>
    </w:p>
    <w:p w14:paraId="4C2578D8" w14:textId="77777777" w:rsidR="00B116B8" w:rsidRPr="00B116B8" w:rsidRDefault="00B116B8" w:rsidP="00B116B8">
      <w:pPr>
        <w:shd w:val="clear" w:color="auto" w:fill="FFFFFF"/>
        <w:spacing w:before="60" w:after="60"/>
        <w:jc w:val="both"/>
        <w:rPr>
          <w:rFonts w:ascii="Arial" w:hAnsi="Arial" w:cs="Arial"/>
          <w:b/>
          <w:i/>
          <w:sz w:val="22"/>
          <w:szCs w:val="22"/>
        </w:rPr>
      </w:pPr>
      <w:r w:rsidRPr="00B116B8">
        <w:rPr>
          <w:rFonts w:ascii="Arial" w:hAnsi="Arial" w:cs="Arial"/>
          <w:b/>
          <w:i/>
          <w:sz w:val="22"/>
          <w:szCs w:val="22"/>
        </w:rPr>
        <w:t xml:space="preserve">Numerator: </w:t>
      </w:r>
    </w:p>
    <w:p w14:paraId="5499D60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(Data source: DHB via COHS and other oral health providers)</w:t>
      </w:r>
    </w:p>
    <w:p w14:paraId="2CB3AE8B"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At the first examination after the child has turned five years, but before their sixth birthday, the total number of children who are caries-free (decay-free</w:t>
      </w:r>
      <w:proofErr w:type="gramStart"/>
      <w:r w:rsidRPr="00B116B8">
        <w:rPr>
          <w:rFonts w:ascii="Arial" w:hAnsi="Arial" w:cs="Arial"/>
          <w:sz w:val="22"/>
          <w:szCs w:val="22"/>
        </w:rPr>
        <w:t>);</w:t>
      </w:r>
      <w:proofErr w:type="gramEnd"/>
      <w:r w:rsidRPr="00B116B8">
        <w:rPr>
          <w:rFonts w:ascii="Arial" w:hAnsi="Arial" w:cs="Arial"/>
          <w:sz w:val="22"/>
          <w:szCs w:val="22"/>
        </w:rPr>
        <w:t xml:space="preserve"> </w:t>
      </w:r>
    </w:p>
    <w:p w14:paraId="043BDD98"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b/>
          <w:i/>
          <w:sz w:val="22"/>
          <w:szCs w:val="22"/>
        </w:rPr>
        <w:t xml:space="preserve">Denominator: </w:t>
      </w:r>
    </w:p>
    <w:p w14:paraId="07B0D48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(Data source: DHB via COHS and other oral health providers)</w:t>
      </w:r>
    </w:p>
    <w:p w14:paraId="25D7183D"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The total number of children who have been examined in the </w:t>
      </w:r>
      <w:proofErr w:type="gramStart"/>
      <w:r w:rsidRPr="00B116B8">
        <w:rPr>
          <w:rFonts w:ascii="Arial" w:hAnsi="Arial" w:cs="Arial"/>
          <w:sz w:val="22"/>
          <w:szCs w:val="22"/>
        </w:rPr>
        <w:t>5-year old</w:t>
      </w:r>
      <w:proofErr w:type="gramEnd"/>
      <w:r w:rsidRPr="00B116B8">
        <w:rPr>
          <w:rFonts w:ascii="Arial" w:hAnsi="Arial" w:cs="Arial"/>
          <w:sz w:val="22"/>
          <w:szCs w:val="22"/>
        </w:rPr>
        <w:t xml:space="preserve"> age group, in the year to which the reporting relates.  </w:t>
      </w:r>
    </w:p>
    <w:p w14:paraId="47C9AF08" w14:textId="77777777" w:rsidR="00B116B8" w:rsidRPr="00B116B8" w:rsidRDefault="00B116B8" w:rsidP="00B116B8">
      <w:pPr>
        <w:shd w:val="clear" w:color="auto" w:fill="FFFFFF"/>
        <w:tabs>
          <w:tab w:val="left" w:pos="3960"/>
        </w:tabs>
        <w:spacing w:before="60" w:after="60"/>
        <w:jc w:val="both"/>
        <w:rPr>
          <w:rFonts w:ascii="Arial" w:hAnsi="Arial" w:cs="Arial"/>
          <w:sz w:val="22"/>
          <w:szCs w:val="22"/>
        </w:rPr>
      </w:pPr>
      <w:r w:rsidRPr="00B116B8">
        <w:rPr>
          <w:rFonts w:ascii="Arial" w:hAnsi="Arial" w:cs="Arial"/>
          <w:sz w:val="22"/>
          <w:szCs w:val="22"/>
        </w:rPr>
        <w:tab/>
      </w:r>
    </w:p>
    <w:p w14:paraId="1F4C9BB4" w14:textId="77777777" w:rsidR="00B116B8" w:rsidRPr="00B116B8" w:rsidRDefault="00B116B8" w:rsidP="00B116B8">
      <w:pPr>
        <w:shd w:val="clear" w:color="auto" w:fill="FFFFFF"/>
        <w:spacing w:before="60" w:after="60"/>
        <w:jc w:val="both"/>
        <w:rPr>
          <w:rFonts w:ascii="Arial" w:hAnsi="Arial" w:cs="Arial"/>
          <w:b/>
          <w:i/>
          <w:sz w:val="22"/>
          <w:szCs w:val="22"/>
        </w:rPr>
      </w:pPr>
      <w:r w:rsidRPr="00B116B8">
        <w:rPr>
          <w:rFonts w:ascii="Arial" w:hAnsi="Arial" w:cs="Arial"/>
          <w:b/>
          <w:i/>
          <w:sz w:val="22"/>
          <w:szCs w:val="22"/>
        </w:rPr>
        <w:t>Other components of this indicator:</w:t>
      </w:r>
    </w:p>
    <w:p w14:paraId="58FDFB0A" w14:textId="77777777" w:rsidR="00B116B8" w:rsidRPr="00B116B8" w:rsidRDefault="00B116B8" w:rsidP="00B116B8">
      <w:pPr>
        <w:numPr>
          <w:ilvl w:val="0"/>
          <w:numId w:val="17"/>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The data reported in the </w:t>
      </w:r>
      <w:r w:rsidRPr="00B116B8">
        <w:rPr>
          <w:rFonts w:ascii="Arial" w:hAnsi="Arial" w:cs="Arial"/>
          <w:b/>
          <w:i/>
          <w:sz w:val="22"/>
          <w:szCs w:val="22"/>
        </w:rPr>
        <w:t>Numerator</w:t>
      </w:r>
      <w:r w:rsidRPr="00B116B8">
        <w:rPr>
          <w:rFonts w:ascii="Arial" w:hAnsi="Arial" w:cs="Arial"/>
          <w:sz w:val="22"/>
          <w:szCs w:val="22"/>
        </w:rPr>
        <w:t xml:space="preserve"> and </w:t>
      </w:r>
      <w:r w:rsidRPr="00B116B8">
        <w:rPr>
          <w:rFonts w:ascii="Arial" w:hAnsi="Arial" w:cs="Arial"/>
          <w:b/>
          <w:i/>
          <w:sz w:val="22"/>
          <w:szCs w:val="22"/>
        </w:rPr>
        <w:t>Denominator</w:t>
      </w:r>
      <w:r w:rsidRPr="00B116B8">
        <w:rPr>
          <w:rFonts w:ascii="Arial" w:hAnsi="Arial" w:cs="Arial"/>
          <w:sz w:val="22"/>
          <w:szCs w:val="22"/>
        </w:rPr>
        <w:t xml:space="preserve"> must also be broken down by:</w:t>
      </w:r>
    </w:p>
    <w:p w14:paraId="2294A6B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Ethnicity, using “prioritised ethnicity” approach</w:t>
      </w:r>
      <w:r w:rsidRPr="00B116B8">
        <w:rPr>
          <w:vertAlign w:val="superscript"/>
        </w:rPr>
        <w:footnoteReference w:id="2"/>
      </w:r>
      <w:r w:rsidRPr="00B116B8">
        <w:rPr>
          <w:rFonts w:ascii="Arial" w:hAnsi="Arial" w:cs="Arial"/>
          <w:sz w:val="22"/>
          <w:szCs w:val="22"/>
        </w:rPr>
        <w:t xml:space="preserve"> into the following (in order of assignment):</w:t>
      </w:r>
    </w:p>
    <w:p w14:paraId="3BCDA762"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proofErr w:type="gramStart"/>
      <w:r w:rsidRPr="00B116B8">
        <w:rPr>
          <w:rFonts w:ascii="Arial" w:hAnsi="Arial" w:cs="Arial"/>
          <w:sz w:val="22"/>
          <w:szCs w:val="22"/>
        </w:rPr>
        <w:t>Māori;</w:t>
      </w:r>
      <w:proofErr w:type="gramEnd"/>
    </w:p>
    <w:p w14:paraId="5B9B24B4"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Pacific</w:t>
      </w:r>
    </w:p>
    <w:p w14:paraId="69DBFFE1"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Other, and</w:t>
      </w:r>
    </w:p>
    <w:p w14:paraId="37F4498F" w14:textId="77777777" w:rsidR="00B116B8" w:rsidRPr="00B116B8" w:rsidRDefault="00B116B8" w:rsidP="00B116B8">
      <w:pPr>
        <w:numPr>
          <w:ilvl w:val="0"/>
          <w:numId w:val="18"/>
        </w:numPr>
        <w:shd w:val="clear" w:color="auto" w:fill="FFFFFF"/>
        <w:spacing w:before="60" w:after="60"/>
        <w:jc w:val="both"/>
        <w:rPr>
          <w:rFonts w:ascii="Arial" w:hAnsi="Arial" w:cs="Arial"/>
          <w:sz w:val="22"/>
          <w:szCs w:val="22"/>
        </w:rPr>
      </w:pPr>
      <w:r w:rsidRPr="00B116B8">
        <w:rPr>
          <w:rFonts w:ascii="Arial" w:hAnsi="Arial" w:cs="Arial"/>
          <w:sz w:val="22"/>
          <w:szCs w:val="22"/>
        </w:rPr>
        <w:t>water fluoridation status of the school area the child attends, defined as:</w:t>
      </w:r>
    </w:p>
    <w:p w14:paraId="31B6BF3A"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fluoridated; and</w:t>
      </w:r>
    </w:p>
    <w:p w14:paraId="4AD2EA76"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non-fluoridated.</w:t>
      </w:r>
    </w:p>
    <w:p w14:paraId="18799B45" w14:textId="77777777" w:rsidR="00B116B8" w:rsidRPr="00B116B8" w:rsidRDefault="00B116B8" w:rsidP="00B116B8">
      <w:pPr>
        <w:numPr>
          <w:ilvl w:val="0"/>
          <w:numId w:val="17"/>
        </w:numPr>
        <w:shd w:val="clear" w:color="auto" w:fill="FFFFFF"/>
        <w:spacing w:before="60" w:after="60"/>
        <w:jc w:val="both"/>
        <w:rPr>
          <w:rFonts w:ascii="Arial" w:hAnsi="Arial" w:cs="Arial"/>
          <w:sz w:val="22"/>
          <w:szCs w:val="22"/>
        </w:rPr>
      </w:pPr>
      <w:r w:rsidRPr="00B116B8">
        <w:rPr>
          <w:rFonts w:ascii="Arial" w:hAnsi="Arial" w:cs="Arial"/>
          <w:sz w:val="22"/>
          <w:szCs w:val="22"/>
        </w:rPr>
        <w:t>The data for this indicator will be generated by DHBs.  There is a number of technical interpretation issues associated with oral health, which are centred largely around variances in:</w:t>
      </w:r>
    </w:p>
    <w:p w14:paraId="0C4656D9" w14:textId="77777777" w:rsidR="00B116B8" w:rsidRPr="00B116B8" w:rsidRDefault="00B116B8" w:rsidP="00B116B8">
      <w:pPr>
        <w:numPr>
          <w:ilvl w:val="0"/>
          <w:numId w:val="16"/>
        </w:numPr>
        <w:shd w:val="clear" w:color="auto" w:fill="FFFFFF"/>
        <w:spacing w:before="60" w:after="60"/>
        <w:jc w:val="both"/>
        <w:rPr>
          <w:rFonts w:ascii="Arial" w:hAnsi="Arial" w:cs="Arial"/>
          <w:sz w:val="22"/>
          <w:szCs w:val="22"/>
        </w:rPr>
      </w:pPr>
      <w:r w:rsidRPr="00B116B8">
        <w:rPr>
          <w:rFonts w:ascii="Arial" w:hAnsi="Arial" w:cs="Arial"/>
          <w:sz w:val="22"/>
          <w:szCs w:val="22"/>
        </w:rPr>
        <w:t>processes for data collection amongst DHBs</w:t>
      </w:r>
    </w:p>
    <w:p w14:paraId="017E7FD4" w14:textId="77777777" w:rsidR="00B116B8" w:rsidRPr="00B116B8" w:rsidRDefault="00B116B8" w:rsidP="00B116B8">
      <w:pPr>
        <w:numPr>
          <w:ilvl w:val="0"/>
          <w:numId w:val="16"/>
        </w:numPr>
        <w:shd w:val="clear" w:color="auto" w:fill="FFFFFF"/>
        <w:spacing w:before="60" w:after="60"/>
        <w:jc w:val="both"/>
        <w:rPr>
          <w:rFonts w:ascii="Arial" w:hAnsi="Arial" w:cs="Arial"/>
          <w:sz w:val="22"/>
          <w:szCs w:val="22"/>
        </w:rPr>
      </w:pPr>
      <w:r w:rsidRPr="00B116B8">
        <w:rPr>
          <w:rFonts w:ascii="Arial" w:hAnsi="Arial" w:cs="Arial"/>
          <w:sz w:val="22"/>
          <w:szCs w:val="22"/>
        </w:rPr>
        <w:t>technologies for management of data amongst DHBs.</w:t>
      </w:r>
    </w:p>
    <w:p w14:paraId="6CFA95F2" w14:textId="77777777" w:rsidR="00B116B8" w:rsidRPr="00B116B8" w:rsidRDefault="00B116B8" w:rsidP="00B116B8">
      <w:pPr>
        <w:numPr>
          <w:ilvl w:val="0"/>
          <w:numId w:val="17"/>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encouraged to record data at the unit (individual child) level, using the National Health Index, but data are reported in an aggregated format and should be provided using the Ministry of Health Excel template, available on the quarterly reporting database or from the Ministry’s Oral Health Team.  </w:t>
      </w:r>
    </w:p>
    <w:p w14:paraId="64574C04" w14:textId="77777777" w:rsidR="00B116B8" w:rsidRPr="00B116B8" w:rsidRDefault="00B116B8" w:rsidP="00B116B8">
      <w:pPr>
        <w:numPr>
          <w:ilvl w:val="0"/>
          <w:numId w:val="17"/>
        </w:numPr>
        <w:shd w:val="clear" w:color="auto" w:fill="FFFFFF"/>
        <w:spacing w:before="60" w:after="60"/>
        <w:jc w:val="both"/>
        <w:rPr>
          <w:rFonts w:ascii="Arial" w:hAnsi="Arial" w:cs="Arial"/>
          <w:sz w:val="22"/>
          <w:szCs w:val="22"/>
        </w:rPr>
      </w:pPr>
      <w:r w:rsidRPr="00B116B8">
        <w:rPr>
          <w:rFonts w:ascii="Arial" w:hAnsi="Arial" w:cs="Arial"/>
          <w:sz w:val="22"/>
          <w:szCs w:val="22"/>
        </w:rPr>
        <w:t>DHBs are required to separately report the number of decayed, missing (due to caries), or filled teeth (</w:t>
      </w:r>
      <w:proofErr w:type="spellStart"/>
      <w:r w:rsidRPr="00B116B8">
        <w:rPr>
          <w:rFonts w:ascii="Arial" w:hAnsi="Arial" w:cs="Arial"/>
          <w:sz w:val="22"/>
          <w:szCs w:val="22"/>
        </w:rPr>
        <w:t>dmft</w:t>
      </w:r>
      <w:proofErr w:type="spellEnd"/>
      <w:r w:rsidRPr="00B116B8">
        <w:rPr>
          <w:rFonts w:ascii="Arial" w:hAnsi="Arial" w:cs="Arial"/>
          <w:sz w:val="22"/>
          <w:szCs w:val="22"/>
        </w:rPr>
        <w:t xml:space="preserve">).  </w:t>
      </w:r>
    </w:p>
    <w:p w14:paraId="040C1870" w14:textId="77777777" w:rsidR="00B116B8" w:rsidRPr="00B116B8" w:rsidRDefault="00B116B8" w:rsidP="00B116B8">
      <w:pPr>
        <w:shd w:val="clear" w:color="auto" w:fill="FFFFFF"/>
        <w:spacing w:before="60" w:after="60"/>
        <w:jc w:val="both"/>
        <w:rPr>
          <w:rFonts w:ascii="Arial" w:hAnsi="Arial" w:cs="Arial"/>
          <w:b/>
          <w:szCs w:val="22"/>
        </w:rPr>
      </w:pPr>
    </w:p>
    <w:p w14:paraId="5F123223"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 xml:space="preserve">Reporting Period </w:t>
      </w:r>
    </w:p>
    <w:p w14:paraId="581A646C"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b/>
          <w:i/>
          <w:sz w:val="22"/>
          <w:szCs w:val="22"/>
        </w:rPr>
        <w:t>Reporting required</w:t>
      </w:r>
      <w:r w:rsidRPr="00B116B8">
        <w:rPr>
          <w:rFonts w:ascii="Arial" w:hAnsi="Arial" w:cs="Arial"/>
          <w:i/>
          <w:sz w:val="22"/>
          <w:szCs w:val="22"/>
        </w:rPr>
        <w:t>:</w:t>
      </w:r>
      <w:r w:rsidRPr="00B116B8">
        <w:rPr>
          <w:rFonts w:ascii="Arial" w:hAnsi="Arial" w:cs="Arial"/>
          <w:sz w:val="22"/>
          <w:szCs w:val="22"/>
        </w:rPr>
        <w:t xml:space="preserve"> Annual, in the third quarter.</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B116B8" w:rsidRPr="00B116B8" w14:paraId="68771406" w14:textId="77777777" w:rsidTr="00D21813">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8B58CE"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DA9AF3"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For the time period</w:t>
            </w:r>
          </w:p>
        </w:tc>
      </w:tr>
      <w:tr w:rsidR="00B116B8" w:rsidRPr="00B116B8" w14:paraId="28E02DEE" w14:textId="77777777" w:rsidTr="00D21813">
        <w:trPr>
          <w:jc w:val="center"/>
        </w:trPr>
        <w:tc>
          <w:tcPr>
            <w:tcW w:w="1617" w:type="dxa"/>
            <w:tcBorders>
              <w:top w:val="single" w:sz="4" w:space="0" w:color="auto"/>
              <w:left w:val="single" w:sz="4" w:space="0" w:color="auto"/>
              <w:bottom w:val="single" w:sz="4" w:space="0" w:color="auto"/>
              <w:right w:val="single" w:sz="4" w:space="0" w:color="auto"/>
            </w:tcBorders>
            <w:hideMark/>
          </w:tcPr>
          <w:p w14:paraId="3B48096A"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Quarter 3</w:t>
            </w:r>
          </w:p>
        </w:tc>
        <w:tc>
          <w:tcPr>
            <w:tcW w:w="4323" w:type="dxa"/>
            <w:tcBorders>
              <w:top w:val="single" w:sz="4" w:space="0" w:color="auto"/>
              <w:left w:val="single" w:sz="4" w:space="0" w:color="auto"/>
              <w:bottom w:val="single" w:sz="4" w:space="0" w:color="auto"/>
              <w:right w:val="single" w:sz="4" w:space="0" w:color="auto"/>
            </w:tcBorders>
            <w:hideMark/>
          </w:tcPr>
          <w:p w14:paraId="559DFC2D"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1 January 2019 – 31 December 2019</w:t>
            </w:r>
          </w:p>
        </w:tc>
      </w:tr>
    </w:tbl>
    <w:p w14:paraId="3B4EC64C"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Expectations</w:t>
      </w:r>
    </w:p>
    <w:p w14:paraId="581A2C59"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expected to report complete, </w:t>
      </w:r>
      <w:proofErr w:type="gramStart"/>
      <w:r w:rsidRPr="00B116B8">
        <w:rPr>
          <w:rFonts w:ascii="Arial" w:hAnsi="Arial" w:cs="Arial"/>
          <w:sz w:val="22"/>
          <w:szCs w:val="22"/>
        </w:rPr>
        <w:t>comprehensive</w:t>
      </w:r>
      <w:proofErr w:type="gramEnd"/>
      <w:r w:rsidRPr="00B116B8">
        <w:rPr>
          <w:rFonts w:ascii="Arial" w:hAnsi="Arial" w:cs="Arial"/>
          <w:sz w:val="22"/>
          <w:szCs w:val="22"/>
        </w:rPr>
        <w:t xml:space="preserve"> and timely information.  It is expected that all DHBs will meet the specific individually agreed targets, for this indicator, as agreed in their Annual Plans.  Where the target has not been met, the DHB must provide commentary or a resolution plan that describes the DHB will do to address the performance failure.</w:t>
      </w:r>
    </w:p>
    <w:p w14:paraId="7F242AE5"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 </w:t>
      </w:r>
    </w:p>
    <w:p w14:paraId="298E87DB"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expected to set targets for this indicator for each of the two calendar years straddled by the fiscal year that the Annual Plan pertains to. </w:t>
      </w:r>
    </w:p>
    <w:p w14:paraId="5BFEAF5A" w14:textId="77777777" w:rsidR="00B116B8" w:rsidRPr="00B116B8" w:rsidRDefault="00B116B8" w:rsidP="00B116B8">
      <w:pPr>
        <w:shd w:val="clear" w:color="auto" w:fill="FFFFFF"/>
        <w:spacing w:before="60" w:after="60"/>
        <w:jc w:val="both"/>
        <w:rPr>
          <w:rFonts w:ascii="Arial" w:hAnsi="Arial" w:cs="Arial"/>
          <w:sz w:val="22"/>
          <w:szCs w:val="22"/>
        </w:rPr>
      </w:pPr>
    </w:p>
    <w:p w14:paraId="549A04E2"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The </w:t>
      </w:r>
      <w:r w:rsidRPr="00B116B8">
        <w:rPr>
          <w:rFonts w:ascii="Arial" w:hAnsi="Arial" w:cs="Arial"/>
          <w:i/>
          <w:sz w:val="22"/>
          <w:szCs w:val="22"/>
        </w:rPr>
        <w:t>“year 2 targets”</w:t>
      </w:r>
      <w:r w:rsidRPr="00B116B8">
        <w:rPr>
          <w:rFonts w:ascii="Arial" w:hAnsi="Arial" w:cs="Arial"/>
          <w:sz w:val="22"/>
          <w:szCs w:val="22"/>
        </w:rPr>
        <w:t xml:space="preserve"> from the outgoing fiscal year’s Annual Plan are regarded as indicative and may be revised as the </w:t>
      </w:r>
      <w:r w:rsidRPr="00B116B8">
        <w:rPr>
          <w:rFonts w:ascii="Arial" w:hAnsi="Arial" w:cs="Arial"/>
          <w:i/>
          <w:sz w:val="22"/>
          <w:szCs w:val="22"/>
        </w:rPr>
        <w:t>“year 1 targets”</w:t>
      </w:r>
      <w:r w:rsidRPr="00B116B8">
        <w:rPr>
          <w:rFonts w:ascii="Arial" w:hAnsi="Arial" w:cs="Arial"/>
          <w:sz w:val="22"/>
          <w:szCs w:val="22"/>
        </w:rPr>
        <w:t xml:space="preserve"> for the incoming fiscal year’s Annual Plan. </w:t>
      </w:r>
    </w:p>
    <w:p w14:paraId="33BA2F3D" w14:textId="77777777" w:rsidR="00B116B8" w:rsidRPr="00B116B8" w:rsidRDefault="00B116B8" w:rsidP="00B116B8">
      <w:pPr>
        <w:shd w:val="clear" w:color="auto" w:fill="FFFFFF"/>
        <w:spacing w:before="60" w:after="60"/>
        <w:jc w:val="both"/>
        <w:rPr>
          <w:rFonts w:ascii="Arial" w:hAnsi="Arial" w:cs="Arial"/>
          <w:sz w:val="22"/>
          <w:szCs w:val="22"/>
        </w:rPr>
      </w:pPr>
    </w:p>
    <w:p w14:paraId="08B30889"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Each DHB’s performance is assessed against </w:t>
      </w:r>
      <w:r w:rsidRPr="00B116B8">
        <w:rPr>
          <w:rFonts w:ascii="Arial" w:hAnsi="Arial" w:cs="Arial"/>
          <w:i/>
          <w:sz w:val="22"/>
          <w:szCs w:val="22"/>
        </w:rPr>
        <w:t>the “year 1 target”</w:t>
      </w:r>
      <w:r w:rsidRPr="00B116B8">
        <w:rPr>
          <w:rFonts w:ascii="Arial" w:hAnsi="Arial" w:cs="Arial"/>
          <w:sz w:val="22"/>
          <w:szCs w:val="22"/>
        </w:rPr>
        <w:t xml:space="preserve">.  However, Annual Plans should focus on the activities that the DHB will put in place to achieve the </w:t>
      </w:r>
      <w:r w:rsidRPr="00B116B8">
        <w:rPr>
          <w:rFonts w:ascii="Arial" w:hAnsi="Arial" w:cs="Arial"/>
          <w:i/>
          <w:sz w:val="22"/>
          <w:szCs w:val="22"/>
        </w:rPr>
        <w:t>“year 2 target”</w:t>
      </w:r>
      <w:r w:rsidRPr="00B116B8">
        <w:rPr>
          <w:rFonts w:ascii="Arial" w:hAnsi="Arial" w:cs="Arial"/>
          <w:sz w:val="22"/>
          <w:szCs w:val="22"/>
        </w:rPr>
        <w:t xml:space="preserve"> – this generally allows DHBs a six-month planning window followed by a 12-month implementation window for DHBs to achieve their “</w:t>
      </w:r>
      <w:r w:rsidRPr="00B116B8">
        <w:rPr>
          <w:rFonts w:ascii="Arial" w:hAnsi="Arial" w:cs="Arial"/>
          <w:i/>
          <w:sz w:val="22"/>
          <w:szCs w:val="22"/>
        </w:rPr>
        <w:t>year 2 targets”</w:t>
      </w:r>
      <w:r w:rsidRPr="00B116B8">
        <w:rPr>
          <w:rFonts w:ascii="Arial" w:hAnsi="Arial" w:cs="Arial"/>
          <w:sz w:val="22"/>
          <w:szCs w:val="22"/>
        </w:rPr>
        <w:t>.</w:t>
      </w:r>
    </w:p>
    <w:p w14:paraId="575B2D49" w14:textId="77777777" w:rsidR="00B116B8" w:rsidRPr="00B116B8" w:rsidRDefault="00B116B8" w:rsidP="00B116B8">
      <w:pPr>
        <w:shd w:val="clear" w:color="auto" w:fill="FFFFFF"/>
        <w:spacing w:before="60" w:after="60"/>
        <w:jc w:val="both"/>
        <w:rPr>
          <w:rFonts w:ascii="Arial" w:hAnsi="Arial" w:cs="Arial"/>
          <w:sz w:val="22"/>
          <w:szCs w:val="22"/>
        </w:rPr>
      </w:pPr>
    </w:p>
    <w:p w14:paraId="5FE5283A"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following achievement scale will be applied: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8246"/>
      </w:tblGrid>
      <w:tr w:rsidR="00B116B8" w:rsidRPr="00B116B8" w14:paraId="047B29BB" w14:textId="77777777" w:rsidTr="00D21813">
        <w:tc>
          <w:tcPr>
            <w:tcW w:w="201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54529AF"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 xml:space="preserve">Rating: </w:t>
            </w:r>
          </w:p>
        </w:tc>
        <w:tc>
          <w:tcPr>
            <w:tcW w:w="824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5D1F00"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Definition</w:t>
            </w:r>
          </w:p>
        </w:tc>
      </w:tr>
      <w:tr w:rsidR="00B116B8" w:rsidRPr="00B116B8" w14:paraId="19DE1092"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03FC9F9D"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Outstanding</w:t>
            </w:r>
          </w:p>
        </w:tc>
        <w:tc>
          <w:tcPr>
            <w:tcW w:w="8246" w:type="dxa"/>
            <w:tcBorders>
              <w:top w:val="single" w:sz="4" w:space="0" w:color="auto"/>
              <w:left w:val="single" w:sz="4" w:space="0" w:color="auto"/>
              <w:bottom w:val="single" w:sz="4" w:space="0" w:color="auto"/>
              <w:right w:val="single" w:sz="4" w:space="0" w:color="auto"/>
            </w:tcBorders>
            <w:hideMark/>
          </w:tcPr>
          <w:p w14:paraId="0D83F1C0"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 xml:space="preserve">The DHB has met the targets agreed in the Annual Plan, and are more than 5% over specified targets, and </w:t>
            </w:r>
            <w:proofErr w:type="gramStart"/>
            <w:r w:rsidRPr="00B116B8">
              <w:rPr>
                <w:rFonts w:ascii="Arial" w:hAnsi="Arial" w:cs="Arial"/>
                <w:sz w:val="22"/>
                <w:szCs w:val="22"/>
              </w:rPr>
              <w:t>has also has also</w:t>
            </w:r>
            <w:proofErr w:type="gramEnd"/>
            <w:r w:rsidRPr="00B116B8">
              <w:rPr>
                <w:rFonts w:ascii="Arial" w:hAnsi="Arial" w:cs="Arial"/>
                <w:sz w:val="22"/>
                <w:szCs w:val="22"/>
              </w:rPr>
              <w:t xml:space="preserve"> reached the same level of performance for the Other population group, and the Maori population group, and the Pacific population group (where applicable).</w:t>
            </w:r>
          </w:p>
        </w:tc>
      </w:tr>
      <w:tr w:rsidR="00B116B8" w:rsidRPr="00B116B8" w14:paraId="6834693E"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772E5EE4"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Achieved</w:t>
            </w:r>
          </w:p>
        </w:tc>
        <w:tc>
          <w:tcPr>
            <w:tcW w:w="8246" w:type="dxa"/>
            <w:tcBorders>
              <w:top w:val="single" w:sz="4" w:space="0" w:color="auto"/>
              <w:left w:val="single" w:sz="4" w:space="0" w:color="auto"/>
              <w:bottom w:val="single" w:sz="4" w:space="0" w:color="auto"/>
              <w:right w:val="single" w:sz="4" w:space="0" w:color="auto"/>
            </w:tcBorders>
          </w:tcPr>
          <w:p w14:paraId="48FB5753" w14:textId="77777777" w:rsidR="00B116B8" w:rsidRPr="00B116B8" w:rsidRDefault="00B116B8" w:rsidP="00B116B8">
            <w:pPr>
              <w:autoSpaceDE w:val="0"/>
              <w:autoSpaceDN w:val="0"/>
              <w:adjustRightInd w:val="0"/>
              <w:rPr>
                <w:rFonts w:ascii="Tms Rmn" w:hAnsi="Tms Rmn"/>
                <w:lang w:eastAsia="en-NZ"/>
              </w:rPr>
            </w:pPr>
            <w:r w:rsidRPr="00B116B8">
              <w:rPr>
                <w:rFonts w:ascii="Arial" w:hAnsi="Arial" w:cs="Arial"/>
                <w:sz w:val="22"/>
                <w:szCs w:val="22"/>
              </w:rPr>
              <w:t>All targets agreed in the Annual Plan are met, within 95% - 105% of specified targets</w:t>
            </w:r>
          </w:p>
          <w:p w14:paraId="6D51E6CA"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b/>
                <w:bCs/>
                <w:iCs/>
                <w:color w:val="000000"/>
                <w:sz w:val="22"/>
                <w:szCs w:val="22"/>
                <w:lang w:eastAsia="en-NZ"/>
              </w:rPr>
              <w:t>and</w:t>
            </w:r>
            <w:r w:rsidRPr="00B116B8">
              <w:rPr>
                <w:rFonts w:ascii="Arial" w:hAnsi="Arial" w:cs="Arial"/>
                <w:iCs/>
                <w:color w:val="000000"/>
                <w:sz w:val="22"/>
                <w:szCs w:val="22"/>
                <w:lang w:eastAsia="en-NZ"/>
              </w:rPr>
              <w:t xml:space="preserve"> </w:t>
            </w:r>
          </w:p>
          <w:p w14:paraId="7A0FB2D7"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iCs/>
                <w:color w:val="000000"/>
                <w:sz w:val="22"/>
                <w:szCs w:val="22"/>
                <w:lang w:eastAsia="en-NZ"/>
              </w:rPr>
              <w:t>a resolution plan with appropriate actions is provided if the total population target is not met for the Māori population group, and the Pacific population group</w:t>
            </w:r>
          </w:p>
          <w:p w14:paraId="474CCBD4" w14:textId="77777777" w:rsidR="00B116B8" w:rsidRPr="00B116B8" w:rsidRDefault="00B116B8" w:rsidP="00B116B8">
            <w:pPr>
              <w:autoSpaceDE w:val="0"/>
              <w:autoSpaceDN w:val="0"/>
              <w:adjustRightInd w:val="0"/>
              <w:rPr>
                <w:rFonts w:ascii="Arial" w:hAnsi="Arial" w:cs="Arial"/>
                <w:sz w:val="22"/>
                <w:szCs w:val="22"/>
              </w:rPr>
            </w:pPr>
          </w:p>
        </w:tc>
      </w:tr>
      <w:tr w:rsidR="00B116B8" w:rsidRPr="00B116B8" w14:paraId="2D556688"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3DB65893"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Partially Achieved</w:t>
            </w:r>
          </w:p>
        </w:tc>
        <w:tc>
          <w:tcPr>
            <w:tcW w:w="8246" w:type="dxa"/>
            <w:tcBorders>
              <w:top w:val="single" w:sz="4" w:space="0" w:color="auto"/>
              <w:left w:val="single" w:sz="4" w:space="0" w:color="auto"/>
              <w:bottom w:val="single" w:sz="4" w:space="0" w:color="auto"/>
              <w:right w:val="single" w:sz="4" w:space="0" w:color="auto"/>
            </w:tcBorders>
          </w:tcPr>
          <w:p w14:paraId="1770CC35" w14:textId="77777777" w:rsidR="00B116B8" w:rsidRPr="00B116B8" w:rsidRDefault="00B116B8" w:rsidP="00B116B8">
            <w:pPr>
              <w:autoSpaceDE w:val="0"/>
              <w:autoSpaceDN w:val="0"/>
              <w:adjustRightInd w:val="0"/>
              <w:rPr>
                <w:rFonts w:ascii="Arial" w:hAnsi="Arial" w:cs="Arial"/>
                <w:i/>
                <w:iCs/>
                <w:color w:val="000000"/>
                <w:sz w:val="20"/>
                <w:szCs w:val="20"/>
                <w:lang w:eastAsia="en-NZ"/>
              </w:rPr>
            </w:pPr>
            <w:r w:rsidRPr="00B116B8">
              <w:rPr>
                <w:rFonts w:ascii="Arial" w:hAnsi="Arial" w:cs="Arial"/>
                <w:sz w:val="22"/>
                <w:szCs w:val="22"/>
              </w:rPr>
              <w:t>Some or all targets agreed in the Annual Plan are not met, but delivered results are same as, or better than, the results delivered in the prior year</w:t>
            </w:r>
            <w:r w:rsidRPr="00B116B8">
              <w:rPr>
                <w:rFonts w:ascii="Arial" w:hAnsi="Arial" w:cs="Arial"/>
                <w:i/>
                <w:iCs/>
                <w:color w:val="000000"/>
                <w:sz w:val="20"/>
                <w:szCs w:val="20"/>
                <w:lang w:eastAsia="en-NZ"/>
              </w:rPr>
              <w:t xml:space="preserve"> </w:t>
            </w:r>
          </w:p>
          <w:p w14:paraId="5D56C7B2" w14:textId="77777777" w:rsidR="00B116B8" w:rsidRPr="00B116B8" w:rsidRDefault="00B116B8" w:rsidP="00B116B8">
            <w:pPr>
              <w:autoSpaceDE w:val="0"/>
              <w:autoSpaceDN w:val="0"/>
              <w:adjustRightInd w:val="0"/>
              <w:rPr>
                <w:rFonts w:ascii="Arial" w:hAnsi="Arial" w:cs="Arial"/>
                <w:b/>
                <w:iCs/>
                <w:color w:val="000000"/>
                <w:sz w:val="22"/>
                <w:szCs w:val="22"/>
                <w:lang w:eastAsia="en-NZ"/>
              </w:rPr>
            </w:pPr>
            <w:r w:rsidRPr="00B116B8">
              <w:rPr>
                <w:rFonts w:ascii="Arial" w:hAnsi="Arial" w:cs="Arial"/>
                <w:b/>
                <w:iCs/>
                <w:color w:val="000000"/>
                <w:sz w:val="22"/>
                <w:szCs w:val="22"/>
                <w:lang w:eastAsia="en-NZ"/>
              </w:rPr>
              <w:t>and/or</w:t>
            </w:r>
          </w:p>
          <w:p w14:paraId="6537EB94" w14:textId="77777777" w:rsidR="00B116B8" w:rsidRPr="00B116B8" w:rsidRDefault="00B116B8" w:rsidP="00B116B8">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 xml:space="preserve">the DHB has not met the target/performance expectation agreed in its Annual Plan, </w:t>
            </w:r>
            <w:r w:rsidRPr="00B116B8">
              <w:rPr>
                <w:rFonts w:ascii="Arial" w:hAnsi="Arial" w:cs="Arial"/>
                <w:bCs/>
                <w:iCs/>
                <w:color w:val="000000"/>
                <w:sz w:val="22"/>
                <w:szCs w:val="22"/>
                <w:lang w:eastAsia="en-NZ"/>
              </w:rPr>
              <w:t>and</w:t>
            </w:r>
            <w:r w:rsidRPr="00B116B8">
              <w:rPr>
                <w:rFonts w:ascii="Arial" w:hAnsi="Arial" w:cs="Arial"/>
                <w:iCs/>
                <w:color w:val="000000"/>
                <w:sz w:val="22"/>
                <w:szCs w:val="22"/>
                <w:lang w:eastAsia="en-NZ"/>
              </w:rPr>
              <w:t xml:space="preserve"> a resolution plan with appropriate actions is provided, including actions to deliver improved performance for the Māori population group, and the Pacific population group</w:t>
            </w:r>
          </w:p>
        </w:tc>
      </w:tr>
      <w:tr w:rsidR="00B116B8" w:rsidRPr="00B116B8" w14:paraId="4376046D"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404B3A1C"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Not Achieved</w:t>
            </w:r>
          </w:p>
        </w:tc>
        <w:tc>
          <w:tcPr>
            <w:tcW w:w="8246" w:type="dxa"/>
            <w:tcBorders>
              <w:top w:val="single" w:sz="4" w:space="0" w:color="auto"/>
              <w:left w:val="single" w:sz="4" w:space="0" w:color="auto"/>
              <w:bottom w:val="single" w:sz="4" w:space="0" w:color="auto"/>
              <w:right w:val="single" w:sz="4" w:space="0" w:color="auto"/>
            </w:tcBorders>
            <w:hideMark/>
          </w:tcPr>
          <w:p w14:paraId="210121A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Some or all expectations are not met, and actual results are worse than the results delivered in the prior year</w:t>
            </w:r>
          </w:p>
        </w:tc>
      </w:tr>
    </w:tbl>
    <w:p w14:paraId="219498E0" w14:textId="77777777" w:rsidR="00B116B8" w:rsidRPr="00B116B8" w:rsidRDefault="00B116B8" w:rsidP="00B116B8">
      <w:pPr>
        <w:shd w:val="clear" w:color="auto" w:fill="FFFFFF"/>
        <w:spacing w:before="60" w:after="60"/>
        <w:jc w:val="both"/>
        <w:rPr>
          <w:rFonts w:ascii="Arial" w:hAnsi="Arial" w:cs="Arial"/>
          <w:b/>
          <w:szCs w:val="22"/>
        </w:rPr>
      </w:pPr>
    </w:p>
    <w:p w14:paraId="5CB98398"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Reporting Template</w:t>
      </w:r>
    </w:p>
    <w:p w14:paraId="53FA3D3A" w14:textId="77777777" w:rsidR="00B116B8" w:rsidRPr="00B116B8" w:rsidRDefault="00B116B8" w:rsidP="00B116B8">
      <w:pPr>
        <w:rPr>
          <w:rFonts w:ascii="Arial" w:hAnsi="Arial" w:cs="Arial"/>
          <w:b/>
          <w:i/>
        </w:rPr>
      </w:pPr>
      <w:r w:rsidRPr="00B116B8">
        <w:rPr>
          <w:rFonts w:ascii="Arial" w:hAnsi="Arial" w:cs="Arial"/>
          <w:sz w:val="22"/>
          <w:szCs w:val="22"/>
        </w:rPr>
        <w:t>The Ministry of Health Excel reporting template is also located on the nationwide service framework library web site: http://www.nsfl.health.govt.nz/.</w:t>
      </w:r>
      <w:r w:rsidRPr="00B116B8">
        <w:rPr>
          <w:rFonts w:ascii="Arial" w:hAnsi="Arial" w:cs="Arial"/>
          <w:b/>
          <w:i/>
        </w:rPr>
        <w:br w:type="page"/>
      </w:r>
    </w:p>
    <w:p w14:paraId="420BC033" w14:textId="77777777" w:rsidR="00B116B8" w:rsidRPr="00B116B8" w:rsidRDefault="00B116B8" w:rsidP="00663810">
      <w:pPr>
        <w:pStyle w:val="Heading2"/>
      </w:pPr>
      <w:r w:rsidRPr="00B116B8">
        <w:lastRenderedPageBreak/>
        <w:t>Outcome priority: We have health equity for Maori and other groups</w:t>
      </w:r>
    </w:p>
    <w:p w14:paraId="57D92E1B" w14:textId="77777777" w:rsidR="00B116B8" w:rsidRPr="00B116B8" w:rsidRDefault="00B116B8" w:rsidP="00663810">
      <w:pPr>
        <w:pStyle w:val="Heading2"/>
      </w:pPr>
      <w:bookmarkStart w:id="297" w:name="_Toc356565143"/>
      <w:bookmarkStart w:id="298" w:name="_Toc350510633"/>
      <w:bookmarkStart w:id="299" w:name="_Toc349305951"/>
      <w:bookmarkStart w:id="300" w:name="_Toc348339227"/>
      <w:bookmarkStart w:id="301" w:name="_Toc348337562"/>
      <w:bookmarkStart w:id="302" w:name="_Toc343774694"/>
      <w:bookmarkStart w:id="303" w:name="_Toc343769121"/>
      <w:bookmarkStart w:id="304" w:name="_Toc343769030"/>
      <w:bookmarkStart w:id="305" w:name="_Toc343768784"/>
      <w:bookmarkStart w:id="306" w:name="_Toc342981960"/>
      <w:bookmarkStart w:id="307" w:name="_Toc342381807"/>
      <w:bookmarkStart w:id="308" w:name="_Toc340490136"/>
      <w:bookmarkStart w:id="309" w:name="_Toc340489537"/>
      <w:bookmarkStart w:id="310" w:name="_Toc336001207"/>
      <w:bookmarkStart w:id="311" w:name="_Toc318187785"/>
      <w:bookmarkStart w:id="312" w:name="_Toc309640149"/>
      <w:bookmarkStart w:id="313" w:name="_Toc308686908"/>
      <w:bookmarkStart w:id="314" w:name="_Toc308177310"/>
      <w:bookmarkStart w:id="315" w:name="_Toc308176031"/>
      <w:bookmarkStart w:id="316" w:name="_Toc307316844"/>
      <w:bookmarkStart w:id="317" w:name="_Toc277250152"/>
      <w:bookmarkStart w:id="318" w:name="_Toc368554669"/>
      <w:bookmarkStart w:id="319" w:name="_Toc372632997"/>
      <w:bookmarkStart w:id="320" w:name="_Toc373487920"/>
      <w:bookmarkStart w:id="321" w:name="_Toc374703763"/>
      <w:bookmarkStart w:id="322" w:name="_Toc374704402"/>
      <w:bookmarkStart w:id="323" w:name="_Toc381355170"/>
      <w:bookmarkStart w:id="324" w:name="_Toc386712809"/>
      <w:bookmarkStart w:id="325" w:name="_Toc401310852"/>
      <w:bookmarkStart w:id="326" w:name="_Toc401311016"/>
      <w:bookmarkStart w:id="327" w:name="_Toc406138448"/>
      <w:bookmarkStart w:id="328" w:name="_Toc406142846"/>
      <w:bookmarkStart w:id="329" w:name="_Toc433707235"/>
      <w:bookmarkStart w:id="330" w:name="_Toc433707942"/>
      <w:bookmarkStart w:id="331" w:name="_Toc433708754"/>
      <w:bookmarkStart w:id="332" w:name="_Toc444243232"/>
      <w:bookmarkStart w:id="333" w:name="_Toc448753703"/>
      <w:bookmarkStart w:id="334" w:name="_Toc461709148"/>
      <w:bookmarkStart w:id="335" w:name="_Toc491938841"/>
      <w:bookmarkStart w:id="336" w:name="_Toc513555922"/>
      <w:bookmarkStart w:id="337" w:name="_Toc4588524"/>
      <w:bookmarkStart w:id="338" w:name="_Toc9591994"/>
      <w:r w:rsidRPr="00B116B8">
        <w:t>Improving child wellbeing CW02: Oral Health- Mean DMFT score at school Year 8</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1CAA9E2" w14:textId="77777777" w:rsidR="00B116B8" w:rsidRPr="00B116B8" w:rsidRDefault="00B116B8" w:rsidP="00B116B8">
      <w:pPr>
        <w:shd w:val="clear" w:color="auto" w:fill="FFFFFF"/>
        <w:rPr>
          <w:sz w:val="16"/>
          <w:szCs w:val="16"/>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B116B8" w:rsidRPr="00B116B8" w14:paraId="49EEE76F" w14:textId="77777777" w:rsidTr="00D21813">
        <w:tc>
          <w:tcPr>
            <w:tcW w:w="10094" w:type="dxa"/>
            <w:gridSpan w:val="2"/>
            <w:shd w:val="clear" w:color="auto" w:fill="D9D9D9"/>
          </w:tcPr>
          <w:p w14:paraId="16E42868" w14:textId="77777777" w:rsidR="00B116B8" w:rsidRPr="00B116B8" w:rsidRDefault="00B116B8" w:rsidP="00B116B8">
            <w:pPr>
              <w:shd w:val="clear" w:color="auto" w:fill="FFFFFF"/>
              <w:spacing w:before="60" w:after="60"/>
              <w:jc w:val="center"/>
              <w:rPr>
                <w:rFonts w:ascii="Arial" w:hAnsi="Arial" w:cs="Arial"/>
                <w:b/>
                <w:sz w:val="22"/>
                <w:szCs w:val="22"/>
              </w:rPr>
            </w:pPr>
            <w:r w:rsidRPr="00B116B8">
              <w:rPr>
                <w:rFonts w:ascii="Arial" w:hAnsi="Arial" w:cs="Arial"/>
                <w:b/>
                <w:sz w:val="22"/>
                <w:szCs w:val="22"/>
              </w:rPr>
              <w:t>Summary information</w:t>
            </w:r>
          </w:p>
        </w:tc>
      </w:tr>
      <w:tr w:rsidR="00B116B8" w:rsidRPr="00B116B8" w14:paraId="3CF59DFC" w14:textId="77777777" w:rsidTr="00D21813">
        <w:tc>
          <w:tcPr>
            <w:tcW w:w="2864" w:type="dxa"/>
            <w:shd w:val="clear" w:color="auto" w:fill="auto"/>
          </w:tcPr>
          <w:p w14:paraId="6D317C5E"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Target/performance expectation</w:t>
            </w:r>
          </w:p>
        </w:tc>
        <w:tc>
          <w:tcPr>
            <w:tcW w:w="7230" w:type="dxa"/>
            <w:shd w:val="clear" w:color="auto" w:fill="auto"/>
          </w:tcPr>
          <w:p w14:paraId="1E7D0355" w14:textId="77777777" w:rsidR="00B116B8" w:rsidRPr="00B116B8" w:rsidRDefault="00B116B8" w:rsidP="00B116B8">
            <w:pPr>
              <w:shd w:val="clear" w:color="auto" w:fill="FFFFFF"/>
              <w:spacing w:before="60" w:after="60"/>
              <w:jc w:val="both"/>
              <w:rPr>
                <w:rFonts w:ascii="Arial" w:hAnsi="Arial" w:cs="Arial"/>
                <w:b/>
                <w:i/>
                <w:sz w:val="20"/>
                <w:szCs w:val="20"/>
              </w:rPr>
            </w:pPr>
            <w:r w:rsidRPr="00B116B8">
              <w:rPr>
                <w:rFonts w:ascii="Arial" w:hAnsi="Arial" w:cs="Arial"/>
                <w:sz w:val="20"/>
                <w:szCs w:val="20"/>
              </w:rPr>
              <w:t>Agreed in DHB Annual Plan</w:t>
            </w:r>
          </w:p>
        </w:tc>
      </w:tr>
      <w:tr w:rsidR="00B116B8" w:rsidRPr="00B116B8" w14:paraId="10BF959E" w14:textId="77777777" w:rsidTr="00D21813">
        <w:trPr>
          <w:trHeight w:val="493"/>
        </w:trPr>
        <w:tc>
          <w:tcPr>
            <w:tcW w:w="2864" w:type="dxa"/>
            <w:shd w:val="clear" w:color="auto" w:fill="auto"/>
          </w:tcPr>
          <w:p w14:paraId="35BA98AD"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Reporting frequency</w:t>
            </w:r>
          </w:p>
        </w:tc>
        <w:tc>
          <w:tcPr>
            <w:tcW w:w="7230" w:type="dxa"/>
            <w:shd w:val="clear" w:color="auto" w:fill="auto"/>
          </w:tcPr>
          <w:p w14:paraId="527FED4D" w14:textId="77777777" w:rsidR="00B116B8" w:rsidRPr="00B116B8" w:rsidRDefault="00B116B8" w:rsidP="00B116B8">
            <w:pPr>
              <w:shd w:val="clear" w:color="auto" w:fill="FFFFFF"/>
              <w:spacing w:before="60" w:after="60"/>
              <w:jc w:val="both"/>
              <w:rPr>
                <w:rFonts w:ascii="Arial" w:hAnsi="Arial" w:cs="Arial"/>
                <w:sz w:val="20"/>
                <w:szCs w:val="20"/>
              </w:rPr>
            </w:pPr>
            <w:r w:rsidRPr="00B116B8">
              <w:rPr>
                <w:rFonts w:ascii="Arial" w:hAnsi="Arial" w:cs="Arial"/>
                <w:sz w:val="20"/>
                <w:szCs w:val="20"/>
              </w:rPr>
              <w:t>Annually - quarter 3 reports</w:t>
            </w:r>
          </w:p>
        </w:tc>
      </w:tr>
      <w:tr w:rsidR="00B116B8" w:rsidRPr="00B116B8" w14:paraId="2688DEC8" w14:textId="77777777" w:rsidTr="00D21813">
        <w:tc>
          <w:tcPr>
            <w:tcW w:w="2864" w:type="dxa"/>
            <w:shd w:val="clear" w:color="auto" w:fill="auto"/>
          </w:tcPr>
          <w:p w14:paraId="20DB7E6E"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Source information for reporting provided by:</w:t>
            </w:r>
          </w:p>
        </w:tc>
        <w:tc>
          <w:tcPr>
            <w:tcW w:w="7230" w:type="dxa"/>
            <w:shd w:val="clear" w:color="auto" w:fill="auto"/>
          </w:tcPr>
          <w:p w14:paraId="1F8E0600" w14:textId="77777777" w:rsidR="00B116B8" w:rsidRPr="00B116B8" w:rsidRDefault="00B116B8" w:rsidP="00B116B8">
            <w:pPr>
              <w:shd w:val="clear" w:color="auto" w:fill="FFFFFF"/>
              <w:spacing w:before="60" w:after="60"/>
              <w:rPr>
                <w:rFonts w:ascii="Arial" w:hAnsi="Arial" w:cs="Arial"/>
                <w:sz w:val="20"/>
                <w:szCs w:val="20"/>
              </w:rPr>
            </w:pPr>
            <w:r w:rsidRPr="00B116B8">
              <w:rPr>
                <w:rFonts w:ascii="Arial" w:hAnsi="Arial" w:cs="Arial"/>
                <w:sz w:val="20"/>
                <w:szCs w:val="20"/>
              </w:rPr>
              <w:t>Data to be supplied by DHBs, template is on NSFL</w:t>
            </w:r>
          </w:p>
        </w:tc>
      </w:tr>
      <w:tr w:rsidR="00B116B8" w:rsidRPr="00B116B8" w14:paraId="3CD3D913" w14:textId="77777777" w:rsidTr="00D21813">
        <w:trPr>
          <w:trHeight w:val="2182"/>
        </w:trPr>
        <w:tc>
          <w:tcPr>
            <w:tcW w:w="2864" w:type="dxa"/>
            <w:shd w:val="clear" w:color="auto" w:fill="auto"/>
          </w:tcPr>
          <w:p w14:paraId="6BD75BA5" w14:textId="77777777" w:rsidR="00B116B8" w:rsidRPr="00B116B8" w:rsidRDefault="00B116B8" w:rsidP="00B116B8">
            <w:pPr>
              <w:shd w:val="clear" w:color="auto" w:fill="FFFFFF"/>
              <w:spacing w:before="60" w:after="60"/>
              <w:rPr>
                <w:rFonts w:ascii="Arial" w:hAnsi="Arial" w:cs="Arial"/>
                <w:b/>
                <w:i/>
                <w:sz w:val="20"/>
                <w:szCs w:val="20"/>
              </w:rPr>
            </w:pPr>
            <w:r w:rsidRPr="00B116B8">
              <w:rPr>
                <w:rFonts w:ascii="Arial" w:hAnsi="Arial" w:cs="Arial"/>
                <w:b/>
                <w:i/>
                <w:sz w:val="20"/>
                <w:szCs w:val="20"/>
              </w:rPr>
              <w:t>Quarterly reporting  - standard timeline applies</w:t>
            </w:r>
          </w:p>
        </w:tc>
        <w:tc>
          <w:tcPr>
            <w:tcW w:w="7230" w:type="dxa"/>
            <w:shd w:val="clear" w:color="auto" w:fill="auto"/>
          </w:tcPr>
          <w:p w14:paraId="3FE3C399" w14:textId="77777777" w:rsidR="00B116B8" w:rsidRPr="00B116B8" w:rsidRDefault="00B116B8" w:rsidP="00B116B8">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B116B8" w:rsidRPr="00B116B8" w14:paraId="0A7B4C36"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ABC3"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10FE4"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20th of the month following the end of the quarter</w:t>
                  </w:r>
                </w:p>
              </w:tc>
            </w:tr>
            <w:tr w:rsidR="00B116B8" w:rsidRPr="00B116B8" w14:paraId="2D1F7456"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777CE"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D88E"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8-10 working days from receiving reports</w:t>
                  </w:r>
                </w:p>
              </w:tc>
            </w:tr>
            <w:tr w:rsidR="00B116B8" w:rsidRPr="00B116B8" w14:paraId="1A183588"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EDC4A"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5CAF6"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5 working days from receiving initial ratings</w:t>
                  </w:r>
                </w:p>
              </w:tc>
            </w:tr>
            <w:tr w:rsidR="00B116B8" w:rsidRPr="00B116B8" w14:paraId="3BFAF82C" w14:textId="77777777" w:rsidTr="00D2181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A671E"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2B307" w14:textId="77777777" w:rsidR="00B116B8" w:rsidRPr="00B116B8" w:rsidRDefault="00B116B8" w:rsidP="00B116B8">
                  <w:pPr>
                    <w:ind w:left="205" w:hanging="205"/>
                    <w:rPr>
                      <w:rFonts w:ascii="Calibri" w:hAnsi="Calibri"/>
                      <w:sz w:val="20"/>
                      <w:szCs w:val="20"/>
                    </w:rPr>
                  </w:pPr>
                  <w:r w:rsidRPr="00B116B8">
                    <w:rPr>
                      <w:rFonts w:ascii="Calibri" w:hAnsi="Calibri"/>
                      <w:sz w:val="20"/>
                      <w:szCs w:val="20"/>
                    </w:rPr>
                    <w:t>4-5 working days from receiving DHB feedback</w:t>
                  </w:r>
                </w:p>
              </w:tc>
            </w:tr>
          </w:tbl>
          <w:p w14:paraId="260F87A7" w14:textId="77777777" w:rsidR="00B116B8" w:rsidRPr="00B116B8" w:rsidRDefault="00B116B8" w:rsidP="00B116B8">
            <w:pPr>
              <w:shd w:val="clear" w:color="auto" w:fill="FFFFFF"/>
              <w:spacing w:before="60" w:after="60"/>
              <w:jc w:val="both"/>
              <w:rPr>
                <w:rFonts w:ascii="Arial" w:hAnsi="Arial" w:cs="Arial"/>
                <w:i/>
                <w:sz w:val="16"/>
                <w:szCs w:val="16"/>
              </w:rPr>
            </w:pPr>
          </w:p>
        </w:tc>
      </w:tr>
    </w:tbl>
    <w:p w14:paraId="263B8BB7" w14:textId="77777777" w:rsidR="00B116B8" w:rsidRPr="00B116B8" w:rsidRDefault="00B116B8" w:rsidP="00B116B8">
      <w:pPr>
        <w:shd w:val="clear" w:color="auto" w:fill="FFFFFF"/>
        <w:spacing w:before="60" w:after="60"/>
        <w:jc w:val="both"/>
        <w:rPr>
          <w:rFonts w:ascii="Arial" w:hAnsi="Arial" w:cs="Arial"/>
          <w:b/>
          <w:i/>
          <w:szCs w:val="22"/>
        </w:rPr>
      </w:pPr>
      <w:r w:rsidRPr="00B116B8">
        <w:rPr>
          <w:rFonts w:ascii="Arial" w:hAnsi="Arial" w:cs="Arial"/>
          <w:b/>
          <w:szCs w:val="22"/>
        </w:rPr>
        <w:t>Link to outcomes and priority areas</w:t>
      </w:r>
    </w:p>
    <w:p w14:paraId="556BAED7" w14:textId="77777777" w:rsidR="00B116B8" w:rsidRPr="00B116B8" w:rsidRDefault="00B116B8" w:rsidP="00B116B8">
      <w:pPr>
        <w:spacing w:after="120" w:line="300" w:lineRule="auto"/>
        <w:rPr>
          <w:rFonts w:ascii="Arial" w:hAnsi="Arial" w:cs="Arial"/>
          <w:sz w:val="22"/>
          <w:szCs w:val="22"/>
        </w:rPr>
      </w:pPr>
      <w:r w:rsidRPr="00B116B8">
        <w:rPr>
          <w:rFonts w:ascii="Arial" w:hAnsi="Arial" w:cs="Arial"/>
          <w:sz w:val="22"/>
          <w:szCs w:val="22"/>
        </w:rPr>
        <w:t xml:space="preserve">Delivery of this measure supports the vision for the New Zealand health and disability system of </w:t>
      </w:r>
      <w:proofErr w:type="spellStart"/>
      <w:r w:rsidRPr="00B116B8">
        <w:rPr>
          <w:rFonts w:ascii="Arial" w:hAnsi="Arial" w:cs="Arial"/>
          <w:sz w:val="22"/>
          <w:szCs w:val="22"/>
        </w:rPr>
        <w:t>Pae</w:t>
      </w:r>
      <w:proofErr w:type="spellEnd"/>
      <w:r w:rsidRPr="00B116B8">
        <w:rPr>
          <w:rFonts w:ascii="Arial" w:hAnsi="Arial" w:cs="Arial"/>
          <w:sz w:val="22"/>
          <w:szCs w:val="22"/>
        </w:rPr>
        <w:t xml:space="preserve"> Ora – healthy futures.</w:t>
      </w:r>
    </w:p>
    <w:p w14:paraId="1F1F5343" w14:textId="77777777" w:rsidR="00B116B8" w:rsidRPr="00B116B8" w:rsidRDefault="00B116B8" w:rsidP="00B116B8">
      <w:pPr>
        <w:spacing w:before="60" w:after="60"/>
        <w:jc w:val="both"/>
        <w:rPr>
          <w:rFonts w:ascii="Arial" w:hAnsi="Arial" w:cs="Arial"/>
          <w:sz w:val="22"/>
          <w:szCs w:val="22"/>
        </w:rPr>
      </w:pPr>
      <w:r w:rsidRPr="00B116B8">
        <w:rPr>
          <w:rFonts w:ascii="Arial" w:hAnsi="Arial" w:cs="Arial"/>
          <w:sz w:val="22"/>
          <w:szCs w:val="22"/>
        </w:rPr>
        <w:t xml:space="preserve">By improving children’s oral health DHBs will support Government's priority to make New Zealand the best place in the world to be a child and our health system outcome that we have health equity for Maori and other groups. </w:t>
      </w:r>
    </w:p>
    <w:p w14:paraId="0FC9ED10" w14:textId="77777777" w:rsidR="00B116B8" w:rsidRPr="00B116B8" w:rsidRDefault="00B116B8" w:rsidP="00B116B8">
      <w:pPr>
        <w:spacing w:before="60" w:after="60"/>
        <w:jc w:val="both"/>
        <w:rPr>
          <w:rFonts w:ascii="Arial" w:hAnsi="Arial" w:cs="Arial"/>
          <w:sz w:val="22"/>
          <w:szCs w:val="22"/>
        </w:rPr>
      </w:pPr>
    </w:p>
    <w:p w14:paraId="5098295F" w14:textId="77777777" w:rsidR="00B116B8" w:rsidRPr="00B116B8" w:rsidRDefault="00B116B8" w:rsidP="00B116B8">
      <w:pPr>
        <w:spacing w:before="60" w:after="60"/>
        <w:jc w:val="both"/>
        <w:rPr>
          <w:rFonts w:ascii="Arial" w:hAnsi="Arial" w:cs="Arial"/>
          <w:sz w:val="22"/>
          <w:szCs w:val="22"/>
        </w:rPr>
      </w:pPr>
      <w:r w:rsidRPr="00B116B8">
        <w:rPr>
          <w:rFonts w:ascii="Arial" w:hAnsi="Arial" w:cs="Arial"/>
          <w:sz w:val="22"/>
          <w:szCs w:val="22"/>
        </w:rPr>
        <w:t>By providing effective publicly funded child oral health programmes (health promotion, prevention and treatment) that reduce the prevalence of oral disease in children of primary school age, the DHB will contribute to the outcome of protecting and promoting good health and independence through decreasing the prevalence and severity of dental decay experienced by children in school Year 8 (</w:t>
      </w:r>
      <w:proofErr w:type="gramStart"/>
      <w:r w:rsidRPr="00B116B8">
        <w:rPr>
          <w:rFonts w:ascii="Arial" w:hAnsi="Arial" w:cs="Arial"/>
          <w:sz w:val="22"/>
          <w:szCs w:val="22"/>
        </w:rPr>
        <w:t>12/13-year olds</w:t>
      </w:r>
      <w:proofErr w:type="gramEnd"/>
      <w:r w:rsidRPr="00B116B8">
        <w:rPr>
          <w:rFonts w:ascii="Arial" w:hAnsi="Arial" w:cs="Arial"/>
          <w:sz w:val="22"/>
          <w:szCs w:val="22"/>
        </w:rPr>
        <w:t>)..</w:t>
      </w:r>
    </w:p>
    <w:p w14:paraId="787801F1" w14:textId="77777777" w:rsidR="00B116B8" w:rsidRPr="00B116B8" w:rsidRDefault="00B116B8" w:rsidP="00B116B8">
      <w:pPr>
        <w:shd w:val="clear" w:color="auto" w:fill="FFFFFF"/>
        <w:spacing w:before="60" w:after="60"/>
        <w:jc w:val="both"/>
        <w:rPr>
          <w:rFonts w:ascii="Arial" w:hAnsi="Arial" w:cs="Arial"/>
          <w:sz w:val="22"/>
          <w:szCs w:val="22"/>
        </w:rPr>
      </w:pPr>
    </w:p>
    <w:p w14:paraId="2EEF71FD"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This measure also provides information that allows DHBs, and the Ministry, to evaluate how health promotion programmes, and services such as the DHB Community Oral Health Service (COHS) and other child oral health providers, are influencing the oral health status of children.  The data breakdowns by ethnicity and fluoridation status enable DHBs to identify and target the populations in their district where children’s oral health status is poorest.  </w:t>
      </w:r>
    </w:p>
    <w:p w14:paraId="32F4BF11" w14:textId="77777777" w:rsidR="00B116B8" w:rsidRPr="00B116B8" w:rsidRDefault="00B116B8" w:rsidP="00B116B8">
      <w:pPr>
        <w:shd w:val="clear" w:color="auto" w:fill="FFFFFF"/>
        <w:spacing w:before="60" w:after="60"/>
        <w:jc w:val="both"/>
        <w:rPr>
          <w:rFonts w:ascii="Arial" w:hAnsi="Arial" w:cs="Arial"/>
          <w:sz w:val="22"/>
          <w:szCs w:val="22"/>
        </w:rPr>
      </w:pPr>
    </w:p>
    <w:p w14:paraId="7252C5F1"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Through the intermediate outcome, the measure contributes to the </w:t>
      </w:r>
      <w:proofErr w:type="gramStart"/>
      <w:r w:rsidRPr="00B116B8">
        <w:rPr>
          <w:rFonts w:ascii="Arial" w:hAnsi="Arial" w:cs="Arial"/>
          <w:sz w:val="22"/>
          <w:szCs w:val="22"/>
        </w:rPr>
        <w:t>high level</w:t>
      </w:r>
      <w:proofErr w:type="gramEnd"/>
      <w:r w:rsidRPr="00B116B8">
        <w:rPr>
          <w:rFonts w:ascii="Arial" w:hAnsi="Arial" w:cs="Arial"/>
          <w:sz w:val="22"/>
          <w:szCs w:val="22"/>
        </w:rPr>
        <w:t xml:space="preserve"> outcome of New Zealanders living longer, healthier and more independent lives.</w:t>
      </w:r>
    </w:p>
    <w:p w14:paraId="6C80956D" w14:textId="77777777" w:rsidR="00B116B8" w:rsidRPr="00B116B8" w:rsidRDefault="00B116B8" w:rsidP="00B116B8">
      <w:pPr>
        <w:shd w:val="clear" w:color="auto" w:fill="FFFFFF"/>
        <w:spacing w:before="60" w:after="60"/>
        <w:jc w:val="both"/>
        <w:rPr>
          <w:rFonts w:ascii="Arial" w:hAnsi="Arial" w:cs="Arial"/>
          <w:b/>
          <w:sz w:val="22"/>
          <w:szCs w:val="22"/>
        </w:rPr>
      </w:pPr>
    </w:p>
    <w:p w14:paraId="1BF15F93"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Actions and activities are that have a proven impact on this measure:</w:t>
      </w:r>
    </w:p>
    <w:p w14:paraId="15EC505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following actions and activities are examples of initiatives that have a proven impact on this measure:</w:t>
      </w:r>
    </w:p>
    <w:p w14:paraId="25D1D299" w14:textId="77777777" w:rsidR="00B116B8" w:rsidRPr="00B116B8" w:rsidRDefault="00B116B8" w:rsidP="00B116B8">
      <w:pPr>
        <w:numPr>
          <w:ilvl w:val="0"/>
          <w:numId w:val="11"/>
        </w:numPr>
        <w:shd w:val="clear" w:color="auto" w:fill="FFFFFF"/>
        <w:spacing w:before="60" w:after="60"/>
        <w:jc w:val="both"/>
        <w:rPr>
          <w:rFonts w:ascii="Arial" w:hAnsi="Arial" w:cs="Arial"/>
          <w:sz w:val="22"/>
          <w:szCs w:val="22"/>
        </w:rPr>
      </w:pPr>
      <w:r w:rsidRPr="00B116B8">
        <w:rPr>
          <w:rFonts w:ascii="Arial" w:hAnsi="Arial" w:cs="Arial"/>
          <w:sz w:val="22"/>
          <w:szCs w:val="22"/>
        </w:rPr>
        <w:t>increasing enrolment of pre-school children in publicly funded child oral health programmes enables early engagement and provides opportunities for oral health promotion and interventions aimed at prevention of oral disease, and  reduces the prevalence of dental decay</w:t>
      </w:r>
    </w:p>
    <w:p w14:paraId="7D8900A2" w14:textId="77777777" w:rsidR="00B116B8" w:rsidRPr="00B116B8" w:rsidRDefault="00B116B8" w:rsidP="00B116B8">
      <w:pPr>
        <w:numPr>
          <w:ilvl w:val="0"/>
          <w:numId w:val="11"/>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reducing the number of children overdue for their scheduled examinations with the COHS </w:t>
      </w:r>
    </w:p>
    <w:p w14:paraId="0BEA4AE1" w14:textId="77777777" w:rsidR="00B116B8" w:rsidRPr="00B116B8" w:rsidRDefault="00B116B8" w:rsidP="00B116B8">
      <w:pPr>
        <w:numPr>
          <w:ilvl w:val="0"/>
          <w:numId w:val="11"/>
        </w:numPr>
        <w:shd w:val="clear" w:color="auto" w:fill="FFFFFF"/>
        <w:spacing w:before="60" w:after="60"/>
        <w:jc w:val="both"/>
        <w:rPr>
          <w:rFonts w:ascii="Arial" w:hAnsi="Arial" w:cs="Arial"/>
          <w:sz w:val="22"/>
          <w:szCs w:val="22"/>
        </w:rPr>
      </w:pPr>
      <w:r w:rsidRPr="00B116B8">
        <w:rPr>
          <w:rFonts w:ascii="Arial" w:hAnsi="Arial" w:cs="Arial"/>
          <w:sz w:val="22"/>
          <w:szCs w:val="22"/>
        </w:rPr>
        <w:lastRenderedPageBreak/>
        <w:t>improving accessibility of regular care through “hub” and mobile clinics that will be open throughout the year and operate longer hours, and as well as maximising service productivity to increase service coverage for a greater number of children during the year.</w:t>
      </w:r>
    </w:p>
    <w:p w14:paraId="36474F50" w14:textId="77777777" w:rsidR="00B116B8" w:rsidRPr="00B116B8" w:rsidRDefault="00B116B8" w:rsidP="00B116B8">
      <w:pPr>
        <w:shd w:val="clear" w:color="auto" w:fill="FFFFFF"/>
        <w:spacing w:before="60" w:after="60"/>
        <w:jc w:val="both"/>
        <w:rPr>
          <w:rFonts w:ascii="Arial" w:hAnsi="Arial" w:cs="Arial"/>
          <w:b/>
          <w:szCs w:val="22"/>
        </w:rPr>
      </w:pPr>
    </w:p>
    <w:p w14:paraId="68BA8507"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Context</w:t>
      </w:r>
    </w:p>
    <w:p w14:paraId="568E5CF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This measure indicates the prevalence of oral disease and severity of dental decay experienced in children at the end of their primary schooling (Year 8, </w:t>
      </w:r>
      <w:proofErr w:type="gramStart"/>
      <w:r w:rsidRPr="00B116B8">
        <w:rPr>
          <w:rFonts w:ascii="Arial" w:hAnsi="Arial" w:cs="Arial"/>
          <w:sz w:val="22"/>
          <w:szCs w:val="22"/>
        </w:rPr>
        <w:t>12/13-year olds</w:t>
      </w:r>
      <w:proofErr w:type="gramEnd"/>
      <w:r w:rsidRPr="00B116B8">
        <w:rPr>
          <w:rFonts w:ascii="Arial" w:hAnsi="Arial" w:cs="Arial"/>
          <w:sz w:val="22"/>
          <w:szCs w:val="22"/>
        </w:rPr>
        <w:t xml:space="preserve">).  </w:t>
      </w:r>
    </w:p>
    <w:p w14:paraId="2E927B5A"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Publicly funded oral health services are available to children and adolescents from birth to 17 years of age (i.e. until the 18</w:t>
      </w:r>
      <w:r w:rsidRPr="00B116B8">
        <w:rPr>
          <w:rFonts w:ascii="Arial" w:hAnsi="Arial" w:cs="Arial"/>
          <w:sz w:val="22"/>
          <w:szCs w:val="22"/>
          <w:vertAlign w:val="superscript"/>
        </w:rPr>
        <w:t>th</w:t>
      </w:r>
      <w:r w:rsidRPr="00B116B8">
        <w:rPr>
          <w:rFonts w:ascii="Arial" w:hAnsi="Arial" w:cs="Arial"/>
          <w:sz w:val="22"/>
          <w:szCs w:val="22"/>
        </w:rPr>
        <w:t xml:space="preserve"> birthday), through the Community Oral Health Service (COHS) provided by DHBs throughout New Zealand, DHB-funded contracts with Maori oral health providers to provide child oral health services, and DHB-funded contracts with private dentists and Maori oral health providers to provide adolescent oral health services.  </w:t>
      </w:r>
    </w:p>
    <w:p w14:paraId="449307E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After school Year 8, the majority of children transfer to publicly funded oral health services provided for adolescents by private dentists contracted by DHBs, through the nationally standardised Combined Dental Agreement, although some DHBs continue to provide some adolescent oral health services in their COHS and hospital dental departments. </w:t>
      </w:r>
    </w:p>
    <w:p w14:paraId="57A4264D"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Improvements in this measure will show the effectiveness of publicly funded child oral health services, in particular the COHS, and of oral health promotion activities. </w:t>
      </w:r>
    </w:p>
    <w:p w14:paraId="4F5E46F1"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OECD also regularly collates this measure for inclusion in its health outcomes database for cross-country comparisons.</w:t>
      </w:r>
    </w:p>
    <w:p w14:paraId="6ED465C3" w14:textId="77777777" w:rsidR="00B116B8" w:rsidRPr="00B116B8" w:rsidRDefault="00B116B8" w:rsidP="00B116B8">
      <w:pPr>
        <w:shd w:val="clear" w:color="auto" w:fill="FFFFFF"/>
        <w:spacing w:before="60" w:after="60"/>
        <w:jc w:val="both"/>
        <w:rPr>
          <w:rFonts w:ascii="Arial" w:hAnsi="Arial" w:cs="Arial"/>
          <w:sz w:val="16"/>
          <w:szCs w:val="16"/>
        </w:rPr>
      </w:pPr>
    </w:p>
    <w:p w14:paraId="6550DE5A" w14:textId="77777777" w:rsidR="00B116B8" w:rsidRPr="00B116B8" w:rsidRDefault="00B116B8" w:rsidP="00B116B8">
      <w:pPr>
        <w:shd w:val="clear" w:color="auto" w:fill="FFFFFF"/>
        <w:spacing w:before="60" w:after="60"/>
        <w:jc w:val="both"/>
        <w:rPr>
          <w:rFonts w:ascii="Arial" w:hAnsi="Arial" w:cs="Arial"/>
          <w:b/>
          <w:szCs w:val="22"/>
        </w:rPr>
      </w:pPr>
      <w:proofErr w:type="gramStart"/>
      <w:r w:rsidRPr="00B116B8">
        <w:rPr>
          <w:rFonts w:ascii="Arial" w:hAnsi="Arial" w:cs="Arial"/>
          <w:b/>
          <w:szCs w:val="22"/>
        </w:rPr>
        <w:t>Deliverables</w:t>
      </w:r>
      <w:proofErr w:type="gramEnd"/>
      <w:r w:rsidRPr="00B116B8">
        <w:rPr>
          <w:rFonts w:ascii="Arial" w:hAnsi="Arial" w:cs="Arial"/>
          <w:b/>
          <w:szCs w:val="22"/>
        </w:rPr>
        <w:t xml:space="preserve"> definitions</w:t>
      </w:r>
    </w:p>
    <w:p w14:paraId="6A6F0DEA" w14:textId="77777777" w:rsidR="00B116B8" w:rsidRPr="00B116B8" w:rsidRDefault="00B116B8" w:rsidP="00B116B8">
      <w:pPr>
        <w:shd w:val="clear" w:color="auto" w:fill="FFFFFF"/>
        <w:spacing w:before="60" w:after="60"/>
        <w:jc w:val="both"/>
        <w:rPr>
          <w:rFonts w:ascii="Arial" w:hAnsi="Arial" w:cs="Arial"/>
          <w:b/>
          <w:i/>
          <w:sz w:val="22"/>
          <w:szCs w:val="22"/>
        </w:rPr>
      </w:pPr>
      <w:r w:rsidRPr="00B116B8">
        <w:rPr>
          <w:rFonts w:ascii="Arial" w:hAnsi="Arial" w:cs="Arial"/>
          <w:b/>
          <w:i/>
          <w:sz w:val="22"/>
          <w:szCs w:val="22"/>
        </w:rPr>
        <w:t xml:space="preserve">Numerator: </w:t>
      </w:r>
    </w:p>
    <w:p w14:paraId="4175C77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(Data source: DHB via COHS and other oral health providers)</w:t>
      </w:r>
    </w:p>
    <w:p w14:paraId="5E70F013"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Upon the commencement of dental care, at the last dental examination before the child leaves the DHB’s Community Oral Health Service, the total number of:</w:t>
      </w:r>
    </w:p>
    <w:p w14:paraId="2DB6E152" w14:textId="77777777" w:rsidR="00B116B8" w:rsidRPr="00B116B8" w:rsidRDefault="00B116B8" w:rsidP="00B116B8">
      <w:pPr>
        <w:numPr>
          <w:ilvl w:val="0"/>
          <w:numId w:val="12"/>
        </w:numPr>
        <w:shd w:val="clear" w:color="auto" w:fill="FFFFFF"/>
        <w:spacing w:before="60" w:after="60"/>
        <w:ind w:left="284" w:hanging="284"/>
        <w:jc w:val="both"/>
        <w:rPr>
          <w:rFonts w:ascii="Arial" w:hAnsi="Arial" w:cs="Arial"/>
          <w:sz w:val="22"/>
          <w:szCs w:val="22"/>
        </w:rPr>
      </w:pPr>
      <w:r w:rsidRPr="00B116B8">
        <w:rPr>
          <w:rFonts w:ascii="Arial" w:hAnsi="Arial" w:cs="Arial"/>
          <w:sz w:val="22"/>
          <w:szCs w:val="22"/>
        </w:rPr>
        <w:t>permanent teeth of children in school Year 8 (</w:t>
      </w:r>
      <w:proofErr w:type="gramStart"/>
      <w:r w:rsidRPr="00B116B8">
        <w:rPr>
          <w:rFonts w:ascii="Arial" w:hAnsi="Arial" w:cs="Arial"/>
          <w:sz w:val="22"/>
          <w:szCs w:val="22"/>
        </w:rPr>
        <w:t>12/13-year olds</w:t>
      </w:r>
      <w:proofErr w:type="gramEnd"/>
      <w:r w:rsidRPr="00B116B8">
        <w:rPr>
          <w:rFonts w:ascii="Arial" w:hAnsi="Arial" w:cs="Arial"/>
          <w:sz w:val="22"/>
          <w:szCs w:val="22"/>
        </w:rPr>
        <w:t>) that are –</w:t>
      </w:r>
    </w:p>
    <w:p w14:paraId="5BEEC727"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 xml:space="preserve">Decayed (D), </w:t>
      </w:r>
    </w:p>
    <w:p w14:paraId="725AFE21"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Missing (due to caries, M), and</w:t>
      </w:r>
    </w:p>
    <w:p w14:paraId="27D42576"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 xml:space="preserve">Filled (F); and </w:t>
      </w:r>
    </w:p>
    <w:p w14:paraId="10ADE1E2" w14:textId="77777777" w:rsidR="00B116B8" w:rsidRPr="00B116B8" w:rsidRDefault="00B116B8" w:rsidP="00B116B8">
      <w:pPr>
        <w:numPr>
          <w:ilvl w:val="0"/>
          <w:numId w:val="12"/>
        </w:numPr>
        <w:shd w:val="clear" w:color="auto" w:fill="FFFFFF"/>
        <w:spacing w:before="60" w:after="60"/>
        <w:ind w:left="284" w:hanging="284"/>
        <w:jc w:val="both"/>
        <w:rPr>
          <w:rFonts w:ascii="Arial" w:hAnsi="Arial" w:cs="Arial"/>
          <w:sz w:val="22"/>
          <w:szCs w:val="22"/>
        </w:rPr>
      </w:pPr>
      <w:r w:rsidRPr="00B116B8">
        <w:rPr>
          <w:rFonts w:ascii="Arial" w:hAnsi="Arial" w:cs="Arial"/>
          <w:sz w:val="22"/>
          <w:szCs w:val="22"/>
        </w:rPr>
        <w:t xml:space="preserve"> children who are caries-free (decay-free).</w:t>
      </w:r>
    </w:p>
    <w:p w14:paraId="79BF4F8C" w14:textId="77777777" w:rsidR="00B116B8" w:rsidRPr="00B116B8" w:rsidRDefault="00B116B8" w:rsidP="00B116B8">
      <w:pPr>
        <w:shd w:val="clear" w:color="auto" w:fill="FFFFFF"/>
        <w:spacing w:before="60" w:after="60"/>
        <w:jc w:val="both"/>
        <w:rPr>
          <w:rFonts w:ascii="Arial" w:hAnsi="Arial" w:cs="Arial"/>
          <w:b/>
          <w:i/>
          <w:sz w:val="16"/>
          <w:szCs w:val="16"/>
        </w:rPr>
      </w:pPr>
    </w:p>
    <w:p w14:paraId="3B5BB3C2"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b/>
          <w:i/>
          <w:sz w:val="22"/>
          <w:szCs w:val="22"/>
        </w:rPr>
        <w:t xml:space="preserve">Denominator: </w:t>
      </w:r>
    </w:p>
    <w:p w14:paraId="480BE3BB"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(Data source: DHB via COHS and other oral health providers)</w:t>
      </w:r>
    </w:p>
    <w:p w14:paraId="0B2C570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total number of children who have been examined in the Year 8 (</w:t>
      </w:r>
      <w:proofErr w:type="gramStart"/>
      <w:r w:rsidRPr="00B116B8">
        <w:rPr>
          <w:rFonts w:ascii="Arial" w:hAnsi="Arial" w:cs="Arial"/>
          <w:sz w:val="22"/>
          <w:szCs w:val="22"/>
        </w:rPr>
        <w:t>12/13-year olds</w:t>
      </w:r>
      <w:proofErr w:type="gramEnd"/>
      <w:r w:rsidRPr="00B116B8">
        <w:rPr>
          <w:rFonts w:ascii="Arial" w:hAnsi="Arial" w:cs="Arial"/>
          <w:sz w:val="22"/>
          <w:szCs w:val="22"/>
        </w:rPr>
        <w:t xml:space="preserve">) group, in the year to which the reporting relates.  </w:t>
      </w:r>
    </w:p>
    <w:p w14:paraId="3F125B37" w14:textId="77777777" w:rsidR="00B116B8" w:rsidRPr="00B116B8" w:rsidRDefault="00B116B8" w:rsidP="00B116B8">
      <w:pPr>
        <w:shd w:val="clear" w:color="auto" w:fill="FFFFFF"/>
        <w:spacing w:before="60" w:after="60"/>
        <w:jc w:val="both"/>
        <w:rPr>
          <w:rFonts w:ascii="Arial" w:hAnsi="Arial" w:cs="Arial"/>
          <w:b/>
          <w:i/>
          <w:sz w:val="8"/>
          <w:szCs w:val="22"/>
        </w:rPr>
      </w:pPr>
    </w:p>
    <w:p w14:paraId="3E421A02" w14:textId="77777777" w:rsidR="00B116B8" w:rsidRPr="00B116B8" w:rsidRDefault="00B116B8" w:rsidP="00B116B8">
      <w:pPr>
        <w:shd w:val="clear" w:color="auto" w:fill="FFFFFF"/>
        <w:spacing w:before="60" w:after="60"/>
        <w:jc w:val="both"/>
        <w:rPr>
          <w:rFonts w:ascii="Arial" w:hAnsi="Arial" w:cs="Arial"/>
          <w:b/>
          <w:i/>
          <w:sz w:val="22"/>
          <w:szCs w:val="22"/>
        </w:rPr>
      </w:pPr>
      <w:r w:rsidRPr="00B116B8">
        <w:rPr>
          <w:rFonts w:ascii="Arial" w:hAnsi="Arial" w:cs="Arial"/>
          <w:b/>
          <w:i/>
          <w:sz w:val="22"/>
          <w:szCs w:val="22"/>
        </w:rPr>
        <w:t>Other components of this indicator:</w:t>
      </w:r>
    </w:p>
    <w:p w14:paraId="08EC8E14" w14:textId="77777777" w:rsidR="00B116B8" w:rsidRPr="00B116B8" w:rsidRDefault="00B116B8" w:rsidP="00B116B8">
      <w:pPr>
        <w:numPr>
          <w:ilvl w:val="0"/>
          <w:numId w:val="14"/>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The data reported in the </w:t>
      </w:r>
      <w:r w:rsidRPr="00B116B8">
        <w:rPr>
          <w:rFonts w:ascii="Arial" w:hAnsi="Arial" w:cs="Arial"/>
          <w:b/>
          <w:i/>
          <w:sz w:val="22"/>
          <w:szCs w:val="22"/>
        </w:rPr>
        <w:t>Numerator</w:t>
      </w:r>
      <w:r w:rsidRPr="00B116B8">
        <w:rPr>
          <w:rFonts w:ascii="Arial" w:hAnsi="Arial" w:cs="Arial"/>
          <w:sz w:val="22"/>
          <w:szCs w:val="22"/>
        </w:rPr>
        <w:t xml:space="preserve"> and </w:t>
      </w:r>
      <w:r w:rsidRPr="00B116B8">
        <w:rPr>
          <w:rFonts w:ascii="Arial" w:hAnsi="Arial" w:cs="Arial"/>
          <w:b/>
          <w:i/>
          <w:sz w:val="22"/>
          <w:szCs w:val="22"/>
        </w:rPr>
        <w:t>Denominator</w:t>
      </w:r>
      <w:r w:rsidRPr="00B116B8">
        <w:rPr>
          <w:rFonts w:ascii="Arial" w:hAnsi="Arial" w:cs="Arial"/>
          <w:sz w:val="22"/>
          <w:szCs w:val="22"/>
        </w:rPr>
        <w:t xml:space="preserve"> must also be broken down by:</w:t>
      </w:r>
    </w:p>
    <w:p w14:paraId="76135673" w14:textId="77777777" w:rsidR="00B116B8" w:rsidRPr="00B116B8" w:rsidRDefault="00B116B8" w:rsidP="00B116B8">
      <w:pPr>
        <w:numPr>
          <w:ilvl w:val="0"/>
          <w:numId w:val="15"/>
        </w:numPr>
        <w:shd w:val="clear" w:color="auto" w:fill="FFFFFF"/>
        <w:spacing w:before="60" w:after="60"/>
        <w:ind w:hanging="294"/>
        <w:jc w:val="both"/>
        <w:rPr>
          <w:rFonts w:ascii="Arial" w:hAnsi="Arial" w:cs="Arial"/>
          <w:sz w:val="22"/>
          <w:szCs w:val="22"/>
        </w:rPr>
      </w:pPr>
      <w:r w:rsidRPr="00B116B8">
        <w:rPr>
          <w:rFonts w:ascii="Arial" w:hAnsi="Arial" w:cs="Arial"/>
          <w:sz w:val="22"/>
          <w:szCs w:val="22"/>
        </w:rPr>
        <w:t>Ethnicity, using “prioritised ethnicity” approach</w:t>
      </w:r>
      <w:r w:rsidRPr="00B116B8">
        <w:rPr>
          <w:rFonts w:ascii="Arial" w:hAnsi="Arial" w:cs="Arial"/>
          <w:sz w:val="22"/>
          <w:szCs w:val="22"/>
          <w:vertAlign w:val="superscript"/>
        </w:rPr>
        <w:footnoteReference w:id="3"/>
      </w:r>
      <w:r w:rsidRPr="00B116B8">
        <w:rPr>
          <w:rFonts w:ascii="Arial" w:hAnsi="Arial" w:cs="Arial"/>
          <w:sz w:val="22"/>
          <w:szCs w:val="22"/>
        </w:rPr>
        <w:t xml:space="preserve"> into the following (in order of assignment):</w:t>
      </w:r>
    </w:p>
    <w:p w14:paraId="5EE87B07"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proofErr w:type="gramStart"/>
      <w:r w:rsidRPr="00B116B8">
        <w:rPr>
          <w:rFonts w:ascii="Arial" w:hAnsi="Arial" w:cs="Arial"/>
          <w:sz w:val="22"/>
          <w:szCs w:val="22"/>
        </w:rPr>
        <w:t>Māori;</w:t>
      </w:r>
      <w:proofErr w:type="gramEnd"/>
    </w:p>
    <w:p w14:paraId="17C4A21F"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Pacific</w:t>
      </w:r>
    </w:p>
    <w:p w14:paraId="6D8C4C49"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Other, and</w:t>
      </w:r>
    </w:p>
    <w:p w14:paraId="3A57823C" w14:textId="77777777" w:rsidR="00B116B8" w:rsidRPr="00B116B8" w:rsidRDefault="00B116B8" w:rsidP="00B116B8">
      <w:pPr>
        <w:numPr>
          <w:ilvl w:val="0"/>
          <w:numId w:val="15"/>
        </w:numPr>
        <w:shd w:val="clear" w:color="auto" w:fill="FFFFFF"/>
        <w:spacing w:before="60" w:after="60"/>
        <w:ind w:hanging="295"/>
        <w:jc w:val="both"/>
        <w:rPr>
          <w:rFonts w:ascii="Arial" w:hAnsi="Arial" w:cs="Arial"/>
          <w:sz w:val="22"/>
          <w:szCs w:val="22"/>
        </w:rPr>
      </w:pPr>
      <w:r w:rsidRPr="00B116B8">
        <w:rPr>
          <w:rFonts w:ascii="Arial" w:hAnsi="Arial" w:cs="Arial"/>
          <w:sz w:val="22"/>
          <w:szCs w:val="22"/>
        </w:rPr>
        <w:t>water fluoridation status of the school area the child attends, defined as:</w:t>
      </w:r>
    </w:p>
    <w:p w14:paraId="4A2BF90F"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lastRenderedPageBreak/>
        <w:t>fluoridated; and</w:t>
      </w:r>
    </w:p>
    <w:p w14:paraId="13FE964F" w14:textId="77777777" w:rsidR="00B116B8" w:rsidRPr="00B116B8" w:rsidRDefault="00B116B8" w:rsidP="00B116B8">
      <w:pPr>
        <w:numPr>
          <w:ilvl w:val="1"/>
          <w:numId w:val="13"/>
        </w:numPr>
        <w:shd w:val="clear" w:color="auto" w:fill="FFFFFF"/>
        <w:spacing w:before="60" w:after="60"/>
        <w:ind w:left="1077" w:hanging="357"/>
        <w:jc w:val="both"/>
        <w:rPr>
          <w:rFonts w:ascii="Arial" w:hAnsi="Arial" w:cs="Arial"/>
          <w:sz w:val="22"/>
          <w:szCs w:val="22"/>
        </w:rPr>
      </w:pPr>
      <w:r w:rsidRPr="00B116B8">
        <w:rPr>
          <w:rFonts w:ascii="Arial" w:hAnsi="Arial" w:cs="Arial"/>
          <w:sz w:val="22"/>
          <w:szCs w:val="22"/>
        </w:rPr>
        <w:t>non-fluoridated.</w:t>
      </w:r>
    </w:p>
    <w:p w14:paraId="28D910B8" w14:textId="77777777" w:rsidR="00B116B8" w:rsidRPr="00B116B8" w:rsidRDefault="00B116B8" w:rsidP="00B116B8">
      <w:pPr>
        <w:numPr>
          <w:ilvl w:val="0"/>
          <w:numId w:val="14"/>
        </w:numPr>
        <w:shd w:val="clear" w:color="auto" w:fill="FFFFFF"/>
        <w:spacing w:before="60" w:after="60"/>
        <w:jc w:val="both"/>
        <w:rPr>
          <w:rFonts w:ascii="Arial" w:hAnsi="Arial" w:cs="Arial"/>
          <w:sz w:val="22"/>
          <w:szCs w:val="22"/>
        </w:rPr>
      </w:pPr>
      <w:r w:rsidRPr="00B116B8">
        <w:rPr>
          <w:rFonts w:ascii="Arial" w:hAnsi="Arial" w:cs="Arial"/>
          <w:sz w:val="22"/>
          <w:szCs w:val="22"/>
        </w:rPr>
        <w:t>The data for this indicator will be generated by DHBs.  There is a number of technical interpretation issues associated with oral health, which are centred largely around variances in:</w:t>
      </w:r>
    </w:p>
    <w:p w14:paraId="2A632947" w14:textId="77777777" w:rsidR="00B116B8" w:rsidRPr="00B116B8" w:rsidRDefault="00B116B8" w:rsidP="00B116B8">
      <w:pPr>
        <w:numPr>
          <w:ilvl w:val="0"/>
          <w:numId w:val="16"/>
        </w:numPr>
        <w:shd w:val="clear" w:color="auto" w:fill="FFFFFF"/>
        <w:spacing w:before="60" w:after="60"/>
        <w:jc w:val="both"/>
        <w:rPr>
          <w:rFonts w:ascii="Arial" w:hAnsi="Arial" w:cs="Arial"/>
          <w:sz w:val="22"/>
          <w:szCs w:val="22"/>
        </w:rPr>
      </w:pPr>
      <w:r w:rsidRPr="00B116B8">
        <w:rPr>
          <w:rFonts w:ascii="Arial" w:hAnsi="Arial" w:cs="Arial"/>
          <w:sz w:val="22"/>
          <w:szCs w:val="22"/>
        </w:rPr>
        <w:t>processes for data collection amongst DHBs</w:t>
      </w:r>
    </w:p>
    <w:p w14:paraId="393358BE" w14:textId="77777777" w:rsidR="00B116B8" w:rsidRPr="00B116B8" w:rsidRDefault="00B116B8" w:rsidP="00B116B8">
      <w:pPr>
        <w:numPr>
          <w:ilvl w:val="0"/>
          <w:numId w:val="16"/>
        </w:numPr>
        <w:shd w:val="clear" w:color="auto" w:fill="FFFFFF"/>
        <w:spacing w:before="60" w:after="60"/>
        <w:jc w:val="both"/>
        <w:rPr>
          <w:rFonts w:ascii="Arial" w:hAnsi="Arial" w:cs="Arial"/>
          <w:sz w:val="22"/>
          <w:szCs w:val="22"/>
        </w:rPr>
      </w:pPr>
      <w:r w:rsidRPr="00B116B8">
        <w:rPr>
          <w:rFonts w:ascii="Arial" w:hAnsi="Arial" w:cs="Arial"/>
          <w:sz w:val="22"/>
          <w:szCs w:val="22"/>
        </w:rPr>
        <w:t>technologies for management of data amongst DHBs.</w:t>
      </w:r>
    </w:p>
    <w:p w14:paraId="01E04399" w14:textId="77777777" w:rsidR="00B116B8" w:rsidRPr="00B116B8" w:rsidRDefault="00B116B8" w:rsidP="00B116B8">
      <w:pPr>
        <w:numPr>
          <w:ilvl w:val="0"/>
          <w:numId w:val="14"/>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encouraged to record data at the unit (individual child) level, using the National Health Index, but data are reported in an aggregated format and should be provided using the Ministry of Health Excel template, available on the quarterly reporting database or from the Ministry of Health’s Oral Health Team.  </w:t>
      </w:r>
    </w:p>
    <w:p w14:paraId="138DFE81" w14:textId="77777777" w:rsidR="00B116B8" w:rsidRPr="00B116B8" w:rsidRDefault="00B116B8" w:rsidP="00B116B8">
      <w:pPr>
        <w:numPr>
          <w:ilvl w:val="0"/>
          <w:numId w:val="14"/>
        </w:num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required to separately report the number of Decayed, </w:t>
      </w:r>
      <w:proofErr w:type="gramStart"/>
      <w:r w:rsidRPr="00B116B8">
        <w:rPr>
          <w:rFonts w:ascii="Arial" w:hAnsi="Arial" w:cs="Arial"/>
          <w:sz w:val="22"/>
          <w:szCs w:val="22"/>
        </w:rPr>
        <w:t>Missing</w:t>
      </w:r>
      <w:proofErr w:type="gramEnd"/>
      <w:r w:rsidRPr="00B116B8">
        <w:rPr>
          <w:rFonts w:ascii="Arial" w:hAnsi="Arial" w:cs="Arial"/>
          <w:sz w:val="22"/>
          <w:szCs w:val="22"/>
        </w:rPr>
        <w:t xml:space="preserve"> (due to caries), or Filled teeth (as well as total DMFT).</w:t>
      </w:r>
    </w:p>
    <w:p w14:paraId="49695E00" w14:textId="77777777" w:rsidR="00B116B8" w:rsidRPr="00B116B8" w:rsidRDefault="00B116B8" w:rsidP="00B116B8">
      <w:pPr>
        <w:shd w:val="clear" w:color="auto" w:fill="FFFFFF"/>
        <w:spacing w:before="60" w:after="60"/>
        <w:jc w:val="both"/>
        <w:rPr>
          <w:rFonts w:ascii="Arial" w:hAnsi="Arial" w:cs="Arial"/>
          <w:b/>
          <w:sz w:val="16"/>
          <w:szCs w:val="22"/>
        </w:rPr>
      </w:pPr>
    </w:p>
    <w:p w14:paraId="6A480D40"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 xml:space="preserve">Reporting Period </w:t>
      </w:r>
    </w:p>
    <w:p w14:paraId="693135A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b/>
          <w:i/>
          <w:sz w:val="22"/>
          <w:szCs w:val="22"/>
        </w:rPr>
        <w:t>Reporting required</w:t>
      </w:r>
      <w:r w:rsidRPr="00B116B8">
        <w:rPr>
          <w:rFonts w:ascii="Arial" w:hAnsi="Arial" w:cs="Arial"/>
          <w:i/>
          <w:sz w:val="22"/>
          <w:szCs w:val="22"/>
        </w:rPr>
        <w:t>:</w:t>
      </w:r>
      <w:r w:rsidRPr="00B116B8">
        <w:rPr>
          <w:rFonts w:ascii="Arial" w:hAnsi="Arial" w:cs="Arial"/>
          <w:sz w:val="22"/>
          <w:szCs w:val="22"/>
        </w:rPr>
        <w:t xml:space="preserve"> Annual, in the third quarter.</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B116B8" w:rsidRPr="00B116B8" w14:paraId="0DE24547" w14:textId="77777777" w:rsidTr="00D21813">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FE3321D"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A064718" w14:textId="77777777" w:rsidR="00B116B8" w:rsidRPr="00B116B8" w:rsidRDefault="00B116B8" w:rsidP="00B116B8">
            <w:pPr>
              <w:shd w:val="clear" w:color="auto" w:fill="FFFFFF"/>
              <w:spacing w:before="60" w:after="60"/>
              <w:jc w:val="both"/>
              <w:rPr>
                <w:rFonts w:ascii="Arial" w:hAnsi="Arial" w:cs="Arial"/>
                <w:b/>
                <w:sz w:val="22"/>
                <w:szCs w:val="22"/>
              </w:rPr>
            </w:pPr>
            <w:r w:rsidRPr="00B116B8">
              <w:rPr>
                <w:rFonts w:ascii="Arial" w:hAnsi="Arial" w:cs="Arial"/>
                <w:b/>
                <w:sz w:val="22"/>
                <w:szCs w:val="22"/>
              </w:rPr>
              <w:t>For the time period</w:t>
            </w:r>
          </w:p>
        </w:tc>
      </w:tr>
      <w:tr w:rsidR="00B116B8" w:rsidRPr="00B116B8" w14:paraId="20416C48" w14:textId="77777777" w:rsidTr="00D21813">
        <w:trPr>
          <w:jc w:val="center"/>
        </w:trPr>
        <w:tc>
          <w:tcPr>
            <w:tcW w:w="1617" w:type="dxa"/>
            <w:tcBorders>
              <w:top w:val="single" w:sz="4" w:space="0" w:color="auto"/>
              <w:left w:val="single" w:sz="4" w:space="0" w:color="auto"/>
              <w:bottom w:val="single" w:sz="4" w:space="0" w:color="auto"/>
              <w:right w:val="single" w:sz="4" w:space="0" w:color="auto"/>
            </w:tcBorders>
            <w:hideMark/>
          </w:tcPr>
          <w:p w14:paraId="3C887B4D"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Quarter 3</w:t>
            </w:r>
          </w:p>
        </w:tc>
        <w:tc>
          <w:tcPr>
            <w:tcW w:w="4323" w:type="dxa"/>
            <w:tcBorders>
              <w:top w:val="single" w:sz="4" w:space="0" w:color="auto"/>
              <w:left w:val="single" w:sz="4" w:space="0" w:color="auto"/>
              <w:bottom w:val="single" w:sz="4" w:space="0" w:color="auto"/>
              <w:right w:val="single" w:sz="4" w:space="0" w:color="auto"/>
            </w:tcBorders>
            <w:hideMark/>
          </w:tcPr>
          <w:p w14:paraId="5AEF0FE3"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1 January 2019 – 31 December 2019</w:t>
            </w:r>
          </w:p>
        </w:tc>
      </w:tr>
    </w:tbl>
    <w:p w14:paraId="08E3C074"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Expectations</w:t>
      </w:r>
    </w:p>
    <w:p w14:paraId="245AE1C2"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DHBs are expected to report complete, </w:t>
      </w:r>
      <w:proofErr w:type="gramStart"/>
      <w:r w:rsidRPr="00B116B8">
        <w:rPr>
          <w:rFonts w:ascii="Arial" w:hAnsi="Arial" w:cs="Arial"/>
          <w:sz w:val="22"/>
          <w:szCs w:val="22"/>
        </w:rPr>
        <w:t>comprehensive</w:t>
      </w:r>
      <w:proofErr w:type="gramEnd"/>
      <w:r w:rsidRPr="00B116B8">
        <w:rPr>
          <w:rFonts w:ascii="Arial" w:hAnsi="Arial" w:cs="Arial"/>
          <w:sz w:val="22"/>
          <w:szCs w:val="22"/>
        </w:rPr>
        <w:t xml:space="preserve"> and timely information.  It is expected that all DHBs will meet the specific individually agreed targets, for this indicator, as agreed in their Annual Plans.  Where the target has not been met, the DHB must provide commentary or a resolution plan that describes what the DHB will do to address the performance failure.  </w:t>
      </w:r>
    </w:p>
    <w:p w14:paraId="4D938B1E"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DHBs are expected to set targets for this indicator for each of the two calendar years straddled by the fiscal year that the Annual Plan pertains to.</w:t>
      </w:r>
    </w:p>
    <w:p w14:paraId="304CEE38" w14:textId="77777777" w:rsidR="00B116B8" w:rsidRPr="00B116B8" w:rsidRDefault="00B116B8" w:rsidP="00B116B8">
      <w:pPr>
        <w:shd w:val="clear" w:color="auto" w:fill="FFFFFF"/>
        <w:spacing w:before="60" w:after="60"/>
        <w:jc w:val="both"/>
        <w:rPr>
          <w:rFonts w:ascii="Arial" w:hAnsi="Arial" w:cs="Arial"/>
          <w:sz w:val="22"/>
          <w:szCs w:val="22"/>
        </w:rPr>
      </w:pPr>
    </w:p>
    <w:p w14:paraId="125B988A"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The </w:t>
      </w:r>
      <w:r w:rsidRPr="00B116B8">
        <w:rPr>
          <w:rFonts w:ascii="Arial" w:hAnsi="Arial" w:cs="Arial"/>
          <w:i/>
          <w:sz w:val="22"/>
          <w:szCs w:val="22"/>
        </w:rPr>
        <w:t>“year 2 targets”</w:t>
      </w:r>
      <w:r w:rsidRPr="00B116B8">
        <w:rPr>
          <w:rFonts w:ascii="Arial" w:hAnsi="Arial" w:cs="Arial"/>
          <w:sz w:val="22"/>
          <w:szCs w:val="22"/>
        </w:rPr>
        <w:t xml:space="preserve"> from the outgoing fiscal year’s Annual Plan are regarded as indicative and may be revised as the </w:t>
      </w:r>
      <w:r w:rsidRPr="00B116B8">
        <w:rPr>
          <w:rFonts w:ascii="Arial" w:hAnsi="Arial" w:cs="Arial"/>
          <w:i/>
          <w:sz w:val="22"/>
          <w:szCs w:val="22"/>
        </w:rPr>
        <w:t>“year 1 targets”</w:t>
      </w:r>
      <w:r w:rsidRPr="00B116B8">
        <w:rPr>
          <w:rFonts w:ascii="Arial" w:hAnsi="Arial" w:cs="Arial"/>
          <w:sz w:val="22"/>
          <w:szCs w:val="22"/>
        </w:rPr>
        <w:t xml:space="preserve"> for the incoming fiscal year’s Annual Plan. </w:t>
      </w:r>
    </w:p>
    <w:p w14:paraId="5EF79077" w14:textId="77777777" w:rsidR="00B116B8" w:rsidRPr="00B116B8" w:rsidRDefault="00B116B8" w:rsidP="00B116B8">
      <w:pPr>
        <w:shd w:val="clear" w:color="auto" w:fill="FFFFFF"/>
        <w:spacing w:before="60" w:after="60"/>
        <w:jc w:val="both"/>
        <w:rPr>
          <w:rFonts w:ascii="Arial" w:hAnsi="Arial" w:cs="Arial"/>
          <w:sz w:val="22"/>
          <w:szCs w:val="22"/>
        </w:rPr>
      </w:pPr>
    </w:p>
    <w:p w14:paraId="5A6E171F"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 xml:space="preserve">Each DHB’s performance is assessed against </w:t>
      </w:r>
      <w:r w:rsidRPr="00B116B8">
        <w:rPr>
          <w:rFonts w:ascii="Arial" w:hAnsi="Arial" w:cs="Arial"/>
          <w:i/>
          <w:sz w:val="22"/>
          <w:szCs w:val="22"/>
        </w:rPr>
        <w:t>the “year 1 target”</w:t>
      </w:r>
      <w:r w:rsidRPr="00B116B8">
        <w:rPr>
          <w:rFonts w:ascii="Arial" w:hAnsi="Arial" w:cs="Arial"/>
          <w:sz w:val="22"/>
          <w:szCs w:val="22"/>
        </w:rPr>
        <w:t xml:space="preserve">.  However, Annual Plans should focus on the activities that the DHB will put in place to achieve the </w:t>
      </w:r>
      <w:r w:rsidRPr="00B116B8">
        <w:rPr>
          <w:rFonts w:ascii="Arial" w:hAnsi="Arial" w:cs="Arial"/>
          <w:i/>
          <w:sz w:val="22"/>
          <w:szCs w:val="22"/>
        </w:rPr>
        <w:t>“year 2 target”</w:t>
      </w:r>
      <w:r w:rsidRPr="00B116B8">
        <w:rPr>
          <w:rFonts w:ascii="Arial" w:hAnsi="Arial" w:cs="Arial"/>
          <w:sz w:val="22"/>
          <w:szCs w:val="22"/>
        </w:rPr>
        <w:t xml:space="preserve"> – this generally allows DHBs a six-month planning window followed by a 12-month implementation window for DHBs to achieve their “</w:t>
      </w:r>
      <w:r w:rsidRPr="00B116B8">
        <w:rPr>
          <w:rFonts w:ascii="Arial" w:hAnsi="Arial" w:cs="Arial"/>
          <w:i/>
          <w:sz w:val="22"/>
          <w:szCs w:val="22"/>
        </w:rPr>
        <w:t>year 2 targets”</w:t>
      </w:r>
      <w:r w:rsidRPr="00B116B8">
        <w:rPr>
          <w:rFonts w:ascii="Arial" w:hAnsi="Arial" w:cs="Arial"/>
          <w:sz w:val="22"/>
          <w:szCs w:val="22"/>
        </w:rPr>
        <w:t>.</w:t>
      </w:r>
    </w:p>
    <w:p w14:paraId="4C79DDB2" w14:textId="77777777" w:rsidR="00B116B8" w:rsidRPr="00B116B8" w:rsidRDefault="00B116B8" w:rsidP="00B116B8">
      <w:pPr>
        <w:shd w:val="clear" w:color="auto" w:fill="FFFFFF"/>
        <w:spacing w:before="60" w:after="60"/>
        <w:jc w:val="both"/>
        <w:rPr>
          <w:rFonts w:ascii="Arial" w:hAnsi="Arial" w:cs="Arial"/>
          <w:sz w:val="22"/>
          <w:szCs w:val="22"/>
        </w:rPr>
      </w:pPr>
    </w:p>
    <w:p w14:paraId="7A3AE2E8"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lastRenderedPageBreak/>
        <w:t>The following achievement scale will be applied: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92"/>
      </w:tblGrid>
      <w:tr w:rsidR="00B116B8" w:rsidRPr="00B116B8" w14:paraId="14FB1583" w14:textId="77777777" w:rsidTr="00D21813">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1FD80A"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 xml:space="preserve">Rating: </w:t>
            </w:r>
          </w:p>
        </w:tc>
        <w:tc>
          <w:tcPr>
            <w:tcW w:w="799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0AFD7EB"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Definition</w:t>
            </w:r>
          </w:p>
        </w:tc>
      </w:tr>
      <w:tr w:rsidR="00B116B8" w:rsidRPr="00B116B8" w14:paraId="0ACE5B5F" w14:textId="77777777" w:rsidTr="00D21813">
        <w:tc>
          <w:tcPr>
            <w:tcW w:w="2268" w:type="dxa"/>
            <w:tcBorders>
              <w:top w:val="single" w:sz="4" w:space="0" w:color="auto"/>
              <w:left w:val="single" w:sz="4" w:space="0" w:color="auto"/>
              <w:bottom w:val="single" w:sz="4" w:space="0" w:color="auto"/>
              <w:right w:val="single" w:sz="4" w:space="0" w:color="auto"/>
            </w:tcBorders>
            <w:hideMark/>
          </w:tcPr>
          <w:p w14:paraId="7F74EC79"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Outstanding</w:t>
            </w:r>
          </w:p>
        </w:tc>
        <w:tc>
          <w:tcPr>
            <w:tcW w:w="7992" w:type="dxa"/>
            <w:tcBorders>
              <w:top w:val="single" w:sz="4" w:space="0" w:color="auto"/>
              <w:left w:val="single" w:sz="4" w:space="0" w:color="auto"/>
              <w:bottom w:val="single" w:sz="4" w:space="0" w:color="auto"/>
              <w:right w:val="single" w:sz="4" w:space="0" w:color="auto"/>
            </w:tcBorders>
            <w:hideMark/>
          </w:tcPr>
          <w:p w14:paraId="43A0CC67"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 xml:space="preserve">The DHB has met the targets agreed in the Annual Plan, and is more than 5% over specified targets, and </w:t>
            </w:r>
            <w:proofErr w:type="gramStart"/>
            <w:r w:rsidRPr="00B116B8">
              <w:rPr>
                <w:rFonts w:ascii="Arial" w:hAnsi="Arial" w:cs="Arial"/>
                <w:sz w:val="22"/>
                <w:szCs w:val="22"/>
              </w:rPr>
              <w:t>has also has also</w:t>
            </w:r>
            <w:proofErr w:type="gramEnd"/>
            <w:r w:rsidRPr="00B116B8">
              <w:rPr>
                <w:rFonts w:ascii="Arial" w:hAnsi="Arial" w:cs="Arial"/>
                <w:sz w:val="22"/>
                <w:szCs w:val="22"/>
              </w:rPr>
              <w:t xml:space="preserve"> reached the same level of performance for the Other population group, and the Maori population group, and the Pacific population group (where applicable).</w:t>
            </w:r>
          </w:p>
        </w:tc>
      </w:tr>
      <w:tr w:rsidR="00B116B8" w:rsidRPr="00B116B8" w14:paraId="28D7774E" w14:textId="77777777" w:rsidTr="00D21813">
        <w:tc>
          <w:tcPr>
            <w:tcW w:w="2268" w:type="dxa"/>
            <w:tcBorders>
              <w:top w:val="single" w:sz="4" w:space="0" w:color="auto"/>
              <w:left w:val="single" w:sz="4" w:space="0" w:color="auto"/>
              <w:bottom w:val="single" w:sz="4" w:space="0" w:color="auto"/>
              <w:right w:val="single" w:sz="4" w:space="0" w:color="auto"/>
            </w:tcBorders>
            <w:hideMark/>
          </w:tcPr>
          <w:p w14:paraId="2993F7B9"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Achieved</w:t>
            </w:r>
          </w:p>
        </w:tc>
        <w:tc>
          <w:tcPr>
            <w:tcW w:w="7992" w:type="dxa"/>
            <w:tcBorders>
              <w:top w:val="single" w:sz="4" w:space="0" w:color="auto"/>
              <w:left w:val="single" w:sz="4" w:space="0" w:color="auto"/>
              <w:bottom w:val="single" w:sz="4" w:space="0" w:color="auto"/>
              <w:right w:val="single" w:sz="4" w:space="0" w:color="auto"/>
            </w:tcBorders>
            <w:hideMark/>
          </w:tcPr>
          <w:p w14:paraId="2C932E21" w14:textId="77777777" w:rsidR="00B116B8" w:rsidRPr="00B116B8" w:rsidRDefault="00B116B8" w:rsidP="00B116B8">
            <w:pPr>
              <w:autoSpaceDE w:val="0"/>
              <w:autoSpaceDN w:val="0"/>
              <w:adjustRightInd w:val="0"/>
              <w:rPr>
                <w:rFonts w:ascii="Tms Rmn" w:hAnsi="Tms Rmn"/>
                <w:lang w:eastAsia="en-NZ"/>
              </w:rPr>
            </w:pPr>
            <w:r w:rsidRPr="00B116B8">
              <w:rPr>
                <w:rFonts w:ascii="Arial" w:hAnsi="Arial" w:cs="Arial"/>
                <w:sz w:val="22"/>
                <w:szCs w:val="22"/>
              </w:rPr>
              <w:t>All targets agreed in the Annual Plan are met, within 95% - 105% of specified targets</w:t>
            </w:r>
          </w:p>
          <w:p w14:paraId="255D6B20"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b/>
                <w:bCs/>
                <w:iCs/>
                <w:color w:val="000000"/>
                <w:sz w:val="22"/>
                <w:szCs w:val="22"/>
                <w:lang w:eastAsia="en-NZ"/>
              </w:rPr>
              <w:t>and</w:t>
            </w:r>
            <w:r w:rsidRPr="00B116B8">
              <w:rPr>
                <w:rFonts w:ascii="Arial" w:hAnsi="Arial" w:cs="Arial"/>
                <w:iCs/>
                <w:color w:val="000000"/>
                <w:sz w:val="22"/>
                <w:szCs w:val="22"/>
                <w:lang w:eastAsia="en-NZ"/>
              </w:rPr>
              <w:t xml:space="preserve"> </w:t>
            </w:r>
          </w:p>
          <w:p w14:paraId="0BE37AE0"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iCs/>
                <w:color w:val="000000"/>
                <w:sz w:val="22"/>
                <w:szCs w:val="22"/>
                <w:lang w:eastAsia="en-NZ"/>
              </w:rPr>
              <w:t>a resolution plan with appropriate actions is provided if the total population target is not met for the Māori population group, and the Pacific population group</w:t>
            </w:r>
          </w:p>
          <w:p w14:paraId="30EDAB75" w14:textId="77777777" w:rsidR="00B116B8" w:rsidRPr="00B116B8" w:rsidRDefault="00B116B8" w:rsidP="00B116B8">
            <w:pPr>
              <w:autoSpaceDE w:val="0"/>
              <w:autoSpaceDN w:val="0"/>
              <w:adjustRightInd w:val="0"/>
              <w:rPr>
                <w:rFonts w:ascii="Arial" w:hAnsi="Arial" w:cs="Arial"/>
                <w:sz w:val="22"/>
                <w:szCs w:val="22"/>
              </w:rPr>
            </w:pPr>
          </w:p>
        </w:tc>
      </w:tr>
      <w:tr w:rsidR="00B116B8" w:rsidRPr="00B116B8" w14:paraId="3A6AC367" w14:textId="77777777" w:rsidTr="00D21813">
        <w:tc>
          <w:tcPr>
            <w:tcW w:w="2268" w:type="dxa"/>
            <w:tcBorders>
              <w:top w:val="single" w:sz="4" w:space="0" w:color="auto"/>
              <w:left w:val="single" w:sz="4" w:space="0" w:color="auto"/>
              <w:bottom w:val="single" w:sz="4" w:space="0" w:color="auto"/>
              <w:right w:val="single" w:sz="4" w:space="0" w:color="auto"/>
            </w:tcBorders>
            <w:hideMark/>
          </w:tcPr>
          <w:p w14:paraId="6D08AFF8"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Partially Achieved</w:t>
            </w:r>
          </w:p>
        </w:tc>
        <w:tc>
          <w:tcPr>
            <w:tcW w:w="7992" w:type="dxa"/>
            <w:tcBorders>
              <w:top w:val="single" w:sz="4" w:space="0" w:color="auto"/>
              <w:left w:val="single" w:sz="4" w:space="0" w:color="auto"/>
              <w:bottom w:val="single" w:sz="4" w:space="0" w:color="auto"/>
              <w:right w:val="single" w:sz="4" w:space="0" w:color="auto"/>
            </w:tcBorders>
            <w:hideMark/>
          </w:tcPr>
          <w:p w14:paraId="0153A59F" w14:textId="77777777" w:rsidR="00B116B8" w:rsidRPr="00B116B8" w:rsidRDefault="00B116B8" w:rsidP="00B116B8">
            <w:pPr>
              <w:autoSpaceDE w:val="0"/>
              <w:autoSpaceDN w:val="0"/>
              <w:adjustRightInd w:val="0"/>
              <w:rPr>
                <w:rFonts w:ascii="Arial" w:hAnsi="Arial" w:cs="Arial"/>
                <w:i/>
                <w:iCs/>
                <w:color w:val="000000"/>
                <w:sz w:val="20"/>
                <w:szCs w:val="20"/>
                <w:lang w:eastAsia="en-NZ"/>
              </w:rPr>
            </w:pPr>
            <w:r w:rsidRPr="00B116B8">
              <w:rPr>
                <w:rFonts w:ascii="Arial" w:hAnsi="Arial" w:cs="Arial"/>
                <w:sz w:val="22"/>
                <w:szCs w:val="22"/>
              </w:rPr>
              <w:t>Some or all targets agreed in the Annual Plan are not met, but delivered results are same as, or better than, the results delivered in the prior year</w:t>
            </w:r>
            <w:r w:rsidRPr="00B116B8">
              <w:rPr>
                <w:rFonts w:ascii="Arial" w:hAnsi="Arial" w:cs="Arial"/>
                <w:i/>
                <w:iCs/>
                <w:color w:val="000000"/>
                <w:sz w:val="20"/>
                <w:szCs w:val="20"/>
                <w:lang w:eastAsia="en-NZ"/>
              </w:rPr>
              <w:t xml:space="preserve"> </w:t>
            </w:r>
          </w:p>
          <w:p w14:paraId="0105873A" w14:textId="77777777" w:rsidR="00B116B8" w:rsidRPr="00B116B8" w:rsidRDefault="00B116B8" w:rsidP="00B116B8">
            <w:pPr>
              <w:autoSpaceDE w:val="0"/>
              <w:autoSpaceDN w:val="0"/>
              <w:adjustRightInd w:val="0"/>
              <w:rPr>
                <w:rFonts w:ascii="Arial" w:hAnsi="Arial" w:cs="Arial"/>
                <w:b/>
                <w:iCs/>
                <w:color w:val="000000"/>
                <w:sz w:val="22"/>
                <w:szCs w:val="22"/>
                <w:lang w:eastAsia="en-NZ"/>
              </w:rPr>
            </w:pPr>
            <w:r w:rsidRPr="00B116B8">
              <w:rPr>
                <w:rFonts w:ascii="Arial" w:hAnsi="Arial" w:cs="Arial"/>
                <w:b/>
                <w:iCs/>
                <w:color w:val="000000"/>
                <w:sz w:val="22"/>
                <w:szCs w:val="22"/>
                <w:lang w:eastAsia="en-NZ"/>
              </w:rPr>
              <w:t>and/or</w:t>
            </w:r>
          </w:p>
          <w:p w14:paraId="4C2173F8" w14:textId="77777777" w:rsidR="00B116B8" w:rsidRPr="00B116B8" w:rsidRDefault="00B116B8" w:rsidP="00B116B8">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 xml:space="preserve">the DHB has not met the target/performance expectation agreed in its Annual Plan, </w:t>
            </w:r>
            <w:r w:rsidRPr="00B116B8">
              <w:rPr>
                <w:rFonts w:ascii="Arial" w:hAnsi="Arial" w:cs="Arial"/>
                <w:bCs/>
                <w:iCs/>
                <w:color w:val="000000"/>
                <w:sz w:val="22"/>
                <w:szCs w:val="22"/>
                <w:lang w:eastAsia="en-NZ"/>
              </w:rPr>
              <w:t>and</w:t>
            </w:r>
            <w:r w:rsidRPr="00B116B8">
              <w:rPr>
                <w:rFonts w:ascii="Arial" w:hAnsi="Arial" w:cs="Arial"/>
                <w:iCs/>
                <w:color w:val="000000"/>
                <w:sz w:val="22"/>
                <w:szCs w:val="22"/>
                <w:lang w:eastAsia="en-NZ"/>
              </w:rPr>
              <w:t xml:space="preserve"> a resolution plan with appropriate actions is provided, including actions to deliver improved performance for the Māori population group, and the Pacific population group</w:t>
            </w:r>
          </w:p>
        </w:tc>
      </w:tr>
      <w:tr w:rsidR="00B116B8" w:rsidRPr="00B116B8" w14:paraId="4D07A667" w14:textId="77777777" w:rsidTr="00D21813">
        <w:tc>
          <w:tcPr>
            <w:tcW w:w="2268" w:type="dxa"/>
            <w:tcBorders>
              <w:top w:val="single" w:sz="4" w:space="0" w:color="auto"/>
              <w:left w:val="single" w:sz="4" w:space="0" w:color="auto"/>
              <w:bottom w:val="single" w:sz="4" w:space="0" w:color="auto"/>
              <w:right w:val="single" w:sz="4" w:space="0" w:color="auto"/>
            </w:tcBorders>
            <w:hideMark/>
          </w:tcPr>
          <w:p w14:paraId="2CD70A87"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Not Achieved</w:t>
            </w:r>
          </w:p>
        </w:tc>
        <w:tc>
          <w:tcPr>
            <w:tcW w:w="7992" w:type="dxa"/>
            <w:tcBorders>
              <w:top w:val="single" w:sz="4" w:space="0" w:color="auto"/>
              <w:left w:val="single" w:sz="4" w:space="0" w:color="auto"/>
              <w:bottom w:val="single" w:sz="4" w:space="0" w:color="auto"/>
              <w:right w:val="single" w:sz="4" w:space="0" w:color="auto"/>
            </w:tcBorders>
            <w:hideMark/>
          </w:tcPr>
          <w:p w14:paraId="50BBBB27"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Some or all targets agreed in the Annual Plan are not met, and actual results are worse than the results delivered in the prior year</w:t>
            </w:r>
          </w:p>
        </w:tc>
      </w:tr>
    </w:tbl>
    <w:p w14:paraId="39879216"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Reporting Template</w:t>
      </w:r>
    </w:p>
    <w:p w14:paraId="20FC3993"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Ministry of Health Excel reporting template is also located on the nationwide service framework library web site: http://www.nsfl.health.govt.nz/.</w:t>
      </w:r>
    </w:p>
    <w:p w14:paraId="07397F3E" w14:textId="77777777" w:rsidR="00B116B8" w:rsidRPr="00B116B8" w:rsidRDefault="00B116B8" w:rsidP="00B116B8"/>
    <w:p w14:paraId="43D321E6" w14:textId="77777777" w:rsidR="00B116B8" w:rsidRPr="00B116B8" w:rsidRDefault="00B116B8" w:rsidP="00B116B8">
      <w:pPr>
        <w:shd w:val="clear" w:color="auto" w:fill="FFFFFF"/>
        <w:spacing w:before="60" w:after="60"/>
        <w:jc w:val="both"/>
        <w:rPr>
          <w:rFonts w:ascii="Arial" w:hAnsi="Arial" w:cs="Arial"/>
          <w:sz w:val="22"/>
          <w:szCs w:val="22"/>
        </w:rPr>
      </w:pPr>
      <w:bookmarkStart w:id="339" w:name="OLE_LINK1"/>
      <w:r w:rsidRPr="00B116B8">
        <w:rPr>
          <w:rFonts w:ascii="Arial" w:hAnsi="Arial" w:cs="Arial"/>
          <w:sz w:val="22"/>
          <w:szCs w:val="22"/>
        </w:rPr>
        <w:t>The following achievement scale will be applied: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8246"/>
      </w:tblGrid>
      <w:tr w:rsidR="00B116B8" w:rsidRPr="00B116B8" w14:paraId="75A8A308" w14:textId="77777777" w:rsidTr="00D21813">
        <w:tc>
          <w:tcPr>
            <w:tcW w:w="201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5C84D1F"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 xml:space="preserve">Rating: </w:t>
            </w:r>
          </w:p>
        </w:tc>
        <w:tc>
          <w:tcPr>
            <w:tcW w:w="824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436C90" w14:textId="77777777" w:rsidR="00B116B8" w:rsidRPr="00B116B8" w:rsidRDefault="00B116B8" w:rsidP="00B116B8">
            <w:pPr>
              <w:keepNext/>
              <w:shd w:val="clear" w:color="auto" w:fill="FFFFFF"/>
              <w:spacing w:before="60" w:after="60"/>
              <w:jc w:val="both"/>
              <w:rPr>
                <w:rFonts w:ascii="Arial" w:hAnsi="Arial" w:cs="Arial"/>
                <w:b/>
                <w:sz w:val="22"/>
                <w:szCs w:val="22"/>
              </w:rPr>
            </w:pPr>
            <w:r w:rsidRPr="00B116B8">
              <w:rPr>
                <w:rFonts w:ascii="Arial" w:hAnsi="Arial" w:cs="Arial"/>
                <w:b/>
                <w:sz w:val="22"/>
                <w:szCs w:val="22"/>
              </w:rPr>
              <w:t>Definition</w:t>
            </w:r>
          </w:p>
        </w:tc>
      </w:tr>
      <w:tr w:rsidR="00B116B8" w:rsidRPr="00B116B8" w14:paraId="403D22F8"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61835820"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Outstanding</w:t>
            </w:r>
          </w:p>
        </w:tc>
        <w:tc>
          <w:tcPr>
            <w:tcW w:w="8246" w:type="dxa"/>
            <w:tcBorders>
              <w:top w:val="single" w:sz="4" w:space="0" w:color="auto"/>
              <w:left w:val="single" w:sz="4" w:space="0" w:color="auto"/>
              <w:bottom w:val="single" w:sz="4" w:space="0" w:color="auto"/>
              <w:right w:val="single" w:sz="4" w:space="0" w:color="auto"/>
            </w:tcBorders>
            <w:hideMark/>
          </w:tcPr>
          <w:p w14:paraId="06D8A4F6"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 xml:space="preserve">The DHB has met the targets agreed in the Annual Plan, and are more than 5% over specified targets, and </w:t>
            </w:r>
            <w:proofErr w:type="gramStart"/>
            <w:r w:rsidRPr="00B116B8">
              <w:rPr>
                <w:rFonts w:ascii="Arial" w:hAnsi="Arial" w:cs="Arial"/>
                <w:sz w:val="22"/>
                <w:szCs w:val="22"/>
              </w:rPr>
              <w:t>has also has also</w:t>
            </w:r>
            <w:proofErr w:type="gramEnd"/>
            <w:r w:rsidRPr="00B116B8">
              <w:rPr>
                <w:rFonts w:ascii="Arial" w:hAnsi="Arial" w:cs="Arial"/>
                <w:sz w:val="22"/>
                <w:szCs w:val="22"/>
              </w:rPr>
              <w:t xml:space="preserve"> reached the same level of performance for the Other population group, and the Maori population group, and the Pacific population group (where applicable).</w:t>
            </w:r>
          </w:p>
        </w:tc>
      </w:tr>
      <w:tr w:rsidR="00B116B8" w:rsidRPr="00B116B8" w14:paraId="5EEC5D7A"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04736761"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Achieved</w:t>
            </w:r>
          </w:p>
        </w:tc>
        <w:tc>
          <w:tcPr>
            <w:tcW w:w="8246" w:type="dxa"/>
            <w:tcBorders>
              <w:top w:val="single" w:sz="4" w:space="0" w:color="auto"/>
              <w:left w:val="single" w:sz="4" w:space="0" w:color="auto"/>
              <w:bottom w:val="single" w:sz="4" w:space="0" w:color="auto"/>
              <w:right w:val="single" w:sz="4" w:space="0" w:color="auto"/>
            </w:tcBorders>
          </w:tcPr>
          <w:p w14:paraId="5A519B33" w14:textId="77777777" w:rsidR="00B116B8" w:rsidRPr="00B116B8" w:rsidRDefault="00B116B8" w:rsidP="00B116B8">
            <w:pPr>
              <w:autoSpaceDE w:val="0"/>
              <w:autoSpaceDN w:val="0"/>
              <w:adjustRightInd w:val="0"/>
              <w:rPr>
                <w:rFonts w:ascii="Tms Rmn" w:hAnsi="Tms Rmn"/>
                <w:lang w:eastAsia="en-NZ"/>
              </w:rPr>
            </w:pPr>
            <w:r w:rsidRPr="00B116B8">
              <w:rPr>
                <w:rFonts w:ascii="Arial" w:hAnsi="Arial" w:cs="Arial"/>
                <w:sz w:val="22"/>
                <w:szCs w:val="22"/>
              </w:rPr>
              <w:t>All targets agreed in the Annual Plan are met, within 95% - 105% of specified targets</w:t>
            </w:r>
          </w:p>
          <w:p w14:paraId="07BBDEC1"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b/>
                <w:bCs/>
                <w:iCs/>
                <w:color w:val="000000"/>
                <w:sz w:val="22"/>
                <w:szCs w:val="22"/>
                <w:lang w:eastAsia="en-NZ"/>
              </w:rPr>
              <w:t>and</w:t>
            </w:r>
            <w:r w:rsidRPr="00B116B8">
              <w:rPr>
                <w:rFonts w:ascii="Arial" w:hAnsi="Arial" w:cs="Arial"/>
                <w:iCs/>
                <w:color w:val="000000"/>
                <w:sz w:val="22"/>
                <w:szCs w:val="22"/>
                <w:lang w:eastAsia="en-NZ"/>
              </w:rPr>
              <w:t xml:space="preserve"> </w:t>
            </w:r>
          </w:p>
          <w:p w14:paraId="4D5D42D1" w14:textId="77777777" w:rsidR="00B116B8" w:rsidRPr="00B116B8" w:rsidRDefault="00B116B8" w:rsidP="00B116B8">
            <w:pPr>
              <w:autoSpaceDE w:val="0"/>
              <w:autoSpaceDN w:val="0"/>
              <w:adjustRightInd w:val="0"/>
              <w:rPr>
                <w:rFonts w:ascii="Arial" w:hAnsi="Arial" w:cs="Arial"/>
                <w:iCs/>
                <w:color w:val="000000"/>
                <w:sz w:val="22"/>
                <w:szCs w:val="22"/>
                <w:lang w:eastAsia="en-NZ"/>
              </w:rPr>
            </w:pPr>
            <w:r w:rsidRPr="00B116B8">
              <w:rPr>
                <w:rFonts w:ascii="Arial" w:hAnsi="Arial" w:cs="Arial"/>
                <w:iCs/>
                <w:color w:val="000000"/>
                <w:sz w:val="22"/>
                <w:szCs w:val="22"/>
                <w:lang w:eastAsia="en-NZ"/>
              </w:rPr>
              <w:t>a resolution plan with appropriate actions is provided if the total population target is not met for the Māori population group, and the Pacific population group</w:t>
            </w:r>
          </w:p>
          <w:p w14:paraId="0DD92851" w14:textId="77777777" w:rsidR="00B116B8" w:rsidRPr="00B116B8" w:rsidRDefault="00B116B8" w:rsidP="00B116B8">
            <w:pPr>
              <w:autoSpaceDE w:val="0"/>
              <w:autoSpaceDN w:val="0"/>
              <w:adjustRightInd w:val="0"/>
              <w:rPr>
                <w:rFonts w:ascii="Arial" w:hAnsi="Arial" w:cs="Arial"/>
                <w:sz w:val="22"/>
                <w:szCs w:val="22"/>
              </w:rPr>
            </w:pPr>
          </w:p>
        </w:tc>
      </w:tr>
      <w:tr w:rsidR="00B116B8" w:rsidRPr="00B116B8" w14:paraId="1C4C8924"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2CCAF80C" w14:textId="77777777" w:rsidR="00B116B8" w:rsidRPr="00B116B8" w:rsidRDefault="00B116B8" w:rsidP="00B116B8">
            <w:pPr>
              <w:keepNext/>
              <w:shd w:val="clear" w:color="auto" w:fill="FFFFFF"/>
              <w:spacing w:before="60" w:after="60"/>
              <w:jc w:val="both"/>
              <w:rPr>
                <w:rFonts w:ascii="Arial" w:hAnsi="Arial" w:cs="Arial"/>
                <w:sz w:val="22"/>
                <w:szCs w:val="22"/>
              </w:rPr>
            </w:pPr>
            <w:r w:rsidRPr="00B116B8">
              <w:rPr>
                <w:rFonts w:ascii="Arial" w:hAnsi="Arial" w:cs="Arial"/>
                <w:sz w:val="22"/>
                <w:szCs w:val="22"/>
              </w:rPr>
              <w:t>Partially Achieved</w:t>
            </w:r>
          </w:p>
        </w:tc>
        <w:tc>
          <w:tcPr>
            <w:tcW w:w="8246" w:type="dxa"/>
            <w:tcBorders>
              <w:top w:val="single" w:sz="4" w:space="0" w:color="auto"/>
              <w:left w:val="single" w:sz="4" w:space="0" w:color="auto"/>
              <w:bottom w:val="single" w:sz="4" w:space="0" w:color="auto"/>
              <w:right w:val="single" w:sz="4" w:space="0" w:color="auto"/>
            </w:tcBorders>
          </w:tcPr>
          <w:p w14:paraId="019ABF54" w14:textId="77777777" w:rsidR="00B116B8" w:rsidRPr="00B116B8" w:rsidRDefault="00B116B8" w:rsidP="00B116B8">
            <w:pPr>
              <w:autoSpaceDE w:val="0"/>
              <w:autoSpaceDN w:val="0"/>
              <w:adjustRightInd w:val="0"/>
              <w:rPr>
                <w:rFonts w:ascii="Arial" w:hAnsi="Arial" w:cs="Arial"/>
                <w:i/>
                <w:iCs/>
                <w:color w:val="000000"/>
                <w:sz w:val="20"/>
                <w:szCs w:val="20"/>
                <w:lang w:eastAsia="en-NZ"/>
              </w:rPr>
            </w:pPr>
            <w:r w:rsidRPr="00B116B8">
              <w:rPr>
                <w:rFonts w:ascii="Arial" w:hAnsi="Arial" w:cs="Arial"/>
                <w:sz w:val="22"/>
                <w:szCs w:val="22"/>
              </w:rPr>
              <w:t>Some or all targets agreed in the Annual Plan are not met, but delivered results are same as, or better than, the results delivered in the prior year</w:t>
            </w:r>
            <w:r w:rsidRPr="00B116B8">
              <w:rPr>
                <w:rFonts w:ascii="Arial" w:hAnsi="Arial" w:cs="Arial"/>
                <w:i/>
                <w:iCs/>
                <w:color w:val="000000"/>
                <w:sz w:val="20"/>
                <w:szCs w:val="20"/>
                <w:lang w:eastAsia="en-NZ"/>
              </w:rPr>
              <w:t xml:space="preserve"> </w:t>
            </w:r>
          </w:p>
          <w:p w14:paraId="28AA9A43" w14:textId="77777777" w:rsidR="00B116B8" w:rsidRPr="00B116B8" w:rsidRDefault="00B116B8" w:rsidP="00B116B8">
            <w:pPr>
              <w:autoSpaceDE w:val="0"/>
              <w:autoSpaceDN w:val="0"/>
              <w:adjustRightInd w:val="0"/>
              <w:rPr>
                <w:rFonts w:ascii="Arial" w:hAnsi="Arial" w:cs="Arial"/>
                <w:b/>
                <w:iCs/>
                <w:color w:val="000000"/>
                <w:sz w:val="22"/>
                <w:szCs w:val="22"/>
                <w:lang w:eastAsia="en-NZ"/>
              </w:rPr>
            </w:pPr>
            <w:r w:rsidRPr="00B116B8">
              <w:rPr>
                <w:rFonts w:ascii="Arial" w:hAnsi="Arial" w:cs="Arial"/>
                <w:b/>
                <w:iCs/>
                <w:color w:val="000000"/>
                <w:sz w:val="22"/>
                <w:szCs w:val="22"/>
                <w:lang w:eastAsia="en-NZ"/>
              </w:rPr>
              <w:t>and/or</w:t>
            </w:r>
          </w:p>
          <w:p w14:paraId="33ECBE47" w14:textId="77777777" w:rsidR="00B116B8" w:rsidRPr="00B116B8" w:rsidRDefault="00B116B8" w:rsidP="00B116B8">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 xml:space="preserve">the DHB has not met the target/performance expectation agreed in its Annual Plan, </w:t>
            </w:r>
            <w:r w:rsidRPr="00B116B8">
              <w:rPr>
                <w:rFonts w:ascii="Arial" w:hAnsi="Arial" w:cs="Arial"/>
                <w:bCs/>
                <w:iCs/>
                <w:color w:val="000000"/>
                <w:sz w:val="22"/>
                <w:szCs w:val="22"/>
                <w:lang w:eastAsia="en-NZ"/>
              </w:rPr>
              <w:t>and</w:t>
            </w:r>
            <w:r w:rsidRPr="00B116B8">
              <w:rPr>
                <w:rFonts w:ascii="Arial" w:hAnsi="Arial" w:cs="Arial"/>
                <w:iCs/>
                <w:color w:val="000000"/>
                <w:sz w:val="22"/>
                <w:szCs w:val="22"/>
                <w:lang w:eastAsia="en-NZ"/>
              </w:rPr>
              <w:t xml:space="preserve"> a resolution plan with appropriate actions is provided, including actions to deliver improved performance for the Māori population group, and the Pacific population group</w:t>
            </w:r>
          </w:p>
        </w:tc>
      </w:tr>
      <w:tr w:rsidR="00B116B8" w:rsidRPr="00B116B8" w14:paraId="737164B4" w14:textId="77777777" w:rsidTr="00D21813">
        <w:tc>
          <w:tcPr>
            <w:tcW w:w="2014" w:type="dxa"/>
            <w:tcBorders>
              <w:top w:val="single" w:sz="4" w:space="0" w:color="auto"/>
              <w:left w:val="single" w:sz="4" w:space="0" w:color="auto"/>
              <w:bottom w:val="single" w:sz="4" w:space="0" w:color="auto"/>
              <w:right w:val="single" w:sz="4" w:space="0" w:color="auto"/>
            </w:tcBorders>
            <w:hideMark/>
          </w:tcPr>
          <w:p w14:paraId="3F35F605"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Not Achieved</w:t>
            </w:r>
          </w:p>
        </w:tc>
        <w:tc>
          <w:tcPr>
            <w:tcW w:w="8246" w:type="dxa"/>
            <w:tcBorders>
              <w:top w:val="single" w:sz="4" w:space="0" w:color="auto"/>
              <w:left w:val="single" w:sz="4" w:space="0" w:color="auto"/>
              <w:bottom w:val="single" w:sz="4" w:space="0" w:color="auto"/>
              <w:right w:val="single" w:sz="4" w:space="0" w:color="auto"/>
            </w:tcBorders>
            <w:hideMark/>
          </w:tcPr>
          <w:p w14:paraId="142BE809"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Some or all expectations are not met, and actual results are worse than the results delivered in the prior year</w:t>
            </w:r>
          </w:p>
        </w:tc>
      </w:tr>
    </w:tbl>
    <w:p w14:paraId="60313983" w14:textId="77777777" w:rsidR="00B116B8" w:rsidRPr="00B116B8" w:rsidRDefault="00B116B8" w:rsidP="00B116B8">
      <w:pPr>
        <w:shd w:val="clear" w:color="auto" w:fill="FFFFFF"/>
        <w:spacing w:before="60" w:after="60"/>
        <w:jc w:val="both"/>
        <w:rPr>
          <w:rFonts w:ascii="Arial" w:hAnsi="Arial" w:cs="Arial"/>
          <w:b/>
          <w:szCs w:val="22"/>
        </w:rPr>
      </w:pPr>
      <w:r w:rsidRPr="00B116B8">
        <w:rPr>
          <w:rFonts w:ascii="Arial" w:hAnsi="Arial" w:cs="Arial"/>
          <w:b/>
          <w:szCs w:val="22"/>
        </w:rPr>
        <w:t>Reporting Template</w:t>
      </w:r>
    </w:p>
    <w:bookmarkEnd w:id="339"/>
    <w:p w14:paraId="5B7834A0" w14:textId="77777777" w:rsidR="00B116B8" w:rsidRPr="00B116B8" w:rsidRDefault="00B116B8" w:rsidP="00B116B8">
      <w:pPr>
        <w:shd w:val="clear" w:color="auto" w:fill="FFFFFF"/>
        <w:spacing w:before="60" w:after="60"/>
        <w:jc w:val="both"/>
        <w:rPr>
          <w:rFonts w:ascii="Arial" w:hAnsi="Arial" w:cs="Arial"/>
          <w:sz w:val="22"/>
          <w:szCs w:val="22"/>
        </w:rPr>
      </w:pPr>
      <w:r w:rsidRPr="00B116B8">
        <w:rPr>
          <w:rFonts w:ascii="Arial" w:hAnsi="Arial" w:cs="Arial"/>
          <w:sz w:val="22"/>
          <w:szCs w:val="22"/>
        </w:rPr>
        <w:t>The Ministry of Health Excel reporting template is also located on the nationwide service framework library web site: http://www.nsfl.health.govt.nz/.</w:t>
      </w:r>
    </w:p>
    <w:p w14:paraId="2BDE00D9" w14:textId="77777777" w:rsidR="00663810" w:rsidRDefault="00663810">
      <w:pPr>
        <w:rPr>
          <w:rFonts w:ascii="Arial" w:hAnsi="Arial" w:cs="Arial"/>
          <w:b/>
          <w:i/>
        </w:rPr>
      </w:pPr>
      <w:r>
        <w:rPr>
          <w:rFonts w:ascii="Arial" w:hAnsi="Arial" w:cs="Arial"/>
          <w:b/>
          <w:i/>
        </w:rPr>
        <w:br w:type="page"/>
      </w:r>
    </w:p>
    <w:p w14:paraId="2279076A" w14:textId="77777777" w:rsidR="00B116B8" w:rsidRPr="00B116B8" w:rsidRDefault="00B116B8" w:rsidP="00D36743">
      <w:pPr>
        <w:pStyle w:val="Heading2"/>
        <w:rPr>
          <w:sz w:val="22"/>
          <w:szCs w:val="22"/>
        </w:rPr>
      </w:pPr>
      <w:r w:rsidRPr="00B116B8">
        <w:lastRenderedPageBreak/>
        <w:t>Outcome priority: We have health equity for Maori and other groups</w:t>
      </w:r>
    </w:p>
    <w:p w14:paraId="4394E50F" w14:textId="77777777" w:rsidR="007117E9" w:rsidRPr="00B116B8" w:rsidRDefault="007117E9" w:rsidP="007117E9">
      <w:pPr>
        <w:keepNext/>
        <w:shd w:val="clear" w:color="auto" w:fill="FFFFFF" w:themeFill="background1"/>
        <w:spacing w:before="240" w:after="60"/>
        <w:outlineLvl w:val="1"/>
        <w:rPr>
          <w:rFonts w:ascii="Arial" w:hAnsi="Arial" w:cs="Arial"/>
          <w:b/>
          <w:bCs/>
          <w:i/>
          <w:iCs/>
          <w:sz w:val="28"/>
          <w:szCs w:val="28"/>
        </w:rPr>
      </w:pPr>
      <w:r w:rsidRPr="00B116B8">
        <w:rPr>
          <w:rFonts w:ascii="Arial" w:hAnsi="Arial" w:cs="Arial"/>
          <w:b/>
          <w:bCs/>
          <w:i/>
          <w:iCs/>
          <w:sz w:val="28"/>
          <w:szCs w:val="28"/>
        </w:rPr>
        <w:t>Improving child wellbeing CW03: Improving the number of children enrolled in and accessing the Community Oral Health Service.</w:t>
      </w:r>
    </w:p>
    <w:p w14:paraId="42244DCF" w14:textId="77777777" w:rsidR="007117E9" w:rsidRPr="00B116B8" w:rsidRDefault="007117E9" w:rsidP="007117E9"/>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7117E9" w:rsidRPr="00B116B8" w14:paraId="2D4EF3D7" w14:textId="77777777" w:rsidTr="00391DE7">
        <w:tc>
          <w:tcPr>
            <w:tcW w:w="10094" w:type="dxa"/>
            <w:gridSpan w:val="2"/>
            <w:shd w:val="clear" w:color="auto" w:fill="D9D9D9"/>
          </w:tcPr>
          <w:p w14:paraId="05C9E47B"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Summary information</w:t>
            </w:r>
          </w:p>
        </w:tc>
      </w:tr>
      <w:tr w:rsidR="007117E9" w:rsidRPr="00B116B8" w14:paraId="52955C1D" w14:textId="77777777" w:rsidTr="00391DE7">
        <w:tc>
          <w:tcPr>
            <w:tcW w:w="2864" w:type="dxa"/>
            <w:shd w:val="clear" w:color="auto" w:fill="auto"/>
          </w:tcPr>
          <w:p w14:paraId="48ED3893"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Target/performance expectation</w:t>
            </w:r>
          </w:p>
        </w:tc>
        <w:tc>
          <w:tcPr>
            <w:tcW w:w="7230" w:type="dxa"/>
            <w:shd w:val="clear" w:color="auto" w:fill="auto"/>
          </w:tcPr>
          <w:p w14:paraId="4FA04574"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sz w:val="20"/>
                <w:szCs w:val="20"/>
              </w:rPr>
              <w:t>Agreed in DHB Annual Plan</w:t>
            </w:r>
          </w:p>
        </w:tc>
      </w:tr>
      <w:tr w:rsidR="007117E9" w:rsidRPr="00B116B8" w14:paraId="68541D76" w14:textId="77777777" w:rsidTr="00391DE7">
        <w:trPr>
          <w:trHeight w:val="493"/>
        </w:trPr>
        <w:tc>
          <w:tcPr>
            <w:tcW w:w="2864" w:type="dxa"/>
            <w:shd w:val="clear" w:color="auto" w:fill="auto"/>
          </w:tcPr>
          <w:p w14:paraId="46FBB0BB"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Reporting frequency</w:t>
            </w:r>
          </w:p>
        </w:tc>
        <w:tc>
          <w:tcPr>
            <w:tcW w:w="7230" w:type="dxa"/>
            <w:shd w:val="clear" w:color="auto" w:fill="auto"/>
          </w:tcPr>
          <w:p w14:paraId="40B7DADD" w14:textId="77777777" w:rsidR="007117E9" w:rsidRPr="00B116B8" w:rsidRDefault="007117E9" w:rsidP="00391DE7">
            <w:pPr>
              <w:shd w:val="clear" w:color="auto" w:fill="FFFFFF"/>
              <w:spacing w:before="60" w:after="60"/>
              <w:rPr>
                <w:rFonts w:ascii="Arial" w:hAnsi="Arial" w:cs="Arial"/>
                <w:sz w:val="20"/>
                <w:szCs w:val="20"/>
              </w:rPr>
            </w:pPr>
            <w:r>
              <w:rPr>
                <w:rFonts w:ascii="Arial" w:hAnsi="Arial" w:cs="Arial"/>
                <w:sz w:val="20"/>
                <w:szCs w:val="20"/>
              </w:rPr>
              <w:t>Quarterly</w:t>
            </w:r>
            <w:r w:rsidRPr="00B116B8">
              <w:rPr>
                <w:rFonts w:ascii="Arial" w:hAnsi="Arial" w:cs="Arial"/>
                <w:sz w:val="20"/>
                <w:szCs w:val="20"/>
              </w:rPr>
              <w:t xml:space="preserve"> </w:t>
            </w:r>
          </w:p>
        </w:tc>
      </w:tr>
      <w:tr w:rsidR="007117E9" w:rsidRPr="00B116B8" w14:paraId="2BBA1BF6" w14:textId="77777777" w:rsidTr="00391DE7">
        <w:tc>
          <w:tcPr>
            <w:tcW w:w="2864" w:type="dxa"/>
            <w:shd w:val="clear" w:color="auto" w:fill="auto"/>
          </w:tcPr>
          <w:p w14:paraId="7DFB1526"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Source information for reporting provided by:</w:t>
            </w:r>
          </w:p>
        </w:tc>
        <w:tc>
          <w:tcPr>
            <w:tcW w:w="7230" w:type="dxa"/>
            <w:shd w:val="clear" w:color="auto" w:fill="auto"/>
          </w:tcPr>
          <w:p w14:paraId="2467587B" w14:textId="77777777" w:rsidR="007117E9" w:rsidRPr="00B116B8" w:rsidRDefault="007117E9" w:rsidP="00391DE7">
            <w:pPr>
              <w:shd w:val="clear" w:color="auto" w:fill="FFFFFF"/>
              <w:spacing w:before="60" w:after="60"/>
              <w:rPr>
                <w:rFonts w:ascii="Arial" w:hAnsi="Arial" w:cs="Arial"/>
                <w:i/>
                <w:sz w:val="20"/>
                <w:szCs w:val="20"/>
              </w:rPr>
            </w:pPr>
            <w:r w:rsidRPr="00B116B8">
              <w:rPr>
                <w:rFonts w:ascii="Arial" w:hAnsi="Arial" w:cs="Arial"/>
                <w:i/>
                <w:sz w:val="20"/>
                <w:szCs w:val="20"/>
              </w:rPr>
              <w:t>Data to be supplied by DHBs</w:t>
            </w:r>
            <w:r>
              <w:rPr>
                <w:rFonts w:ascii="Arial" w:hAnsi="Arial" w:cs="Arial"/>
                <w:i/>
                <w:sz w:val="20"/>
                <w:szCs w:val="20"/>
              </w:rPr>
              <w:t>,</w:t>
            </w:r>
            <w:r w:rsidRPr="00B116B8">
              <w:rPr>
                <w:rFonts w:ascii="Arial" w:hAnsi="Arial" w:cs="Arial"/>
                <w:i/>
                <w:sz w:val="20"/>
                <w:szCs w:val="20"/>
              </w:rPr>
              <w:t xml:space="preserve"> template is on the</w:t>
            </w:r>
            <w:r>
              <w:rPr>
                <w:rFonts w:ascii="Arial" w:hAnsi="Arial" w:cs="Arial"/>
                <w:sz w:val="20"/>
                <w:szCs w:val="20"/>
              </w:rPr>
              <w:t xml:space="preserve"> quarterly reporting website</w:t>
            </w:r>
          </w:p>
        </w:tc>
      </w:tr>
      <w:tr w:rsidR="007117E9" w:rsidRPr="00B116B8" w14:paraId="23A077DD" w14:textId="77777777" w:rsidTr="00391DE7">
        <w:trPr>
          <w:trHeight w:val="2182"/>
        </w:trPr>
        <w:tc>
          <w:tcPr>
            <w:tcW w:w="2864" w:type="dxa"/>
            <w:shd w:val="clear" w:color="auto" w:fill="auto"/>
          </w:tcPr>
          <w:p w14:paraId="1DCF6577"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Quarterly reporting  - standard timeline applies</w:t>
            </w:r>
          </w:p>
        </w:tc>
        <w:tc>
          <w:tcPr>
            <w:tcW w:w="7230" w:type="dxa"/>
            <w:shd w:val="clear" w:color="auto" w:fill="auto"/>
          </w:tcPr>
          <w:p w14:paraId="38744971" w14:textId="77777777" w:rsidR="007117E9" w:rsidRPr="00B116B8" w:rsidRDefault="007117E9" w:rsidP="00391DE7">
            <w:pPr>
              <w:shd w:val="clear" w:color="auto" w:fill="FFFFFF"/>
              <w:spacing w:before="60" w:after="60"/>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7117E9" w:rsidRPr="00B116B8" w14:paraId="7E508EB6"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4B44"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5A08"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20th of the month following the end of the quarter</w:t>
                  </w:r>
                </w:p>
              </w:tc>
            </w:tr>
            <w:tr w:rsidR="007117E9" w:rsidRPr="00B116B8" w14:paraId="4C213B4D"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E9F4"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3001"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8-10 working days from receiving reports</w:t>
                  </w:r>
                </w:p>
              </w:tc>
            </w:tr>
            <w:tr w:rsidR="007117E9" w:rsidRPr="00B116B8" w14:paraId="44E3DD76"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E7DE"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802E4"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5 working days from receiving initial ratings</w:t>
                  </w:r>
                </w:p>
              </w:tc>
            </w:tr>
            <w:tr w:rsidR="007117E9" w:rsidRPr="00B116B8" w14:paraId="120B5048"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3E2A3"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A8133"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4-5 working days from receiving DHB feedback</w:t>
                  </w:r>
                </w:p>
              </w:tc>
            </w:tr>
          </w:tbl>
          <w:p w14:paraId="571389F6" w14:textId="77777777" w:rsidR="007117E9" w:rsidRPr="00B116B8" w:rsidRDefault="007117E9" w:rsidP="00391DE7">
            <w:pPr>
              <w:shd w:val="clear" w:color="auto" w:fill="FFFFFF"/>
              <w:spacing w:before="60" w:after="60"/>
              <w:rPr>
                <w:rFonts w:ascii="Arial" w:hAnsi="Arial" w:cs="Arial"/>
                <w:i/>
                <w:sz w:val="16"/>
                <w:szCs w:val="16"/>
              </w:rPr>
            </w:pPr>
          </w:p>
        </w:tc>
      </w:tr>
      <w:tr w:rsidR="007117E9" w:rsidRPr="00B116B8" w14:paraId="05BDE4E1" w14:textId="77777777" w:rsidTr="00391DE7">
        <w:trPr>
          <w:trHeight w:val="555"/>
        </w:trPr>
        <w:tc>
          <w:tcPr>
            <w:tcW w:w="2864" w:type="dxa"/>
            <w:shd w:val="clear" w:color="auto" w:fill="auto"/>
          </w:tcPr>
          <w:p w14:paraId="5E23166D"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 xml:space="preserve">Linkage </w:t>
            </w:r>
          </w:p>
        </w:tc>
        <w:tc>
          <w:tcPr>
            <w:tcW w:w="7230" w:type="dxa"/>
            <w:shd w:val="clear" w:color="auto" w:fill="auto"/>
          </w:tcPr>
          <w:p w14:paraId="032035D5" w14:textId="77777777" w:rsidR="007117E9" w:rsidRPr="00B116B8" w:rsidRDefault="007117E9" w:rsidP="00391DE7">
            <w:pPr>
              <w:shd w:val="clear" w:color="auto" w:fill="FFFFFF"/>
              <w:spacing w:before="60" w:after="60"/>
              <w:rPr>
                <w:rFonts w:ascii="Arial" w:hAnsi="Arial" w:cs="Arial"/>
                <w:sz w:val="20"/>
                <w:szCs w:val="20"/>
              </w:rPr>
            </w:pPr>
            <w:r w:rsidRPr="00B116B8">
              <w:rPr>
                <w:rFonts w:ascii="Arial" w:hAnsi="Arial" w:cs="Arial"/>
                <w:sz w:val="20"/>
                <w:szCs w:val="20"/>
              </w:rPr>
              <w:t>This measure also links to SI5: Delivery of Whanau Ora</w:t>
            </w:r>
          </w:p>
        </w:tc>
      </w:tr>
    </w:tbl>
    <w:p w14:paraId="61023D91" w14:textId="77777777" w:rsidR="007117E9" w:rsidRPr="00B116B8" w:rsidRDefault="007117E9" w:rsidP="007117E9">
      <w:pPr>
        <w:shd w:val="clear" w:color="auto" w:fill="FFFFFF"/>
        <w:spacing w:before="120" w:after="60"/>
        <w:rPr>
          <w:rFonts w:ascii="Arial" w:hAnsi="Arial" w:cs="Arial"/>
          <w:b/>
          <w:i/>
          <w:szCs w:val="22"/>
        </w:rPr>
      </w:pPr>
      <w:r w:rsidRPr="00B116B8">
        <w:rPr>
          <w:rFonts w:ascii="Arial" w:hAnsi="Arial" w:cs="Arial"/>
          <w:b/>
          <w:szCs w:val="22"/>
        </w:rPr>
        <w:t>Link to outcomes and priority areas</w:t>
      </w:r>
    </w:p>
    <w:p w14:paraId="2E00CC7E" w14:textId="77777777" w:rsidR="007117E9" w:rsidRPr="00B116B8" w:rsidRDefault="007117E9" w:rsidP="007117E9">
      <w:pPr>
        <w:spacing w:before="120" w:after="120" w:line="300" w:lineRule="auto"/>
        <w:rPr>
          <w:rFonts w:ascii="Arial" w:hAnsi="Arial" w:cs="Arial"/>
          <w:sz w:val="22"/>
          <w:szCs w:val="22"/>
        </w:rPr>
      </w:pPr>
      <w:r w:rsidRPr="00B116B8">
        <w:rPr>
          <w:rFonts w:ascii="Arial" w:hAnsi="Arial" w:cs="Arial"/>
          <w:sz w:val="22"/>
          <w:szCs w:val="22"/>
        </w:rPr>
        <w:t xml:space="preserve">Delivery of this measure supports the vision for the New Zealand health and disability system of </w:t>
      </w:r>
      <w:proofErr w:type="spellStart"/>
      <w:r w:rsidRPr="00B116B8">
        <w:rPr>
          <w:rFonts w:ascii="Arial" w:hAnsi="Arial" w:cs="Arial"/>
          <w:sz w:val="22"/>
          <w:szCs w:val="22"/>
        </w:rPr>
        <w:t>Pae</w:t>
      </w:r>
      <w:proofErr w:type="spellEnd"/>
      <w:r w:rsidRPr="00B116B8">
        <w:rPr>
          <w:rFonts w:ascii="Arial" w:hAnsi="Arial" w:cs="Arial"/>
          <w:sz w:val="22"/>
          <w:szCs w:val="22"/>
        </w:rPr>
        <w:t xml:space="preserve"> Ora – healthy futures.</w:t>
      </w:r>
    </w:p>
    <w:p w14:paraId="6FB1CCBF" w14:textId="77777777" w:rsidR="007117E9" w:rsidRPr="00B116B8" w:rsidRDefault="007117E9" w:rsidP="007117E9">
      <w:pPr>
        <w:spacing w:before="60" w:after="60"/>
        <w:rPr>
          <w:rFonts w:ascii="Arial" w:hAnsi="Arial" w:cs="Arial"/>
          <w:sz w:val="22"/>
          <w:szCs w:val="22"/>
        </w:rPr>
      </w:pPr>
      <w:r w:rsidRPr="00B116B8">
        <w:rPr>
          <w:rFonts w:ascii="Arial" w:hAnsi="Arial" w:cs="Arial"/>
          <w:sz w:val="22"/>
          <w:szCs w:val="22"/>
        </w:rPr>
        <w:t xml:space="preserve">By improving children’s oral health DHBs will support Government's priority to make New Zealand the best place in the world to be a child and our health system outcome that we have health equity for Maori and other groups. </w:t>
      </w:r>
    </w:p>
    <w:p w14:paraId="1308A676" w14:textId="77777777" w:rsidR="007117E9" w:rsidRPr="00B116B8" w:rsidRDefault="007117E9" w:rsidP="007117E9">
      <w:pPr>
        <w:shd w:val="clear" w:color="auto" w:fill="FFFFFF"/>
        <w:spacing w:before="120" w:after="60"/>
        <w:rPr>
          <w:rFonts w:ascii="Arial" w:hAnsi="Arial" w:cs="Arial"/>
          <w:b/>
          <w:sz w:val="22"/>
          <w:szCs w:val="22"/>
        </w:rPr>
      </w:pPr>
      <w:r w:rsidRPr="00B116B8">
        <w:rPr>
          <w:rFonts w:ascii="Arial" w:hAnsi="Arial" w:cs="Arial"/>
          <w:b/>
          <w:sz w:val="22"/>
          <w:szCs w:val="22"/>
        </w:rPr>
        <w:t>Actions and activities that have a proven impact on this measure:</w:t>
      </w:r>
    </w:p>
    <w:p w14:paraId="4DE6C612"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The following actions and activities are examples of initiatives that have a proven impact on this measure:</w:t>
      </w:r>
    </w:p>
    <w:p w14:paraId="29498C23"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increasing enrolment of pre-school children in publicly funded child oral health programmes enables early engagement and provides opportunities for oral health promotion and interventions aimed at prevention of oral disease, and reduces the prevalence of dental decay</w:t>
      </w:r>
    </w:p>
    <w:p w14:paraId="0591EE44"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reducing the number of children overdue for their scheduled examinations with the COHS</w:t>
      </w:r>
    </w:p>
    <w:p w14:paraId="4A6E481F"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improving accessibility of regular care through “hub” and mobile clinics that will be open throughout the year and operate longer hours, and as well as maximising service productivity to increase service coverage for a greater number of children during the year.</w:t>
      </w:r>
    </w:p>
    <w:p w14:paraId="03D1A78E"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Context</w:t>
      </w:r>
    </w:p>
    <w:p w14:paraId="1D15A158"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These measures indicate the coverage and timeliness of publicly funded child oral health services delivered by the COHS.</w:t>
      </w:r>
    </w:p>
    <w:p w14:paraId="61DB6DA1"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 xml:space="preserve">Publicly funded oral health services are available to children and adolescents from birth to 17 years of age, through the COHS, provided by DHBs throughout New Zealand, DHB-funded contracts with Maori oral health providers to provide child oral health services, and DHB-funded contracts with private dentists and Maori oral health providers to provide adolescent oral health services.  </w:t>
      </w:r>
    </w:p>
    <w:p w14:paraId="3A09B053"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lastRenderedPageBreak/>
        <w:t xml:space="preserve">Improvements in these measures show the coverage and timeliness of </w:t>
      </w:r>
      <w:proofErr w:type="gramStart"/>
      <w:r w:rsidRPr="00B116B8">
        <w:rPr>
          <w:rFonts w:ascii="Arial" w:hAnsi="Arial" w:cs="Arial"/>
          <w:sz w:val="22"/>
          <w:szCs w:val="22"/>
        </w:rPr>
        <w:t>publicly-funded</w:t>
      </w:r>
      <w:proofErr w:type="gramEnd"/>
      <w:r w:rsidRPr="00B116B8">
        <w:rPr>
          <w:rFonts w:ascii="Arial" w:hAnsi="Arial" w:cs="Arial"/>
          <w:sz w:val="22"/>
          <w:szCs w:val="22"/>
        </w:rPr>
        <w:t xml:space="preserve"> child oral health services. Ethnicity data in these measures also enable DHBs to identify and target the populations in their district where enrolment, service access, and children’s oral health status are poorest.</w:t>
      </w:r>
    </w:p>
    <w:p w14:paraId="20BE3D24"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 xml:space="preserve">Improvements in this measure will show the effectiveness of publicly funded child oral health services and the COHS in particular. </w:t>
      </w:r>
    </w:p>
    <w:p w14:paraId="3D3C5184" w14:textId="77777777" w:rsidR="007117E9" w:rsidRPr="00B116B8" w:rsidRDefault="007117E9" w:rsidP="007117E9">
      <w:pPr>
        <w:shd w:val="clear" w:color="auto" w:fill="FFFFFF"/>
        <w:spacing w:before="120" w:after="60"/>
        <w:rPr>
          <w:rFonts w:ascii="Arial" w:hAnsi="Arial" w:cs="Arial"/>
          <w:b/>
          <w:szCs w:val="22"/>
        </w:rPr>
      </w:pPr>
      <w:proofErr w:type="gramStart"/>
      <w:r w:rsidRPr="00B116B8">
        <w:rPr>
          <w:rFonts w:ascii="Arial" w:hAnsi="Arial" w:cs="Arial"/>
          <w:b/>
          <w:szCs w:val="22"/>
        </w:rPr>
        <w:t>Deliverables</w:t>
      </w:r>
      <w:proofErr w:type="gramEnd"/>
      <w:r w:rsidRPr="00B116B8">
        <w:rPr>
          <w:rFonts w:ascii="Arial" w:hAnsi="Arial" w:cs="Arial"/>
          <w:b/>
          <w:szCs w:val="22"/>
        </w:rPr>
        <w:t xml:space="preserve"> definitions</w:t>
      </w:r>
    </w:p>
    <w:p w14:paraId="4E0FFAB6" w14:textId="77777777" w:rsidR="007117E9" w:rsidRPr="00B116B8" w:rsidRDefault="007117E9" w:rsidP="007117E9">
      <w:pPr>
        <w:shd w:val="clear" w:color="auto" w:fill="FFFFFF"/>
        <w:spacing w:before="60" w:after="60"/>
        <w:rPr>
          <w:rFonts w:ascii="Arial" w:hAnsi="Arial" w:cs="Arial"/>
          <w:b/>
          <w:szCs w:val="22"/>
        </w:rPr>
      </w:pPr>
      <w:r w:rsidRPr="00B116B8">
        <w:rPr>
          <w:rFonts w:ascii="Arial" w:hAnsi="Arial" w:cs="Arial"/>
          <w:b/>
          <w:szCs w:val="22"/>
        </w:rPr>
        <w:t>Measure 1: Number of Pre-School Children Enrolled in DHB-funded Oral Health Services</w:t>
      </w:r>
    </w:p>
    <w:p w14:paraId="5611F614" w14:textId="77777777" w:rsidR="007117E9" w:rsidRPr="00B116B8" w:rsidRDefault="007117E9" w:rsidP="007117E9">
      <w:pPr>
        <w:shd w:val="clear" w:color="auto" w:fill="FFFFFF"/>
        <w:spacing w:before="60" w:after="60"/>
        <w:rPr>
          <w:rFonts w:ascii="Arial" w:hAnsi="Arial" w:cs="Arial"/>
          <w:b/>
          <w:i/>
          <w:sz w:val="22"/>
          <w:szCs w:val="22"/>
        </w:rPr>
      </w:pPr>
      <w:r w:rsidRPr="00B116B8">
        <w:rPr>
          <w:rFonts w:ascii="Arial" w:hAnsi="Arial" w:cs="Arial"/>
          <w:b/>
          <w:i/>
          <w:sz w:val="22"/>
          <w:szCs w:val="22"/>
        </w:rPr>
        <w:t xml:space="preserve">Numerator: </w:t>
      </w:r>
    </w:p>
    <w:p w14:paraId="0A1A2E91"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(Data source: DHBs, via the Community Oral Health Service and other oral health providers.)</w:t>
      </w:r>
    </w:p>
    <w:p w14:paraId="2979273A"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In the year to which the reporting relates, the total number of children under five years of age, i.e. aged 0 to 4 years of age inclusive, who are enrolled with DHB-funded oral health services (DHB’s Community Oral Health Service and other DHB-contracted oral health providers such as Māori oral health providers).</w:t>
      </w:r>
    </w:p>
    <w:p w14:paraId="27E2988A" w14:textId="77777777" w:rsidR="007117E9" w:rsidRPr="00B116B8" w:rsidRDefault="007117E9" w:rsidP="007117E9">
      <w:pPr>
        <w:keepNext/>
        <w:shd w:val="clear" w:color="auto" w:fill="FFFFFF"/>
        <w:spacing w:before="120" w:after="60"/>
        <w:rPr>
          <w:rFonts w:ascii="Arial" w:hAnsi="Arial" w:cs="Arial"/>
          <w:sz w:val="22"/>
          <w:szCs w:val="22"/>
        </w:rPr>
      </w:pPr>
      <w:r w:rsidRPr="00B116B8">
        <w:rPr>
          <w:rFonts w:ascii="Arial" w:hAnsi="Arial" w:cs="Arial"/>
          <w:b/>
          <w:i/>
          <w:sz w:val="22"/>
          <w:szCs w:val="22"/>
        </w:rPr>
        <w:t xml:space="preserve">Denominator: </w:t>
      </w:r>
    </w:p>
    <w:p w14:paraId="3B02B003" w14:textId="77777777" w:rsidR="007117E9" w:rsidRPr="00B116B8" w:rsidRDefault="007117E9" w:rsidP="007117E9">
      <w:pPr>
        <w:keepNext/>
        <w:shd w:val="clear" w:color="auto" w:fill="FFFFFF"/>
        <w:spacing w:before="60" w:after="60"/>
        <w:rPr>
          <w:rFonts w:ascii="Arial" w:hAnsi="Arial" w:cs="Arial"/>
          <w:sz w:val="22"/>
          <w:szCs w:val="22"/>
        </w:rPr>
      </w:pPr>
      <w:r w:rsidRPr="00B116B8">
        <w:rPr>
          <w:rFonts w:ascii="Arial" w:hAnsi="Arial" w:cs="Arial"/>
          <w:sz w:val="22"/>
          <w:szCs w:val="22"/>
        </w:rPr>
        <w:t>(Data source: NZ Census sourced estimates of DHB population by age)</w:t>
      </w:r>
    </w:p>
    <w:p w14:paraId="712740AC" w14:textId="77777777" w:rsidR="007117E9" w:rsidRPr="00B116B8" w:rsidRDefault="007117E9" w:rsidP="007117E9">
      <w:pPr>
        <w:keepNext/>
        <w:shd w:val="clear" w:color="auto" w:fill="FFFFFF"/>
        <w:spacing w:before="120" w:after="60"/>
        <w:rPr>
          <w:rFonts w:ascii="Arial" w:hAnsi="Arial" w:cs="Arial"/>
          <w:sz w:val="22"/>
          <w:szCs w:val="22"/>
        </w:rPr>
      </w:pPr>
      <w:r w:rsidRPr="00B116B8">
        <w:rPr>
          <w:rFonts w:ascii="Arial" w:hAnsi="Arial" w:cs="Arial"/>
          <w:sz w:val="22"/>
          <w:szCs w:val="22"/>
        </w:rPr>
        <w:t>DHBs do not need to report a denominator.  The Ministry will source denominator data, and advise the denominator prior to the due date for DHB reporting.</w:t>
      </w:r>
    </w:p>
    <w:p w14:paraId="09E901AC"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In the year to which the reporting relates, the denominator is the estimated total number of children under five years of age, i.e. ages 0 to 4 domiciled in each DHB, based on population projections sourced from Statistics New Zealand.</w:t>
      </w:r>
    </w:p>
    <w:p w14:paraId="4AF1C846" w14:textId="77777777" w:rsidR="007117E9" w:rsidRPr="00B116B8" w:rsidRDefault="007117E9" w:rsidP="007117E9">
      <w:pPr>
        <w:shd w:val="clear" w:color="auto" w:fill="FFFFFF"/>
        <w:spacing w:before="60" w:after="60"/>
        <w:rPr>
          <w:rFonts w:ascii="Arial" w:hAnsi="Arial" w:cs="Arial"/>
          <w:sz w:val="6"/>
          <w:szCs w:val="16"/>
        </w:rPr>
      </w:pPr>
    </w:p>
    <w:p w14:paraId="389D0663" w14:textId="77777777" w:rsidR="007117E9" w:rsidRPr="00B116B8" w:rsidRDefault="007117E9" w:rsidP="007117E9">
      <w:pPr>
        <w:shd w:val="clear" w:color="auto" w:fill="FFFFFF"/>
        <w:spacing w:before="60" w:after="60"/>
        <w:rPr>
          <w:rFonts w:ascii="Arial" w:hAnsi="Arial" w:cs="Arial"/>
          <w:b/>
          <w:i/>
          <w:sz w:val="22"/>
          <w:szCs w:val="22"/>
        </w:rPr>
      </w:pPr>
      <w:r w:rsidRPr="00B116B8">
        <w:rPr>
          <w:rFonts w:ascii="Arial" w:hAnsi="Arial" w:cs="Arial"/>
          <w:b/>
          <w:i/>
          <w:sz w:val="22"/>
          <w:szCs w:val="22"/>
        </w:rPr>
        <w:t>Other components of this measure:</w:t>
      </w:r>
    </w:p>
    <w:p w14:paraId="7B0ADF73" w14:textId="77777777" w:rsidR="007117E9" w:rsidRPr="00B116B8" w:rsidRDefault="007117E9" w:rsidP="007117E9">
      <w:pPr>
        <w:numPr>
          <w:ilvl w:val="0"/>
          <w:numId w:val="21"/>
        </w:numPr>
        <w:shd w:val="clear" w:color="auto" w:fill="FFFFFF"/>
        <w:spacing w:before="60" w:after="60"/>
        <w:ind w:left="720"/>
        <w:rPr>
          <w:rFonts w:ascii="Arial" w:hAnsi="Arial" w:cs="Arial"/>
          <w:sz w:val="22"/>
          <w:szCs w:val="22"/>
        </w:rPr>
      </w:pPr>
      <w:r w:rsidRPr="00B116B8">
        <w:rPr>
          <w:rFonts w:ascii="Arial" w:hAnsi="Arial" w:cs="Arial"/>
          <w:sz w:val="22"/>
          <w:szCs w:val="22"/>
        </w:rPr>
        <w:t xml:space="preserve">The data reported in the </w:t>
      </w:r>
      <w:r w:rsidRPr="00B116B8">
        <w:rPr>
          <w:rFonts w:ascii="Arial" w:hAnsi="Arial" w:cs="Arial"/>
          <w:b/>
          <w:i/>
          <w:sz w:val="22"/>
          <w:szCs w:val="22"/>
        </w:rPr>
        <w:t>Numerator</w:t>
      </w:r>
      <w:r w:rsidRPr="00B116B8">
        <w:rPr>
          <w:rFonts w:ascii="Arial" w:hAnsi="Arial" w:cs="Arial"/>
          <w:sz w:val="22"/>
          <w:szCs w:val="22"/>
        </w:rPr>
        <w:t xml:space="preserve"> and </w:t>
      </w:r>
      <w:r w:rsidRPr="00B116B8">
        <w:rPr>
          <w:rFonts w:ascii="Arial" w:hAnsi="Arial" w:cs="Arial"/>
          <w:b/>
          <w:i/>
          <w:sz w:val="22"/>
          <w:szCs w:val="22"/>
        </w:rPr>
        <w:t>Denominator</w:t>
      </w:r>
      <w:r w:rsidRPr="00B116B8">
        <w:rPr>
          <w:rFonts w:ascii="Arial" w:hAnsi="Arial" w:cs="Arial"/>
          <w:sz w:val="22"/>
          <w:szCs w:val="22"/>
        </w:rPr>
        <w:t xml:space="preserve"> must also be broken down by</w:t>
      </w:r>
      <w:r>
        <w:rPr>
          <w:rFonts w:ascii="Arial" w:hAnsi="Arial" w:cs="Arial"/>
          <w:sz w:val="22"/>
          <w:szCs w:val="22"/>
        </w:rPr>
        <w:t xml:space="preserve"> </w:t>
      </w:r>
      <w:r w:rsidRPr="00B116B8">
        <w:rPr>
          <w:rFonts w:ascii="Arial" w:hAnsi="Arial" w:cs="Arial"/>
          <w:sz w:val="22"/>
          <w:szCs w:val="22"/>
        </w:rPr>
        <w:t>ethnicity, using the “prioritised ethnicity” approach</w:t>
      </w:r>
      <w:r w:rsidRPr="00B116B8">
        <w:rPr>
          <w:rFonts w:ascii="Arial" w:hAnsi="Arial" w:cs="Arial"/>
          <w:sz w:val="22"/>
          <w:szCs w:val="22"/>
          <w:vertAlign w:val="superscript"/>
        </w:rPr>
        <w:footnoteReference w:id="4"/>
      </w:r>
      <w:r w:rsidRPr="00B116B8">
        <w:rPr>
          <w:rFonts w:ascii="Arial" w:hAnsi="Arial" w:cs="Arial"/>
          <w:sz w:val="22"/>
          <w:szCs w:val="22"/>
        </w:rPr>
        <w:t xml:space="preserve"> into the following (in order of assignment):</w:t>
      </w:r>
    </w:p>
    <w:p w14:paraId="6B2B36A9" w14:textId="77777777" w:rsidR="007117E9" w:rsidRPr="00B116B8" w:rsidRDefault="007117E9" w:rsidP="007117E9">
      <w:pPr>
        <w:numPr>
          <w:ilvl w:val="1"/>
          <w:numId w:val="13"/>
        </w:numPr>
        <w:shd w:val="clear" w:color="auto" w:fill="FFFFFF"/>
        <w:ind w:left="1077" w:hanging="357"/>
        <w:rPr>
          <w:rFonts w:ascii="Arial" w:hAnsi="Arial" w:cs="Arial"/>
          <w:sz w:val="22"/>
          <w:szCs w:val="22"/>
        </w:rPr>
      </w:pPr>
      <w:proofErr w:type="gramStart"/>
      <w:r w:rsidRPr="00B116B8">
        <w:rPr>
          <w:rFonts w:ascii="Arial" w:hAnsi="Arial" w:cs="Arial"/>
          <w:sz w:val="22"/>
          <w:szCs w:val="22"/>
        </w:rPr>
        <w:t>Māori;</w:t>
      </w:r>
      <w:proofErr w:type="gramEnd"/>
    </w:p>
    <w:p w14:paraId="73DCE335" w14:textId="77777777" w:rsidR="007117E9" w:rsidRPr="00B116B8" w:rsidRDefault="007117E9" w:rsidP="007117E9">
      <w:pPr>
        <w:numPr>
          <w:ilvl w:val="1"/>
          <w:numId w:val="13"/>
        </w:numPr>
        <w:shd w:val="clear" w:color="auto" w:fill="FFFFFF"/>
        <w:ind w:left="1077" w:hanging="357"/>
        <w:rPr>
          <w:rFonts w:ascii="Arial" w:hAnsi="Arial" w:cs="Arial"/>
          <w:sz w:val="22"/>
          <w:szCs w:val="22"/>
        </w:rPr>
      </w:pPr>
      <w:r w:rsidRPr="00B116B8">
        <w:rPr>
          <w:rFonts w:ascii="Arial" w:hAnsi="Arial" w:cs="Arial"/>
          <w:sz w:val="22"/>
          <w:szCs w:val="22"/>
        </w:rPr>
        <w:t>Pacific</w:t>
      </w:r>
    </w:p>
    <w:p w14:paraId="7C056528" w14:textId="77777777" w:rsidR="007117E9" w:rsidRPr="00B116B8" w:rsidRDefault="007117E9" w:rsidP="007117E9">
      <w:pPr>
        <w:numPr>
          <w:ilvl w:val="1"/>
          <w:numId w:val="13"/>
        </w:numPr>
        <w:shd w:val="clear" w:color="auto" w:fill="FFFFFF"/>
        <w:ind w:left="1077" w:hanging="357"/>
        <w:rPr>
          <w:rFonts w:ascii="Arial" w:hAnsi="Arial" w:cs="Arial"/>
          <w:sz w:val="22"/>
          <w:szCs w:val="22"/>
        </w:rPr>
      </w:pPr>
      <w:r w:rsidRPr="00B116B8">
        <w:rPr>
          <w:rFonts w:ascii="Arial" w:hAnsi="Arial" w:cs="Arial"/>
          <w:sz w:val="22"/>
          <w:szCs w:val="22"/>
        </w:rPr>
        <w:t>Other.</w:t>
      </w:r>
    </w:p>
    <w:p w14:paraId="7606A7F0" w14:textId="77777777" w:rsidR="007117E9" w:rsidRPr="00B116B8" w:rsidRDefault="007117E9" w:rsidP="007117E9">
      <w:pPr>
        <w:numPr>
          <w:ilvl w:val="0"/>
          <w:numId w:val="13"/>
        </w:numPr>
        <w:shd w:val="clear" w:color="auto" w:fill="FFFFFF"/>
        <w:spacing w:before="60" w:after="60"/>
        <w:rPr>
          <w:rFonts w:ascii="Arial" w:hAnsi="Arial" w:cs="Arial"/>
          <w:sz w:val="22"/>
          <w:szCs w:val="22"/>
        </w:rPr>
      </w:pPr>
      <w:r w:rsidRPr="00B116B8">
        <w:rPr>
          <w:rFonts w:ascii="Arial" w:hAnsi="Arial" w:cs="Arial"/>
          <w:sz w:val="22"/>
          <w:szCs w:val="22"/>
        </w:rPr>
        <w:t>The data for this indicator will be generated by DHBs.  There is a number of technical interpretation issues associated with oral health.  This centres largely around variances in:</w:t>
      </w:r>
    </w:p>
    <w:p w14:paraId="78659E7E"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processes for data collection amongst DHBs</w:t>
      </w:r>
    </w:p>
    <w:p w14:paraId="6D7E2ECC"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technologies for management of data amongst DHBs.</w:t>
      </w:r>
    </w:p>
    <w:p w14:paraId="1CD63F06" w14:textId="77777777" w:rsidR="007117E9" w:rsidRPr="00B116B8" w:rsidRDefault="007117E9" w:rsidP="007117E9">
      <w:pPr>
        <w:numPr>
          <w:ilvl w:val="0"/>
          <w:numId w:val="13"/>
        </w:numPr>
        <w:shd w:val="clear" w:color="auto" w:fill="FFFFFF"/>
        <w:spacing w:before="60" w:after="60"/>
        <w:rPr>
          <w:rFonts w:ascii="Arial" w:hAnsi="Arial" w:cs="Arial"/>
          <w:sz w:val="22"/>
          <w:szCs w:val="22"/>
        </w:rPr>
      </w:pPr>
      <w:r w:rsidRPr="00B116B8">
        <w:rPr>
          <w:rFonts w:ascii="Arial" w:hAnsi="Arial" w:cs="Arial"/>
          <w:sz w:val="22"/>
          <w:szCs w:val="22"/>
        </w:rPr>
        <w:t xml:space="preserve">DHBs are encouraged to record data at the unit (individual child) level, using the National Health Index, but data are reported in an aggregated format and should be provided using the Ministry of Health Excel template, available on the quarterly reporting database or from the Oral Health Team.  </w:t>
      </w:r>
    </w:p>
    <w:p w14:paraId="623C86D8" w14:textId="77777777" w:rsidR="007117E9" w:rsidRPr="00B116B8" w:rsidRDefault="007117E9" w:rsidP="007117E9">
      <w:pPr>
        <w:keepNext/>
        <w:shd w:val="clear" w:color="auto" w:fill="FFFFFF"/>
        <w:spacing w:before="120" w:after="60"/>
        <w:rPr>
          <w:rFonts w:ascii="Arial" w:hAnsi="Arial" w:cs="Arial"/>
          <w:b/>
          <w:sz w:val="22"/>
          <w:szCs w:val="22"/>
        </w:rPr>
      </w:pPr>
      <w:r w:rsidRPr="00B116B8">
        <w:rPr>
          <w:rFonts w:ascii="Arial" w:hAnsi="Arial" w:cs="Arial"/>
          <w:b/>
          <w:sz w:val="22"/>
          <w:szCs w:val="22"/>
        </w:rPr>
        <w:t>Measure 2: Number of Enrolled Pre-School and Primary School Children Overdue for their Scheduled Examinations</w:t>
      </w:r>
    </w:p>
    <w:p w14:paraId="470DF91D" w14:textId="77777777" w:rsidR="007117E9" w:rsidRPr="00B116B8" w:rsidRDefault="007117E9" w:rsidP="007117E9">
      <w:pPr>
        <w:keepNext/>
        <w:shd w:val="clear" w:color="auto" w:fill="FFFFFF"/>
        <w:spacing w:before="120" w:after="60"/>
        <w:rPr>
          <w:rFonts w:ascii="Arial" w:hAnsi="Arial" w:cs="Arial"/>
          <w:b/>
          <w:i/>
          <w:sz w:val="22"/>
          <w:szCs w:val="22"/>
        </w:rPr>
      </w:pPr>
      <w:r w:rsidRPr="00B116B8">
        <w:rPr>
          <w:rFonts w:ascii="Arial" w:hAnsi="Arial" w:cs="Arial"/>
          <w:b/>
          <w:i/>
          <w:sz w:val="22"/>
          <w:szCs w:val="22"/>
        </w:rPr>
        <w:t xml:space="preserve">Numerator: </w:t>
      </w:r>
    </w:p>
    <w:p w14:paraId="7E1AB5E8" w14:textId="77777777" w:rsidR="007117E9" w:rsidRPr="00B116B8" w:rsidRDefault="007117E9" w:rsidP="007117E9">
      <w:pPr>
        <w:keepNext/>
        <w:shd w:val="clear" w:color="auto" w:fill="FFFFFF"/>
        <w:spacing w:before="60" w:after="60"/>
        <w:rPr>
          <w:rFonts w:ascii="Arial" w:hAnsi="Arial" w:cs="Arial"/>
          <w:sz w:val="22"/>
          <w:szCs w:val="22"/>
        </w:rPr>
      </w:pPr>
      <w:r w:rsidRPr="00B116B8">
        <w:rPr>
          <w:rFonts w:ascii="Arial" w:hAnsi="Arial" w:cs="Arial"/>
          <w:sz w:val="22"/>
          <w:szCs w:val="22"/>
        </w:rPr>
        <w:t xml:space="preserve">(Data source: DHBs, via the </w:t>
      </w:r>
      <w:r>
        <w:rPr>
          <w:rFonts w:ascii="Arial" w:hAnsi="Arial" w:cs="Arial"/>
          <w:sz w:val="22"/>
          <w:szCs w:val="22"/>
        </w:rPr>
        <w:t>COHS</w:t>
      </w:r>
      <w:r w:rsidRPr="00B116B8">
        <w:rPr>
          <w:rFonts w:ascii="Arial" w:hAnsi="Arial" w:cs="Arial"/>
          <w:sz w:val="22"/>
          <w:szCs w:val="22"/>
        </w:rPr>
        <w:t xml:space="preserve"> and other oral health providers.)</w:t>
      </w:r>
    </w:p>
    <w:p w14:paraId="61C18675" w14:textId="77777777" w:rsidR="007117E9" w:rsidRPr="00B116B8" w:rsidRDefault="007117E9" w:rsidP="007117E9">
      <w:pPr>
        <w:keepNext/>
        <w:shd w:val="clear" w:color="auto" w:fill="FFFFFF"/>
        <w:spacing w:before="60" w:after="60"/>
        <w:rPr>
          <w:rFonts w:ascii="Arial" w:hAnsi="Arial" w:cs="Arial"/>
          <w:sz w:val="22"/>
          <w:szCs w:val="22"/>
        </w:rPr>
      </w:pPr>
      <w:r w:rsidRPr="00B116B8">
        <w:rPr>
          <w:rFonts w:ascii="Arial" w:hAnsi="Arial" w:cs="Arial"/>
          <w:sz w:val="22"/>
          <w:szCs w:val="22"/>
        </w:rPr>
        <w:t>In the year to which the reporting relates:</w:t>
      </w:r>
    </w:p>
    <w:p w14:paraId="58501609" w14:textId="77777777" w:rsidR="007117E9" w:rsidRPr="00B116B8" w:rsidRDefault="007117E9" w:rsidP="007117E9">
      <w:pPr>
        <w:shd w:val="clear" w:color="auto" w:fill="FFFFFF"/>
        <w:spacing w:before="60" w:after="60"/>
        <w:ind w:left="720" w:hanging="720"/>
        <w:rPr>
          <w:rFonts w:ascii="Arial" w:hAnsi="Arial" w:cs="Arial"/>
          <w:sz w:val="22"/>
          <w:szCs w:val="22"/>
        </w:rPr>
      </w:pPr>
      <w:r w:rsidRPr="00B116B8">
        <w:rPr>
          <w:rFonts w:ascii="Arial" w:hAnsi="Arial" w:cs="Arial"/>
          <w:sz w:val="22"/>
          <w:szCs w:val="22"/>
        </w:rPr>
        <w:t>(</w:t>
      </w:r>
      <w:proofErr w:type="spellStart"/>
      <w:r w:rsidRPr="00B116B8">
        <w:rPr>
          <w:rFonts w:ascii="Arial" w:hAnsi="Arial" w:cs="Arial"/>
          <w:sz w:val="22"/>
          <w:szCs w:val="22"/>
        </w:rPr>
        <w:t>i</w:t>
      </w:r>
      <w:proofErr w:type="spellEnd"/>
      <w:r w:rsidRPr="00B116B8">
        <w:rPr>
          <w:rFonts w:ascii="Arial" w:hAnsi="Arial" w:cs="Arial"/>
          <w:sz w:val="22"/>
          <w:szCs w:val="22"/>
        </w:rPr>
        <w:t>)</w:t>
      </w:r>
      <w:r w:rsidRPr="00B116B8">
        <w:rPr>
          <w:rFonts w:ascii="Arial" w:hAnsi="Arial" w:cs="Arial"/>
          <w:sz w:val="22"/>
          <w:szCs w:val="22"/>
        </w:rPr>
        <w:tab/>
        <w:t xml:space="preserve">the total number of pre-school children, and the total number of primary school children ((shown separately) who have not been examined according to their planned recall period (i.e. by the planned recall date set at their previous examination) in DHB-funded dental services (each DHB’s </w:t>
      </w:r>
      <w:r>
        <w:rPr>
          <w:rFonts w:ascii="Arial" w:hAnsi="Arial" w:cs="Arial"/>
          <w:sz w:val="22"/>
          <w:szCs w:val="22"/>
        </w:rPr>
        <w:t>COHS</w:t>
      </w:r>
      <w:r w:rsidRPr="00B116B8">
        <w:rPr>
          <w:rFonts w:ascii="Arial" w:hAnsi="Arial" w:cs="Arial"/>
          <w:sz w:val="22"/>
          <w:szCs w:val="22"/>
        </w:rPr>
        <w:t xml:space="preserve"> and other DHB-contracted oral health providers such as Māori oral health providers); and</w:t>
      </w:r>
    </w:p>
    <w:p w14:paraId="136A47D1" w14:textId="77777777" w:rsidR="007117E9" w:rsidRPr="00B116B8" w:rsidRDefault="007117E9" w:rsidP="007117E9">
      <w:pPr>
        <w:shd w:val="clear" w:color="auto" w:fill="FFFFFF"/>
        <w:spacing w:before="60" w:after="60"/>
        <w:ind w:left="720" w:hanging="720"/>
        <w:rPr>
          <w:rFonts w:ascii="Arial" w:hAnsi="Arial" w:cs="Arial"/>
          <w:sz w:val="22"/>
          <w:szCs w:val="22"/>
        </w:rPr>
      </w:pPr>
      <w:r w:rsidRPr="00B116B8">
        <w:rPr>
          <w:rFonts w:ascii="Arial" w:hAnsi="Arial" w:cs="Arial"/>
          <w:sz w:val="22"/>
          <w:szCs w:val="22"/>
        </w:rPr>
        <w:lastRenderedPageBreak/>
        <w:t>(ii)</w:t>
      </w:r>
      <w:r w:rsidRPr="00B116B8">
        <w:rPr>
          <w:rFonts w:ascii="Arial" w:hAnsi="Arial" w:cs="Arial"/>
          <w:sz w:val="22"/>
          <w:szCs w:val="22"/>
        </w:rPr>
        <w:tab/>
        <w:t xml:space="preserve">the greatest length of time children </w:t>
      </w:r>
      <w:proofErr w:type="gramStart"/>
      <w:r w:rsidRPr="00B116B8">
        <w:rPr>
          <w:rFonts w:ascii="Arial" w:hAnsi="Arial" w:cs="Arial"/>
          <w:sz w:val="22"/>
          <w:szCs w:val="22"/>
        </w:rPr>
        <w:t>have</w:t>
      </w:r>
      <w:proofErr w:type="gramEnd"/>
      <w:r w:rsidRPr="00B116B8">
        <w:rPr>
          <w:rFonts w:ascii="Arial" w:hAnsi="Arial" w:cs="Arial"/>
          <w:sz w:val="22"/>
          <w:szCs w:val="22"/>
        </w:rPr>
        <w:t xml:space="preserve"> been waiting for their scheduled examinations, and the number of children that have been waiting for that period.</w:t>
      </w:r>
    </w:p>
    <w:p w14:paraId="6F51C9A8"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Please note that the planned recall date is the appointment date scheduled at the previous examination for each child.  Where the recall date is later extended for children who do not attend their appointment, or for other reasons, arrears are still to be calculated based on the original planned recall date.</w:t>
      </w:r>
    </w:p>
    <w:p w14:paraId="2FB21CBB"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b/>
          <w:i/>
          <w:sz w:val="22"/>
          <w:szCs w:val="22"/>
        </w:rPr>
        <w:t xml:space="preserve">Denominator: </w:t>
      </w:r>
    </w:p>
    <w:p w14:paraId="5F04FE95"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 xml:space="preserve">(Data source: DHBs, via the </w:t>
      </w:r>
      <w:r>
        <w:rPr>
          <w:rFonts w:ascii="Arial" w:hAnsi="Arial" w:cs="Arial"/>
          <w:sz w:val="22"/>
          <w:szCs w:val="22"/>
        </w:rPr>
        <w:t>COHS</w:t>
      </w:r>
      <w:r w:rsidRPr="00B116B8">
        <w:rPr>
          <w:rFonts w:ascii="Arial" w:hAnsi="Arial" w:cs="Arial"/>
          <w:sz w:val="22"/>
          <w:szCs w:val="22"/>
        </w:rPr>
        <w:t xml:space="preserve"> and other oral health providers.)</w:t>
      </w:r>
    </w:p>
    <w:p w14:paraId="5DA7935D"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 xml:space="preserve">In the year to which the reporting relates, the total number of children enrolled in DHB-funded dental services (each DHB’s </w:t>
      </w:r>
      <w:r>
        <w:rPr>
          <w:rFonts w:ascii="Arial" w:hAnsi="Arial" w:cs="Arial"/>
          <w:sz w:val="22"/>
          <w:szCs w:val="22"/>
        </w:rPr>
        <w:t>COHS</w:t>
      </w:r>
      <w:r w:rsidRPr="00B116B8">
        <w:rPr>
          <w:rFonts w:ascii="Arial" w:hAnsi="Arial" w:cs="Arial"/>
          <w:sz w:val="22"/>
          <w:szCs w:val="22"/>
        </w:rPr>
        <w:t xml:space="preserve"> and other DHB-contracted oral health providers such as Māori oral health providers), showing </w:t>
      </w:r>
      <w:r w:rsidRPr="00B116B8">
        <w:rPr>
          <w:rFonts w:ascii="Arial" w:hAnsi="Arial" w:cs="Arial"/>
          <w:sz w:val="22"/>
          <w:szCs w:val="22"/>
          <w:u w:val="single"/>
        </w:rPr>
        <w:t>separately</w:t>
      </w:r>
      <w:r w:rsidRPr="00B116B8">
        <w:rPr>
          <w:rFonts w:ascii="Arial" w:hAnsi="Arial" w:cs="Arial"/>
          <w:sz w:val="22"/>
          <w:szCs w:val="22"/>
        </w:rPr>
        <w:t xml:space="preserve"> the number of – </w:t>
      </w:r>
    </w:p>
    <w:p w14:paraId="00CD2C95"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 xml:space="preserve">pre-school children, and </w:t>
      </w:r>
    </w:p>
    <w:p w14:paraId="5A3402C7"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primary school children.</w:t>
      </w:r>
    </w:p>
    <w:p w14:paraId="185B8468" w14:textId="77777777" w:rsidR="007117E9" w:rsidRPr="00B116B8" w:rsidRDefault="007117E9" w:rsidP="007117E9">
      <w:pPr>
        <w:shd w:val="clear" w:color="auto" w:fill="FFFFFF"/>
        <w:spacing w:before="120" w:after="120"/>
        <w:rPr>
          <w:rFonts w:ascii="Arial" w:hAnsi="Arial" w:cs="Arial"/>
          <w:b/>
          <w:i/>
          <w:sz w:val="22"/>
          <w:szCs w:val="22"/>
        </w:rPr>
      </w:pPr>
      <w:r w:rsidRPr="00B116B8">
        <w:rPr>
          <w:rFonts w:ascii="Arial" w:hAnsi="Arial" w:cs="Arial"/>
          <w:b/>
          <w:i/>
          <w:sz w:val="22"/>
          <w:szCs w:val="22"/>
        </w:rPr>
        <w:t>Data Definitions</w:t>
      </w:r>
    </w:p>
    <w:p w14:paraId="09F34F3E" w14:textId="77777777" w:rsidR="007117E9" w:rsidRPr="00B116B8" w:rsidRDefault="007117E9" w:rsidP="007117E9">
      <w:pPr>
        <w:numPr>
          <w:ilvl w:val="1"/>
          <w:numId w:val="15"/>
        </w:numPr>
        <w:shd w:val="clear" w:color="auto" w:fill="FFFFFF"/>
        <w:tabs>
          <w:tab w:val="num" w:pos="284"/>
        </w:tabs>
        <w:spacing w:before="60" w:after="60"/>
        <w:ind w:left="284" w:hanging="284"/>
        <w:rPr>
          <w:rFonts w:ascii="Arial" w:hAnsi="Arial" w:cs="Arial"/>
          <w:sz w:val="22"/>
          <w:szCs w:val="22"/>
        </w:rPr>
      </w:pPr>
      <w:r w:rsidRPr="00B116B8">
        <w:rPr>
          <w:rFonts w:ascii="Arial" w:hAnsi="Arial" w:cs="Arial"/>
          <w:sz w:val="22"/>
          <w:szCs w:val="22"/>
        </w:rPr>
        <w:t>Pre-school and primary school children are the children from age 0 (less than 1 year old) to the end of school Year 8 inclusive.</w:t>
      </w:r>
    </w:p>
    <w:p w14:paraId="5633BF9C" w14:textId="77777777" w:rsidR="007117E9" w:rsidRPr="00B116B8" w:rsidRDefault="007117E9" w:rsidP="007117E9">
      <w:pPr>
        <w:shd w:val="clear" w:color="auto" w:fill="FFFFFF"/>
        <w:spacing w:before="120" w:after="60"/>
        <w:rPr>
          <w:rFonts w:ascii="Arial" w:hAnsi="Arial" w:cs="Arial"/>
          <w:b/>
          <w:i/>
          <w:sz w:val="22"/>
          <w:szCs w:val="22"/>
        </w:rPr>
      </w:pPr>
      <w:r w:rsidRPr="00B116B8">
        <w:rPr>
          <w:rFonts w:ascii="Arial" w:hAnsi="Arial" w:cs="Arial"/>
          <w:b/>
          <w:i/>
          <w:sz w:val="22"/>
          <w:szCs w:val="22"/>
        </w:rPr>
        <w:t>Other components of this measure:</w:t>
      </w:r>
    </w:p>
    <w:p w14:paraId="1A4AA575" w14:textId="77777777" w:rsidR="007117E9" w:rsidRPr="00B116B8" w:rsidRDefault="007117E9" w:rsidP="007117E9">
      <w:pPr>
        <w:numPr>
          <w:ilvl w:val="3"/>
          <w:numId w:val="13"/>
        </w:numPr>
        <w:shd w:val="clear" w:color="auto" w:fill="FFFFFF"/>
        <w:tabs>
          <w:tab w:val="clear" w:pos="2520"/>
          <w:tab w:val="num" w:pos="567"/>
        </w:tabs>
        <w:spacing w:before="60" w:after="60"/>
        <w:ind w:left="284" w:firstLine="0"/>
        <w:rPr>
          <w:rFonts w:ascii="Arial" w:hAnsi="Arial" w:cs="Arial"/>
          <w:sz w:val="22"/>
          <w:szCs w:val="22"/>
        </w:rPr>
      </w:pPr>
      <w:r w:rsidRPr="00B116B8">
        <w:rPr>
          <w:rFonts w:ascii="Arial" w:hAnsi="Arial" w:cs="Arial"/>
          <w:sz w:val="22"/>
          <w:szCs w:val="22"/>
        </w:rPr>
        <w:t xml:space="preserve">The data reported in the </w:t>
      </w:r>
      <w:r w:rsidRPr="00B116B8">
        <w:rPr>
          <w:rFonts w:ascii="Arial" w:hAnsi="Arial" w:cs="Arial"/>
          <w:b/>
          <w:i/>
          <w:sz w:val="22"/>
          <w:szCs w:val="22"/>
        </w:rPr>
        <w:t>Numerator</w:t>
      </w:r>
      <w:r w:rsidRPr="00B116B8">
        <w:rPr>
          <w:rFonts w:ascii="Arial" w:hAnsi="Arial" w:cs="Arial"/>
          <w:sz w:val="22"/>
          <w:szCs w:val="22"/>
        </w:rPr>
        <w:t xml:space="preserve"> and </w:t>
      </w:r>
      <w:r w:rsidRPr="00B116B8">
        <w:rPr>
          <w:rFonts w:ascii="Arial" w:hAnsi="Arial" w:cs="Arial"/>
          <w:b/>
          <w:i/>
          <w:sz w:val="22"/>
          <w:szCs w:val="22"/>
        </w:rPr>
        <w:t>Denominator</w:t>
      </w:r>
      <w:r w:rsidRPr="00B116B8">
        <w:rPr>
          <w:rFonts w:ascii="Arial" w:hAnsi="Arial" w:cs="Arial"/>
          <w:sz w:val="22"/>
          <w:szCs w:val="22"/>
        </w:rPr>
        <w:t xml:space="preserve"> must also be broken down by ethnicity using the “prioritised ethnicity” approach</w:t>
      </w:r>
      <w:r w:rsidRPr="00B116B8">
        <w:rPr>
          <w:vertAlign w:val="superscript"/>
        </w:rPr>
        <w:footnoteReference w:id="5"/>
      </w:r>
      <w:r w:rsidRPr="00B116B8">
        <w:rPr>
          <w:rFonts w:ascii="Arial" w:hAnsi="Arial" w:cs="Arial"/>
          <w:sz w:val="22"/>
          <w:szCs w:val="22"/>
        </w:rPr>
        <w:t xml:space="preserve"> into the following (in order of assignment):</w:t>
      </w:r>
    </w:p>
    <w:p w14:paraId="3CBA2E8E" w14:textId="77777777" w:rsidR="007117E9" w:rsidRPr="00B116B8" w:rsidRDefault="007117E9" w:rsidP="007117E9">
      <w:pPr>
        <w:numPr>
          <w:ilvl w:val="1"/>
          <w:numId w:val="13"/>
        </w:numPr>
        <w:shd w:val="clear" w:color="auto" w:fill="FFFFFF"/>
        <w:ind w:left="1077" w:hanging="357"/>
        <w:rPr>
          <w:rFonts w:ascii="Arial" w:hAnsi="Arial" w:cs="Arial"/>
          <w:sz w:val="22"/>
          <w:szCs w:val="22"/>
        </w:rPr>
      </w:pPr>
      <w:proofErr w:type="gramStart"/>
      <w:r w:rsidRPr="00B116B8">
        <w:rPr>
          <w:rFonts w:ascii="Arial" w:hAnsi="Arial" w:cs="Arial"/>
          <w:sz w:val="22"/>
          <w:szCs w:val="22"/>
        </w:rPr>
        <w:t>Māori;</w:t>
      </w:r>
      <w:proofErr w:type="gramEnd"/>
    </w:p>
    <w:p w14:paraId="4D98C824" w14:textId="77777777" w:rsidR="007117E9" w:rsidRPr="00B116B8" w:rsidRDefault="007117E9" w:rsidP="007117E9">
      <w:pPr>
        <w:numPr>
          <w:ilvl w:val="1"/>
          <w:numId w:val="13"/>
        </w:numPr>
        <w:shd w:val="clear" w:color="auto" w:fill="FFFFFF"/>
        <w:ind w:left="1077" w:hanging="357"/>
        <w:rPr>
          <w:rFonts w:ascii="Arial" w:hAnsi="Arial" w:cs="Arial"/>
          <w:sz w:val="22"/>
          <w:szCs w:val="22"/>
        </w:rPr>
      </w:pPr>
      <w:r w:rsidRPr="00B116B8">
        <w:rPr>
          <w:rFonts w:ascii="Arial" w:hAnsi="Arial" w:cs="Arial"/>
          <w:sz w:val="22"/>
          <w:szCs w:val="22"/>
        </w:rPr>
        <w:t>Pacific</w:t>
      </w:r>
    </w:p>
    <w:p w14:paraId="7942DCA6" w14:textId="77777777" w:rsidR="007117E9" w:rsidRPr="00B116B8" w:rsidRDefault="007117E9" w:rsidP="007117E9">
      <w:pPr>
        <w:numPr>
          <w:ilvl w:val="1"/>
          <w:numId w:val="13"/>
        </w:numPr>
        <w:shd w:val="clear" w:color="auto" w:fill="FFFFFF"/>
        <w:ind w:left="1077" w:hanging="357"/>
        <w:rPr>
          <w:rFonts w:ascii="Arial" w:hAnsi="Arial" w:cs="Arial"/>
          <w:sz w:val="22"/>
          <w:szCs w:val="22"/>
        </w:rPr>
      </w:pPr>
      <w:r w:rsidRPr="00B116B8">
        <w:rPr>
          <w:rFonts w:ascii="Arial" w:hAnsi="Arial" w:cs="Arial"/>
          <w:sz w:val="22"/>
          <w:szCs w:val="22"/>
        </w:rPr>
        <w:t>Other</w:t>
      </w:r>
    </w:p>
    <w:p w14:paraId="1517C8C3" w14:textId="77777777" w:rsidR="007117E9" w:rsidRPr="00B116B8" w:rsidRDefault="007117E9" w:rsidP="007117E9">
      <w:pPr>
        <w:numPr>
          <w:ilvl w:val="0"/>
          <w:numId w:val="22"/>
        </w:numPr>
        <w:shd w:val="clear" w:color="auto" w:fill="FFFFFF"/>
        <w:spacing w:before="60" w:after="60"/>
        <w:rPr>
          <w:rFonts w:ascii="Arial" w:hAnsi="Arial" w:cs="Arial"/>
          <w:sz w:val="22"/>
          <w:szCs w:val="22"/>
        </w:rPr>
      </w:pPr>
      <w:r w:rsidRPr="00B116B8">
        <w:rPr>
          <w:rFonts w:ascii="Arial" w:hAnsi="Arial" w:cs="Arial"/>
          <w:sz w:val="22"/>
          <w:szCs w:val="22"/>
        </w:rPr>
        <w:t>The data for this indicator will be generated by DHBs.  There is a number of technical interpretation issues associated with oral health.  This centres largely around variances in:</w:t>
      </w:r>
    </w:p>
    <w:p w14:paraId="4C7DAF70"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processes for data collection amongst DHBs</w:t>
      </w:r>
    </w:p>
    <w:p w14:paraId="0CC04A49"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technologies for management of data amongst DHBs.</w:t>
      </w:r>
    </w:p>
    <w:p w14:paraId="47EE89E4" w14:textId="77777777" w:rsidR="007117E9" w:rsidRPr="00B116B8" w:rsidRDefault="007117E9" w:rsidP="007117E9">
      <w:pPr>
        <w:numPr>
          <w:ilvl w:val="0"/>
          <w:numId w:val="22"/>
        </w:numPr>
        <w:shd w:val="clear" w:color="auto" w:fill="FFFFFF"/>
        <w:spacing w:before="60" w:after="60"/>
        <w:rPr>
          <w:rFonts w:ascii="Arial" w:hAnsi="Arial" w:cs="Arial"/>
          <w:sz w:val="22"/>
          <w:szCs w:val="22"/>
        </w:rPr>
      </w:pPr>
      <w:r w:rsidRPr="00B116B8">
        <w:rPr>
          <w:rFonts w:ascii="Arial" w:hAnsi="Arial" w:cs="Arial"/>
          <w:sz w:val="22"/>
          <w:szCs w:val="22"/>
        </w:rPr>
        <w:t xml:space="preserve">DHBs are encouraged to record data at the unit (individual child) level, using the National Health Index, but data are reported in an aggregated format and should be provided using the Ministry of Health Excel template, available on the quarterly reporting database or from the Ministry’s Oral Health Team.  </w:t>
      </w:r>
    </w:p>
    <w:p w14:paraId="252CD296"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 xml:space="preserve">Reporting Period </w:t>
      </w:r>
    </w:p>
    <w:p w14:paraId="43978767"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b/>
          <w:i/>
          <w:sz w:val="22"/>
          <w:szCs w:val="22"/>
        </w:rPr>
        <w:t>Reporting required</w:t>
      </w:r>
      <w:r w:rsidRPr="00B116B8">
        <w:rPr>
          <w:rFonts w:ascii="Arial" w:hAnsi="Arial" w:cs="Arial"/>
          <w:i/>
          <w:sz w:val="22"/>
          <w:szCs w:val="22"/>
        </w:rPr>
        <w:t>:</w:t>
      </w:r>
      <w:r w:rsidRPr="00B116B8">
        <w:rPr>
          <w:rFonts w:ascii="Arial" w:hAnsi="Arial" w:cs="Arial"/>
          <w:sz w:val="22"/>
          <w:szCs w:val="22"/>
        </w:rPr>
        <w:t xml:space="preserve"> Annual, in the third quarter.</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7117E9" w:rsidRPr="00B116B8" w14:paraId="26ACDD37" w14:textId="77777777" w:rsidTr="00391DE7">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7325C20"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2050C12"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For the time period</w:t>
            </w:r>
          </w:p>
        </w:tc>
      </w:tr>
      <w:tr w:rsidR="007117E9" w:rsidRPr="00B116B8" w14:paraId="55A1DF48" w14:textId="77777777" w:rsidTr="00391DE7">
        <w:trPr>
          <w:jc w:val="center"/>
        </w:trPr>
        <w:tc>
          <w:tcPr>
            <w:tcW w:w="1617" w:type="dxa"/>
            <w:tcBorders>
              <w:top w:val="single" w:sz="4" w:space="0" w:color="auto"/>
              <w:left w:val="single" w:sz="4" w:space="0" w:color="auto"/>
              <w:bottom w:val="single" w:sz="4" w:space="0" w:color="auto"/>
              <w:right w:val="single" w:sz="4" w:space="0" w:color="auto"/>
            </w:tcBorders>
            <w:hideMark/>
          </w:tcPr>
          <w:p w14:paraId="50AF562E"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Quarter 3</w:t>
            </w:r>
          </w:p>
        </w:tc>
        <w:tc>
          <w:tcPr>
            <w:tcW w:w="4323" w:type="dxa"/>
            <w:tcBorders>
              <w:top w:val="single" w:sz="4" w:space="0" w:color="auto"/>
              <w:left w:val="single" w:sz="4" w:space="0" w:color="auto"/>
              <w:bottom w:val="single" w:sz="4" w:space="0" w:color="auto"/>
              <w:right w:val="single" w:sz="4" w:space="0" w:color="auto"/>
            </w:tcBorders>
            <w:hideMark/>
          </w:tcPr>
          <w:p w14:paraId="7189FC53"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 xml:space="preserve">1 January </w:t>
            </w:r>
            <w:r>
              <w:rPr>
                <w:rFonts w:ascii="Arial" w:hAnsi="Arial" w:cs="Arial"/>
                <w:sz w:val="22"/>
                <w:szCs w:val="22"/>
              </w:rPr>
              <w:t>2020</w:t>
            </w:r>
            <w:r w:rsidRPr="00B116B8">
              <w:rPr>
                <w:rFonts w:ascii="Arial" w:hAnsi="Arial" w:cs="Arial"/>
                <w:sz w:val="22"/>
                <w:szCs w:val="22"/>
              </w:rPr>
              <w:t xml:space="preserve"> – 31 December </w:t>
            </w:r>
            <w:r>
              <w:rPr>
                <w:rFonts w:ascii="Arial" w:hAnsi="Arial" w:cs="Arial"/>
                <w:sz w:val="22"/>
                <w:szCs w:val="22"/>
              </w:rPr>
              <w:t>2020</w:t>
            </w:r>
          </w:p>
        </w:tc>
      </w:tr>
    </w:tbl>
    <w:p w14:paraId="3DFFB2FC" w14:textId="77777777" w:rsidR="007117E9" w:rsidRPr="00B116B8" w:rsidRDefault="007117E9" w:rsidP="007117E9">
      <w:pPr>
        <w:shd w:val="clear" w:color="auto" w:fill="FFFFFF"/>
        <w:spacing w:before="60" w:after="60"/>
        <w:rPr>
          <w:rFonts w:ascii="Arial" w:hAnsi="Arial" w:cs="Arial"/>
          <w:b/>
          <w:szCs w:val="22"/>
        </w:rPr>
      </w:pPr>
      <w:r w:rsidRPr="00B116B8">
        <w:rPr>
          <w:rFonts w:ascii="Arial" w:hAnsi="Arial" w:cs="Arial"/>
          <w:b/>
          <w:szCs w:val="22"/>
        </w:rPr>
        <w:t>Expectations</w:t>
      </w:r>
    </w:p>
    <w:p w14:paraId="1582419F" w14:textId="77777777" w:rsidR="007117E9" w:rsidRPr="00B116B8" w:rsidRDefault="007117E9" w:rsidP="007117E9">
      <w:pPr>
        <w:shd w:val="clear" w:color="auto" w:fill="FFFFFF"/>
        <w:spacing w:before="120" w:after="60"/>
        <w:rPr>
          <w:rFonts w:ascii="Arial" w:hAnsi="Arial" w:cs="Arial"/>
          <w:sz w:val="16"/>
          <w:szCs w:val="16"/>
        </w:rPr>
      </w:pPr>
      <w:r w:rsidRPr="00B116B8">
        <w:rPr>
          <w:rFonts w:ascii="Arial" w:hAnsi="Arial" w:cs="Arial"/>
          <w:sz w:val="22"/>
          <w:szCs w:val="22"/>
        </w:rPr>
        <w:t xml:space="preserve">DHBs are expected to report complete, </w:t>
      </w:r>
      <w:proofErr w:type="gramStart"/>
      <w:r w:rsidRPr="00B116B8">
        <w:rPr>
          <w:rFonts w:ascii="Arial" w:hAnsi="Arial" w:cs="Arial"/>
          <w:sz w:val="22"/>
          <w:szCs w:val="22"/>
        </w:rPr>
        <w:t>comprehensive</w:t>
      </w:r>
      <w:proofErr w:type="gramEnd"/>
      <w:r w:rsidRPr="00B116B8">
        <w:rPr>
          <w:rFonts w:ascii="Arial" w:hAnsi="Arial" w:cs="Arial"/>
          <w:sz w:val="22"/>
          <w:szCs w:val="22"/>
        </w:rPr>
        <w:t xml:space="preserve"> and timely information.  It is expected that all DHBs will meet the specific individually agreed targets, for this indicator, as agreed in their Annual Plans.  Where the target has not been met, the DHB must provide commentary or a resolution plan that describes </w:t>
      </w:r>
      <w:r>
        <w:rPr>
          <w:rFonts w:ascii="Arial" w:hAnsi="Arial" w:cs="Arial"/>
          <w:sz w:val="22"/>
          <w:szCs w:val="22"/>
        </w:rPr>
        <w:t>what specific actions the</w:t>
      </w:r>
      <w:r w:rsidRPr="00B116B8">
        <w:rPr>
          <w:rFonts w:ascii="Arial" w:hAnsi="Arial" w:cs="Arial"/>
          <w:sz w:val="22"/>
          <w:szCs w:val="22"/>
        </w:rPr>
        <w:t xml:space="preserve"> DHB will </w:t>
      </w:r>
      <w:r>
        <w:rPr>
          <w:rFonts w:ascii="Arial" w:hAnsi="Arial" w:cs="Arial"/>
          <w:sz w:val="22"/>
          <w:szCs w:val="22"/>
        </w:rPr>
        <w:t>take</w:t>
      </w:r>
      <w:r w:rsidRPr="00B116B8">
        <w:rPr>
          <w:rFonts w:ascii="Arial" w:hAnsi="Arial" w:cs="Arial"/>
          <w:sz w:val="22"/>
          <w:szCs w:val="22"/>
        </w:rPr>
        <w:t xml:space="preserve"> to address the performance failure</w:t>
      </w:r>
      <w:r>
        <w:rPr>
          <w:rFonts w:ascii="Arial" w:hAnsi="Arial" w:cs="Arial"/>
          <w:sz w:val="22"/>
          <w:szCs w:val="22"/>
        </w:rPr>
        <w:t>.</w:t>
      </w:r>
    </w:p>
    <w:p w14:paraId="411C1C98"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There are single national targets for each of these measures applicable to all DHBs and all child population groups by ethnicity, i.e. that:</w:t>
      </w:r>
    </w:p>
    <w:p w14:paraId="6E81D705"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 xml:space="preserve"> ≥ 95 percent of pre-school children (aged 0-4 years of age) will be enrolled in the COHS</w:t>
      </w:r>
    </w:p>
    <w:p w14:paraId="0622D8ED"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lastRenderedPageBreak/>
        <w:t>≤ 10 percent of pre-school and primary school children enrolled with the COHS will be overdue for their scheduled examinations with the COHS.</w:t>
      </w:r>
    </w:p>
    <w:p w14:paraId="01E8A430" w14:textId="77777777" w:rsidR="007117E9" w:rsidRPr="00B116B8" w:rsidRDefault="007117E9" w:rsidP="007117E9">
      <w:pPr>
        <w:shd w:val="clear" w:color="auto" w:fill="FFFFFF"/>
        <w:spacing w:before="60"/>
        <w:rPr>
          <w:rFonts w:ascii="Arial" w:hAnsi="Arial" w:cs="Arial"/>
          <w:sz w:val="22"/>
          <w:szCs w:val="22"/>
        </w:rPr>
      </w:pPr>
      <w:r w:rsidRPr="00B116B8">
        <w:rPr>
          <w:rFonts w:ascii="Arial" w:hAnsi="Arial" w:cs="Arial"/>
          <w:sz w:val="22"/>
          <w:szCs w:val="22"/>
        </w:rPr>
        <w:t>On a quarterly basis, DHBs are expected to monitor their progress towards achieving the agreed targets in their Annual Plans, and put in place appropriate measures to ensure targets are achieved by the end of the year to which the reporting relates.</w:t>
      </w:r>
    </w:p>
    <w:p w14:paraId="54EF7FBB" w14:textId="77777777" w:rsidR="007117E9" w:rsidRPr="00B116B8" w:rsidRDefault="007117E9" w:rsidP="007117E9">
      <w:pPr>
        <w:keepNext/>
        <w:shd w:val="clear" w:color="auto" w:fill="FFFFFF"/>
        <w:spacing w:before="120" w:after="120"/>
        <w:ind w:left="1440" w:hanging="1440"/>
        <w:rPr>
          <w:rFonts w:ascii="Arial" w:hAnsi="Arial" w:cs="Arial"/>
          <w:sz w:val="22"/>
          <w:szCs w:val="22"/>
        </w:rPr>
      </w:pPr>
      <w:r w:rsidRPr="00B116B8">
        <w:rPr>
          <w:rFonts w:ascii="Arial" w:hAnsi="Arial" w:cs="Arial"/>
          <w:sz w:val="22"/>
          <w:szCs w:val="22"/>
        </w:rPr>
        <w:t xml:space="preserve"> The following achievement scale will be applied: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92"/>
      </w:tblGrid>
      <w:tr w:rsidR="007117E9" w:rsidRPr="00B116B8" w14:paraId="65C262EB" w14:textId="77777777" w:rsidTr="00391DE7">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3040EEB" w14:textId="77777777" w:rsidR="007117E9" w:rsidRPr="00B116B8" w:rsidRDefault="007117E9" w:rsidP="00391DE7">
            <w:pPr>
              <w:keepNext/>
              <w:shd w:val="clear" w:color="auto" w:fill="FFFFFF"/>
              <w:spacing w:before="60" w:after="60"/>
              <w:rPr>
                <w:rFonts w:ascii="Arial" w:hAnsi="Arial" w:cs="Arial"/>
                <w:b/>
                <w:sz w:val="22"/>
                <w:szCs w:val="22"/>
              </w:rPr>
            </w:pPr>
            <w:r w:rsidRPr="00B116B8">
              <w:rPr>
                <w:rFonts w:ascii="Arial" w:hAnsi="Arial" w:cs="Arial"/>
                <w:b/>
                <w:sz w:val="22"/>
                <w:szCs w:val="22"/>
              </w:rPr>
              <w:t xml:space="preserve">Rating: </w:t>
            </w:r>
          </w:p>
        </w:tc>
        <w:tc>
          <w:tcPr>
            <w:tcW w:w="799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DBCF9A7" w14:textId="77777777" w:rsidR="007117E9" w:rsidRPr="00B116B8" w:rsidRDefault="007117E9" w:rsidP="00391DE7">
            <w:pPr>
              <w:keepNext/>
              <w:shd w:val="clear" w:color="auto" w:fill="FFFFFF"/>
              <w:spacing w:before="60" w:after="60"/>
              <w:rPr>
                <w:rFonts w:ascii="Arial" w:hAnsi="Arial" w:cs="Arial"/>
                <w:b/>
                <w:sz w:val="22"/>
                <w:szCs w:val="22"/>
              </w:rPr>
            </w:pPr>
            <w:r w:rsidRPr="00B116B8">
              <w:rPr>
                <w:rFonts w:ascii="Arial" w:hAnsi="Arial" w:cs="Arial"/>
                <w:b/>
                <w:sz w:val="22"/>
                <w:szCs w:val="22"/>
              </w:rPr>
              <w:t>Definition</w:t>
            </w:r>
          </w:p>
        </w:tc>
      </w:tr>
      <w:tr w:rsidR="007117E9" w:rsidRPr="00B116B8" w14:paraId="44B987F1"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6D59CDC0"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Outstanding</w:t>
            </w:r>
          </w:p>
        </w:tc>
        <w:tc>
          <w:tcPr>
            <w:tcW w:w="7992" w:type="dxa"/>
            <w:tcBorders>
              <w:top w:val="single" w:sz="4" w:space="0" w:color="auto"/>
              <w:left w:val="single" w:sz="4" w:space="0" w:color="auto"/>
              <w:bottom w:val="single" w:sz="4" w:space="0" w:color="auto"/>
              <w:right w:val="single" w:sz="4" w:space="0" w:color="auto"/>
            </w:tcBorders>
            <w:hideMark/>
          </w:tcPr>
          <w:p w14:paraId="29372CAC" w14:textId="77777777" w:rsidR="007117E9" w:rsidRPr="00B116B8" w:rsidRDefault="007117E9" w:rsidP="00391DE7">
            <w:pPr>
              <w:keepNext/>
              <w:shd w:val="clear" w:color="auto" w:fill="FFFFFF"/>
              <w:spacing w:before="60" w:after="60"/>
              <w:rPr>
                <w:rFonts w:ascii="Arial" w:hAnsi="Arial" w:cs="Arial"/>
                <w:sz w:val="22"/>
                <w:szCs w:val="22"/>
              </w:rPr>
            </w:pPr>
            <w:r w:rsidRPr="00B116B8">
              <w:t xml:space="preserve"> </w:t>
            </w:r>
            <w:r w:rsidRPr="00B116B8">
              <w:rPr>
                <w:rFonts w:ascii="Arial" w:hAnsi="Arial" w:cs="Arial"/>
                <w:sz w:val="22"/>
                <w:szCs w:val="22"/>
              </w:rPr>
              <w:t>The DHB has met the targets agreed in the Annual Plan, and are more than 5% over specified targets, and has also reached the same level of performance for the Other population group, and the Maori population group, and the Pacific population group (where applicable).</w:t>
            </w:r>
          </w:p>
        </w:tc>
      </w:tr>
      <w:tr w:rsidR="007117E9" w:rsidRPr="00B116B8" w14:paraId="32C18B5E"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1CA11101"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Achieved</w:t>
            </w:r>
          </w:p>
        </w:tc>
        <w:tc>
          <w:tcPr>
            <w:tcW w:w="7992" w:type="dxa"/>
            <w:tcBorders>
              <w:top w:val="single" w:sz="4" w:space="0" w:color="auto"/>
              <w:left w:val="single" w:sz="4" w:space="0" w:color="auto"/>
              <w:bottom w:val="single" w:sz="4" w:space="0" w:color="auto"/>
              <w:right w:val="single" w:sz="4" w:space="0" w:color="auto"/>
            </w:tcBorders>
          </w:tcPr>
          <w:p w14:paraId="6A160EC7" w14:textId="77777777" w:rsidR="007117E9" w:rsidRPr="00B116B8" w:rsidRDefault="007117E9" w:rsidP="00391DE7">
            <w:pPr>
              <w:autoSpaceDE w:val="0"/>
              <w:autoSpaceDN w:val="0"/>
              <w:adjustRightInd w:val="0"/>
              <w:rPr>
                <w:rFonts w:ascii="Tms Rmn" w:hAnsi="Tms Rmn"/>
                <w:lang w:eastAsia="en-NZ"/>
              </w:rPr>
            </w:pPr>
            <w:r w:rsidRPr="00B116B8">
              <w:rPr>
                <w:rFonts w:ascii="Arial" w:hAnsi="Arial" w:cs="Arial"/>
                <w:sz w:val="22"/>
                <w:szCs w:val="22"/>
              </w:rPr>
              <w:t>All targets agreed in the Annual Plan are met, within 95% - 105% of specified targets</w:t>
            </w:r>
          </w:p>
          <w:p w14:paraId="6B41EA11" w14:textId="77777777" w:rsidR="007117E9" w:rsidRPr="00B116B8" w:rsidRDefault="007117E9" w:rsidP="00391DE7">
            <w:pPr>
              <w:autoSpaceDE w:val="0"/>
              <w:autoSpaceDN w:val="0"/>
              <w:adjustRightInd w:val="0"/>
              <w:rPr>
                <w:rFonts w:ascii="Arial" w:hAnsi="Arial" w:cs="Arial"/>
                <w:iCs/>
                <w:color w:val="000000"/>
                <w:sz w:val="22"/>
                <w:szCs w:val="22"/>
                <w:lang w:eastAsia="en-NZ"/>
              </w:rPr>
            </w:pPr>
            <w:r w:rsidRPr="00B116B8">
              <w:rPr>
                <w:rFonts w:ascii="Arial" w:hAnsi="Arial" w:cs="Arial"/>
                <w:b/>
                <w:bCs/>
                <w:iCs/>
                <w:color w:val="000000"/>
                <w:sz w:val="22"/>
                <w:szCs w:val="22"/>
                <w:lang w:eastAsia="en-NZ"/>
              </w:rPr>
              <w:t>and</w:t>
            </w:r>
            <w:r w:rsidRPr="00B116B8">
              <w:rPr>
                <w:rFonts w:ascii="Arial" w:hAnsi="Arial" w:cs="Arial"/>
                <w:iCs/>
                <w:color w:val="000000"/>
                <w:sz w:val="22"/>
                <w:szCs w:val="22"/>
                <w:lang w:eastAsia="en-NZ"/>
              </w:rPr>
              <w:t xml:space="preserve"> </w:t>
            </w:r>
          </w:p>
          <w:p w14:paraId="5ABD7F17" w14:textId="77777777" w:rsidR="007117E9" w:rsidRPr="00255164" w:rsidRDefault="007117E9" w:rsidP="00391DE7">
            <w:pPr>
              <w:autoSpaceDE w:val="0"/>
              <w:autoSpaceDN w:val="0"/>
              <w:adjustRightInd w:val="0"/>
              <w:rPr>
                <w:rFonts w:ascii="Arial" w:hAnsi="Arial" w:cs="Arial"/>
                <w:iCs/>
                <w:color w:val="000000"/>
                <w:sz w:val="22"/>
                <w:szCs w:val="22"/>
                <w:lang w:eastAsia="en-NZ"/>
              </w:rPr>
            </w:pPr>
            <w:r w:rsidRPr="00B116B8">
              <w:rPr>
                <w:rFonts w:ascii="Arial" w:hAnsi="Arial" w:cs="Arial"/>
                <w:iCs/>
                <w:color w:val="000000"/>
                <w:sz w:val="22"/>
                <w:szCs w:val="22"/>
                <w:lang w:eastAsia="en-NZ"/>
              </w:rPr>
              <w:t>a resolution plan with appropriate actions is provided if the total population target is not met for the Māori population group, and the Pacific population group</w:t>
            </w:r>
          </w:p>
        </w:tc>
      </w:tr>
      <w:tr w:rsidR="007117E9" w:rsidRPr="00B116B8" w14:paraId="0446E31F"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460C7236"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Partially Achieved</w:t>
            </w:r>
          </w:p>
        </w:tc>
        <w:tc>
          <w:tcPr>
            <w:tcW w:w="7992" w:type="dxa"/>
            <w:tcBorders>
              <w:top w:val="single" w:sz="4" w:space="0" w:color="auto"/>
              <w:left w:val="single" w:sz="4" w:space="0" w:color="auto"/>
              <w:bottom w:val="single" w:sz="4" w:space="0" w:color="auto"/>
              <w:right w:val="single" w:sz="4" w:space="0" w:color="auto"/>
            </w:tcBorders>
          </w:tcPr>
          <w:p w14:paraId="66864C05" w14:textId="77777777" w:rsidR="007117E9" w:rsidRPr="00B116B8" w:rsidRDefault="007117E9" w:rsidP="00391DE7">
            <w:pPr>
              <w:autoSpaceDE w:val="0"/>
              <w:autoSpaceDN w:val="0"/>
              <w:adjustRightInd w:val="0"/>
              <w:rPr>
                <w:rFonts w:ascii="Arial" w:hAnsi="Arial" w:cs="Arial"/>
                <w:i/>
                <w:iCs/>
                <w:color w:val="000000"/>
                <w:sz w:val="20"/>
                <w:szCs w:val="20"/>
                <w:lang w:eastAsia="en-NZ"/>
              </w:rPr>
            </w:pPr>
            <w:r w:rsidRPr="00B116B8">
              <w:rPr>
                <w:rFonts w:ascii="Arial" w:hAnsi="Arial" w:cs="Arial"/>
                <w:sz w:val="22"/>
                <w:szCs w:val="22"/>
              </w:rPr>
              <w:t>Some or all targets agreed in the Annual Plan are not met, but delivered results are same as, or better than, the results delivered in the prior year</w:t>
            </w:r>
            <w:r w:rsidRPr="00B116B8">
              <w:rPr>
                <w:rFonts w:ascii="Arial" w:hAnsi="Arial" w:cs="Arial"/>
                <w:i/>
                <w:iCs/>
                <w:color w:val="000000"/>
                <w:sz w:val="20"/>
                <w:szCs w:val="20"/>
                <w:lang w:eastAsia="en-NZ"/>
              </w:rPr>
              <w:t xml:space="preserve"> </w:t>
            </w:r>
          </w:p>
          <w:p w14:paraId="491F43D1" w14:textId="77777777" w:rsidR="007117E9" w:rsidRPr="00B116B8" w:rsidRDefault="007117E9" w:rsidP="00391DE7">
            <w:pPr>
              <w:autoSpaceDE w:val="0"/>
              <w:autoSpaceDN w:val="0"/>
              <w:adjustRightInd w:val="0"/>
              <w:rPr>
                <w:rFonts w:ascii="Arial" w:hAnsi="Arial" w:cs="Arial"/>
                <w:b/>
                <w:iCs/>
                <w:color w:val="000000"/>
                <w:sz w:val="22"/>
                <w:szCs w:val="22"/>
                <w:lang w:eastAsia="en-NZ"/>
              </w:rPr>
            </w:pPr>
            <w:r w:rsidRPr="00B116B8">
              <w:rPr>
                <w:rFonts w:ascii="Arial" w:hAnsi="Arial" w:cs="Arial"/>
                <w:b/>
                <w:iCs/>
                <w:color w:val="000000"/>
                <w:sz w:val="22"/>
                <w:szCs w:val="22"/>
                <w:lang w:eastAsia="en-NZ"/>
              </w:rPr>
              <w:t>and/or</w:t>
            </w:r>
          </w:p>
          <w:p w14:paraId="4F798743" w14:textId="77777777" w:rsidR="007117E9" w:rsidRPr="00B116B8" w:rsidRDefault="007117E9" w:rsidP="00391DE7">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 xml:space="preserve">the DHB has not met the target/performance expectation agreed in its Annual Plan, </w:t>
            </w:r>
            <w:r w:rsidRPr="00B116B8">
              <w:rPr>
                <w:rFonts w:ascii="Arial" w:hAnsi="Arial" w:cs="Arial"/>
                <w:bCs/>
                <w:iCs/>
                <w:color w:val="000000"/>
                <w:sz w:val="22"/>
                <w:szCs w:val="22"/>
                <w:lang w:eastAsia="en-NZ"/>
              </w:rPr>
              <w:t>and</w:t>
            </w:r>
            <w:r w:rsidRPr="00B116B8">
              <w:rPr>
                <w:rFonts w:ascii="Arial" w:hAnsi="Arial" w:cs="Arial"/>
                <w:iCs/>
                <w:color w:val="000000"/>
                <w:sz w:val="22"/>
                <w:szCs w:val="22"/>
                <w:lang w:eastAsia="en-NZ"/>
              </w:rPr>
              <w:t xml:space="preserve"> a resolution plan with appropriate actions is provided, including actions to deliver improved performance for the Māori population group, and the Pacific population group</w:t>
            </w:r>
          </w:p>
        </w:tc>
      </w:tr>
      <w:tr w:rsidR="007117E9" w:rsidRPr="00B116B8" w14:paraId="0E5766DB"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2E83BE35"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Not Achieved</w:t>
            </w:r>
          </w:p>
        </w:tc>
        <w:tc>
          <w:tcPr>
            <w:tcW w:w="7992" w:type="dxa"/>
            <w:tcBorders>
              <w:top w:val="single" w:sz="4" w:space="0" w:color="auto"/>
              <w:left w:val="single" w:sz="4" w:space="0" w:color="auto"/>
              <w:bottom w:val="single" w:sz="4" w:space="0" w:color="auto"/>
              <w:right w:val="single" w:sz="4" w:space="0" w:color="auto"/>
            </w:tcBorders>
            <w:hideMark/>
          </w:tcPr>
          <w:p w14:paraId="0F24B599"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Some or all expectations are not met, and actual results are worse than the results delivered in the prior year</w:t>
            </w:r>
          </w:p>
        </w:tc>
      </w:tr>
    </w:tbl>
    <w:p w14:paraId="4A11A2D8"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Reporting Template</w:t>
      </w:r>
    </w:p>
    <w:p w14:paraId="21A116A8" w14:textId="77777777" w:rsidR="007117E9" w:rsidRPr="00B116B8" w:rsidRDefault="007117E9" w:rsidP="007117E9">
      <w:pPr>
        <w:spacing w:after="120"/>
        <w:rPr>
          <w:rFonts w:ascii="Arial" w:hAnsi="Arial" w:cs="Arial"/>
          <w:b/>
          <w:i/>
        </w:rPr>
      </w:pPr>
      <w:r w:rsidRPr="00B116B8">
        <w:rPr>
          <w:rFonts w:ascii="Arial" w:hAnsi="Arial" w:cs="Arial"/>
          <w:sz w:val="22"/>
          <w:szCs w:val="22"/>
        </w:rPr>
        <w:t xml:space="preserve">The Ministry of Health Excel reporting template </w:t>
      </w:r>
      <w:r>
        <w:rPr>
          <w:rFonts w:ascii="Arial" w:hAnsi="Arial" w:cs="Arial"/>
          <w:sz w:val="22"/>
          <w:szCs w:val="22"/>
        </w:rPr>
        <w:t>is available through the quarterly reporting website or on request from the Ministry’s oral health team.</w:t>
      </w:r>
      <w:r w:rsidRPr="00B116B8" w:rsidDel="00EF46A9">
        <w:rPr>
          <w:rFonts w:ascii="Arial" w:hAnsi="Arial" w:cs="Arial"/>
          <w:sz w:val="22"/>
          <w:szCs w:val="22"/>
        </w:rPr>
        <w:t xml:space="preserve"> </w:t>
      </w:r>
      <w:r w:rsidRPr="00B116B8">
        <w:rPr>
          <w:rFonts w:ascii="Arial" w:hAnsi="Arial" w:cs="Arial"/>
          <w:b/>
          <w:i/>
        </w:rPr>
        <w:br w:type="page"/>
      </w:r>
    </w:p>
    <w:p w14:paraId="3BEEEADF" w14:textId="77777777" w:rsidR="007117E9" w:rsidRPr="00B116B8" w:rsidRDefault="007117E9" w:rsidP="007117E9">
      <w:pPr>
        <w:pStyle w:val="Heading2"/>
        <w:rPr>
          <w:sz w:val="22"/>
          <w:szCs w:val="22"/>
        </w:rPr>
      </w:pPr>
      <w:r w:rsidRPr="00B116B8">
        <w:lastRenderedPageBreak/>
        <w:t>Outcome priority: We have health equity for M</w:t>
      </w:r>
      <w:r>
        <w:t>ā</w:t>
      </w:r>
      <w:r w:rsidRPr="00B116B8">
        <w:t>ori and other groups</w:t>
      </w:r>
    </w:p>
    <w:p w14:paraId="57B53D8F" w14:textId="77777777" w:rsidR="007117E9" w:rsidRPr="00B116B8" w:rsidRDefault="007117E9" w:rsidP="007117E9">
      <w:pPr>
        <w:keepNext/>
        <w:shd w:val="clear" w:color="auto" w:fill="FFFFFF" w:themeFill="background1"/>
        <w:spacing w:before="240" w:after="60"/>
        <w:outlineLvl w:val="1"/>
        <w:rPr>
          <w:rFonts w:ascii="Arial" w:hAnsi="Arial" w:cs="Arial"/>
          <w:b/>
          <w:bCs/>
          <w:i/>
          <w:iCs/>
          <w:sz w:val="28"/>
          <w:szCs w:val="28"/>
        </w:rPr>
      </w:pPr>
      <w:bookmarkStart w:id="340" w:name="_Toc356565145"/>
      <w:bookmarkStart w:id="341" w:name="_Toc350510635"/>
      <w:bookmarkStart w:id="342" w:name="_Toc349305953"/>
      <w:bookmarkStart w:id="343" w:name="_Toc348339229"/>
      <w:bookmarkStart w:id="344" w:name="_Toc348337564"/>
      <w:bookmarkStart w:id="345" w:name="_Toc343774696"/>
      <w:bookmarkStart w:id="346" w:name="_Toc343769123"/>
      <w:bookmarkStart w:id="347" w:name="_Toc343769032"/>
      <w:bookmarkStart w:id="348" w:name="_Toc343768786"/>
      <w:bookmarkStart w:id="349" w:name="_Toc342981962"/>
      <w:bookmarkStart w:id="350" w:name="_Toc342381809"/>
      <w:bookmarkStart w:id="351" w:name="_Toc340490138"/>
      <w:bookmarkStart w:id="352" w:name="_Toc340489539"/>
      <w:bookmarkStart w:id="353" w:name="_Toc336001209"/>
      <w:bookmarkStart w:id="354" w:name="_Toc318187787"/>
      <w:bookmarkStart w:id="355" w:name="_Toc309640151"/>
      <w:bookmarkStart w:id="356" w:name="_Toc308173558"/>
      <w:bookmarkStart w:id="357" w:name="_Toc307316846"/>
      <w:bookmarkStart w:id="358" w:name="_Toc277250154"/>
      <w:bookmarkStart w:id="359" w:name="_Toc368554671"/>
      <w:bookmarkStart w:id="360" w:name="_Toc372632999"/>
      <w:bookmarkStart w:id="361" w:name="_Toc373487922"/>
      <w:bookmarkStart w:id="362" w:name="_Toc374703765"/>
      <w:bookmarkStart w:id="363" w:name="_Toc374704404"/>
      <w:bookmarkStart w:id="364" w:name="_Toc381355172"/>
      <w:bookmarkStart w:id="365" w:name="_Toc386712811"/>
      <w:bookmarkStart w:id="366" w:name="_Toc401310854"/>
      <w:bookmarkStart w:id="367" w:name="_Toc401311018"/>
      <w:bookmarkStart w:id="368" w:name="_Toc406138450"/>
      <w:bookmarkStart w:id="369" w:name="_Toc406142848"/>
      <w:bookmarkStart w:id="370" w:name="_Toc433707237"/>
      <w:bookmarkStart w:id="371" w:name="_Toc433707944"/>
      <w:bookmarkStart w:id="372" w:name="_Toc433708756"/>
      <w:bookmarkStart w:id="373" w:name="_Toc444243248"/>
      <w:bookmarkStart w:id="374" w:name="_Toc448753719"/>
      <w:bookmarkStart w:id="375" w:name="_Toc461709164"/>
      <w:bookmarkStart w:id="376" w:name="_Toc491938843"/>
      <w:bookmarkStart w:id="377" w:name="_Toc513555924"/>
      <w:bookmarkStart w:id="378" w:name="_Toc4588526"/>
      <w:bookmarkStart w:id="379" w:name="_Toc9591996"/>
      <w:r w:rsidRPr="00B116B8">
        <w:rPr>
          <w:rFonts w:ascii="Arial" w:hAnsi="Arial" w:cs="Arial"/>
          <w:b/>
          <w:bCs/>
          <w:i/>
          <w:iCs/>
          <w:sz w:val="28"/>
          <w:szCs w:val="28"/>
        </w:rPr>
        <w:t>Improving child wellbeing CW04: Utilisation of DHB-funded dental services by adolescents from School Year 9 up to and including age 17 years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F077AE7" w14:textId="77777777" w:rsidR="007117E9" w:rsidRPr="00B116B8" w:rsidRDefault="007117E9" w:rsidP="007117E9">
      <w:pPr>
        <w:shd w:val="clear" w:color="auto" w:fill="FFFFFF"/>
        <w:spacing w:before="60" w:after="60"/>
        <w:rPr>
          <w:rFonts w:ascii="Arial" w:hAnsi="Arial" w:cs="Arial"/>
          <w:sz w:val="22"/>
          <w:szCs w:val="22"/>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7117E9" w:rsidRPr="00B116B8" w14:paraId="30C914B7" w14:textId="77777777" w:rsidTr="00391DE7">
        <w:tc>
          <w:tcPr>
            <w:tcW w:w="10094" w:type="dxa"/>
            <w:gridSpan w:val="2"/>
            <w:shd w:val="clear" w:color="auto" w:fill="D9D9D9"/>
          </w:tcPr>
          <w:p w14:paraId="3D02D599"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Summary information</w:t>
            </w:r>
          </w:p>
        </w:tc>
      </w:tr>
      <w:tr w:rsidR="007117E9" w:rsidRPr="00B116B8" w14:paraId="6F4D0061" w14:textId="77777777" w:rsidTr="00391DE7">
        <w:tc>
          <w:tcPr>
            <w:tcW w:w="2864" w:type="dxa"/>
            <w:shd w:val="clear" w:color="auto" w:fill="auto"/>
          </w:tcPr>
          <w:p w14:paraId="2D2C8AEC"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Target/performance expectation</w:t>
            </w:r>
          </w:p>
        </w:tc>
        <w:tc>
          <w:tcPr>
            <w:tcW w:w="7230" w:type="dxa"/>
            <w:shd w:val="clear" w:color="auto" w:fill="auto"/>
          </w:tcPr>
          <w:p w14:paraId="20DA3C6E"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sz w:val="20"/>
                <w:szCs w:val="20"/>
              </w:rPr>
              <w:t>Agreed in DHB Annual Plan</w:t>
            </w:r>
          </w:p>
        </w:tc>
      </w:tr>
      <w:tr w:rsidR="007117E9" w:rsidRPr="00B116B8" w14:paraId="7E1A523E" w14:textId="77777777" w:rsidTr="00391DE7">
        <w:trPr>
          <w:trHeight w:val="493"/>
        </w:trPr>
        <w:tc>
          <w:tcPr>
            <w:tcW w:w="2864" w:type="dxa"/>
            <w:shd w:val="clear" w:color="auto" w:fill="auto"/>
          </w:tcPr>
          <w:p w14:paraId="781480D2"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Reporting frequency</w:t>
            </w:r>
          </w:p>
        </w:tc>
        <w:tc>
          <w:tcPr>
            <w:tcW w:w="7230" w:type="dxa"/>
            <w:shd w:val="clear" w:color="auto" w:fill="auto"/>
          </w:tcPr>
          <w:p w14:paraId="459EF498" w14:textId="77777777" w:rsidR="007117E9" w:rsidRPr="00B116B8" w:rsidRDefault="007117E9" w:rsidP="00391DE7">
            <w:pPr>
              <w:shd w:val="clear" w:color="auto" w:fill="FFFFFF"/>
              <w:spacing w:before="60" w:after="60"/>
              <w:rPr>
                <w:rFonts w:ascii="Arial" w:hAnsi="Arial" w:cs="Arial"/>
                <w:sz w:val="20"/>
                <w:szCs w:val="20"/>
              </w:rPr>
            </w:pPr>
            <w:r w:rsidRPr="00B116B8">
              <w:rPr>
                <w:rFonts w:ascii="Arial" w:hAnsi="Arial" w:cs="Arial"/>
                <w:sz w:val="20"/>
                <w:szCs w:val="20"/>
              </w:rPr>
              <w:t>Annual quarter 4</w:t>
            </w:r>
          </w:p>
        </w:tc>
      </w:tr>
      <w:tr w:rsidR="007117E9" w:rsidRPr="00B116B8" w14:paraId="367E3052" w14:textId="77777777" w:rsidTr="00391DE7">
        <w:tc>
          <w:tcPr>
            <w:tcW w:w="2864" w:type="dxa"/>
            <w:shd w:val="clear" w:color="auto" w:fill="auto"/>
          </w:tcPr>
          <w:p w14:paraId="52D20B5C"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Source information for reporting provided by:</w:t>
            </w:r>
          </w:p>
        </w:tc>
        <w:tc>
          <w:tcPr>
            <w:tcW w:w="7230" w:type="dxa"/>
            <w:shd w:val="clear" w:color="auto" w:fill="auto"/>
          </w:tcPr>
          <w:p w14:paraId="5F0AA58E" w14:textId="77777777" w:rsidR="007117E9" w:rsidRPr="00B116B8" w:rsidRDefault="007117E9" w:rsidP="00391DE7">
            <w:pPr>
              <w:shd w:val="clear" w:color="auto" w:fill="FFFFFF"/>
              <w:spacing w:before="60" w:after="60"/>
              <w:rPr>
                <w:rFonts w:ascii="Arial" w:hAnsi="Arial" w:cs="Arial"/>
                <w:i/>
                <w:sz w:val="20"/>
                <w:szCs w:val="20"/>
              </w:rPr>
            </w:pPr>
            <w:r w:rsidRPr="00B116B8">
              <w:rPr>
                <w:rFonts w:ascii="Arial" w:hAnsi="Arial" w:cs="Arial"/>
                <w:i/>
                <w:sz w:val="20"/>
                <w:szCs w:val="20"/>
              </w:rPr>
              <w:t>Data to be supplied by DHBs template is on the</w:t>
            </w:r>
            <w:r>
              <w:rPr>
                <w:rFonts w:ascii="Arial" w:hAnsi="Arial" w:cs="Arial"/>
                <w:sz w:val="20"/>
                <w:szCs w:val="20"/>
              </w:rPr>
              <w:t xml:space="preserve"> quarterly reporting website</w:t>
            </w:r>
          </w:p>
        </w:tc>
      </w:tr>
      <w:tr w:rsidR="007117E9" w:rsidRPr="00B116B8" w14:paraId="5C155504" w14:textId="77777777" w:rsidTr="00391DE7">
        <w:trPr>
          <w:trHeight w:val="2182"/>
        </w:trPr>
        <w:tc>
          <w:tcPr>
            <w:tcW w:w="2864" w:type="dxa"/>
            <w:shd w:val="clear" w:color="auto" w:fill="auto"/>
          </w:tcPr>
          <w:p w14:paraId="22109DAC" w14:textId="77777777" w:rsidR="007117E9" w:rsidRPr="00B116B8" w:rsidRDefault="007117E9" w:rsidP="00391DE7">
            <w:pPr>
              <w:shd w:val="clear" w:color="auto" w:fill="FFFFFF"/>
              <w:spacing w:before="60" w:after="60"/>
              <w:rPr>
                <w:rFonts w:ascii="Arial" w:hAnsi="Arial" w:cs="Arial"/>
                <w:b/>
                <w:i/>
                <w:sz w:val="20"/>
                <w:szCs w:val="20"/>
              </w:rPr>
            </w:pPr>
            <w:r w:rsidRPr="00B116B8">
              <w:rPr>
                <w:rFonts w:ascii="Arial" w:hAnsi="Arial" w:cs="Arial"/>
                <w:b/>
                <w:i/>
                <w:sz w:val="20"/>
                <w:szCs w:val="20"/>
              </w:rPr>
              <w:t>Quarterly reporting  - standard timeline applies</w:t>
            </w:r>
          </w:p>
        </w:tc>
        <w:tc>
          <w:tcPr>
            <w:tcW w:w="7230" w:type="dxa"/>
            <w:shd w:val="clear" w:color="auto" w:fill="auto"/>
          </w:tcPr>
          <w:p w14:paraId="727D87D4" w14:textId="77777777" w:rsidR="007117E9" w:rsidRPr="00B116B8" w:rsidRDefault="007117E9" w:rsidP="00391DE7">
            <w:pPr>
              <w:shd w:val="clear" w:color="auto" w:fill="FFFFFF"/>
              <w:spacing w:before="60" w:after="60"/>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7117E9" w:rsidRPr="00B116B8" w14:paraId="70163774"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0C0A2"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AE0FD"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20th of the month following the end of the quarter</w:t>
                  </w:r>
                </w:p>
              </w:tc>
            </w:tr>
            <w:tr w:rsidR="007117E9" w:rsidRPr="00B116B8" w14:paraId="2D33338D"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4C69"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27F1"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8-10 working days from receiving reports</w:t>
                  </w:r>
                </w:p>
              </w:tc>
            </w:tr>
            <w:tr w:rsidR="007117E9" w:rsidRPr="00B116B8" w14:paraId="26BAC5FD"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6A63"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71A5A"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5 working days from receiving initial ratings</w:t>
                  </w:r>
                </w:p>
              </w:tc>
            </w:tr>
            <w:tr w:rsidR="007117E9" w:rsidRPr="00B116B8" w14:paraId="49468762" w14:textId="77777777" w:rsidTr="00391DE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45D6"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61528" w14:textId="77777777" w:rsidR="007117E9" w:rsidRPr="00B116B8" w:rsidRDefault="007117E9" w:rsidP="00391DE7">
                  <w:pPr>
                    <w:ind w:left="205" w:hanging="205"/>
                    <w:rPr>
                      <w:rFonts w:ascii="Calibri" w:hAnsi="Calibri"/>
                      <w:sz w:val="20"/>
                      <w:szCs w:val="20"/>
                    </w:rPr>
                  </w:pPr>
                  <w:r w:rsidRPr="00B116B8">
                    <w:rPr>
                      <w:rFonts w:ascii="Calibri" w:hAnsi="Calibri"/>
                      <w:sz w:val="20"/>
                      <w:szCs w:val="20"/>
                    </w:rPr>
                    <w:t>4-5 working days from receiving DHB feedback</w:t>
                  </w:r>
                </w:p>
              </w:tc>
            </w:tr>
          </w:tbl>
          <w:p w14:paraId="31C48B00" w14:textId="77777777" w:rsidR="007117E9" w:rsidRPr="00B116B8" w:rsidRDefault="007117E9" w:rsidP="00391DE7">
            <w:pPr>
              <w:shd w:val="clear" w:color="auto" w:fill="FFFFFF"/>
              <w:spacing w:before="60" w:after="60"/>
              <w:rPr>
                <w:rFonts w:ascii="Arial" w:hAnsi="Arial" w:cs="Arial"/>
                <w:i/>
                <w:sz w:val="16"/>
                <w:szCs w:val="16"/>
              </w:rPr>
            </w:pPr>
          </w:p>
        </w:tc>
      </w:tr>
    </w:tbl>
    <w:p w14:paraId="396B6860" w14:textId="77777777" w:rsidR="007117E9" w:rsidRPr="00B116B8" w:rsidRDefault="007117E9" w:rsidP="007117E9">
      <w:pPr>
        <w:shd w:val="clear" w:color="auto" w:fill="FFFFFF"/>
        <w:spacing w:before="120" w:after="120"/>
        <w:rPr>
          <w:rFonts w:ascii="Arial" w:hAnsi="Arial" w:cs="Arial"/>
          <w:b/>
          <w:i/>
          <w:szCs w:val="22"/>
        </w:rPr>
      </w:pPr>
      <w:r w:rsidRPr="00B116B8">
        <w:rPr>
          <w:rFonts w:ascii="Arial" w:hAnsi="Arial" w:cs="Arial"/>
          <w:b/>
          <w:szCs w:val="22"/>
        </w:rPr>
        <w:t>Link to outcomes and priority areas</w:t>
      </w:r>
    </w:p>
    <w:p w14:paraId="688FF042" w14:textId="77777777" w:rsidR="007117E9" w:rsidRPr="00B116B8" w:rsidRDefault="007117E9" w:rsidP="007117E9">
      <w:pPr>
        <w:spacing w:before="120" w:after="120" w:line="300" w:lineRule="auto"/>
        <w:rPr>
          <w:rFonts w:ascii="Arial" w:hAnsi="Arial" w:cs="Arial"/>
          <w:sz w:val="22"/>
          <w:szCs w:val="22"/>
        </w:rPr>
      </w:pPr>
      <w:r w:rsidRPr="00B116B8">
        <w:rPr>
          <w:rFonts w:ascii="Arial" w:hAnsi="Arial" w:cs="Arial"/>
          <w:sz w:val="22"/>
          <w:szCs w:val="22"/>
        </w:rPr>
        <w:t xml:space="preserve">Delivery of this measure supports the vision for the New Zealand health and disability system of </w:t>
      </w:r>
      <w:proofErr w:type="spellStart"/>
      <w:r w:rsidRPr="00B116B8">
        <w:rPr>
          <w:rFonts w:ascii="Arial" w:hAnsi="Arial" w:cs="Arial"/>
          <w:sz w:val="22"/>
          <w:szCs w:val="22"/>
        </w:rPr>
        <w:t>Pae</w:t>
      </w:r>
      <w:proofErr w:type="spellEnd"/>
      <w:r w:rsidRPr="00B116B8">
        <w:rPr>
          <w:rFonts w:ascii="Arial" w:hAnsi="Arial" w:cs="Arial"/>
          <w:sz w:val="22"/>
          <w:szCs w:val="22"/>
        </w:rPr>
        <w:t xml:space="preserve"> Ora – healthy futures.</w:t>
      </w:r>
    </w:p>
    <w:p w14:paraId="7500F575" w14:textId="77777777" w:rsidR="007117E9" w:rsidRPr="00B116B8" w:rsidRDefault="007117E9" w:rsidP="007117E9">
      <w:pPr>
        <w:shd w:val="clear" w:color="auto" w:fill="FFFFFF"/>
        <w:spacing w:before="120" w:after="120"/>
        <w:rPr>
          <w:rFonts w:ascii="Arial" w:hAnsi="Arial" w:cs="Arial"/>
          <w:bCs/>
          <w:sz w:val="22"/>
          <w:szCs w:val="22"/>
        </w:rPr>
      </w:pPr>
      <w:r w:rsidRPr="00B116B8">
        <w:rPr>
          <w:rFonts w:ascii="Arial" w:hAnsi="Arial" w:cs="Arial"/>
          <w:bCs/>
          <w:sz w:val="22"/>
          <w:szCs w:val="22"/>
        </w:rPr>
        <w:t xml:space="preserve">By improving adolescents’ oral health DHBs will support Government's priority to ensure everyone who is able to, is earning, learning, </w:t>
      </w:r>
      <w:proofErr w:type="gramStart"/>
      <w:r w:rsidRPr="00B116B8">
        <w:rPr>
          <w:rFonts w:ascii="Arial" w:hAnsi="Arial" w:cs="Arial"/>
          <w:bCs/>
          <w:sz w:val="22"/>
          <w:szCs w:val="22"/>
        </w:rPr>
        <w:t>caring</w:t>
      </w:r>
      <w:proofErr w:type="gramEnd"/>
      <w:r w:rsidRPr="00B116B8">
        <w:rPr>
          <w:rFonts w:ascii="Arial" w:hAnsi="Arial" w:cs="Arial"/>
          <w:bCs/>
          <w:sz w:val="22"/>
          <w:szCs w:val="22"/>
        </w:rPr>
        <w:t xml:space="preserve"> or volunteering, and our health system outcome that we have health equity for M</w:t>
      </w:r>
      <w:r>
        <w:rPr>
          <w:rFonts w:ascii="Arial" w:hAnsi="Arial" w:cs="Arial"/>
          <w:bCs/>
          <w:sz w:val="22"/>
          <w:szCs w:val="22"/>
        </w:rPr>
        <w:t>ā</w:t>
      </w:r>
      <w:r w:rsidRPr="00B116B8">
        <w:rPr>
          <w:rFonts w:ascii="Arial" w:hAnsi="Arial" w:cs="Arial"/>
          <w:bCs/>
          <w:sz w:val="22"/>
          <w:szCs w:val="22"/>
        </w:rPr>
        <w:t>ori and other groups.</w:t>
      </w:r>
    </w:p>
    <w:p w14:paraId="40D56F68" w14:textId="77777777" w:rsidR="007117E9" w:rsidRPr="00B116B8" w:rsidRDefault="007117E9" w:rsidP="007117E9">
      <w:pPr>
        <w:shd w:val="clear" w:color="auto" w:fill="FFFFFF"/>
        <w:spacing w:before="120" w:after="120"/>
        <w:rPr>
          <w:rFonts w:ascii="Arial" w:hAnsi="Arial" w:cs="Arial"/>
          <w:sz w:val="22"/>
          <w:szCs w:val="22"/>
        </w:rPr>
      </w:pPr>
      <w:r w:rsidRPr="00B116B8">
        <w:rPr>
          <w:rFonts w:ascii="Arial" w:hAnsi="Arial" w:cs="Arial"/>
          <w:bCs/>
          <w:sz w:val="22"/>
          <w:szCs w:val="22"/>
        </w:rPr>
        <w:t>Delivery of this measure most strongly supports the following sector outcomes and government priorities:</w:t>
      </w:r>
      <w:r w:rsidRPr="00B116B8">
        <w:rPr>
          <w:rFonts w:ascii="Arial" w:hAnsi="Arial" w:cs="Arial"/>
          <w:sz w:val="22"/>
          <w:szCs w:val="22"/>
        </w:rPr>
        <w:t xml:space="preserve"> Increasing the proportion of adolescents (from School Year 9 (</w:t>
      </w:r>
      <w:proofErr w:type="gramStart"/>
      <w:r w:rsidRPr="00B116B8">
        <w:rPr>
          <w:rFonts w:ascii="Arial" w:hAnsi="Arial" w:cs="Arial"/>
          <w:sz w:val="22"/>
          <w:szCs w:val="22"/>
        </w:rPr>
        <w:t>13/14-year olds</w:t>
      </w:r>
      <w:proofErr w:type="gramEnd"/>
      <w:r w:rsidRPr="00B116B8">
        <w:rPr>
          <w:rFonts w:ascii="Arial" w:hAnsi="Arial" w:cs="Arial"/>
          <w:sz w:val="22"/>
          <w:szCs w:val="22"/>
        </w:rPr>
        <w:t>) up to and including 17 years of age) who have accessed DHB-funded oral health services and will show that each DHB has made an impact on the outcome of protecting and promoting good health and independence by providing accessible and available publicly funded adolescent oral health programmes.  The programmes will help reduce the prevalence and severity of oral disease in adolescents.</w:t>
      </w:r>
    </w:p>
    <w:p w14:paraId="571FC3D1" w14:textId="77777777" w:rsidR="007117E9" w:rsidRPr="00B116B8" w:rsidRDefault="007117E9" w:rsidP="007117E9">
      <w:pPr>
        <w:shd w:val="clear" w:color="auto" w:fill="FFFFFF"/>
        <w:spacing w:before="120" w:after="120"/>
        <w:rPr>
          <w:rFonts w:ascii="Arial" w:hAnsi="Arial" w:cs="Arial"/>
          <w:sz w:val="22"/>
          <w:szCs w:val="22"/>
        </w:rPr>
      </w:pPr>
      <w:r w:rsidRPr="00B116B8">
        <w:rPr>
          <w:rFonts w:ascii="Arial" w:hAnsi="Arial" w:cs="Arial"/>
          <w:sz w:val="22"/>
          <w:szCs w:val="22"/>
        </w:rPr>
        <w:t xml:space="preserve">Through the intermediate outcome, the measure contributes to the high-level outcome of New Zealanders living longer, </w:t>
      </w:r>
      <w:proofErr w:type="gramStart"/>
      <w:r w:rsidRPr="00B116B8">
        <w:rPr>
          <w:rFonts w:ascii="Arial" w:hAnsi="Arial" w:cs="Arial"/>
          <w:sz w:val="22"/>
          <w:szCs w:val="22"/>
        </w:rPr>
        <w:t>healthier</w:t>
      </w:r>
      <w:proofErr w:type="gramEnd"/>
      <w:r w:rsidRPr="00B116B8">
        <w:rPr>
          <w:rFonts w:ascii="Arial" w:hAnsi="Arial" w:cs="Arial"/>
          <w:sz w:val="22"/>
          <w:szCs w:val="22"/>
        </w:rPr>
        <w:t xml:space="preserve"> and more independent lives.</w:t>
      </w:r>
    </w:p>
    <w:p w14:paraId="78A81D5C" w14:textId="77777777" w:rsidR="007117E9" w:rsidRPr="00B116B8" w:rsidRDefault="007117E9" w:rsidP="007117E9">
      <w:pPr>
        <w:shd w:val="clear" w:color="auto" w:fill="FFFFFF"/>
        <w:spacing w:before="120" w:after="120"/>
        <w:rPr>
          <w:rFonts w:ascii="Arial" w:hAnsi="Arial" w:cs="Arial"/>
          <w:b/>
          <w:sz w:val="22"/>
          <w:szCs w:val="22"/>
        </w:rPr>
      </w:pPr>
      <w:r w:rsidRPr="00B116B8">
        <w:rPr>
          <w:rFonts w:ascii="Arial" w:hAnsi="Arial" w:cs="Arial"/>
          <w:b/>
          <w:sz w:val="22"/>
          <w:szCs w:val="22"/>
        </w:rPr>
        <w:t>Actions and activities are that have a proven impact on this measure:</w:t>
      </w:r>
    </w:p>
    <w:p w14:paraId="647B5CF6"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The following actions and activities are examples of initiatives that have a proven impact on this measure:</w:t>
      </w:r>
    </w:p>
    <w:p w14:paraId="6BAA4406"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increasing the number of dentists contracted under the Combined Dental Agreement to provide DHB-funded adolescent oral health services</w:t>
      </w:r>
    </w:p>
    <w:p w14:paraId="7E008147"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 xml:space="preserve">more effective transfers of children at the end of school Year 8 by the DHB’s </w:t>
      </w:r>
      <w:r>
        <w:rPr>
          <w:rFonts w:ascii="Arial" w:hAnsi="Arial" w:cs="Arial"/>
          <w:sz w:val="22"/>
          <w:szCs w:val="22"/>
        </w:rPr>
        <w:t>COHS</w:t>
      </w:r>
      <w:r w:rsidRPr="00B116B8">
        <w:rPr>
          <w:rFonts w:ascii="Arial" w:hAnsi="Arial" w:cs="Arial"/>
          <w:sz w:val="22"/>
          <w:szCs w:val="22"/>
        </w:rPr>
        <w:t xml:space="preserve"> to dentists contracted under the Combined Dental Agreement to provide adolescent oral health services</w:t>
      </w:r>
    </w:p>
    <w:p w14:paraId="746C7E98" w14:textId="77777777" w:rsidR="007117E9" w:rsidRPr="00B116B8" w:rsidRDefault="007117E9" w:rsidP="007117E9">
      <w:pPr>
        <w:numPr>
          <w:ilvl w:val="0"/>
          <w:numId w:val="11"/>
        </w:numPr>
        <w:shd w:val="clear" w:color="auto" w:fill="FFFFFF"/>
        <w:rPr>
          <w:rFonts w:ascii="Arial" w:hAnsi="Arial" w:cs="Arial"/>
          <w:sz w:val="22"/>
          <w:szCs w:val="22"/>
        </w:rPr>
      </w:pPr>
      <w:r w:rsidRPr="00B116B8">
        <w:rPr>
          <w:rFonts w:ascii="Arial" w:hAnsi="Arial" w:cs="Arial"/>
          <w:sz w:val="22"/>
          <w:szCs w:val="22"/>
        </w:rPr>
        <w:t>increased promotion and follow-through of enrolments in and service utilisation of DHB-funded adolescent oral health services.</w:t>
      </w:r>
    </w:p>
    <w:p w14:paraId="01418C87"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Context</w:t>
      </w:r>
    </w:p>
    <w:p w14:paraId="4AB8BB88"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 xml:space="preserve">This measure indicates the coverage of publicly funded adolescent oral health services.  </w:t>
      </w:r>
    </w:p>
    <w:p w14:paraId="2BFF3BDB" w14:textId="77777777" w:rsidR="007117E9" w:rsidRPr="00B116B8" w:rsidRDefault="007117E9" w:rsidP="007117E9">
      <w:pPr>
        <w:shd w:val="clear" w:color="auto" w:fill="FFFFFF"/>
        <w:spacing w:before="120" w:after="60"/>
        <w:rPr>
          <w:rFonts w:ascii="Arial" w:hAnsi="Arial" w:cs="Arial"/>
          <w:sz w:val="22"/>
          <w:szCs w:val="22"/>
        </w:rPr>
      </w:pPr>
      <w:proofErr w:type="gramStart"/>
      <w:r w:rsidRPr="00B116B8">
        <w:rPr>
          <w:rFonts w:ascii="Arial" w:hAnsi="Arial" w:cs="Arial"/>
          <w:sz w:val="22"/>
          <w:szCs w:val="22"/>
        </w:rPr>
        <w:t>Publicly-funded</w:t>
      </w:r>
      <w:proofErr w:type="gramEnd"/>
      <w:r w:rsidRPr="00B116B8">
        <w:rPr>
          <w:rFonts w:ascii="Arial" w:hAnsi="Arial" w:cs="Arial"/>
          <w:sz w:val="22"/>
          <w:szCs w:val="22"/>
        </w:rPr>
        <w:t xml:space="preserve"> oral health services are available to children and adolescents from birth to 17 years of age (i.e. until the 18</w:t>
      </w:r>
      <w:r w:rsidRPr="00B116B8">
        <w:rPr>
          <w:rFonts w:ascii="Arial" w:hAnsi="Arial" w:cs="Arial"/>
          <w:sz w:val="22"/>
          <w:szCs w:val="22"/>
          <w:vertAlign w:val="superscript"/>
        </w:rPr>
        <w:t>th</w:t>
      </w:r>
      <w:r w:rsidRPr="00B116B8">
        <w:rPr>
          <w:rFonts w:ascii="Arial" w:hAnsi="Arial" w:cs="Arial"/>
          <w:sz w:val="22"/>
          <w:szCs w:val="22"/>
        </w:rPr>
        <w:t xml:space="preserve"> birthday), through DHBs’ COHS, DHB-funded contracts with Maori oral health </w:t>
      </w:r>
      <w:r w:rsidRPr="00B116B8">
        <w:rPr>
          <w:rFonts w:ascii="Arial" w:hAnsi="Arial" w:cs="Arial"/>
          <w:sz w:val="22"/>
          <w:szCs w:val="22"/>
        </w:rPr>
        <w:lastRenderedPageBreak/>
        <w:t xml:space="preserve">providers to provide child oral health services, and DHB-funded contracts with private dentists and Māori oral health providers to provide adolescent oral health services.  </w:t>
      </w:r>
    </w:p>
    <w:p w14:paraId="79A811A1" w14:textId="77777777" w:rsidR="007117E9" w:rsidRPr="00B116B8" w:rsidRDefault="007117E9" w:rsidP="007117E9">
      <w:pPr>
        <w:shd w:val="clear" w:color="auto" w:fill="FFFFFF"/>
        <w:spacing w:before="60" w:after="60"/>
        <w:rPr>
          <w:rFonts w:ascii="Arial" w:hAnsi="Arial" w:cs="Arial"/>
          <w:b/>
        </w:rPr>
      </w:pPr>
      <w:proofErr w:type="gramStart"/>
      <w:r w:rsidRPr="00B116B8">
        <w:rPr>
          <w:rFonts w:ascii="Arial" w:hAnsi="Arial" w:cs="Arial"/>
          <w:b/>
        </w:rPr>
        <w:t>Deliverables</w:t>
      </w:r>
      <w:proofErr w:type="gramEnd"/>
      <w:r w:rsidRPr="00B116B8">
        <w:rPr>
          <w:rFonts w:ascii="Arial" w:hAnsi="Arial" w:cs="Arial"/>
          <w:b/>
        </w:rPr>
        <w:t xml:space="preserve"> definitions</w:t>
      </w:r>
    </w:p>
    <w:p w14:paraId="3FB93BDC" w14:textId="77777777" w:rsidR="007117E9" w:rsidRPr="00B116B8" w:rsidRDefault="007117E9" w:rsidP="007117E9">
      <w:pPr>
        <w:shd w:val="clear" w:color="auto" w:fill="FFFFFF"/>
        <w:spacing w:before="120" w:after="60"/>
        <w:rPr>
          <w:rFonts w:ascii="Arial" w:hAnsi="Arial" w:cs="Arial"/>
          <w:b/>
          <w:i/>
          <w:sz w:val="22"/>
          <w:szCs w:val="22"/>
        </w:rPr>
      </w:pPr>
      <w:r w:rsidRPr="00B116B8">
        <w:rPr>
          <w:rFonts w:ascii="Arial" w:hAnsi="Arial" w:cs="Arial"/>
          <w:b/>
          <w:i/>
          <w:sz w:val="22"/>
          <w:szCs w:val="22"/>
        </w:rPr>
        <w:t xml:space="preserve">Numerator: </w:t>
      </w:r>
    </w:p>
    <w:p w14:paraId="403A2FD4"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 xml:space="preserve">(Data source: DHBs, via reporting from Sector </w:t>
      </w:r>
      <w:r>
        <w:rPr>
          <w:rFonts w:ascii="Arial" w:hAnsi="Arial" w:cs="Arial"/>
          <w:sz w:val="22"/>
          <w:szCs w:val="22"/>
        </w:rPr>
        <w:t>Operations</w:t>
      </w:r>
      <w:r w:rsidRPr="00B116B8">
        <w:rPr>
          <w:rFonts w:ascii="Arial" w:hAnsi="Arial" w:cs="Arial"/>
          <w:sz w:val="22"/>
          <w:szCs w:val="22"/>
        </w:rPr>
        <w:t xml:space="preserve"> and other DHB-contracted oral health providers.)</w:t>
      </w:r>
    </w:p>
    <w:p w14:paraId="1349A7BE"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In the year to which the reporting relates, the total number of adolescents accessing DHB-funded adolescent oral health services, defined as:</w:t>
      </w:r>
    </w:p>
    <w:p w14:paraId="0BB4E1B1" w14:textId="77777777" w:rsidR="007117E9" w:rsidRPr="00B116B8" w:rsidRDefault="007117E9" w:rsidP="007117E9">
      <w:pPr>
        <w:shd w:val="clear" w:color="auto" w:fill="FFFFFF"/>
        <w:spacing w:before="60" w:after="60"/>
        <w:ind w:left="720" w:hanging="720"/>
        <w:rPr>
          <w:rFonts w:ascii="Arial" w:hAnsi="Arial" w:cs="Arial"/>
          <w:sz w:val="22"/>
          <w:szCs w:val="22"/>
        </w:rPr>
      </w:pPr>
      <w:r w:rsidRPr="00B116B8">
        <w:rPr>
          <w:rFonts w:ascii="Arial" w:hAnsi="Arial" w:cs="Arial"/>
          <w:sz w:val="22"/>
          <w:szCs w:val="22"/>
        </w:rPr>
        <w:t>(</w:t>
      </w:r>
      <w:proofErr w:type="spellStart"/>
      <w:r w:rsidRPr="00B116B8">
        <w:rPr>
          <w:rFonts w:ascii="Arial" w:hAnsi="Arial" w:cs="Arial"/>
          <w:sz w:val="22"/>
          <w:szCs w:val="22"/>
        </w:rPr>
        <w:t>i</w:t>
      </w:r>
      <w:proofErr w:type="spellEnd"/>
      <w:r w:rsidRPr="00B116B8">
        <w:rPr>
          <w:rFonts w:ascii="Arial" w:hAnsi="Arial" w:cs="Arial"/>
          <w:sz w:val="22"/>
          <w:szCs w:val="22"/>
        </w:rPr>
        <w:t>)</w:t>
      </w:r>
      <w:r w:rsidRPr="00B116B8">
        <w:rPr>
          <w:rFonts w:ascii="Arial" w:hAnsi="Arial" w:cs="Arial"/>
          <w:sz w:val="22"/>
          <w:szCs w:val="22"/>
        </w:rPr>
        <w:tab/>
        <w:t>the unique count of adolescent patients’ completions and non-completions under the Combined Dental Agreement; and</w:t>
      </w:r>
    </w:p>
    <w:p w14:paraId="35430996" w14:textId="77777777" w:rsidR="007117E9" w:rsidRPr="00B116B8" w:rsidRDefault="007117E9" w:rsidP="007117E9">
      <w:pPr>
        <w:shd w:val="clear" w:color="auto" w:fill="FFFFFF"/>
        <w:spacing w:before="60" w:after="60"/>
        <w:ind w:left="720" w:hanging="720"/>
        <w:rPr>
          <w:rFonts w:ascii="Arial" w:hAnsi="Arial" w:cs="Arial"/>
          <w:sz w:val="22"/>
          <w:szCs w:val="22"/>
        </w:rPr>
      </w:pPr>
      <w:r w:rsidRPr="00B116B8">
        <w:rPr>
          <w:rFonts w:ascii="Arial" w:hAnsi="Arial" w:cs="Arial"/>
          <w:sz w:val="22"/>
          <w:szCs w:val="22"/>
        </w:rPr>
        <w:t>(ii)</w:t>
      </w:r>
      <w:r w:rsidRPr="00B116B8">
        <w:rPr>
          <w:rFonts w:ascii="Arial" w:hAnsi="Arial" w:cs="Arial"/>
          <w:sz w:val="22"/>
          <w:szCs w:val="22"/>
        </w:rPr>
        <w:tab/>
        <w:t>the unique count of additional adolescent examinations with other DHB-funded dental services (e.g. DHB Community Oral Health Services, Māori Oral Health providers and other contracted oral health providers).</w:t>
      </w:r>
    </w:p>
    <w:p w14:paraId="67D38180"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 xml:space="preserve">To reduce duplication of effort, at the end of six months in the year to which the reporting relates, the Ministry will organise a data extract from Sector </w:t>
      </w:r>
      <w:r>
        <w:rPr>
          <w:rFonts w:ascii="Arial" w:hAnsi="Arial" w:cs="Arial"/>
          <w:sz w:val="22"/>
          <w:szCs w:val="22"/>
        </w:rPr>
        <w:t>Operations</w:t>
      </w:r>
      <w:r w:rsidRPr="00B116B8">
        <w:rPr>
          <w:rFonts w:ascii="Arial" w:hAnsi="Arial" w:cs="Arial"/>
          <w:sz w:val="22"/>
          <w:szCs w:val="22"/>
        </w:rPr>
        <w:t xml:space="preserve"> for all DHBs for claims made by dentists contracted under the Combined Dental Agreement, and provide this data for DHBs’ use in determining part (</w:t>
      </w:r>
      <w:proofErr w:type="spellStart"/>
      <w:r w:rsidRPr="00B116B8">
        <w:rPr>
          <w:rFonts w:ascii="Arial" w:hAnsi="Arial" w:cs="Arial"/>
          <w:sz w:val="22"/>
          <w:szCs w:val="22"/>
        </w:rPr>
        <w:t>i</w:t>
      </w:r>
      <w:proofErr w:type="spellEnd"/>
      <w:r w:rsidRPr="00B116B8">
        <w:rPr>
          <w:rFonts w:ascii="Arial" w:hAnsi="Arial" w:cs="Arial"/>
          <w:sz w:val="22"/>
          <w:szCs w:val="22"/>
        </w:rPr>
        <w:t>) of the numerator.</w:t>
      </w:r>
    </w:p>
    <w:p w14:paraId="381C0CAD" w14:textId="77777777" w:rsidR="007117E9" w:rsidRPr="00B116B8" w:rsidRDefault="007117E9" w:rsidP="007117E9">
      <w:pPr>
        <w:keepNext/>
        <w:shd w:val="clear" w:color="auto" w:fill="FFFFFF"/>
        <w:spacing w:before="120" w:after="60"/>
        <w:rPr>
          <w:rFonts w:ascii="Arial" w:hAnsi="Arial" w:cs="Arial"/>
          <w:sz w:val="22"/>
          <w:szCs w:val="22"/>
        </w:rPr>
      </w:pPr>
      <w:r w:rsidRPr="00B116B8">
        <w:rPr>
          <w:rFonts w:ascii="Arial" w:hAnsi="Arial" w:cs="Arial"/>
          <w:b/>
          <w:i/>
          <w:sz w:val="22"/>
          <w:szCs w:val="22"/>
        </w:rPr>
        <w:t xml:space="preserve">Denominator: </w:t>
      </w:r>
    </w:p>
    <w:p w14:paraId="271F2862" w14:textId="77777777" w:rsidR="007117E9" w:rsidRPr="00B116B8" w:rsidRDefault="007117E9" w:rsidP="007117E9">
      <w:pPr>
        <w:keepNext/>
        <w:shd w:val="clear" w:color="auto" w:fill="FFFFFF"/>
        <w:spacing w:before="60" w:after="60"/>
        <w:rPr>
          <w:rFonts w:ascii="Arial" w:hAnsi="Arial" w:cs="Arial"/>
          <w:sz w:val="22"/>
          <w:szCs w:val="22"/>
        </w:rPr>
      </w:pPr>
      <w:r w:rsidRPr="00B116B8">
        <w:rPr>
          <w:rFonts w:ascii="Arial" w:hAnsi="Arial" w:cs="Arial"/>
          <w:sz w:val="22"/>
          <w:szCs w:val="22"/>
        </w:rPr>
        <w:t>(Data source: Estimates of DHB population by age, sourced from NZ Census and Statistics New Zealand’s population projections between Census)</w:t>
      </w:r>
    </w:p>
    <w:p w14:paraId="715D01C7"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DHBs do not need to report a denominator.  The Ministry will source denominator data, and advise denominator data prior to the due date for DHBs’ reporting.</w:t>
      </w:r>
    </w:p>
    <w:p w14:paraId="181A28C1"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sz w:val="22"/>
          <w:szCs w:val="22"/>
        </w:rPr>
        <w:t>The denominator will be calculated as follows:</w:t>
      </w:r>
    </w:p>
    <w:p w14:paraId="3E9A3886" w14:textId="77777777" w:rsidR="007117E9" w:rsidRPr="00B116B8" w:rsidRDefault="007117E9" w:rsidP="007117E9">
      <w:pPr>
        <w:numPr>
          <w:ilvl w:val="0"/>
          <w:numId w:val="19"/>
        </w:numPr>
        <w:shd w:val="clear" w:color="auto" w:fill="FFFFFF"/>
        <w:rPr>
          <w:rFonts w:ascii="Arial" w:hAnsi="Arial" w:cs="Arial"/>
          <w:sz w:val="22"/>
          <w:szCs w:val="22"/>
        </w:rPr>
      </w:pPr>
      <w:r w:rsidRPr="00B116B8">
        <w:rPr>
          <w:rFonts w:ascii="Arial" w:hAnsi="Arial" w:cs="Arial"/>
          <w:sz w:val="22"/>
          <w:szCs w:val="22"/>
        </w:rPr>
        <w:t>Half of the cohort aged 13 years</w:t>
      </w:r>
    </w:p>
    <w:p w14:paraId="3D77404D" w14:textId="77777777" w:rsidR="007117E9" w:rsidRPr="00B116B8" w:rsidRDefault="007117E9" w:rsidP="007117E9">
      <w:pPr>
        <w:numPr>
          <w:ilvl w:val="0"/>
          <w:numId w:val="19"/>
        </w:numPr>
        <w:shd w:val="clear" w:color="auto" w:fill="FFFFFF"/>
        <w:rPr>
          <w:rFonts w:ascii="Arial" w:hAnsi="Arial" w:cs="Arial"/>
          <w:sz w:val="22"/>
          <w:szCs w:val="22"/>
        </w:rPr>
      </w:pPr>
      <w:r w:rsidRPr="00B116B8">
        <w:rPr>
          <w:rFonts w:ascii="Arial" w:hAnsi="Arial" w:cs="Arial"/>
          <w:sz w:val="22"/>
          <w:szCs w:val="22"/>
        </w:rPr>
        <w:t>All of the cohorts aged 14 – 17 years inclusive.</w:t>
      </w:r>
    </w:p>
    <w:p w14:paraId="22EA98B9" w14:textId="77777777" w:rsidR="007117E9" w:rsidRPr="00B116B8" w:rsidRDefault="007117E9" w:rsidP="007117E9">
      <w:pPr>
        <w:shd w:val="clear" w:color="auto" w:fill="FFFFFF"/>
        <w:spacing w:before="120" w:after="60"/>
        <w:rPr>
          <w:rFonts w:ascii="Arial" w:hAnsi="Arial" w:cs="Arial"/>
          <w:b/>
          <w:i/>
          <w:sz w:val="22"/>
          <w:szCs w:val="22"/>
        </w:rPr>
      </w:pPr>
      <w:r w:rsidRPr="00B116B8">
        <w:rPr>
          <w:rFonts w:ascii="Arial" w:hAnsi="Arial" w:cs="Arial"/>
          <w:b/>
          <w:i/>
          <w:sz w:val="22"/>
          <w:szCs w:val="22"/>
        </w:rPr>
        <w:t>Other components of this indicator:</w:t>
      </w:r>
    </w:p>
    <w:p w14:paraId="1CF1C761" w14:textId="77777777" w:rsidR="007117E9" w:rsidRPr="00B116B8" w:rsidRDefault="007117E9" w:rsidP="007117E9">
      <w:pPr>
        <w:numPr>
          <w:ilvl w:val="0"/>
          <w:numId w:val="20"/>
        </w:numPr>
        <w:shd w:val="clear" w:color="auto" w:fill="FFFFFF"/>
        <w:spacing w:before="120" w:after="60"/>
        <w:rPr>
          <w:rFonts w:ascii="Arial" w:hAnsi="Arial" w:cs="Arial"/>
          <w:sz w:val="22"/>
          <w:szCs w:val="22"/>
        </w:rPr>
      </w:pPr>
      <w:r w:rsidRPr="00B116B8">
        <w:rPr>
          <w:rFonts w:ascii="Arial" w:hAnsi="Arial" w:cs="Arial"/>
          <w:sz w:val="22"/>
          <w:szCs w:val="22"/>
        </w:rPr>
        <w:t>Part of the data for this indicator will be provided by the Ministry (CDA data from the Proclaim payments system) and the balance will be generated by DHBs (non-CDA data on adolescents utilising DHB provider arm dental services and DHB-contracted dental services not paid through Proclaim).  There is a number of technical interpretation issues associated with oral health, which are centred largely around variances in:</w:t>
      </w:r>
    </w:p>
    <w:p w14:paraId="027A835F"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processes for data collection amongst DHBs</w:t>
      </w:r>
    </w:p>
    <w:p w14:paraId="310E90A8" w14:textId="77777777" w:rsidR="007117E9" w:rsidRPr="00B116B8" w:rsidRDefault="007117E9" w:rsidP="007117E9">
      <w:pPr>
        <w:numPr>
          <w:ilvl w:val="0"/>
          <w:numId w:val="16"/>
        </w:numPr>
        <w:shd w:val="clear" w:color="auto" w:fill="FFFFFF"/>
        <w:rPr>
          <w:rFonts w:ascii="Arial" w:hAnsi="Arial" w:cs="Arial"/>
          <w:sz w:val="22"/>
          <w:szCs w:val="22"/>
        </w:rPr>
      </w:pPr>
      <w:r w:rsidRPr="00B116B8">
        <w:rPr>
          <w:rFonts w:ascii="Arial" w:hAnsi="Arial" w:cs="Arial"/>
          <w:sz w:val="22"/>
          <w:szCs w:val="22"/>
        </w:rPr>
        <w:t>technologies for management of data amongst DHBs.</w:t>
      </w:r>
    </w:p>
    <w:p w14:paraId="16D038E7" w14:textId="77777777" w:rsidR="007117E9" w:rsidRDefault="007117E9" w:rsidP="007117E9">
      <w:pPr>
        <w:numPr>
          <w:ilvl w:val="0"/>
          <w:numId w:val="20"/>
        </w:numPr>
        <w:shd w:val="clear" w:color="auto" w:fill="FFFFFF"/>
        <w:spacing w:before="120" w:after="60"/>
        <w:rPr>
          <w:rFonts w:ascii="Arial" w:hAnsi="Arial" w:cs="Arial"/>
          <w:sz w:val="22"/>
          <w:szCs w:val="22"/>
        </w:rPr>
      </w:pPr>
      <w:r w:rsidRPr="00B116B8">
        <w:rPr>
          <w:rFonts w:ascii="Arial" w:hAnsi="Arial" w:cs="Arial"/>
          <w:sz w:val="22"/>
          <w:szCs w:val="22"/>
        </w:rPr>
        <w:t xml:space="preserve">DHBs are encouraged to record data at the unit (individual child) level, using the National Health Index, but data are reported in an aggregated format and should be provided using the Ministry of Health Excel template, available on the quarterly reporting </w:t>
      </w:r>
      <w:r>
        <w:rPr>
          <w:rFonts w:ascii="Arial" w:hAnsi="Arial" w:cs="Arial"/>
          <w:sz w:val="22"/>
          <w:szCs w:val="22"/>
        </w:rPr>
        <w:t>website</w:t>
      </w:r>
      <w:r w:rsidRPr="00B116B8">
        <w:rPr>
          <w:rFonts w:ascii="Arial" w:hAnsi="Arial" w:cs="Arial"/>
          <w:sz w:val="22"/>
          <w:szCs w:val="22"/>
        </w:rPr>
        <w:t xml:space="preserve"> or from the Ministry of Health’s oral health team.</w:t>
      </w:r>
    </w:p>
    <w:p w14:paraId="4D23C56B" w14:textId="77777777" w:rsidR="007117E9" w:rsidRDefault="007117E9" w:rsidP="007117E9">
      <w:pPr>
        <w:numPr>
          <w:ilvl w:val="0"/>
          <w:numId w:val="20"/>
        </w:numPr>
        <w:shd w:val="clear" w:color="auto" w:fill="FFFFFF"/>
        <w:spacing w:before="120"/>
        <w:rPr>
          <w:rFonts w:ascii="Arial" w:hAnsi="Arial" w:cs="Arial"/>
          <w:sz w:val="22"/>
          <w:szCs w:val="22"/>
        </w:rPr>
      </w:pPr>
      <w:r>
        <w:rPr>
          <w:rFonts w:ascii="Arial" w:hAnsi="Arial" w:cs="Arial"/>
          <w:sz w:val="22"/>
          <w:szCs w:val="22"/>
        </w:rPr>
        <w:t>DHBs need to ensure that non-CDA adolescent utilisation data that is collected from the COHS and any contracted providers can be broken down by ethnicity (Māori, Pacific and Other) and reported to the Ministry in the required template.</w:t>
      </w:r>
    </w:p>
    <w:p w14:paraId="705968FE"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 xml:space="preserve">Reporting Period </w:t>
      </w:r>
    </w:p>
    <w:p w14:paraId="311DD149" w14:textId="77777777" w:rsidR="007117E9" w:rsidRPr="00B116B8" w:rsidRDefault="007117E9" w:rsidP="007117E9">
      <w:pPr>
        <w:shd w:val="clear" w:color="auto" w:fill="FFFFFF"/>
        <w:spacing w:before="60" w:after="60"/>
        <w:rPr>
          <w:rFonts w:ascii="Arial" w:hAnsi="Arial" w:cs="Arial"/>
          <w:sz w:val="22"/>
          <w:szCs w:val="22"/>
        </w:rPr>
      </w:pPr>
      <w:r w:rsidRPr="00B116B8">
        <w:rPr>
          <w:rFonts w:ascii="Arial" w:hAnsi="Arial" w:cs="Arial"/>
          <w:b/>
          <w:i/>
          <w:sz w:val="22"/>
          <w:szCs w:val="22"/>
        </w:rPr>
        <w:t>Reporting required</w:t>
      </w:r>
      <w:r w:rsidRPr="00B116B8">
        <w:rPr>
          <w:rFonts w:ascii="Arial" w:hAnsi="Arial" w:cs="Arial"/>
          <w:i/>
          <w:sz w:val="22"/>
          <w:szCs w:val="22"/>
        </w:rPr>
        <w:t>:</w:t>
      </w:r>
      <w:r w:rsidRPr="00B116B8">
        <w:rPr>
          <w:rFonts w:ascii="Arial" w:hAnsi="Arial" w:cs="Arial"/>
          <w:sz w:val="22"/>
          <w:szCs w:val="22"/>
        </w:rPr>
        <w:t xml:space="preserve"> Annual, in the fourth quarter.</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7117E9" w:rsidRPr="00B116B8" w14:paraId="73181C68" w14:textId="77777777" w:rsidTr="00391DE7">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FF29E7B"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B6C107" w14:textId="77777777" w:rsidR="007117E9" w:rsidRPr="00B116B8" w:rsidRDefault="007117E9" w:rsidP="00391DE7">
            <w:pPr>
              <w:shd w:val="clear" w:color="auto" w:fill="FFFFFF"/>
              <w:spacing w:before="60" w:after="60"/>
              <w:rPr>
                <w:rFonts w:ascii="Arial" w:hAnsi="Arial" w:cs="Arial"/>
                <w:b/>
                <w:sz w:val="22"/>
                <w:szCs w:val="22"/>
              </w:rPr>
            </w:pPr>
            <w:r w:rsidRPr="00B116B8">
              <w:rPr>
                <w:rFonts w:ascii="Arial" w:hAnsi="Arial" w:cs="Arial"/>
                <w:b/>
                <w:sz w:val="22"/>
                <w:szCs w:val="22"/>
              </w:rPr>
              <w:t>For the time period</w:t>
            </w:r>
          </w:p>
        </w:tc>
      </w:tr>
      <w:tr w:rsidR="007117E9" w:rsidRPr="00B116B8" w14:paraId="75E9CA12" w14:textId="77777777" w:rsidTr="00391DE7">
        <w:trPr>
          <w:jc w:val="center"/>
        </w:trPr>
        <w:tc>
          <w:tcPr>
            <w:tcW w:w="1617" w:type="dxa"/>
            <w:tcBorders>
              <w:top w:val="single" w:sz="4" w:space="0" w:color="auto"/>
              <w:left w:val="single" w:sz="4" w:space="0" w:color="auto"/>
              <w:bottom w:val="single" w:sz="4" w:space="0" w:color="auto"/>
              <w:right w:val="single" w:sz="4" w:space="0" w:color="auto"/>
            </w:tcBorders>
            <w:hideMark/>
          </w:tcPr>
          <w:p w14:paraId="7F06AD26"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Quarter 4</w:t>
            </w:r>
          </w:p>
        </w:tc>
        <w:tc>
          <w:tcPr>
            <w:tcW w:w="4323" w:type="dxa"/>
            <w:tcBorders>
              <w:top w:val="single" w:sz="4" w:space="0" w:color="auto"/>
              <w:left w:val="single" w:sz="4" w:space="0" w:color="auto"/>
              <w:bottom w:val="single" w:sz="4" w:space="0" w:color="auto"/>
              <w:right w:val="single" w:sz="4" w:space="0" w:color="auto"/>
            </w:tcBorders>
            <w:hideMark/>
          </w:tcPr>
          <w:p w14:paraId="3E2D963F"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 xml:space="preserve">1 January </w:t>
            </w:r>
            <w:r>
              <w:rPr>
                <w:rFonts w:ascii="Arial" w:hAnsi="Arial" w:cs="Arial"/>
                <w:sz w:val="22"/>
                <w:szCs w:val="22"/>
              </w:rPr>
              <w:t>2020</w:t>
            </w:r>
            <w:r w:rsidRPr="00B116B8">
              <w:rPr>
                <w:rFonts w:ascii="Arial" w:hAnsi="Arial" w:cs="Arial"/>
                <w:sz w:val="22"/>
                <w:szCs w:val="22"/>
              </w:rPr>
              <w:t xml:space="preserve"> – 31 December </w:t>
            </w:r>
            <w:r>
              <w:rPr>
                <w:rFonts w:ascii="Arial" w:hAnsi="Arial" w:cs="Arial"/>
                <w:sz w:val="22"/>
                <w:szCs w:val="22"/>
              </w:rPr>
              <w:t>2020</w:t>
            </w:r>
          </w:p>
        </w:tc>
      </w:tr>
    </w:tbl>
    <w:p w14:paraId="24FA16EB" w14:textId="77777777" w:rsidR="007117E9" w:rsidRPr="00B116B8" w:rsidRDefault="007117E9" w:rsidP="007117E9">
      <w:pPr>
        <w:shd w:val="clear" w:color="auto" w:fill="FFFFFF"/>
        <w:rPr>
          <w:rFonts w:ascii="Arial" w:hAnsi="Arial" w:cs="Arial"/>
          <w:b/>
          <w:szCs w:val="22"/>
        </w:rPr>
      </w:pPr>
      <w:r w:rsidRPr="00B116B8">
        <w:rPr>
          <w:rFonts w:ascii="Arial" w:hAnsi="Arial" w:cs="Arial"/>
          <w:b/>
          <w:szCs w:val="22"/>
        </w:rPr>
        <w:t>Expectations</w:t>
      </w:r>
    </w:p>
    <w:p w14:paraId="294DEAF2" w14:textId="77777777" w:rsidR="007117E9" w:rsidRPr="00B116B8" w:rsidRDefault="007117E9" w:rsidP="007117E9">
      <w:pPr>
        <w:shd w:val="clear" w:color="auto" w:fill="FFFFFF"/>
        <w:spacing w:before="120" w:after="120"/>
        <w:rPr>
          <w:rFonts w:ascii="Arial" w:hAnsi="Arial" w:cs="Arial"/>
          <w:sz w:val="22"/>
          <w:szCs w:val="22"/>
        </w:rPr>
      </w:pPr>
      <w:r w:rsidRPr="00B116B8">
        <w:rPr>
          <w:rFonts w:ascii="Arial" w:hAnsi="Arial" w:cs="Arial"/>
          <w:sz w:val="22"/>
          <w:szCs w:val="22"/>
        </w:rPr>
        <w:t xml:space="preserve">DHBs are expected to report complete, </w:t>
      </w:r>
      <w:proofErr w:type="gramStart"/>
      <w:r w:rsidRPr="00B116B8">
        <w:rPr>
          <w:rFonts w:ascii="Arial" w:hAnsi="Arial" w:cs="Arial"/>
          <w:sz w:val="22"/>
          <w:szCs w:val="22"/>
        </w:rPr>
        <w:t>comprehensive</w:t>
      </w:r>
      <w:proofErr w:type="gramEnd"/>
      <w:r w:rsidRPr="00B116B8">
        <w:rPr>
          <w:rFonts w:ascii="Arial" w:hAnsi="Arial" w:cs="Arial"/>
          <w:sz w:val="22"/>
          <w:szCs w:val="22"/>
        </w:rPr>
        <w:t xml:space="preserve"> and timely information.  It is expected that all DHBs will meet the national target for this indicator, as agreed in their Annual Plans.  Where the target </w:t>
      </w:r>
      <w:r w:rsidRPr="00B116B8">
        <w:rPr>
          <w:rFonts w:ascii="Arial" w:hAnsi="Arial" w:cs="Arial"/>
          <w:sz w:val="22"/>
          <w:szCs w:val="22"/>
        </w:rPr>
        <w:lastRenderedPageBreak/>
        <w:t xml:space="preserve">has not been met, the DHB must provide commentary or a resolution plan that describes </w:t>
      </w:r>
      <w:r>
        <w:rPr>
          <w:rFonts w:ascii="Arial" w:hAnsi="Arial" w:cs="Arial"/>
          <w:sz w:val="22"/>
          <w:szCs w:val="22"/>
        </w:rPr>
        <w:t>what specific actions the</w:t>
      </w:r>
      <w:r w:rsidRPr="00B116B8">
        <w:rPr>
          <w:rFonts w:ascii="Arial" w:hAnsi="Arial" w:cs="Arial"/>
          <w:sz w:val="22"/>
          <w:szCs w:val="22"/>
        </w:rPr>
        <w:t xml:space="preserve"> DHB will </w:t>
      </w:r>
      <w:r>
        <w:rPr>
          <w:rFonts w:ascii="Arial" w:hAnsi="Arial" w:cs="Arial"/>
          <w:sz w:val="22"/>
          <w:szCs w:val="22"/>
        </w:rPr>
        <w:t>take</w:t>
      </w:r>
      <w:r w:rsidRPr="00B116B8">
        <w:rPr>
          <w:rFonts w:ascii="Arial" w:hAnsi="Arial" w:cs="Arial"/>
          <w:sz w:val="22"/>
          <w:szCs w:val="22"/>
        </w:rPr>
        <w:t xml:space="preserve"> to address the performance failure.  </w:t>
      </w:r>
    </w:p>
    <w:p w14:paraId="2D3B1AE2" w14:textId="77777777" w:rsidR="007117E9" w:rsidRPr="00B116B8" w:rsidRDefault="007117E9" w:rsidP="007117E9">
      <w:pPr>
        <w:shd w:val="clear" w:color="auto" w:fill="FFFFFF"/>
        <w:spacing w:before="120" w:after="120"/>
        <w:rPr>
          <w:rFonts w:ascii="Arial" w:hAnsi="Arial" w:cs="Arial"/>
          <w:sz w:val="22"/>
          <w:szCs w:val="22"/>
        </w:rPr>
      </w:pPr>
      <w:r w:rsidRPr="00B116B8">
        <w:rPr>
          <w:rFonts w:ascii="Arial" w:hAnsi="Arial" w:cs="Arial"/>
          <w:sz w:val="22"/>
          <w:szCs w:val="22"/>
        </w:rPr>
        <w:t>There is a single national target for this measure applicable to all DHBs and all adolescent population groups by ethnicity, i.e. that ≥85 percent of adolescents receive DHB-funded oral health services in each reporting year.</w:t>
      </w:r>
    </w:p>
    <w:p w14:paraId="4F832931" w14:textId="77777777" w:rsidR="007117E9" w:rsidRPr="00B116B8" w:rsidRDefault="007117E9" w:rsidP="007117E9">
      <w:pPr>
        <w:shd w:val="clear" w:color="auto" w:fill="FFFFFF"/>
        <w:spacing w:before="120" w:after="120"/>
        <w:rPr>
          <w:rFonts w:ascii="Arial" w:hAnsi="Arial" w:cs="Arial"/>
          <w:sz w:val="22"/>
          <w:szCs w:val="22"/>
        </w:rPr>
      </w:pPr>
      <w:r w:rsidRPr="00B116B8">
        <w:rPr>
          <w:rFonts w:ascii="Arial" w:hAnsi="Arial" w:cs="Arial"/>
          <w:sz w:val="22"/>
          <w:szCs w:val="22"/>
        </w:rPr>
        <w:t>On a quarterly basis, DHBs are expected to monitor their progress towards achieving the agreed targets in their Annual Plans, and put in place appropriate measures to ensure targets are achieved by the end of the year to which the reporting relates.</w:t>
      </w:r>
    </w:p>
    <w:p w14:paraId="75D01583" w14:textId="77777777" w:rsidR="007117E9" w:rsidRPr="00B116B8" w:rsidRDefault="007117E9" w:rsidP="007117E9">
      <w:pPr>
        <w:keepNext/>
        <w:shd w:val="clear" w:color="auto" w:fill="FFFFFF"/>
        <w:spacing w:before="120" w:after="120"/>
        <w:rPr>
          <w:rFonts w:ascii="Arial" w:hAnsi="Arial" w:cs="Arial"/>
          <w:sz w:val="22"/>
          <w:szCs w:val="22"/>
        </w:rPr>
      </w:pPr>
      <w:r w:rsidRPr="00B116B8">
        <w:rPr>
          <w:rFonts w:ascii="Arial" w:hAnsi="Arial" w:cs="Arial"/>
          <w:sz w:val="22"/>
          <w:szCs w:val="22"/>
        </w:rPr>
        <w:t>The following achievement scale will be applied: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92"/>
      </w:tblGrid>
      <w:tr w:rsidR="007117E9" w:rsidRPr="00B116B8" w14:paraId="5CA3F9A2" w14:textId="77777777" w:rsidTr="00391DE7">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AD64531" w14:textId="77777777" w:rsidR="007117E9" w:rsidRPr="00B116B8" w:rsidRDefault="007117E9" w:rsidP="00391DE7">
            <w:pPr>
              <w:keepNext/>
              <w:shd w:val="clear" w:color="auto" w:fill="FFFFFF"/>
              <w:spacing w:before="60" w:after="60"/>
              <w:rPr>
                <w:rFonts w:ascii="Arial" w:hAnsi="Arial" w:cs="Arial"/>
                <w:b/>
                <w:sz w:val="22"/>
                <w:szCs w:val="22"/>
              </w:rPr>
            </w:pPr>
            <w:r w:rsidRPr="00B116B8">
              <w:rPr>
                <w:rFonts w:ascii="Arial" w:hAnsi="Arial" w:cs="Arial"/>
                <w:b/>
                <w:sz w:val="22"/>
                <w:szCs w:val="22"/>
              </w:rPr>
              <w:t xml:space="preserve">Rating: </w:t>
            </w:r>
          </w:p>
        </w:tc>
        <w:tc>
          <w:tcPr>
            <w:tcW w:w="799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29335B" w14:textId="77777777" w:rsidR="007117E9" w:rsidRPr="00B116B8" w:rsidRDefault="007117E9" w:rsidP="00391DE7">
            <w:pPr>
              <w:keepNext/>
              <w:shd w:val="clear" w:color="auto" w:fill="FFFFFF"/>
              <w:spacing w:before="60" w:after="60"/>
              <w:rPr>
                <w:rFonts w:ascii="Arial" w:hAnsi="Arial" w:cs="Arial"/>
                <w:b/>
                <w:sz w:val="22"/>
                <w:szCs w:val="22"/>
              </w:rPr>
            </w:pPr>
            <w:r w:rsidRPr="00B116B8">
              <w:rPr>
                <w:rFonts w:ascii="Arial" w:hAnsi="Arial" w:cs="Arial"/>
                <w:b/>
                <w:sz w:val="22"/>
                <w:szCs w:val="22"/>
              </w:rPr>
              <w:t>Definition</w:t>
            </w:r>
          </w:p>
        </w:tc>
      </w:tr>
      <w:tr w:rsidR="007117E9" w:rsidRPr="00B116B8" w14:paraId="03281351"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19AC91F2"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Outstanding</w:t>
            </w:r>
          </w:p>
        </w:tc>
        <w:tc>
          <w:tcPr>
            <w:tcW w:w="7992" w:type="dxa"/>
            <w:tcBorders>
              <w:top w:val="single" w:sz="4" w:space="0" w:color="auto"/>
              <w:left w:val="single" w:sz="4" w:space="0" w:color="auto"/>
              <w:bottom w:val="single" w:sz="4" w:space="0" w:color="auto"/>
              <w:right w:val="single" w:sz="4" w:space="0" w:color="auto"/>
            </w:tcBorders>
            <w:hideMark/>
          </w:tcPr>
          <w:p w14:paraId="0C67BF71" w14:textId="77777777" w:rsidR="007117E9" w:rsidRPr="00B116B8" w:rsidRDefault="007117E9" w:rsidP="00391DE7">
            <w:pPr>
              <w:keepNext/>
              <w:shd w:val="clear" w:color="auto" w:fill="FFFFFF"/>
              <w:spacing w:before="60" w:after="60"/>
              <w:rPr>
                <w:rFonts w:ascii="Arial" w:hAnsi="Arial" w:cs="Arial"/>
                <w:sz w:val="22"/>
                <w:szCs w:val="22"/>
              </w:rPr>
            </w:pPr>
            <w:r w:rsidRPr="00B116B8">
              <w:t xml:space="preserve"> </w:t>
            </w:r>
            <w:r w:rsidRPr="00B116B8">
              <w:rPr>
                <w:rFonts w:ascii="Arial" w:hAnsi="Arial" w:cs="Arial"/>
                <w:sz w:val="22"/>
                <w:szCs w:val="22"/>
              </w:rPr>
              <w:t>The DHB has met the targets agreed in the Annual Plan, and are more than 5% over specified targets, and has also reached the same level of performance for the Other population group, and the Maori population group, and the Pacific population group (where applicable).</w:t>
            </w:r>
          </w:p>
        </w:tc>
      </w:tr>
      <w:tr w:rsidR="007117E9" w:rsidRPr="00B116B8" w14:paraId="7E2B4A5A"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3379C5EC"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Achieved</w:t>
            </w:r>
          </w:p>
        </w:tc>
        <w:tc>
          <w:tcPr>
            <w:tcW w:w="7992" w:type="dxa"/>
            <w:tcBorders>
              <w:top w:val="single" w:sz="4" w:space="0" w:color="auto"/>
              <w:left w:val="single" w:sz="4" w:space="0" w:color="auto"/>
              <w:bottom w:val="single" w:sz="4" w:space="0" w:color="auto"/>
              <w:right w:val="single" w:sz="4" w:space="0" w:color="auto"/>
            </w:tcBorders>
          </w:tcPr>
          <w:p w14:paraId="61AAAAC1" w14:textId="77777777" w:rsidR="007117E9" w:rsidRPr="00B116B8" w:rsidRDefault="007117E9" w:rsidP="00391DE7">
            <w:pPr>
              <w:autoSpaceDE w:val="0"/>
              <w:autoSpaceDN w:val="0"/>
              <w:adjustRightInd w:val="0"/>
              <w:rPr>
                <w:rFonts w:ascii="Tms Rmn" w:hAnsi="Tms Rmn"/>
                <w:lang w:eastAsia="en-NZ"/>
              </w:rPr>
            </w:pPr>
            <w:r w:rsidRPr="00B116B8">
              <w:rPr>
                <w:rFonts w:ascii="Arial" w:hAnsi="Arial" w:cs="Arial"/>
                <w:sz w:val="22"/>
                <w:szCs w:val="22"/>
              </w:rPr>
              <w:t>All targets agreed in the Annual Plan are met, within 95% - 105% of specified targets</w:t>
            </w:r>
          </w:p>
          <w:p w14:paraId="6B658B8C" w14:textId="77777777" w:rsidR="007117E9" w:rsidRPr="00B116B8" w:rsidRDefault="007117E9" w:rsidP="00391DE7">
            <w:pPr>
              <w:autoSpaceDE w:val="0"/>
              <w:autoSpaceDN w:val="0"/>
              <w:adjustRightInd w:val="0"/>
              <w:rPr>
                <w:rFonts w:ascii="Arial" w:hAnsi="Arial" w:cs="Arial"/>
                <w:iCs/>
                <w:color w:val="000000"/>
                <w:sz w:val="22"/>
                <w:szCs w:val="22"/>
                <w:lang w:eastAsia="en-NZ"/>
              </w:rPr>
            </w:pPr>
            <w:r w:rsidRPr="00B116B8">
              <w:rPr>
                <w:rFonts w:ascii="Arial" w:hAnsi="Arial" w:cs="Arial"/>
                <w:b/>
                <w:bCs/>
                <w:iCs/>
                <w:color w:val="000000"/>
                <w:sz w:val="22"/>
                <w:szCs w:val="22"/>
                <w:lang w:eastAsia="en-NZ"/>
              </w:rPr>
              <w:t>and</w:t>
            </w:r>
            <w:r w:rsidRPr="00B116B8">
              <w:rPr>
                <w:rFonts w:ascii="Arial" w:hAnsi="Arial" w:cs="Arial"/>
                <w:iCs/>
                <w:color w:val="000000"/>
                <w:sz w:val="22"/>
                <w:szCs w:val="22"/>
                <w:lang w:eastAsia="en-NZ"/>
              </w:rPr>
              <w:t xml:space="preserve"> </w:t>
            </w:r>
          </w:p>
          <w:p w14:paraId="31A7671B" w14:textId="77777777" w:rsidR="007117E9" w:rsidRPr="00B116B8" w:rsidRDefault="007117E9" w:rsidP="00391DE7">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a resolution plan with appropriate actions is provided if the total population target is not met for the Māori population group, and the Pacific population group</w:t>
            </w:r>
            <w:r>
              <w:rPr>
                <w:rFonts w:ascii="Arial" w:hAnsi="Arial" w:cs="Arial"/>
                <w:sz w:val="22"/>
                <w:szCs w:val="22"/>
              </w:rPr>
              <w:t>.</w:t>
            </w:r>
          </w:p>
        </w:tc>
      </w:tr>
      <w:tr w:rsidR="007117E9" w:rsidRPr="00B116B8" w14:paraId="368E32F3"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5DD04CD7" w14:textId="77777777" w:rsidR="007117E9" w:rsidRPr="00B116B8" w:rsidRDefault="007117E9" w:rsidP="00391DE7">
            <w:pPr>
              <w:keepNext/>
              <w:shd w:val="clear" w:color="auto" w:fill="FFFFFF"/>
              <w:spacing w:before="60" w:after="60"/>
              <w:rPr>
                <w:rFonts w:ascii="Arial" w:hAnsi="Arial" w:cs="Arial"/>
                <w:sz w:val="22"/>
                <w:szCs w:val="22"/>
              </w:rPr>
            </w:pPr>
            <w:r w:rsidRPr="00B116B8">
              <w:rPr>
                <w:rFonts w:ascii="Arial" w:hAnsi="Arial" w:cs="Arial"/>
                <w:sz w:val="22"/>
                <w:szCs w:val="22"/>
              </w:rPr>
              <w:t>Partially Achieved</w:t>
            </w:r>
          </w:p>
        </w:tc>
        <w:tc>
          <w:tcPr>
            <w:tcW w:w="7992" w:type="dxa"/>
            <w:tcBorders>
              <w:top w:val="single" w:sz="4" w:space="0" w:color="auto"/>
              <w:left w:val="single" w:sz="4" w:space="0" w:color="auto"/>
              <w:bottom w:val="single" w:sz="4" w:space="0" w:color="auto"/>
              <w:right w:val="single" w:sz="4" w:space="0" w:color="auto"/>
            </w:tcBorders>
          </w:tcPr>
          <w:p w14:paraId="1B20AE8C" w14:textId="77777777" w:rsidR="007117E9" w:rsidRPr="00B116B8" w:rsidRDefault="007117E9" w:rsidP="00391DE7">
            <w:pPr>
              <w:autoSpaceDE w:val="0"/>
              <w:autoSpaceDN w:val="0"/>
              <w:adjustRightInd w:val="0"/>
              <w:rPr>
                <w:rFonts w:ascii="Arial" w:hAnsi="Arial" w:cs="Arial"/>
                <w:i/>
                <w:iCs/>
                <w:color w:val="000000"/>
                <w:sz w:val="20"/>
                <w:szCs w:val="20"/>
                <w:lang w:eastAsia="en-NZ"/>
              </w:rPr>
            </w:pPr>
            <w:r w:rsidRPr="00B116B8">
              <w:rPr>
                <w:rFonts w:ascii="Arial" w:hAnsi="Arial" w:cs="Arial"/>
                <w:sz w:val="22"/>
                <w:szCs w:val="22"/>
              </w:rPr>
              <w:t>Some or all targets agreed in the Annual Plan are not met, but delivered results are same as, or better than, the results delivered in the prior year</w:t>
            </w:r>
            <w:r w:rsidRPr="00B116B8">
              <w:rPr>
                <w:rFonts w:ascii="Arial" w:hAnsi="Arial" w:cs="Arial"/>
                <w:i/>
                <w:iCs/>
                <w:color w:val="000000"/>
                <w:sz w:val="20"/>
                <w:szCs w:val="20"/>
                <w:lang w:eastAsia="en-NZ"/>
              </w:rPr>
              <w:t xml:space="preserve"> </w:t>
            </w:r>
          </w:p>
          <w:p w14:paraId="4FD4ED8D" w14:textId="77777777" w:rsidR="007117E9" w:rsidRPr="00B116B8" w:rsidRDefault="007117E9" w:rsidP="00391DE7">
            <w:pPr>
              <w:autoSpaceDE w:val="0"/>
              <w:autoSpaceDN w:val="0"/>
              <w:adjustRightInd w:val="0"/>
              <w:rPr>
                <w:rFonts w:ascii="Arial" w:hAnsi="Arial" w:cs="Arial"/>
                <w:b/>
                <w:iCs/>
                <w:color w:val="000000"/>
                <w:sz w:val="22"/>
                <w:szCs w:val="22"/>
                <w:lang w:eastAsia="en-NZ"/>
              </w:rPr>
            </w:pPr>
            <w:r w:rsidRPr="00B116B8">
              <w:rPr>
                <w:rFonts w:ascii="Arial" w:hAnsi="Arial" w:cs="Arial"/>
                <w:b/>
                <w:iCs/>
                <w:color w:val="000000"/>
                <w:sz w:val="22"/>
                <w:szCs w:val="22"/>
                <w:lang w:eastAsia="en-NZ"/>
              </w:rPr>
              <w:t>and/or</w:t>
            </w:r>
          </w:p>
          <w:p w14:paraId="36AA1902" w14:textId="77777777" w:rsidR="007117E9" w:rsidRPr="00B116B8" w:rsidRDefault="007117E9" w:rsidP="00391DE7">
            <w:pPr>
              <w:autoSpaceDE w:val="0"/>
              <w:autoSpaceDN w:val="0"/>
              <w:adjustRightInd w:val="0"/>
              <w:rPr>
                <w:rFonts w:ascii="Arial" w:hAnsi="Arial" w:cs="Arial"/>
                <w:sz w:val="22"/>
                <w:szCs w:val="22"/>
              </w:rPr>
            </w:pPr>
            <w:r w:rsidRPr="00B116B8">
              <w:rPr>
                <w:rFonts w:ascii="Arial" w:hAnsi="Arial" w:cs="Arial"/>
                <w:iCs/>
                <w:color w:val="000000"/>
                <w:sz w:val="22"/>
                <w:szCs w:val="22"/>
                <w:lang w:eastAsia="en-NZ"/>
              </w:rPr>
              <w:t xml:space="preserve">the DHB has not met the target/performance expectation agreed in its Annual Plan, </w:t>
            </w:r>
            <w:r w:rsidRPr="00B116B8">
              <w:rPr>
                <w:rFonts w:ascii="Arial" w:hAnsi="Arial" w:cs="Arial"/>
                <w:bCs/>
                <w:iCs/>
                <w:color w:val="000000"/>
                <w:sz w:val="22"/>
                <w:szCs w:val="22"/>
                <w:lang w:eastAsia="en-NZ"/>
              </w:rPr>
              <w:t>and</w:t>
            </w:r>
            <w:r w:rsidRPr="00B116B8">
              <w:rPr>
                <w:rFonts w:ascii="Arial" w:hAnsi="Arial" w:cs="Arial"/>
                <w:iCs/>
                <w:color w:val="000000"/>
                <w:sz w:val="22"/>
                <w:szCs w:val="22"/>
                <w:lang w:eastAsia="en-NZ"/>
              </w:rPr>
              <w:t xml:space="preserve"> a resolution plan with appropriate actions is provided, including actions to deliver improved performance for the Māori population group, and the Pacific population group</w:t>
            </w:r>
          </w:p>
        </w:tc>
      </w:tr>
      <w:tr w:rsidR="007117E9" w:rsidRPr="00B116B8" w14:paraId="6EB8A61D" w14:textId="77777777" w:rsidTr="00391DE7">
        <w:tc>
          <w:tcPr>
            <w:tcW w:w="2268" w:type="dxa"/>
            <w:tcBorders>
              <w:top w:val="single" w:sz="4" w:space="0" w:color="auto"/>
              <w:left w:val="single" w:sz="4" w:space="0" w:color="auto"/>
              <w:bottom w:val="single" w:sz="4" w:space="0" w:color="auto"/>
              <w:right w:val="single" w:sz="4" w:space="0" w:color="auto"/>
            </w:tcBorders>
            <w:hideMark/>
          </w:tcPr>
          <w:p w14:paraId="08456A39"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Not Achieved</w:t>
            </w:r>
          </w:p>
        </w:tc>
        <w:tc>
          <w:tcPr>
            <w:tcW w:w="7992" w:type="dxa"/>
            <w:tcBorders>
              <w:top w:val="single" w:sz="4" w:space="0" w:color="auto"/>
              <w:left w:val="single" w:sz="4" w:space="0" w:color="auto"/>
              <w:bottom w:val="single" w:sz="4" w:space="0" w:color="auto"/>
              <w:right w:val="single" w:sz="4" w:space="0" w:color="auto"/>
            </w:tcBorders>
            <w:hideMark/>
          </w:tcPr>
          <w:p w14:paraId="6A08CD4B" w14:textId="77777777" w:rsidR="007117E9" w:rsidRPr="00B116B8" w:rsidRDefault="007117E9" w:rsidP="00391DE7">
            <w:pPr>
              <w:shd w:val="clear" w:color="auto" w:fill="FFFFFF"/>
              <w:spacing w:before="60" w:after="60"/>
              <w:rPr>
                <w:rFonts w:ascii="Arial" w:hAnsi="Arial" w:cs="Arial"/>
                <w:sz w:val="22"/>
                <w:szCs w:val="22"/>
              </w:rPr>
            </w:pPr>
            <w:r w:rsidRPr="00B116B8">
              <w:rPr>
                <w:rFonts w:ascii="Arial" w:hAnsi="Arial" w:cs="Arial"/>
                <w:sz w:val="22"/>
                <w:szCs w:val="22"/>
              </w:rPr>
              <w:t>Some or all expectations are not met, and actual results are worse than the results delivered in the prior year</w:t>
            </w:r>
          </w:p>
        </w:tc>
      </w:tr>
    </w:tbl>
    <w:p w14:paraId="3CC987A5" w14:textId="77777777" w:rsidR="007117E9" w:rsidRPr="00B116B8" w:rsidRDefault="007117E9" w:rsidP="007117E9">
      <w:pPr>
        <w:shd w:val="clear" w:color="auto" w:fill="FFFFFF"/>
        <w:spacing w:before="120" w:after="60"/>
        <w:rPr>
          <w:rFonts w:ascii="Arial" w:hAnsi="Arial" w:cs="Arial"/>
          <w:b/>
          <w:szCs w:val="22"/>
        </w:rPr>
      </w:pPr>
      <w:r w:rsidRPr="00B116B8">
        <w:rPr>
          <w:rFonts w:ascii="Arial" w:hAnsi="Arial" w:cs="Arial"/>
          <w:b/>
          <w:szCs w:val="22"/>
        </w:rPr>
        <w:t>Reporting Template</w:t>
      </w:r>
    </w:p>
    <w:p w14:paraId="1A658801" w14:textId="77777777" w:rsidR="007117E9" w:rsidRPr="00B116B8" w:rsidRDefault="007117E9" w:rsidP="007117E9">
      <w:pPr>
        <w:shd w:val="clear" w:color="auto" w:fill="FFFFFF"/>
        <w:spacing w:before="120" w:after="60"/>
        <w:rPr>
          <w:rFonts w:ascii="Arial" w:hAnsi="Arial" w:cs="Arial"/>
          <w:sz w:val="22"/>
          <w:szCs w:val="22"/>
        </w:rPr>
      </w:pPr>
      <w:r w:rsidRPr="00B116B8">
        <w:rPr>
          <w:rFonts w:ascii="Arial" w:hAnsi="Arial" w:cs="Arial"/>
          <w:sz w:val="22"/>
          <w:szCs w:val="22"/>
        </w:rPr>
        <w:t xml:space="preserve">The Ministry of Health Excel reporting template </w:t>
      </w:r>
      <w:r>
        <w:rPr>
          <w:rFonts w:ascii="Arial" w:hAnsi="Arial" w:cs="Arial"/>
          <w:sz w:val="22"/>
          <w:szCs w:val="22"/>
        </w:rPr>
        <w:t>is available through the quarterly reporting website or on request from the Ministry’s oral health team.</w:t>
      </w:r>
    </w:p>
    <w:p w14:paraId="441F57A5" w14:textId="77777777" w:rsidR="007117E9" w:rsidRPr="003060FE" w:rsidRDefault="007117E9" w:rsidP="007117E9">
      <w:pPr>
        <w:shd w:val="clear" w:color="auto" w:fill="FFFFFF"/>
        <w:spacing w:before="60" w:after="60"/>
        <w:jc w:val="both"/>
        <w:rPr>
          <w:rFonts w:ascii="Arial" w:hAnsi="Arial" w:cs="Arial"/>
          <w:sz w:val="22"/>
          <w:szCs w:val="22"/>
        </w:rPr>
      </w:pPr>
      <w:r w:rsidRPr="003060FE">
        <w:rPr>
          <w:sz w:val="22"/>
          <w:szCs w:val="22"/>
        </w:rPr>
        <w:br w:type="page"/>
      </w:r>
    </w:p>
    <w:p w14:paraId="462A5B47" w14:textId="77777777" w:rsidR="00505ED6" w:rsidRPr="00483F4B" w:rsidRDefault="00505ED6" w:rsidP="00505ED6">
      <w:pPr>
        <w:shd w:val="clear" w:color="auto" w:fill="FFFFFF" w:themeFill="background1"/>
        <w:spacing w:before="60" w:after="60"/>
        <w:jc w:val="both"/>
        <w:rPr>
          <w:rFonts w:ascii="Arial" w:hAnsi="Arial" w:cs="Arial"/>
          <w:b/>
          <w:i/>
          <w:sz w:val="22"/>
          <w:szCs w:val="22"/>
        </w:rPr>
      </w:pPr>
      <w:bookmarkStart w:id="380" w:name="_Toc4588527"/>
      <w:r>
        <w:rPr>
          <w:rFonts w:ascii="Arial" w:hAnsi="Arial" w:cs="Arial"/>
          <w:b/>
          <w:i/>
        </w:rPr>
        <w:lastRenderedPageBreak/>
        <w:t>O</w:t>
      </w:r>
      <w:r w:rsidRPr="0013137D">
        <w:rPr>
          <w:rFonts w:ascii="Arial" w:hAnsi="Arial" w:cs="Arial"/>
          <w:b/>
          <w:i/>
        </w:rPr>
        <w:t>utcome priority: We have health equity for Maori and other groups</w:t>
      </w:r>
    </w:p>
    <w:p w14:paraId="3F6A6334" w14:textId="31702F52" w:rsidR="007334EC" w:rsidRDefault="00505ED6" w:rsidP="007334EC">
      <w:pPr>
        <w:keepNext/>
        <w:spacing w:before="240" w:after="60"/>
        <w:outlineLvl w:val="1"/>
        <w:rPr>
          <w:rFonts w:ascii="Arial" w:hAnsi="Arial" w:cs="Arial"/>
          <w:b/>
          <w:bCs/>
          <w:i/>
          <w:iCs/>
          <w:sz w:val="28"/>
          <w:szCs w:val="28"/>
        </w:rPr>
      </w:pPr>
      <w:bookmarkStart w:id="381" w:name="_Toc9591997"/>
      <w:r w:rsidRPr="00505ED6">
        <w:rPr>
          <w:rFonts w:ascii="Arial" w:hAnsi="Arial" w:cs="Arial"/>
          <w:b/>
          <w:bCs/>
          <w:i/>
          <w:iCs/>
          <w:sz w:val="28"/>
          <w:szCs w:val="28"/>
        </w:rPr>
        <w:t xml:space="preserve">Improving child wellbeing </w:t>
      </w:r>
      <w:r w:rsidR="007334EC">
        <w:rPr>
          <w:rFonts w:ascii="Arial" w:hAnsi="Arial" w:cs="Arial"/>
          <w:b/>
          <w:bCs/>
          <w:i/>
          <w:iCs/>
          <w:sz w:val="28"/>
          <w:szCs w:val="28"/>
        </w:rPr>
        <w:t>CW</w:t>
      </w:r>
      <w:r w:rsidR="007334EC" w:rsidRPr="00020F69">
        <w:rPr>
          <w:rFonts w:ascii="Arial" w:hAnsi="Arial" w:cs="Arial"/>
          <w:b/>
          <w:bCs/>
          <w:i/>
          <w:iCs/>
          <w:sz w:val="28"/>
          <w:szCs w:val="28"/>
        </w:rPr>
        <w:t>0</w:t>
      </w:r>
      <w:r w:rsidR="007334EC">
        <w:rPr>
          <w:rFonts w:ascii="Arial" w:hAnsi="Arial" w:cs="Arial"/>
          <w:b/>
          <w:bCs/>
          <w:i/>
          <w:iCs/>
          <w:sz w:val="28"/>
          <w:szCs w:val="28"/>
        </w:rPr>
        <w:t>5</w:t>
      </w:r>
      <w:r w:rsidR="007334EC" w:rsidRPr="00020F69">
        <w:rPr>
          <w:rFonts w:ascii="Arial" w:hAnsi="Arial" w:cs="Arial"/>
          <w:b/>
          <w:bCs/>
          <w:i/>
          <w:iCs/>
          <w:sz w:val="28"/>
          <w:szCs w:val="28"/>
        </w:rPr>
        <w:t>:</w:t>
      </w:r>
      <w:r w:rsidR="007334EC" w:rsidRPr="00010026">
        <w:rPr>
          <w:rFonts w:ascii="Arial" w:hAnsi="Arial" w:cs="Arial"/>
          <w:b/>
          <w:bCs/>
          <w:i/>
          <w:iCs/>
          <w:sz w:val="28"/>
          <w:szCs w:val="28"/>
        </w:rPr>
        <w:t xml:space="preserve"> Immunisation coverage </w:t>
      </w:r>
      <w:bookmarkEnd w:id="380"/>
      <w:bookmarkEnd w:id="381"/>
    </w:p>
    <w:p w14:paraId="7DF9A240" w14:textId="31891E96" w:rsidR="00691BC3" w:rsidRPr="00020F69" w:rsidRDefault="00691BC3" w:rsidP="00691BC3">
      <w:pPr>
        <w:keepNext/>
        <w:spacing w:before="240" w:after="60"/>
        <w:outlineLvl w:val="1"/>
        <w:rPr>
          <w:rFonts w:ascii="Arial" w:hAnsi="Arial" w:cs="Arial"/>
          <w:bCs/>
          <w:i/>
          <w:iCs/>
          <w:sz w:val="28"/>
          <w:szCs w:val="28"/>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691BC3" w:rsidRPr="00010026" w14:paraId="61BE90A5" w14:textId="77777777" w:rsidTr="00632E9E">
        <w:tc>
          <w:tcPr>
            <w:tcW w:w="10094" w:type="dxa"/>
            <w:gridSpan w:val="2"/>
            <w:shd w:val="clear" w:color="auto" w:fill="D9D9D9"/>
          </w:tcPr>
          <w:p w14:paraId="6CD27AD1" w14:textId="77777777" w:rsidR="00691BC3" w:rsidRPr="00010026" w:rsidRDefault="00691BC3" w:rsidP="00632E9E">
            <w:pPr>
              <w:shd w:val="clear" w:color="auto" w:fill="FFFFFF"/>
              <w:spacing w:before="60" w:after="60"/>
              <w:jc w:val="center"/>
              <w:rPr>
                <w:rFonts w:ascii="Arial" w:hAnsi="Arial" w:cs="Arial"/>
                <w:b/>
              </w:rPr>
            </w:pPr>
            <w:r w:rsidRPr="00010026">
              <w:rPr>
                <w:rFonts w:ascii="Arial" w:hAnsi="Arial" w:cs="Arial"/>
                <w:b/>
              </w:rPr>
              <w:t>Summary information</w:t>
            </w:r>
          </w:p>
        </w:tc>
      </w:tr>
      <w:tr w:rsidR="00691BC3" w:rsidRPr="00010026" w14:paraId="17182D6B" w14:textId="77777777" w:rsidTr="00632E9E">
        <w:tc>
          <w:tcPr>
            <w:tcW w:w="2864" w:type="dxa"/>
            <w:shd w:val="clear" w:color="auto" w:fill="auto"/>
          </w:tcPr>
          <w:p w14:paraId="66BFF95C" w14:textId="77777777" w:rsidR="00691BC3" w:rsidRPr="00010026" w:rsidRDefault="00691BC3" w:rsidP="00632E9E">
            <w:pPr>
              <w:shd w:val="clear" w:color="auto" w:fill="FFFFFF"/>
              <w:spacing w:before="60" w:after="60"/>
              <w:rPr>
                <w:rFonts w:ascii="Arial" w:hAnsi="Arial" w:cs="Arial"/>
                <w:b/>
                <w:i/>
                <w:sz w:val="20"/>
                <w:szCs w:val="20"/>
              </w:rPr>
            </w:pPr>
            <w:r w:rsidRPr="00010026">
              <w:rPr>
                <w:rFonts w:ascii="Arial" w:hAnsi="Arial" w:cs="Arial"/>
                <w:b/>
                <w:i/>
                <w:sz w:val="20"/>
                <w:szCs w:val="20"/>
              </w:rPr>
              <w:t>Target/performance expectation</w:t>
            </w:r>
          </w:p>
        </w:tc>
        <w:tc>
          <w:tcPr>
            <w:tcW w:w="7230" w:type="dxa"/>
            <w:shd w:val="clear" w:color="auto" w:fill="auto"/>
          </w:tcPr>
          <w:p w14:paraId="6DCE1C14" w14:textId="77777777" w:rsidR="00691BC3" w:rsidRPr="00010026" w:rsidRDefault="00691BC3" w:rsidP="00632E9E">
            <w:pPr>
              <w:shd w:val="clear" w:color="auto" w:fill="FFFFFF"/>
              <w:spacing w:before="60" w:after="60"/>
              <w:jc w:val="both"/>
              <w:rPr>
                <w:rFonts w:ascii="Arial" w:hAnsi="Arial" w:cs="Arial"/>
                <w:b/>
                <w:i/>
                <w:sz w:val="20"/>
                <w:szCs w:val="20"/>
              </w:rPr>
            </w:pPr>
            <w:r w:rsidRPr="00010026">
              <w:rPr>
                <w:rFonts w:ascii="Arial" w:hAnsi="Arial" w:cs="Arial"/>
                <w:sz w:val="20"/>
                <w:szCs w:val="20"/>
              </w:rPr>
              <w:t>Agreed in DHB Annual Plan</w:t>
            </w:r>
          </w:p>
        </w:tc>
      </w:tr>
      <w:tr w:rsidR="00691BC3" w:rsidRPr="00010026" w14:paraId="5EEBFAA9" w14:textId="77777777" w:rsidTr="00632E9E">
        <w:trPr>
          <w:trHeight w:val="1297"/>
        </w:trPr>
        <w:tc>
          <w:tcPr>
            <w:tcW w:w="2864" w:type="dxa"/>
            <w:shd w:val="clear" w:color="auto" w:fill="auto"/>
          </w:tcPr>
          <w:p w14:paraId="159328FB" w14:textId="77777777" w:rsidR="00691BC3" w:rsidRPr="007B480A" w:rsidRDefault="00691BC3" w:rsidP="00632E9E">
            <w:pPr>
              <w:shd w:val="clear" w:color="auto" w:fill="FFFFFF"/>
              <w:spacing w:before="60" w:after="60"/>
              <w:rPr>
                <w:rFonts w:ascii="Arial" w:hAnsi="Arial" w:cs="Arial"/>
                <w:b/>
                <w:i/>
                <w:sz w:val="20"/>
                <w:szCs w:val="20"/>
              </w:rPr>
            </w:pPr>
            <w:r w:rsidRPr="007B480A">
              <w:rPr>
                <w:rFonts w:ascii="Arial" w:hAnsi="Arial" w:cs="Arial"/>
                <w:b/>
                <w:i/>
                <w:sz w:val="20"/>
                <w:szCs w:val="20"/>
              </w:rPr>
              <w:t>Reporting frequency</w:t>
            </w:r>
          </w:p>
        </w:tc>
        <w:tc>
          <w:tcPr>
            <w:tcW w:w="7230" w:type="dxa"/>
            <w:shd w:val="clear" w:color="auto" w:fill="auto"/>
          </w:tcPr>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3"/>
              <w:gridCol w:w="2872"/>
            </w:tblGrid>
            <w:tr w:rsidR="00691BC3" w:rsidRPr="007B480A" w14:paraId="0E5A8DE4" w14:textId="77777777" w:rsidTr="00632E9E">
              <w:tc>
                <w:tcPr>
                  <w:tcW w:w="4103" w:type="dxa"/>
                  <w:shd w:val="clear" w:color="auto" w:fill="auto"/>
                </w:tcPr>
                <w:p w14:paraId="4997E71F" w14:textId="77777777" w:rsidR="00691BC3" w:rsidRPr="007B480A" w:rsidRDefault="00691BC3" w:rsidP="00632E9E">
                  <w:pPr>
                    <w:shd w:val="clear" w:color="auto" w:fill="FFFFFF"/>
                    <w:spacing w:before="60" w:after="60"/>
                    <w:jc w:val="both"/>
                    <w:rPr>
                      <w:rFonts w:ascii="Calibri" w:hAnsi="Calibri" w:cs="Arial"/>
                      <w:b/>
                      <w:sz w:val="20"/>
                      <w:szCs w:val="20"/>
                    </w:rPr>
                  </w:pPr>
                  <w:r w:rsidRPr="007B480A">
                    <w:rPr>
                      <w:rFonts w:ascii="Calibri" w:hAnsi="Calibri" w:cs="Arial"/>
                      <w:b/>
                      <w:sz w:val="20"/>
                      <w:szCs w:val="20"/>
                    </w:rPr>
                    <w:t>Reporting frequency:</w:t>
                  </w:r>
                </w:p>
                <w:p w14:paraId="638A641B" w14:textId="77777777" w:rsidR="00691BC3" w:rsidRPr="007B480A" w:rsidRDefault="00691BC3" w:rsidP="00632E9E">
                  <w:pPr>
                    <w:shd w:val="clear" w:color="auto" w:fill="FFFFFF"/>
                    <w:spacing w:before="60" w:after="60"/>
                    <w:jc w:val="both"/>
                    <w:rPr>
                      <w:rFonts w:ascii="Calibri" w:hAnsi="Calibri" w:cs="Arial"/>
                      <w:sz w:val="20"/>
                      <w:szCs w:val="20"/>
                    </w:rPr>
                  </w:pPr>
                  <w:r>
                    <w:rPr>
                      <w:rFonts w:ascii="Calibri" w:hAnsi="Calibri" w:cs="Arial"/>
                      <w:sz w:val="20"/>
                      <w:szCs w:val="20"/>
                    </w:rPr>
                    <w:t>8-month immunisation</w:t>
                  </w:r>
                </w:p>
              </w:tc>
              <w:tc>
                <w:tcPr>
                  <w:tcW w:w="2872" w:type="dxa"/>
                  <w:shd w:val="clear" w:color="auto" w:fill="auto"/>
                </w:tcPr>
                <w:p w14:paraId="4F2F4376" w14:textId="77777777" w:rsidR="00691BC3" w:rsidRPr="007B480A" w:rsidRDefault="00691BC3" w:rsidP="00632E9E">
                  <w:pPr>
                    <w:shd w:val="clear" w:color="auto" w:fill="FFFFFF"/>
                    <w:spacing w:before="60" w:after="60"/>
                    <w:jc w:val="both"/>
                    <w:rPr>
                      <w:rFonts w:ascii="Calibri" w:hAnsi="Calibri" w:cs="Arial"/>
                      <w:sz w:val="20"/>
                      <w:szCs w:val="20"/>
                    </w:rPr>
                  </w:pPr>
                </w:p>
                <w:p w14:paraId="633BF608" w14:textId="77777777" w:rsidR="00691BC3" w:rsidRPr="007B480A" w:rsidRDefault="00691BC3" w:rsidP="00632E9E">
                  <w:pPr>
                    <w:shd w:val="clear" w:color="auto" w:fill="FFFFFF"/>
                    <w:spacing w:before="60" w:after="60"/>
                    <w:jc w:val="both"/>
                    <w:rPr>
                      <w:rFonts w:ascii="Calibri" w:hAnsi="Calibri" w:cs="Arial"/>
                      <w:sz w:val="20"/>
                      <w:szCs w:val="20"/>
                    </w:rPr>
                  </w:pPr>
                  <w:r w:rsidRPr="007B480A">
                    <w:rPr>
                      <w:rFonts w:ascii="Calibri" w:hAnsi="Calibri" w:cs="Arial"/>
                      <w:sz w:val="20"/>
                      <w:szCs w:val="20"/>
                    </w:rPr>
                    <w:t>Quarterly</w:t>
                  </w:r>
                </w:p>
              </w:tc>
            </w:tr>
            <w:tr w:rsidR="00691BC3" w:rsidRPr="007B480A" w14:paraId="3B92786E" w14:textId="77777777" w:rsidTr="00632E9E">
              <w:tc>
                <w:tcPr>
                  <w:tcW w:w="4103" w:type="dxa"/>
                  <w:shd w:val="clear" w:color="auto" w:fill="auto"/>
                </w:tcPr>
                <w:p w14:paraId="43021668" w14:textId="77777777" w:rsidR="00691BC3" w:rsidRPr="007B480A" w:rsidRDefault="00691BC3" w:rsidP="00632E9E">
                  <w:pPr>
                    <w:shd w:val="clear" w:color="auto" w:fill="FFFFFF"/>
                    <w:spacing w:before="60" w:after="60"/>
                    <w:jc w:val="both"/>
                    <w:rPr>
                      <w:rFonts w:ascii="Calibri" w:hAnsi="Calibri" w:cs="Arial"/>
                      <w:sz w:val="20"/>
                      <w:szCs w:val="20"/>
                    </w:rPr>
                  </w:pPr>
                  <w:r w:rsidRPr="007B480A">
                    <w:rPr>
                      <w:rFonts w:ascii="Calibri" w:hAnsi="Calibri" w:cs="Arial"/>
                      <w:sz w:val="20"/>
                      <w:szCs w:val="20"/>
                    </w:rPr>
                    <w:t>5-year immunisation</w:t>
                  </w:r>
                </w:p>
              </w:tc>
              <w:tc>
                <w:tcPr>
                  <w:tcW w:w="2872" w:type="dxa"/>
                  <w:shd w:val="clear" w:color="auto" w:fill="auto"/>
                </w:tcPr>
                <w:p w14:paraId="42225E8F" w14:textId="77777777" w:rsidR="00691BC3" w:rsidRPr="007B480A" w:rsidRDefault="00691BC3" w:rsidP="00632E9E">
                  <w:pPr>
                    <w:shd w:val="clear" w:color="auto" w:fill="FFFFFF"/>
                    <w:spacing w:before="60" w:after="60"/>
                    <w:jc w:val="both"/>
                    <w:rPr>
                      <w:rFonts w:ascii="Calibri" w:hAnsi="Calibri" w:cs="Arial"/>
                      <w:sz w:val="20"/>
                      <w:szCs w:val="20"/>
                    </w:rPr>
                  </w:pPr>
                  <w:r>
                    <w:rPr>
                      <w:rFonts w:ascii="Calibri" w:hAnsi="Calibri" w:cs="Arial"/>
                      <w:sz w:val="20"/>
                      <w:szCs w:val="20"/>
                    </w:rPr>
                    <w:t>Quarterly</w:t>
                  </w:r>
                </w:p>
              </w:tc>
            </w:tr>
            <w:tr w:rsidR="00691BC3" w:rsidRPr="007B480A" w14:paraId="2FA1AD6A" w14:textId="77777777" w:rsidTr="00632E9E">
              <w:tc>
                <w:tcPr>
                  <w:tcW w:w="4103" w:type="dxa"/>
                  <w:shd w:val="clear" w:color="auto" w:fill="auto"/>
                </w:tcPr>
                <w:p w14:paraId="7D22DDB0" w14:textId="77777777" w:rsidR="00691BC3" w:rsidRPr="007B480A" w:rsidRDefault="00691BC3" w:rsidP="00632E9E">
                  <w:pPr>
                    <w:shd w:val="clear" w:color="auto" w:fill="FFFFFF"/>
                    <w:spacing w:before="60" w:after="60"/>
                    <w:jc w:val="both"/>
                    <w:rPr>
                      <w:rFonts w:ascii="Calibri" w:hAnsi="Calibri" w:cs="Arial"/>
                      <w:sz w:val="20"/>
                      <w:szCs w:val="20"/>
                    </w:rPr>
                  </w:pPr>
                  <w:r w:rsidRPr="007B480A">
                    <w:rPr>
                      <w:rFonts w:ascii="Calibri" w:hAnsi="Calibri" w:cs="Arial"/>
                      <w:sz w:val="20"/>
                      <w:szCs w:val="20"/>
                    </w:rPr>
                    <w:t>HPV immunisation (boys and girls)</w:t>
                  </w:r>
                </w:p>
              </w:tc>
              <w:tc>
                <w:tcPr>
                  <w:tcW w:w="2872" w:type="dxa"/>
                  <w:shd w:val="clear" w:color="auto" w:fill="auto"/>
                </w:tcPr>
                <w:p w14:paraId="3D9F9EF3" w14:textId="77777777" w:rsidR="00691BC3" w:rsidRPr="007B480A" w:rsidRDefault="00691BC3" w:rsidP="00632E9E">
                  <w:pPr>
                    <w:shd w:val="clear" w:color="auto" w:fill="FFFFFF"/>
                    <w:spacing w:before="60" w:after="60"/>
                    <w:jc w:val="both"/>
                    <w:rPr>
                      <w:rFonts w:ascii="Calibri" w:hAnsi="Calibri" w:cs="Arial"/>
                      <w:sz w:val="20"/>
                      <w:szCs w:val="20"/>
                      <w:highlight w:val="yellow"/>
                    </w:rPr>
                  </w:pPr>
                  <w:r w:rsidRPr="007B480A">
                    <w:rPr>
                      <w:rFonts w:ascii="Calibri" w:hAnsi="Calibri" w:cs="Arial"/>
                      <w:sz w:val="20"/>
                      <w:szCs w:val="20"/>
                    </w:rPr>
                    <w:t>Annual (quarter 4)</w:t>
                  </w:r>
                </w:p>
              </w:tc>
            </w:tr>
            <w:tr w:rsidR="00691BC3" w:rsidRPr="007B480A" w14:paraId="4114C71C" w14:textId="77777777" w:rsidTr="00632E9E">
              <w:trPr>
                <w:trHeight w:val="221"/>
              </w:trPr>
              <w:tc>
                <w:tcPr>
                  <w:tcW w:w="4103" w:type="dxa"/>
                  <w:shd w:val="clear" w:color="auto" w:fill="auto"/>
                </w:tcPr>
                <w:p w14:paraId="68868CE1" w14:textId="77777777" w:rsidR="00691BC3" w:rsidRPr="007B480A" w:rsidRDefault="00691BC3" w:rsidP="00632E9E">
                  <w:pPr>
                    <w:shd w:val="clear" w:color="auto" w:fill="FFFFFF"/>
                    <w:spacing w:before="60" w:after="60"/>
                    <w:jc w:val="both"/>
                    <w:rPr>
                      <w:rFonts w:ascii="Calibri" w:hAnsi="Calibri" w:cs="Arial"/>
                      <w:sz w:val="20"/>
                      <w:szCs w:val="20"/>
                    </w:rPr>
                  </w:pPr>
                  <w:r w:rsidRPr="007B480A">
                    <w:rPr>
                      <w:rFonts w:ascii="Calibri" w:hAnsi="Calibri" w:cs="Arial"/>
                      <w:sz w:val="20"/>
                      <w:szCs w:val="20"/>
                    </w:rPr>
                    <w:t>Influenza immunisation</w:t>
                  </w:r>
                </w:p>
              </w:tc>
              <w:tc>
                <w:tcPr>
                  <w:tcW w:w="2872" w:type="dxa"/>
                  <w:shd w:val="clear" w:color="auto" w:fill="auto"/>
                </w:tcPr>
                <w:p w14:paraId="0CD7779F" w14:textId="77777777" w:rsidR="00691BC3" w:rsidRPr="007B480A" w:rsidRDefault="00691BC3" w:rsidP="00632E9E">
                  <w:pPr>
                    <w:shd w:val="clear" w:color="auto" w:fill="FFFFFF"/>
                    <w:spacing w:before="60" w:after="60"/>
                    <w:jc w:val="both"/>
                    <w:rPr>
                      <w:rFonts w:ascii="Calibri" w:hAnsi="Calibri" w:cs="Arial"/>
                      <w:sz w:val="20"/>
                      <w:szCs w:val="20"/>
                      <w:highlight w:val="yellow"/>
                    </w:rPr>
                  </w:pPr>
                  <w:r w:rsidRPr="007B480A">
                    <w:rPr>
                      <w:rFonts w:ascii="Calibri" w:hAnsi="Calibri" w:cs="Arial"/>
                      <w:sz w:val="20"/>
                      <w:szCs w:val="20"/>
                    </w:rPr>
                    <w:t>Annual (quarter 1)</w:t>
                  </w:r>
                </w:p>
              </w:tc>
            </w:tr>
          </w:tbl>
          <w:p w14:paraId="5527476D" w14:textId="77777777" w:rsidR="00691BC3" w:rsidRPr="007B480A" w:rsidRDefault="00691BC3" w:rsidP="00632E9E">
            <w:pPr>
              <w:shd w:val="clear" w:color="auto" w:fill="FFFFFF"/>
              <w:spacing w:before="60"/>
              <w:jc w:val="both"/>
              <w:rPr>
                <w:rFonts w:ascii="Arial" w:hAnsi="Arial" w:cs="Arial"/>
                <w:b/>
                <w:sz w:val="20"/>
                <w:szCs w:val="20"/>
              </w:rPr>
            </w:pPr>
          </w:p>
        </w:tc>
      </w:tr>
      <w:tr w:rsidR="00691BC3" w:rsidRPr="00010026" w14:paraId="40A59065" w14:textId="77777777" w:rsidTr="00632E9E">
        <w:tc>
          <w:tcPr>
            <w:tcW w:w="2864" w:type="dxa"/>
            <w:shd w:val="clear" w:color="auto" w:fill="auto"/>
          </w:tcPr>
          <w:p w14:paraId="1DFC0BF9" w14:textId="77777777" w:rsidR="00691BC3" w:rsidRPr="00010026" w:rsidRDefault="00691BC3" w:rsidP="00632E9E">
            <w:pPr>
              <w:shd w:val="clear" w:color="auto" w:fill="FFFFFF"/>
              <w:spacing w:before="60" w:after="60"/>
              <w:rPr>
                <w:rFonts w:ascii="Arial" w:hAnsi="Arial" w:cs="Arial"/>
                <w:b/>
                <w:i/>
                <w:sz w:val="20"/>
                <w:szCs w:val="20"/>
              </w:rPr>
            </w:pPr>
            <w:r w:rsidRPr="00010026">
              <w:rPr>
                <w:rFonts w:ascii="Arial" w:hAnsi="Arial" w:cs="Arial"/>
                <w:b/>
                <w:i/>
                <w:sz w:val="20"/>
                <w:szCs w:val="20"/>
              </w:rPr>
              <w:t>Source information for reporting provided by:</w:t>
            </w:r>
          </w:p>
        </w:tc>
        <w:tc>
          <w:tcPr>
            <w:tcW w:w="7230" w:type="dxa"/>
            <w:shd w:val="clear" w:color="auto" w:fill="auto"/>
          </w:tcPr>
          <w:p w14:paraId="69641C7B" w14:textId="77777777" w:rsidR="00691BC3" w:rsidRPr="008052F3" w:rsidRDefault="00691BC3" w:rsidP="00632E9E">
            <w:pPr>
              <w:shd w:val="clear" w:color="auto" w:fill="FFFFFF"/>
              <w:spacing w:before="60" w:after="60"/>
              <w:rPr>
                <w:rFonts w:ascii="Arial" w:hAnsi="Arial" w:cs="Arial"/>
                <w:sz w:val="20"/>
                <w:szCs w:val="20"/>
              </w:rPr>
            </w:pPr>
            <w:r w:rsidRPr="008052F3">
              <w:rPr>
                <w:rFonts w:ascii="Arial" w:hAnsi="Arial" w:cs="Arial"/>
                <w:sz w:val="20"/>
                <w:szCs w:val="20"/>
              </w:rPr>
              <w:t>Data is supplied by the Ministry from the National Immunisation Register Data Mart</w:t>
            </w:r>
            <w:r w:rsidRPr="008052F3">
              <w:rPr>
                <w:sz w:val="20"/>
                <w:szCs w:val="20"/>
              </w:rPr>
              <w:t xml:space="preserve"> </w:t>
            </w:r>
            <w:r w:rsidRPr="008052F3">
              <w:rPr>
                <w:rFonts w:ascii="Arial" w:hAnsi="Arial" w:cs="Arial"/>
                <w:sz w:val="20"/>
                <w:szCs w:val="20"/>
              </w:rPr>
              <w:t>and through the DHB quarterly reporting website (technical details including  extract dates provided with data)</w:t>
            </w:r>
          </w:p>
        </w:tc>
      </w:tr>
      <w:tr w:rsidR="00691BC3" w:rsidRPr="00010026" w14:paraId="2FBA0DC1" w14:textId="77777777" w:rsidTr="00632E9E">
        <w:trPr>
          <w:trHeight w:val="2182"/>
        </w:trPr>
        <w:tc>
          <w:tcPr>
            <w:tcW w:w="2864" w:type="dxa"/>
            <w:shd w:val="clear" w:color="auto" w:fill="auto"/>
          </w:tcPr>
          <w:p w14:paraId="2AA15A3E" w14:textId="77777777" w:rsidR="00691BC3" w:rsidRPr="00010026" w:rsidRDefault="00691BC3" w:rsidP="00632E9E">
            <w:pPr>
              <w:shd w:val="clear" w:color="auto" w:fill="FFFFFF"/>
              <w:spacing w:before="60" w:after="60"/>
              <w:rPr>
                <w:rFonts w:ascii="Arial" w:hAnsi="Arial" w:cs="Arial"/>
                <w:b/>
                <w:i/>
                <w:sz w:val="20"/>
                <w:szCs w:val="20"/>
              </w:rPr>
            </w:pPr>
            <w:r w:rsidRPr="00010026">
              <w:rPr>
                <w:rFonts w:ascii="Arial" w:hAnsi="Arial" w:cs="Arial"/>
                <w:b/>
                <w:i/>
                <w:sz w:val="20"/>
                <w:szCs w:val="20"/>
              </w:rPr>
              <w:t>Quarterly reporting  - standard timeline applies</w:t>
            </w:r>
          </w:p>
        </w:tc>
        <w:tc>
          <w:tcPr>
            <w:tcW w:w="7230" w:type="dxa"/>
            <w:shd w:val="clear" w:color="auto" w:fill="auto"/>
          </w:tcPr>
          <w:p w14:paraId="0B0FD76A" w14:textId="77777777" w:rsidR="00691BC3" w:rsidRPr="00010026" w:rsidRDefault="00691BC3" w:rsidP="00632E9E">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691BC3" w:rsidRPr="00010026" w14:paraId="25C87655" w14:textId="77777777" w:rsidTr="00632E9E">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BDA5"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34F5C"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20th of the month following the end of the quarter</w:t>
                  </w:r>
                </w:p>
              </w:tc>
            </w:tr>
            <w:tr w:rsidR="00691BC3" w:rsidRPr="00010026" w14:paraId="4590C395" w14:textId="77777777" w:rsidTr="00632E9E">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062BD"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8A78D"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8-10 working days from receiving reports</w:t>
                  </w:r>
                </w:p>
              </w:tc>
            </w:tr>
            <w:tr w:rsidR="00691BC3" w:rsidRPr="00010026" w14:paraId="54A6D3B1" w14:textId="77777777" w:rsidTr="00632E9E">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129A"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983B"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5 working days from receiving initial ratings</w:t>
                  </w:r>
                </w:p>
              </w:tc>
            </w:tr>
            <w:tr w:rsidR="00691BC3" w:rsidRPr="00010026" w14:paraId="3A863F92" w14:textId="77777777" w:rsidTr="00632E9E">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195A"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D4252" w14:textId="77777777" w:rsidR="00691BC3" w:rsidRPr="00010026" w:rsidRDefault="00691BC3" w:rsidP="00632E9E">
                  <w:pPr>
                    <w:ind w:left="205" w:hanging="205"/>
                    <w:rPr>
                      <w:rFonts w:ascii="Calibri" w:hAnsi="Calibri"/>
                      <w:sz w:val="20"/>
                      <w:szCs w:val="20"/>
                    </w:rPr>
                  </w:pPr>
                  <w:r w:rsidRPr="00010026">
                    <w:rPr>
                      <w:rFonts w:ascii="Calibri" w:hAnsi="Calibri"/>
                      <w:sz w:val="20"/>
                      <w:szCs w:val="20"/>
                    </w:rPr>
                    <w:t>4-5 working days from receiving DHB feedback</w:t>
                  </w:r>
                </w:p>
              </w:tc>
            </w:tr>
          </w:tbl>
          <w:p w14:paraId="4B41A093" w14:textId="77777777" w:rsidR="00691BC3" w:rsidRPr="00010026" w:rsidRDefault="00691BC3" w:rsidP="00632E9E">
            <w:pPr>
              <w:shd w:val="clear" w:color="auto" w:fill="FFFFFF"/>
              <w:spacing w:before="60" w:after="60"/>
              <w:jc w:val="both"/>
              <w:rPr>
                <w:rFonts w:ascii="Arial" w:hAnsi="Arial" w:cs="Arial"/>
                <w:i/>
                <w:sz w:val="16"/>
                <w:szCs w:val="16"/>
              </w:rPr>
            </w:pPr>
          </w:p>
        </w:tc>
      </w:tr>
      <w:tr w:rsidR="00691BC3" w:rsidRPr="00010026" w14:paraId="2AAA03AD" w14:textId="77777777" w:rsidTr="00632E9E">
        <w:trPr>
          <w:trHeight w:val="383"/>
        </w:trPr>
        <w:tc>
          <w:tcPr>
            <w:tcW w:w="2864" w:type="dxa"/>
            <w:shd w:val="clear" w:color="auto" w:fill="auto"/>
          </w:tcPr>
          <w:p w14:paraId="0FAE839A" w14:textId="77777777" w:rsidR="00691BC3" w:rsidRPr="00010026" w:rsidRDefault="00691BC3" w:rsidP="00632E9E">
            <w:pPr>
              <w:shd w:val="clear" w:color="auto" w:fill="FFFFFF"/>
              <w:spacing w:before="60" w:after="60"/>
              <w:rPr>
                <w:rFonts w:ascii="Arial" w:hAnsi="Arial" w:cs="Arial"/>
                <w:b/>
                <w:i/>
                <w:sz w:val="20"/>
                <w:szCs w:val="20"/>
              </w:rPr>
            </w:pPr>
            <w:r w:rsidRPr="00010026">
              <w:rPr>
                <w:rFonts w:ascii="Arial" w:hAnsi="Arial" w:cs="Arial"/>
                <w:b/>
                <w:i/>
                <w:sz w:val="20"/>
                <w:szCs w:val="20"/>
              </w:rPr>
              <w:t>Linkage</w:t>
            </w:r>
          </w:p>
        </w:tc>
        <w:tc>
          <w:tcPr>
            <w:tcW w:w="7230" w:type="dxa"/>
            <w:shd w:val="clear" w:color="auto" w:fill="auto"/>
          </w:tcPr>
          <w:p w14:paraId="34FB604C" w14:textId="77777777" w:rsidR="00691BC3" w:rsidRPr="008052F3" w:rsidRDefault="00691BC3" w:rsidP="00632E9E">
            <w:pPr>
              <w:shd w:val="clear" w:color="auto" w:fill="FFFFFF"/>
              <w:spacing w:before="60" w:after="60"/>
              <w:jc w:val="both"/>
              <w:rPr>
                <w:rFonts w:ascii="Arial" w:hAnsi="Arial" w:cs="Arial"/>
                <w:sz w:val="20"/>
                <w:szCs w:val="20"/>
              </w:rPr>
            </w:pPr>
            <w:r w:rsidRPr="008052F3">
              <w:rPr>
                <w:rFonts w:ascii="Arial" w:hAnsi="Arial" w:cs="Arial"/>
                <w:sz w:val="20"/>
                <w:szCs w:val="20"/>
              </w:rPr>
              <w:t>These performance measures are also System Level Measures Framework contributory measures</w:t>
            </w:r>
          </w:p>
        </w:tc>
      </w:tr>
    </w:tbl>
    <w:p w14:paraId="575BC2F0" w14:textId="77777777" w:rsidR="00691BC3" w:rsidRDefault="00691BC3" w:rsidP="00691BC3">
      <w:pPr>
        <w:shd w:val="clear" w:color="auto" w:fill="FFFFFF"/>
        <w:spacing w:before="60" w:after="60"/>
        <w:jc w:val="both"/>
        <w:rPr>
          <w:rFonts w:ascii="Arial" w:hAnsi="Arial" w:cs="Arial"/>
          <w:b/>
        </w:rPr>
      </w:pPr>
    </w:p>
    <w:p w14:paraId="765248C7" w14:textId="77777777" w:rsidR="00691BC3" w:rsidRDefault="00691BC3" w:rsidP="00691BC3">
      <w:pPr>
        <w:rPr>
          <w:rFonts w:ascii="Arial" w:hAnsi="Arial" w:cs="Arial"/>
          <w:b/>
        </w:rPr>
      </w:pPr>
      <w:r>
        <w:rPr>
          <w:rFonts w:ascii="Arial" w:hAnsi="Arial" w:cs="Arial"/>
          <w:b/>
        </w:rPr>
        <w:br w:type="page"/>
      </w:r>
    </w:p>
    <w:p w14:paraId="4DBEE118" w14:textId="77777777" w:rsidR="00691BC3" w:rsidRPr="00010026" w:rsidRDefault="00691BC3" w:rsidP="00691BC3">
      <w:pPr>
        <w:shd w:val="clear" w:color="auto" w:fill="FFFFFF"/>
        <w:spacing w:before="60" w:after="60"/>
        <w:jc w:val="both"/>
        <w:rPr>
          <w:rFonts w:ascii="Arial" w:hAnsi="Arial" w:cs="Arial"/>
          <w:b/>
          <w:i/>
        </w:rPr>
      </w:pPr>
      <w:r w:rsidRPr="00010026">
        <w:rPr>
          <w:rFonts w:ascii="Arial" w:hAnsi="Arial" w:cs="Arial"/>
          <w:b/>
        </w:rPr>
        <w:lastRenderedPageBreak/>
        <w:t>Link to outcomes and priority areas</w:t>
      </w:r>
    </w:p>
    <w:p w14:paraId="2ECE37A7" w14:textId="77777777" w:rsidR="00691BC3" w:rsidRPr="008E1C6A" w:rsidRDefault="00691BC3" w:rsidP="00691BC3">
      <w:pPr>
        <w:spacing w:before="120" w:after="120"/>
        <w:jc w:val="both"/>
        <w:rPr>
          <w:rFonts w:ascii="Arial" w:hAnsi="Arial" w:cs="Arial"/>
        </w:rPr>
      </w:pPr>
      <w:r w:rsidRPr="008E1C6A">
        <w:rPr>
          <w:rFonts w:ascii="Arial" w:hAnsi="Arial" w:cs="Arial"/>
        </w:rPr>
        <w:t xml:space="preserve">Improving childhood immunisation coverage is part of our system's early investment to lay foundations for life-long wellbeing and will support the Government priority </w:t>
      </w:r>
      <w:r w:rsidRPr="008E1C6A">
        <w:rPr>
          <w:rFonts w:ascii="Arial" w:hAnsi="Arial" w:cs="Arial"/>
          <w:i/>
        </w:rPr>
        <w:t>Make New Zealand the best place in the world to be a child</w:t>
      </w:r>
      <w:r w:rsidRPr="008E1C6A">
        <w:rPr>
          <w:rFonts w:ascii="Arial" w:hAnsi="Arial" w:cs="Arial"/>
        </w:rPr>
        <w:t xml:space="preserve">. </w:t>
      </w:r>
      <w:r>
        <w:rPr>
          <w:rFonts w:ascii="Arial" w:hAnsi="Arial" w:cs="Arial"/>
        </w:rPr>
        <w:t xml:space="preserve"> Immunisation supports the health system outcome that New Zealanders</w:t>
      </w:r>
      <w:r w:rsidRPr="008E1C6A">
        <w:rPr>
          <w:rFonts w:ascii="Arial" w:hAnsi="Arial" w:cs="Arial"/>
        </w:rPr>
        <w:t xml:space="preserve"> live longer in good health</w:t>
      </w:r>
      <w:r>
        <w:rPr>
          <w:rFonts w:ascii="Arial" w:hAnsi="Arial" w:cs="Arial"/>
        </w:rPr>
        <w:t xml:space="preserve"> and is </w:t>
      </w:r>
      <w:r>
        <w:rPr>
          <w:rFonts w:ascii="Arial" w:hAnsi="Arial" w:cs="Arial"/>
          <w:bCs/>
          <w:iCs/>
        </w:rPr>
        <w:t xml:space="preserve">one of the most cost-effective public health interventions. </w:t>
      </w:r>
      <w:r w:rsidRPr="003337A6">
        <w:rPr>
          <w:rFonts w:ascii="Arial" w:hAnsi="Arial" w:cs="Arial"/>
          <w:bCs/>
          <w:iCs/>
        </w:rPr>
        <w:t>Improving adult immuni</w:t>
      </w:r>
      <w:r>
        <w:rPr>
          <w:rFonts w:ascii="Arial" w:hAnsi="Arial" w:cs="Arial"/>
          <w:bCs/>
          <w:iCs/>
        </w:rPr>
        <w:t xml:space="preserve">sation coverage is part our </w:t>
      </w:r>
      <w:r w:rsidRPr="003337A6">
        <w:rPr>
          <w:rFonts w:ascii="Arial" w:hAnsi="Arial" w:cs="Arial"/>
          <w:bCs/>
          <w:iCs/>
        </w:rPr>
        <w:t xml:space="preserve">system </w:t>
      </w:r>
      <w:proofErr w:type="gramStart"/>
      <w:r w:rsidRPr="003337A6">
        <w:rPr>
          <w:rFonts w:ascii="Arial" w:hAnsi="Arial" w:cs="Arial"/>
          <w:bCs/>
          <w:iCs/>
        </w:rPr>
        <w:t>focus</w:t>
      </w:r>
      <w:proofErr w:type="gramEnd"/>
      <w:r w:rsidRPr="003337A6">
        <w:rPr>
          <w:rFonts w:ascii="Arial" w:hAnsi="Arial" w:cs="Arial"/>
          <w:bCs/>
          <w:iCs/>
        </w:rPr>
        <w:t xml:space="preserve"> on improved health throu</w:t>
      </w:r>
      <w:r>
        <w:rPr>
          <w:rFonts w:ascii="Arial" w:hAnsi="Arial" w:cs="Arial"/>
          <w:bCs/>
          <w:iCs/>
        </w:rPr>
        <w:t>gh the best use of resources.</w:t>
      </w:r>
    </w:p>
    <w:p w14:paraId="3839C4A8" w14:textId="77777777" w:rsidR="00691BC3" w:rsidRPr="00010026" w:rsidRDefault="00691BC3" w:rsidP="00691BC3">
      <w:pPr>
        <w:spacing w:before="120" w:after="120"/>
        <w:rPr>
          <w:rFonts w:ascii="Arial" w:hAnsi="Arial" w:cs="Arial"/>
          <w:bCs/>
          <w:iCs/>
        </w:rPr>
      </w:pPr>
      <w:r>
        <w:rPr>
          <w:rFonts w:ascii="Arial" w:hAnsi="Arial" w:cs="Arial"/>
          <w:bCs/>
          <w:iCs/>
        </w:rPr>
        <w:t xml:space="preserve">Immunisation contributes to </w:t>
      </w:r>
      <w:r w:rsidRPr="003337A6">
        <w:rPr>
          <w:rFonts w:ascii="Arial" w:hAnsi="Arial" w:cs="Arial"/>
          <w:bCs/>
          <w:iCs/>
        </w:rPr>
        <w:t xml:space="preserve">our health system outcome of </w:t>
      </w:r>
      <w:r>
        <w:rPr>
          <w:rFonts w:ascii="Arial" w:hAnsi="Arial" w:cs="Arial"/>
          <w:bCs/>
          <w:iCs/>
        </w:rPr>
        <w:t>developing a healthy population and achieving health equity for Mā</w:t>
      </w:r>
      <w:r w:rsidRPr="003337A6">
        <w:rPr>
          <w:rFonts w:ascii="Arial" w:hAnsi="Arial" w:cs="Arial"/>
          <w:bCs/>
          <w:iCs/>
        </w:rPr>
        <w:t>ori and other groups</w:t>
      </w:r>
      <w:r>
        <w:rPr>
          <w:rFonts w:ascii="Arial" w:hAnsi="Arial" w:cs="Arial"/>
          <w:bCs/>
          <w:iCs/>
        </w:rPr>
        <w:t xml:space="preserve"> by reducing </w:t>
      </w:r>
      <w:r w:rsidRPr="00010026">
        <w:rPr>
          <w:rFonts w:ascii="Arial" w:hAnsi="Arial" w:cs="Arial"/>
          <w:bCs/>
          <w:iCs/>
        </w:rPr>
        <w:t>rates of vaccine-preventable disease</w:t>
      </w:r>
      <w:r w:rsidRPr="003337A6">
        <w:rPr>
          <w:rFonts w:ascii="Arial" w:hAnsi="Arial" w:cs="Arial"/>
          <w:bCs/>
          <w:iCs/>
        </w:rPr>
        <w:t>.</w:t>
      </w:r>
      <w:r>
        <w:rPr>
          <w:rFonts w:ascii="Arial" w:hAnsi="Arial" w:cs="Arial"/>
          <w:bCs/>
          <w:iCs/>
        </w:rPr>
        <w:t xml:space="preserve"> When equitable immunisation coverage is achieved, the health gains are greatest for the most vulnerable groups who would have been at a higher risk of serious complications if they had contracted the vaccine-preventable disease</w:t>
      </w:r>
      <w:r w:rsidRPr="00010026">
        <w:rPr>
          <w:rFonts w:ascii="Arial" w:hAnsi="Arial" w:cs="Arial"/>
          <w:bCs/>
          <w:iCs/>
        </w:rPr>
        <w:t>.</w:t>
      </w:r>
      <w:r>
        <w:rPr>
          <w:rFonts w:ascii="Arial" w:hAnsi="Arial" w:cs="Arial"/>
          <w:bCs/>
          <w:iCs/>
        </w:rPr>
        <w:t xml:space="preserve"> </w:t>
      </w:r>
    </w:p>
    <w:p w14:paraId="1B3A2358" w14:textId="77777777" w:rsidR="00691BC3" w:rsidRDefault="00691BC3" w:rsidP="00691BC3">
      <w:pPr>
        <w:spacing w:before="120" w:after="120"/>
        <w:rPr>
          <w:rFonts w:ascii="Arial" w:hAnsi="Arial" w:cs="Arial"/>
          <w:bCs/>
          <w:iCs/>
        </w:rPr>
      </w:pPr>
      <w:r w:rsidRPr="00010026">
        <w:rPr>
          <w:rFonts w:ascii="Arial" w:hAnsi="Arial" w:cs="Arial"/>
          <w:bCs/>
          <w:iCs/>
        </w:rPr>
        <w:t>The changes that are required to reach the target immunisation coverage levels for childhood measures will lead to better health services for children, because more children will be enrolled with and visiting their primary car</w:t>
      </w:r>
      <w:r>
        <w:rPr>
          <w:rFonts w:ascii="Arial" w:hAnsi="Arial" w:cs="Arial"/>
          <w:bCs/>
          <w:iCs/>
        </w:rPr>
        <w:t xml:space="preserve">e provider on a regular basis. </w:t>
      </w:r>
      <w:r w:rsidRPr="00010026">
        <w:rPr>
          <w:rFonts w:ascii="Arial" w:hAnsi="Arial" w:cs="Arial"/>
          <w:bCs/>
          <w:iCs/>
        </w:rPr>
        <w:t xml:space="preserve">It will also require </w:t>
      </w:r>
      <w:r>
        <w:rPr>
          <w:rFonts w:ascii="Arial" w:hAnsi="Arial" w:cs="Arial"/>
          <w:bCs/>
          <w:iCs/>
        </w:rPr>
        <w:t>an integrated approach across all child health services, including</w:t>
      </w:r>
      <w:r w:rsidRPr="00010026">
        <w:rPr>
          <w:rFonts w:ascii="Arial" w:hAnsi="Arial" w:cs="Arial"/>
          <w:bCs/>
          <w:iCs/>
        </w:rPr>
        <w:t xml:space="preserve"> </w:t>
      </w:r>
      <w:r>
        <w:rPr>
          <w:rFonts w:ascii="Arial" w:hAnsi="Arial" w:cs="Arial"/>
          <w:bCs/>
          <w:iCs/>
        </w:rPr>
        <w:t xml:space="preserve">working closely with </w:t>
      </w:r>
      <w:r w:rsidRPr="00010026">
        <w:rPr>
          <w:rFonts w:ascii="Arial" w:hAnsi="Arial" w:cs="Arial"/>
          <w:bCs/>
          <w:iCs/>
        </w:rPr>
        <w:t xml:space="preserve">maternity </w:t>
      </w:r>
      <w:r>
        <w:rPr>
          <w:rFonts w:ascii="Arial" w:hAnsi="Arial" w:cs="Arial"/>
          <w:bCs/>
          <w:iCs/>
        </w:rPr>
        <w:t xml:space="preserve">providers, </w:t>
      </w:r>
      <w:r w:rsidRPr="00010026">
        <w:rPr>
          <w:rFonts w:ascii="Arial" w:hAnsi="Arial" w:cs="Arial"/>
          <w:bCs/>
          <w:iCs/>
        </w:rPr>
        <w:t>to address the needs of children and families</w:t>
      </w:r>
      <w:r>
        <w:rPr>
          <w:rFonts w:ascii="Arial" w:hAnsi="Arial" w:cs="Arial"/>
          <w:bCs/>
          <w:iCs/>
        </w:rPr>
        <w:t xml:space="preserve"> and deliver services that meet local population needs.</w:t>
      </w:r>
    </w:p>
    <w:p w14:paraId="206AB74B" w14:textId="77777777" w:rsidR="00691BC3" w:rsidRPr="00010026" w:rsidRDefault="00691BC3" w:rsidP="00691BC3">
      <w:pPr>
        <w:autoSpaceDE w:val="0"/>
        <w:autoSpaceDN w:val="0"/>
        <w:adjustRightInd w:val="0"/>
        <w:spacing w:before="120" w:after="120"/>
        <w:rPr>
          <w:rFonts w:ascii="Arial" w:hAnsi="Arial" w:cs="Arial"/>
          <w:bCs/>
          <w:iCs/>
        </w:rPr>
      </w:pPr>
      <w:r w:rsidRPr="00010026">
        <w:rPr>
          <w:rFonts w:ascii="Arial" w:hAnsi="Arial" w:cs="Arial"/>
          <w:bCs/>
          <w:iCs/>
        </w:rPr>
        <w:t xml:space="preserve">Increasing influenza </w:t>
      </w:r>
      <w:r>
        <w:rPr>
          <w:rFonts w:ascii="Arial" w:hAnsi="Arial" w:cs="Arial"/>
          <w:bCs/>
          <w:iCs/>
        </w:rPr>
        <w:t xml:space="preserve">immunisation reduces influenza-related morbidity and mortality while </w:t>
      </w:r>
      <w:r w:rsidRPr="00010026">
        <w:rPr>
          <w:rFonts w:ascii="Arial" w:hAnsi="Arial" w:cs="Arial"/>
          <w:bCs/>
          <w:iCs/>
        </w:rPr>
        <w:t xml:space="preserve">HPV immunisation protects against HPV-related cancers later in life. </w:t>
      </w:r>
      <w:r>
        <w:rPr>
          <w:rFonts w:ascii="Arial" w:hAnsi="Arial" w:cs="Arial"/>
          <w:bCs/>
          <w:iCs/>
        </w:rPr>
        <w:t xml:space="preserve">These indicators </w:t>
      </w:r>
      <w:r w:rsidRPr="00010026">
        <w:rPr>
          <w:rFonts w:ascii="Arial" w:hAnsi="Arial" w:cs="Arial"/>
          <w:bCs/>
          <w:iCs/>
        </w:rPr>
        <w:t>contribute to</w:t>
      </w:r>
      <w:r>
        <w:rPr>
          <w:rFonts w:ascii="Arial" w:hAnsi="Arial" w:cs="Arial"/>
          <w:bCs/>
          <w:i/>
          <w:iCs/>
        </w:rPr>
        <w:t xml:space="preserve"> </w:t>
      </w:r>
      <w:r>
        <w:rPr>
          <w:rFonts w:ascii="Arial" w:hAnsi="Arial" w:cs="Arial"/>
          <w:bCs/>
          <w:iCs/>
        </w:rPr>
        <w:t>equitable health outcomes and support us in e</w:t>
      </w:r>
      <w:r w:rsidRPr="00377CA8">
        <w:rPr>
          <w:rFonts w:ascii="Arial" w:hAnsi="Arial" w:cs="Arial"/>
          <w:bCs/>
          <w:iCs/>
        </w:rPr>
        <w:t>nsur</w:t>
      </w:r>
      <w:r>
        <w:rPr>
          <w:rFonts w:ascii="Arial" w:hAnsi="Arial" w:cs="Arial"/>
          <w:bCs/>
          <w:iCs/>
        </w:rPr>
        <w:t>ing everyone who is able to</w:t>
      </w:r>
      <w:r w:rsidRPr="00377CA8">
        <w:rPr>
          <w:rFonts w:ascii="Arial" w:hAnsi="Arial" w:cs="Arial"/>
          <w:bCs/>
          <w:iCs/>
        </w:rPr>
        <w:t xml:space="preserve"> is earning, learning, </w:t>
      </w:r>
      <w:proofErr w:type="gramStart"/>
      <w:r w:rsidRPr="00377CA8">
        <w:rPr>
          <w:rFonts w:ascii="Arial" w:hAnsi="Arial" w:cs="Arial"/>
          <w:bCs/>
          <w:iCs/>
        </w:rPr>
        <w:t>caring</w:t>
      </w:r>
      <w:proofErr w:type="gramEnd"/>
      <w:r w:rsidRPr="00377CA8">
        <w:rPr>
          <w:rFonts w:ascii="Arial" w:hAnsi="Arial" w:cs="Arial"/>
          <w:bCs/>
          <w:iCs/>
        </w:rPr>
        <w:t xml:space="preserve"> or volunteering</w:t>
      </w:r>
      <w:r>
        <w:rPr>
          <w:rFonts w:ascii="Arial" w:hAnsi="Arial" w:cs="Arial"/>
          <w:bCs/>
          <w:iCs/>
        </w:rPr>
        <w:t>.</w:t>
      </w:r>
      <w:r w:rsidRPr="00010026">
        <w:rPr>
          <w:rFonts w:ascii="Arial" w:hAnsi="Arial" w:cs="Arial"/>
          <w:bCs/>
          <w:iCs/>
        </w:rPr>
        <w:t xml:space="preserve"> </w:t>
      </w:r>
      <w:r>
        <w:rPr>
          <w:rFonts w:ascii="Arial" w:hAnsi="Arial" w:cs="Arial"/>
          <w:bCs/>
          <w:iCs/>
        </w:rPr>
        <w:t>School/</w:t>
      </w:r>
      <w:proofErr w:type="gramStart"/>
      <w:r>
        <w:rPr>
          <w:rFonts w:ascii="Arial" w:hAnsi="Arial" w:cs="Arial"/>
          <w:bCs/>
          <w:iCs/>
        </w:rPr>
        <w:t>institution based</w:t>
      </w:r>
      <w:proofErr w:type="gramEnd"/>
      <w:r>
        <w:rPr>
          <w:rFonts w:ascii="Arial" w:hAnsi="Arial" w:cs="Arial"/>
          <w:bCs/>
          <w:iCs/>
        </w:rPr>
        <w:t xml:space="preserve"> mass immunisation programme for HPV such as those in place in New Zealand have resulted in reduced health inequities</w:t>
      </w:r>
      <w:r w:rsidRPr="00010026">
        <w:rPr>
          <w:rFonts w:ascii="Arial" w:hAnsi="Arial" w:cs="Arial"/>
          <w:bCs/>
          <w:iCs/>
        </w:rPr>
        <w:t xml:space="preserve"> (CBG Health Research 2006, Ministry of Health 2004)</w:t>
      </w:r>
      <w:r>
        <w:rPr>
          <w:rFonts w:ascii="Arial" w:hAnsi="Arial" w:cs="Arial"/>
          <w:bCs/>
          <w:iCs/>
        </w:rPr>
        <w:t>.The indicator of influenza at age 65 years was selected because those</w:t>
      </w:r>
      <w:r w:rsidRPr="00A42E99">
        <w:t xml:space="preserve"> </w:t>
      </w:r>
      <w:r w:rsidRPr="00A42E99">
        <w:rPr>
          <w:rFonts w:ascii="Arial" w:hAnsi="Arial" w:cs="Arial"/>
          <w:bCs/>
          <w:iCs/>
        </w:rPr>
        <w:t>aged 65 years and over have the highest rates of hospital admissions for influenza-related severe acute respiratory infections (other than those aged under 5 years)</w:t>
      </w:r>
      <w:r>
        <w:rPr>
          <w:rFonts w:ascii="Arial" w:hAnsi="Arial" w:cs="Arial"/>
          <w:bCs/>
          <w:iCs/>
        </w:rPr>
        <w:t>. Furthermore, p</w:t>
      </w:r>
      <w:r w:rsidRPr="00010026">
        <w:rPr>
          <w:rFonts w:ascii="Arial" w:hAnsi="Arial" w:cs="Arial"/>
          <w:bCs/>
          <w:iCs/>
        </w:rPr>
        <w:t>eople of Māori or Pacific ethnicities are two to fiv</w:t>
      </w:r>
      <w:r>
        <w:rPr>
          <w:rFonts w:ascii="Arial" w:hAnsi="Arial" w:cs="Arial"/>
          <w:bCs/>
          <w:iCs/>
        </w:rPr>
        <w:t xml:space="preserve">e </w:t>
      </w:r>
      <w:r w:rsidRPr="00010026">
        <w:rPr>
          <w:rFonts w:ascii="Arial" w:hAnsi="Arial" w:cs="Arial"/>
          <w:bCs/>
          <w:iCs/>
        </w:rPr>
        <w:t xml:space="preserve">times more likely to be admitted to hospital for influenza-related severe acute respiratory infections than other ethnicities (ESR. </w:t>
      </w:r>
      <w:r w:rsidRPr="00010026">
        <w:rPr>
          <w:rFonts w:ascii="Arial" w:hAnsi="Arial" w:cs="Arial"/>
          <w:bCs/>
          <w:lang w:eastAsia="en-NZ"/>
        </w:rPr>
        <w:t>Influenza Surveillance in New Zealand 2015</w:t>
      </w:r>
      <w:r>
        <w:rPr>
          <w:rFonts w:ascii="Arial" w:hAnsi="Arial" w:cs="Arial"/>
          <w:bCs/>
          <w:lang w:eastAsia="en-NZ"/>
        </w:rPr>
        <w:t>).</w:t>
      </w:r>
    </w:p>
    <w:p w14:paraId="3906874C" w14:textId="77777777" w:rsidR="00691BC3" w:rsidRPr="00010026" w:rsidRDefault="00691BC3" w:rsidP="00691BC3">
      <w:pPr>
        <w:autoSpaceDE w:val="0"/>
        <w:autoSpaceDN w:val="0"/>
        <w:adjustRightInd w:val="0"/>
        <w:spacing w:before="120" w:after="120"/>
        <w:rPr>
          <w:rFonts w:ascii="Arial" w:hAnsi="Arial" w:cs="Arial"/>
          <w:highlight w:val="yellow"/>
        </w:rPr>
      </w:pPr>
    </w:p>
    <w:p w14:paraId="4A813A49" w14:textId="77777777" w:rsidR="00691BC3" w:rsidRPr="00262D51" w:rsidRDefault="00691BC3" w:rsidP="00691BC3">
      <w:pPr>
        <w:shd w:val="clear" w:color="auto" w:fill="FFFFFF"/>
        <w:spacing w:before="60" w:after="60"/>
        <w:jc w:val="both"/>
        <w:rPr>
          <w:rFonts w:ascii="Arial" w:hAnsi="Arial" w:cs="Arial"/>
          <w:b/>
          <w:sz w:val="28"/>
          <w:szCs w:val="28"/>
        </w:rPr>
      </w:pPr>
      <w:r w:rsidRPr="00262D51">
        <w:rPr>
          <w:rFonts w:ascii="Arial" w:hAnsi="Arial" w:cs="Arial"/>
          <w:b/>
          <w:sz w:val="28"/>
          <w:szCs w:val="28"/>
          <w:lang w:val="en-GB"/>
        </w:rPr>
        <w:t>Focus area 1:</w:t>
      </w:r>
      <w:r w:rsidRPr="00262D51">
        <w:rPr>
          <w:rFonts w:ascii="Arial" w:hAnsi="Arial" w:cs="Arial"/>
          <w:b/>
          <w:color w:val="000000"/>
          <w:sz w:val="28"/>
          <w:szCs w:val="28"/>
        </w:rPr>
        <w:t xml:space="preserve"> 8-month-old immunisation coverage</w:t>
      </w:r>
      <w:r w:rsidRPr="00262D51">
        <w:rPr>
          <w:rFonts w:ascii="Arial" w:hAnsi="Arial" w:cs="Arial"/>
          <w:b/>
          <w:sz w:val="28"/>
          <w:szCs w:val="28"/>
        </w:rPr>
        <w:t xml:space="preserve"> </w:t>
      </w:r>
    </w:p>
    <w:p w14:paraId="5AA5EDE4" w14:textId="77777777" w:rsidR="00691BC3" w:rsidRPr="00D66AF5" w:rsidRDefault="00691BC3" w:rsidP="00691BC3">
      <w:pPr>
        <w:shd w:val="clear" w:color="auto" w:fill="FFFFFF"/>
        <w:spacing w:before="60" w:after="60"/>
        <w:jc w:val="both"/>
        <w:rPr>
          <w:rFonts w:ascii="Arial" w:hAnsi="Arial" w:cs="Arial"/>
          <w:b/>
          <w:sz w:val="22"/>
          <w:szCs w:val="22"/>
        </w:rPr>
      </w:pPr>
    </w:p>
    <w:p w14:paraId="2AA428D5" w14:textId="77777777" w:rsidR="00691BC3" w:rsidRPr="00D66AF5" w:rsidRDefault="00691BC3" w:rsidP="00691BC3">
      <w:pPr>
        <w:shd w:val="clear" w:color="auto" w:fill="FFFFFF"/>
        <w:spacing w:before="60" w:after="60"/>
        <w:jc w:val="both"/>
        <w:rPr>
          <w:rFonts w:ascii="Arial" w:hAnsi="Arial" w:cs="Arial"/>
          <w:b/>
          <w:sz w:val="22"/>
          <w:szCs w:val="22"/>
        </w:rPr>
      </w:pPr>
      <w:r w:rsidRPr="00D66AF5">
        <w:rPr>
          <w:rFonts w:ascii="Arial" w:hAnsi="Arial" w:cs="Arial"/>
          <w:b/>
          <w:sz w:val="22"/>
          <w:szCs w:val="22"/>
        </w:rPr>
        <w:t>Deliverable definition</w:t>
      </w:r>
    </w:p>
    <w:p w14:paraId="76BF4785" w14:textId="77777777" w:rsidR="00691BC3" w:rsidRPr="00D66AF5" w:rsidRDefault="00691BC3" w:rsidP="00691BC3">
      <w:pPr>
        <w:shd w:val="clear" w:color="auto" w:fill="FFFFFF"/>
        <w:spacing w:before="60" w:after="60"/>
        <w:jc w:val="both"/>
        <w:rPr>
          <w:rFonts w:ascii="Arial" w:hAnsi="Arial" w:cs="Arial"/>
          <w:b/>
          <w:sz w:val="22"/>
          <w:szCs w:val="22"/>
          <w:u w:val="single"/>
          <w:lang w:val="en-GB"/>
        </w:rPr>
      </w:pPr>
    </w:p>
    <w:p w14:paraId="2327B8D9" w14:textId="77777777" w:rsidR="00691BC3" w:rsidRPr="00D66AF5" w:rsidRDefault="00691BC3" w:rsidP="00691BC3">
      <w:pPr>
        <w:rPr>
          <w:rFonts w:ascii="Arial" w:hAnsi="Arial" w:cs="Times"/>
          <w:b/>
          <w:sz w:val="22"/>
          <w:szCs w:val="22"/>
          <w:u w:val="single"/>
          <w:lang w:eastAsia="en-GB"/>
        </w:rPr>
      </w:pPr>
      <w:r w:rsidRPr="00D66AF5">
        <w:rPr>
          <w:rFonts w:ascii="Arial" w:hAnsi="Arial" w:cs="Times"/>
          <w:b/>
          <w:sz w:val="22"/>
          <w:szCs w:val="22"/>
          <w:u w:val="single"/>
          <w:lang w:eastAsia="en-GB"/>
        </w:rPr>
        <w:t>Percentage of eligible child</w:t>
      </w:r>
      <w:r>
        <w:rPr>
          <w:rFonts w:ascii="Arial" w:hAnsi="Arial" w:cs="Times"/>
          <w:b/>
          <w:sz w:val="22"/>
          <w:szCs w:val="22"/>
          <w:u w:val="single"/>
          <w:lang w:eastAsia="en-GB"/>
        </w:rPr>
        <w:t>ren fully immunised at eight months</w:t>
      </w:r>
      <w:r w:rsidRPr="00D66AF5">
        <w:rPr>
          <w:rFonts w:ascii="Arial" w:hAnsi="Arial" w:cs="Times"/>
          <w:b/>
          <w:sz w:val="22"/>
          <w:szCs w:val="22"/>
          <w:u w:val="single"/>
          <w:lang w:eastAsia="en-GB"/>
        </w:rPr>
        <w:t xml:space="preserve"> of age for Māori, Pacific (where relevant), and </w:t>
      </w:r>
      <w:r>
        <w:rPr>
          <w:rFonts w:ascii="Arial" w:hAnsi="Arial" w:cs="Times"/>
          <w:b/>
          <w:sz w:val="22"/>
          <w:szCs w:val="22"/>
          <w:u w:val="single"/>
          <w:lang w:eastAsia="en-GB"/>
        </w:rPr>
        <w:t>t</w:t>
      </w:r>
      <w:r w:rsidRPr="00D66AF5">
        <w:rPr>
          <w:rFonts w:ascii="Arial" w:hAnsi="Arial" w:cs="Times"/>
          <w:b/>
          <w:sz w:val="22"/>
          <w:szCs w:val="22"/>
          <w:u w:val="single"/>
          <w:lang w:eastAsia="en-GB"/>
        </w:rPr>
        <w:t>otal populations</w:t>
      </w:r>
    </w:p>
    <w:p w14:paraId="45EB164D" w14:textId="77777777" w:rsidR="00691BC3" w:rsidRPr="00D66AF5" w:rsidRDefault="00691BC3" w:rsidP="00691BC3">
      <w:pPr>
        <w:rPr>
          <w:rFonts w:ascii="Arial" w:hAnsi="Arial" w:cs="Times"/>
          <w:b/>
          <w:sz w:val="22"/>
          <w:szCs w:val="22"/>
          <w:lang w:eastAsia="en-GB"/>
        </w:rPr>
      </w:pPr>
    </w:p>
    <w:p w14:paraId="66C36E06" w14:textId="77777777" w:rsidR="00691BC3" w:rsidRPr="00D66AF5" w:rsidRDefault="00691BC3" w:rsidP="00691BC3">
      <w:pPr>
        <w:spacing w:before="120" w:after="120"/>
        <w:rPr>
          <w:rFonts w:ascii="Arial" w:hAnsi="Arial" w:cs="Arial"/>
          <w:sz w:val="22"/>
          <w:szCs w:val="22"/>
          <w:lang w:val="en-GB"/>
        </w:rPr>
      </w:pPr>
      <w:r w:rsidRPr="00D66AF5">
        <w:rPr>
          <w:rFonts w:ascii="Arial" w:hAnsi="Arial" w:cs="Arial"/>
          <w:sz w:val="22"/>
          <w:szCs w:val="22"/>
          <w:lang w:val="en-GB"/>
        </w:rPr>
        <w:t xml:space="preserve">The expectation of this measure is that DHBs will provide equitable immunisation coverage across their Māori, Pacific (where relevant) and </w:t>
      </w:r>
      <w:r>
        <w:rPr>
          <w:rFonts w:ascii="Arial" w:hAnsi="Arial" w:cs="Arial"/>
          <w:sz w:val="22"/>
          <w:szCs w:val="22"/>
          <w:lang w:val="en-GB"/>
        </w:rPr>
        <w:t>total populations measured at eight months</w:t>
      </w:r>
      <w:r w:rsidRPr="00D66AF5">
        <w:rPr>
          <w:rFonts w:ascii="Arial" w:hAnsi="Arial" w:cs="Arial"/>
          <w:sz w:val="22"/>
          <w:szCs w:val="22"/>
          <w:lang w:val="en-GB"/>
        </w:rPr>
        <w:t xml:space="preserve"> of age, aiming at coverage of 95 percent for each group. Equitable coverage will be defined as an equity gap of no more than two percent between Māori and non-Māori populations; this margin allows for data variability when DHB’s have a small Māori cohort. Additionally for Pacific-priority DHBs, the expectation is that coverage for the Pacific population will be the same or higher than that of the </w:t>
      </w:r>
      <w:r>
        <w:rPr>
          <w:rFonts w:ascii="Arial" w:hAnsi="Arial" w:cs="Arial"/>
          <w:sz w:val="22"/>
          <w:szCs w:val="22"/>
          <w:lang w:val="en-GB"/>
        </w:rPr>
        <w:t>t</w:t>
      </w:r>
      <w:r w:rsidRPr="00D66AF5">
        <w:rPr>
          <w:rFonts w:ascii="Arial" w:hAnsi="Arial" w:cs="Arial"/>
          <w:sz w:val="22"/>
          <w:szCs w:val="22"/>
          <w:lang w:val="en-GB"/>
        </w:rPr>
        <w:t xml:space="preserve">otal population. </w:t>
      </w:r>
    </w:p>
    <w:p w14:paraId="7260C527" w14:textId="77777777" w:rsidR="00691BC3" w:rsidRPr="00D66AF5" w:rsidRDefault="00691BC3" w:rsidP="00691BC3">
      <w:pPr>
        <w:spacing w:before="120" w:after="120"/>
        <w:rPr>
          <w:rFonts w:ascii="Arial" w:hAnsi="Arial" w:cs="Arial"/>
          <w:bCs/>
          <w:iCs/>
          <w:sz w:val="22"/>
          <w:szCs w:val="22"/>
        </w:rPr>
      </w:pPr>
      <w:r>
        <w:rPr>
          <w:rFonts w:ascii="Arial" w:hAnsi="Arial" w:cs="Arial"/>
          <w:bCs/>
          <w:iCs/>
          <w:sz w:val="22"/>
          <w:szCs w:val="22"/>
        </w:rPr>
        <w:t>Immunisation coverage for eight-month</w:t>
      </w:r>
      <w:r w:rsidRPr="00D66AF5">
        <w:rPr>
          <w:rFonts w:ascii="Arial" w:hAnsi="Arial" w:cs="Arial"/>
          <w:bCs/>
          <w:iCs/>
          <w:sz w:val="22"/>
          <w:szCs w:val="22"/>
        </w:rPr>
        <w:t>-olds will be measured quarterly and reported by ethnicity and deprivation level. Coverage is calculated as the percenta</w:t>
      </w:r>
      <w:r>
        <w:rPr>
          <w:rFonts w:ascii="Arial" w:hAnsi="Arial" w:cs="Arial"/>
          <w:bCs/>
          <w:iCs/>
          <w:sz w:val="22"/>
          <w:szCs w:val="22"/>
        </w:rPr>
        <w:t>ge of children who turned eight months</w:t>
      </w:r>
      <w:r w:rsidRPr="00D66AF5">
        <w:rPr>
          <w:rFonts w:ascii="Arial" w:hAnsi="Arial" w:cs="Arial"/>
          <w:bCs/>
          <w:iCs/>
          <w:sz w:val="22"/>
          <w:szCs w:val="22"/>
        </w:rPr>
        <w:t xml:space="preserve"> of age during the quarter who are recorded as fully immunised for age on the National Immunisation Register (NIR). </w:t>
      </w:r>
    </w:p>
    <w:p w14:paraId="0578555E" w14:textId="77777777" w:rsidR="00691BC3" w:rsidRPr="00D66AF5" w:rsidRDefault="00691BC3" w:rsidP="00691BC3">
      <w:pPr>
        <w:spacing w:before="120" w:after="120"/>
        <w:jc w:val="both"/>
        <w:rPr>
          <w:rFonts w:ascii="Arial" w:hAnsi="Arial" w:cs="Arial"/>
          <w:bCs/>
          <w:iCs/>
          <w:sz w:val="22"/>
          <w:szCs w:val="22"/>
        </w:rPr>
      </w:pPr>
    </w:p>
    <w:p w14:paraId="746FB5B6" w14:textId="77777777" w:rsidR="00691BC3" w:rsidRPr="00D66AF5" w:rsidRDefault="00691BC3" w:rsidP="00691BC3">
      <w:pPr>
        <w:spacing w:before="120" w:after="120"/>
        <w:rPr>
          <w:rFonts w:ascii="Arial" w:hAnsi="Arial" w:cs="Arial"/>
          <w:b/>
          <w:sz w:val="22"/>
          <w:szCs w:val="22"/>
        </w:rPr>
      </w:pPr>
      <w:r w:rsidRPr="00D66AF5">
        <w:rPr>
          <w:rFonts w:ascii="Arial" w:hAnsi="Arial" w:cs="Arial"/>
          <w:b/>
          <w:sz w:val="22"/>
          <w:szCs w:val="22"/>
        </w:rPr>
        <w:t>Assessment of coverage</w:t>
      </w:r>
    </w:p>
    <w:p w14:paraId="7C9AFAA7" w14:textId="77777777" w:rsidR="00691BC3" w:rsidRPr="00D66AF5" w:rsidRDefault="00691BC3" w:rsidP="00691BC3">
      <w:pPr>
        <w:spacing w:before="120" w:after="120"/>
        <w:rPr>
          <w:rFonts w:ascii="Arial" w:hAnsi="Arial" w:cs="Arial"/>
          <w:bCs/>
          <w:iCs/>
          <w:sz w:val="22"/>
          <w:szCs w:val="22"/>
        </w:rPr>
      </w:pPr>
      <w:r>
        <w:rPr>
          <w:rFonts w:ascii="Arial" w:hAnsi="Arial" w:cs="Arial"/>
          <w:bCs/>
          <w:iCs/>
          <w:sz w:val="22"/>
          <w:szCs w:val="22"/>
        </w:rPr>
        <w:t>Immunisation coverage for eight-month</w:t>
      </w:r>
      <w:r w:rsidRPr="00D66AF5">
        <w:rPr>
          <w:rFonts w:ascii="Arial" w:hAnsi="Arial" w:cs="Arial"/>
          <w:bCs/>
          <w:iCs/>
          <w:sz w:val="22"/>
          <w:szCs w:val="22"/>
        </w:rPr>
        <w:t>-olds will be measured using the following the National Immunisation Register (NIR) DataMart report:</w:t>
      </w:r>
    </w:p>
    <w:tbl>
      <w:tblPr>
        <w:tblStyle w:val="TableGrid"/>
        <w:tblW w:w="5000" w:type="pct"/>
        <w:tblLook w:val="04A0" w:firstRow="1" w:lastRow="0" w:firstColumn="1" w:lastColumn="0" w:noHBand="0" w:noVBand="1"/>
      </w:tblPr>
      <w:tblGrid>
        <w:gridCol w:w="5098"/>
        <w:gridCol w:w="5098"/>
      </w:tblGrid>
      <w:tr w:rsidR="00691BC3" w:rsidRPr="00D66AF5" w14:paraId="63ACAE8D" w14:textId="77777777" w:rsidTr="00632E9E">
        <w:tc>
          <w:tcPr>
            <w:tcW w:w="5000" w:type="pct"/>
            <w:gridSpan w:val="2"/>
          </w:tcPr>
          <w:p w14:paraId="608EDC77" w14:textId="77777777" w:rsidR="00691BC3" w:rsidRPr="00D66AF5" w:rsidRDefault="00691BC3" w:rsidP="00632E9E">
            <w:pPr>
              <w:ind w:left="360"/>
              <w:rPr>
                <w:rFonts w:ascii="Arial" w:eastAsiaTheme="minorHAnsi" w:hAnsi="Arial" w:cs="Arial"/>
                <w:b/>
                <w:sz w:val="22"/>
                <w:szCs w:val="22"/>
              </w:rPr>
            </w:pPr>
            <w:r w:rsidRPr="00D66AF5">
              <w:rPr>
                <w:rFonts w:ascii="Arial" w:eastAsiaTheme="minorHAnsi" w:hAnsi="Arial" w:cs="Arial"/>
                <w:b/>
                <w:sz w:val="22"/>
                <w:szCs w:val="22"/>
              </w:rPr>
              <w:t xml:space="preserve">Reporting parameters for immunisation measure at age </w:t>
            </w:r>
            <w:r>
              <w:rPr>
                <w:rFonts w:ascii="Arial" w:eastAsiaTheme="minorHAnsi" w:hAnsi="Arial" w:cs="Arial"/>
                <w:b/>
                <w:sz w:val="22"/>
                <w:szCs w:val="22"/>
              </w:rPr>
              <w:t>eight months</w:t>
            </w:r>
          </w:p>
        </w:tc>
      </w:tr>
      <w:tr w:rsidR="00691BC3" w:rsidRPr="00D66AF5" w14:paraId="2309C7BF" w14:textId="77777777" w:rsidTr="00632E9E">
        <w:tc>
          <w:tcPr>
            <w:tcW w:w="2500" w:type="pct"/>
          </w:tcPr>
          <w:p w14:paraId="72B13195"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Reporting platform</w:t>
            </w:r>
          </w:p>
        </w:tc>
        <w:tc>
          <w:tcPr>
            <w:tcW w:w="2500" w:type="pct"/>
          </w:tcPr>
          <w:p w14:paraId="12C82395"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Qlik Sense</w:t>
            </w:r>
          </w:p>
        </w:tc>
      </w:tr>
      <w:tr w:rsidR="00691BC3" w:rsidRPr="00D66AF5" w14:paraId="1266455E" w14:textId="77777777" w:rsidTr="00632E9E">
        <w:tc>
          <w:tcPr>
            <w:tcW w:w="2500" w:type="pct"/>
          </w:tcPr>
          <w:p w14:paraId="4940C234"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Report name</w:t>
            </w:r>
          </w:p>
        </w:tc>
        <w:tc>
          <w:tcPr>
            <w:tcW w:w="2500" w:type="pct"/>
          </w:tcPr>
          <w:p w14:paraId="54671A3C"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Child immunisation coverage by milestone</w:t>
            </w:r>
          </w:p>
        </w:tc>
      </w:tr>
      <w:tr w:rsidR="00691BC3" w:rsidRPr="00D66AF5" w14:paraId="350F283A" w14:textId="77777777" w:rsidTr="00632E9E">
        <w:tc>
          <w:tcPr>
            <w:tcW w:w="2500" w:type="pct"/>
          </w:tcPr>
          <w:p w14:paraId="787FEB41"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Report end date</w:t>
            </w:r>
          </w:p>
        </w:tc>
        <w:tc>
          <w:tcPr>
            <w:tcW w:w="2500" w:type="pct"/>
          </w:tcPr>
          <w:p w14:paraId="5E712116"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Last day of the relevant quarter</w:t>
            </w:r>
          </w:p>
        </w:tc>
      </w:tr>
      <w:tr w:rsidR="00691BC3" w:rsidRPr="00D66AF5" w14:paraId="51B4E05C" w14:textId="77777777" w:rsidTr="00632E9E">
        <w:tc>
          <w:tcPr>
            <w:tcW w:w="2500" w:type="pct"/>
          </w:tcPr>
          <w:p w14:paraId="21870DBE"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Reporting period</w:t>
            </w:r>
          </w:p>
        </w:tc>
        <w:tc>
          <w:tcPr>
            <w:tcW w:w="2500" w:type="pct"/>
          </w:tcPr>
          <w:p w14:paraId="5526EF3D"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Last three months</w:t>
            </w:r>
          </w:p>
        </w:tc>
      </w:tr>
      <w:tr w:rsidR="00691BC3" w:rsidRPr="00D66AF5" w14:paraId="19198A2C" w14:textId="77777777" w:rsidTr="00632E9E">
        <w:tc>
          <w:tcPr>
            <w:tcW w:w="2500" w:type="pct"/>
          </w:tcPr>
          <w:p w14:paraId="2310042A" w14:textId="77777777" w:rsidR="00691BC3" w:rsidRPr="00D66AF5" w:rsidRDefault="00691BC3" w:rsidP="00632E9E">
            <w:pPr>
              <w:ind w:left="360"/>
              <w:rPr>
                <w:rFonts w:ascii="Arial" w:eastAsiaTheme="minorHAnsi" w:hAnsi="Arial" w:cs="Arial"/>
                <w:sz w:val="22"/>
                <w:szCs w:val="22"/>
              </w:rPr>
            </w:pPr>
            <w:r w:rsidRPr="00D66AF5">
              <w:rPr>
                <w:rFonts w:ascii="Arial" w:eastAsiaTheme="minorHAnsi" w:hAnsi="Arial" w:cs="Arial"/>
                <w:sz w:val="22"/>
                <w:szCs w:val="22"/>
              </w:rPr>
              <w:t>Milestone age</w:t>
            </w:r>
          </w:p>
        </w:tc>
        <w:tc>
          <w:tcPr>
            <w:tcW w:w="2500" w:type="pct"/>
          </w:tcPr>
          <w:p w14:paraId="387C7176" w14:textId="77777777" w:rsidR="00691BC3" w:rsidRPr="00D66AF5" w:rsidRDefault="00691BC3" w:rsidP="00632E9E">
            <w:pPr>
              <w:ind w:left="360"/>
              <w:rPr>
                <w:rFonts w:ascii="Arial" w:eastAsiaTheme="minorHAnsi" w:hAnsi="Arial" w:cs="Arial"/>
                <w:sz w:val="22"/>
                <w:szCs w:val="22"/>
              </w:rPr>
            </w:pPr>
            <w:r>
              <w:rPr>
                <w:rFonts w:ascii="Arial" w:eastAsiaTheme="minorHAnsi" w:hAnsi="Arial" w:cs="Arial"/>
                <w:sz w:val="22"/>
                <w:szCs w:val="22"/>
              </w:rPr>
              <w:t>8 month</w:t>
            </w:r>
            <w:r w:rsidRPr="00D66AF5">
              <w:rPr>
                <w:rFonts w:ascii="Arial" w:eastAsiaTheme="minorHAnsi" w:hAnsi="Arial" w:cs="Arial"/>
                <w:sz w:val="22"/>
                <w:szCs w:val="22"/>
              </w:rPr>
              <w:t>s</w:t>
            </w:r>
          </w:p>
        </w:tc>
      </w:tr>
    </w:tbl>
    <w:p w14:paraId="03D66659" w14:textId="77777777" w:rsidR="00691BC3" w:rsidRPr="00D66AF5" w:rsidRDefault="00691BC3" w:rsidP="00691BC3">
      <w:pPr>
        <w:autoSpaceDE w:val="0"/>
        <w:autoSpaceDN w:val="0"/>
        <w:adjustRightInd w:val="0"/>
        <w:spacing w:before="120" w:after="120"/>
        <w:jc w:val="both"/>
        <w:rPr>
          <w:rFonts w:ascii="Arial" w:hAnsi="Arial" w:cs="Arial"/>
          <w:color w:val="000000"/>
          <w:sz w:val="22"/>
          <w:szCs w:val="22"/>
        </w:rPr>
      </w:pPr>
    </w:p>
    <w:p w14:paraId="532105D3" w14:textId="77777777" w:rsidR="00691BC3" w:rsidRPr="00262D51" w:rsidRDefault="00691BC3" w:rsidP="00691BC3">
      <w:pPr>
        <w:rPr>
          <w:rFonts w:ascii="Arial" w:hAnsi="Arial" w:cs="Arial"/>
          <w:i/>
          <w:sz w:val="22"/>
          <w:szCs w:val="22"/>
          <w:lang w:val="en-GB" w:eastAsia="en-GB"/>
        </w:rPr>
      </w:pPr>
      <w:r w:rsidRPr="00262D51">
        <w:rPr>
          <w:rFonts w:ascii="Arial" w:hAnsi="Arial" w:cs="Arial"/>
          <w:i/>
          <w:sz w:val="22"/>
          <w:szCs w:val="22"/>
          <w:lang w:val="en-GB" w:eastAsia="en-GB"/>
        </w:rPr>
        <w:t xml:space="preserve">Numerator: </w:t>
      </w:r>
    </w:p>
    <w:p w14:paraId="34E950E9"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numerator is the number of eligible children enrolled on the NIR who have turned </w:t>
      </w:r>
      <w:r>
        <w:rPr>
          <w:rFonts w:ascii="Arial" w:hAnsi="Arial" w:cs="Arial"/>
          <w:sz w:val="22"/>
          <w:szCs w:val="22"/>
          <w:lang w:val="en-GB" w:eastAsia="en-GB"/>
        </w:rPr>
        <w:t>eight months</w:t>
      </w:r>
      <w:r w:rsidRPr="00262D51">
        <w:rPr>
          <w:rFonts w:ascii="Arial" w:hAnsi="Arial" w:cs="Arial"/>
          <w:sz w:val="22"/>
          <w:szCs w:val="22"/>
          <w:lang w:val="en-GB" w:eastAsia="en-GB"/>
        </w:rPr>
        <w:t xml:space="preserve"> of age during the quarter and who are recorded as fully immunised on the end of the day that they turn the milestone age.</w:t>
      </w:r>
    </w:p>
    <w:p w14:paraId="75D1CBA4" w14:textId="77777777" w:rsidR="00691BC3" w:rsidRPr="00262D51" w:rsidRDefault="00691BC3" w:rsidP="00691BC3">
      <w:pPr>
        <w:rPr>
          <w:rFonts w:ascii="Arial" w:hAnsi="Arial" w:cs="Arial"/>
          <w:sz w:val="22"/>
          <w:szCs w:val="22"/>
          <w:lang w:val="en-GB" w:eastAsia="en-GB"/>
        </w:rPr>
      </w:pPr>
    </w:p>
    <w:p w14:paraId="0C7E39FC"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Fully immunised at age </w:t>
      </w:r>
      <w:r>
        <w:rPr>
          <w:rFonts w:ascii="Arial" w:hAnsi="Arial" w:cs="Arial"/>
          <w:sz w:val="22"/>
          <w:szCs w:val="22"/>
          <w:lang w:val="en-GB" w:eastAsia="en-GB"/>
        </w:rPr>
        <w:t>eight months</w:t>
      </w:r>
      <w:r w:rsidRPr="00262D51">
        <w:rPr>
          <w:rFonts w:ascii="Arial" w:hAnsi="Arial" w:cs="Arial"/>
          <w:sz w:val="22"/>
          <w:szCs w:val="22"/>
          <w:lang w:val="en-GB" w:eastAsia="en-GB"/>
        </w:rPr>
        <w:t xml:space="preserve"> is defined as having received all measured immunisations scheduled between birth and age </w:t>
      </w:r>
      <w:r>
        <w:rPr>
          <w:rFonts w:ascii="Arial" w:hAnsi="Arial" w:cs="Arial"/>
          <w:sz w:val="22"/>
          <w:szCs w:val="22"/>
          <w:lang w:val="en-GB" w:eastAsia="en-GB"/>
        </w:rPr>
        <w:t>eight months</w:t>
      </w:r>
      <w:r w:rsidRPr="00262D51">
        <w:rPr>
          <w:rFonts w:ascii="Arial" w:hAnsi="Arial" w:cs="Arial"/>
          <w:sz w:val="22"/>
          <w:szCs w:val="22"/>
          <w:lang w:val="en-GB" w:eastAsia="en-GB"/>
        </w:rPr>
        <w:t xml:space="preserve">. This includes the immunisation events due at six weeks, three months, five months, or an appropriate catch-up schedule. To be measured as fully immunised, the child must have received all age-appropriate doses of diphtheria, tetanus, pertussis, polio, hepatitis B, </w:t>
      </w:r>
      <w:r w:rsidRPr="00262D51">
        <w:rPr>
          <w:rFonts w:ascii="Arial" w:hAnsi="Arial" w:cs="Arial"/>
          <w:i/>
          <w:sz w:val="22"/>
          <w:szCs w:val="22"/>
          <w:lang w:val="en-GB" w:eastAsia="en-GB"/>
        </w:rPr>
        <w:t>Haemophilus influenzae</w:t>
      </w:r>
      <w:r w:rsidRPr="00262D51">
        <w:rPr>
          <w:rFonts w:ascii="Arial" w:hAnsi="Arial" w:cs="Arial"/>
          <w:sz w:val="22"/>
          <w:szCs w:val="22"/>
          <w:lang w:val="en-GB" w:eastAsia="en-GB"/>
        </w:rPr>
        <w:t xml:space="preserve"> type B, pneumococcal v</w:t>
      </w:r>
      <w:r>
        <w:rPr>
          <w:rFonts w:ascii="Arial" w:hAnsi="Arial" w:cs="Arial"/>
          <w:sz w:val="22"/>
          <w:szCs w:val="22"/>
          <w:lang w:val="en-GB" w:eastAsia="en-GB"/>
        </w:rPr>
        <w:t>accines</w:t>
      </w:r>
      <w:r w:rsidRPr="00262D51">
        <w:rPr>
          <w:rFonts w:ascii="Arial" w:hAnsi="Arial" w:cs="Arial"/>
          <w:sz w:val="22"/>
          <w:szCs w:val="22"/>
          <w:lang w:val="en-GB" w:eastAsia="en-GB"/>
        </w:rPr>
        <w:t xml:space="preserve">. </w:t>
      </w:r>
    </w:p>
    <w:p w14:paraId="61831F22" w14:textId="77777777" w:rsidR="00691BC3" w:rsidRPr="00262D51" w:rsidRDefault="00691BC3" w:rsidP="00691BC3">
      <w:pPr>
        <w:rPr>
          <w:rFonts w:ascii="Arial" w:hAnsi="Arial" w:cs="Arial"/>
          <w:sz w:val="22"/>
          <w:szCs w:val="22"/>
          <w:lang w:val="en-GB" w:eastAsia="en-GB"/>
        </w:rPr>
      </w:pPr>
    </w:p>
    <w:p w14:paraId="7E4E4A18"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Although rota</w:t>
      </w:r>
      <w:r>
        <w:rPr>
          <w:rFonts w:ascii="Arial" w:hAnsi="Arial" w:cs="Arial"/>
          <w:sz w:val="22"/>
          <w:szCs w:val="22"/>
          <w:lang w:val="en-GB" w:eastAsia="en-GB"/>
        </w:rPr>
        <w:t>virus vaccine is</w:t>
      </w:r>
      <w:r w:rsidRPr="00262D51">
        <w:rPr>
          <w:rFonts w:ascii="Arial" w:hAnsi="Arial" w:cs="Arial"/>
          <w:sz w:val="22"/>
          <w:szCs w:val="22"/>
          <w:lang w:val="en-GB" w:eastAsia="en-GB"/>
        </w:rPr>
        <w:t xml:space="preserve"> included in the National Immunisat</w:t>
      </w:r>
      <w:r>
        <w:rPr>
          <w:rFonts w:ascii="Arial" w:hAnsi="Arial" w:cs="Arial"/>
          <w:sz w:val="22"/>
          <w:szCs w:val="22"/>
          <w:lang w:val="en-GB" w:eastAsia="en-GB"/>
        </w:rPr>
        <w:t>ion Schedule, it is</w:t>
      </w:r>
      <w:r w:rsidRPr="00262D51">
        <w:rPr>
          <w:rFonts w:ascii="Arial" w:hAnsi="Arial" w:cs="Arial"/>
          <w:sz w:val="22"/>
          <w:szCs w:val="22"/>
          <w:lang w:val="en-GB" w:eastAsia="en-GB"/>
        </w:rPr>
        <w:t xml:space="preserve"> not currently included in performance measures for immuni</w:t>
      </w:r>
      <w:r>
        <w:rPr>
          <w:rFonts w:ascii="Arial" w:hAnsi="Arial" w:cs="Arial"/>
          <w:sz w:val="22"/>
          <w:szCs w:val="22"/>
          <w:lang w:val="en-GB" w:eastAsia="en-GB"/>
        </w:rPr>
        <w:t>sation coverage because of the</w:t>
      </w:r>
      <w:r w:rsidRPr="00262D51">
        <w:rPr>
          <w:rFonts w:ascii="Arial" w:hAnsi="Arial" w:cs="Arial"/>
          <w:sz w:val="22"/>
          <w:szCs w:val="22"/>
          <w:lang w:val="en-GB" w:eastAsia="en-GB"/>
        </w:rPr>
        <w:t xml:space="preserve"> later addition to the schedu</w:t>
      </w:r>
      <w:r>
        <w:rPr>
          <w:rFonts w:ascii="Arial" w:hAnsi="Arial" w:cs="Arial"/>
          <w:sz w:val="22"/>
          <w:szCs w:val="22"/>
          <w:lang w:val="en-GB" w:eastAsia="en-GB"/>
        </w:rPr>
        <w:t>le. It is anticipated that rotavirus vaccine</w:t>
      </w:r>
      <w:r w:rsidRPr="00262D51">
        <w:rPr>
          <w:rFonts w:ascii="Arial" w:hAnsi="Arial" w:cs="Arial"/>
          <w:sz w:val="22"/>
          <w:szCs w:val="22"/>
          <w:lang w:val="en-GB" w:eastAsia="en-GB"/>
        </w:rPr>
        <w:t xml:space="preserve"> will be included in performance measures in the future.     </w:t>
      </w:r>
    </w:p>
    <w:p w14:paraId="1C7D6665" w14:textId="77777777" w:rsidR="00691BC3" w:rsidRPr="00262D51" w:rsidRDefault="00691BC3" w:rsidP="00691BC3">
      <w:pPr>
        <w:rPr>
          <w:rFonts w:ascii="Arial" w:hAnsi="Arial" w:cs="Arial"/>
          <w:sz w:val="22"/>
          <w:szCs w:val="22"/>
          <w:lang w:val="en-GB" w:eastAsia="en-GB"/>
        </w:rPr>
      </w:pPr>
    </w:p>
    <w:p w14:paraId="11CDE4EB" w14:textId="77777777" w:rsidR="00691BC3" w:rsidRPr="00262D51" w:rsidRDefault="00691BC3" w:rsidP="00691BC3">
      <w:pPr>
        <w:rPr>
          <w:rFonts w:ascii="Arial" w:hAnsi="Arial" w:cs="Arial"/>
          <w:sz w:val="22"/>
          <w:szCs w:val="22"/>
          <w:lang w:val="en-GB" w:eastAsia="en-GB"/>
        </w:rPr>
      </w:pPr>
      <w:r w:rsidRPr="00262D51">
        <w:rPr>
          <w:rFonts w:ascii="Arial" w:hAnsi="Arial" w:cs="Arial"/>
          <w:i/>
          <w:sz w:val="22"/>
          <w:szCs w:val="22"/>
          <w:lang w:val="en-GB" w:eastAsia="en-GB"/>
        </w:rPr>
        <w:t>Denominator</w:t>
      </w:r>
      <w:r w:rsidRPr="00262D51">
        <w:rPr>
          <w:rFonts w:ascii="Arial" w:hAnsi="Arial" w:cs="Arial"/>
          <w:sz w:val="22"/>
          <w:szCs w:val="22"/>
          <w:lang w:val="en-GB" w:eastAsia="en-GB"/>
        </w:rPr>
        <w:t xml:space="preserve">: </w:t>
      </w:r>
    </w:p>
    <w:p w14:paraId="22D3D600"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denominator is the number of eligible children enrolled on the NIR who have turned </w:t>
      </w:r>
      <w:r>
        <w:rPr>
          <w:rFonts w:ascii="Arial" w:hAnsi="Arial" w:cs="Arial"/>
          <w:sz w:val="22"/>
          <w:szCs w:val="22"/>
          <w:lang w:val="en-GB" w:eastAsia="en-GB"/>
        </w:rPr>
        <w:t>eight months</w:t>
      </w:r>
      <w:r w:rsidRPr="00262D51">
        <w:rPr>
          <w:rFonts w:ascii="Arial" w:hAnsi="Arial" w:cs="Arial"/>
          <w:sz w:val="22"/>
          <w:szCs w:val="22"/>
          <w:lang w:val="en-GB" w:eastAsia="en-GB"/>
        </w:rPr>
        <w:t xml:space="preserve"> of age during the quarter. Those who decline vaccines or who have opted off their information being recorded on the NIR are included in the denominator.  </w:t>
      </w:r>
    </w:p>
    <w:p w14:paraId="33C5948B" w14:textId="77777777" w:rsidR="00691BC3" w:rsidRPr="00262D51" w:rsidRDefault="00691BC3" w:rsidP="00691BC3">
      <w:pPr>
        <w:rPr>
          <w:rFonts w:ascii="Arial" w:hAnsi="Arial" w:cs="Arial"/>
          <w:sz w:val="22"/>
          <w:szCs w:val="22"/>
          <w:lang w:val="en-GB" w:eastAsia="en-GB"/>
        </w:rPr>
      </w:pPr>
    </w:p>
    <w:p w14:paraId="3DE06A78"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quarterly coverage report will be run after the weekly data update (“refresh”) of the NIR Data Mart after the end of the quarter; reports are generally run on the Monday closest to the 10th of the month after the end of the quarter to ensure timeliness while also allowing the complete quarter's data to have been loaded on to the NIR Data Mart. </w:t>
      </w:r>
    </w:p>
    <w:p w14:paraId="65614C7E" w14:textId="77777777" w:rsidR="00691BC3" w:rsidRPr="00262D51" w:rsidRDefault="00691BC3" w:rsidP="00691BC3">
      <w:pPr>
        <w:rPr>
          <w:rFonts w:ascii="Arial" w:hAnsi="Arial" w:cs="Arial"/>
          <w:sz w:val="22"/>
          <w:szCs w:val="22"/>
          <w:lang w:val="en-GB" w:eastAsia="en-GB"/>
        </w:rPr>
      </w:pPr>
    </w:p>
    <w:p w14:paraId="60C061E0"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Current performance reports can be accessed directly from the NIR DataMart reports on Qlik Sense. At the end of each quarter, the reports at both National and DHB level will also be available to DHBs in Excel and PDF format in the toolkit section of the Quarterly Reporting Database. DHBs are expected to use these reports to provide exception qualitative reports and/or use this mechanism to raise issues with the Ministry.</w:t>
      </w:r>
    </w:p>
    <w:p w14:paraId="4F77C1FD" w14:textId="77777777" w:rsidR="00691BC3" w:rsidRPr="00262D51" w:rsidRDefault="00691BC3" w:rsidP="00691BC3">
      <w:pPr>
        <w:rPr>
          <w:rFonts w:ascii="Arial" w:hAnsi="Arial" w:cs="Arial"/>
          <w:sz w:val="22"/>
          <w:szCs w:val="22"/>
          <w:lang w:val="en-GB" w:eastAsia="en-GB"/>
        </w:rPr>
      </w:pPr>
    </w:p>
    <w:p w14:paraId="4059EB2A" w14:textId="77777777" w:rsidR="00691BC3" w:rsidRPr="00262D51" w:rsidRDefault="00691BC3" w:rsidP="00691BC3">
      <w:pPr>
        <w:rPr>
          <w:rFonts w:ascii="Arial" w:eastAsia="Calibri" w:hAnsi="Arial" w:cs="Arial"/>
          <w:sz w:val="22"/>
          <w:szCs w:val="22"/>
          <w:lang w:eastAsia="en-GB"/>
        </w:rPr>
      </w:pPr>
      <w:r w:rsidRPr="00262D51">
        <w:rPr>
          <w:rFonts w:ascii="Arial" w:hAnsi="Arial" w:cs="Arial"/>
          <w:sz w:val="22"/>
          <w:szCs w:val="22"/>
          <w:lang w:val="en-GB" w:eastAsia="en-GB"/>
        </w:rPr>
        <w:t>Immunisation</w:t>
      </w:r>
      <w:r w:rsidRPr="00262D51">
        <w:rPr>
          <w:rFonts w:ascii="Arial" w:eastAsia="Calibri" w:hAnsi="Arial" w:cs="Arial"/>
          <w:sz w:val="22"/>
          <w:szCs w:val="22"/>
          <w:lang w:eastAsia="en-GB"/>
        </w:rPr>
        <w:t xml:space="preserve"> coverage reports will be provided quarterly as follows:</w:t>
      </w:r>
    </w:p>
    <w:p w14:paraId="549F8572" w14:textId="77777777" w:rsidR="00691BC3" w:rsidRPr="00262D51" w:rsidRDefault="00691BC3" w:rsidP="00691BC3">
      <w:pPr>
        <w:shd w:val="clear" w:color="auto" w:fill="FFFFFF"/>
        <w:spacing w:before="60" w:after="60" w:line="259" w:lineRule="auto"/>
        <w:jc w:val="both"/>
        <w:rPr>
          <w:rFonts w:ascii="Arial" w:eastAsia="Calibri" w:hAnsi="Arial" w:cs="Arial"/>
          <w:sz w:val="22"/>
          <w:szCs w:val="22"/>
          <w:lang w:eastAsia="en-GB"/>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691BC3" w:rsidRPr="00262D51" w14:paraId="6476FBBC"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6CF426E" w14:textId="77777777" w:rsidR="00691BC3" w:rsidRPr="00262D51" w:rsidRDefault="00691BC3" w:rsidP="00632E9E">
            <w:pPr>
              <w:spacing w:before="60" w:after="60" w:line="259" w:lineRule="auto"/>
              <w:jc w:val="both"/>
              <w:rPr>
                <w:rFonts w:ascii="Arial" w:eastAsia="Calibri" w:hAnsi="Arial" w:cs="Arial"/>
                <w:b/>
                <w:sz w:val="20"/>
                <w:szCs w:val="20"/>
                <w:lang w:eastAsia="en-GB"/>
              </w:rPr>
            </w:pPr>
            <w:r w:rsidRPr="00262D51">
              <w:rPr>
                <w:rFonts w:ascii="Arial" w:eastAsia="Calibri" w:hAnsi="Arial" w:cs="Arial"/>
                <w:b/>
                <w:sz w:val="20"/>
                <w:szCs w:val="20"/>
                <w:lang w:eastAsia="en-GB"/>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8342B89" w14:textId="77777777" w:rsidR="00691BC3" w:rsidRPr="00262D51" w:rsidRDefault="00691BC3" w:rsidP="00632E9E">
            <w:pPr>
              <w:spacing w:before="60" w:after="60" w:line="259" w:lineRule="auto"/>
              <w:jc w:val="both"/>
              <w:rPr>
                <w:rFonts w:ascii="Arial" w:eastAsia="Calibri" w:hAnsi="Arial" w:cs="Arial"/>
                <w:b/>
                <w:sz w:val="20"/>
                <w:szCs w:val="20"/>
                <w:lang w:eastAsia="en-GB"/>
              </w:rPr>
            </w:pPr>
            <w:r w:rsidRPr="00262D51">
              <w:rPr>
                <w:rFonts w:ascii="Arial" w:eastAsia="Calibri" w:hAnsi="Arial" w:cs="Arial"/>
                <w:b/>
                <w:sz w:val="20"/>
                <w:szCs w:val="20"/>
                <w:lang w:eastAsia="en-GB"/>
              </w:rPr>
              <w:t>For the time period</w:t>
            </w:r>
          </w:p>
        </w:tc>
      </w:tr>
      <w:tr w:rsidR="00691BC3" w:rsidRPr="00262D51" w14:paraId="3F2DC178"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43A45AC0"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1</w:t>
            </w:r>
          </w:p>
        </w:tc>
        <w:tc>
          <w:tcPr>
            <w:tcW w:w="4323" w:type="dxa"/>
            <w:tcBorders>
              <w:top w:val="single" w:sz="4" w:space="0" w:color="auto"/>
              <w:left w:val="single" w:sz="4" w:space="0" w:color="auto"/>
              <w:bottom w:val="single" w:sz="4" w:space="0" w:color="auto"/>
              <w:right w:val="single" w:sz="4" w:space="0" w:color="auto"/>
            </w:tcBorders>
            <w:hideMark/>
          </w:tcPr>
          <w:p w14:paraId="133A5078"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July to 30 September</w:t>
            </w:r>
          </w:p>
        </w:tc>
      </w:tr>
      <w:tr w:rsidR="00691BC3" w:rsidRPr="00262D51" w14:paraId="0CB80D72"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5963E312"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2</w:t>
            </w:r>
          </w:p>
        </w:tc>
        <w:tc>
          <w:tcPr>
            <w:tcW w:w="4323" w:type="dxa"/>
            <w:tcBorders>
              <w:top w:val="single" w:sz="4" w:space="0" w:color="auto"/>
              <w:left w:val="single" w:sz="4" w:space="0" w:color="auto"/>
              <w:bottom w:val="single" w:sz="4" w:space="0" w:color="auto"/>
              <w:right w:val="single" w:sz="4" w:space="0" w:color="auto"/>
            </w:tcBorders>
          </w:tcPr>
          <w:p w14:paraId="680B1881"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October to 31 December</w:t>
            </w:r>
          </w:p>
        </w:tc>
      </w:tr>
      <w:tr w:rsidR="00691BC3" w:rsidRPr="00262D51" w14:paraId="017B55F3" w14:textId="77777777" w:rsidTr="00632E9E">
        <w:trPr>
          <w:trHeight w:val="309"/>
          <w:jc w:val="center"/>
        </w:trPr>
        <w:tc>
          <w:tcPr>
            <w:tcW w:w="1617" w:type="dxa"/>
            <w:tcBorders>
              <w:top w:val="single" w:sz="4" w:space="0" w:color="auto"/>
              <w:left w:val="single" w:sz="4" w:space="0" w:color="auto"/>
              <w:bottom w:val="single" w:sz="4" w:space="0" w:color="auto"/>
              <w:right w:val="single" w:sz="4" w:space="0" w:color="auto"/>
            </w:tcBorders>
            <w:hideMark/>
          </w:tcPr>
          <w:p w14:paraId="0BE87634"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3</w:t>
            </w:r>
          </w:p>
        </w:tc>
        <w:tc>
          <w:tcPr>
            <w:tcW w:w="4323" w:type="dxa"/>
            <w:tcBorders>
              <w:top w:val="single" w:sz="4" w:space="0" w:color="auto"/>
              <w:left w:val="single" w:sz="4" w:space="0" w:color="auto"/>
              <w:bottom w:val="single" w:sz="4" w:space="0" w:color="auto"/>
              <w:right w:val="single" w:sz="4" w:space="0" w:color="auto"/>
            </w:tcBorders>
          </w:tcPr>
          <w:p w14:paraId="700B6DAC"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January to 31 March</w:t>
            </w:r>
          </w:p>
        </w:tc>
      </w:tr>
      <w:tr w:rsidR="00691BC3" w:rsidRPr="00262D51" w14:paraId="1FED551C"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739D057E"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4</w:t>
            </w:r>
          </w:p>
        </w:tc>
        <w:tc>
          <w:tcPr>
            <w:tcW w:w="4323" w:type="dxa"/>
            <w:tcBorders>
              <w:top w:val="single" w:sz="4" w:space="0" w:color="auto"/>
              <w:left w:val="single" w:sz="4" w:space="0" w:color="auto"/>
              <w:bottom w:val="single" w:sz="4" w:space="0" w:color="auto"/>
              <w:right w:val="single" w:sz="4" w:space="0" w:color="auto"/>
            </w:tcBorders>
          </w:tcPr>
          <w:p w14:paraId="69E8B825"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April to 30 June</w:t>
            </w:r>
          </w:p>
        </w:tc>
      </w:tr>
    </w:tbl>
    <w:p w14:paraId="6EE6DBB3" w14:textId="77777777" w:rsidR="00691BC3" w:rsidRPr="00262D51" w:rsidRDefault="00691BC3" w:rsidP="00691BC3">
      <w:pPr>
        <w:spacing w:before="60" w:after="60"/>
        <w:jc w:val="both"/>
        <w:rPr>
          <w:rFonts w:ascii="Arial" w:hAnsi="Arial" w:cs="Arial"/>
          <w:b/>
          <w:sz w:val="22"/>
          <w:szCs w:val="22"/>
          <w:lang w:val="en-GB" w:eastAsia="en-GB"/>
        </w:rPr>
      </w:pPr>
    </w:p>
    <w:p w14:paraId="29875BA3" w14:textId="77777777" w:rsidR="00691BC3" w:rsidRPr="00262D51" w:rsidRDefault="00691BC3" w:rsidP="00691BC3">
      <w:pPr>
        <w:rPr>
          <w:rFonts w:ascii="Arial" w:hAnsi="Arial" w:cs="Times"/>
          <w:b/>
          <w:szCs w:val="22"/>
          <w:lang w:eastAsia="en-GB"/>
        </w:rPr>
      </w:pPr>
      <w:r w:rsidRPr="00262D51">
        <w:rPr>
          <w:rFonts w:ascii="Arial" w:hAnsi="Arial" w:cs="Times"/>
          <w:b/>
          <w:szCs w:val="22"/>
          <w:lang w:eastAsia="en-GB"/>
        </w:rPr>
        <w:lastRenderedPageBreak/>
        <w:t>Expectations</w:t>
      </w:r>
      <w:r w:rsidRPr="00262D51">
        <w:rPr>
          <w:rFonts w:ascii="Arial" w:hAnsi="Arial" w:cs="Times"/>
          <w:b/>
          <w:szCs w:val="22"/>
          <w:lang w:eastAsia="en-GB"/>
        </w:rPr>
        <w:br/>
      </w:r>
    </w:p>
    <w:p w14:paraId="48D34E90"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expectation of this measure is that DHBs will provide equitable immunisation coverage across their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 xml:space="preserve">otal populations. DHBs are expected to aim at 95 percent immunisation coverage at </w:t>
      </w:r>
      <w:r>
        <w:rPr>
          <w:rFonts w:ascii="Arial" w:hAnsi="Arial" w:cs="Arial"/>
          <w:sz w:val="22"/>
          <w:szCs w:val="22"/>
          <w:lang w:val="en-GB" w:eastAsia="en-GB"/>
        </w:rPr>
        <w:t>eight months</w:t>
      </w:r>
      <w:r w:rsidRPr="00262D51">
        <w:rPr>
          <w:rFonts w:ascii="Arial" w:hAnsi="Arial" w:cs="Arial"/>
          <w:sz w:val="22"/>
          <w:szCs w:val="22"/>
          <w:lang w:val="en-GB" w:eastAsia="en-GB"/>
        </w:rPr>
        <w:t xml:space="preserve"> of age in each of these groups, with children having completed all age-appropriate scheduled immunisations due between birth and age </w:t>
      </w:r>
      <w:r>
        <w:rPr>
          <w:rFonts w:ascii="Arial" w:hAnsi="Arial" w:cs="Arial"/>
          <w:sz w:val="22"/>
          <w:szCs w:val="22"/>
          <w:lang w:val="en-GB" w:eastAsia="en-GB"/>
        </w:rPr>
        <w:t>eight months</w:t>
      </w:r>
      <w:r w:rsidRPr="00262D51">
        <w:rPr>
          <w:rFonts w:ascii="Arial" w:hAnsi="Arial" w:cs="Arial"/>
          <w:sz w:val="22"/>
          <w:szCs w:val="22"/>
          <w:lang w:val="en-GB" w:eastAsia="en-GB"/>
        </w:rPr>
        <w:t xml:space="preserve">. DHBs are expected to set local targets with the aim of eliminating inequities. </w:t>
      </w:r>
    </w:p>
    <w:p w14:paraId="6D79B5B0" w14:textId="77777777" w:rsidR="00691BC3" w:rsidRPr="00262D51" w:rsidRDefault="00691BC3" w:rsidP="00691BC3">
      <w:pPr>
        <w:rPr>
          <w:rFonts w:ascii="Arial" w:hAnsi="Arial" w:cs="Arial"/>
          <w:sz w:val="22"/>
          <w:szCs w:val="22"/>
          <w:lang w:val="en-GB" w:eastAsia="en-GB"/>
        </w:rPr>
      </w:pPr>
    </w:p>
    <w:p w14:paraId="713C16CC"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If DHBs do not reach the target level of coverage for any of Māori, Pacific (where relevant), or </w:t>
      </w:r>
      <w:r>
        <w:rPr>
          <w:rFonts w:ascii="Arial" w:hAnsi="Arial" w:cs="Arial"/>
          <w:sz w:val="22"/>
          <w:szCs w:val="22"/>
          <w:lang w:val="en-GB" w:eastAsia="en-GB"/>
        </w:rPr>
        <w:t>t</w:t>
      </w:r>
      <w:r w:rsidRPr="00262D51">
        <w:rPr>
          <w:rFonts w:ascii="Arial" w:hAnsi="Arial" w:cs="Arial"/>
          <w:sz w:val="22"/>
          <w:szCs w:val="22"/>
          <w:lang w:val="en-GB" w:eastAsia="en-GB"/>
        </w:rPr>
        <w:t>otal populations in any quarter they are expected to provide an exception qualitative report at the end of each quarter advising how they will track towards higher coverage. If the target level of coverage has been reached across all priority ethnicities, only a confirmation statement is required.</w:t>
      </w:r>
    </w:p>
    <w:p w14:paraId="294385AC" w14:textId="77777777" w:rsidR="00691BC3" w:rsidRPr="00262D51" w:rsidRDefault="00691BC3" w:rsidP="00691BC3">
      <w:pPr>
        <w:rPr>
          <w:rFonts w:ascii="Arial" w:hAnsi="Arial" w:cs="Arial"/>
          <w:sz w:val="22"/>
          <w:szCs w:val="22"/>
          <w:lang w:val="en-GB" w:eastAsia="en-GB"/>
        </w:rPr>
      </w:pPr>
    </w:p>
    <w:p w14:paraId="1E6BF12D"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assessment requirements for each quarter are set out below: </w:t>
      </w:r>
    </w:p>
    <w:p w14:paraId="2E100F16" w14:textId="77777777" w:rsidR="00691BC3" w:rsidRPr="00262D51" w:rsidRDefault="00691BC3" w:rsidP="00691BC3">
      <w:pPr>
        <w:spacing w:after="160" w:line="259" w:lineRule="auto"/>
        <w:rPr>
          <w:rFonts w:ascii="Arial" w:hAnsi="Arial" w:cs="Arial"/>
          <w:b/>
          <w:bCs/>
          <w:color w:val="000000"/>
          <w:sz w:val="22"/>
          <w:szCs w:val="22"/>
          <w:lang w:eastAsia="en-GB"/>
        </w:rPr>
      </w:pPr>
    </w:p>
    <w:p w14:paraId="391F7A43" w14:textId="77777777" w:rsidR="00691BC3" w:rsidRPr="00262D51" w:rsidRDefault="00691BC3" w:rsidP="00691BC3">
      <w:pPr>
        <w:autoSpaceDE w:val="0"/>
        <w:autoSpaceDN w:val="0"/>
        <w:adjustRightInd w:val="0"/>
        <w:spacing w:before="60" w:after="60" w:line="240" w:lineRule="atLeast"/>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Table 1: Quarters 1, 2 &amp; 3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91BC3" w:rsidRPr="00262D51" w14:paraId="5520CD08"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07A229D2" w14:textId="77777777" w:rsidR="00691BC3" w:rsidRPr="00262D51" w:rsidRDefault="00691BC3"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732B09B8" w14:textId="77777777" w:rsidR="00691BC3" w:rsidRPr="00262D51" w:rsidRDefault="00691BC3" w:rsidP="00632E9E">
            <w:pPr>
              <w:autoSpaceDE w:val="0"/>
              <w:autoSpaceDN w:val="0"/>
              <w:adjustRightInd w:val="0"/>
              <w:spacing w:before="60" w:after="60"/>
              <w:rPr>
                <w:rFonts w:ascii="Arial" w:hAnsi="Arial" w:cs="Arial"/>
                <w:b/>
                <w:bCs/>
                <w:color w:val="000000"/>
                <w:sz w:val="22"/>
                <w:szCs w:val="22"/>
                <w:lang w:eastAsia="en-GB"/>
              </w:rPr>
            </w:pPr>
            <w:r w:rsidRPr="00262D51">
              <w:rPr>
                <w:rFonts w:ascii="Arial" w:hAnsi="Arial" w:cs="Arial"/>
                <w:b/>
                <w:bCs/>
                <w:color w:val="000000"/>
                <w:sz w:val="22"/>
                <w:szCs w:val="22"/>
                <w:lang w:eastAsia="en-GB"/>
              </w:rPr>
              <w:t>Explanation</w:t>
            </w:r>
          </w:p>
        </w:tc>
      </w:tr>
      <w:tr w:rsidR="00691BC3" w:rsidRPr="00262D51" w14:paraId="504D4EB1"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6666890A"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262D51">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06A43C5F"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65ACC607"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at least 95 percent for children at </w:t>
            </w:r>
            <w:r>
              <w:rPr>
                <w:rFonts w:ascii="Arial" w:hAnsi="Arial" w:cs="Arial"/>
                <w:color w:val="000000"/>
                <w:sz w:val="22"/>
                <w:szCs w:val="22"/>
                <w:lang w:eastAsia="en-GB"/>
              </w:rPr>
              <w:t>eight months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w:t>
            </w:r>
          </w:p>
          <w:p w14:paraId="3035D941" w14:textId="77777777" w:rsidR="00691BC3" w:rsidRPr="00262D51" w:rsidRDefault="00691BC3"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the equity gap, if any, between Māori and non-Maori populations is no more than two percent.</w:t>
            </w:r>
          </w:p>
          <w:p w14:paraId="1CDC5CDF" w14:textId="77777777" w:rsidR="00691BC3" w:rsidRPr="00262D51" w:rsidRDefault="00691BC3"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4CE38AB6"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0"/>
                <w:szCs w:val="20"/>
                <w:lang w:eastAsia="en-GB"/>
              </w:rPr>
            </w:pPr>
            <w:r w:rsidRPr="00262D51">
              <w:rPr>
                <w:rFonts w:ascii="Arial" w:hAnsi="Arial" w:cs="Arial"/>
                <w:color w:val="000000"/>
                <w:sz w:val="20"/>
                <w:szCs w:val="20"/>
                <w:lang w:eastAsia="en-GB"/>
              </w:rPr>
              <w:t>Note: Immunisation coverage of less than 9</w:t>
            </w:r>
            <w:r>
              <w:rPr>
                <w:rFonts w:ascii="Arial" w:hAnsi="Arial" w:cs="Arial"/>
                <w:color w:val="000000"/>
                <w:sz w:val="20"/>
                <w:szCs w:val="20"/>
                <w:lang w:eastAsia="en-GB"/>
              </w:rPr>
              <w:t>0</w:t>
            </w:r>
            <w:r w:rsidRPr="00262D51">
              <w:rPr>
                <w:rFonts w:ascii="Arial" w:hAnsi="Arial" w:cs="Arial"/>
                <w:color w:val="000000"/>
                <w:sz w:val="20"/>
                <w:szCs w:val="20"/>
                <w:lang w:eastAsia="en-GB"/>
              </w:rPr>
              <w:t xml:space="preserve"> percent for any one of the priority groups or an equity gap between Māori and non-Māori populations of five percent or more will be rated as Not Achieved regardless of any other results.</w:t>
            </w:r>
          </w:p>
        </w:tc>
      </w:tr>
      <w:tr w:rsidR="00691BC3" w:rsidRPr="00262D51" w14:paraId="6525912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40D0CFB1"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Partially Achieved</w:t>
            </w:r>
          </w:p>
        </w:tc>
        <w:tc>
          <w:tcPr>
            <w:tcW w:w="7380" w:type="dxa"/>
            <w:tcBorders>
              <w:top w:val="single" w:sz="4" w:space="0" w:color="auto"/>
              <w:left w:val="single" w:sz="4" w:space="0" w:color="auto"/>
              <w:bottom w:val="single" w:sz="4" w:space="0" w:color="auto"/>
              <w:right w:val="single" w:sz="4" w:space="0" w:color="auto"/>
            </w:tcBorders>
            <w:hideMark/>
          </w:tcPr>
          <w:p w14:paraId="25BC88A7"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does not meet any criteria for “Not Achieved” and has:</w:t>
            </w:r>
          </w:p>
          <w:p w14:paraId="4CD32FDB"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 xml:space="preserve">immunisation coverage that is between 90 and 94 percent for children at </w:t>
            </w:r>
            <w:r>
              <w:rPr>
                <w:rFonts w:ascii="Arial" w:hAnsi="Arial" w:cs="Arial"/>
                <w:sz w:val="22"/>
                <w:szCs w:val="22"/>
                <w:lang w:val="en-GB" w:eastAsia="en-GB"/>
              </w:rPr>
              <w:t>eight months</w:t>
            </w:r>
            <w:r w:rsidRPr="00262D51">
              <w:rPr>
                <w:rFonts w:ascii="Arial" w:hAnsi="Arial" w:cs="Arial"/>
                <w:sz w:val="22"/>
                <w:szCs w:val="22"/>
                <w:lang w:val="en-GB" w:eastAsia="en-GB"/>
              </w:rPr>
              <w:t xml:space="preserve"> of age for each of the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otal populations, and</w:t>
            </w:r>
          </w:p>
          <w:p w14:paraId="5CDFBF72"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any equity gap between Māori and non-Māori populations is less than five percent</w:t>
            </w:r>
          </w:p>
          <w:p w14:paraId="0EC05EEB"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must provide evidence that they are working towards improvement of immunisation coverage and elimination of equity gaps.</w:t>
            </w:r>
          </w:p>
          <w:p w14:paraId="0506236F"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578A066E"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0"/>
                <w:szCs w:val="20"/>
                <w:lang w:val="en-GB" w:eastAsia="en-GB"/>
              </w:rPr>
            </w:pPr>
            <w:r w:rsidRPr="00262D51">
              <w:rPr>
                <w:rFonts w:ascii="Arial" w:hAnsi="Arial" w:cs="Arial"/>
                <w:sz w:val="20"/>
                <w:szCs w:val="20"/>
                <w:lang w:val="en-GB" w:eastAsia="en-GB"/>
              </w:rPr>
              <w:t xml:space="preserve">Note: Immunisation coverage of less than 90 percent for any one of the priority groups or an equity gap between Māori and non-Māori populations of five percent or more will be rated as Not Achieved regardless of any other results. </w:t>
            </w:r>
          </w:p>
        </w:tc>
      </w:tr>
      <w:tr w:rsidR="00691BC3" w:rsidRPr="00262D51" w14:paraId="300963ED"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6D3DCA1F"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hideMark/>
          </w:tcPr>
          <w:p w14:paraId="7680025E" w14:textId="77777777" w:rsidR="00691BC3" w:rsidRPr="00262D51" w:rsidRDefault="00691BC3"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The DHB has:</w:t>
            </w:r>
          </w:p>
          <w:p w14:paraId="27E7BAC6"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immunisation coverage that is less than 90 percent for children at age </w:t>
            </w:r>
            <w:r>
              <w:rPr>
                <w:rFonts w:ascii="Arial" w:eastAsia="Calibri" w:hAnsi="Arial" w:cs="Arial"/>
                <w:sz w:val="22"/>
                <w:szCs w:val="22"/>
                <w:lang w:val="en-GB" w:eastAsia="en-GB"/>
              </w:rPr>
              <w:t>eight months</w:t>
            </w:r>
            <w:r w:rsidRPr="00262D51">
              <w:rPr>
                <w:rFonts w:ascii="Arial" w:eastAsia="Calibri" w:hAnsi="Arial" w:cs="Arial"/>
                <w:sz w:val="22"/>
                <w:szCs w:val="22"/>
                <w:lang w:val="en-GB" w:eastAsia="en-GB"/>
              </w:rPr>
              <w:t xml:space="preserve"> for any of the Māori, Pacific (where relevant), or </w:t>
            </w:r>
            <w:r>
              <w:rPr>
                <w:rFonts w:ascii="Arial" w:eastAsia="Calibri" w:hAnsi="Arial" w:cs="Arial"/>
                <w:sz w:val="22"/>
                <w:szCs w:val="22"/>
                <w:lang w:val="en-GB" w:eastAsia="en-GB"/>
              </w:rPr>
              <w:t>t</w:t>
            </w:r>
            <w:r w:rsidRPr="00262D51">
              <w:rPr>
                <w:rFonts w:ascii="Arial" w:eastAsia="Calibri" w:hAnsi="Arial" w:cs="Arial"/>
                <w:sz w:val="22"/>
                <w:szCs w:val="22"/>
                <w:lang w:val="en-GB" w:eastAsia="en-GB"/>
              </w:rPr>
              <w:t>otal populations, and/or</w:t>
            </w:r>
          </w:p>
          <w:p w14:paraId="7FF503AF"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an equity gap of five percent or more between Māori and non-Māori populations, and/or </w:t>
            </w:r>
          </w:p>
          <w:p w14:paraId="759B54E5"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not provided an adequate resolution plan to improve coverage and/or eliminate equity gaps.</w:t>
            </w:r>
          </w:p>
          <w:p w14:paraId="6314CD00" w14:textId="77777777" w:rsidR="00691BC3" w:rsidRPr="00262D51" w:rsidRDefault="00691BC3" w:rsidP="00632E9E">
            <w:pPr>
              <w:tabs>
                <w:tab w:val="left" w:pos="720"/>
              </w:tabs>
              <w:overflowPunct w:val="0"/>
              <w:autoSpaceDE w:val="0"/>
              <w:autoSpaceDN w:val="0"/>
              <w:adjustRightInd w:val="0"/>
              <w:spacing w:before="60" w:after="60"/>
              <w:ind w:left="54"/>
              <w:jc w:val="both"/>
              <w:rPr>
                <w:rFonts w:ascii="Arial" w:eastAsia="Calibri" w:hAnsi="Arial" w:cs="Arial"/>
                <w:sz w:val="22"/>
                <w:szCs w:val="22"/>
                <w:lang w:val="en-GB" w:eastAsia="en-GB"/>
              </w:rPr>
            </w:pPr>
          </w:p>
        </w:tc>
      </w:tr>
    </w:tbl>
    <w:p w14:paraId="734B364A" w14:textId="77777777" w:rsidR="00691BC3" w:rsidRPr="00262D51" w:rsidRDefault="00691BC3" w:rsidP="00691BC3">
      <w:pPr>
        <w:autoSpaceDE w:val="0"/>
        <w:autoSpaceDN w:val="0"/>
        <w:adjustRightInd w:val="0"/>
        <w:spacing w:before="60" w:after="60" w:line="240" w:lineRule="atLeast"/>
        <w:jc w:val="both"/>
        <w:rPr>
          <w:rFonts w:ascii="Arial" w:hAnsi="Arial" w:cs="Arial"/>
          <w:b/>
          <w:bCs/>
          <w:color w:val="000000"/>
          <w:sz w:val="22"/>
          <w:szCs w:val="22"/>
          <w:lang w:eastAsia="en-GB"/>
        </w:rPr>
      </w:pPr>
    </w:p>
    <w:p w14:paraId="276EA1C1"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5A40401B"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6DE82139"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7D4F8A9A"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Table 2: Quarter 4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91BC3" w:rsidRPr="00262D51" w14:paraId="40F87C49"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6F8542BC" w14:textId="77777777" w:rsidR="00691BC3" w:rsidRPr="00262D51" w:rsidRDefault="00691BC3"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665E0BD3" w14:textId="77777777" w:rsidR="00691BC3" w:rsidRPr="00262D51" w:rsidRDefault="00691BC3" w:rsidP="00632E9E">
            <w:pPr>
              <w:autoSpaceDE w:val="0"/>
              <w:autoSpaceDN w:val="0"/>
              <w:adjustRightInd w:val="0"/>
              <w:spacing w:before="60" w:after="60"/>
              <w:rPr>
                <w:rFonts w:ascii="Arial" w:hAnsi="Arial" w:cs="Arial"/>
                <w:b/>
                <w:bCs/>
                <w:color w:val="000000"/>
                <w:sz w:val="22"/>
                <w:szCs w:val="22"/>
                <w:lang w:eastAsia="en-GB"/>
              </w:rPr>
            </w:pPr>
            <w:r w:rsidRPr="00262D51">
              <w:rPr>
                <w:rFonts w:ascii="Arial" w:hAnsi="Arial" w:cs="Arial"/>
                <w:b/>
                <w:bCs/>
                <w:color w:val="000000"/>
                <w:sz w:val="22"/>
                <w:szCs w:val="22"/>
                <w:lang w:eastAsia="en-GB"/>
              </w:rPr>
              <w:t>Explanation</w:t>
            </w:r>
          </w:p>
        </w:tc>
      </w:tr>
      <w:tr w:rsidR="00691BC3" w:rsidRPr="00262D51" w14:paraId="7A6381B5"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7C4E62C"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Outstanding Performer</w:t>
            </w:r>
          </w:p>
        </w:tc>
        <w:tc>
          <w:tcPr>
            <w:tcW w:w="7380" w:type="dxa"/>
            <w:tcBorders>
              <w:top w:val="single" w:sz="4" w:space="0" w:color="auto"/>
              <w:left w:val="single" w:sz="4" w:space="0" w:color="auto"/>
              <w:bottom w:val="single" w:sz="4" w:space="0" w:color="auto"/>
              <w:right w:val="single" w:sz="4" w:space="0" w:color="auto"/>
            </w:tcBorders>
            <w:hideMark/>
          </w:tcPr>
          <w:p w14:paraId="77BEDDCE"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70500E09"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95 percent for children at </w:t>
            </w:r>
            <w:r>
              <w:rPr>
                <w:rFonts w:ascii="Arial" w:hAnsi="Arial" w:cs="Arial"/>
                <w:color w:val="000000"/>
                <w:sz w:val="22"/>
                <w:szCs w:val="22"/>
                <w:lang w:eastAsia="en-GB"/>
              </w:rPr>
              <w:t>eight months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 consistently through the year</w:t>
            </w:r>
          </w:p>
          <w:p w14:paraId="4A37662E"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no equity gap between Māori and non-Māori populations.</w:t>
            </w:r>
          </w:p>
          <w:p w14:paraId="4A57D6BD" w14:textId="77777777" w:rsidR="00691BC3" w:rsidRPr="00262D51" w:rsidRDefault="00691BC3" w:rsidP="00632E9E">
            <w:pPr>
              <w:autoSpaceDE w:val="0"/>
              <w:autoSpaceDN w:val="0"/>
              <w:adjustRightInd w:val="0"/>
              <w:spacing w:before="120" w:after="120" w:line="240" w:lineRule="atLeast"/>
              <w:ind w:left="735"/>
              <w:contextualSpacing/>
              <w:rPr>
                <w:rFonts w:ascii="Arial" w:hAnsi="Arial" w:cs="Arial"/>
                <w:color w:val="000000"/>
                <w:sz w:val="22"/>
                <w:szCs w:val="22"/>
                <w:lang w:eastAsia="en-GB"/>
              </w:rPr>
            </w:pPr>
          </w:p>
          <w:p w14:paraId="26D5FD4F" w14:textId="77777777" w:rsidR="00691BC3" w:rsidRPr="00262D51" w:rsidRDefault="00691BC3" w:rsidP="00632E9E">
            <w:pPr>
              <w:autoSpaceDE w:val="0"/>
              <w:autoSpaceDN w:val="0"/>
              <w:adjustRightInd w:val="0"/>
              <w:spacing w:before="120" w:after="120" w:line="240" w:lineRule="atLeast"/>
              <w:rPr>
                <w:rFonts w:ascii="Arial" w:hAnsi="Arial" w:cs="Arial"/>
                <w:color w:val="000000"/>
                <w:sz w:val="20"/>
                <w:szCs w:val="20"/>
                <w:lang w:eastAsia="en-GB"/>
              </w:rPr>
            </w:pPr>
            <w:r w:rsidRPr="00262D51">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304AF812"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5673FDEE"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262D51">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3AE172FF"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76056AD0"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at least 95 percent for children at </w:t>
            </w:r>
            <w:r>
              <w:rPr>
                <w:rFonts w:ascii="Arial" w:hAnsi="Arial" w:cs="Arial"/>
                <w:color w:val="000000"/>
                <w:sz w:val="22"/>
                <w:szCs w:val="22"/>
                <w:lang w:eastAsia="en-GB"/>
              </w:rPr>
              <w:t>eight months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w:t>
            </w:r>
          </w:p>
          <w:p w14:paraId="48DFA705" w14:textId="77777777" w:rsidR="00691BC3" w:rsidRPr="00262D51" w:rsidRDefault="00691BC3"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the equity gap, if any, between Māori and non-Maori populations is no more than two percent.</w:t>
            </w:r>
          </w:p>
          <w:p w14:paraId="47175597" w14:textId="77777777" w:rsidR="00691BC3" w:rsidRPr="00262D51" w:rsidRDefault="00691BC3"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653B5579" w14:textId="77777777" w:rsidR="00691BC3" w:rsidRPr="00262D51" w:rsidRDefault="00691BC3" w:rsidP="00632E9E">
            <w:pPr>
              <w:autoSpaceDE w:val="0"/>
              <w:autoSpaceDN w:val="0"/>
              <w:adjustRightInd w:val="0"/>
              <w:spacing w:before="60" w:after="60" w:line="240" w:lineRule="atLeast"/>
              <w:ind w:left="15"/>
              <w:rPr>
                <w:rFonts w:ascii="Arial" w:hAnsi="Arial" w:cs="Arial"/>
                <w:color w:val="000000"/>
                <w:sz w:val="22"/>
                <w:szCs w:val="22"/>
                <w:lang w:eastAsia="en-GB"/>
              </w:rPr>
            </w:pPr>
            <w:r w:rsidRPr="00262D51">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7A83C879"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471BA0B5"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Partially Achieved</w:t>
            </w:r>
          </w:p>
        </w:tc>
        <w:tc>
          <w:tcPr>
            <w:tcW w:w="7380" w:type="dxa"/>
            <w:tcBorders>
              <w:top w:val="single" w:sz="4" w:space="0" w:color="auto"/>
              <w:left w:val="single" w:sz="4" w:space="0" w:color="auto"/>
              <w:bottom w:val="single" w:sz="4" w:space="0" w:color="auto"/>
              <w:right w:val="single" w:sz="4" w:space="0" w:color="auto"/>
            </w:tcBorders>
          </w:tcPr>
          <w:p w14:paraId="09F11540"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does not meet any criteria for “Not Achieved” and has:</w:t>
            </w:r>
          </w:p>
          <w:p w14:paraId="00C8F565"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 xml:space="preserve">immunisation coverage that is between 90 and 94 percent for children at </w:t>
            </w:r>
            <w:r>
              <w:rPr>
                <w:rFonts w:ascii="Arial" w:hAnsi="Arial" w:cs="Arial"/>
                <w:sz w:val="22"/>
                <w:szCs w:val="22"/>
                <w:lang w:val="en-GB" w:eastAsia="en-GB"/>
              </w:rPr>
              <w:t>eight months</w:t>
            </w:r>
            <w:r w:rsidRPr="00262D51">
              <w:rPr>
                <w:rFonts w:ascii="Arial" w:hAnsi="Arial" w:cs="Arial"/>
                <w:sz w:val="22"/>
                <w:szCs w:val="22"/>
                <w:lang w:val="en-GB" w:eastAsia="en-GB"/>
              </w:rPr>
              <w:t xml:space="preserve"> of age for each of the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otal populations, and</w:t>
            </w:r>
          </w:p>
          <w:p w14:paraId="387ADF8F"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any equity gap between Māori and non-Māori populations is less than five percent</w:t>
            </w:r>
          </w:p>
          <w:p w14:paraId="5CDF4FCF"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must provide evidence that they are working towards improvement of immunisation coverage and elimination of equity gaps.</w:t>
            </w:r>
          </w:p>
          <w:p w14:paraId="7E059BDA"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3838EA5D"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0"/>
                <w:szCs w:val="20"/>
                <w:lang w:val="en-GB"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204A4CA7"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2CAED03B"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tcPr>
          <w:p w14:paraId="49772E17" w14:textId="77777777" w:rsidR="00691BC3" w:rsidRPr="00262D51" w:rsidRDefault="00691BC3"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The DHB has:</w:t>
            </w:r>
          </w:p>
          <w:p w14:paraId="7C300D35"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immunisation coverage that is less than 90 percent for children at age </w:t>
            </w:r>
            <w:r>
              <w:rPr>
                <w:rFonts w:ascii="Arial" w:eastAsia="Calibri" w:hAnsi="Arial" w:cs="Arial"/>
                <w:sz w:val="22"/>
                <w:szCs w:val="22"/>
                <w:lang w:val="en-GB" w:eastAsia="en-GB"/>
              </w:rPr>
              <w:t>eight months</w:t>
            </w:r>
            <w:r w:rsidRPr="00262D51">
              <w:rPr>
                <w:rFonts w:ascii="Arial" w:eastAsia="Calibri" w:hAnsi="Arial" w:cs="Arial"/>
                <w:sz w:val="22"/>
                <w:szCs w:val="22"/>
                <w:lang w:val="en-GB" w:eastAsia="en-GB"/>
              </w:rPr>
              <w:t xml:space="preserve"> for any of the Māori, Pacific (where relevant), or </w:t>
            </w:r>
            <w:r>
              <w:rPr>
                <w:rFonts w:ascii="Arial" w:eastAsia="Calibri" w:hAnsi="Arial" w:cs="Arial"/>
                <w:sz w:val="22"/>
                <w:szCs w:val="22"/>
                <w:lang w:val="en-GB" w:eastAsia="en-GB"/>
              </w:rPr>
              <w:t>t</w:t>
            </w:r>
            <w:r w:rsidRPr="00262D51">
              <w:rPr>
                <w:rFonts w:ascii="Arial" w:eastAsia="Calibri" w:hAnsi="Arial" w:cs="Arial"/>
                <w:sz w:val="22"/>
                <w:szCs w:val="22"/>
                <w:lang w:val="en-GB" w:eastAsia="en-GB"/>
              </w:rPr>
              <w:t>otal populations, and/or</w:t>
            </w:r>
          </w:p>
          <w:p w14:paraId="5A7796D3"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an equity gap of five percent or more between Māori and non-Māori populations, and/or </w:t>
            </w:r>
          </w:p>
          <w:p w14:paraId="38E1FE23"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not provided an adequate resolution plan to improve coverage and/or eliminate equity gaps.</w:t>
            </w:r>
          </w:p>
          <w:p w14:paraId="50DF4441"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tc>
      </w:tr>
    </w:tbl>
    <w:p w14:paraId="5D6B70BE" w14:textId="77777777" w:rsidR="00691BC3" w:rsidRPr="00262D51" w:rsidRDefault="00691BC3" w:rsidP="00691BC3">
      <w:pPr>
        <w:autoSpaceDE w:val="0"/>
        <w:autoSpaceDN w:val="0"/>
        <w:adjustRightInd w:val="0"/>
        <w:spacing w:before="60" w:after="60" w:line="240" w:lineRule="atLeast"/>
        <w:jc w:val="both"/>
        <w:rPr>
          <w:rFonts w:ascii="Arial" w:hAnsi="Arial" w:cs="Arial"/>
          <w:b/>
          <w:bCs/>
          <w:color w:val="000000"/>
          <w:sz w:val="22"/>
          <w:szCs w:val="22"/>
          <w:lang w:eastAsia="en-GB"/>
        </w:rPr>
      </w:pPr>
    </w:p>
    <w:p w14:paraId="7DD10D33" w14:textId="77777777" w:rsidR="00691BC3" w:rsidRPr="00D66AF5" w:rsidRDefault="00691BC3" w:rsidP="00691BC3">
      <w:pPr>
        <w:shd w:val="clear" w:color="auto" w:fill="FFFFFF"/>
        <w:spacing w:before="120" w:after="120"/>
        <w:contextualSpacing/>
        <w:jc w:val="both"/>
        <w:rPr>
          <w:rFonts w:ascii="Arial" w:hAnsi="Arial" w:cs="Arial"/>
          <w:b/>
          <w:sz w:val="22"/>
          <w:szCs w:val="22"/>
        </w:rPr>
      </w:pPr>
    </w:p>
    <w:p w14:paraId="459851B3" w14:textId="77777777" w:rsidR="004B277A" w:rsidRDefault="004B277A" w:rsidP="00691BC3">
      <w:pPr>
        <w:shd w:val="clear" w:color="auto" w:fill="FFFFFF"/>
        <w:spacing w:before="60" w:after="60"/>
        <w:jc w:val="both"/>
        <w:rPr>
          <w:rFonts w:ascii="Arial" w:hAnsi="Arial" w:cs="Arial"/>
          <w:b/>
          <w:sz w:val="28"/>
          <w:szCs w:val="28"/>
          <w:lang w:val="en-GB"/>
        </w:rPr>
      </w:pPr>
    </w:p>
    <w:p w14:paraId="33250F5E" w14:textId="77777777" w:rsidR="007F5CA8" w:rsidRDefault="007F5CA8" w:rsidP="00691BC3">
      <w:pPr>
        <w:shd w:val="clear" w:color="auto" w:fill="FFFFFF"/>
        <w:spacing w:before="60" w:after="60"/>
        <w:jc w:val="both"/>
        <w:rPr>
          <w:rFonts w:ascii="Arial" w:hAnsi="Arial" w:cs="Arial"/>
          <w:b/>
          <w:sz w:val="28"/>
          <w:szCs w:val="28"/>
          <w:lang w:val="en-GB"/>
        </w:rPr>
      </w:pPr>
    </w:p>
    <w:p w14:paraId="57F4581C" w14:textId="74671F34" w:rsidR="00691BC3" w:rsidRPr="00262D51" w:rsidRDefault="00691BC3" w:rsidP="00691BC3">
      <w:pPr>
        <w:shd w:val="clear" w:color="auto" w:fill="FFFFFF"/>
        <w:spacing w:before="60" w:after="60"/>
        <w:jc w:val="both"/>
        <w:rPr>
          <w:rFonts w:ascii="Arial" w:hAnsi="Arial" w:cs="Arial"/>
          <w:b/>
          <w:sz w:val="28"/>
          <w:szCs w:val="28"/>
        </w:rPr>
      </w:pPr>
      <w:r>
        <w:rPr>
          <w:rFonts w:ascii="Arial" w:hAnsi="Arial" w:cs="Arial"/>
          <w:b/>
          <w:sz w:val="28"/>
          <w:szCs w:val="28"/>
          <w:lang w:val="en-GB"/>
        </w:rPr>
        <w:lastRenderedPageBreak/>
        <w:t>Focus area 2</w:t>
      </w:r>
      <w:r w:rsidRPr="00262D51">
        <w:rPr>
          <w:rFonts w:ascii="Arial" w:hAnsi="Arial" w:cs="Arial"/>
          <w:b/>
          <w:sz w:val="28"/>
          <w:szCs w:val="28"/>
          <w:lang w:val="en-GB"/>
        </w:rPr>
        <w:t>:</w:t>
      </w:r>
      <w:r>
        <w:rPr>
          <w:rFonts w:ascii="Arial" w:hAnsi="Arial" w:cs="Arial"/>
          <w:b/>
          <w:color w:val="000000"/>
          <w:sz w:val="28"/>
          <w:szCs w:val="28"/>
        </w:rPr>
        <w:t xml:space="preserve"> 5-year</w:t>
      </w:r>
      <w:r w:rsidRPr="00262D51">
        <w:rPr>
          <w:rFonts w:ascii="Arial" w:hAnsi="Arial" w:cs="Arial"/>
          <w:b/>
          <w:color w:val="000000"/>
          <w:sz w:val="28"/>
          <w:szCs w:val="28"/>
        </w:rPr>
        <w:t>-old immunisation coverage</w:t>
      </w:r>
      <w:r w:rsidRPr="00262D51">
        <w:rPr>
          <w:rFonts w:ascii="Arial" w:hAnsi="Arial" w:cs="Arial"/>
          <w:b/>
          <w:sz w:val="28"/>
          <w:szCs w:val="28"/>
        </w:rPr>
        <w:t xml:space="preserve"> </w:t>
      </w:r>
    </w:p>
    <w:p w14:paraId="53E50A4E" w14:textId="77777777" w:rsidR="00691BC3" w:rsidRDefault="00691BC3" w:rsidP="00691BC3">
      <w:pPr>
        <w:rPr>
          <w:rFonts w:ascii="Arial" w:hAnsi="Arial" w:cs="Times"/>
          <w:b/>
          <w:sz w:val="22"/>
          <w:szCs w:val="22"/>
          <w:u w:val="single"/>
          <w:lang w:eastAsia="en-GB"/>
        </w:rPr>
      </w:pPr>
    </w:p>
    <w:p w14:paraId="14C92DE7" w14:textId="77777777" w:rsidR="00691BC3" w:rsidRPr="00262D51" w:rsidRDefault="00691BC3" w:rsidP="00691BC3">
      <w:pPr>
        <w:rPr>
          <w:rFonts w:ascii="Arial" w:hAnsi="Arial" w:cs="Times"/>
          <w:b/>
          <w:sz w:val="22"/>
          <w:szCs w:val="22"/>
          <w:lang w:eastAsia="en-GB"/>
        </w:rPr>
      </w:pPr>
      <w:r w:rsidRPr="00262D51">
        <w:rPr>
          <w:rFonts w:ascii="Arial" w:hAnsi="Arial" w:cs="Times"/>
          <w:b/>
          <w:sz w:val="22"/>
          <w:szCs w:val="22"/>
          <w:lang w:eastAsia="en-GB"/>
        </w:rPr>
        <w:t>Deliverable definition</w:t>
      </w:r>
    </w:p>
    <w:p w14:paraId="04F2A90D" w14:textId="77777777" w:rsidR="00691BC3" w:rsidRDefault="00691BC3" w:rsidP="00691BC3">
      <w:pPr>
        <w:rPr>
          <w:rFonts w:ascii="Arial" w:hAnsi="Arial" w:cs="Times"/>
          <w:b/>
          <w:sz w:val="22"/>
          <w:szCs w:val="22"/>
          <w:u w:val="single"/>
          <w:lang w:eastAsia="en-GB"/>
        </w:rPr>
      </w:pPr>
    </w:p>
    <w:p w14:paraId="6C4BF8B0" w14:textId="77777777" w:rsidR="00691BC3" w:rsidRPr="00262D51" w:rsidRDefault="00691BC3" w:rsidP="00691BC3">
      <w:pPr>
        <w:rPr>
          <w:rFonts w:ascii="Arial" w:hAnsi="Arial" w:cs="Times"/>
          <w:b/>
          <w:sz w:val="22"/>
          <w:szCs w:val="22"/>
          <w:u w:val="single"/>
          <w:lang w:eastAsia="en-GB"/>
        </w:rPr>
      </w:pPr>
      <w:r w:rsidRPr="00262D51">
        <w:rPr>
          <w:rFonts w:ascii="Arial" w:hAnsi="Arial" w:cs="Times"/>
          <w:b/>
          <w:sz w:val="22"/>
          <w:szCs w:val="22"/>
          <w:u w:val="single"/>
          <w:lang w:eastAsia="en-GB"/>
        </w:rPr>
        <w:t xml:space="preserve">Percentage of eligible children fully immunised at </w:t>
      </w:r>
      <w:r>
        <w:rPr>
          <w:rFonts w:ascii="Arial" w:hAnsi="Arial" w:cs="Times"/>
          <w:b/>
          <w:sz w:val="22"/>
          <w:szCs w:val="22"/>
          <w:u w:val="single"/>
          <w:lang w:eastAsia="en-GB"/>
        </w:rPr>
        <w:t>five years</w:t>
      </w:r>
      <w:r w:rsidRPr="00262D51">
        <w:rPr>
          <w:rFonts w:ascii="Arial" w:hAnsi="Arial" w:cs="Times"/>
          <w:b/>
          <w:sz w:val="22"/>
          <w:szCs w:val="22"/>
          <w:u w:val="single"/>
          <w:lang w:eastAsia="en-GB"/>
        </w:rPr>
        <w:t xml:space="preserve"> of age for Māori, Pacific (where relevant), and Total populations</w:t>
      </w:r>
    </w:p>
    <w:p w14:paraId="39907525" w14:textId="77777777" w:rsidR="00691BC3" w:rsidRPr="00262D51" w:rsidRDefault="00691BC3" w:rsidP="00691BC3">
      <w:pPr>
        <w:rPr>
          <w:rFonts w:ascii="Arial" w:hAnsi="Arial" w:cs="Times"/>
          <w:b/>
          <w:sz w:val="22"/>
          <w:szCs w:val="22"/>
          <w:lang w:eastAsia="en-GB"/>
        </w:rPr>
      </w:pPr>
    </w:p>
    <w:p w14:paraId="75EAD3FF"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expectation of this measure is that DHBs will provide equitable immunisation coverage across their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 xml:space="preserve">otal populations measured at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aiming at coverage of 95 percent for each group. Equitable coverage will be defined as an equity gap of no more than two percent between Māori and non-Māori populations; this margin allows for data variability when DHB’s have a small Māori cohort. Additionally for Pacific-priority DHBs, the expectation is that coverage for the Pacific population will be the same or higher than that of the </w:t>
      </w:r>
      <w:r>
        <w:rPr>
          <w:rFonts w:ascii="Arial" w:hAnsi="Arial" w:cs="Arial"/>
          <w:sz w:val="22"/>
          <w:szCs w:val="22"/>
          <w:lang w:val="en-GB" w:eastAsia="en-GB"/>
        </w:rPr>
        <w:t>t</w:t>
      </w:r>
      <w:r w:rsidRPr="00262D51">
        <w:rPr>
          <w:rFonts w:ascii="Arial" w:hAnsi="Arial" w:cs="Arial"/>
          <w:sz w:val="22"/>
          <w:szCs w:val="22"/>
          <w:lang w:val="en-GB" w:eastAsia="en-GB"/>
        </w:rPr>
        <w:t xml:space="preserve">otal population. </w:t>
      </w:r>
    </w:p>
    <w:p w14:paraId="4CD3C962" w14:textId="77777777" w:rsidR="00691BC3" w:rsidRPr="00262D51" w:rsidRDefault="00691BC3" w:rsidP="00691BC3">
      <w:pPr>
        <w:jc w:val="both"/>
        <w:rPr>
          <w:rFonts w:ascii="Arial" w:hAnsi="Arial" w:cs="Arial"/>
          <w:bCs/>
          <w:iCs/>
          <w:sz w:val="22"/>
          <w:szCs w:val="22"/>
          <w:lang w:eastAsia="en-GB"/>
        </w:rPr>
      </w:pPr>
    </w:p>
    <w:p w14:paraId="73E1963B" w14:textId="77777777" w:rsidR="00691BC3" w:rsidRPr="00262D51" w:rsidRDefault="00691BC3" w:rsidP="00691BC3">
      <w:pPr>
        <w:rPr>
          <w:rFonts w:ascii="Arial" w:hAnsi="Arial" w:cs="Arial"/>
          <w:bCs/>
          <w:iCs/>
          <w:sz w:val="22"/>
          <w:szCs w:val="22"/>
          <w:lang w:eastAsia="en-GB"/>
        </w:rPr>
      </w:pPr>
      <w:r w:rsidRPr="00262D51">
        <w:rPr>
          <w:rFonts w:ascii="Arial" w:hAnsi="Arial" w:cs="Arial"/>
          <w:bCs/>
          <w:iCs/>
          <w:sz w:val="22"/>
          <w:szCs w:val="22"/>
          <w:lang w:eastAsia="en-GB"/>
        </w:rPr>
        <w:t xml:space="preserve">Immunisation coverage for </w:t>
      </w:r>
      <w:r>
        <w:rPr>
          <w:rFonts w:ascii="Arial" w:hAnsi="Arial" w:cs="Arial"/>
          <w:bCs/>
          <w:iCs/>
          <w:sz w:val="22"/>
          <w:szCs w:val="22"/>
          <w:lang w:eastAsia="en-GB"/>
        </w:rPr>
        <w:t>five-year</w:t>
      </w:r>
      <w:r w:rsidRPr="00262D51">
        <w:rPr>
          <w:rFonts w:ascii="Arial" w:hAnsi="Arial" w:cs="Arial"/>
          <w:bCs/>
          <w:iCs/>
          <w:sz w:val="22"/>
          <w:szCs w:val="22"/>
          <w:lang w:eastAsia="en-GB"/>
        </w:rPr>
        <w:t xml:space="preserve">-olds will be measured quarterly and reported by ethnicity and deprivation level. Coverage is calculated as the percentage of children who turned </w:t>
      </w:r>
      <w:r>
        <w:rPr>
          <w:rFonts w:ascii="Arial" w:hAnsi="Arial" w:cs="Arial"/>
          <w:bCs/>
          <w:iCs/>
          <w:sz w:val="22"/>
          <w:szCs w:val="22"/>
          <w:lang w:eastAsia="en-GB"/>
        </w:rPr>
        <w:t>five years</w:t>
      </w:r>
      <w:r w:rsidRPr="00262D51">
        <w:rPr>
          <w:rFonts w:ascii="Arial" w:hAnsi="Arial" w:cs="Arial"/>
          <w:bCs/>
          <w:iCs/>
          <w:sz w:val="22"/>
          <w:szCs w:val="22"/>
          <w:lang w:eastAsia="en-GB"/>
        </w:rPr>
        <w:t xml:space="preserve"> of age during the quarter who are recorded as fully immunised for age on the National Immunisation Register (NIR), including all scheduled vaccines due between birth and age </w:t>
      </w:r>
      <w:r>
        <w:rPr>
          <w:rFonts w:ascii="Arial" w:hAnsi="Arial" w:cs="Arial"/>
          <w:bCs/>
          <w:iCs/>
          <w:sz w:val="22"/>
          <w:szCs w:val="22"/>
          <w:lang w:eastAsia="en-GB"/>
        </w:rPr>
        <w:t>five years</w:t>
      </w:r>
      <w:r w:rsidRPr="00262D51">
        <w:rPr>
          <w:rFonts w:ascii="Arial" w:hAnsi="Arial" w:cs="Arial"/>
          <w:bCs/>
          <w:iCs/>
          <w:sz w:val="22"/>
          <w:szCs w:val="22"/>
          <w:lang w:eastAsia="en-GB"/>
        </w:rPr>
        <w:t xml:space="preserve">. </w:t>
      </w:r>
    </w:p>
    <w:p w14:paraId="304D4946" w14:textId="77777777" w:rsidR="00691BC3" w:rsidRPr="00262D51" w:rsidRDefault="00691BC3" w:rsidP="00691BC3">
      <w:pPr>
        <w:jc w:val="both"/>
        <w:rPr>
          <w:rFonts w:ascii="Arial" w:hAnsi="Arial" w:cs="Arial"/>
          <w:bCs/>
          <w:iCs/>
          <w:sz w:val="22"/>
          <w:szCs w:val="22"/>
          <w:lang w:eastAsia="en-GB"/>
        </w:rPr>
      </w:pPr>
    </w:p>
    <w:p w14:paraId="2000D561" w14:textId="77777777" w:rsidR="00691BC3" w:rsidRPr="00262D51" w:rsidRDefault="00691BC3" w:rsidP="00691BC3">
      <w:pPr>
        <w:rPr>
          <w:rFonts w:ascii="Arial" w:hAnsi="Arial" w:cs="Times"/>
          <w:b/>
          <w:szCs w:val="22"/>
          <w:lang w:eastAsia="en-GB"/>
        </w:rPr>
      </w:pPr>
      <w:r w:rsidRPr="00262D51">
        <w:rPr>
          <w:rFonts w:ascii="Arial" w:hAnsi="Arial" w:cs="Times"/>
          <w:b/>
          <w:szCs w:val="22"/>
          <w:lang w:eastAsia="en-GB"/>
        </w:rPr>
        <w:t>Assessment of coverage</w:t>
      </w:r>
      <w:r w:rsidRPr="00262D51">
        <w:rPr>
          <w:rFonts w:ascii="Arial" w:hAnsi="Arial" w:cs="Times"/>
          <w:b/>
          <w:szCs w:val="22"/>
          <w:lang w:eastAsia="en-GB"/>
        </w:rPr>
        <w:br/>
      </w:r>
    </w:p>
    <w:p w14:paraId="5B06A0A3" w14:textId="77777777" w:rsidR="00691BC3" w:rsidRPr="00262D51" w:rsidRDefault="00691BC3" w:rsidP="00691BC3">
      <w:pPr>
        <w:rPr>
          <w:rFonts w:ascii="Arial" w:hAnsi="Arial" w:cs="Arial"/>
          <w:bCs/>
          <w:iCs/>
          <w:sz w:val="22"/>
          <w:szCs w:val="22"/>
          <w:lang w:eastAsia="en-GB"/>
        </w:rPr>
      </w:pPr>
      <w:r w:rsidRPr="00262D51">
        <w:rPr>
          <w:rFonts w:ascii="Arial" w:hAnsi="Arial" w:cs="Arial"/>
          <w:bCs/>
          <w:iCs/>
          <w:sz w:val="22"/>
          <w:szCs w:val="22"/>
          <w:lang w:eastAsia="en-GB"/>
        </w:rPr>
        <w:t xml:space="preserve">Immunisation coverage for </w:t>
      </w:r>
      <w:r>
        <w:rPr>
          <w:rFonts w:ascii="Arial" w:hAnsi="Arial" w:cs="Arial"/>
          <w:bCs/>
          <w:iCs/>
          <w:sz w:val="22"/>
          <w:szCs w:val="22"/>
          <w:lang w:eastAsia="en-GB"/>
        </w:rPr>
        <w:t>five-year</w:t>
      </w:r>
      <w:r w:rsidRPr="00262D51">
        <w:rPr>
          <w:rFonts w:ascii="Arial" w:hAnsi="Arial" w:cs="Arial"/>
          <w:bCs/>
          <w:iCs/>
          <w:sz w:val="22"/>
          <w:szCs w:val="22"/>
          <w:lang w:eastAsia="en-GB"/>
        </w:rPr>
        <w:t>-olds will be measured using the following the National Immunisation Register (NIR) DataMart report:</w:t>
      </w:r>
    </w:p>
    <w:tbl>
      <w:tblPr>
        <w:tblStyle w:val="TableGrid"/>
        <w:tblW w:w="0" w:type="auto"/>
        <w:tblLook w:val="04A0" w:firstRow="1" w:lastRow="0" w:firstColumn="1" w:lastColumn="0" w:noHBand="0" w:noVBand="1"/>
      </w:tblPr>
      <w:tblGrid>
        <w:gridCol w:w="4508"/>
        <w:gridCol w:w="4508"/>
      </w:tblGrid>
      <w:tr w:rsidR="00691BC3" w:rsidRPr="00262D51" w14:paraId="3BB99E4B" w14:textId="77777777" w:rsidTr="00632E9E">
        <w:tc>
          <w:tcPr>
            <w:tcW w:w="9016" w:type="dxa"/>
            <w:gridSpan w:val="2"/>
          </w:tcPr>
          <w:p w14:paraId="284D621C" w14:textId="77777777" w:rsidR="00691BC3" w:rsidRPr="00262D51" w:rsidRDefault="00691BC3" w:rsidP="00632E9E">
            <w:pPr>
              <w:rPr>
                <w:rFonts w:ascii="Arial" w:eastAsiaTheme="minorHAnsi" w:hAnsi="Arial" w:cs="Arial"/>
                <w:b/>
                <w:sz w:val="20"/>
                <w:szCs w:val="20"/>
                <w:lang w:eastAsia="en-GB"/>
              </w:rPr>
            </w:pPr>
            <w:r w:rsidRPr="00262D51">
              <w:rPr>
                <w:rFonts w:ascii="Arial" w:eastAsiaTheme="minorHAnsi" w:hAnsi="Arial" w:cs="Arial"/>
                <w:b/>
                <w:sz w:val="20"/>
                <w:szCs w:val="20"/>
                <w:lang w:eastAsia="en-GB"/>
              </w:rPr>
              <w:t xml:space="preserve">Reporting parameters for immunisation measure at age </w:t>
            </w:r>
            <w:r>
              <w:rPr>
                <w:rFonts w:ascii="Arial" w:eastAsiaTheme="minorHAnsi" w:hAnsi="Arial" w:cs="Arial"/>
                <w:b/>
                <w:sz w:val="20"/>
                <w:szCs w:val="20"/>
                <w:lang w:eastAsia="en-GB"/>
              </w:rPr>
              <w:t>five years</w:t>
            </w:r>
          </w:p>
        </w:tc>
      </w:tr>
      <w:tr w:rsidR="00691BC3" w:rsidRPr="00262D51" w14:paraId="2F448CC6" w14:textId="77777777" w:rsidTr="00632E9E">
        <w:tc>
          <w:tcPr>
            <w:tcW w:w="4508" w:type="dxa"/>
          </w:tcPr>
          <w:p w14:paraId="5AFA8015"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Reporting platform</w:t>
            </w:r>
          </w:p>
        </w:tc>
        <w:tc>
          <w:tcPr>
            <w:tcW w:w="4508" w:type="dxa"/>
          </w:tcPr>
          <w:p w14:paraId="5710817D"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Qlik Sense</w:t>
            </w:r>
          </w:p>
        </w:tc>
      </w:tr>
      <w:tr w:rsidR="00691BC3" w:rsidRPr="00262D51" w14:paraId="760C5EB4" w14:textId="77777777" w:rsidTr="00632E9E">
        <w:tc>
          <w:tcPr>
            <w:tcW w:w="4508" w:type="dxa"/>
          </w:tcPr>
          <w:p w14:paraId="73D96523"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Report name</w:t>
            </w:r>
          </w:p>
        </w:tc>
        <w:tc>
          <w:tcPr>
            <w:tcW w:w="4508" w:type="dxa"/>
          </w:tcPr>
          <w:p w14:paraId="7609EE6A"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Child immunisation coverage by milestone</w:t>
            </w:r>
          </w:p>
        </w:tc>
      </w:tr>
      <w:tr w:rsidR="00691BC3" w:rsidRPr="00262D51" w14:paraId="65DD8123" w14:textId="77777777" w:rsidTr="00632E9E">
        <w:tc>
          <w:tcPr>
            <w:tcW w:w="4508" w:type="dxa"/>
          </w:tcPr>
          <w:p w14:paraId="539A0584"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Report end date</w:t>
            </w:r>
          </w:p>
        </w:tc>
        <w:tc>
          <w:tcPr>
            <w:tcW w:w="4508" w:type="dxa"/>
          </w:tcPr>
          <w:p w14:paraId="56D288F8"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Last day of the relevant quarter</w:t>
            </w:r>
          </w:p>
        </w:tc>
      </w:tr>
      <w:tr w:rsidR="00691BC3" w:rsidRPr="00262D51" w14:paraId="1F2CB8A7" w14:textId="77777777" w:rsidTr="00632E9E">
        <w:tc>
          <w:tcPr>
            <w:tcW w:w="4508" w:type="dxa"/>
          </w:tcPr>
          <w:p w14:paraId="7DAFFCE5"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Reporting period</w:t>
            </w:r>
          </w:p>
        </w:tc>
        <w:tc>
          <w:tcPr>
            <w:tcW w:w="4508" w:type="dxa"/>
          </w:tcPr>
          <w:p w14:paraId="6385CD95"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Last three months</w:t>
            </w:r>
          </w:p>
        </w:tc>
      </w:tr>
      <w:tr w:rsidR="00691BC3" w:rsidRPr="00262D51" w14:paraId="1D402E4D" w14:textId="77777777" w:rsidTr="00632E9E">
        <w:tc>
          <w:tcPr>
            <w:tcW w:w="4508" w:type="dxa"/>
          </w:tcPr>
          <w:p w14:paraId="11B4AB3F" w14:textId="77777777" w:rsidR="00691BC3" w:rsidRPr="00262D51" w:rsidRDefault="00691BC3" w:rsidP="00632E9E">
            <w:pPr>
              <w:rPr>
                <w:rFonts w:ascii="Arial" w:eastAsiaTheme="minorHAnsi" w:hAnsi="Arial" w:cs="Arial"/>
                <w:sz w:val="20"/>
                <w:szCs w:val="20"/>
                <w:lang w:eastAsia="en-GB"/>
              </w:rPr>
            </w:pPr>
            <w:r w:rsidRPr="00262D51">
              <w:rPr>
                <w:rFonts w:ascii="Arial" w:eastAsiaTheme="minorHAnsi" w:hAnsi="Arial" w:cs="Arial"/>
                <w:sz w:val="20"/>
                <w:szCs w:val="20"/>
                <w:lang w:eastAsia="en-GB"/>
              </w:rPr>
              <w:t>Milestone age</w:t>
            </w:r>
          </w:p>
        </w:tc>
        <w:tc>
          <w:tcPr>
            <w:tcW w:w="4508" w:type="dxa"/>
          </w:tcPr>
          <w:p w14:paraId="5B1A5BCA" w14:textId="77777777" w:rsidR="00691BC3" w:rsidRPr="00262D51" w:rsidRDefault="00691BC3" w:rsidP="00632E9E">
            <w:pPr>
              <w:rPr>
                <w:rFonts w:ascii="Arial" w:eastAsiaTheme="minorHAnsi" w:hAnsi="Arial" w:cs="Arial"/>
                <w:sz w:val="20"/>
                <w:szCs w:val="20"/>
                <w:lang w:eastAsia="en-GB"/>
              </w:rPr>
            </w:pPr>
            <w:r>
              <w:rPr>
                <w:rFonts w:ascii="Arial" w:eastAsiaTheme="minorHAnsi" w:hAnsi="Arial" w:cs="Arial"/>
                <w:sz w:val="20"/>
                <w:szCs w:val="20"/>
                <w:lang w:eastAsia="en-GB"/>
              </w:rPr>
              <w:t>Five years</w:t>
            </w:r>
          </w:p>
        </w:tc>
      </w:tr>
    </w:tbl>
    <w:p w14:paraId="423CF240" w14:textId="77777777" w:rsidR="00691BC3" w:rsidRPr="00262D51" w:rsidRDefault="00691BC3" w:rsidP="00691BC3">
      <w:pPr>
        <w:autoSpaceDE w:val="0"/>
        <w:autoSpaceDN w:val="0"/>
        <w:adjustRightInd w:val="0"/>
        <w:spacing w:before="120" w:after="120"/>
        <w:jc w:val="both"/>
        <w:rPr>
          <w:rFonts w:ascii="Arial" w:hAnsi="Arial" w:cs="Arial"/>
          <w:color w:val="000000"/>
          <w:sz w:val="22"/>
          <w:szCs w:val="22"/>
          <w:lang w:eastAsia="en-GB"/>
        </w:rPr>
      </w:pPr>
    </w:p>
    <w:p w14:paraId="37265685" w14:textId="77777777" w:rsidR="00691BC3" w:rsidRPr="00262D51" w:rsidRDefault="00691BC3" w:rsidP="00691BC3">
      <w:pPr>
        <w:rPr>
          <w:rFonts w:ascii="Arial" w:hAnsi="Arial" w:cs="Arial"/>
          <w:i/>
          <w:sz w:val="22"/>
          <w:szCs w:val="22"/>
          <w:lang w:val="en-GB" w:eastAsia="en-GB"/>
        </w:rPr>
      </w:pPr>
      <w:r w:rsidRPr="00262D51">
        <w:rPr>
          <w:rFonts w:ascii="Arial" w:hAnsi="Arial" w:cs="Arial"/>
          <w:i/>
          <w:sz w:val="22"/>
          <w:szCs w:val="22"/>
          <w:lang w:val="en-GB" w:eastAsia="en-GB"/>
        </w:rPr>
        <w:t xml:space="preserve">Numerator: </w:t>
      </w:r>
    </w:p>
    <w:p w14:paraId="54D1FAEA"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numerator is the number of eligible children enrolled on the NIR who have turned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during the quarter and who are recorded as fully immunised on the end of the day that they turn the milestone age.</w:t>
      </w:r>
    </w:p>
    <w:p w14:paraId="1693D19B" w14:textId="77777777" w:rsidR="00691BC3" w:rsidRPr="00262D51" w:rsidRDefault="00691BC3" w:rsidP="00691BC3">
      <w:pPr>
        <w:rPr>
          <w:rFonts w:ascii="Arial" w:hAnsi="Arial" w:cs="Arial"/>
          <w:sz w:val="22"/>
          <w:szCs w:val="22"/>
          <w:lang w:val="en-GB" w:eastAsia="en-GB"/>
        </w:rPr>
      </w:pPr>
    </w:p>
    <w:p w14:paraId="3FDCDEAE"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Fully immunised at age </w:t>
      </w:r>
      <w:r>
        <w:rPr>
          <w:rFonts w:ascii="Arial" w:hAnsi="Arial" w:cs="Arial"/>
          <w:sz w:val="22"/>
          <w:szCs w:val="22"/>
          <w:lang w:val="en-GB" w:eastAsia="en-GB"/>
        </w:rPr>
        <w:t>five years</w:t>
      </w:r>
      <w:r w:rsidRPr="00262D51">
        <w:rPr>
          <w:rFonts w:ascii="Arial" w:hAnsi="Arial" w:cs="Arial"/>
          <w:sz w:val="22"/>
          <w:szCs w:val="22"/>
          <w:lang w:val="en-GB" w:eastAsia="en-GB"/>
        </w:rPr>
        <w:t xml:space="preserve"> is defined as having received all measured immunisations scheduled between birth and age </w:t>
      </w:r>
      <w:r>
        <w:rPr>
          <w:rFonts w:ascii="Arial" w:hAnsi="Arial" w:cs="Arial"/>
          <w:sz w:val="22"/>
          <w:szCs w:val="22"/>
          <w:lang w:val="en-GB" w:eastAsia="en-GB"/>
        </w:rPr>
        <w:t>five years</w:t>
      </w:r>
      <w:r w:rsidRPr="00262D51">
        <w:rPr>
          <w:rFonts w:ascii="Arial" w:hAnsi="Arial" w:cs="Arial"/>
          <w:sz w:val="22"/>
          <w:szCs w:val="22"/>
          <w:lang w:val="en-GB" w:eastAsia="en-GB"/>
        </w:rPr>
        <w:t>. This includes the immunisation events due at six weeks,</w:t>
      </w:r>
      <w:r>
        <w:rPr>
          <w:rFonts w:ascii="Arial" w:hAnsi="Arial" w:cs="Arial"/>
          <w:sz w:val="22"/>
          <w:szCs w:val="22"/>
          <w:lang w:val="en-GB" w:eastAsia="en-GB"/>
        </w:rPr>
        <w:t xml:space="preserve"> three months, five months, </w:t>
      </w:r>
      <w:r w:rsidRPr="00262D51">
        <w:rPr>
          <w:rFonts w:ascii="Arial" w:hAnsi="Arial" w:cs="Arial"/>
          <w:sz w:val="22"/>
          <w:szCs w:val="22"/>
          <w:lang w:val="en-GB" w:eastAsia="en-GB"/>
        </w:rPr>
        <w:t xml:space="preserve">15 months </w:t>
      </w:r>
      <w:r>
        <w:rPr>
          <w:rFonts w:ascii="Arial" w:hAnsi="Arial" w:cs="Arial"/>
          <w:sz w:val="22"/>
          <w:szCs w:val="22"/>
          <w:lang w:val="en-GB" w:eastAsia="en-GB"/>
        </w:rPr>
        <w:t xml:space="preserve">and 4 years </w:t>
      </w:r>
      <w:r w:rsidRPr="00262D51">
        <w:rPr>
          <w:rFonts w:ascii="Arial" w:hAnsi="Arial" w:cs="Arial"/>
          <w:sz w:val="22"/>
          <w:szCs w:val="22"/>
          <w:lang w:val="en-GB" w:eastAsia="en-GB"/>
        </w:rPr>
        <w:t xml:space="preserve">of age, or an appropriate catch-up schedule. To be measured as fully immunised, the child must have received all age-appropriate doses of diphtheria, tetanus, pertussis, polio, hepatitis B, </w:t>
      </w:r>
      <w:r w:rsidRPr="00262D51">
        <w:rPr>
          <w:rFonts w:ascii="Arial" w:hAnsi="Arial" w:cs="Arial"/>
          <w:i/>
          <w:sz w:val="22"/>
          <w:szCs w:val="22"/>
          <w:lang w:val="en-GB" w:eastAsia="en-GB"/>
        </w:rPr>
        <w:t>Haemophilus influenzae</w:t>
      </w:r>
      <w:r w:rsidRPr="00262D51">
        <w:rPr>
          <w:rFonts w:ascii="Arial" w:hAnsi="Arial" w:cs="Arial"/>
          <w:sz w:val="22"/>
          <w:szCs w:val="22"/>
          <w:lang w:val="en-GB" w:eastAsia="en-GB"/>
        </w:rPr>
        <w:t xml:space="preserve"> type B, pne</w:t>
      </w:r>
      <w:r>
        <w:rPr>
          <w:rFonts w:ascii="Arial" w:hAnsi="Arial" w:cs="Arial"/>
          <w:sz w:val="22"/>
          <w:szCs w:val="22"/>
          <w:lang w:val="en-GB" w:eastAsia="en-GB"/>
        </w:rPr>
        <w:t xml:space="preserve">umococcal, </w:t>
      </w:r>
      <w:r w:rsidRPr="00262D51">
        <w:rPr>
          <w:rFonts w:ascii="Arial" w:hAnsi="Arial" w:cs="Arial"/>
          <w:sz w:val="22"/>
          <w:szCs w:val="22"/>
          <w:lang w:val="en-GB" w:eastAsia="en-GB"/>
        </w:rPr>
        <w:t xml:space="preserve">measles, </w:t>
      </w:r>
      <w:proofErr w:type="gramStart"/>
      <w:r w:rsidRPr="00262D51">
        <w:rPr>
          <w:rFonts w:ascii="Arial" w:hAnsi="Arial" w:cs="Arial"/>
          <w:sz w:val="22"/>
          <w:szCs w:val="22"/>
          <w:lang w:val="en-GB" w:eastAsia="en-GB"/>
        </w:rPr>
        <w:t>mumps</w:t>
      </w:r>
      <w:proofErr w:type="gramEnd"/>
      <w:r w:rsidRPr="00262D51">
        <w:rPr>
          <w:rFonts w:ascii="Arial" w:hAnsi="Arial" w:cs="Arial"/>
          <w:sz w:val="22"/>
          <w:szCs w:val="22"/>
          <w:lang w:val="en-GB" w:eastAsia="en-GB"/>
        </w:rPr>
        <w:t xml:space="preserve"> and rubella vaccine</w:t>
      </w:r>
      <w:r>
        <w:rPr>
          <w:rFonts w:ascii="Arial" w:hAnsi="Arial" w:cs="Arial"/>
          <w:sz w:val="22"/>
          <w:szCs w:val="22"/>
          <w:lang w:val="en-GB" w:eastAsia="en-GB"/>
        </w:rPr>
        <w:t>s</w:t>
      </w:r>
      <w:r w:rsidRPr="00262D51">
        <w:rPr>
          <w:rFonts w:ascii="Arial" w:hAnsi="Arial" w:cs="Arial"/>
          <w:sz w:val="22"/>
          <w:szCs w:val="22"/>
          <w:lang w:val="en-GB" w:eastAsia="en-GB"/>
        </w:rPr>
        <w:t xml:space="preserve">. </w:t>
      </w:r>
    </w:p>
    <w:p w14:paraId="17579BF8" w14:textId="77777777" w:rsidR="00691BC3" w:rsidRPr="00262D51" w:rsidRDefault="00691BC3" w:rsidP="00691BC3">
      <w:pPr>
        <w:rPr>
          <w:rFonts w:ascii="Arial" w:hAnsi="Arial" w:cs="Arial"/>
          <w:sz w:val="22"/>
          <w:szCs w:val="22"/>
          <w:lang w:val="en-GB" w:eastAsia="en-GB"/>
        </w:rPr>
      </w:pPr>
    </w:p>
    <w:p w14:paraId="17073C02"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Although rotavirus and varicella vaccines are included in the National Immunisation Schedule, these vaccines are not currently included in performance measures for immunisation coverage because of their later addition to the schedule. It is anticipated that these vaccines will be included in performance measures in the future.     </w:t>
      </w:r>
    </w:p>
    <w:p w14:paraId="0B95D413" w14:textId="77777777" w:rsidR="00691BC3" w:rsidRPr="00262D51" w:rsidRDefault="00691BC3" w:rsidP="00691BC3">
      <w:pPr>
        <w:rPr>
          <w:rFonts w:ascii="Arial" w:hAnsi="Arial" w:cs="Arial"/>
          <w:sz w:val="22"/>
          <w:szCs w:val="22"/>
          <w:lang w:val="en-GB" w:eastAsia="en-GB"/>
        </w:rPr>
      </w:pPr>
    </w:p>
    <w:p w14:paraId="0DF58AFD" w14:textId="77777777" w:rsidR="00691BC3" w:rsidRPr="00262D51" w:rsidRDefault="00691BC3" w:rsidP="00691BC3">
      <w:pPr>
        <w:rPr>
          <w:rFonts w:ascii="Arial" w:hAnsi="Arial" w:cs="Arial"/>
          <w:sz w:val="22"/>
          <w:szCs w:val="22"/>
          <w:lang w:val="en-GB" w:eastAsia="en-GB"/>
        </w:rPr>
      </w:pPr>
      <w:r w:rsidRPr="00262D51">
        <w:rPr>
          <w:rFonts w:ascii="Arial" w:hAnsi="Arial" w:cs="Arial"/>
          <w:i/>
          <w:sz w:val="22"/>
          <w:szCs w:val="22"/>
          <w:lang w:val="en-GB" w:eastAsia="en-GB"/>
        </w:rPr>
        <w:t>Denominator</w:t>
      </w:r>
      <w:r w:rsidRPr="00262D51">
        <w:rPr>
          <w:rFonts w:ascii="Arial" w:hAnsi="Arial" w:cs="Arial"/>
          <w:sz w:val="22"/>
          <w:szCs w:val="22"/>
          <w:lang w:val="en-GB" w:eastAsia="en-GB"/>
        </w:rPr>
        <w:t xml:space="preserve">: </w:t>
      </w:r>
    </w:p>
    <w:p w14:paraId="1FE1B439"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denominator is the number of eligible children enrolled on the NIR who have turned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during the quarter. Those who decline vaccines or who have opted off their information being recorded on the NIR are included in the denominator.  </w:t>
      </w:r>
    </w:p>
    <w:p w14:paraId="30CBBDE8" w14:textId="77777777" w:rsidR="00691BC3" w:rsidRPr="00262D51" w:rsidRDefault="00691BC3" w:rsidP="00691BC3">
      <w:pPr>
        <w:rPr>
          <w:rFonts w:ascii="Arial" w:hAnsi="Arial" w:cs="Arial"/>
          <w:sz w:val="22"/>
          <w:szCs w:val="22"/>
          <w:lang w:val="en-GB" w:eastAsia="en-GB"/>
        </w:rPr>
      </w:pPr>
    </w:p>
    <w:p w14:paraId="134146E6"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quarterly coverage report will be run after the weekly data update (“refresh”) of the NIR Data Mart after the end of the quarter; reports are generally run on the Monday closest to the 10th of the month </w:t>
      </w:r>
      <w:r w:rsidRPr="00262D51">
        <w:rPr>
          <w:rFonts w:ascii="Arial" w:hAnsi="Arial" w:cs="Arial"/>
          <w:sz w:val="22"/>
          <w:szCs w:val="22"/>
          <w:lang w:val="en-GB" w:eastAsia="en-GB"/>
        </w:rPr>
        <w:lastRenderedPageBreak/>
        <w:t xml:space="preserve">after the end of the quarter to ensure timeliness while also allowing the complete quarter's data to have been loaded on to the NIR Data Mart. </w:t>
      </w:r>
    </w:p>
    <w:p w14:paraId="4A49A252" w14:textId="77777777" w:rsidR="00691BC3" w:rsidRPr="00262D51" w:rsidRDefault="00691BC3" w:rsidP="00691BC3">
      <w:pPr>
        <w:rPr>
          <w:rFonts w:ascii="Arial" w:hAnsi="Arial" w:cs="Arial"/>
          <w:sz w:val="22"/>
          <w:szCs w:val="22"/>
          <w:lang w:val="en-GB" w:eastAsia="en-GB"/>
        </w:rPr>
      </w:pPr>
    </w:p>
    <w:p w14:paraId="05E5098C"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Current performance reports can be accessed directly from the NIR DataMart reports on Qlik Sense. At the end of each quarter, the reports at both National and DHB level will also be available to DHBs in Excel and PDF format in the toolkit section of the Quarterly Reporting Database. DHBs are expected to use these reports to provide exception qualitative reports and/or use this mechanism to raise issues with the Ministry.</w:t>
      </w:r>
    </w:p>
    <w:p w14:paraId="3EABE699" w14:textId="77777777" w:rsidR="00691BC3" w:rsidRPr="00262D51" w:rsidRDefault="00691BC3" w:rsidP="00691BC3">
      <w:pPr>
        <w:rPr>
          <w:rFonts w:ascii="Arial" w:hAnsi="Arial" w:cs="Arial"/>
          <w:sz w:val="22"/>
          <w:szCs w:val="22"/>
          <w:lang w:val="en-GB" w:eastAsia="en-GB"/>
        </w:rPr>
      </w:pPr>
    </w:p>
    <w:p w14:paraId="63BA51E6" w14:textId="77777777" w:rsidR="00691BC3" w:rsidRPr="00262D51" w:rsidRDefault="00691BC3" w:rsidP="00691BC3">
      <w:pPr>
        <w:rPr>
          <w:rFonts w:ascii="Arial" w:eastAsia="Calibri" w:hAnsi="Arial" w:cs="Arial"/>
          <w:sz w:val="22"/>
          <w:szCs w:val="22"/>
          <w:lang w:eastAsia="en-GB"/>
        </w:rPr>
      </w:pPr>
      <w:r w:rsidRPr="00262D51">
        <w:rPr>
          <w:rFonts w:ascii="Arial" w:hAnsi="Arial" w:cs="Arial"/>
          <w:sz w:val="22"/>
          <w:szCs w:val="22"/>
          <w:lang w:val="en-GB" w:eastAsia="en-GB"/>
        </w:rPr>
        <w:t>Immunisation</w:t>
      </w:r>
      <w:r w:rsidRPr="00262D51">
        <w:rPr>
          <w:rFonts w:ascii="Arial" w:eastAsia="Calibri" w:hAnsi="Arial" w:cs="Arial"/>
          <w:sz w:val="22"/>
          <w:szCs w:val="22"/>
          <w:lang w:eastAsia="en-GB"/>
        </w:rPr>
        <w:t xml:space="preserve"> coverage reports will be provided quarterly as follows:</w:t>
      </w:r>
    </w:p>
    <w:p w14:paraId="7DE4C7FB" w14:textId="77777777" w:rsidR="00691BC3" w:rsidRPr="00262D51" w:rsidRDefault="00691BC3" w:rsidP="00691BC3">
      <w:pPr>
        <w:shd w:val="clear" w:color="auto" w:fill="FFFFFF"/>
        <w:spacing w:before="60" w:after="60" w:line="259" w:lineRule="auto"/>
        <w:jc w:val="both"/>
        <w:rPr>
          <w:rFonts w:ascii="Arial" w:eastAsia="Calibri" w:hAnsi="Arial" w:cs="Arial"/>
          <w:sz w:val="22"/>
          <w:szCs w:val="22"/>
          <w:lang w:eastAsia="en-GB"/>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691BC3" w:rsidRPr="00262D51" w14:paraId="4FD0B545"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CD8E9CF" w14:textId="77777777" w:rsidR="00691BC3" w:rsidRPr="00262D51" w:rsidRDefault="00691BC3" w:rsidP="00632E9E">
            <w:pPr>
              <w:spacing w:before="60" w:after="60" w:line="259" w:lineRule="auto"/>
              <w:jc w:val="both"/>
              <w:rPr>
                <w:rFonts w:ascii="Arial" w:eastAsia="Calibri" w:hAnsi="Arial" w:cs="Arial"/>
                <w:b/>
                <w:sz w:val="20"/>
                <w:szCs w:val="20"/>
                <w:lang w:eastAsia="en-GB"/>
              </w:rPr>
            </w:pPr>
            <w:r w:rsidRPr="00262D51">
              <w:rPr>
                <w:rFonts w:ascii="Arial" w:eastAsia="Calibri" w:hAnsi="Arial" w:cs="Arial"/>
                <w:b/>
                <w:sz w:val="20"/>
                <w:szCs w:val="20"/>
                <w:lang w:eastAsia="en-GB"/>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88E8D55" w14:textId="77777777" w:rsidR="00691BC3" w:rsidRPr="00262D51" w:rsidRDefault="00691BC3" w:rsidP="00632E9E">
            <w:pPr>
              <w:spacing w:before="60" w:after="60" w:line="259" w:lineRule="auto"/>
              <w:jc w:val="both"/>
              <w:rPr>
                <w:rFonts w:ascii="Arial" w:eastAsia="Calibri" w:hAnsi="Arial" w:cs="Arial"/>
                <w:b/>
                <w:sz w:val="20"/>
                <w:szCs w:val="20"/>
                <w:lang w:eastAsia="en-GB"/>
              </w:rPr>
            </w:pPr>
            <w:r w:rsidRPr="00262D51">
              <w:rPr>
                <w:rFonts w:ascii="Arial" w:eastAsia="Calibri" w:hAnsi="Arial" w:cs="Arial"/>
                <w:b/>
                <w:sz w:val="20"/>
                <w:szCs w:val="20"/>
                <w:lang w:eastAsia="en-GB"/>
              </w:rPr>
              <w:t>For the time period</w:t>
            </w:r>
          </w:p>
        </w:tc>
      </w:tr>
      <w:tr w:rsidR="00691BC3" w:rsidRPr="00262D51" w14:paraId="4FF6729E"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14C6E52C"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1</w:t>
            </w:r>
          </w:p>
        </w:tc>
        <w:tc>
          <w:tcPr>
            <w:tcW w:w="4323" w:type="dxa"/>
            <w:tcBorders>
              <w:top w:val="single" w:sz="4" w:space="0" w:color="auto"/>
              <w:left w:val="single" w:sz="4" w:space="0" w:color="auto"/>
              <w:bottom w:val="single" w:sz="4" w:space="0" w:color="auto"/>
              <w:right w:val="single" w:sz="4" w:space="0" w:color="auto"/>
            </w:tcBorders>
            <w:hideMark/>
          </w:tcPr>
          <w:p w14:paraId="2D5278F1"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July to 30 September</w:t>
            </w:r>
          </w:p>
        </w:tc>
      </w:tr>
      <w:tr w:rsidR="00691BC3" w:rsidRPr="00262D51" w14:paraId="72F7DAB0"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3C97F2A9"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2</w:t>
            </w:r>
          </w:p>
        </w:tc>
        <w:tc>
          <w:tcPr>
            <w:tcW w:w="4323" w:type="dxa"/>
            <w:tcBorders>
              <w:top w:val="single" w:sz="4" w:space="0" w:color="auto"/>
              <w:left w:val="single" w:sz="4" w:space="0" w:color="auto"/>
              <w:bottom w:val="single" w:sz="4" w:space="0" w:color="auto"/>
              <w:right w:val="single" w:sz="4" w:space="0" w:color="auto"/>
            </w:tcBorders>
          </w:tcPr>
          <w:p w14:paraId="2C452060"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October to 31 December</w:t>
            </w:r>
          </w:p>
        </w:tc>
      </w:tr>
      <w:tr w:rsidR="00691BC3" w:rsidRPr="00262D51" w14:paraId="5F3EED92" w14:textId="77777777" w:rsidTr="00632E9E">
        <w:trPr>
          <w:trHeight w:val="309"/>
          <w:jc w:val="center"/>
        </w:trPr>
        <w:tc>
          <w:tcPr>
            <w:tcW w:w="1617" w:type="dxa"/>
            <w:tcBorders>
              <w:top w:val="single" w:sz="4" w:space="0" w:color="auto"/>
              <w:left w:val="single" w:sz="4" w:space="0" w:color="auto"/>
              <w:bottom w:val="single" w:sz="4" w:space="0" w:color="auto"/>
              <w:right w:val="single" w:sz="4" w:space="0" w:color="auto"/>
            </w:tcBorders>
            <w:hideMark/>
          </w:tcPr>
          <w:p w14:paraId="298D8DA5"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3</w:t>
            </w:r>
          </w:p>
        </w:tc>
        <w:tc>
          <w:tcPr>
            <w:tcW w:w="4323" w:type="dxa"/>
            <w:tcBorders>
              <w:top w:val="single" w:sz="4" w:space="0" w:color="auto"/>
              <w:left w:val="single" w:sz="4" w:space="0" w:color="auto"/>
              <w:bottom w:val="single" w:sz="4" w:space="0" w:color="auto"/>
              <w:right w:val="single" w:sz="4" w:space="0" w:color="auto"/>
            </w:tcBorders>
          </w:tcPr>
          <w:p w14:paraId="367FC896"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January to 31 March</w:t>
            </w:r>
          </w:p>
        </w:tc>
      </w:tr>
      <w:tr w:rsidR="00691BC3" w:rsidRPr="00262D51" w14:paraId="53DFD950"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0C2CD408"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Quarter 4</w:t>
            </w:r>
          </w:p>
        </w:tc>
        <w:tc>
          <w:tcPr>
            <w:tcW w:w="4323" w:type="dxa"/>
            <w:tcBorders>
              <w:top w:val="single" w:sz="4" w:space="0" w:color="auto"/>
              <w:left w:val="single" w:sz="4" w:space="0" w:color="auto"/>
              <w:bottom w:val="single" w:sz="4" w:space="0" w:color="auto"/>
              <w:right w:val="single" w:sz="4" w:space="0" w:color="auto"/>
            </w:tcBorders>
          </w:tcPr>
          <w:p w14:paraId="2ECEF027" w14:textId="77777777" w:rsidR="00691BC3" w:rsidRPr="00262D51" w:rsidRDefault="00691BC3" w:rsidP="00632E9E">
            <w:pPr>
              <w:spacing w:before="60" w:after="60" w:line="259" w:lineRule="auto"/>
              <w:jc w:val="both"/>
              <w:rPr>
                <w:rFonts w:ascii="Arial" w:eastAsia="Calibri" w:hAnsi="Arial" w:cs="Arial"/>
                <w:sz w:val="20"/>
                <w:szCs w:val="20"/>
                <w:lang w:eastAsia="en-GB"/>
              </w:rPr>
            </w:pPr>
            <w:r w:rsidRPr="00262D51">
              <w:rPr>
                <w:rFonts w:ascii="Arial" w:eastAsia="Calibri" w:hAnsi="Arial" w:cs="Arial"/>
                <w:sz w:val="20"/>
                <w:szCs w:val="20"/>
                <w:lang w:eastAsia="en-GB"/>
              </w:rPr>
              <w:t>Data covering 1 April to 30 June</w:t>
            </w:r>
          </w:p>
        </w:tc>
      </w:tr>
    </w:tbl>
    <w:p w14:paraId="4DA0C766" w14:textId="77777777" w:rsidR="00691BC3" w:rsidRPr="00262D51" w:rsidRDefault="00691BC3" w:rsidP="00691BC3">
      <w:pPr>
        <w:spacing w:before="60" w:after="60"/>
        <w:jc w:val="both"/>
        <w:rPr>
          <w:rFonts w:ascii="Arial" w:hAnsi="Arial" w:cs="Arial"/>
          <w:b/>
          <w:sz w:val="22"/>
          <w:szCs w:val="22"/>
          <w:lang w:val="en-GB" w:eastAsia="en-GB"/>
        </w:rPr>
      </w:pPr>
    </w:p>
    <w:p w14:paraId="2C0E7F21" w14:textId="77777777" w:rsidR="00691BC3" w:rsidRPr="00262D51" w:rsidRDefault="00691BC3" w:rsidP="00691BC3">
      <w:pPr>
        <w:rPr>
          <w:rFonts w:ascii="Arial" w:hAnsi="Arial" w:cs="Times"/>
          <w:b/>
          <w:szCs w:val="22"/>
          <w:lang w:eastAsia="en-GB"/>
        </w:rPr>
      </w:pPr>
      <w:r w:rsidRPr="00262D51">
        <w:rPr>
          <w:rFonts w:ascii="Arial" w:hAnsi="Arial" w:cs="Times"/>
          <w:b/>
          <w:szCs w:val="22"/>
          <w:lang w:eastAsia="en-GB"/>
        </w:rPr>
        <w:t>Expectations</w:t>
      </w:r>
      <w:r w:rsidRPr="00262D51">
        <w:rPr>
          <w:rFonts w:ascii="Arial" w:hAnsi="Arial" w:cs="Times"/>
          <w:b/>
          <w:szCs w:val="22"/>
          <w:lang w:eastAsia="en-GB"/>
        </w:rPr>
        <w:br/>
      </w:r>
    </w:p>
    <w:p w14:paraId="432FDE1E"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expectation of this measure is that DHBs will provide equitable immunisation coverage across their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 xml:space="preserve">otal populations. DHBs are expected to aim at 95 percent immunisation coverage at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in each of these groups, with children having completed all age-appropriate scheduled immunisations due between birth and age </w:t>
      </w:r>
      <w:r>
        <w:rPr>
          <w:rFonts w:ascii="Arial" w:hAnsi="Arial" w:cs="Arial"/>
          <w:sz w:val="22"/>
          <w:szCs w:val="22"/>
          <w:lang w:val="en-GB" w:eastAsia="en-GB"/>
        </w:rPr>
        <w:t>five years</w:t>
      </w:r>
      <w:r w:rsidRPr="00262D51">
        <w:rPr>
          <w:rFonts w:ascii="Arial" w:hAnsi="Arial" w:cs="Arial"/>
          <w:sz w:val="22"/>
          <w:szCs w:val="22"/>
          <w:lang w:val="en-GB" w:eastAsia="en-GB"/>
        </w:rPr>
        <w:t xml:space="preserve">. DHBs are expected to set local targets with the aim of eliminating inequities. </w:t>
      </w:r>
    </w:p>
    <w:p w14:paraId="1E690988" w14:textId="77777777" w:rsidR="00691BC3" w:rsidRPr="00262D51" w:rsidRDefault="00691BC3" w:rsidP="00691BC3">
      <w:pPr>
        <w:rPr>
          <w:rFonts w:ascii="Arial" w:hAnsi="Arial" w:cs="Arial"/>
          <w:sz w:val="22"/>
          <w:szCs w:val="22"/>
          <w:lang w:val="en-GB" w:eastAsia="en-GB"/>
        </w:rPr>
      </w:pPr>
    </w:p>
    <w:p w14:paraId="3E9F57B6"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If DHBs do not reach the target level of coverage for any of Māori, Pacific (where relevant), or </w:t>
      </w:r>
      <w:r>
        <w:rPr>
          <w:rFonts w:ascii="Arial" w:hAnsi="Arial" w:cs="Arial"/>
          <w:sz w:val="22"/>
          <w:szCs w:val="22"/>
          <w:lang w:val="en-GB" w:eastAsia="en-GB"/>
        </w:rPr>
        <w:t>t</w:t>
      </w:r>
      <w:r w:rsidRPr="00262D51">
        <w:rPr>
          <w:rFonts w:ascii="Arial" w:hAnsi="Arial" w:cs="Arial"/>
          <w:sz w:val="22"/>
          <w:szCs w:val="22"/>
          <w:lang w:val="en-GB" w:eastAsia="en-GB"/>
        </w:rPr>
        <w:t>otal populations in any quarter they are expected to provide an exception qualitative report at the end of each quarter advising how they will track towards higher coverage. If the target level of coverage has been reached across all priority ethnicities, only a confirmation statement is required.</w:t>
      </w:r>
    </w:p>
    <w:p w14:paraId="01F4A887" w14:textId="77777777" w:rsidR="00691BC3" w:rsidRPr="00262D51" w:rsidRDefault="00691BC3" w:rsidP="00691BC3">
      <w:pPr>
        <w:rPr>
          <w:rFonts w:ascii="Arial" w:hAnsi="Arial" w:cs="Arial"/>
          <w:sz w:val="22"/>
          <w:szCs w:val="22"/>
          <w:lang w:val="en-GB" w:eastAsia="en-GB"/>
        </w:rPr>
      </w:pPr>
    </w:p>
    <w:p w14:paraId="21F1FA7E" w14:textId="77777777" w:rsidR="00691BC3" w:rsidRPr="00262D51" w:rsidRDefault="00691BC3" w:rsidP="00691BC3">
      <w:pPr>
        <w:rPr>
          <w:rFonts w:ascii="Arial" w:hAnsi="Arial" w:cs="Arial"/>
          <w:sz w:val="22"/>
          <w:szCs w:val="22"/>
          <w:lang w:val="en-GB" w:eastAsia="en-GB"/>
        </w:rPr>
      </w:pPr>
      <w:r w:rsidRPr="00262D51">
        <w:rPr>
          <w:rFonts w:ascii="Arial" w:hAnsi="Arial" w:cs="Arial"/>
          <w:sz w:val="22"/>
          <w:szCs w:val="22"/>
          <w:lang w:val="en-GB" w:eastAsia="en-GB"/>
        </w:rPr>
        <w:t xml:space="preserve">The assessment requirements for each quarter are set out below: </w:t>
      </w:r>
    </w:p>
    <w:p w14:paraId="5B237723" w14:textId="77777777" w:rsidR="00691BC3" w:rsidRPr="00262D51" w:rsidRDefault="00691BC3" w:rsidP="00691BC3">
      <w:pPr>
        <w:spacing w:after="160" w:line="259" w:lineRule="auto"/>
        <w:rPr>
          <w:rFonts w:ascii="Arial" w:hAnsi="Arial" w:cs="Arial"/>
          <w:b/>
          <w:bCs/>
          <w:color w:val="000000"/>
          <w:sz w:val="22"/>
          <w:szCs w:val="22"/>
          <w:lang w:eastAsia="en-GB"/>
        </w:rPr>
      </w:pPr>
    </w:p>
    <w:p w14:paraId="7A9E4F81" w14:textId="77777777" w:rsidR="00691BC3" w:rsidRPr="00262D51" w:rsidRDefault="00691BC3" w:rsidP="00691BC3">
      <w:pPr>
        <w:autoSpaceDE w:val="0"/>
        <w:autoSpaceDN w:val="0"/>
        <w:adjustRightInd w:val="0"/>
        <w:spacing w:before="60" w:after="60" w:line="240" w:lineRule="atLeast"/>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Table 1: Quarters 1, 2 &amp; 3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91BC3" w:rsidRPr="00262D51" w14:paraId="407CE26D"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265D073E" w14:textId="77777777" w:rsidR="00691BC3" w:rsidRPr="00262D51" w:rsidRDefault="00691BC3"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59EBA745" w14:textId="77777777" w:rsidR="00691BC3" w:rsidRPr="00262D51" w:rsidRDefault="00691BC3" w:rsidP="00632E9E">
            <w:pPr>
              <w:autoSpaceDE w:val="0"/>
              <w:autoSpaceDN w:val="0"/>
              <w:adjustRightInd w:val="0"/>
              <w:spacing w:before="60" w:after="60"/>
              <w:rPr>
                <w:rFonts w:ascii="Arial" w:hAnsi="Arial" w:cs="Arial"/>
                <w:b/>
                <w:bCs/>
                <w:color w:val="000000"/>
                <w:sz w:val="22"/>
                <w:szCs w:val="22"/>
                <w:lang w:eastAsia="en-GB"/>
              </w:rPr>
            </w:pPr>
            <w:r w:rsidRPr="00262D51">
              <w:rPr>
                <w:rFonts w:ascii="Arial" w:hAnsi="Arial" w:cs="Arial"/>
                <w:b/>
                <w:bCs/>
                <w:color w:val="000000"/>
                <w:sz w:val="22"/>
                <w:szCs w:val="22"/>
                <w:lang w:eastAsia="en-GB"/>
              </w:rPr>
              <w:t>Explanation</w:t>
            </w:r>
          </w:p>
        </w:tc>
      </w:tr>
      <w:tr w:rsidR="00691BC3" w:rsidRPr="00262D51" w14:paraId="4A61739E"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20739B4"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262D51">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3A3D7A85"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639208C5"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at least 95 percent for children at </w:t>
            </w:r>
            <w:r>
              <w:rPr>
                <w:rFonts w:ascii="Arial" w:hAnsi="Arial" w:cs="Arial"/>
                <w:color w:val="000000"/>
                <w:sz w:val="22"/>
                <w:szCs w:val="22"/>
                <w:lang w:eastAsia="en-GB"/>
              </w:rPr>
              <w:t>five years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w:t>
            </w:r>
          </w:p>
          <w:p w14:paraId="74676034" w14:textId="77777777" w:rsidR="00691BC3" w:rsidRPr="00262D51" w:rsidRDefault="00691BC3"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the equity gap, if any, between Māori and non-Maori populations is no more than two percent.</w:t>
            </w:r>
          </w:p>
          <w:p w14:paraId="3CE2A7A6" w14:textId="77777777" w:rsidR="00691BC3" w:rsidRPr="00262D51" w:rsidRDefault="00691BC3"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5E464F6A"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0"/>
                <w:szCs w:val="20"/>
                <w:lang w:eastAsia="en-GB"/>
              </w:rPr>
            </w:pPr>
            <w:r w:rsidRPr="00262D51">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432B77C4"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79D53A3"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lastRenderedPageBreak/>
              <w:t>Partially Achieved</w:t>
            </w:r>
          </w:p>
        </w:tc>
        <w:tc>
          <w:tcPr>
            <w:tcW w:w="7380" w:type="dxa"/>
            <w:tcBorders>
              <w:top w:val="single" w:sz="4" w:space="0" w:color="auto"/>
              <w:left w:val="single" w:sz="4" w:space="0" w:color="auto"/>
              <w:bottom w:val="single" w:sz="4" w:space="0" w:color="auto"/>
              <w:right w:val="single" w:sz="4" w:space="0" w:color="auto"/>
            </w:tcBorders>
            <w:hideMark/>
          </w:tcPr>
          <w:p w14:paraId="099E4286"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does not meet any criteria for “Not Achieved” and has:</w:t>
            </w:r>
          </w:p>
          <w:p w14:paraId="176ACBE6"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 xml:space="preserve">immunisation coverage that is between 90 and 94 percent for children at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for each of the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otal populations, and</w:t>
            </w:r>
          </w:p>
          <w:p w14:paraId="771CF963"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any equity gap between Māori and non-Māori populations is less than five percent</w:t>
            </w:r>
          </w:p>
          <w:p w14:paraId="2D984C11"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must provide evidence that they are working towards improvement of immunisation coverage and elimination of equity gaps.</w:t>
            </w:r>
          </w:p>
          <w:p w14:paraId="46AB00D1"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294B2732"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0"/>
                <w:szCs w:val="20"/>
                <w:lang w:val="en-GB" w:eastAsia="en-GB"/>
              </w:rPr>
            </w:pPr>
            <w:r w:rsidRPr="00262D51">
              <w:rPr>
                <w:rFonts w:ascii="Arial" w:hAnsi="Arial" w:cs="Arial"/>
                <w:sz w:val="20"/>
                <w:szCs w:val="20"/>
                <w:lang w:val="en-GB" w:eastAsia="en-GB"/>
              </w:rPr>
              <w:t xml:space="preserve">Note: Immunisation coverage of less than 90 percent for any one of the priority groups or an equity gap between Māori and non-Māori populations of five percent or more will be rated as Not Achieved regardless of any other results. </w:t>
            </w:r>
          </w:p>
        </w:tc>
      </w:tr>
      <w:tr w:rsidR="00691BC3" w:rsidRPr="00262D51" w14:paraId="7EE0C06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759E626E"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hideMark/>
          </w:tcPr>
          <w:p w14:paraId="58331A0F" w14:textId="77777777" w:rsidR="00691BC3" w:rsidRPr="00262D51" w:rsidRDefault="00691BC3"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The DHB has:</w:t>
            </w:r>
          </w:p>
          <w:p w14:paraId="3B7B9448"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immunisation coverage that is less than 90 percent for children at age </w:t>
            </w:r>
            <w:r>
              <w:rPr>
                <w:rFonts w:ascii="Arial" w:eastAsia="Calibri" w:hAnsi="Arial" w:cs="Arial"/>
                <w:sz w:val="22"/>
                <w:szCs w:val="22"/>
                <w:lang w:val="en-GB" w:eastAsia="en-GB"/>
              </w:rPr>
              <w:t>five years</w:t>
            </w:r>
            <w:r w:rsidRPr="00262D51">
              <w:rPr>
                <w:rFonts w:ascii="Arial" w:eastAsia="Calibri" w:hAnsi="Arial" w:cs="Arial"/>
                <w:sz w:val="22"/>
                <w:szCs w:val="22"/>
                <w:lang w:val="en-GB" w:eastAsia="en-GB"/>
              </w:rPr>
              <w:t xml:space="preserve"> for any of the Māori, Pacific (where relevant), or </w:t>
            </w:r>
            <w:r>
              <w:rPr>
                <w:rFonts w:ascii="Arial" w:eastAsia="Calibri" w:hAnsi="Arial" w:cs="Arial"/>
                <w:sz w:val="22"/>
                <w:szCs w:val="22"/>
                <w:lang w:val="en-GB" w:eastAsia="en-GB"/>
              </w:rPr>
              <w:t>t</w:t>
            </w:r>
            <w:r w:rsidRPr="00262D51">
              <w:rPr>
                <w:rFonts w:ascii="Arial" w:eastAsia="Calibri" w:hAnsi="Arial" w:cs="Arial"/>
                <w:sz w:val="22"/>
                <w:szCs w:val="22"/>
                <w:lang w:val="en-GB" w:eastAsia="en-GB"/>
              </w:rPr>
              <w:t>otal populations, and/or</w:t>
            </w:r>
          </w:p>
          <w:p w14:paraId="0EF4580A"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an equity gap of five percent or more between Māori and non-Māori populations, and/or </w:t>
            </w:r>
          </w:p>
          <w:p w14:paraId="4EE22EDB"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not provided an adequate resolution plan to improve coverage and/or eliminate equity gaps.</w:t>
            </w:r>
          </w:p>
          <w:p w14:paraId="562C5C60" w14:textId="77777777" w:rsidR="00691BC3" w:rsidRPr="00262D51" w:rsidRDefault="00691BC3" w:rsidP="00632E9E">
            <w:pPr>
              <w:tabs>
                <w:tab w:val="left" w:pos="720"/>
              </w:tabs>
              <w:overflowPunct w:val="0"/>
              <w:autoSpaceDE w:val="0"/>
              <w:autoSpaceDN w:val="0"/>
              <w:adjustRightInd w:val="0"/>
              <w:spacing w:before="60" w:after="60"/>
              <w:ind w:left="54"/>
              <w:jc w:val="both"/>
              <w:rPr>
                <w:rFonts w:ascii="Arial" w:eastAsia="Calibri" w:hAnsi="Arial" w:cs="Arial"/>
                <w:sz w:val="22"/>
                <w:szCs w:val="22"/>
                <w:lang w:val="en-GB" w:eastAsia="en-GB"/>
              </w:rPr>
            </w:pPr>
          </w:p>
        </w:tc>
      </w:tr>
    </w:tbl>
    <w:p w14:paraId="0F419D4A" w14:textId="77777777" w:rsidR="00691BC3" w:rsidRPr="00262D51" w:rsidRDefault="00691BC3" w:rsidP="00691BC3">
      <w:pPr>
        <w:autoSpaceDE w:val="0"/>
        <w:autoSpaceDN w:val="0"/>
        <w:adjustRightInd w:val="0"/>
        <w:spacing w:before="60" w:after="60" w:line="240" w:lineRule="atLeast"/>
        <w:jc w:val="both"/>
        <w:rPr>
          <w:rFonts w:ascii="Arial" w:hAnsi="Arial" w:cs="Arial"/>
          <w:b/>
          <w:bCs/>
          <w:color w:val="000000"/>
          <w:sz w:val="22"/>
          <w:szCs w:val="22"/>
          <w:lang w:eastAsia="en-GB"/>
        </w:rPr>
      </w:pPr>
    </w:p>
    <w:p w14:paraId="633BD528"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096D3EFE"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3F16597C"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5773C143" w14:textId="77777777" w:rsidR="00691BC3" w:rsidRPr="00262D51" w:rsidRDefault="00691BC3" w:rsidP="00691BC3">
      <w:pPr>
        <w:autoSpaceDE w:val="0"/>
        <w:autoSpaceDN w:val="0"/>
        <w:adjustRightInd w:val="0"/>
        <w:spacing w:before="60" w:after="60" w:line="240" w:lineRule="atLeast"/>
        <w:ind w:left="720"/>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Table 2: Quarter 4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91BC3" w:rsidRPr="00262D51" w14:paraId="21236FF0"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0ECA11AB" w14:textId="77777777" w:rsidR="00691BC3" w:rsidRPr="00262D51" w:rsidRDefault="00691BC3"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262D51">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791476EE" w14:textId="77777777" w:rsidR="00691BC3" w:rsidRPr="00262D51" w:rsidRDefault="00691BC3" w:rsidP="00632E9E">
            <w:pPr>
              <w:autoSpaceDE w:val="0"/>
              <w:autoSpaceDN w:val="0"/>
              <w:adjustRightInd w:val="0"/>
              <w:spacing w:before="60" w:after="60"/>
              <w:rPr>
                <w:rFonts w:ascii="Arial" w:hAnsi="Arial" w:cs="Arial"/>
                <w:b/>
                <w:bCs/>
                <w:color w:val="000000"/>
                <w:sz w:val="22"/>
                <w:szCs w:val="22"/>
                <w:lang w:eastAsia="en-GB"/>
              </w:rPr>
            </w:pPr>
            <w:r w:rsidRPr="00262D51">
              <w:rPr>
                <w:rFonts w:ascii="Arial" w:hAnsi="Arial" w:cs="Arial"/>
                <w:b/>
                <w:bCs/>
                <w:color w:val="000000"/>
                <w:sz w:val="22"/>
                <w:szCs w:val="22"/>
                <w:lang w:eastAsia="en-GB"/>
              </w:rPr>
              <w:t>Explanation</w:t>
            </w:r>
          </w:p>
        </w:tc>
      </w:tr>
      <w:tr w:rsidR="00691BC3" w:rsidRPr="00262D51" w14:paraId="50E6B0E1"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678A1E2E"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Outstanding Performer</w:t>
            </w:r>
          </w:p>
        </w:tc>
        <w:tc>
          <w:tcPr>
            <w:tcW w:w="7380" w:type="dxa"/>
            <w:tcBorders>
              <w:top w:val="single" w:sz="4" w:space="0" w:color="auto"/>
              <w:left w:val="single" w:sz="4" w:space="0" w:color="auto"/>
              <w:bottom w:val="single" w:sz="4" w:space="0" w:color="auto"/>
              <w:right w:val="single" w:sz="4" w:space="0" w:color="auto"/>
            </w:tcBorders>
            <w:hideMark/>
          </w:tcPr>
          <w:p w14:paraId="38B4BC4E"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08A8BDE7"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95 percent for children at </w:t>
            </w:r>
            <w:r>
              <w:rPr>
                <w:rFonts w:ascii="Arial" w:hAnsi="Arial" w:cs="Arial"/>
                <w:color w:val="000000"/>
                <w:sz w:val="22"/>
                <w:szCs w:val="22"/>
                <w:lang w:eastAsia="en-GB"/>
              </w:rPr>
              <w:t>five years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 consistently through the year</w:t>
            </w:r>
          </w:p>
          <w:p w14:paraId="4C89F7EC"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no equity gap between Māori and non-Māori populations.</w:t>
            </w:r>
          </w:p>
          <w:p w14:paraId="63F8EAA1" w14:textId="77777777" w:rsidR="00691BC3" w:rsidRPr="00262D51" w:rsidRDefault="00691BC3" w:rsidP="00632E9E">
            <w:pPr>
              <w:autoSpaceDE w:val="0"/>
              <w:autoSpaceDN w:val="0"/>
              <w:adjustRightInd w:val="0"/>
              <w:spacing w:before="120" w:after="120" w:line="240" w:lineRule="atLeast"/>
              <w:ind w:left="735"/>
              <w:contextualSpacing/>
              <w:rPr>
                <w:rFonts w:ascii="Arial" w:hAnsi="Arial" w:cs="Arial"/>
                <w:color w:val="000000"/>
                <w:sz w:val="22"/>
                <w:szCs w:val="22"/>
                <w:lang w:eastAsia="en-GB"/>
              </w:rPr>
            </w:pPr>
          </w:p>
          <w:p w14:paraId="5F4E10C8" w14:textId="77777777" w:rsidR="00691BC3" w:rsidRPr="00262D51" w:rsidRDefault="00691BC3" w:rsidP="00632E9E">
            <w:pPr>
              <w:autoSpaceDE w:val="0"/>
              <w:autoSpaceDN w:val="0"/>
              <w:adjustRightInd w:val="0"/>
              <w:spacing w:before="120" w:after="120" w:line="240" w:lineRule="atLeast"/>
              <w:rPr>
                <w:rFonts w:ascii="Arial" w:hAnsi="Arial" w:cs="Arial"/>
                <w:color w:val="000000"/>
                <w:sz w:val="20"/>
                <w:szCs w:val="20"/>
                <w:lang w:eastAsia="en-GB"/>
              </w:rPr>
            </w:pPr>
            <w:r w:rsidRPr="00262D51">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7988CDF2"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3D1C9AFA"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262D51">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0D725099" w14:textId="77777777" w:rsidR="00691BC3" w:rsidRPr="00262D51" w:rsidRDefault="00691BC3"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262D51">
              <w:rPr>
                <w:rFonts w:ascii="Arial" w:hAnsi="Arial" w:cs="Arial"/>
                <w:color w:val="000000"/>
                <w:sz w:val="22"/>
                <w:szCs w:val="22"/>
                <w:lang w:eastAsia="en-GB"/>
              </w:rPr>
              <w:t>The DHB has:</w:t>
            </w:r>
          </w:p>
          <w:p w14:paraId="758AC702" w14:textId="77777777" w:rsidR="00691BC3" w:rsidRPr="00262D51" w:rsidRDefault="00691BC3"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 xml:space="preserve">achieved immunisation coverage of at least 95 percent for children at </w:t>
            </w:r>
            <w:r>
              <w:rPr>
                <w:rFonts w:ascii="Arial" w:hAnsi="Arial" w:cs="Arial"/>
                <w:color w:val="000000"/>
                <w:sz w:val="22"/>
                <w:szCs w:val="22"/>
                <w:lang w:eastAsia="en-GB"/>
              </w:rPr>
              <w:t>five years</w:t>
            </w:r>
            <w:r w:rsidRPr="00262D51">
              <w:rPr>
                <w:rFonts w:ascii="Arial" w:hAnsi="Arial" w:cs="Arial"/>
                <w:color w:val="000000"/>
                <w:sz w:val="22"/>
                <w:szCs w:val="22"/>
                <w:lang w:eastAsia="en-GB"/>
              </w:rPr>
              <w:t xml:space="preserve"> of age for each of the Māori, Pacific (where relevant), and </w:t>
            </w:r>
            <w:r>
              <w:rPr>
                <w:rFonts w:ascii="Arial" w:hAnsi="Arial" w:cs="Arial"/>
                <w:color w:val="000000"/>
                <w:sz w:val="22"/>
                <w:szCs w:val="22"/>
                <w:lang w:eastAsia="en-GB"/>
              </w:rPr>
              <w:t>t</w:t>
            </w:r>
            <w:r w:rsidRPr="00262D51">
              <w:rPr>
                <w:rFonts w:ascii="Arial" w:hAnsi="Arial" w:cs="Arial"/>
                <w:color w:val="000000"/>
                <w:sz w:val="22"/>
                <w:szCs w:val="22"/>
                <w:lang w:eastAsia="en-GB"/>
              </w:rPr>
              <w:t>otal populations</w:t>
            </w:r>
          </w:p>
          <w:p w14:paraId="6801983A" w14:textId="77777777" w:rsidR="00691BC3" w:rsidRPr="00262D51" w:rsidRDefault="00691BC3"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262D51">
              <w:rPr>
                <w:rFonts w:ascii="Arial" w:hAnsi="Arial" w:cs="Arial"/>
                <w:color w:val="000000"/>
                <w:sz w:val="22"/>
                <w:szCs w:val="22"/>
                <w:lang w:eastAsia="en-GB"/>
              </w:rPr>
              <w:t>the equity gap, if any, between Māori and non-Maori populations is no more than two percent.</w:t>
            </w:r>
          </w:p>
          <w:p w14:paraId="2039D6B1" w14:textId="77777777" w:rsidR="00691BC3" w:rsidRPr="00262D51" w:rsidRDefault="00691BC3"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65EE142C" w14:textId="77777777" w:rsidR="00691BC3" w:rsidRPr="00262D51" w:rsidRDefault="00691BC3" w:rsidP="00632E9E">
            <w:pPr>
              <w:autoSpaceDE w:val="0"/>
              <w:autoSpaceDN w:val="0"/>
              <w:adjustRightInd w:val="0"/>
              <w:spacing w:before="60" w:after="60" w:line="240" w:lineRule="atLeast"/>
              <w:ind w:left="15"/>
              <w:rPr>
                <w:rFonts w:ascii="Arial" w:hAnsi="Arial" w:cs="Arial"/>
                <w:color w:val="000000"/>
                <w:sz w:val="22"/>
                <w:szCs w:val="22"/>
                <w:lang w:eastAsia="en-GB"/>
              </w:rPr>
            </w:pPr>
            <w:r w:rsidRPr="00262D51">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21EF813B"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051C7AF"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lastRenderedPageBreak/>
              <w:t>Partially Achieved</w:t>
            </w:r>
          </w:p>
        </w:tc>
        <w:tc>
          <w:tcPr>
            <w:tcW w:w="7380" w:type="dxa"/>
            <w:tcBorders>
              <w:top w:val="single" w:sz="4" w:space="0" w:color="auto"/>
              <w:left w:val="single" w:sz="4" w:space="0" w:color="auto"/>
              <w:bottom w:val="single" w:sz="4" w:space="0" w:color="auto"/>
              <w:right w:val="single" w:sz="4" w:space="0" w:color="auto"/>
            </w:tcBorders>
          </w:tcPr>
          <w:p w14:paraId="2C664756"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does not meet any criteria for “Not Achieved” and has:</w:t>
            </w:r>
          </w:p>
          <w:p w14:paraId="6ACB8202"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 xml:space="preserve">immunisation coverage that is between 90 and 94 percent for children at </w:t>
            </w:r>
            <w:r>
              <w:rPr>
                <w:rFonts w:ascii="Arial" w:hAnsi="Arial" w:cs="Arial"/>
                <w:sz w:val="22"/>
                <w:szCs w:val="22"/>
                <w:lang w:val="en-GB" w:eastAsia="en-GB"/>
              </w:rPr>
              <w:t>five years</w:t>
            </w:r>
            <w:r w:rsidRPr="00262D51">
              <w:rPr>
                <w:rFonts w:ascii="Arial" w:hAnsi="Arial" w:cs="Arial"/>
                <w:sz w:val="22"/>
                <w:szCs w:val="22"/>
                <w:lang w:val="en-GB" w:eastAsia="en-GB"/>
              </w:rPr>
              <w:t xml:space="preserve"> of age for each of the Māori, Pacific (where relevant), and </w:t>
            </w:r>
            <w:r>
              <w:rPr>
                <w:rFonts w:ascii="Arial" w:hAnsi="Arial" w:cs="Arial"/>
                <w:sz w:val="22"/>
                <w:szCs w:val="22"/>
                <w:lang w:val="en-GB" w:eastAsia="en-GB"/>
              </w:rPr>
              <w:t>t</w:t>
            </w:r>
            <w:r w:rsidRPr="00262D51">
              <w:rPr>
                <w:rFonts w:ascii="Arial" w:hAnsi="Arial" w:cs="Arial"/>
                <w:sz w:val="22"/>
                <w:szCs w:val="22"/>
                <w:lang w:val="en-GB" w:eastAsia="en-GB"/>
              </w:rPr>
              <w:t>otal populations, and</w:t>
            </w:r>
          </w:p>
          <w:p w14:paraId="1C4789C7" w14:textId="77777777" w:rsidR="00691BC3" w:rsidRPr="00262D51" w:rsidRDefault="00691BC3"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262D51">
              <w:rPr>
                <w:rFonts w:ascii="Arial" w:hAnsi="Arial" w:cs="Arial"/>
                <w:sz w:val="22"/>
                <w:szCs w:val="22"/>
                <w:lang w:val="en-GB" w:eastAsia="en-GB"/>
              </w:rPr>
              <w:t>any equity gap between Māori and non-Māori populations is less than five percent</w:t>
            </w:r>
          </w:p>
          <w:p w14:paraId="7F7D654A"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The DHB must provide evidence that they are working towards improvement of immunisation coverage and elimination of equity gaps.</w:t>
            </w:r>
          </w:p>
          <w:p w14:paraId="08A3CB76"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0EC11FD9"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0"/>
                <w:szCs w:val="20"/>
                <w:lang w:val="en-GB"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91BC3" w:rsidRPr="00262D51" w14:paraId="5E85DC97"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7C3D6D27"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262D51">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tcPr>
          <w:p w14:paraId="5B915E43" w14:textId="77777777" w:rsidR="00691BC3" w:rsidRPr="00262D51" w:rsidRDefault="00691BC3"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The DHB has:</w:t>
            </w:r>
          </w:p>
          <w:p w14:paraId="72DA1C29"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immunisation coverage that is less than 90 percent for children at age </w:t>
            </w:r>
            <w:r>
              <w:rPr>
                <w:rFonts w:ascii="Arial" w:eastAsia="Calibri" w:hAnsi="Arial" w:cs="Arial"/>
                <w:sz w:val="22"/>
                <w:szCs w:val="22"/>
                <w:lang w:val="en-GB" w:eastAsia="en-GB"/>
              </w:rPr>
              <w:t>five years</w:t>
            </w:r>
            <w:r w:rsidRPr="00262D51">
              <w:rPr>
                <w:rFonts w:ascii="Arial" w:eastAsia="Calibri" w:hAnsi="Arial" w:cs="Arial"/>
                <w:sz w:val="22"/>
                <w:szCs w:val="22"/>
                <w:lang w:val="en-GB" w:eastAsia="en-GB"/>
              </w:rPr>
              <w:t xml:space="preserve"> for any of the Māori, Pacific (where relevant), or Total populations, and/or</w:t>
            </w:r>
          </w:p>
          <w:p w14:paraId="34773958"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 xml:space="preserve">an equity gap of five percent or more between Māori and non-Māori populations, and/or </w:t>
            </w:r>
          </w:p>
          <w:p w14:paraId="5CDFC6E6" w14:textId="77777777" w:rsidR="00691BC3" w:rsidRPr="00262D51" w:rsidRDefault="00691BC3"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262D51">
              <w:rPr>
                <w:rFonts w:ascii="Arial" w:eastAsia="Calibri" w:hAnsi="Arial" w:cs="Arial"/>
                <w:sz w:val="22"/>
                <w:szCs w:val="22"/>
                <w:lang w:val="en-GB" w:eastAsia="en-GB"/>
              </w:rPr>
              <w:t>not provided an adequate resolution plan to improve coverage and/or eliminate equity gaps.</w:t>
            </w:r>
          </w:p>
          <w:p w14:paraId="0FDE4EE8" w14:textId="77777777" w:rsidR="00691BC3" w:rsidRPr="00262D51" w:rsidRDefault="00691BC3"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tc>
      </w:tr>
    </w:tbl>
    <w:p w14:paraId="506C838B" w14:textId="77777777" w:rsidR="00691BC3" w:rsidRPr="00010026" w:rsidRDefault="00691BC3" w:rsidP="00691BC3">
      <w:pPr>
        <w:shd w:val="clear" w:color="auto" w:fill="FFFFFF"/>
        <w:autoSpaceDE w:val="0"/>
        <w:autoSpaceDN w:val="0"/>
        <w:adjustRightInd w:val="0"/>
        <w:spacing w:before="60" w:after="60" w:line="240" w:lineRule="atLeast"/>
        <w:jc w:val="both"/>
        <w:rPr>
          <w:rFonts w:ascii="Arial" w:hAnsi="Arial" w:cs="Arial"/>
          <w:b/>
          <w:color w:val="000000"/>
          <w:u w:val="single"/>
        </w:rPr>
      </w:pPr>
    </w:p>
    <w:p w14:paraId="6DFF3A8B" w14:textId="77777777" w:rsidR="00691BC3" w:rsidRPr="00010026" w:rsidRDefault="00691BC3" w:rsidP="00691BC3">
      <w:pPr>
        <w:spacing w:before="60" w:after="60"/>
        <w:jc w:val="both"/>
        <w:rPr>
          <w:rFonts w:ascii="Arial" w:hAnsi="Arial" w:cs="Arial"/>
          <w:b/>
        </w:rPr>
      </w:pPr>
    </w:p>
    <w:p w14:paraId="7375D889" w14:textId="77777777" w:rsidR="00691BC3" w:rsidRPr="00010026" w:rsidRDefault="00691BC3" w:rsidP="00691BC3">
      <w:pPr>
        <w:shd w:val="clear" w:color="auto" w:fill="FFFFFF"/>
        <w:spacing w:before="60" w:after="60"/>
        <w:jc w:val="both"/>
        <w:rPr>
          <w:rFonts w:ascii="Arial" w:hAnsi="Arial" w:cs="Arial"/>
          <w:b/>
          <w:bCs/>
          <w:color w:val="000000"/>
          <w:sz w:val="28"/>
          <w:szCs w:val="28"/>
          <w:u w:val="single"/>
        </w:rPr>
      </w:pPr>
      <w:r>
        <w:rPr>
          <w:rFonts w:ascii="Arial" w:hAnsi="Arial" w:cs="Arial"/>
          <w:b/>
          <w:sz w:val="28"/>
          <w:szCs w:val="28"/>
          <w:u w:val="single"/>
          <w:lang w:val="en-GB"/>
        </w:rPr>
        <w:t>Focus area 3</w:t>
      </w:r>
      <w:r w:rsidRPr="00010026">
        <w:rPr>
          <w:rFonts w:ascii="Arial" w:hAnsi="Arial" w:cs="Arial"/>
          <w:b/>
          <w:sz w:val="28"/>
          <w:szCs w:val="28"/>
          <w:u w:val="single"/>
          <w:lang w:val="en-GB"/>
        </w:rPr>
        <w:t>:</w:t>
      </w:r>
      <w:r w:rsidRPr="00010026">
        <w:rPr>
          <w:rFonts w:ascii="Arial" w:hAnsi="Arial" w:cs="Arial"/>
          <w:b/>
          <w:bCs/>
          <w:color w:val="000000"/>
          <w:sz w:val="28"/>
          <w:szCs w:val="28"/>
          <w:u w:val="single"/>
        </w:rPr>
        <w:t xml:space="preserve"> HPV coverage</w:t>
      </w:r>
    </w:p>
    <w:p w14:paraId="0B00EB4C" w14:textId="77777777" w:rsidR="00691BC3" w:rsidRPr="00010026" w:rsidRDefault="00691BC3" w:rsidP="00691BC3">
      <w:pPr>
        <w:shd w:val="clear" w:color="auto" w:fill="FFFFFF"/>
        <w:spacing w:before="60" w:after="60"/>
        <w:jc w:val="both"/>
        <w:rPr>
          <w:rFonts w:ascii="Arial" w:hAnsi="Arial" w:cs="Arial"/>
          <w:b/>
          <w:bCs/>
          <w:color w:val="000000"/>
          <w:sz w:val="28"/>
          <w:szCs w:val="28"/>
          <w:u w:val="single"/>
        </w:rPr>
      </w:pPr>
      <w:r>
        <w:rPr>
          <w:rFonts w:ascii="Arial" w:hAnsi="Arial" w:cs="Arial"/>
          <w:b/>
          <w:bCs/>
          <w:color w:val="000000"/>
          <w:sz w:val="28"/>
          <w:szCs w:val="28"/>
          <w:u w:val="single"/>
        </w:rPr>
        <w:t xml:space="preserve"> </w:t>
      </w:r>
    </w:p>
    <w:p w14:paraId="3D4F68E6" w14:textId="77777777" w:rsidR="00691BC3" w:rsidRPr="003C6348" w:rsidRDefault="00691BC3" w:rsidP="00691BC3">
      <w:pPr>
        <w:shd w:val="clear" w:color="auto" w:fill="FFFFFF"/>
        <w:spacing w:before="120" w:after="120"/>
        <w:jc w:val="both"/>
        <w:rPr>
          <w:rFonts w:ascii="Arial" w:hAnsi="Arial" w:cs="Arial"/>
          <w:b/>
        </w:rPr>
      </w:pPr>
      <w:r>
        <w:rPr>
          <w:rFonts w:ascii="Arial" w:hAnsi="Arial" w:cs="Arial"/>
          <w:b/>
        </w:rPr>
        <w:t>Deliverable definition</w:t>
      </w:r>
    </w:p>
    <w:p w14:paraId="2A78126D" w14:textId="77777777" w:rsidR="00691BC3" w:rsidRPr="00AE4F6B" w:rsidRDefault="00691BC3" w:rsidP="00691BC3">
      <w:pPr>
        <w:spacing w:before="120" w:after="120"/>
        <w:rPr>
          <w:rFonts w:ascii="Arial" w:hAnsi="Arial" w:cs="Times"/>
          <w:b/>
          <w:sz w:val="22"/>
          <w:szCs w:val="22"/>
          <w:u w:val="single"/>
          <w:lang w:eastAsia="en-GB"/>
        </w:rPr>
      </w:pPr>
      <w:r>
        <w:rPr>
          <w:rFonts w:ascii="Arial" w:hAnsi="Arial" w:cs="Times"/>
          <w:b/>
          <w:sz w:val="22"/>
          <w:szCs w:val="22"/>
          <w:u w:val="single"/>
          <w:lang w:eastAsia="en-GB"/>
        </w:rPr>
        <w:t>Percentage of eligible girls and boys</w:t>
      </w:r>
      <w:r w:rsidRPr="00AE4F6B">
        <w:rPr>
          <w:rFonts w:ascii="Arial" w:hAnsi="Arial" w:cs="Times"/>
          <w:b/>
          <w:sz w:val="22"/>
          <w:szCs w:val="22"/>
          <w:u w:val="single"/>
          <w:lang w:eastAsia="en-GB"/>
        </w:rPr>
        <w:t xml:space="preserve"> ful</w:t>
      </w:r>
      <w:r>
        <w:rPr>
          <w:rFonts w:ascii="Arial" w:hAnsi="Arial" w:cs="Times"/>
          <w:b/>
          <w:sz w:val="22"/>
          <w:szCs w:val="22"/>
          <w:u w:val="single"/>
          <w:lang w:eastAsia="en-GB"/>
        </w:rPr>
        <w:t>ly immunised with HPV vaccine</w:t>
      </w:r>
      <w:r w:rsidRPr="00AE4F6B">
        <w:rPr>
          <w:rFonts w:ascii="Arial" w:hAnsi="Arial" w:cs="Times"/>
          <w:b/>
          <w:sz w:val="22"/>
          <w:szCs w:val="22"/>
          <w:u w:val="single"/>
          <w:lang w:eastAsia="en-GB"/>
        </w:rPr>
        <w:t xml:space="preserve"> for Māori, Pacific (where relevant), and </w:t>
      </w:r>
      <w:r>
        <w:rPr>
          <w:rFonts w:ascii="Arial" w:hAnsi="Arial" w:cs="Times"/>
          <w:b/>
          <w:sz w:val="22"/>
          <w:szCs w:val="22"/>
          <w:u w:val="single"/>
          <w:lang w:eastAsia="en-GB"/>
        </w:rPr>
        <w:t>t</w:t>
      </w:r>
      <w:r w:rsidRPr="00AE4F6B">
        <w:rPr>
          <w:rFonts w:ascii="Arial" w:hAnsi="Arial" w:cs="Times"/>
          <w:b/>
          <w:sz w:val="22"/>
          <w:szCs w:val="22"/>
          <w:u w:val="single"/>
          <w:lang w:eastAsia="en-GB"/>
        </w:rPr>
        <w:t>otal populations</w:t>
      </w:r>
    </w:p>
    <w:p w14:paraId="5B67B564" w14:textId="77777777" w:rsidR="00691BC3" w:rsidRDefault="00691BC3" w:rsidP="00691BC3">
      <w:pPr>
        <w:shd w:val="clear" w:color="auto" w:fill="FFFFFF"/>
        <w:spacing w:before="120" w:after="120"/>
        <w:jc w:val="both"/>
        <w:rPr>
          <w:rFonts w:ascii="Arial" w:hAnsi="Arial" w:cs="Arial"/>
          <w:lang w:val="en-GB"/>
        </w:rPr>
      </w:pPr>
      <w:r w:rsidRPr="00AE4F6B">
        <w:rPr>
          <w:rFonts w:ascii="Arial" w:hAnsi="Arial" w:cs="Arial"/>
          <w:lang w:val="en-GB"/>
        </w:rPr>
        <w:t xml:space="preserve">The expectation of this measure is that DHBs will provide equitable immunisation coverage across their Māori, Pacific (where relevant) and </w:t>
      </w:r>
      <w:r>
        <w:rPr>
          <w:rFonts w:ascii="Arial" w:hAnsi="Arial" w:cs="Arial"/>
          <w:lang w:val="en-GB"/>
        </w:rPr>
        <w:t>t</w:t>
      </w:r>
      <w:r w:rsidRPr="00AE4F6B">
        <w:rPr>
          <w:rFonts w:ascii="Arial" w:hAnsi="Arial" w:cs="Arial"/>
          <w:lang w:val="en-GB"/>
        </w:rPr>
        <w:t>otal po</w:t>
      </w:r>
      <w:r>
        <w:rPr>
          <w:rFonts w:ascii="Arial" w:hAnsi="Arial" w:cs="Arial"/>
          <w:lang w:val="en-GB"/>
        </w:rPr>
        <w:t>pulations, aiming at coverage of 75</w:t>
      </w:r>
      <w:r w:rsidRPr="00AE4F6B">
        <w:rPr>
          <w:rFonts w:ascii="Arial" w:hAnsi="Arial" w:cs="Arial"/>
          <w:lang w:val="en-GB"/>
        </w:rPr>
        <w:t xml:space="preserve"> percent for each group</w:t>
      </w:r>
      <w:r>
        <w:rPr>
          <w:rFonts w:ascii="Arial" w:hAnsi="Arial" w:cs="Arial"/>
          <w:lang w:val="en-GB"/>
        </w:rPr>
        <w:t xml:space="preserve"> for those in the relevant birth cohort. </w:t>
      </w:r>
    </w:p>
    <w:p w14:paraId="34A69658" w14:textId="74247DE8" w:rsidR="00691BC3" w:rsidRDefault="00691BC3" w:rsidP="00691BC3">
      <w:pPr>
        <w:shd w:val="clear" w:color="auto" w:fill="FFFFFF"/>
        <w:spacing w:before="120" w:after="120"/>
        <w:jc w:val="both"/>
        <w:rPr>
          <w:rFonts w:ascii="Arial" w:hAnsi="Arial" w:cs="Arial"/>
          <w:lang w:val="en-GB"/>
        </w:rPr>
      </w:pPr>
      <w:r>
        <w:rPr>
          <w:rFonts w:ascii="Arial" w:hAnsi="Arial" w:cs="Arial"/>
          <w:lang w:val="en-GB"/>
        </w:rPr>
        <w:t xml:space="preserve">Note </w:t>
      </w:r>
      <w:r w:rsidRPr="003C6348">
        <w:rPr>
          <w:rFonts w:ascii="Arial" w:hAnsi="Arial" w:cs="Arial"/>
          <w:lang w:val="en-GB"/>
        </w:rPr>
        <w:t xml:space="preserve">that from 2019/20, the indicator includes HPV immunisation coverage for both girls and boys. </w:t>
      </w:r>
    </w:p>
    <w:p w14:paraId="75E27FB6" w14:textId="77777777" w:rsidR="00691BC3" w:rsidRPr="00010026" w:rsidRDefault="00691BC3" w:rsidP="00691BC3">
      <w:pPr>
        <w:shd w:val="clear" w:color="auto" w:fill="FFFFFF"/>
        <w:spacing w:before="120" w:after="120"/>
        <w:jc w:val="both"/>
        <w:rPr>
          <w:rFonts w:ascii="Arial" w:hAnsi="Arial" w:cs="Arial"/>
          <w:lang w:val="en-GB"/>
        </w:rPr>
      </w:pPr>
      <w:r w:rsidRPr="00AE4F6B">
        <w:rPr>
          <w:rFonts w:ascii="Arial" w:hAnsi="Arial" w:cs="Arial"/>
          <w:lang w:val="en-GB"/>
        </w:rPr>
        <w:t>Immunisation coverage for eligible children will be measured annually in quarter four using the applicable NIR</w:t>
      </w:r>
      <w:r>
        <w:rPr>
          <w:rFonts w:ascii="Arial" w:hAnsi="Arial" w:cs="Arial"/>
          <w:lang w:val="en-GB"/>
        </w:rPr>
        <w:t xml:space="preserve"> DataMart</w:t>
      </w:r>
      <w:r w:rsidRPr="00AE4F6B">
        <w:rPr>
          <w:rFonts w:ascii="Arial" w:hAnsi="Arial" w:cs="Arial"/>
          <w:lang w:val="en-GB"/>
        </w:rPr>
        <w:t xml:space="preserve">-derived report. The coverage will be reported for </w:t>
      </w:r>
      <w:r>
        <w:rPr>
          <w:rFonts w:ascii="Arial" w:hAnsi="Arial" w:cs="Arial"/>
          <w:lang w:val="en-GB"/>
        </w:rPr>
        <w:t>t</w:t>
      </w:r>
      <w:r w:rsidRPr="00AE4F6B">
        <w:rPr>
          <w:rFonts w:ascii="Arial" w:hAnsi="Arial" w:cs="Arial"/>
          <w:lang w:val="en-GB"/>
        </w:rPr>
        <w:t xml:space="preserve">otal, Māori, and (where relevant) Pacific, Asian, and Other (including New Zealand European). </w:t>
      </w:r>
      <w:r>
        <w:rPr>
          <w:rFonts w:ascii="Arial" w:hAnsi="Arial" w:cs="Arial"/>
          <w:lang w:val="en-GB"/>
        </w:rPr>
        <w:t xml:space="preserve">The report includes all HPV vaccines given at any time up until 30 June of the reporting year. </w:t>
      </w:r>
    </w:p>
    <w:p w14:paraId="0D4A6FD7" w14:textId="77777777" w:rsidR="00691BC3" w:rsidRPr="00010026" w:rsidRDefault="00691BC3" w:rsidP="00691BC3">
      <w:pPr>
        <w:shd w:val="clear" w:color="auto" w:fill="FFFFFF"/>
        <w:spacing w:before="120" w:after="120"/>
        <w:ind w:left="1440"/>
        <w:jc w:val="both"/>
        <w:rPr>
          <w:rFonts w:ascii="Arial" w:hAnsi="Arial" w:cs="Arial"/>
        </w:rPr>
      </w:pPr>
    </w:p>
    <w:p w14:paraId="7BB1555B" w14:textId="77777777" w:rsidR="00691BC3" w:rsidRPr="00010026" w:rsidRDefault="00691BC3" w:rsidP="00691BC3">
      <w:pPr>
        <w:shd w:val="clear" w:color="auto" w:fill="FFFFFF"/>
        <w:spacing w:before="120" w:after="120"/>
        <w:jc w:val="both"/>
        <w:rPr>
          <w:rFonts w:ascii="Arial" w:hAnsi="Arial" w:cs="Arial"/>
          <w:b/>
          <w:i/>
        </w:rPr>
      </w:pPr>
      <w:r w:rsidRPr="00010026">
        <w:rPr>
          <w:rFonts w:ascii="Arial" w:hAnsi="Arial" w:cs="Arial"/>
          <w:b/>
          <w:i/>
        </w:rPr>
        <w:t>Numerator</w:t>
      </w:r>
    </w:p>
    <w:p w14:paraId="5D24847C" w14:textId="77777777" w:rsidR="00691BC3" w:rsidRPr="00010026" w:rsidRDefault="00691BC3" w:rsidP="00691BC3">
      <w:pPr>
        <w:shd w:val="clear" w:color="auto" w:fill="FFFFFF"/>
        <w:spacing w:before="120" w:after="120"/>
        <w:jc w:val="both"/>
        <w:rPr>
          <w:rFonts w:ascii="Arial" w:hAnsi="Arial" w:cs="Arial"/>
          <w:i/>
        </w:rPr>
      </w:pPr>
      <w:r w:rsidRPr="00010026">
        <w:rPr>
          <w:rFonts w:ascii="Arial" w:hAnsi="Arial" w:cs="Arial"/>
        </w:rPr>
        <w:t xml:space="preserve">The number of girls </w:t>
      </w:r>
      <w:r>
        <w:rPr>
          <w:rFonts w:ascii="Arial" w:hAnsi="Arial" w:cs="Arial"/>
        </w:rPr>
        <w:t xml:space="preserve">and boys </w:t>
      </w:r>
      <w:r w:rsidRPr="00010026">
        <w:rPr>
          <w:rFonts w:ascii="Arial" w:hAnsi="Arial" w:cs="Arial"/>
        </w:rPr>
        <w:t>born in the relevant birth cohort who have completed their HPV immunisation course as per Schedule and recorded on the NIR.</w:t>
      </w:r>
      <w:r w:rsidRPr="001D53D5">
        <w:t xml:space="preserve"> </w:t>
      </w:r>
      <w:r w:rsidRPr="001D53D5">
        <w:rPr>
          <w:rFonts w:ascii="Arial" w:hAnsi="Arial" w:cs="Arial"/>
        </w:rPr>
        <w:t>The report includes all HPV vaccines given at any time up until 30 June of the reporting year.</w:t>
      </w:r>
    </w:p>
    <w:p w14:paraId="5CFB6FC6" w14:textId="77777777" w:rsidR="00691BC3" w:rsidRPr="00010026" w:rsidRDefault="00691BC3" w:rsidP="00691BC3">
      <w:pPr>
        <w:shd w:val="clear" w:color="auto" w:fill="FFFFFF"/>
        <w:spacing w:before="120" w:after="120"/>
        <w:jc w:val="both"/>
        <w:rPr>
          <w:rFonts w:ascii="Arial" w:hAnsi="Arial" w:cs="Arial"/>
          <w:i/>
        </w:rPr>
      </w:pPr>
    </w:p>
    <w:p w14:paraId="27E95DDC" w14:textId="77777777" w:rsidR="007F5CA8" w:rsidRDefault="007F5CA8" w:rsidP="00691BC3">
      <w:pPr>
        <w:shd w:val="clear" w:color="auto" w:fill="FFFFFF"/>
        <w:spacing w:before="120" w:after="120"/>
        <w:jc w:val="both"/>
        <w:rPr>
          <w:rFonts w:ascii="Arial" w:hAnsi="Arial" w:cs="Arial"/>
          <w:b/>
          <w:i/>
        </w:rPr>
      </w:pPr>
    </w:p>
    <w:p w14:paraId="49EEC590" w14:textId="77777777" w:rsidR="007F5CA8" w:rsidRDefault="007F5CA8" w:rsidP="00691BC3">
      <w:pPr>
        <w:shd w:val="clear" w:color="auto" w:fill="FFFFFF"/>
        <w:spacing w:before="120" w:after="120"/>
        <w:jc w:val="both"/>
        <w:rPr>
          <w:rFonts w:ascii="Arial" w:hAnsi="Arial" w:cs="Arial"/>
          <w:b/>
          <w:i/>
        </w:rPr>
      </w:pPr>
    </w:p>
    <w:p w14:paraId="34FBD9E5" w14:textId="3EC29584" w:rsidR="00691BC3" w:rsidRPr="00010026" w:rsidRDefault="00691BC3" w:rsidP="00691BC3">
      <w:pPr>
        <w:shd w:val="clear" w:color="auto" w:fill="FFFFFF"/>
        <w:spacing w:before="120" w:after="120"/>
        <w:jc w:val="both"/>
        <w:rPr>
          <w:rFonts w:ascii="Arial" w:hAnsi="Arial" w:cs="Arial"/>
          <w:b/>
          <w:i/>
        </w:rPr>
      </w:pPr>
      <w:r w:rsidRPr="00010026">
        <w:rPr>
          <w:rFonts w:ascii="Arial" w:hAnsi="Arial" w:cs="Arial"/>
          <w:b/>
          <w:i/>
        </w:rPr>
        <w:lastRenderedPageBreak/>
        <w:t>Denominator</w:t>
      </w:r>
    </w:p>
    <w:p w14:paraId="3CE2ED4D" w14:textId="77777777" w:rsidR="00691BC3" w:rsidRPr="00010026" w:rsidRDefault="00691BC3" w:rsidP="00691BC3">
      <w:pPr>
        <w:shd w:val="clear" w:color="auto" w:fill="FFFFFF"/>
        <w:spacing w:before="120" w:after="120"/>
        <w:jc w:val="both"/>
        <w:rPr>
          <w:rFonts w:ascii="Arial" w:hAnsi="Arial" w:cs="Arial"/>
        </w:rPr>
      </w:pPr>
      <w:r>
        <w:rPr>
          <w:rFonts w:ascii="Arial" w:hAnsi="Arial" w:cs="Arial"/>
        </w:rPr>
        <w:t>For those born from 2006 onwards, the denominator will be t</w:t>
      </w:r>
      <w:r w:rsidRPr="00010026">
        <w:rPr>
          <w:rFonts w:ascii="Arial" w:hAnsi="Arial" w:cs="Arial"/>
        </w:rPr>
        <w:t xml:space="preserve">he eligible population </w:t>
      </w:r>
      <w:r>
        <w:rPr>
          <w:rFonts w:ascii="Arial" w:hAnsi="Arial" w:cs="Arial"/>
        </w:rPr>
        <w:t xml:space="preserve">enrolled on NIR. For those born in 2005 or earlier, the denominator is the </w:t>
      </w:r>
      <w:r w:rsidRPr="00010026">
        <w:rPr>
          <w:rFonts w:ascii="Arial" w:hAnsi="Arial" w:cs="Arial"/>
        </w:rPr>
        <w:t>estimated from the</w:t>
      </w:r>
      <w:r w:rsidRPr="00010026">
        <w:t xml:space="preserve"> </w:t>
      </w:r>
      <w:r>
        <w:rPr>
          <w:rFonts w:ascii="Arial" w:hAnsi="Arial" w:cs="Arial"/>
        </w:rPr>
        <w:t>c</w:t>
      </w:r>
      <w:r w:rsidRPr="00010026">
        <w:rPr>
          <w:rFonts w:ascii="Arial" w:hAnsi="Arial" w:cs="Arial"/>
        </w:rPr>
        <w:t>ensus population projection denominator for the relevant birth cohort.</w:t>
      </w:r>
      <w:r>
        <w:rPr>
          <w:rFonts w:ascii="Arial" w:hAnsi="Arial" w:cs="Arial"/>
        </w:rPr>
        <w:t xml:space="preserve">      </w:t>
      </w:r>
      <w:r w:rsidRPr="00010026">
        <w:rPr>
          <w:rFonts w:ascii="Arial" w:hAnsi="Arial" w:cs="Arial"/>
        </w:rPr>
        <w:t xml:space="preserve">  </w:t>
      </w:r>
    </w:p>
    <w:p w14:paraId="68B664E8" w14:textId="77777777" w:rsidR="00691BC3" w:rsidRPr="00010026" w:rsidRDefault="00691BC3" w:rsidP="00691BC3">
      <w:pPr>
        <w:shd w:val="clear" w:color="auto" w:fill="FFFFFF"/>
        <w:spacing w:before="120" w:after="120"/>
        <w:jc w:val="both"/>
        <w:rPr>
          <w:rFonts w:ascii="Arial" w:hAnsi="Arial" w:cs="Arial"/>
        </w:rPr>
      </w:pPr>
      <w:r>
        <w:rPr>
          <w:rFonts w:ascii="Arial" w:hAnsi="Arial" w:cs="Arial"/>
        </w:rPr>
        <w:t xml:space="preserve">Note that in 2019 it is anticipated the Ministry of Health will change the reporting platform from a Business Objects platform to a Qlik application-based reporting system. The Ministry will continue to provide authorised users with direct access to the relevant reports for quarterly reporting requirements. </w:t>
      </w:r>
      <w:r w:rsidRPr="00010026">
        <w:rPr>
          <w:rFonts w:ascii="Arial" w:hAnsi="Arial" w:cs="Arial"/>
        </w:rPr>
        <w:t>The Ministry will also provide DHBs with excel and pd</w:t>
      </w:r>
      <w:r>
        <w:rPr>
          <w:rFonts w:ascii="Arial" w:hAnsi="Arial" w:cs="Arial"/>
        </w:rPr>
        <w:t xml:space="preserve">f versions of the NIR DataMart-derived </w:t>
      </w:r>
      <w:r w:rsidRPr="00010026">
        <w:rPr>
          <w:rFonts w:ascii="Arial" w:hAnsi="Arial" w:cs="Arial"/>
        </w:rPr>
        <w:t>coverage reports in the toolkit section of the DHB Quarterly Database each quarter.</w:t>
      </w:r>
      <w:r w:rsidRPr="00CF27B2">
        <w:t xml:space="preserve"> </w:t>
      </w:r>
      <w:r w:rsidRPr="00CF27B2">
        <w:rPr>
          <w:rFonts w:ascii="Arial" w:hAnsi="Arial" w:cs="Arial"/>
        </w:rPr>
        <w:t>DHBs are expected to use these reports to provide exception qualitative reports and/or use this mechanism to raise issues with the Ministry.</w:t>
      </w:r>
    </w:p>
    <w:p w14:paraId="384A127D" w14:textId="77777777" w:rsidR="00691BC3" w:rsidRPr="00010026" w:rsidRDefault="00691BC3" w:rsidP="00691BC3">
      <w:pPr>
        <w:shd w:val="clear" w:color="auto" w:fill="FFFFFF"/>
        <w:spacing w:before="120" w:after="120"/>
        <w:jc w:val="both"/>
        <w:rPr>
          <w:rFonts w:ascii="Arial" w:hAnsi="Arial" w:cs="Arial"/>
        </w:rPr>
      </w:pPr>
    </w:p>
    <w:p w14:paraId="0CB42911" w14:textId="77777777" w:rsidR="00691BC3" w:rsidRDefault="00691BC3" w:rsidP="00691BC3">
      <w:pPr>
        <w:spacing w:before="120" w:after="120"/>
        <w:jc w:val="both"/>
        <w:rPr>
          <w:rFonts w:ascii="Arial" w:hAnsi="Arial" w:cs="Arial"/>
          <w:b/>
          <w:color w:val="000000"/>
        </w:rPr>
      </w:pPr>
    </w:p>
    <w:p w14:paraId="76983AFA" w14:textId="77777777" w:rsidR="00691BC3" w:rsidRPr="001D53D5" w:rsidRDefault="00691BC3" w:rsidP="00691BC3">
      <w:pPr>
        <w:spacing w:before="120" w:after="120"/>
        <w:jc w:val="both"/>
        <w:rPr>
          <w:rFonts w:ascii="Arial" w:hAnsi="Arial" w:cs="Arial"/>
          <w:b/>
          <w:color w:val="000000"/>
        </w:rPr>
      </w:pPr>
      <w:r w:rsidRPr="00010026">
        <w:rPr>
          <w:rFonts w:ascii="Arial" w:hAnsi="Arial" w:cs="Arial"/>
          <w:b/>
          <w:color w:val="000000"/>
        </w:rPr>
        <w:t>Reporting period</w:t>
      </w:r>
    </w:p>
    <w:p w14:paraId="491B85CD" w14:textId="77777777" w:rsidR="00691BC3" w:rsidRPr="00010026" w:rsidRDefault="00691BC3" w:rsidP="00691BC3">
      <w:pPr>
        <w:shd w:val="clear" w:color="auto" w:fill="FFFFFF"/>
        <w:spacing w:before="120" w:after="120"/>
        <w:jc w:val="both"/>
        <w:rPr>
          <w:rFonts w:ascii="Arial" w:hAnsi="Arial" w:cs="Arial"/>
        </w:rPr>
      </w:pPr>
      <w:r w:rsidRPr="00010026">
        <w:rPr>
          <w:rFonts w:ascii="Arial" w:hAnsi="Arial" w:cs="Arial"/>
        </w:rPr>
        <w:t>For HPV immunisation, coverage is to be reported at the end of quarter four (30 June) for the birth cohort defined by th</w:t>
      </w:r>
      <w:r>
        <w:rPr>
          <w:rFonts w:ascii="Arial" w:hAnsi="Arial" w:cs="Arial"/>
        </w:rPr>
        <w:t>e measure</w:t>
      </w:r>
      <w:r w:rsidRPr="00010026">
        <w:rPr>
          <w:rFonts w:ascii="Arial" w:hAnsi="Arial" w:cs="Arial"/>
        </w:rPr>
        <w:t xml:space="preserve">.  </w:t>
      </w:r>
    </w:p>
    <w:p w14:paraId="3FE8E26A" w14:textId="77777777" w:rsidR="00691BC3" w:rsidRDefault="00691BC3" w:rsidP="00691BC3">
      <w:pPr>
        <w:spacing w:before="60" w:after="60"/>
        <w:jc w:val="both"/>
        <w:rPr>
          <w:rFonts w:ascii="Arial" w:hAnsi="Arial" w:cs="Arial"/>
          <w:b/>
          <w:color w:val="000000"/>
        </w:rPr>
      </w:pPr>
    </w:p>
    <w:p w14:paraId="6442C749" w14:textId="77777777" w:rsidR="00691BC3" w:rsidRPr="00010026" w:rsidRDefault="00691BC3" w:rsidP="00691BC3">
      <w:pPr>
        <w:spacing w:before="120" w:after="120"/>
        <w:jc w:val="both"/>
        <w:rPr>
          <w:rFonts w:ascii="Arial" w:hAnsi="Arial" w:cs="Arial"/>
          <w:b/>
          <w:color w:val="000000"/>
        </w:rPr>
      </w:pPr>
      <w:r w:rsidRPr="00010026">
        <w:rPr>
          <w:rFonts w:ascii="Arial" w:hAnsi="Arial" w:cs="Arial"/>
          <w:b/>
          <w:color w:val="000000"/>
        </w:rPr>
        <w:t>Expectations</w:t>
      </w:r>
    </w:p>
    <w:p w14:paraId="70E41FFF" w14:textId="13CAD164" w:rsidR="00691BC3" w:rsidRDefault="00243A7B" w:rsidP="00691BC3">
      <w:pPr>
        <w:spacing w:before="120" w:after="120"/>
        <w:jc w:val="both"/>
      </w:pPr>
      <w:r>
        <w:rPr>
          <w:rFonts w:ascii="Arial" w:hAnsi="Arial" w:cs="Arial"/>
          <w:color w:val="000000"/>
        </w:rPr>
        <w:t>For 202</w:t>
      </w:r>
      <w:r w:rsidR="00E81931">
        <w:rPr>
          <w:rFonts w:ascii="Arial" w:hAnsi="Arial" w:cs="Arial"/>
          <w:color w:val="000000"/>
        </w:rPr>
        <w:t>1</w:t>
      </w:r>
      <w:r>
        <w:rPr>
          <w:rFonts w:ascii="Arial" w:hAnsi="Arial" w:cs="Arial"/>
          <w:color w:val="000000"/>
        </w:rPr>
        <w:t>/2</w:t>
      </w:r>
      <w:r w:rsidR="00E81931">
        <w:rPr>
          <w:rFonts w:ascii="Arial" w:hAnsi="Arial" w:cs="Arial"/>
          <w:color w:val="000000"/>
        </w:rPr>
        <w:t>2</w:t>
      </w:r>
      <w:r>
        <w:rPr>
          <w:rFonts w:ascii="Arial" w:hAnsi="Arial" w:cs="Arial"/>
          <w:color w:val="000000"/>
        </w:rPr>
        <w:t xml:space="preserve"> the</w:t>
      </w:r>
      <w:r w:rsidR="00691BC3" w:rsidRPr="00010026">
        <w:rPr>
          <w:rFonts w:ascii="Arial" w:hAnsi="Arial" w:cs="Arial"/>
          <w:color w:val="000000"/>
        </w:rPr>
        <w:t xml:space="preserve"> national target is 75 percent of girls</w:t>
      </w:r>
      <w:r w:rsidR="00691BC3">
        <w:rPr>
          <w:rFonts w:ascii="Arial" w:hAnsi="Arial" w:cs="Arial"/>
          <w:color w:val="000000"/>
        </w:rPr>
        <w:t xml:space="preserve"> and boys</w:t>
      </w:r>
      <w:r w:rsidR="00691BC3" w:rsidRPr="00010026">
        <w:rPr>
          <w:rFonts w:ascii="Arial" w:hAnsi="Arial" w:cs="Arial"/>
          <w:color w:val="000000"/>
        </w:rPr>
        <w:t xml:space="preserve"> born in </w:t>
      </w:r>
      <w:r>
        <w:rPr>
          <w:rFonts w:ascii="Arial" w:hAnsi="Arial" w:cs="Arial"/>
          <w:color w:val="000000"/>
        </w:rPr>
        <w:t xml:space="preserve">the birth cohort </w:t>
      </w:r>
      <w:r w:rsidR="00691BC3" w:rsidRPr="00010026">
        <w:rPr>
          <w:rFonts w:ascii="Arial" w:hAnsi="Arial" w:cs="Arial"/>
          <w:color w:val="000000"/>
        </w:rPr>
        <w:t>20</w:t>
      </w:r>
      <w:r w:rsidR="00691BC3">
        <w:rPr>
          <w:rFonts w:ascii="Arial" w:hAnsi="Arial" w:cs="Arial"/>
          <w:color w:val="000000"/>
        </w:rPr>
        <w:t>0</w:t>
      </w:r>
      <w:r>
        <w:rPr>
          <w:rFonts w:ascii="Arial" w:hAnsi="Arial" w:cs="Arial"/>
          <w:color w:val="000000"/>
        </w:rPr>
        <w:t>7</w:t>
      </w:r>
      <w:r w:rsidR="00691BC3" w:rsidRPr="00010026">
        <w:rPr>
          <w:rFonts w:ascii="Arial" w:hAnsi="Arial" w:cs="Arial"/>
          <w:color w:val="000000"/>
        </w:rPr>
        <w:t xml:space="preserve"> are fully immunised for HPV.</w:t>
      </w:r>
      <w:r w:rsidR="00691BC3" w:rsidRPr="00BD67EF">
        <w:t xml:space="preserve"> </w:t>
      </w:r>
    </w:p>
    <w:p w14:paraId="7AAC69BA" w14:textId="77777777" w:rsidR="00691BC3" w:rsidRPr="00BD67EF" w:rsidRDefault="00691BC3" w:rsidP="00691BC3">
      <w:pPr>
        <w:spacing w:before="120" w:after="120"/>
        <w:jc w:val="both"/>
        <w:rPr>
          <w:rFonts w:ascii="Arial" w:hAnsi="Arial" w:cs="Arial"/>
          <w:color w:val="000000"/>
        </w:rPr>
      </w:pPr>
      <w:r w:rsidRPr="00BD67EF">
        <w:rPr>
          <w:rFonts w:ascii="Arial" w:hAnsi="Arial" w:cs="Arial"/>
          <w:color w:val="000000"/>
        </w:rPr>
        <w:t>The expectation of this measure is that DHBs will provide equitable immunisation coverage across their Māori, Pacific (where relevant) and Total population</w:t>
      </w:r>
      <w:r>
        <w:rPr>
          <w:rFonts w:ascii="Arial" w:hAnsi="Arial" w:cs="Arial"/>
          <w:color w:val="000000"/>
        </w:rPr>
        <w:t>s. DHBs are expected to aim at 7</w:t>
      </w:r>
      <w:r w:rsidRPr="00BD67EF">
        <w:rPr>
          <w:rFonts w:ascii="Arial" w:hAnsi="Arial" w:cs="Arial"/>
          <w:color w:val="000000"/>
        </w:rPr>
        <w:t xml:space="preserve">5 percent </w:t>
      </w:r>
      <w:r>
        <w:rPr>
          <w:rFonts w:ascii="Arial" w:hAnsi="Arial" w:cs="Arial"/>
          <w:color w:val="000000"/>
        </w:rPr>
        <w:t xml:space="preserve">HPV immunisation coverage </w:t>
      </w:r>
      <w:r w:rsidRPr="00BD67EF">
        <w:rPr>
          <w:rFonts w:ascii="Arial" w:hAnsi="Arial" w:cs="Arial"/>
          <w:color w:val="000000"/>
        </w:rPr>
        <w:t>in each of these groups</w:t>
      </w:r>
      <w:r>
        <w:rPr>
          <w:rFonts w:ascii="Arial" w:hAnsi="Arial" w:cs="Arial"/>
          <w:color w:val="000000"/>
        </w:rPr>
        <w:t xml:space="preserve">, and to </w:t>
      </w:r>
      <w:r w:rsidRPr="00BD67EF">
        <w:rPr>
          <w:rFonts w:ascii="Arial" w:hAnsi="Arial" w:cs="Arial"/>
          <w:color w:val="000000"/>
        </w:rPr>
        <w:t>set local targets with the aim of eliminating inequities.</w:t>
      </w:r>
      <w:r>
        <w:rPr>
          <w:rFonts w:ascii="Arial" w:hAnsi="Arial" w:cs="Arial"/>
          <w:color w:val="000000"/>
        </w:rPr>
        <w:t xml:space="preserve"> </w:t>
      </w:r>
      <w:r w:rsidRPr="006966A2">
        <w:rPr>
          <w:rFonts w:ascii="Arial" w:hAnsi="Arial" w:cs="Arial"/>
        </w:rPr>
        <w:t>Ratings are dependent on performance across both the t</w:t>
      </w:r>
      <w:r>
        <w:rPr>
          <w:rFonts w:ascii="Arial" w:hAnsi="Arial" w:cs="Arial"/>
        </w:rPr>
        <w:t xml:space="preserve">otal and Māori populations, </w:t>
      </w:r>
      <w:r w:rsidRPr="006966A2">
        <w:rPr>
          <w:rFonts w:ascii="Arial" w:hAnsi="Arial" w:cs="Arial"/>
        </w:rPr>
        <w:t xml:space="preserve">and additionally the Pacific population for Pacific-priority DHBs. </w:t>
      </w:r>
    </w:p>
    <w:p w14:paraId="4360FA95" w14:textId="77777777" w:rsidR="00691BC3" w:rsidRPr="00CF27B2" w:rsidRDefault="00691BC3" w:rsidP="00691BC3">
      <w:pPr>
        <w:shd w:val="clear" w:color="auto" w:fill="FFFFFF"/>
        <w:spacing w:before="120" w:after="120"/>
        <w:rPr>
          <w:rFonts w:ascii="Arial" w:hAnsi="Arial" w:cs="Arial"/>
          <w:color w:val="000000"/>
        </w:rPr>
      </w:pPr>
      <w:r w:rsidRPr="00CF27B2">
        <w:rPr>
          <w:rFonts w:ascii="Arial" w:hAnsi="Arial" w:cs="Arial"/>
          <w:color w:val="000000"/>
        </w:rPr>
        <w:t xml:space="preserve">If DHBs do not reach the target level of coverage for any of Māori, Pacific (where relevant), or </w:t>
      </w:r>
      <w:r>
        <w:rPr>
          <w:rFonts w:ascii="Arial" w:hAnsi="Arial" w:cs="Arial"/>
          <w:color w:val="000000"/>
        </w:rPr>
        <w:t>Total populations,</w:t>
      </w:r>
      <w:r w:rsidRPr="00CF27B2">
        <w:rPr>
          <w:rFonts w:ascii="Arial" w:hAnsi="Arial" w:cs="Arial"/>
          <w:color w:val="000000"/>
        </w:rPr>
        <w:t xml:space="preserve"> they are expected to provide an exception quali</w:t>
      </w:r>
      <w:r>
        <w:rPr>
          <w:rFonts w:ascii="Arial" w:hAnsi="Arial" w:cs="Arial"/>
          <w:color w:val="000000"/>
        </w:rPr>
        <w:t>tative report at the end of</w:t>
      </w:r>
      <w:r w:rsidRPr="00CF27B2">
        <w:rPr>
          <w:rFonts w:ascii="Arial" w:hAnsi="Arial" w:cs="Arial"/>
          <w:color w:val="000000"/>
        </w:rPr>
        <w:t xml:space="preserve"> quarter </w:t>
      </w:r>
      <w:r>
        <w:rPr>
          <w:rFonts w:ascii="Arial" w:hAnsi="Arial" w:cs="Arial"/>
          <w:color w:val="000000"/>
        </w:rPr>
        <w:t xml:space="preserve">four </w:t>
      </w:r>
      <w:r w:rsidRPr="00CF27B2">
        <w:rPr>
          <w:rFonts w:ascii="Arial" w:hAnsi="Arial" w:cs="Arial"/>
          <w:color w:val="000000"/>
        </w:rPr>
        <w:t>advising how they will track towards higher coverage. If the target level of coverage has been reached across all priority ethnicities, only a confirmation statement is required.</w:t>
      </w:r>
    </w:p>
    <w:p w14:paraId="7A7A0343" w14:textId="77777777" w:rsidR="00691BC3" w:rsidRPr="00D66AF5" w:rsidRDefault="00691BC3" w:rsidP="00691BC3">
      <w:pPr>
        <w:shd w:val="clear" w:color="auto" w:fill="FFFFFF"/>
        <w:autoSpaceDE w:val="0"/>
        <w:autoSpaceDN w:val="0"/>
        <w:adjustRightInd w:val="0"/>
        <w:spacing w:before="120" w:after="120" w:line="240" w:lineRule="atLeast"/>
        <w:jc w:val="both"/>
        <w:rPr>
          <w:rFonts w:ascii="Arial" w:hAnsi="Arial" w:cs="Arial"/>
          <w:color w:val="000000"/>
        </w:rPr>
      </w:pPr>
      <w:r w:rsidRPr="00010026">
        <w:rPr>
          <w:rFonts w:ascii="Arial" w:hAnsi="Arial" w:cs="Arial"/>
          <w:color w:val="000000"/>
        </w:rPr>
        <w:t>The assessment requirements are set out below.</w:t>
      </w:r>
      <w:r w:rsidRPr="00010026">
        <w:rPr>
          <w:rFonts w:ascii="Arial" w:hAnsi="Arial" w:cs="Arial"/>
          <w:b/>
          <w:bCs/>
          <w:color w:val="000000"/>
        </w:rPr>
        <w:br w:type="page"/>
      </w:r>
    </w:p>
    <w:p w14:paraId="35DC1914" w14:textId="77777777" w:rsidR="00691BC3" w:rsidRPr="00010026" w:rsidRDefault="00691BC3" w:rsidP="00691BC3">
      <w:pPr>
        <w:autoSpaceDE w:val="0"/>
        <w:autoSpaceDN w:val="0"/>
        <w:adjustRightInd w:val="0"/>
        <w:spacing w:before="60" w:after="60" w:line="240" w:lineRule="atLeast"/>
        <w:jc w:val="both"/>
        <w:rPr>
          <w:rFonts w:ascii="Arial" w:hAnsi="Arial" w:cs="Arial"/>
          <w:b/>
          <w:bCs/>
          <w:color w:val="000000"/>
        </w:rPr>
      </w:pPr>
    </w:p>
    <w:p w14:paraId="57BAD1EE" w14:textId="77777777" w:rsidR="00691BC3" w:rsidRPr="00010026" w:rsidRDefault="00691BC3" w:rsidP="00691BC3">
      <w:pPr>
        <w:autoSpaceDE w:val="0"/>
        <w:autoSpaceDN w:val="0"/>
        <w:adjustRightInd w:val="0"/>
        <w:spacing w:before="60" w:after="60" w:line="240" w:lineRule="atLeast"/>
        <w:jc w:val="both"/>
        <w:rPr>
          <w:rFonts w:ascii="Arial" w:hAnsi="Arial" w:cs="Arial"/>
          <w:b/>
          <w:bCs/>
          <w:color w:val="000000"/>
        </w:rPr>
      </w:pPr>
      <w:r w:rsidRPr="00010026">
        <w:rPr>
          <w:rFonts w:ascii="Arial" w:hAnsi="Arial" w:cs="Arial"/>
          <w:b/>
          <w:bCs/>
          <w:color w:val="000000"/>
        </w:rPr>
        <w:t>Table 3: Annual (quarter four) assessment for HPV immunisation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100"/>
      </w:tblGrid>
      <w:tr w:rsidR="00691BC3" w:rsidRPr="00010026" w14:paraId="43042DE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514841C" w14:textId="77777777" w:rsidR="00691BC3" w:rsidRPr="00010026" w:rsidRDefault="00691BC3" w:rsidP="00632E9E">
            <w:pPr>
              <w:autoSpaceDE w:val="0"/>
              <w:autoSpaceDN w:val="0"/>
              <w:adjustRightInd w:val="0"/>
              <w:spacing w:before="60" w:after="60" w:line="240" w:lineRule="atLeast"/>
              <w:ind w:left="108" w:right="108"/>
              <w:jc w:val="both"/>
              <w:rPr>
                <w:rFonts w:ascii="Arial" w:hAnsi="Arial" w:cs="Arial"/>
                <w:b/>
                <w:bCs/>
                <w:color w:val="000000"/>
              </w:rPr>
            </w:pPr>
            <w:r w:rsidRPr="00010026">
              <w:rPr>
                <w:rFonts w:ascii="Arial" w:hAnsi="Arial" w:cs="Arial"/>
                <w:b/>
                <w:bCs/>
                <w:color w:val="000000"/>
              </w:rPr>
              <w:t>Rating</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6F1CE82E" w14:textId="77777777" w:rsidR="00691BC3" w:rsidRPr="00010026" w:rsidRDefault="00691BC3" w:rsidP="00632E9E">
            <w:pPr>
              <w:autoSpaceDE w:val="0"/>
              <w:autoSpaceDN w:val="0"/>
              <w:adjustRightInd w:val="0"/>
              <w:spacing w:before="60" w:after="60"/>
              <w:rPr>
                <w:rFonts w:ascii="Arial" w:hAnsi="Arial" w:cs="Arial"/>
                <w:b/>
                <w:bCs/>
                <w:color w:val="000000"/>
              </w:rPr>
            </w:pPr>
            <w:r w:rsidRPr="00010026">
              <w:rPr>
                <w:rFonts w:ascii="Arial" w:hAnsi="Arial" w:cs="Arial"/>
                <w:b/>
                <w:bCs/>
                <w:color w:val="000000"/>
              </w:rPr>
              <w:t>Explanation</w:t>
            </w:r>
          </w:p>
        </w:tc>
      </w:tr>
      <w:tr w:rsidR="00691BC3" w:rsidRPr="00010026" w14:paraId="5D3A0F88" w14:textId="77777777" w:rsidTr="00632E9E">
        <w:trPr>
          <w:cantSplit/>
          <w:trHeight w:val="1139"/>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2613D00" w14:textId="77777777" w:rsidR="00691BC3" w:rsidRPr="00010026"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lang w:val="en-GB"/>
              </w:rPr>
            </w:pPr>
            <w:r w:rsidRPr="00010026">
              <w:rPr>
                <w:rFonts w:ascii="Arial" w:hAnsi="Arial" w:cs="Arial"/>
                <w:lang w:val="en-GB"/>
              </w:rPr>
              <w:t>Outstanding Performer</w:t>
            </w:r>
          </w:p>
        </w:tc>
        <w:tc>
          <w:tcPr>
            <w:tcW w:w="8100" w:type="dxa"/>
            <w:tcBorders>
              <w:top w:val="single" w:sz="4" w:space="0" w:color="auto"/>
              <w:left w:val="single" w:sz="4" w:space="0" w:color="auto"/>
              <w:bottom w:val="single" w:sz="4" w:space="0" w:color="auto"/>
              <w:right w:val="single" w:sz="4" w:space="0" w:color="auto"/>
            </w:tcBorders>
            <w:hideMark/>
          </w:tcPr>
          <w:p w14:paraId="376DF32E" w14:textId="77777777" w:rsidR="00691BC3" w:rsidRDefault="00691BC3" w:rsidP="00632E9E">
            <w:pPr>
              <w:shd w:val="clear" w:color="auto" w:fill="FFFFFF"/>
              <w:autoSpaceDE w:val="0"/>
              <w:autoSpaceDN w:val="0"/>
              <w:adjustRightInd w:val="0"/>
              <w:spacing w:before="60" w:after="60" w:line="240" w:lineRule="atLeast"/>
              <w:ind w:left="15"/>
              <w:rPr>
                <w:rFonts w:ascii="Arial" w:hAnsi="Arial" w:cs="Arial"/>
                <w:color w:val="000000"/>
              </w:rPr>
            </w:pPr>
            <w:r>
              <w:rPr>
                <w:rFonts w:ascii="Arial" w:hAnsi="Arial" w:cs="Arial"/>
                <w:color w:val="000000"/>
              </w:rPr>
              <w:t xml:space="preserve">The DHB has </w:t>
            </w:r>
          </w:p>
          <w:p w14:paraId="1016FECF" w14:textId="77777777" w:rsidR="00691BC3" w:rsidRPr="00CF27B2" w:rsidRDefault="00691BC3" w:rsidP="00C04FF1">
            <w:pPr>
              <w:pStyle w:val="ListParagraph"/>
              <w:numPr>
                <w:ilvl w:val="0"/>
                <w:numId w:val="116"/>
              </w:numPr>
              <w:shd w:val="clear" w:color="auto" w:fill="FFFFFF"/>
              <w:autoSpaceDE w:val="0"/>
              <w:autoSpaceDN w:val="0"/>
              <w:adjustRightInd w:val="0"/>
              <w:spacing w:before="60" w:after="60" w:line="240" w:lineRule="atLeast"/>
              <w:rPr>
                <w:rFonts w:ascii="Arial" w:hAnsi="Arial" w:cs="Arial"/>
                <w:color w:val="000000"/>
              </w:rPr>
            </w:pPr>
            <w:r w:rsidRPr="00CF27B2">
              <w:rPr>
                <w:rFonts w:ascii="Arial" w:hAnsi="Arial" w:cs="Arial"/>
                <w:color w:val="000000"/>
              </w:rPr>
              <w:t xml:space="preserve">substantially exceeded the HPV immunisation coverage target of 75% for each of the Māori, Pacific (where relevant), and </w:t>
            </w:r>
            <w:r>
              <w:rPr>
                <w:rFonts w:ascii="Arial" w:hAnsi="Arial" w:cs="Arial"/>
                <w:color w:val="000000"/>
              </w:rPr>
              <w:t>t</w:t>
            </w:r>
            <w:r w:rsidRPr="00CF27B2">
              <w:rPr>
                <w:rFonts w:ascii="Arial" w:hAnsi="Arial" w:cs="Arial"/>
                <w:color w:val="000000"/>
              </w:rPr>
              <w:t>otal populations for both eligible boys and girls.</w:t>
            </w:r>
          </w:p>
        </w:tc>
      </w:tr>
      <w:tr w:rsidR="00691BC3" w:rsidRPr="00010026" w14:paraId="49A21EF6"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772C76D" w14:textId="77777777" w:rsidR="00691BC3" w:rsidRPr="00010026"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i/>
                <w:lang w:val="en-GB"/>
              </w:rPr>
            </w:pPr>
            <w:r w:rsidRPr="00010026">
              <w:rPr>
                <w:rFonts w:ascii="Arial" w:hAnsi="Arial" w:cs="Arial"/>
                <w:lang w:val="en-GB"/>
              </w:rPr>
              <w:t>Achieved</w:t>
            </w:r>
          </w:p>
        </w:tc>
        <w:tc>
          <w:tcPr>
            <w:tcW w:w="8100" w:type="dxa"/>
            <w:tcBorders>
              <w:top w:val="single" w:sz="4" w:space="0" w:color="auto"/>
              <w:left w:val="single" w:sz="4" w:space="0" w:color="auto"/>
              <w:bottom w:val="single" w:sz="4" w:space="0" w:color="auto"/>
              <w:right w:val="single" w:sz="4" w:space="0" w:color="auto"/>
            </w:tcBorders>
            <w:hideMark/>
          </w:tcPr>
          <w:p w14:paraId="29594D1B" w14:textId="77777777" w:rsidR="00691BC3" w:rsidRDefault="00691BC3" w:rsidP="00632E9E">
            <w:pPr>
              <w:autoSpaceDE w:val="0"/>
              <w:autoSpaceDN w:val="0"/>
              <w:adjustRightInd w:val="0"/>
              <w:rPr>
                <w:rFonts w:ascii="Arial" w:hAnsi="Arial" w:cs="Arial"/>
                <w:color w:val="000000"/>
              </w:rPr>
            </w:pPr>
            <w:r w:rsidRPr="00A54C39">
              <w:rPr>
                <w:rFonts w:ascii="Arial" w:hAnsi="Arial" w:cs="Arial"/>
                <w:color w:val="000000"/>
              </w:rPr>
              <w:t xml:space="preserve">The DHB has </w:t>
            </w:r>
          </w:p>
          <w:p w14:paraId="61EFDA9A" w14:textId="77777777" w:rsidR="00691BC3" w:rsidRPr="00CF27B2" w:rsidRDefault="00691BC3" w:rsidP="00C04FF1">
            <w:pPr>
              <w:pStyle w:val="ListParagraph"/>
              <w:numPr>
                <w:ilvl w:val="0"/>
                <w:numId w:val="115"/>
              </w:numPr>
              <w:autoSpaceDE w:val="0"/>
              <w:autoSpaceDN w:val="0"/>
              <w:adjustRightInd w:val="0"/>
              <w:rPr>
                <w:rFonts w:ascii="Arial" w:hAnsi="Arial" w:cs="Arial"/>
                <w:color w:val="000000"/>
              </w:rPr>
            </w:pPr>
            <w:r w:rsidRPr="00CF27B2">
              <w:rPr>
                <w:rFonts w:ascii="Arial" w:hAnsi="Arial" w:cs="Arial"/>
                <w:color w:val="000000"/>
              </w:rPr>
              <w:t>reached the HPV immunisation coverage target of 75%</w:t>
            </w:r>
            <w:r>
              <w:t xml:space="preserve"> </w:t>
            </w:r>
            <w:r w:rsidRPr="00CF27B2">
              <w:rPr>
                <w:rFonts w:ascii="Arial" w:hAnsi="Arial" w:cs="Arial"/>
                <w:color w:val="000000"/>
              </w:rPr>
              <w:t xml:space="preserve">for each of the Māori, Pacific (where relevant), and </w:t>
            </w:r>
            <w:r>
              <w:rPr>
                <w:rFonts w:ascii="Arial" w:hAnsi="Arial" w:cs="Arial"/>
                <w:color w:val="000000"/>
              </w:rPr>
              <w:t>t</w:t>
            </w:r>
            <w:r w:rsidRPr="00CF27B2">
              <w:rPr>
                <w:rFonts w:ascii="Arial" w:hAnsi="Arial" w:cs="Arial"/>
                <w:color w:val="000000"/>
              </w:rPr>
              <w:t>otal populations for both eligible boys and girls.</w:t>
            </w:r>
          </w:p>
        </w:tc>
      </w:tr>
      <w:tr w:rsidR="00691BC3" w:rsidRPr="00010026" w14:paraId="7B90F1E5"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B8A951D" w14:textId="77777777" w:rsidR="00691BC3" w:rsidRPr="00010026"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lang w:val="en-GB"/>
              </w:rPr>
            </w:pPr>
            <w:r w:rsidRPr="00010026">
              <w:rPr>
                <w:rFonts w:ascii="Arial" w:hAnsi="Arial" w:cs="Arial"/>
                <w:lang w:val="en-GB"/>
              </w:rPr>
              <w:t>Partially Achieved</w:t>
            </w:r>
          </w:p>
        </w:tc>
        <w:tc>
          <w:tcPr>
            <w:tcW w:w="8100" w:type="dxa"/>
            <w:tcBorders>
              <w:top w:val="single" w:sz="4" w:space="0" w:color="auto"/>
              <w:left w:val="single" w:sz="4" w:space="0" w:color="auto"/>
              <w:bottom w:val="single" w:sz="4" w:space="0" w:color="auto"/>
              <w:right w:val="single" w:sz="4" w:space="0" w:color="auto"/>
            </w:tcBorders>
            <w:hideMark/>
          </w:tcPr>
          <w:p w14:paraId="3E8759E5" w14:textId="77777777" w:rsidR="00691BC3"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Pr>
                <w:rFonts w:ascii="Arial" w:hAnsi="Arial" w:cs="Arial"/>
                <w:color w:val="000000"/>
                <w:lang w:val="en-GB"/>
              </w:rPr>
              <w:t>The DHB has</w:t>
            </w:r>
          </w:p>
          <w:p w14:paraId="69907071" w14:textId="77777777" w:rsidR="00691BC3" w:rsidRPr="00CF27B2" w:rsidRDefault="00691BC3" w:rsidP="00C04FF1">
            <w:pPr>
              <w:pStyle w:val="ListParagraph"/>
              <w:numPr>
                <w:ilvl w:val="0"/>
                <w:numId w:val="114"/>
              </w:numPr>
              <w:shd w:val="clear" w:color="auto" w:fill="FFFFFF"/>
              <w:tabs>
                <w:tab w:val="left" w:pos="720"/>
              </w:tabs>
              <w:overflowPunct w:val="0"/>
              <w:autoSpaceDE w:val="0"/>
              <w:autoSpaceDN w:val="0"/>
              <w:adjustRightInd w:val="0"/>
              <w:spacing w:before="60" w:after="60"/>
              <w:jc w:val="both"/>
              <w:rPr>
                <w:rFonts w:ascii="Arial" w:hAnsi="Arial" w:cs="Arial"/>
                <w:i/>
                <w:color w:val="000000"/>
                <w:lang w:val="en-GB"/>
              </w:rPr>
            </w:pPr>
            <w:r w:rsidRPr="00CF27B2">
              <w:rPr>
                <w:rFonts w:ascii="Arial" w:hAnsi="Arial" w:cs="Arial"/>
                <w:color w:val="000000"/>
                <w:lang w:val="en-GB"/>
              </w:rPr>
              <w:t>reached HPV immunisation coverage of at least 70%</w:t>
            </w:r>
            <w:r>
              <w:t xml:space="preserve"> </w:t>
            </w:r>
            <w:r w:rsidRPr="00CF27B2">
              <w:rPr>
                <w:rFonts w:ascii="Arial" w:hAnsi="Arial" w:cs="Arial"/>
                <w:color w:val="000000"/>
                <w:lang w:val="en-GB"/>
              </w:rPr>
              <w:t xml:space="preserve">for each of the Māori, Pacific (where relevant), and </w:t>
            </w:r>
            <w:r>
              <w:rPr>
                <w:rFonts w:ascii="Arial" w:hAnsi="Arial" w:cs="Arial"/>
                <w:color w:val="000000"/>
                <w:lang w:val="en-GB"/>
              </w:rPr>
              <w:t>t</w:t>
            </w:r>
            <w:r w:rsidRPr="00CF27B2">
              <w:rPr>
                <w:rFonts w:ascii="Arial" w:hAnsi="Arial" w:cs="Arial"/>
                <w:color w:val="000000"/>
                <w:lang w:val="en-GB"/>
              </w:rPr>
              <w:t>otal populations f</w:t>
            </w:r>
            <w:r>
              <w:rPr>
                <w:rFonts w:ascii="Arial" w:hAnsi="Arial" w:cs="Arial"/>
                <w:color w:val="000000"/>
                <w:lang w:val="en-GB"/>
              </w:rPr>
              <w:t xml:space="preserve">or both eligible boys and girls, </w:t>
            </w:r>
            <w:r w:rsidRPr="00CF27B2">
              <w:rPr>
                <w:rFonts w:ascii="Arial" w:hAnsi="Arial" w:cs="Arial"/>
                <w:i/>
                <w:color w:val="000000"/>
                <w:lang w:val="en-GB"/>
              </w:rPr>
              <w:t>and</w:t>
            </w:r>
          </w:p>
          <w:p w14:paraId="65369F7A" w14:textId="77777777" w:rsidR="00691BC3" w:rsidRPr="00CF27B2" w:rsidRDefault="00691BC3" w:rsidP="00C04FF1">
            <w:pPr>
              <w:pStyle w:val="ListParagraph"/>
              <w:numPr>
                <w:ilvl w:val="0"/>
                <w:numId w:val="114"/>
              </w:num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sidRPr="00CF27B2">
              <w:rPr>
                <w:rFonts w:ascii="Arial" w:hAnsi="Arial" w:cs="Arial"/>
                <w:color w:val="000000"/>
                <w:lang w:val="en-GB"/>
              </w:rPr>
              <w:t>provide</w:t>
            </w:r>
            <w:r>
              <w:rPr>
                <w:rFonts w:ascii="Arial" w:hAnsi="Arial" w:cs="Arial"/>
                <w:color w:val="000000"/>
                <w:lang w:val="en-GB"/>
              </w:rPr>
              <w:t>d</w:t>
            </w:r>
            <w:r w:rsidRPr="00CF27B2">
              <w:rPr>
                <w:rFonts w:ascii="Arial" w:hAnsi="Arial" w:cs="Arial"/>
                <w:color w:val="000000"/>
                <w:lang w:val="en-GB"/>
              </w:rPr>
              <w:t xml:space="preserve"> evidence that they are working towards improvement of immunisation coverage.</w:t>
            </w:r>
          </w:p>
        </w:tc>
      </w:tr>
      <w:tr w:rsidR="00691BC3" w:rsidRPr="00010026" w14:paraId="2BB04FF1"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29CD196" w14:textId="77777777" w:rsidR="00691BC3" w:rsidRPr="00010026"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lang w:val="en-GB"/>
              </w:rPr>
            </w:pPr>
            <w:r w:rsidRPr="00010026">
              <w:rPr>
                <w:rFonts w:ascii="Arial" w:hAnsi="Arial" w:cs="Arial"/>
                <w:lang w:val="en-GB"/>
              </w:rPr>
              <w:t>Not Achieved</w:t>
            </w:r>
          </w:p>
        </w:tc>
        <w:tc>
          <w:tcPr>
            <w:tcW w:w="8100" w:type="dxa"/>
            <w:tcBorders>
              <w:top w:val="single" w:sz="4" w:space="0" w:color="auto"/>
              <w:left w:val="single" w:sz="4" w:space="0" w:color="auto"/>
              <w:bottom w:val="single" w:sz="4" w:space="0" w:color="auto"/>
              <w:right w:val="single" w:sz="4" w:space="0" w:color="auto"/>
            </w:tcBorders>
            <w:hideMark/>
          </w:tcPr>
          <w:p w14:paraId="5521107A" w14:textId="77777777" w:rsidR="00691BC3"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Pr>
                <w:rFonts w:ascii="Arial" w:hAnsi="Arial" w:cs="Arial"/>
                <w:color w:val="000000"/>
                <w:lang w:val="en-GB"/>
              </w:rPr>
              <w:t xml:space="preserve">The DHB has </w:t>
            </w:r>
          </w:p>
          <w:p w14:paraId="7081FFDF" w14:textId="77777777" w:rsidR="00691BC3" w:rsidRPr="00CF27B2" w:rsidRDefault="00691BC3" w:rsidP="00C04FF1">
            <w:pPr>
              <w:pStyle w:val="ListParagraph"/>
              <w:numPr>
                <w:ilvl w:val="0"/>
                <w:numId w:val="113"/>
              </w:num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sidRPr="00CF27B2">
              <w:rPr>
                <w:rFonts w:ascii="Arial" w:hAnsi="Arial" w:cs="Arial"/>
                <w:color w:val="000000"/>
                <w:lang w:val="en-GB"/>
              </w:rPr>
              <w:t xml:space="preserve">achieved HPV immunisation coverage of less than 70% for any of the </w:t>
            </w:r>
            <w:r w:rsidRPr="00867EDB">
              <w:rPr>
                <w:rFonts w:ascii="Arial" w:hAnsi="Arial" w:cs="Arial"/>
                <w:color w:val="000000"/>
                <w:lang w:val="en-GB"/>
              </w:rPr>
              <w:t xml:space="preserve">Māori, Pacific (where relevant), and </w:t>
            </w:r>
            <w:r>
              <w:rPr>
                <w:rFonts w:ascii="Arial" w:hAnsi="Arial" w:cs="Arial"/>
                <w:color w:val="000000"/>
                <w:lang w:val="en-GB"/>
              </w:rPr>
              <w:t>t</w:t>
            </w:r>
            <w:r w:rsidRPr="00867EDB">
              <w:rPr>
                <w:rFonts w:ascii="Arial" w:hAnsi="Arial" w:cs="Arial"/>
                <w:color w:val="000000"/>
                <w:lang w:val="en-GB"/>
              </w:rPr>
              <w:t>otal populations</w:t>
            </w:r>
            <w:r w:rsidRPr="00CF27B2">
              <w:rPr>
                <w:rFonts w:ascii="Arial" w:hAnsi="Arial" w:cs="Arial"/>
                <w:color w:val="000000"/>
                <w:lang w:val="en-GB"/>
              </w:rPr>
              <w:t xml:space="preserve">, for either boys or girls, </w:t>
            </w:r>
            <w:r w:rsidRPr="000E794E">
              <w:rPr>
                <w:rFonts w:ascii="Arial" w:hAnsi="Arial" w:cs="Arial"/>
                <w:i/>
                <w:color w:val="000000"/>
                <w:lang w:val="en-GB"/>
              </w:rPr>
              <w:t>and/or</w:t>
            </w:r>
            <w:r w:rsidRPr="00CF27B2">
              <w:rPr>
                <w:rFonts w:ascii="Arial" w:hAnsi="Arial" w:cs="Arial"/>
                <w:color w:val="000000"/>
                <w:lang w:val="en-GB"/>
              </w:rPr>
              <w:t xml:space="preserve"> </w:t>
            </w:r>
          </w:p>
          <w:p w14:paraId="4641FFE7" w14:textId="77777777" w:rsidR="00691BC3" w:rsidRPr="00CF27B2" w:rsidRDefault="00691BC3" w:rsidP="00C04FF1">
            <w:pPr>
              <w:pStyle w:val="ListParagraph"/>
              <w:numPr>
                <w:ilvl w:val="0"/>
                <w:numId w:val="113"/>
              </w:num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sidRPr="00CF27B2">
              <w:rPr>
                <w:rFonts w:ascii="Arial" w:hAnsi="Arial" w:cs="Arial"/>
                <w:color w:val="000000"/>
                <w:lang w:val="en-GB"/>
              </w:rPr>
              <w:t>the DHB has not provided an adequate resolution plan.</w:t>
            </w:r>
          </w:p>
          <w:p w14:paraId="6D031E5A" w14:textId="77777777" w:rsidR="00691BC3" w:rsidRPr="00010026"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lang w:val="en-GB"/>
              </w:rPr>
            </w:pPr>
          </w:p>
        </w:tc>
      </w:tr>
    </w:tbl>
    <w:p w14:paraId="25F7A419" w14:textId="77777777" w:rsidR="00691BC3" w:rsidRPr="00010026" w:rsidRDefault="00691BC3" w:rsidP="00691BC3">
      <w:pPr>
        <w:spacing w:before="60" w:after="60"/>
        <w:jc w:val="both"/>
        <w:rPr>
          <w:rFonts w:ascii="Arial" w:hAnsi="Arial" w:cs="Arial"/>
          <w:b/>
          <w:color w:val="000000"/>
          <w:u w:val="single"/>
        </w:rPr>
      </w:pPr>
    </w:p>
    <w:p w14:paraId="285F1ADD" w14:textId="77777777" w:rsidR="00691BC3" w:rsidRPr="00010026" w:rsidRDefault="00691BC3" w:rsidP="00691BC3">
      <w:pPr>
        <w:spacing w:before="60" w:after="60"/>
        <w:jc w:val="both"/>
        <w:rPr>
          <w:rFonts w:ascii="Arial" w:hAnsi="Arial" w:cs="Arial"/>
          <w:b/>
          <w:color w:val="000000"/>
          <w:u w:val="single"/>
        </w:rPr>
      </w:pPr>
    </w:p>
    <w:p w14:paraId="63966A92" w14:textId="77777777" w:rsidR="00691BC3" w:rsidRPr="00010026" w:rsidRDefault="00691BC3" w:rsidP="00691BC3">
      <w:pPr>
        <w:spacing w:before="60" w:after="60"/>
        <w:jc w:val="both"/>
        <w:rPr>
          <w:rFonts w:ascii="Arial" w:hAnsi="Arial" w:cs="Arial"/>
          <w:b/>
          <w:color w:val="000000"/>
          <w:sz w:val="28"/>
          <w:szCs w:val="28"/>
          <w:u w:val="single"/>
        </w:rPr>
      </w:pPr>
      <w:r>
        <w:rPr>
          <w:rFonts w:ascii="Arial" w:hAnsi="Arial" w:cs="Arial"/>
          <w:b/>
          <w:color w:val="000000"/>
          <w:sz w:val="28"/>
          <w:szCs w:val="28"/>
          <w:u w:val="single"/>
        </w:rPr>
        <w:t>Focus area 4</w:t>
      </w:r>
      <w:r w:rsidRPr="00010026">
        <w:rPr>
          <w:rFonts w:ascii="Arial" w:hAnsi="Arial" w:cs="Arial"/>
          <w:b/>
          <w:color w:val="000000"/>
          <w:sz w:val="28"/>
          <w:szCs w:val="28"/>
          <w:u w:val="single"/>
        </w:rPr>
        <w:t>: Influenza immunisation at age 65 years and over</w:t>
      </w:r>
    </w:p>
    <w:p w14:paraId="1C835E86" w14:textId="77777777" w:rsidR="00691BC3" w:rsidRDefault="00691BC3" w:rsidP="00691BC3">
      <w:pPr>
        <w:spacing w:before="120" w:after="120"/>
        <w:rPr>
          <w:rFonts w:ascii="Arial" w:hAnsi="Arial" w:cs="Times"/>
          <w:b/>
          <w:sz w:val="22"/>
          <w:szCs w:val="22"/>
          <w:u w:val="single"/>
          <w:lang w:eastAsia="en-GB"/>
        </w:rPr>
      </w:pPr>
    </w:p>
    <w:p w14:paraId="76CDFB57" w14:textId="77777777" w:rsidR="00691BC3" w:rsidRPr="00AE4F6B" w:rsidRDefault="00691BC3" w:rsidP="00691BC3">
      <w:pPr>
        <w:spacing w:before="120" w:after="120"/>
        <w:rPr>
          <w:rFonts w:ascii="Arial" w:hAnsi="Arial" w:cs="Times"/>
          <w:b/>
          <w:sz w:val="22"/>
          <w:szCs w:val="22"/>
          <w:u w:val="single"/>
          <w:lang w:eastAsia="en-GB"/>
        </w:rPr>
      </w:pPr>
      <w:r>
        <w:rPr>
          <w:rFonts w:ascii="Arial" w:hAnsi="Arial" w:cs="Times"/>
          <w:b/>
          <w:sz w:val="22"/>
          <w:szCs w:val="22"/>
          <w:u w:val="single"/>
          <w:lang w:eastAsia="en-GB"/>
        </w:rPr>
        <w:t xml:space="preserve">Percentage of eligible population </w:t>
      </w:r>
      <w:r w:rsidRPr="000E794E">
        <w:rPr>
          <w:rFonts w:ascii="Arial" w:hAnsi="Arial" w:cs="Times"/>
          <w:b/>
          <w:sz w:val="22"/>
          <w:szCs w:val="22"/>
          <w:u w:val="single"/>
          <w:lang w:eastAsia="en-GB"/>
        </w:rPr>
        <w:t>aged 65 years and over immunised against influenza (annual immunisation)</w:t>
      </w:r>
      <w:r>
        <w:rPr>
          <w:rFonts w:ascii="Arial" w:hAnsi="Arial" w:cs="Times"/>
          <w:b/>
          <w:sz w:val="22"/>
          <w:szCs w:val="22"/>
          <w:u w:val="single"/>
          <w:lang w:eastAsia="en-GB"/>
        </w:rPr>
        <w:t xml:space="preserve"> </w:t>
      </w:r>
      <w:r w:rsidRPr="00AE4F6B">
        <w:rPr>
          <w:rFonts w:ascii="Arial" w:hAnsi="Arial" w:cs="Times"/>
          <w:b/>
          <w:sz w:val="22"/>
          <w:szCs w:val="22"/>
          <w:u w:val="single"/>
          <w:lang w:eastAsia="en-GB"/>
        </w:rPr>
        <w:t>for Māori, Pacific (where relevant), and Total populations</w:t>
      </w:r>
    </w:p>
    <w:p w14:paraId="57302F71" w14:textId="77777777" w:rsidR="00691BC3" w:rsidRDefault="00691BC3" w:rsidP="00691BC3">
      <w:pPr>
        <w:shd w:val="clear" w:color="auto" w:fill="FFFFFF"/>
        <w:spacing w:before="120" w:after="120"/>
        <w:jc w:val="both"/>
        <w:rPr>
          <w:rFonts w:ascii="Arial" w:hAnsi="Arial" w:cs="Arial"/>
          <w:lang w:val="en-GB"/>
        </w:rPr>
      </w:pPr>
      <w:r w:rsidRPr="00AE4F6B">
        <w:rPr>
          <w:rFonts w:ascii="Arial" w:hAnsi="Arial" w:cs="Arial"/>
          <w:lang w:val="en-GB"/>
        </w:rPr>
        <w:t xml:space="preserve">The expectation of this measure is that DHBs will provide equitable immunisation coverage across their Māori, Pacific (where relevant) and </w:t>
      </w:r>
      <w:r>
        <w:rPr>
          <w:rFonts w:ascii="Arial" w:hAnsi="Arial" w:cs="Arial"/>
          <w:lang w:val="en-GB"/>
        </w:rPr>
        <w:t>t</w:t>
      </w:r>
      <w:r w:rsidRPr="00AE4F6B">
        <w:rPr>
          <w:rFonts w:ascii="Arial" w:hAnsi="Arial" w:cs="Arial"/>
          <w:lang w:val="en-GB"/>
        </w:rPr>
        <w:t>otal po</w:t>
      </w:r>
      <w:r>
        <w:rPr>
          <w:rFonts w:ascii="Arial" w:hAnsi="Arial" w:cs="Arial"/>
          <w:lang w:val="en-GB"/>
        </w:rPr>
        <w:t>pulations, aiming at coverage of 75</w:t>
      </w:r>
      <w:r w:rsidRPr="00AE4F6B">
        <w:rPr>
          <w:rFonts w:ascii="Arial" w:hAnsi="Arial" w:cs="Arial"/>
          <w:lang w:val="en-GB"/>
        </w:rPr>
        <w:t xml:space="preserve"> percent for each group</w:t>
      </w:r>
      <w:r>
        <w:rPr>
          <w:rFonts w:ascii="Arial" w:hAnsi="Arial" w:cs="Arial"/>
          <w:lang w:val="en-GB"/>
        </w:rPr>
        <w:t xml:space="preserve">. </w:t>
      </w:r>
    </w:p>
    <w:p w14:paraId="6E98DF2F" w14:textId="77777777" w:rsidR="00691BC3" w:rsidRPr="00010026" w:rsidRDefault="00691BC3" w:rsidP="00691BC3">
      <w:pPr>
        <w:shd w:val="clear" w:color="auto" w:fill="FFFFFF"/>
        <w:spacing w:before="60" w:after="60"/>
        <w:jc w:val="both"/>
        <w:rPr>
          <w:rFonts w:ascii="Arial" w:hAnsi="Arial" w:cs="Arial"/>
        </w:rPr>
      </w:pPr>
    </w:p>
    <w:p w14:paraId="79B705CE" w14:textId="77777777" w:rsidR="00691BC3" w:rsidRPr="00010026" w:rsidRDefault="00691BC3" w:rsidP="00691BC3">
      <w:pPr>
        <w:shd w:val="clear" w:color="auto" w:fill="FFFFFF"/>
        <w:spacing w:before="60" w:after="60"/>
        <w:rPr>
          <w:rFonts w:ascii="Arial" w:hAnsi="Arial" w:cs="Arial"/>
        </w:rPr>
      </w:pPr>
      <w:r w:rsidRPr="00010026">
        <w:rPr>
          <w:rFonts w:ascii="Arial" w:hAnsi="Arial" w:cs="Arial"/>
          <w:b/>
          <w:i/>
        </w:rPr>
        <w:t>Numerator:</w:t>
      </w:r>
      <w:r w:rsidRPr="00010026">
        <w:rPr>
          <w:rFonts w:ascii="Arial" w:hAnsi="Arial" w:cs="Arial"/>
        </w:rPr>
        <w:t xml:space="preserve"> </w:t>
      </w:r>
    </w:p>
    <w:p w14:paraId="7D66BA3A" w14:textId="77777777" w:rsidR="00691BC3" w:rsidRPr="00010026" w:rsidRDefault="00691BC3" w:rsidP="00691BC3">
      <w:pPr>
        <w:shd w:val="clear" w:color="auto" w:fill="FFFFFF"/>
        <w:spacing w:before="60" w:after="60"/>
        <w:rPr>
          <w:rFonts w:ascii="Arial" w:hAnsi="Arial" w:cs="Arial"/>
        </w:rPr>
      </w:pPr>
      <w:r w:rsidRPr="00010026">
        <w:rPr>
          <w:rFonts w:ascii="Arial" w:hAnsi="Arial" w:cs="Arial"/>
        </w:rPr>
        <w:t xml:space="preserve">The numerator is the number of eligible people aged 65 years and over enrolled on the NIR who have completed at least one influenza vaccination for the given vaccination year. </w:t>
      </w:r>
    </w:p>
    <w:p w14:paraId="69032FCA" w14:textId="77777777" w:rsidR="00691BC3" w:rsidRPr="00010026" w:rsidRDefault="00691BC3" w:rsidP="00691BC3">
      <w:pPr>
        <w:shd w:val="clear" w:color="auto" w:fill="FFFFFF"/>
        <w:spacing w:before="60" w:after="60"/>
        <w:rPr>
          <w:rFonts w:ascii="Arial" w:hAnsi="Arial" w:cs="Arial"/>
          <w:b/>
        </w:rPr>
      </w:pPr>
    </w:p>
    <w:p w14:paraId="3A4D47CD" w14:textId="77777777" w:rsidR="00691BC3" w:rsidRPr="00010026" w:rsidRDefault="00691BC3" w:rsidP="00691BC3">
      <w:pPr>
        <w:shd w:val="clear" w:color="auto" w:fill="FFFFFF"/>
        <w:spacing w:before="60" w:after="60"/>
        <w:rPr>
          <w:rFonts w:ascii="Arial" w:hAnsi="Arial" w:cs="Arial"/>
        </w:rPr>
      </w:pPr>
      <w:r w:rsidRPr="00010026">
        <w:rPr>
          <w:rFonts w:ascii="Arial" w:hAnsi="Arial" w:cs="Arial"/>
          <w:b/>
          <w:i/>
        </w:rPr>
        <w:t>Denominator:</w:t>
      </w:r>
      <w:r w:rsidRPr="00010026">
        <w:rPr>
          <w:rFonts w:ascii="Arial" w:hAnsi="Arial" w:cs="Arial"/>
        </w:rPr>
        <w:t xml:space="preserve"> </w:t>
      </w:r>
    </w:p>
    <w:p w14:paraId="41C86122" w14:textId="77777777" w:rsidR="00691BC3" w:rsidRPr="00010026" w:rsidRDefault="00691BC3" w:rsidP="00691BC3">
      <w:pPr>
        <w:shd w:val="clear" w:color="auto" w:fill="FFFFFF"/>
        <w:spacing w:before="60" w:after="60"/>
        <w:rPr>
          <w:rFonts w:ascii="Arial" w:hAnsi="Arial" w:cs="Arial"/>
        </w:rPr>
      </w:pPr>
      <w:r w:rsidRPr="00010026">
        <w:rPr>
          <w:rFonts w:ascii="Arial" w:hAnsi="Arial" w:cs="Arial"/>
        </w:rPr>
        <w:t>The denominator for coverage by ethnicity is sourced from Statistics New Zealand Population projections derived from the estimated r</w:t>
      </w:r>
      <w:r>
        <w:rPr>
          <w:rFonts w:ascii="Arial" w:hAnsi="Arial" w:cs="Arial"/>
        </w:rPr>
        <w:t>esident population</w:t>
      </w:r>
      <w:r w:rsidRPr="00010026">
        <w:rPr>
          <w:rFonts w:ascii="Arial" w:hAnsi="Arial" w:cs="Arial"/>
        </w:rPr>
        <w:t>, by prioritised ethnici</w:t>
      </w:r>
      <w:r>
        <w:rPr>
          <w:rFonts w:ascii="Arial" w:hAnsi="Arial" w:cs="Arial"/>
        </w:rPr>
        <w:t>ty, sex and DHB,</w:t>
      </w:r>
      <w:r w:rsidRPr="00010026">
        <w:rPr>
          <w:rFonts w:ascii="Arial" w:hAnsi="Arial" w:cs="Arial"/>
        </w:rPr>
        <w:t xml:space="preserve"> for those aged 65 years and over. </w:t>
      </w:r>
    </w:p>
    <w:p w14:paraId="3F433124" w14:textId="77777777" w:rsidR="00691BC3" w:rsidRPr="00010026" w:rsidRDefault="00691BC3" w:rsidP="00691BC3">
      <w:pPr>
        <w:shd w:val="clear" w:color="auto" w:fill="FFFFFF"/>
        <w:spacing w:before="60" w:after="60"/>
        <w:rPr>
          <w:rFonts w:ascii="Arial" w:hAnsi="Arial" w:cs="Arial"/>
        </w:rPr>
      </w:pPr>
    </w:p>
    <w:p w14:paraId="0FC0F91D" w14:textId="77777777" w:rsidR="00691BC3" w:rsidRPr="00010026" w:rsidRDefault="00691BC3" w:rsidP="00691BC3">
      <w:pPr>
        <w:shd w:val="clear" w:color="auto" w:fill="FFFFFF"/>
        <w:spacing w:before="120" w:after="120"/>
        <w:rPr>
          <w:rFonts w:ascii="Arial" w:hAnsi="Arial" w:cs="Arial"/>
        </w:rPr>
      </w:pPr>
      <w:r w:rsidRPr="00010026">
        <w:rPr>
          <w:rFonts w:ascii="Arial" w:hAnsi="Arial" w:cs="Arial"/>
        </w:rPr>
        <w:t xml:space="preserve">Age bands are determined by the age at the time of the vaccination event and based on </w:t>
      </w:r>
      <w:r>
        <w:rPr>
          <w:rFonts w:ascii="Arial" w:hAnsi="Arial" w:cs="Arial"/>
        </w:rPr>
        <w:t>c</w:t>
      </w:r>
      <w:r w:rsidRPr="00010026">
        <w:rPr>
          <w:rFonts w:ascii="Arial" w:hAnsi="Arial" w:cs="Arial"/>
        </w:rPr>
        <w:t>ensus estimated population for the given vaccination year.</w:t>
      </w:r>
    </w:p>
    <w:p w14:paraId="79218880" w14:textId="77777777" w:rsidR="00691BC3" w:rsidRPr="00010026" w:rsidRDefault="00691BC3" w:rsidP="00691BC3">
      <w:pPr>
        <w:spacing w:before="120" w:after="120"/>
        <w:rPr>
          <w:rFonts w:ascii="Arial" w:hAnsi="Arial" w:cs="Arial"/>
        </w:rPr>
      </w:pPr>
      <w:r w:rsidRPr="003E0143">
        <w:rPr>
          <w:rFonts w:ascii="Arial" w:hAnsi="Arial" w:cs="Arial"/>
        </w:rPr>
        <w:lastRenderedPageBreak/>
        <w:t>Note that in 2019 it is anticipated the Ministry of Health will change the reporting platform from a DataMart Business Objects platform to a Qlik application-based reporting system. The Ministry will continue to provide authorised users with direct access to the</w:t>
      </w:r>
      <w:r>
        <w:rPr>
          <w:rFonts w:ascii="Arial" w:hAnsi="Arial" w:cs="Arial"/>
        </w:rPr>
        <w:t xml:space="preserve"> relevant reports for </w:t>
      </w:r>
      <w:r w:rsidRPr="003E0143">
        <w:rPr>
          <w:rFonts w:ascii="Arial" w:hAnsi="Arial" w:cs="Arial"/>
        </w:rPr>
        <w:t>reporting requirements</w:t>
      </w:r>
      <w:r>
        <w:rPr>
          <w:rFonts w:ascii="Arial" w:hAnsi="Arial" w:cs="Arial"/>
        </w:rPr>
        <w:t>.</w:t>
      </w:r>
      <w:r w:rsidRPr="00010026">
        <w:rPr>
          <w:rFonts w:ascii="Arial" w:hAnsi="Arial" w:cs="Arial"/>
        </w:rPr>
        <w:t xml:space="preserve"> The Ministry will also provide DHBs with excel and p</w:t>
      </w:r>
      <w:r>
        <w:rPr>
          <w:rFonts w:ascii="Arial" w:hAnsi="Arial" w:cs="Arial"/>
        </w:rPr>
        <w:t>df versions of the NIR DataMart-derived</w:t>
      </w:r>
      <w:r w:rsidRPr="00010026">
        <w:rPr>
          <w:rFonts w:ascii="Arial" w:hAnsi="Arial" w:cs="Arial"/>
        </w:rPr>
        <w:t xml:space="preserve"> coverage reports in the toolkit section of the DHB Quarterly database at the end of quarter one. DHBs are expected to use these reports to provide exception qualitative reports and/or use this mechanism to raise issues with the Ministry.  </w:t>
      </w:r>
    </w:p>
    <w:p w14:paraId="167E94D5" w14:textId="77777777" w:rsidR="00691BC3" w:rsidRPr="00010026" w:rsidRDefault="00691BC3" w:rsidP="00691BC3">
      <w:pPr>
        <w:shd w:val="clear" w:color="auto" w:fill="FFFFFF"/>
        <w:spacing w:before="60"/>
        <w:ind w:left="360"/>
        <w:rPr>
          <w:rFonts w:ascii="Arial" w:hAnsi="Arial" w:cs="Arial"/>
          <w:sz w:val="16"/>
          <w:szCs w:val="16"/>
        </w:rPr>
      </w:pPr>
    </w:p>
    <w:p w14:paraId="11206C73" w14:textId="77777777" w:rsidR="00691BC3" w:rsidRPr="0022294C" w:rsidRDefault="00691BC3" w:rsidP="00691BC3">
      <w:pPr>
        <w:shd w:val="clear" w:color="auto" w:fill="FFFFFF"/>
        <w:spacing w:before="60" w:after="60"/>
        <w:jc w:val="both"/>
        <w:rPr>
          <w:rFonts w:ascii="Arial" w:hAnsi="Arial" w:cs="Arial"/>
          <w:b/>
        </w:rPr>
      </w:pPr>
      <w:r>
        <w:rPr>
          <w:rFonts w:ascii="Arial" w:hAnsi="Arial" w:cs="Arial"/>
          <w:b/>
        </w:rPr>
        <w:t>Reporting Period</w:t>
      </w:r>
    </w:p>
    <w:p w14:paraId="23ED2CAE" w14:textId="6747C58A" w:rsidR="00691BC3" w:rsidRPr="00010026" w:rsidRDefault="00691BC3" w:rsidP="00691BC3">
      <w:pPr>
        <w:spacing w:before="60" w:after="60"/>
        <w:rPr>
          <w:rFonts w:ascii="Arial" w:hAnsi="Arial" w:cs="Arial"/>
        </w:rPr>
      </w:pPr>
      <w:r w:rsidRPr="00010026">
        <w:rPr>
          <w:rFonts w:ascii="Arial" w:hAnsi="Arial" w:cs="Arial"/>
        </w:rPr>
        <w:t>The influenza immunisation indicator will be measured at the end of quarter 1 of the reporting year for the period 1 March to 30 September in the cur</w:t>
      </w:r>
      <w:r>
        <w:rPr>
          <w:rFonts w:ascii="Arial" w:hAnsi="Arial" w:cs="Arial"/>
        </w:rPr>
        <w:t xml:space="preserve">rent calendar year (1 March 2019 to 30 September 2019 in the </w:t>
      </w:r>
      <w:r w:rsidR="00243A7B">
        <w:rPr>
          <w:rFonts w:ascii="Arial" w:hAnsi="Arial" w:cs="Arial"/>
        </w:rPr>
        <w:t>current</w:t>
      </w:r>
      <w:r w:rsidRPr="00010026">
        <w:rPr>
          <w:rFonts w:ascii="Arial" w:hAnsi="Arial" w:cs="Arial"/>
        </w:rPr>
        <w:t xml:space="preserve"> reporting year). </w:t>
      </w:r>
    </w:p>
    <w:p w14:paraId="5CD7CBD4" w14:textId="77777777" w:rsidR="00691BC3" w:rsidRPr="00010026" w:rsidRDefault="00691BC3" w:rsidP="00691BC3">
      <w:pPr>
        <w:spacing w:before="60" w:after="60"/>
        <w:rPr>
          <w:rFonts w:ascii="Arial" w:hAnsi="Arial" w:cs="Arial"/>
        </w:rPr>
      </w:pPr>
    </w:p>
    <w:p w14:paraId="5DB35BD5" w14:textId="77777777" w:rsidR="00691BC3" w:rsidRDefault="00691BC3" w:rsidP="00691BC3">
      <w:pPr>
        <w:spacing w:before="60" w:after="60"/>
        <w:rPr>
          <w:rFonts w:ascii="Arial" w:hAnsi="Arial" w:cs="Arial"/>
        </w:rPr>
      </w:pPr>
      <w:r w:rsidRPr="00010026">
        <w:rPr>
          <w:rFonts w:ascii="Arial" w:hAnsi="Arial" w:cs="Arial"/>
        </w:rPr>
        <w:t>This period is intended to capture the time from when the seasonal influenza vaccine for that year beco</w:t>
      </w:r>
      <w:r>
        <w:rPr>
          <w:rFonts w:ascii="Arial" w:hAnsi="Arial" w:cs="Arial"/>
        </w:rPr>
        <w:t>mes available</w:t>
      </w:r>
      <w:r w:rsidRPr="00010026">
        <w:rPr>
          <w:rFonts w:ascii="Arial" w:hAnsi="Arial" w:cs="Arial"/>
        </w:rPr>
        <w:t xml:space="preserve"> until the anticipated end of the influenza season; vaccines should be administered before the peak of the winter illness season and thus 30 September represents a time when the majority of vaccines should have been delivered to ensure effective protection. </w:t>
      </w:r>
    </w:p>
    <w:p w14:paraId="44D6CFB9" w14:textId="77777777" w:rsidR="00691BC3" w:rsidRPr="00010026" w:rsidRDefault="00691BC3" w:rsidP="00691BC3">
      <w:pPr>
        <w:spacing w:before="60" w:after="60"/>
        <w:rPr>
          <w:rFonts w:ascii="Arial" w:hAnsi="Arial" w:cs="Arial"/>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4323"/>
      </w:tblGrid>
      <w:tr w:rsidR="00691BC3" w:rsidRPr="00010026" w14:paraId="4870549A" w14:textId="77777777" w:rsidTr="00632E9E">
        <w:trPr>
          <w:jc w:val="center"/>
        </w:trPr>
        <w:tc>
          <w:tcPr>
            <w:tcW w:w="431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FEBC1C6" w14:textId="77777777" w:rsidR="00691BC3" w:rsidRPr="00010026" w:rsidRDefault="00691BC3" w:rsidP="00632E9E">
            <w:pPr>
              <w:spacing w:before="60" w:after="60"/>
              <w:rPr>
                <w:rFonts w:ascii="Arial" w:hAnsi="Arial" w:cs="Arial"/>
                <w:b/>
              </w:rPr>
            </w:pPr>
            <w:r w:rsidRPr="00010026">
              <w:rPr>
                <w:rFonts w:ascii="Arial" w:hAnsi="Arial" w:cs="Arial"/>
                <w:b/>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275B368" w14:textId="77777777" w:rsidR="00691BC3" w:rsidRPr="00010026" w:rsidRDefault="00691BC3" w:rsidP="00632E9E">
            <w:pPr>
              <w:spacing w:before="60" w:after="60"/>
              <w:rPr>
                <w:rFonts w:ascii="Arial" w:hAnsi="Arial" w:cs="Arial"/>
                <w:b/>
              </w:rPr>
            </w:pPr>
            <w:r w:rsidRPr="00010026">
              <w:rPr>
                <w:rFonts w:ascii="Arial" w:hAnsi="Arial" w:cs="Arial"/>
                <w:b/>
              </w:rPr>
              <w:t>For the time period</w:t>
            </w:r>
          </w:p>
        </w:tc>
      </w:tr>
      <w:tr w:rsidR="00691BC3" w:rsidRPr="00010026" w14:paraId="7CC288A5" w14:textId="77777777" w:rsidTr="00632E9E">
        <w:trPr>
          <w:jc w:val="center"/>
        </w:trPr>
        <w:tc>
          <w:tcPr>
            <w:tcW w:w="4316" w:type="dxa"/>
            <w:tcBorders>
              <w:top w:val="single" w:sz="4" w:space="0" w:color="auto"/>
              <w:left w:val="single" w:sz="4" w:space="0" w:color="auto"/>
              <w:bottom w:val="single" w:sz="4" w:space="0" w:color="auto"/>
              <w:right w:val="single" w:sz="4" w:space="0" w:color="auto"/>
            </w:tcBorders>
            <w:hideMark/>
          </w:tcPr>
          <w:p w14:paraId="186A7E26" w14:textId="77777777" w:rsidR="00691BC3" w:rsidRPr="00010026" w:rsidRDefault="00691BC3" w:rsidP="00632E9E">
            <w:pPr>
              <w:spacing w:before="60" w:after="60"/>
              <w:rPr>
                <w:rFonts w:ascii="Arial" w:hAnsi="Arial" w:cs="Arial"/>
              </w:rPr>
            </w:pPr>
            <w:r w:rsidRPr="00010026">
              <w:rPr>
                <w:rFonts w:ascii="Arial" w:hAnsi="Arial" w:cs="Arial"/>
              </w:rPr>
              <w:t>Quarter 1 (ending 30 September)</w:t>
            </w:r>
          </w:p>
        </w:tc>
        <w:tc>
          <w:tcPr>
            <w:tcW w:w="4323" w:type="dxa"/>
            <w:tcBorders>
              <w:top w:val="single" w:sz="4" w:space="0" w:color="auto"/>
              <w:left w:val="single" w:sz="4" w:space="0" w:color="auto"/>
              <w:bottom w:val="single" w:sz="4" w:space="0" w:color="auto"/>
              <w:right w:val="single" w:sz="4" w:space="0" w:color="auto"/>
            </w:tcBorders>
          </w:tcPr>
          <w:p w14:paraId="4876485A" w14:textId="77777777" w:rsidR="00691BC3" w:rsidRPr="00010026" w:rsidRDefault="00691BC3" w:rsidP="00632E9E">
            <w:pPr>
              <w:spacing w:before="60" w:after="60"/>
              <w:rPr>
                <w:rFonts w:ascii="Arial" w:hAnsi="Arial" w:cs="Arial"/>
              </w:rPr>
            </w:pPr>
            <w:r w:rsidRPr="00010026">
              <w:rPr>
                <w:rFonts w:ascii="Arial" w:hAnsi="Arial" w:cs="Arial"/>
              </w:rPr>
              <w:t xml:space="preserve">Data to cover the period 1 March to 30 September </w:t>
            </w:r>
          </w:p>
        </w:tc>
      </w:tr>
      <w:tr w:rsidR="00691BC3" w:rsidRPr="00010026" w14:paraId="2D00E786" w14:textId="77777777" w:rsidTr="00632E9E">
        <w:trPr>
          <w:jc w:val="center"/>
        </w:trPr>
        <w:tc>
          <w:tcPr>
            <w:tcW w:w="4316" w:type="dxa"/>
            <w:tcBorders>
              <w:top w:val="single" w:sz="4" w:space="0" w:color="auto"/>
              <w:left w:val="single" w:sz="4" w:space="0" w:color="auto"/>
              <w:bottom w:val="single" w:sz="4" w:space="0" w:color="auto"/>
              <w:right w:val="single" w:sz="4" w:space="0" w:color="auto"/>
            </w:tcBorders>
            <w:hideMark/>
          </w:tcPr>
          <w:p w14:paraId="4E012DFB" w14:textId="77777777" w:rsidR="00691BC3" w:rsidRPr="00010026" w:rsidRDefault="00691BC3" w:rsidP="00632E9E">
            <w:pPr>
              <w:spacing w:before="60" w:after="60"/>
              <w:rPr>
                <w:rFonts w:ascii="Arial" w:hAnsi="Arial" w:cs="Arial"/>
              </w:rPr>
            </w:pPr>
            <w:r w:rsidRPr="00010026">
              <w:rPr>
                <w:rFonts w:ascii="Arial" w:hAnsi="Arial" w:cs="Arial"/>
              </w:rPr>
              <w:t>Quarter 2 (ending 31 December)</w:t>
            </w:r>
          </w:p>
        </w:tc>
        <w:tc>
          <w:tcPr>
            <w:tcW w:w="4323" w:type="dxa"/>
            <w:tcBorders>
              <w:top w:val="single" w:sz="4" w:space="0" w:color="auto"/>
              <w:left w:val="single" w:sz="4" w:space="0" w:color="auto"/>
              <w:bottom w:val="single" w:sz="4" w:space="0" w:color="auto"/>
              <w:right w:val="single" w:sz="4" w:space="0" w:color="auto"/>
            </w:tcBorders>
          </w:tcPr>
          <w:p w14:paraId="1E4DE2C2" w14:textId="77777777" w:rsidR="00691BC3" w:rsidRPr="00010026" w:rsidRDefault="00691BC3" w:rsidP="00632E9E">
            <w:pPr>
              <w:spacing w:before="60" w:after="60"/>
              <w:rPr>
                <w:rFonts w:ascii="Arial" w:hAnsi="Arial" w:cs="Arial"/>
              </w:rPr>
            </w:pPr>
            <w:r w:rsidRPr="00010026">
              <w:rPr>
                <w:rFonts w:ascii="Arial" w:hAnsi="Arial" w:cs="Arial"/>
              </w:rPr>
              <w:t>n/a</w:t>
            </w:r>
          </w:p>
        </w:tc>
      </w:tr>
      <w:tr w:rsidR="00691BC3" w:rsidRPr="00010026" w14:paraId="395FDFD9" w14:textId="77777777" w:rsidTr="00632E9E">
        <w:trPr>
          <w:trHeight w:val="309"/>
          <w:jc w:val="center"/>
        </w:trPr>
        <w:tc>
          <w:tcPr>
            <w:tcW w:w="4316" w:type="dxa"/>
            <w:tcBorders>
              <w:top w:val="single" w:sz="4" w:space="0" w:color="auto"/>
              <w:left w:val="single" w:sz="4" w:space="0" w:color="auto"/>
              <w:bottom w:val="single" w:sz="4" w:space="0" w:color="auto"/>
              <w:right w:val="single" w:sz="4" w:space="0" w:color="auto"/>
            </w:tcBorders>
            <w:hideMark/>
          </w:tcPr>
          <w:p w14:paraId="16BEB841" w14:textId="77777777" w:rsidR="00691BC3" w:rsidRPr="00010026" w:rsidRDefault="00691BC3" w:rsidP="00632E9E">
            <w:pPr>
              <w:spacing w:before="60" w:after="60"/>
              <w:rPr>
                <w:rFonts w:ascii="Arial" w:hAnsi="Arial" w:cs="Arial"/>
              </w:rPr>
            </w:pPr>
            <w:r w:rsidRPr="00010026">
              <w:rPr>
                <w:rFonts w:ascii="Arial" w:hAnsi="Arial" w:cs="Arial"/>
              </w:rPr>
              <w:t>Quarter 3 (ending 31 March)</w:t>
            </w:r>
          </w:p>
        </w:tc>
        <w:tc>
          <w:tcPr>
            <w:tcW w:w="4323" w:type="dxa"/>
            <w:tcBorders>
              <w:top w:val="single" w:sz="4" w:space="0" w:color="auto"/>
              <w:left w:val="single" w:sz="4" w:space="0" w:color="auto"/>
              <w:bottom w:val="single" w:sz="4" w:space="0" w:color="auto"/>
              <w:right w:val="single" w:sz="4" w:space="0" w:color="auto"/>
            </w:tcBorders>
          </w:tcPr>
          <w:p w14:paraId="2DAF4E69" w14:textId="77777777" w:rsidR="00691BC3" w:rsidRPr="00010026" w:rsidRDefault="00691BC3" w:rsidP="00632E9E">
            <w:pPr>
              <w:spacing w:before="60" w:after="60"/>
              <w:rPr>
                <w:rFonts w:ascii="Arial" w:hAnsi="Arial" w:cs="Arial"/>
              </w:rPr>
            </w:pPr>
            <w:r w:rsidRPr="00010026">
              <w:rPr>
                <w:rFonts w:ascii="Arial" w:hAnsi="Arial" w:cs="Arial"/>
              </w:rPr>
              <w:t>n/a</w:t>
            </w:r>
          </w:p>
        </w:tc>
      </w:tr>
      <w:tr w:rsidR="00691BC3" w:rsidRPr="00010026" w14:paraId="7B4E11A7" w14:textId="77777777" w:rsidTr="00632E9E">
        <w:trPr>
          <w:jc w:val="center"/>
        </w:trPr>
        <w:tc>
          <w:tcPr>
            <w:tcW w:w="4316" w:type="dxa"/>
            <w:tcBorders>
              <w:top w:val="single" w:sz="4" w:space="0" w:color="auto"/>
              <w:left w:val="single" w:sz="4" w:space="0" w:color="auto"/>
              <w:bottom w:val="single" w:sz="4" w:space="0" w:color="auto"/>
              <w:right w:val="single" w:sz="4" w:space="0" w:color="auto"/>
            </w:tcBorders>
            <w:hideMark/>
          </w:tcPr>
          <w:p w14:paraId="2E1B492C" w14:textId="77777777" w:rsidR="00691BC3" w:rsidRPr="00010026" w:rsidRDefault="00691BC3" w:rsidP="00632E9E">
            <w:pPr>
              <w:spacing w:before="60" w:after="60"/>
              <w:rPr>
                <w:rFonts w:ascii="Arial" w:hAnsi="Arial" w:cs="Arial"/>
              </w:rPr>
            </w:pPr>
            <w:r w:rsidRPr="00010026">
              <w:rPr>
                <w:rFonts w:ascii="Arial" w:hAnsi="Arial" w:cs="Arial"/>
              </w:rPr>
              <w:t>Quarter 4 (ending 30 June)</w:t>
            </w:r>
          </w:p>
          <w:p w14:paraId="67D2DF72" w14:textId="77777777" w:rsidR="00691BC3" w:rsidRPr="00010026" w:rsidRDefault="00691BC3" w:rsidP="00632E9E">
            <w:pPr>
              <w:spacing w:before="60" w:after="60"/>
              <w:rPr>
                <w:rFonts w:ascii="Arial" w:hAnsi="Arial" w:cs="Arial"/>
              </w:rPr>
            </w:pPr>
          </w:p>
        </w:tc>
        <w:tc>
          <w:tcPr>
            <w:tcW w:w="4323" w:type="dxa"/>
            <w:tcBorders>
              <w:top w:val="single" w:sz="4" w:space="0" w:color="auto"/>
              <w:left w:val="single" w:sz="4" w:space="0" w:color="auto"/>
              <w:bottom w:val="single" w:sz="4" w:space="0" w:color="auto"/>
              <w:right w:val="single" w:sz="4" w:space="0" w:color="auto"/>
            </w:tcBorders>
          </w:tcPr>
          <w:p w14:paraId="1FD2F6AD" w14:textId="77777777" w:rsidR="00691BC3" w:rsidRPr="00010026" w:rsidRDefault="00691BC3" w:rsidP="00632E9E">
            <w:pPr>
              <w:spacing w:before="60" w:after="60"/>
              <w:rPr>
                <w:rFonts w:ascii="Arial" w:hAnsi="Arial" w:cs="Arial"/>
              </w:rPr>
            </w:pPr>
            <w:r w:rsidRPr="00010026">
              <w:rPr>
                <w:rFonts w:ascii="Arial" w:hAnsi="Arial" w:cs="Arial"/>
              </w:rPr>
              <w:t>n/a</w:t>
            </w:r>
          </w:p>
        </w:tc>
      </w:tr>
    </w:tbl>
    <w:p w14:paraId="7D082674" w14:textId="77777777" w:rsidR="00691BC3" w:rsidRPr="00010026" w:rsidRDefault="00691BC3" w:rsidP="00691BC3">
      <w:pPr>
        <w:shd w:val="clear" w:color="auto" w:fill="FFFFFF"/>
        <w:spacing w:before="60" w:after="60"/>
        <w:rPr>
          <w:rFonts w:ascii="Arial" w:hAnsi="Arial" w:cs="Arial"/>
          <w:b/>
        </w:rPr>
      </w:pPr>
    </w:p>
    <w:p w14:paraId="3CB83AD5" w14:textId="77777777" w:rsidR="00691BC3" w:rsidRPr="00010026" w:rsidRDefault="00691BC3" w:rsidP="00691BC3">
      <w:pPr>
        <w:shd w:val="clear" w:color="auto" w:fill="FFFFFF"/>
        <w:spacing w:before="60" w:after="60"/>
        <w:rPr>
          <w:rFonts w:ascii="Arial" w:hAnsi="Arial" w:cs="Arial"/>
          <w:b/>
        </w:rPr>
      </w:pPr>
      <w:r w:rsidRPr="00010026">
        <w:rPr>
          <w:rFonts w:ascii="Arial" w:hAnsi="Arial" w:cs="Arial"/>
          <w:b/>
        </w:rPr>
        <w:t>Expectations</w:t>
      </w:r>
    </w:p>
    <w:p w14:paraId="02B5DF9D" w14:textId="77777777" w:rsidR="00691BC3" w:rsidRPr="0022294C" w:rsidRDefault="00691BC3" w:rsidP="00691BC3">
      <w:pPr>
        <w:shd w:val="clear" w:color="auto" w:fill="FFFFFF"/>
        <w:spacing w:before="120" w:after="120"/>
        <w:rPr>
          <w:rFonts w:ascii="Arial" w:hAnsi="Arial" w:cs="Arial"/>
        </w:rPr>
      </w:pPr>
      <w:r w:rsidRPr="0022294C">
        <w:rPr>
          <w:rFonts w:ascii="Arial" w:hAnsi="Arial" w:cs="Arial"/>
        </w:rPr>
        <w:t xml:space="preserve">The expectation of this measure is that DHBs will provide equitable immunisation coverage across their Māori, Pacific (where relevant) and </w:t>
      </w:r>
      <w:r>
        <w:rPr>
          <w:rFonts w:ascii="Arial" w:hAnsi="Arial" w:cs="Arial"/>
        </w:rPr>
        <w:t>t</w:t>
      </w:r>
      <w:r w:rsidRPr="0022294C">
        <w:rPr>
          <w:rFonts w:ascii="Arial" w:hAnsi="Arial" w:cs="Arial"/>
        </w:rPr>
        <w:t>otal population</w:t>
      </w:r>
      <w:r>
        <w:rPr>
          <w:rFonts w:ascii="Arial" w:hAnsi="Arial" w:cs="Arial"/>
        </w:rPr>
        <w:t>s. DHBs are expected to aim at 7</w:t>
      </w:r>
      <w:r w:rsidRPr="0022294C">
        <w:rPr>
          <w:rFonts w:ascii="Arial" w:hAnsi="Arial" w:cs="Arial"/>
        </w:rPr>
        <w:t>5 percent immunisati</w:t>
      </w:r>
      <w:r>
        <w:rPr>
          <w:rFonts w:ascii="Arial" w:hAnsi="Arial" w:cs="Arial"/>
        </w:rPr>
        <w:t xml:space="preserve">on coverage for influenza </w:t>
      </w:r>
      <w:r w:rsidRPr="0022294C">
        <w:rPr>
          <w:rFonts w:ascii="Arial" w:hAnsi="Arial" w:cs="Arial"/>
        </w:rPr>
        <w:t xml:space="preserve">in each of these groups, </w:t>
      </w:r>
      <w:r>
        <w:rPr>
          <w:rFonts w:ascii="Arial" w:hAnsi="Arial" w:cs="Arial"/>
        </w:rPr>
        <w:t xml:space="preserve">and </w:t>
      </w:r>
      <w:r w:rsidRPr="0022294C">
        <w:rPr>
          <w:rFonts w:ascii="Arial" w:hAnsi="Arial" w:cs="Arial"/>
        </w:rPr>
        <w:t xml:space="preserve">to set local targets with the aim of eliminating inequities. </w:t>
      </w:r>
    </w:p>
    <w:p w14:paraId="16504289" w14:textId="77777777" w:rsidR="00691BC3" w:rsidRPr="0022294C" w:rsidRDefault="00691BC3" w:rsidP="00691BC3">
      <w:pPr>
        <w:shd w:val="clear" w:color="auto" w:fill="FFFFFF"/>
        <w:spacing w:before="120" w:after="120"/>
        <w:rPr>
          <w:rFonts w:ascii="Arial" w:hAnsi="Arial" w:cs="Arial"/>
        </w:rPr>
      </w:pPr>
    </w:p>
    <w:p w14:paraId="2015339A" w14:textId="77777777" w:rsidR="00691BC3" w:rsidRDefault="00691BC3" w:rsidP="00691BC3">
      <w:pPr>
        <w:shd w:val="clear" w:color="auto" w:fill="FFFFFF"/>
        <w:spacing w:before="120" w:after="120"/>
        <w:rPr>
          <w:rFonts w:ascii="Arial" w:hAnsi="Arial" w:cs="Arial"/>
        </w:rPr>
      </w:pPr>
      <w:r w:rsidRPr="0022294C">
        <w:rPr>
          <w:rFonts w:ascii="Arial" w:hAnsi="Arial" w:cs="Arial"/>
        </w:rPr>
        <w:t>If DHBs do not reach the target level of coverage for any of Māori, Pacific (where relevant), or T</w:t>
      </w:r>
      <w:r>
        <w:rPr>
          <w:rFonts w:ascii="Arial" w:hAnsi="Arial" w:cs="Arial"/>
        </w:rPr>
        <w:t xml:space="preserve">otal populations </w:t>
      </w:r>
      <w:r w:rsidRPr="0022294C">
        <w:rPr>
          <w:rFonts w:ascii="Arial" w:hAnsi="Arial" w:cs="Arial"/>
        </w:rPr>
        <w:t xml:space="preserve">they are expected to provide an exception qualitative report at the end of </w:t>
      </w:r>
      <w:r>
        <w:rPr>
          <w:rFonts w:ascii="Arial" w:hAnsi="Arial" w:cs="Arial"/>
        </w:rPr>
        <w:t xml:space="preserve">quarter one </w:t>
      </w:r>
      <w:r w:rsidRPr="0022294C">
        <w:rPr>
          <w:rFonts w:ascii="Arial" w:hAnsi="Arial" w:cs="Arial"/>
        </w:rPr>
        <w:t>advising how they will track towards higher coverage. If the target level of coverage has been reached across all priority ethnicities, only a confirmation statement is required.</w:t>
      </w:r>
    </w:p>
    <w:p w14:paraId="68695D68" w14:textId="77777777" w:rsidR="00691BC3" w:rsidRPr="00010026" w:rsidRDefault="00691BC3" w:rsidP="00691BC3">
      <w:pPr>
        <w:shd w:val="clear" w:color="auto" w:fill="FFFFFF"/>
        <w:spacing w:before="120" w:after="120"/>
        <w:rPr>
          <w:rFonts w:ascii="Arial" w:hAnsi="Arial" w:cs="Arial"/>
        </w:rPr>
      </w:pPr>
    </w:p>
    <w:p w14:paraId="64BDAB37" w14:textId="77777777" w:rsidR="007F5CA8" w:rsidRDefault="007F5CA8">
      <w:pPr>
        <w:rPr>
          <w:rFonts w:ascii="Arial" w:hAnsi="Arial" w:cs="Arial"/>
        </w:rPr>
      </w:pPr>
      <w:r>
        <w:rPr>
          <w:rFonts w:ascii="Arial" w:hAnsi="Arial" w:cs="Arial"/>
        </w:rPr>
        <w:br w:type="page"/>
      </w:r>
    </w:p>
    <w:p w14:paraId="2D313D0B" w14:textId="681E12A1" w:rsidR="00691BC3" w:rsidRPr="00010026" w:rsidRDefault="00691BC3" w:rsidP="00691BC3">
      <w:pPr>
        <w:shd w:val="clear" w:color="auto" w:fill="FFFFFF"/>
        <w:spacing w:before="120" w:after="120"/>
        <w:rPr>
          <w:rFonts w:ascii="Arial" w:hAnsi="Arial" w:cs="Arial"/>
        </w:rPr>
      </w:pPr>
      <w:r w:rsidRPr="00010026">
        <w:rPr>
          <w:rFonts w:ascii="Arial" w:hAnsi="Arial" w:cs="Arial"/>
        </w:rPr>
        <w:lastRenderedPageBreak/>
        <w:t>The assessment requirements are set out below.</w:t>
      </w:r>
    </w:p>
    <w:p w14:paraId="54FF95CD" w14:textId="77777777" w:rsidR="00691BC3" w:rsidRPr="00010026" w:rsidRDefault="00691BC3" w:rsidP="00691BC3">
      <w:pPr>
        <w:autoSpaceDE w:val="0"/>
        <w:autoSpaceDN w:val="0"/>
        <w:adjustRightInd w:val="0"/>
        <w:spacing w:before="60" w:after="60" w:line="240" w:lineRule="atLeast"/>
        <w:jc w:val="both"/>
        <w:rPr>
          <w:rFonts w:ascii="Arial" w:hAnsi="Arial" w:cs="Arial"/>
          <w:b/>
          <w:bCs/>
          <w:color w:val="000000"/>
        </w:rPr>
      </w:pPr>
    </w:p>
    <w:p w14:paraId="384A14C0" w14:textId="77777777" w:rsidR="00691BC3" w:rsidRDefault="00691BC3" w:rsidP="00691BC3">
      <w:pPr>
        <w:autoSpaceDE w:val="0"/>
        <w:autoSpaceDN w:val="0"/>
        <w:adjustRightInd w:val="0"/>
        <w:spacing w:before="60" w:after="60" w:line="240" w:lineRule="atLeast"/>
        <w:jc w:val="both"/>
        <w:rPr>
          <w:rFonts w:ascii="Arial" w:hAnsi="Arial" w:cs="Arial"/>
          <w:b/>
          <w:bCs/>
          <w:color w:val="000000"/>
        </w:rPr>
      </w:pPr>
    </w:p>
    <w:p w14:paraId="0D0AEB3C" w14:textId="77777777" w:rsidR="00691BC3" w:rsidRDefault="00691BC3" w:rsidP="00691BC3">
      <w:pPr>
        <w:autoSpaceDE w:val="0"/>
        <w:autoSpaceDN w:val="0"/>
        <w:adjustRightInd w:val="0"/>
        <w:spacing w:before="60" w:after="60" w:line="240" w:lineRule="atLeast"/>
        <w:jc w:val="both"/>
        <w:rPr>
          <w:rFonts w:ascii="Arial" w:hAnsi="Arial" w:cs="Arial"/>
          <w:b/>
          <w:bCs/>
          <w:color w:val="000000"/>
        </w:rPr>
      </w:pPr>
    </w:p>
    <w:p w14:paraId="6C22CC43" w14:textId="77777777" w:rsidR="00691BC3" w:rsidRPr="00010026" w:rsidRDefault="00691BC3" w:rsidP="00691BC3">
      <w:pPr>
        <w:autoSpaceDE w:val="0"/>
        <w:autoSpaceDN w:val="0"/>
        <w:adjustRightInd w:val="0"/>
        <w:spacing w:before="60" w:after="60" w:line="240" w:lineRule="atLeast"/>
        <w:jc w:val="both"/>
        <w:rPr>
          <w:rFonts w:ascii="Arial" w:hAnsi="Arial" w:cs="Arial"/>
          <w:b/>
          <w:bCs/>
          <w:color w:val="000000"/>
        </w:rPr>
      </w:pPr>
      <w:r w:rsidRPr="00010026">
        <w:rPr>
          <w:rFonts w:ascii="Arial" w:hAnsi="Arial" w:cs="Arial"/>
          <w:b/>
          <w:bCs/>
          <w:color w:val="000000"/>
        </w:rPr>
        <w:t>Table 4: Annual (quarter one) assessment for influenza immunisation</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7909"/>
      </w:tblGrid>
      <w:tr w:rsidR="00691BC3" w:rsidRPr="00010026" w14:paraId="64286F8D" w14:textId="77777777" w:rsidTr="00632E9E">
        <w:tc>
          <w:tcPr>
            <w:tcW w:w="2156" w:type="dxa"/>
            <w:shd w:val="clear" w:color="auto" w:fill="FFFFFF"/>
            <w:vAlign w:val="center"/>
          </w:tcPr>
          <w:p w14:paraId="0E030AAC" w14:textId="77777777" w:rsidR="00691BC3" w:rsidRPr="00010026" w:rsidRDefault="00691BC3" w:rsidP="00632E9E">
            <w:pPr>
              <w:shd w:val="clear" w:color="auto" w:fill="FFFFFF"/>
              <w:spacing w:before="60" w:after="60"/>
              <w:rPr>
                <w:rFonts w:ascii="Arial" w:hAnsi="Arial" w:cs="Arial"/>
                <w:b/>
              </w:rPr>
            </w:pPr>
            <w:r w:rsidRPr="00010026">
              <w:rPr>
                <w:rFonts w:ascii="Arial" w:hAnsi="Arial" w:cs="Arial"/>
                <w:b/>
              </w:rPr>
              <w:t xml:space="preserve">Rating: </w:t>
            </w:r>
          </w:p>
        </w:tc>
        <w:tc>
          <w:tcPr>
            <w:tcW w:w="7909" w:type="dxa"/>
            <w:shd w:val="clear" w:color="auto" w:fill="FFFFFF"/>
            <w:vAlign w:val="center"/>
          </w:tcPr>
          <w:p w14:paraId="25BD245B" w14:textId="77777777" w:rsidR="00691BC3" w:rsidRPr="00010026" w:rsidRDefault="00691BC3" w:rsidP="00632E9E">
            <w:pPr>
              <w:shd w:val="clear" w:color="auto" w:fill="FFFFFF"/>
              <w:spacing w:before="60" w:after="60"/>
              <w:rPr>
                <w:rFonts w:ascii="Arial" w:hAnsi="Arial" w:cs="Arial"/>
                <w:b/>
              </w:rPr>
            </w:pPr>
            <w:r w:rsidRPr="00010026">
              <w:rPr>
                <w:rFonts w:ascii="Arial" w:hAnsi="Arial" w:cs="Arial"/>
                <w:b/>
              </w:rPr>
              <w:t>Definition</w:t>
            </w:r>
          </w:p>
        </w:tc>
      </w:tr>
      <w:tr w:rsidR="00691BC3" w:rsidRPr="00010026" w14:paraId="51E8C544" w14:textId="77777777" w:rsidTr="00632E9E">
        <w:tc>
          <w:tcPr>
            <w:tcW w:w="2156" w:type="dxa"/>
            <w:shd w:val="clear" w:color="auto" w:fill="auto"/>
          </w:tcPr>
          <w:p w14:paraId="7E4C72C6" w14:textId="77777777" w:rsidR="00691BC3" w:rsidRPr="00010026" w:rsidRDefault="00691BC3" w:rsidP="00632E9E">
            <w:pPr>
              <w:shd w:val="clear" w:color="auto" w:fill="FFFFFF"/>
              <w:spacing w:before="60" w:after="60"/>
              <w:rPr>
                <w:rFonts w:ascii="Arial" w:hAnsi="Arial" w:cs="Arial"/>
              </w:rPr>
            </w:pPr>
            <w:r w:rsidRPr="00010026">
              <w:rPr>
                <w:rFonts w:ascii="Arial" w:hAnsi="Arial" w:cs="Arial"/>
              </w:rPr>
              <w:t>Outstanding performer</w:t>
            </w:r>
          </w:p>
        </w:tc>
        <w:tc>
          <w:tcPr>
            <w:tcW w:w="7909" w:type="dxa"/>
            <w:tcBorders>
              <w:top w:val="single" w:sz="4" w:space="0" w:color="auto"/>
              <w:left w:val="single" w:sz="4" w:space="0" w:color="auto"/>
              <w:bottom w:val="single" w:sz="4" w:space="0" w:color="auto"/>
              <w:right w:val="single" w:sz="4" w:space="0" w:color="auto"/>
            </w:tcBorders>
          </w:tcPr>
          <w:p w14:paraId="55DC0E1D" w14:textId="77777777" w:rsidR="00691BC3" w:rsidRDefault="00691BC3" w:rsidP="00632E9E">
            <w:pPr>
              <w:shd w:val="clear" w:color="auto" w:fill="FFFFFF"/>
              <w:autoSpaceDE w:val="0"/>
              <w:autoSpaceDN w:val="0"/>
              <w:adjustRightInd w:val="0"/>
              <w:spacing w:before="60" w:after="60" w:line="240" w:lineRule="atLeast"/>
              <w:ind w:left="15"/>
              <w:rPr>
                <w:rFonts w:ascii="Arial" w:hAnsi="Arial" w:cs="Arial"/>
                <w:color w:val="000000"/>
              </w:rPr>
            </w:pPr>
            <w:r>
              <w:rPr>
                <w:rFonts w:ascii="Arial" w:hAnsi="Arial" w:cs="Arial"/>
                <w:color w:val="000000"/>
              </w:rPr>
              <w:t xml:space="preserve">The DHB has </w:t>
            </w:r>
          </w:p>
          <w:p w14:paraId="761655DC" w14:textId="77777777" w:rsidR="00691BC3" w:rsidRPr="00867EDB" w:rsidDel="007E68A6" w:rsidRDefault="00691BC3" w:rsidP="00C04FF1">
            <w:pPr>
              <w:pStyle w:val="ListParagraph"/>
              <w:numPr>
                <w:ilvl w:val="0"/>
                <w:numId w:val="117"/>
              </w:numPr>
              <w:shd w:val="clear" w:color="auto" w:fill="FFFFFF"/>
              <w:autoSpaceDE w:val="0"/>
              <w:autoSpaceDN w:val="0"/>
              <w:adjustRightInd w:val="0"/>
              <w:spacing w:before="60" w:after="60" w:line="240" w:lineRule="atLeast"/>
              <w:rPr>
                <w:rFonts w:ascii="Arial" w:hAnsi="Arial" w:cs="Arial"/>
              </w:rPr>
            </w:pPr>
            <w:r>
              <w:rPr>
                <w:rFonts w:ascii="Arial" w:hAnsi="Arial" w:cs="Arial"/>
                <w:color w:val="000000"/>
              </w:rPr>
              <w:t>substantially exceeded the influenza i</w:t>
            </w:r>
            <w:r w:rsidRPr="00867EDB">
              <w:rPr>
                <w:rFonts w:ascii="Arial" w:hAnsi="Arial" w:cs="Arial"/>
                <w:color w:val="000000"/>
              </w:rPr>
              <w:t>mmunisation coverage target of 75% for each of the Māori, Pacific (where r</w:t>
            </w:r>
            <w:r>
              <w:rPr>
                <w:rFonts w:ascii="Arial" w:hAnsi="Arial" w:cs="Arial"/>
                <w:color w:val="000000"/>
              </w:rPr>
              <w:t>elevant), and total populations</w:t>
            </w:r>
            <w:r w:rsidRPr="00867EDB">
              <w:rPr>
                <w:rFonts w:ascii="Arial" w:hAnsi="Arial" w:cs="Arial"/>
                <w:color w:val="000000"/>
              </w:rPr>
              <w:t>.</w:t>
            </w:r>
          </w:p>
        </w:tc>
      </w:tr>
      <w:tr w:rsidR="00691BC3" w:rsidRPr="00010026" w14:paraId="0CE32173" w14:textId="77777777" w:rsidTr="00632E9E">
        <w:tc>
          <w:tcPr>
            <w:tcW w:w="2156" w:type="dxa"/>
            <w:shd w:val="clear" w:color="auto" w:fill="auto"/>
          </w:tcPr>
          <w:p w14:paraId="69E4B4B7" w14:textId="77777777" w:rsidR="00691BC3" w:rsidRPr="00010026" w:rsidRDefault="00691BC3" w:rsidP="00632E9E">
            <w:pPr>
              <w:shd w:val="clear" w:color="auto" w:fill="FFFFFF"/>
              <w:spacing w:before="60" w:after="60"/>
              <w:rPr>
                <w:rFonts w:ascii="Arial" w:hAnsi="Arial" w:cs="Arial"/>
              </w:rPr>
            </w:pPr>
            <w:r w:rsidRPr="00010026">
              <w:rPr>
                <w:rFonts w:ascii="Arial" w:hAnsi="Arial" w:cs="Arial"/>
              </w:rPr>
              <w:t>Achieved</w:t>
            </w:r>
          </w:p>
        </w:tc>
        <w:tc>
          <w:tcPr>
            <w:tcW w:w="7909" w:type="dxa"/>
            <w:tcBorders>
              <w:top w:val="single" w:sz="4" w:space="0" w:color="auto"/>
              <w:left w:val="single" w:sz="4" w:space="0" w:color="auto"/>
              <w:bottom w:val="single" w:sz="4" w:space="0" w:color="auto"/>
              <w:right w:val="single" w:sz="4" w:space="0" w:color="auto"/>
            </w:tcBorders>
          </w:tcPr>
          <w:p w14:paraId="05F5C9B8" w14:textId="77777777" w:rsidR="00691BC3" w:rsidRDefault="00691BC3" w:rsidP="00632E9E">
            <w:pPr>
              <w:autoSpaceDE w:val="0"/>
              <w:autoSpaceDN w:val="0"/>
              <w:adjustRightInd w:val="0"/>
              <w:rPr>
                <w:rFonts w:ascii="Arial" w:hAnsi="Arial" w:cs="Arial"/>
                <w:color w:val="000000"/>
              </w:rPr>
            </w:pPr>
            <w:r w:rsidRPr="00A54C39">
              <w:rPr>
                <w:rFonts w:ascii="Arial" w:hAnsi="Arial" w:cs="Arial"/>
                <w:color w:val="000000"/>
              </w:rPr>
              <w:t xml:space="preserve">The DHB has </w:t>
            </w:r>
          </w:p>
          <w:p w14:paraId="41484746" w14:textId="77777777" w:rsidR="00691BC3" w:rsidRPr="00867EDB" w:rsidRDefault="00691BC3" w:rsidP="00C04FF1">
            <w:pPr>
              <w:pStyle w:val="ListParagraph"/>
              <w:numPr>
                <w:ilvl w:val="0"/>
                <w:numId w:val="117"/>
              </w:numPr>
              <w:shd w:val="clear" w:color="auto" w:fill="FFFFFF"/>
              <w:spacing w:before="60" w:after="60"/>
              <w:rPr>
                <w:rFonts w:ascii="Arial" w:hAnsi="Arial" w:cs="Arial"/>
              </w:rPr>
            </w:pPr>
            <w:r w:rsidRPr="00867EDB">
              <w:rPr>
                <w:rFonts w:ascii="Arial" w:hAnsi="Arial" w:cs="Arial"/>
                <w:color w:val="000000"/>
              </w:rPr>
              <w:t>reached the influenza immunisation coverage target of 75%</w:t>
            </w:r>
            <w:r>
              <w:t xml:space="preserve"> </w:t>
            </w:r>
            <w:r w:rsidRPr="00867EDB">
              <w:rPr>
                <w:rFonts w:ascii="Arial" w:hAnsi="Arial" w:cs="Arial"/>
                <w:color w:val="000000"/>
              </w:rPr>
              <w:t>for each of the Māori, Pacific (where releva</w:t>
            </w:r>
            <w:r>
              <w:rPr>
                <w:rFonts w:ascii="Arial" w:hAnsi="Arial" w:cs="Arial"/>
                <w:color w:val="000000"/>
              </w:rPr>
              <w:t>nt), and Total populations</w:t>
            </w:r>
            <w:r w:rsidRPr="00867EDB">
              <w:rPr>
                <w:rFonts w:ascii="Arial" w:hAnsi="Arial" w:cs="Arial"/>
                <w:color w:val="000000"/>
              </w:rPr>
              <w:t>.</w:t>
            </w:r>
          </w:p>
        </w:tc>
      </w:tr>
      <w:tr w:rsidR="00691BC3" w:rsidRPr="00010026" w14:paraId="4E064720" w14:textId="77777777" w:rsidTr="00632E9E">
        <w:tblPrEx>
          <w:tblLook w:val="01E0" w:firstRow="1" w:lastRow="1" w:firstColumn="1" w:lastColumn="1" w:noHBand="0" w:noVBand="0"/>
        </w:tblPrEx>
        <w:tc>
          <w:tcPr>
            <w:tcW w:w="2156" w:type="dxa"/>
            <w:shd w:val="clear" w:color="auto" w:fill="auto"/>
          </w:tcPr>
          <w:p w14:paraId="0086E42A" w14:textId="77777777" w:rsidR="00691BC3" w:rsidRPr="00010026" w:rsidRDefault="00691BC3" w:rsidP="00632E9E">
            <w:pPr>
              <w:shd w:val="clear" w:color="auto" w:fill="FFFFFF"/>
              <w:spacing w:before="60" w:after="60"/>
              <w:rPr>
                <w:rFonts w:ascii="Arial" w:hAnsi="Arial" w:cs="Arial"/>
              </w:rPr>
            </w:pPr>
            <w:r w:rsidRPr="00010026">
              <w:rPr>
                <w:rFonts w:ascii="Arial" w:hAnsi="Arial" w:cs="Arial"/>
              </w:rPr>
              <w:t>Partially Achieved</w:t>
            </w:r>
          </w:p>
        </w:tc>
        <w:tc>
          <w:tcPr>
            <w:tcW w:w="7909" w:type="dxa"/>
            <w:tcBorders>
              <w:top w:val="single" w:sz="4" w:space="0" w:color="auto"/>
              <w:left w:val="single" w:sz="4" w:space="0" w:color="auto"/>
              <w:bottom w:val="single" w:sz="4" w:space="0" w:color="auto"/>
              <w:right w:val="single" w:sz="4" w:space="0" w:color="auto"/>
            </w:tcBorders>
          </w:tcPr>
          <w:p w14:paraId="51EBD940" w14:textId="77777777" w:rsidR="00691BC3"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Pr>
                <w:rFonts w:ascii="Arial" w:hAnsi="Arial" w:cs="Arial"/>
                <w:color w:val="000000"/>
                <w:lang w:val="en-GB"/>
              </w:rPr>
              <w:t>The DHB has</w:t>
            </w:r>
          </w:p>
          <w:p w14:paraId="5FFA5CB8" w14:textId="77777777" w:rsidR="00691BC3" w:rsidRPr="00CF27B2" w:rsidRDefault="00691BC3" w:rsidP="00C04FF1">
            <w:pPr>
              <w:pStyle w:val="ListParagraph"/>
              <w:numPr>
                <w:ilvl w:val="0"/>
                <w:numId w:val="114"/>
              </w:numPr>
              <w:shd w:val="clear" w:color="auto" w:fill="FFFFFF"/>
              <w:tabs>
                <w:tab w:val="left" w:pos="720"/>
              </w:tabs>
              <w:overflowPunct w:val="0"/>
              <w:autoSpaceDE w:val="0"/>
              <w:autoSpaceDN w:val="0"/>
              <w:adjustRightInd w:val="0"/>
              <w:spacing w:before="60" w:after="60"/>
              <w:jc w:val="both"/>
              <w:rPr>
                <w:rFonts w:ascii="Arial" w:hAnsi="Arial" w:cs="Arial"/>
                <w:i/>
                <w:color w:val="000000"/>
                <w:lang w:val="en-GB"/>
              </w:rPr>
            </w:pPr>
            <w:r w:rsidRPr="00CF27B2">
              <w:rPr>
                <w:rFonts w:ascii="Arial" w:hAnsi="Arial" w:cs="Arial"/>
                <w:color w:val="000000"/>
                <w:lang w:val="en-GB"/>
              </w:rPr>
              <w:t xml:space="preserve">reached </w:t>
            </w:r>
            <w:r>
              <w:rPr>
                <w:rFonts w:ascii="Arial" w:hAnsi="Arial" w:cs="Arial"/>
                <w:color w:val="000000"/>
                <w:lang w:val="en-GB"/>
              </w:rPr>
              <w:t>influenza</w:t>
            </w:r>
            <w:r w:rsidRPr="00CF27B2">
              <w:rPr>
                <w:rFonts w:ascii="Arial" w:hAnsi="Arial" w:cs="Arial"/>
                <w:color w:val="000000"/>
                <w:lang w:val="en-GB"/>
              </w:rPr>
              <w:t xml:space="preserve"> immunisation coverage of at least 70%</w:t>
            </w:r>
            <w:r>
              <w:t xml:space="preserve"> </w:t>
            </w:r>
            <w:r w:rsidRPr="00CF27B2">
              <w:rPr>
                <w:rFonts w:ascii="Arial" w:hAnsi="Arial" w:cs="Arial"/>
                <w:color w:val="000000"/>
                <w:lang w:val="en-GB"/>
              </w:rPr>
              <w:t>for each of the Māori, Pacific (where re</w:t>
            </w:r>
            <w:r>
              <w:rPr>
                <w:rFonts w:ascii="Arial" w:hAnsi="Arial" w:cs="Arial"/>
                <w:color w:val="000000"/>
                <w:lang w:val="en-GB"/>
              </w:rPr>
              <w:t xml:space="preserve">levant), and total populations, </w:t>
            </w:r>
            <w:r w:rsidRPr="00CF27B2">
              <w:rPr>
                <w:rFonts w:ascii="Arial" w:hAnsi="Arial" w:cs="Arial"/>
                <w:i/>
                <w:color w:val="000000"/>
                <w:lang w:val="en-GB"/>
              </w:rPr>
              <w:t>and</w:t>
            </w:r>
          </w:p>
          <w:p w14:paraId="22C3D670" w14:textId="77777777" w:rsidR="00691BC3" w:rsidRPr="00867EDB" w:rsidRDefault="00691BC3" w:rsidP="00C04FF1">
            <w:pPr>
              <w:pStyle w:val="ListParagraph"/>
              <w:numPr>
                <w:ilvl w:val="0"/>
                <w:numId w:val="114"/>
              </w:numPr>
              <w:shd w:val="clear" w:color="auto" w:fill="FFFFFF"/>
              <w:spacing w:before="60" w:after="60"/>
              <w:rPr>
                <w:rFonts w:ascii="Arial" w:hAnsi="Arial" w:cs="Arial"/>
              </w:rPr>
            </w:pPr>
            <w:r w:rsidRPr="00867EDB">
              <w:rPr>
                <w:rFonts w:ascii="Arial" w:hAnsi="Arial" w:cs="Arial"/>
                <w:color w:val="000000"/>
                <w:lang w:val="en-GB"/>
              </w:rPr>
              <w:t>provided evidence that they are working towards improvement of immunisation coverage.</w:t>
            </w:r>
          </w:p>
        </w:tc>
      </w:tr>
      <w:tr w:rsidR="00691BC3" w:rsidRPr="00010026" w14:paraId="24CF1AF6" w14:textId="77777777" w:rsidTr="00632E9E">
        <w:tblPrEx>
          <w:tblLook w:val="01E0" w:firstRow="1" w:lastRow="1" w:firstColumn="1" w:lastColumn="1" w:noHBand="0" w:noVBand="0"/>
        </w:tblPrEx>
        <w:tc>
          <w:tcPr>
            <w:tcW w:w="2156" w:type="dxa"/>
            <w:shd w:val="clear" w:color="auto" w:fill="auto"/>
          </w:tcPr>
          <w:p w14:paraId="61E3788E" w14:textId="77777777" w:rsidR="00691BC3" w:rsidRPr="00010026" w:rsidRDefault="00691BC3" w:rsidP="00632E9E">
            <w:pPr>
              <w:shd w:val="clear" w:color="auto" w:fill="FFFFFF"/>
              <w:spacing w:before="60" w:after="60"/>
              <w:rPr>
                <w:rFonts w:ascii="Arial" w:hAnsi="Arial" w:cs="Arial"/>
              </w:rPr>
            </w:pPr>
            <w:r w:rsidRPr="00010026">
              <w:rPr>
                <w:rFonts w:ascii="Arial" w:hAnsi="Arial" w:cs="Arial"/>
              </w:rPr>
              <w:t>Not Achieved</w:t>
            </w:r>
          </w:p>
        </w:tc>
        <w:tc>
          <w:tcPr>
            <w:tcW w:w="7909" w:type="dxa"/>
            <w:tcBorders>
              <w:top w:val="single" w:sz="4" w:space="0" w:color="auto"/>
              <w:left w:val="single" w:sz="4" w:space="0" w:color="auto"/>
              <w:bottom w:val="single" w:sz="4" w:space="0" w:color="auto"/>
              <w:right w:val="single" w:sz="4" w:space="0" w:color="auto"/>
            </w:tcBorders>
          </w:tcPr>
          <w:p w14:paraId="6E94C8EF" w14:textId="77777777" w:rsidR="00691BC3" w:rsidRDefault="00691BC3" w:rsidP="00632E9E">
            <w:p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Pr>
                <w:rFonts w:ascii="Arial" w:hAnsi="Arial" w:cs="Arial"/>
                <w:color w:val="000000"/>
                <w:lang w:val="en-GB"/>
              </w:rPr>
              <w:t xml:space="preserve">The DHB has </w:t>
            </w:r>
          </w:p>
          <w:p w14:paraId="5CED617F" w14:textId="77777777" w:rsidR="00691BC3" w:rsidRPr="00CF27B2" w:rsidRDefault="00691BC3" w:rsidP="00C04FF1">
            <w:pPr>
              <w:pStyle w:val="ListParagraph"/>
              <w:numPr>
                <w:ilvl w:val="0"/>
                <w:numId w:val="113"/>
              </w:num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sidRPr="00CF27B2">
              <w:rPr>
                <w:rFonts w:ascii="Arial" w:hAnsi="Arial" w:cs="Arial"/>
                <w:color w:val="000000"/>
                <w:lang w:val="en-GB"/>
              </w:rPr>
              <w:t xml:space="preserve">achieved </w:t>
            </w:r>
            <w:r>
              <w:rPr>
                <w:rFonts w:ascii="Arial" w:hAnsi="Arial" w:cs="Arial"/>
                <w:color w:val="000000"/>
                <w:lang w:val="en-GB"/>
              </w:rPr>
              <w:t>influenza</w:t>
            </w:r>
            <w:r w:rsidRPr="00CF27B2">
              <w:rPr>
                <w:rFonts w:ascii="Arial" w:hAnsi="Arial" w:cs="Arial"/>
                <w:color w:val="000000"/>
                <w:lang w:val="en-GB"/>
              </w:rPr>
              <w:t xml:space="preserve"> immunisation coverage of less than 70% for any of the </w:t>
            </w:r>
            <w:r w:rsidRPr="00867EDB">
              <w:rPr>
                <w:rFonts w:ascii="Arial" w:hAnsi="Arial" w:cs="Arial"/>
                <w:color w:val="000000"/>
                <w:lang w:val="en-GB"/>
              </w:rPr>
              <w:t xml:space="preserve">Māori, Pacific (where relevant), and </w:t>
            </w:r>
            <w:r>
              <w:rPr>
                <w:rFonts w:ascii="Arial" w:hAnsi="Arial" w:cs="Arial"/>
                <w:color w:val="000000"/>
                <w:lang w:val="en-GB"/>
              </w:rPr>
              <w:t>t</w:t>
            </w:r>
            <w:r w:rsidRPr="00867EDB">
              <w:rPr>
                <w:rFonts w:ascii="Arial" w:hAnsi="Arial" w:cs="Arial"/>
                <w:color w:val="000000"/>
                <w:lang w:val="en-GB"/>
              </w:rPr>
              <w:t>otal populations</w:t>
            </w:r>
            <w:r>
              <w:rPr>
                <w:rFonts w:ascii="Arial" w:hAnsi="Arial" w:cs="Arial"/>
                <w:color w:val="000000"/>
                <w:lang w:val="en-GB"/>
              </w:rPr>
              <w:t xml:space="preserve">, </w:t>
            </w:r>
            <w:r w:rsidRPr="000E794E">
              <w:rPr>
                <w:rFonts w:ascii="Arial" w:hAnsi="Arial" w:cs="Arial"/>
                <w:i/>
                <w:color w:val="000000"/>
                <w:lang w:val="en-GB"/>
              </w:rPr>
              <w:t>and/or</w:t>
            </w:r>
            <w:r w:rsidRPr="00CF27B2">
              <w:rPr>
                <w:rFonts w:ascii="Arial" w:hAnsi="Arial" w:cs="Arial"/>
                <w:color w:val="000000"/>
                <w:lang w:val="en-GB"/>
              </w:rPr>
              <w:t xml:space="preserve"> </w:t>
            </w:r>
          </w:p>
          <w:p w14:paraId="19C23BE7" w14:textId="77777777" w:rsidR="00691BC3" w:rsidRPr="00CF27B2" w:rsidRDefault="00691BC3" w:rsidP="00C04FF1">
            <w:pPr>
              <w:pStyle w:val="ListParagraph"/>
              <w:numPr>
                <w:ilvl w:val="0"/>
                <w:numId w:val="113"/>
              </w:numPr>
              <w:shd w:val="clear" w:color="auto" w:fill="FFFFFF"/>
              <w:tabs>
                <w:tab w:val="left" w:pos="720"/>
              </w:tabs>
              <w:overflowPunct w:val="0"/>
              <w:autoSpaceDE w:val="0"/>
              <w:autoSpaceDN w:val="0"/>
              <w:adjustRightInd w:val="0"/>
              <w:spacing w:before="60" w:after="60"/>
              <w:jc w:val="both"/>
              <w:rPr>
                <w:rFonts w:ascii="Arial" w:hAnsi="Arial" w:cs="Arial"/>
                <w:color w:val="000000"/>
                <w:lang w:val="en-GB"/>
              </w:rPr>
            </w:pPr>
            <w:r w:rsidRPr="00CF27B2">
              <w:rPr>
                <w:rFonts w:ascii="Arial" w:hAnsi="Arial" w:cs="Arial"/>
                <w:color w:val="000000"/>
                <w:lang w:val="en-GB"/>
              </w:rPr>
              <w:t>the DHB has not provided an adequate resolution plan.</w:t>
            </w:r>
          </w:p>
          <w:p w14:paraId="4B80BC92" w14:textId="77777777" w:rsidR="00691BC3" w:rsidRPr="00010026" w:rsidRDefault="00691BC3" w:rsidP="00632E9E">
            <w:pPr>
              <w:shd w:val="clear" w:color="auto" w:fill="FFFFFF"/>
              <w:spacing w:before="60" w:after="60"/>
              <w:rPr>
                <w:rFonts w:ascii="Arial" w:hAnsi="Arial" w:cs="Arial"/>
              </w:rPr>
            </w:pPr>
          </w:p>
        </w:tc>
      </w:tr>
    </w:tbl>
    <w:p w14:paraId="530A801C" w14:textId="77777777" w:rsidR="00691BC3" w:rsidRDefault="00691BC3">
      <w:pPr>
        <w:rPr>
          <w:rFonts w:ascii="Arial" w:hAnsi="Arial" w:cs="Arial"/>
          <w:b/>
          <w:i/>
        </w:rPr>
      </w:pPr>
      <w:r>
        <w:rPr>
          <w:rFonts w:ascii="Arial" w:hAnsi="Arial" w:cs="Arial"/>
          <w:b/>
          <w:i/>
        </w:rPr>
        <w:br w:type="page"/>
      </w:r>
    </w:p>
    <w:p w14:paraId="5F1F0815" w14:textId="3DF09ED7" w:rsidR="00A62D59" w:rsidRPr="0021406B" w:rsidRDefault="00A62D59" w:rsidP="00EE7C3F">
      <w:pPr>
        <w:spacing w:before="60" w:after="120"/>
        <w:jc w:val="both"/>
        <w:rPr>
          <w:rFonts w:ascii="Arial" w:hAnsi="Arial" w:cs="Arial"/>
          <w:b/>
          <w:i/>
        </w:rPr>
      </w:pPr>
      <w:r>
        <w:rPr>
          <w:rFonts w:ascii="Arial" w:hAnsi="Arial" w:cs="Arial"/>
          <w:b/>
          <w:i/>
        </w:rPr>
        <w:lastRenderedPageBreak/>
        <w:t>Outcome priority:</w:t>
      </w:r>
      <w:r w:rsidRPr="0021406B">
        <w:rPr>
          <w:rFonts w:ascii="Arial" w:hAnsi="Arial" w:cs="Arial"/>
          <w:b/>
          <w:i/>
        </w:rPr>
        <w:t xml:space="preserve">  </w:t>
      </w:r>
      <w:r>
        <w:rPr>
          <w:rFonts w:ascii="Arial" w:hAnsi="Arial" w:cs="Arial"/>
          <w:b/>
          <w:i/>
        </w:rPr>
        <w:t xml:space="preserve">We live longer in good health </w:t>
      </w:r>
      <w:r w:rsidRPr="0021406B">
        <w:rPr>
          <w:rFonts w:ascii="Arial" w:hAnsi="Arial" w:cs="Arial"/>
          <w:b/>
          <w:i/>
        </w:rPr>
        <w:t xml:space="preserve"> </w:t>
      </w:r>
    </w:p>
    <w:p w14:paraId="44860943" w14:textId="36810B4D" w:rsidR="00A62D59" w:rsidRDefault="00505ED6" w:rsidP="00A62D59">
      <w:pPr>
        <w:pStyle w:val="Heading1"/>
        <w:shd w:val="clear" w:color="auto" w:fill="FFFFFF"/>
        <w:spacing w:before="60"/>
        <w:jc w:val="both"/>
        <w:rPr>
          <w:i/>
          <w:sz w:val="28"/>
          <w:szCs w:val="28"/>
        </w:rPr>
      </w:pPr>
      <w:bookmarkStart w:id="382" w:name="_Toc4588529"/>
      <w:bookmarkStart w:id="383" w:name="_Toc9591999"/>
      <w:r>
        <w:rPr>
          <w:i/>
          <w:sz w:val="28"/>
          <w:szCs w:val="28"/>
        </w:rPr>
        <w:t xml:space="preserve">Improving child </w:t>
      </w:r>
      <w:r w:rsidR="00A62D59">
        <w:rPr>
          <w:i/>
          <w:sz w:val="28"/>
          <w:szCs w:val="28"/>
        </w:rPr>
        <w:t>wellbeing</w:t>
      </w:r>
      <w:r w:rsidR="00A62D59" w:rsidRPr="0021406B">
        <w:rPr>
          <w:i/>
          <w:sz w:val="28"/>
          <w:szCs w:val="28"/>
        </w:rPr>
        <w:t xml:space="preserve"> </w:t>
      </w:r>
      <w:r w:rsidR="00A62D59">
        <w:rPr>
          <w:i/>
          <w:sz w:val="28"/>
          <w:szCs w:val="28"/>
        </w:rPr>
        <w:t>CW06</w:t>
      </w:r>
      <w:r w:rsidR="00A62D59" w:rsidRPr="0021406B">
        <w:rPr>
          <w:i/>
          <w:sz w:val="28"/>
          <w:szCs w:val="28"/>
        </w:rPr>
        <w:t>: Improving breastfeeding rates</w:t>
      </w:r>
      <w:bookmarkEnd w:id="382"/>
      <w:bookmarkEnd w:id="383"/>
    </w:p>
    <w:p w14:paraId="651E2967" w14:textId="5B5E3911" w:rsidR="00A62D59" w:rsidRPr="0013052B" w:rsidRDefault="00A62D59" w:rsidP="00A62D59">
      <w:pPr>
        <w:rPr>
          <w:rFonts w:ascii="Arial" w:hAnsi="Arial" w:cs="Arial"/>
          <w:i/>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209"/>
        <w:gridCol w:w="1021"/>
      </w:tblGrid>
      <w:tr w:rsidR="00A62D59" w:rsidRPr="00B44AD8" w14:paraId="690F15A9" w14:textId="77777777" w:rsidTr="003D2D0B">
        <w:tc>
          <w:tcPr>
            <w:tcW w:w="10094" w:type="dxa"/>
            <w:gridSpan w:val="3"/>
            <w:shd w:val="clear" w:color="auto" w:fill="D9D9D9"/>
          </w:tcPr>
          <w:p w14:paraId="51273AFE" w14:textId="77777777" w:rsidR="00A62D59" w:rsidRPr="00B44AD8" w:rsidRDefault="00A62D59" w:rsidP="003D2D0B">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A62D59" w:rsidRPr="00B44AD8" w14:paraId="0B5EC535" w14:textId="77777777" w:rsidTr="003D2D0B">
        <w:tc>
          <w:tcPr>
            <w:tcW w:w="2864" w:type="dxa"/>
            <w:shd w:val="clear" w:color="auto" w:fill="auto"/>
          </w:tcPr>
          <w:p w14:paraId="02BEEA1C" w14:textId="77777777" w:rsidR="00A62D59" w:rsidRPr="00B44AD8" w:rsidRDefault="00A62D59" w:rsidP="003D2D0B">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gridSpan w:val="2"/>
            <w:shd w:val="clear" w:color="auto" w:fill="auto"/>
          </w:tcPr>
          <w:p w14:paraId="7127F55B" w14:textId="77777777" w:rsidR="00A62D59" w:rsidRDefault="00A62D59" w:rsidP="003D2D0B">
            <w:pPr>
              <w:shd w:val="clear" w:color="auto" w:fill="FFFFFF"/>
              <w:spacing w:before="60" w:after="60"/>
              <w:jc w:val="both"/>
              <w:rPr>
                <w:rFonts w:ascii="Arial" w:hAnsi="Arial" w:cs="Arial"/>
                <w:sz w:val="20"/>
                <w:szCs w:val="20"/>
              </w:rPr>
            </w:pPr>
            <w:r w:rsidRPr="00B44AD8">
              <w:rPr>
                <w:rFonts w:ascii="Arial" w:hAnsi="Arial" w:cs="Arial"/>
                <w:sz w:val="20"/>
                <w:szCs w:val="20"/>
              </w:rPr>
              <w:t>Agreed in DHB Annual Plan</w:t>
            </w:r>
          </w:p>
          <w:p w14:paraId="24FCA550" w14:textId="77777777" w:rsidR="00A62D59" w:rsidRPr="00B44AD8" w:rsidRDefault="00A62D59" w:rsidP="003D2D0B">
            <w:pPr>
              <w:shd w:val="clear" w:color="auto" w:fill="FFFFFF"/>
              <w:spacing w:before="60" w:after="60"/>
              <w:jc w:val="both"/>
              <w:rPr>
                <w:rFonts w:ascii="Arial" w:hAnsi="Arial" w:cs="Arial"/>
                <w:b/>
                <w:i/>
                <w:sz w:val="20"/>
                <w:szCs w:val="20"/>
              </w:rPr>
            </w:pPr>
            <w:r w:rsidRPr="00CD23E7">
              <w:rPr>
                <w:rFonts w:ascii="Arial" w:hAnsi="Arial" w:cs="Arial"/>
                <w:color w:val="000000"/>
                <w:sz w:val="18"/>
                <w:szCs w:val="18"/>
                <w:lang w:eastAsia="en-NZ"/>
              </w:rPr>
              <w:t>Exclusive or fully breastfed at 3 months.</w:t>
            </w:r>
          </w:p>
        </w:tc>
      </w:tr>
      <w:tr w:rsidR="00A62D59" w:rsidRPr="00B44AD8" w14:paraId="3BDD53D0" w14:textId="77777777" w:rsidTr="003D2D0B">
        <w:trPr>
          <w:trHeight w:val="493"/>
        </w:trPr>
        <w:tc>
          <w:tcPr>
            <w:tcW w:w="2864" w:type="dxa"/>
            <w:shd w:val="clear" w:color="auto" w:fill="auto"/>
          </w:tcPr>
          <w:p w14:paraId="4DC03F3F" w14:textId="77777777" w:rsidR="00A62D59" w:rsidRPr="00B44AD8" w:rsidRDefault="00A62D59" w:rsidP="003D2D0B">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gridSpan w:val="2"/>
            <w:shd w:val="clear" w:color="auto" w:fill="auto"/>
          </w:tcPr>
          <w:p w14:paraId="6347282E" w14:textId="77777777" w:rsidR="00A62D59" w:rsidRPr="00B44AD8" w:rsidRDefault="00A62D59" w:rsidP="003D2D0B">
            <w:pPr>
              <w:shd w:val="clear" w:color="auto" w:fill="FFFFFF"/>
              <w:spacing w:before="60" w:after="60"/>
              <w:jc w:val="both"/>
              <w:rPr>
                <w:rFonts w:ascii="Arial" w:hAnsi="Arial" w:cs="Arial"/>
                <w:sz w:val="20"/>
                <w:szCs w:val="20"/>
              </w:rPr>
            </w:pPr>
            <w:r>
              <w:rPr>
                <w:rFonts w:ascii="Arial" w:hAnsi="Arial" w:cs="Arial"/>
                <w:sz w:val="20"/>
                <w:szCs w:val="20"/>
              </w:rPr>
              <w:t xml:space="preserve">Six </w:t>
            </w:r>
            <w:proofErr w:type="gramStart"/>
            <w:r>
              <w:rPr>
                <w:rFonts w:ascii="Arial" w:hAnsi="Arial" w:cs="Arial"/>
                <w:sz w:val="20"/>
                <w:szCs w:val="20"/>
              </w:rPr>
              <w:t>monthly</w:t>
            </w:r>
            <w:proofErr w:type="gramEnd"/>
            <w:r>
              <w:rPr>
                <w:rFonts w:ascii="Arial" w:hAnsi="Arial" w:cs="Arial"/>
                <w:sz w:val="20"/>
                <w:szCs w:val="20"/>
              </w:rPr>
              <w:t xml:space="preserve"> ( quarters 1 and 3)</w:t>
            </w:r>
          </w:p>
        </w:tc>
      </w:tr>
      <w:tr w:rsidR="00A62D59" w:rsidRPr="00B44AD8" w14:paraId="6A98383E" w14:textId="77777777" w:rsidTr="003D2D0B">
        <w:tc>
          <w:tcPr>
            <w:tcW w:w="2864" w:type="dxa"/>
            <w:shd w:val="clear" w:color="auto" w:fill="auto"/>
          </w:tcPr>
          <w:p w14:paraId="34E52A01" w14:textId="77777777" w:rsidR="00A62D59" w:rsidRPr="00B44AD8" w:rsidRDefault="00A62D59" w:rsidP="003D2D0B">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gridSpan w:val="2"/>
            <w:shd w:val="clear" w:color="auto" w:fill="auto"/>
          </w:tcPr>
          <w:p w14:paraId="5689413A" w14:textId="77777777" w:rsidR="00A62D59" w:rsidRPr="00B44AD8" w:rsidRDefault="00A62D59" w:rsidP="003D2D0B">
            <w:pPr>
              <w:shd w:val="clear" w:color="auto" w:fill="FFFFFF"/>
              <w:spacing w:before="60" w:after="60"/>
              <w:rPr>
                <w:rFonts w:ascii="Arial" w:hAnsi="Arial" w:cs="Arial"/>
                <w:i/>
                <w:sz w:val="20"/>
                <w:szCs w:val="20"/>
              </w:rPr>
            </w:pPr>
            <w:r w:rsidRPr="00CD23E7">
              <w:rPr>
                <w:rFonts w:ascii="Arial" w:hAnsi="Arial" w:cs="Arial"/>
                <w:sz w:val="20"/>
                <w:szCs w:val="20"/>
              </w:rPr>
              <w:t>Data is sourced from the Well Chil</w:t>
            </w:r>
            <w:r>
              <w:rPr>
                <w:rFonts w:ascii="Arial" w:hAnsi="Arial" w:cs="Arial"/>
                <w:sz w:val="20"/>
                <w:szCs w:val="20"/>
              </w:rPr>
              <w:t xml:space="preserve">d / Tamariki Ora (WCTO) dataset. </w:t>
            </w:r>
            <w:r w:rsidRPr="00CD23E7">
              <w:rPr>
                <w:rFonts w:ascii="Arial" w:hAnsi="Arial" w:cs="Arial"/>
                <w:sz w:val="20"/>
                <w:szCs w:val="20"/>
                <w:lang w:eastAsia="en-GB"/>
              </w:rPr>
              <w:t xml:space="preserve">Reporting on breastfeeding rates is via the </w:t>
            </w:r>
            <w:proofErr w:type="gramStart"/>
            <w:r w:rsidRPr="00CD23E7">
              <w:rPr>
                <w:rFonts w:ascii="Arial" w:hAnsi="Arial" w:cs="Arial"/>
                <w:sz w:val="20"/>
                <w:szCs w:val="20"/>
                <w:lang w:eastAsia="en-GB"/>
              </w:rPr>
              <w:t>six monthly</w:t>
            </w:r>
            <w:proofErr w:type="gramEnd"/>
            <w:r w:rsidRPr="00CD23E7">
              <w:rPr>
                <w:rFonts w:ascii="Arial" w:hAnsi="Arial" w:cs="Arial"/>
                <w:sz w:val="20"/>
                <w:szCs w:val="20"/>
                <w:lang w:eastAsia="en-GB"/>
              </w:rPr>
              <w:t xml:space="preserve"> publication of Well Child / Tamariki Ora (WCTO) Quality Improvement Framework Report. </w:t>
            </w:r>
            <w:r w:rsidRPr="00CD23E7">
              <w:rPr>
                <w:rFonts w:ascii="Arial" w:hAnsi="Arial" w:cs="Arial"/>
                <w:sz w:val="20"/>
                <w:szCs w:val="20"/>
              </w:rPr>
              <w:t xml:space="preserve">Baseline data and information can be found on the Ministry of Health website.  </w:t>
            </w:r>
          </w:p>
        </w:tc>
      </w:tr>
      <w:tr w:rsidR="00A62D59" w:rsidRPr="00B44AD8" w14:paraId="03081D7C" w14:textId="77777777" w:rsidTr="003D2D0B">
        <w:trPr>
          <w:trHeight w:val="2182"/>
        </w:trPr>
        <w:tc>
          <w:tcPr>
            <w:tcW w:w="2864" w:type="dxa"/>
            <w:shd w:val="clear" w:color="auto" w:fill="auto"/>
          </w:tcPr>
          <w:p w14:paraId="6CB28B1F" w14:textId="77777777" w:rsidR="00A62D59" w:rsidRPr="00B44AD8" w:rsidRDefault="00A62D59" w:rsidP="003D2D0B">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gridSpan w:val="2"/>
            <w:shd w:val="clear" w:color="auto" w:fill="auto"/>
          </w:tcPr>
          <w:p w14:paraId="189013FC" w14:textId="77777777" w:rsidR="00A62D59" w:rsidRPr="00B44AD8" w:rsidRDefault="00A62D59" w:rsidP="003D2D0B">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A62D59" w:rsidRPr="00B44AD8" w14:paraId="28416735" w14:textId="77777777" w:rsidTr="003D2D0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B576D"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5E93B"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20th of the month following the end of the quarter</w:t>
                  </w:r>
                </w:p>
              </w:tc>
            </w:tr>
            <w:tr w:rsidR="00A62D59" w:rsidRPr="00B44AD8" w14:paraId="77EB68DD" w14:textId="77777777" w:rsidTr="003D2D0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12FDF"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67320"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8-10 working days from receiving reports</w:t>
                  </w:r>
                </w:p>
              </w:tc>
            </w:tr>
            <w:tr w:rsidR="00A62D59" w:rsidRPr="00B44AD8" w14:paraId="764F07EE" w14:textId="77777777" w:rsidTr="003D2D0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2E91D"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B6B4"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5 working days from receiving initial ratings</w:t>
                  </w:r>
                </w:p>
              </w:tc>
            </w:tr>
            <w:tr w:rsidR="00A62D59" w:rsidRPr="00B44AD8" w14:paraId="5124D710" w14:textId="77777777" w:rsidTr="003D2D0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02EEB"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D825" w14:textId="77777777" w:rsidR="00A62D59" w:rsidRPr="00B44AD8" w:rsidRDefault="00A62D59" w:rsidP="003D2D0B">
                  <w:pPr>
                    <w:ind w:left="205" w:hanging="205"/>
                    <w:rPr>
                      <w:rFonts w:ascii="Calibri" w:hAnsi="Calibri"/>
                      <w:sz w:val="20"/>
                      <w:szCs w:val="20"/>
                    </w:rPr>
                  </w:pPr>
                  <w:r w:rsidRPr="00B44AD8">
                    <w:rPr>
                      <w:rFonts w:ascii="Calibri" w:hAnsi="Calibri"/>
                      <w:sz w:val="20"/>
                      <w:szCs w:val="20"/>
                    </w:rPr>
                    <w:t>4-5 working days from receiving DHB feedback</w:t>
                  </w:r>
                </w:p>
              </w:tc>
            </w:tr>
          </w:tbl>
          <w:p w14:paraId="0D5B4F91" w14:textId="77777777" w:rsidR="00A62D59" w:rsidRPr="00B44AD8" w:rsidRDefault="00A62D59" w:rsidP="003D2D0B">
            <w:pPr>
              <w:shd w:val="clear" w:color="auto" w:fill="FFFFFF"/>
              <w:spacing w:before="60" w:after="60"/>
              <w:jc w:val="both"/>
              <w:rPr>
                <w:rFonts w:ascii="Arial" w:hAnsi="Arial" w:cs="Arial"/>
                <w:i/>
                <w:sz w:val="16"/>
                <w:szCs w:val="16"/>
              </w:rPr>
            </w:pPr>
          </w:p>
        </w:tc>
      </w:tr>
      <w:tr w:rsidR="00A62D59" w:rsidRPr="0021406B" w14:paraId="44C6166E" w14:textId="77777777" w:rsidTr="003D2D0B">
        <w:tc>
          <w:tcPr>
            <w:tcW w:w="9073" w:type="dxa"/>
            <w:gridSpan w:val="2"/>
            <w:tcBorders>
              <w:right w:val="nil"/>
            </w:tcBorders>
          </w:tcPr>
          <w:p w14:paraId="695FCD2D" w14:textId="77777777" w:rsidR="00A62D59" w:rsidRPr="0021406B" w:rsidRDefault="00A62D59" w:rsidP="003D2D0B">
            <w:pPr>
              <w:shd w:val="clear" w:color="auto" w:fill="FFFFFF"/>
              <w:spacing w:before="60" w:after="60"/>
              <w:jc w:val="both"/>
              <w:rPr>
                <w:rFonts w:ascii="Arial" w:hAnsi="Arial" w:cs="Arial"/>
                <w:sz w:val="18"/>
                <w:szCs w:val="18"/>
              </w:rPr>
            </w:pPr>
            <w:r w:rsidRPr="0021406B">
              <w:rPr>
                <w:rFonts w:ascii="Arial" w:hAnsi="Arial" w:cs="Arial"/>
                <w:b/>
                <w:i/>
                <w:sz w:val="18"/>
                <w:szCs w:val="18"/>
              </w:rPr>
              <w:t>Linkages:</w:t>
            </w:r>
            <w:r w:rsidRPr="0021406B">
              <w:rPr>
                <w:rFonts w:ascii="Arial" w:hAnsi="Arial" w:cs="Arial"/>
                <w:sz w:val="18"/>
                <w:szCs w:val="18"/>
              </w:rPr>
              <w:t xml:space="preserve"> This performance measure is also included in the Well Child / Tamariki Ora Quality Improvement Framework. </w:t>
            </w:r>
          </w:p>
        </w:tc>
        <w:tc>
          <w:tcPr>
            <w:tcW w:w="1021" w:type="dxa"/>
            <w:tcBorders>
              <w:left w:val="nil"/>
            </w:tcBorders>
            <w:vAlign w:val="center"/>
          </w:tcPr>
          <w:p w14:paraId="1B4F1ADB" w14:textId="77777777" w:rsidR="00A62D59" w:rsidRPr="0021406B" w:rsidRDefault="00A62D59" w:rsidP="003D2D0B">
            <w:pPr>
              <w:shd w:val="clear" w:color="auto" w:fill="FFFFFF"/>
              <w:spacing w:before="60" w:after="60"/>
              <w:jc w:val="center"/>
              <w:rPr>
                <w:rFonts w:ascii="Arial" w:hAnsi="Arial" w:cs="Arial"/>
                <w:i/>
                <w:sz w:val="18"/>
                <w:szCs w:val="18"/>
              </w:rPr>
            </w:pPr>
          </w:p>
        </w:tc>
      </w:tr>
    </w:tbl>
    <w:p w14:paraId="7E574FC0" w14:textId="77777777" w:rsidR="00A62D59" w:rsidRPr="003028EF" w:rsidRDefault="00A62D59" w:rsidP="00A62D59">
      <w:pPr>
        <w:pStyle w:val="SubOne"/>
        <w:shd w:val="clear" w:color="auto" w:fill="FFFFFF"/>
        <w:spacing w:before="60" w:after="60"/>
        <w:jc w:val="both"/>
        <w:rPr>
          <w:i/>
        </w:rPr>
      </w:pPr>
      <w:r w:rsidRPr="005D6BDC">
        <w:t>L</w:t>
      </w:r>
      <w:r>
        <w:t>ink to outcomes and priority areas</w:t>
      </w:r>
    </w:p>
    <w:p w14:paraId="4469F0F2" w14:textId="77777777" w:rsidR="006E773E" w:rsidRPr="0072302C" w:rsidRDefault="006E773E" w:rsidP="006E773E">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455C5BBC" w14:textId="77777777" w:rsidR="00A62D59" w:rsidRPr="0013052B" w:rsidRDefault="00A62D59" w:rsidP="00A62D59">
      <w:pPr>
        <w:spacing w:before="60" w:after="60"/>
        <w:jc w:val="both"/>
        <w:rPr>
          <w:rFonts w:ascii="Arial" w:hAnsi="Arial" w:cs="Arial"/>
          <w:sz w:val="22"/>
          <w:szCs w:val="22"/>
          <w:lang w:val="en-US"/>
        </w:rPr>
      </w:pPr>
      <w:r w:rsidRPr="0013052B">
        <w:rPr>
          <w:rFonts w:ascii="Arial" w:hAnsi="Arial" w:cs="Arial"/>
          <w:sz w:val="22"/>
          <w:szCs w:val="22"/>
        </w:rPr>
        <w:t>By improving breastfeeding rates DHBs will support Government's priority to make New Zealand the best place in the world to be a child and our health system outcome that we live longer in good health.</w:t>
      </w:r>
    </w:p>
    <w:p w14:paraId="03381BBC" w14:textId="77777777" w:rsidR="00A62D59" w:rsidRDefault="00A62D59" w:rsidP="00A62D59">
      <w:pPr>
        <w:jc w:val="both"/>
        <w:rPr>
          <w:rFonts w:ascii="Arial" w:hAnsi="Arial" w:cs="Arial"/>
          <w:sz w:val="20"/>
          <w:szCs w:val="20"/>
        </w:rPr>
      </w:pPr>
    </w:p>
    <w:p w14:paraId="1A8CA602" w14:textId="77777777" w:rsidR="00A62D59" w:rsidRPr="0013052B" w:rsidRDefault="00A62D59" w:rsidP="00A62D59">
      <w:pPr>
        <w:jc w:val="both"/>
        <w:rPr>
          <w:rFonts w:ascii="Arial" w:hAnsi="Arial" w:cs="Arial"/>
          <w:sz w:val="22"/>
          <w:szCs w:val="22"/>
        </w:rPr>
      </w:pPr>
      <w:r w:rsidRPr="0013052B">
        <w:rPr>
          <w:rFonts w:ascii="Arial" w:hAnsi="Arial" w:cs="Arial"/>
          <w:sz w:val="22"/>
          <w:szCs w:val="22"/>
        </w:rPr>
        <w:t>The protection, promotion and support of breastfeeding have been identified as fundamental to achieving optimum health in New Zealand</w:t>
      </w:r>
      <w:r w:rsidRPr="0013052B">
        <w:rPr>
          <w:rStyle w:val="FootnoteReference"/>
          <w:rFonts w:ascii="Arial" w:hAnsi="Arial" w:cs="Arial"/>
          <w:sz w:val="22"/>
          <w:szCs w:val="22"/>
        </w:rPr>
        <w:footnoteReference w:id="6"/>
      </w:r>
      <w:r w:rsidRPr="0013052B">
        <w:rPr>
          <w:rFonts w:ascii="Arial" w:hAnsi="Arial" w:cs="Arial"/>
          <w:sz w:val="22"/>
          <w:szCs w:val="22"/>
        </w:rPr>
        <w:t>.  Breastfeeding is important for the physical health of mothers and infants</w:t>
      </w:r>
      <w:r w:rsidRPr="0013052B">
        <w:rPr>
          <w:rStyle w:val="FootnoteReference"/>
          <w:rFonts w:ascii="Arial" w:hAnsi="Arial" w:cs="Arial"/>
          <w:sz w:val="22"/>
          <w:szCs w:val="22"/>
        </w:rPr>
        <w:footnoteReference w:id="7"/>
      </w:r>
      <w:r w:rsidRPr="0013052B">
        <w:rPr>
          <w:rFonts w:ascii="Arial" w:hAnsi="Arial" w:cs="Arial"/>
          <w:sz w:val="22"/>
          <w:szCs w:val="22"/>
        </w:rPr>
        <w:t xml:space="preserve">, and there is strong evidence to show that breastfeeding and appropriate infant feeding contribute to the social and emotional wellbeing of infants, </w:t>
      </w:r>
      <w:proofErr w:type="gramStart"/>
      <w:r w:rsidRPr="0013052B">
        <w:rPr>
          <w:rFonts w:ascii="Arial" w:hAnsi="Arial" w:cs="Arial"/>
          <w:sz w:val="22"/>
          <w:szCs w:val="22"/>
        </w:rPr>
        <w:t>mothers</w:t>
      </w:r>
      <w:proofErr w:type="gramEnd"/>
      <w:r w:rsidRPr="0013052B">
        <w:rPr>
          <w:rFonts w:ascii="Arial" w:hAnsi="Arial" w:cs="Arial"/>
          <w:sz w:val="22"/>
          <w:szCs w:val="22"/>
        </w:rPr>
        <w:t xml:space="preserve"> and families</w:t>
      </w:r>
      <w:r w:rsidRPr="0013052B">
        <w:rPr>
          <w:rStyle w:val="FootnoteReference"/>
          <w:rFonts w:ascii="Arial" w:hAnsi="Arial" w:cs="Arial"/>
          <w:sz w:val="22"/>
          <w:szCs w:val="22"/>
        </w:rPr>
        <w:footnoteReference w:id="8"/>
      </w:r>
      <w:r w:rsidRPr="0013052B">
        <w:rPr>
          <w:rFonts w:ascii="Arial" w:hAnsi="Arial" w:cs="Arial"/>
          <w:sz w:val="22"/>
          <w:szCs w:val="22"/>
        </w:rPr>
        <w:t>. The Ministry of Health recommends that infants be breastfed exclusively for around the first six months of life and continue to be breastfed, along with the introduction of appropriate complementary foods, up to one year of age or beyond</w:t>
      </w:r>
      <w:r w:rsidRPr="0013052B">
        <w:rPr>
          <w:rStyle w:val="FootnoteReference"/>
          <w:rFonts w:ascii="Arial" w:hAnsi="Arial" w:cs="Arial"/>
          <w:sz w:val="22"/>
          <w:szCs w:val="22"/>
        </w:rPr>
        <w:footnoteReference w:id="9"/>
      </w:r>
      <w:r w:rsidRPr="0013052B">
        <w:rPr>
          <w:rFonts w:ascii="Arial" w:hAnsi="Arial" w:cs="Arial"/>
          <w:sz w:val="22"/>
          <w:szCs w:val="22"/>
        </w:rPr>
        <w:t xml:space="preserve">. </w:t>
      </w:r>
    </w:p>
    <w:p w14:paraId="20C962BD" w14:textId="77777777" w:rsidR="00A62D59" w:rsidRPr="0013052B" w:rsidRDefault="00A62D59" w:rsidP="00A62D59">
      <w:pPr>
        <w:jc w:val="both"/>
        <w:rPr>
          <w:rFonts w:ascii="Arial" w:hAnsi="Arial" w:cs="Arial"/>
          <w:sz w:val="22"/>
          <w:szCs w:val="22"/>
        </w:rPr>
      </w:pPr>
    </w:p>
    <w:p w14:paraId="68DDA621" w14:textId="77777777" w:rsidR="00A62D59" w:rsidRPr="0013052B" w:rsidRDefault="00A62D59" w:rsidP="00A62D59">
      <w:pPr>
        <w:jc w:val="both"/>
        <w:rPr>
          <w:rFonts w:ascii="Arial" w:hAnsi="Arial" w:cs="Arial"/>
          <w:sz w:val="22"/>
          <w:szCs w:val="22"/>
        </w:rPr>
      </w:pPr>
      <w:r w:rsidRPr="0013052B">
        <w:rPr>
          <w:rFonts w:ascii="Arial" w:hAnsi="Arial" w:cs="Arial"/>
          <w:sz w:val="22"/>
          <w:szCs w:val="22"/>
        </w:rPr>
        <w:t>New Zealand has a relatively high rate of exclusive breastfeeding initiation. 82.2% of New Zealand babies are exclusively breastfed on discharge from a Baby-Friendly Hospital Initiative (BFHI) accredited maternity facility</w:t>
      </w:r>
      <w:r w:rsidRPr="0013052B">
        <w:rPr>
          <w:rStyle w:val="FootnoteReference"/>
          <w:rFonts w:ascii="Arial" w:hAnsi="Arial" w:cs="Arial"/>
          <w:sz w:val="22"/>
          <w:szCs w:val="22"/>
        </w:rPr>
        <w:footnoteReference w:id="10"/>
      </w:r>
      <w:r w:rsidRPr="0013052B">
        <w:rPr>
          <w:rFonts w:ascii="Arial" w:hAnsi="Arial" w:cs="Arial"/>
          <w:sz w:val="22"/>
          <w:szCs w:val="22"/>
        </w:rPr>
        <w:t>. There has, however, been little change in community breastfeeding rates over the last ten years and there remains a significant drop off in breastfeeding over early infancy. There are also significant ethnic and socio-economic differences in breastfeeding rates contributing to health inequalities, particularly for Māori and Pacific populations</w:t>
      </w:r>
      <w:r w:rsidRPr="0013052B">
        <w:rPr>
          <w:rStyle w:val="FootnoteReference"/>
          <w:rFonts w:ascii="Arial" w:hAnsi="Arial" w:cs="Arial"/>
          <w:sz w:val="22"/>
          <w:szCs w:val="22"/>
        </w:rPr>
        <w:footnoteReference w:id="11"/>
      </w:r>
      <w:r w:rsidRPr="0013052B">
        <w:rPr>
          <w:rFonts w:ascii="Arial" w:hAnsi="Arial" w:cs="Arial"/>
          <w:sz w:val="22"/>
          <w:szCs w:val="22"/>
        </w:rPr>
        <w:t>.</w:t>
      </w:r>
    </w:p>
    <w:p w14:paraId="1A3B260B" w14:textId="77777777" w:rsidR="00A62D59" w:rsidRPr="0013052B" w:rsidRDefault="00A62D59" w:rsidP="00A62D59">
      <w:pPr>
        <w:jc w:val="both"/>
        <w:rPr>
          <w:rFonts w:ascii="Arial" w:hAnsi="Arial" w:cs="Arial"/>
          <w:sz w:val="22"/>
          <w:szCs w:val="22"/>
        </w:rPr>
      </w:pPr>
    </w:p>
    <w:p w14:paraId="6A2F369B" w14:textId="77777777" w:rsidR="00A62D59" w:rsidRPr="0013052B" w:rsidRDefault="00A62D59" w:rsidP="00A62D59">
      <w:pPr>
        <w:shd w:val="clear" w:color="auto" w:fill="FFFFFF"/>
        <w:spacing w:before="60" w:after="60"/>
        <w:jc w:val="both"/>
        <w:rPr>
          <w:rFonts w:ascii="Arial" w:hAnsi="Arial" w:cs="Arial"/>
          <w:color w:val="000000"/>
          <w:sz w:val="22"/>
          <w:szCs w:val="22"/>
          <w:lang w:eastAsia="en-NZ"/>
        </w:rPr>
      </w:pPr>
      <w:r w:rsidRPr="0013052B">
        <w:rPr>
          <w:rFonts w:ascii="Arial" w:hAnsi="Arial" w:cs="Arial"/>
          <w:color w:val="000000"/>
          <w:sz w:val="22"/>
          <w:szCs w:val="22"/>
          <w:lang w:eastAsia="en-NZ"/>
        </w:rPr>
        <w:lastRenderedPageBreak/>
        <w:t xml:space="preserve">Research shows that children who are exclusively breastfed for around six months are less likely to suffer from childhood illnesses such as respiratory tract infections, </w:t>
      </w:r>
      <w:proofErr w:type="gramStart"/>
      <w:r w:rsidRPr="0013052B">
        <w:rPr>
          <w:rFonts w:ascii="Arial" w:hAnsi="Arial" w:cs="Arial"/>
          <w:color w:val="000000"/>
          <w:sz w:val="22"/>
          <w:szCs w:val="22"/>
          <w:lang w:eastAsia="en-NZ"/>
        </w:rPr>
        <w:t>gastroenteritis</w:t>
      </w:r>
      <w:proofErr w:type="gramEnd"/>
      <w:r w:rsidRPr="0013052B">
        <w:rPr>
          <w:rFonts w:ascii="Arial" w:hAnsi="Arial" w:cs="Arial"/>
          <w:color w:val="000000"/>
          <w:sz w:val="22"/>
          <w:szCs w:val="22"/>
          <w:lang w:eastAsia="en-NZ"/>
        </w:rPr>
        <w:t xml:space="preserve"> and otitis media. Breastfeeding benefits the health of mother and baby, as well as reducing the risk of SUDI, </w:t>
      </w:r>
      <w:proofErr w:type="gramStart"/>
      <w:r w:rsidRPr="0013052B">
        <w:rPr>
          <w:rFonts w:ascii="Arial" w:hAnsi="Arial" w:cs="Arial"/>
          <w:color w:val="000000"/>
          <w:sz w:val="22"/>
          <w:szCs w:val="22"/>
          <w:lang w:eastAsia="en-NZ"/>
        </w:rPr>
        <w:t>asthma</w:t>
      </w:r>
      <w:proofErr w:type="gramEnd"/>
      <w:r w:rsidRPr="0013052B">
        <w:rPr>
          <w:rFonts w:ascii="Arial" w:hAnsi="Arial" w:cs="Arial"/>
          <w:color w:val="000000"/>
          <w:sz w:val="22"/>
          <w:szCs w:val="22"/>
          <w:lang w:eastAsia="en-NZ"/>
        </w:rPr>
        <w:t xml:space="preserve"> and childhood obesity. Nationally, breastfeeding rates for Māori infants start at a similar (although slightly lower) rate as the total population, but drop off more quickly than the total population at the </w:t>
      </w:r>
      <w:proofErr w:type="gramStart"/>
      <w:r w:rsidRPr="0013052B">
        <w:rPr>
          <w:rFonts w:ascii="Arial" w:hAnsi="Arial" w:cs="Arial"/>
          <w:color w:val="000000"/>
          <w:sz w:val="22"/>
          <w:szCs w:val="22"/>
          <w:lang w:eastAsia="en-NZ"/>
        </w:rPr>
        <w:t>three and six month</w:t>
      </w:r>
      <w:proofErr w:type="gramEnd"/>
      <w:r w:rsidRPr="0013052B">
        <w:rPr>
          <w:rFonts w:ascii="Arial" w:hAnsi="Arial" w:cs="Arial"/>
          <w:color w:val="000000"/>
          <w:sz w:val="22"/>
          <w:szCs w:val="22"/>
          <w:lang w:eastAsia="en-NZ"/>
        </w:rPr>
        <w:t xml:space="preserve"> time points. Breastfeeding is an important area of focus because there is significant room for improvement, and breastfeeding has wide-reaching benefits and potentially results in reduced cost for families.</w:t>
      </w:r>
    </w:p>
    <w:p w14:paraId="304EC482" w14:textId="77777777" w:rsidR="00A62D59" w:rsidRPr="00CD23E7" w:rsidRDefault="00A62D59" w:rsidP="00A62D59">
      <w:pPr>
        <w:shd w:val="clear" w:color="auto" w:fill="FFFFFF"/>
        <w:spacing w:before="60" w:after="60"/>
        <w:jc w:val="both"/>
        <w:rPr>
          <w:rFonts w:ascii="Arial" w:hAnsi="Arial" w:cs="Arial"/>
          <w:color w:val="000000"/>
          <w:sz w:val="20"/>
          <w:szCs w:val="20"/>
          <w:lang w:eastAsia="en-NZ"/>
        </w:rPr>
      </w:pPr>
    </w:p>
    <w:p w14:paraId="58D56DCA" w14:textId="77777777" w:rsidR="00A62D59" w:rsidRPr="0021406B" w:rsidRDefault="00A62D59" w:rsidP="00C04FF1">
      <w:pPr>
        <w:numPr>
          <w:ilvl w:val="0"/>
          <w:numId w:val="48"/>
        </w:numPr>
        <w:contextualSpacing/>
        <w:rPr>
          <w:rFonts w:ascii="Arial" w:hAnsi="Arial" w:cs="Arial"/>
          <w:sz w:val="20"/>
          <w:szCs w:val="20"/>
          <w:lang w:eastAsia="en-GB"/>
        </w:rPr>
      </w:pPr>
      <w:r>
        <w:rPr>
          <w:rFonts w:ascii="Arial" w:hAnsi="Arial" w:cs="Arial"/>
          <w:sz w:val="20"/>
          <w:szCs w:val="20"/>
          <w:lang w:eastAsia="en-GB"/>
        </w:rPr>
        <w:t>Improving breastfeeding rates at three months of age</w:t>
      </w:r>
      <w:r w:rsidRPr="0021406B">
        <w:rPr>
          <w:rFonts w:ascii="Arial" w:hAnsi="Arial" w:cs="Arial"/>
          <w:sz w:val="20"/>
          <w:szCs w:val="20"/>
          <w:lang w:eastAsia="en-GB"/>
        </w:rPr>
        <w:t xml:space="preserve"> address</w:t>
      </w:r>
      <w:r>
        <w:rPr>
          <w:rFonts w:ascii="Arial" w:hAnsi="Arial" w:cs="Arial"/>
          <w:sz w:val="20"/>
          <w:szCs w:val="20"/>
          <w:lang w:eastAsia="en-GB"/>
        </w:rPr>
        <w:t>es</w:t>
      </w:r>
      <w:r w:rsidRPr="0021406B">
        <w:rPr>
          <w:rFonts w:ascii="Arial" w:hAnsi="Arial" w:cs="Arial"/>
          <w:sz w:val="20"/>
          <w:szCs w:val="20"/>
          <w:lang w:eastAsia="en-GB"/>
        </w:rPr>
        <w:t xml:space="preserve"> multiple themes in the refreshed New Zealand Health Strategy including </w:t>
      </w:r>
      <w:r w:rsidRPr="0021406B">
        <w:rPr>
          <w:rFonts w:ascii="Arial" w:hAnsi="Arial" w:cs="Arial"/>
          <w:b/>
          <w:sz w:val="20"/>
          <w:szCs w:val="20"/>
          <w:lang w:eastAsia="en-GB"/>
        </w:rPr>
        <w:t>one team</w:t>
      </w:r>
      <w:r w:rsidRPr="0021406B">
        <w:rPr>
          <w:rFonts w:ascii="Arial" w:hAnsi="Arial" w:cs="Arial"/>
          <w:sz w:val="20"/>
          <w:szCs w:val="20"/>
          <w:lang w:eastAsia="en-GB"/>
        </w:rPr>
        <w:t xml:space="preserve"> (allowing a multi-disciplinary team to work together on a national strategy and implementation plan), </w:t>
      </w:r>
      <w:r w:rsidRPr="0021406B">
        <w:rPr>
          <w:rFonts w:ascii="Arial" w:hAnsi="Arial" w:cs="Arial"/>
          <w:b/>
          <w:sz w:val="20"/>
          <w:szCs w:val="20"/>
          <w:lang w:eastAsia="en-GB"/>
        </w:rPr>
        <w:t>people-powered</w:t>
      </w:r>
      <w:r w:rsidRPr="0021406B">
        <w:rPr>
          <w:rFonts w:ascii="Arial" w:hAnsi="Arial" w:cs="Arial"/>
          <w:sz w:val="20"/>
          <w:szCs w:val="20"/>
          <w:lang w:eastAsia="en-GB"/>
        </w:rPr>
        <w:t xml:space="preserve"> (by understanding the needs and preferences of that consumers i.e. breastfeeding women, or those that have recently ceased breastfeeding and partnering with them to design the strategy and recommendations) and </w:t>
      </w:r>
      <w:r w:rsidRPr="0021406B">
        <w:rPr>
          <w:rFonts w:ascii="Arial" w:hAnsi="Arial" w:cs="Arial"/>
          <w:b/>
          <w:sz w:val="20"/>
          <w:szCs w:val="20"/>
          <w:lang w:eastAsia="en-GB"/>
        </w:rPr>
        <w:t>closer to home</w:t>
      </w:r>
      <w:r w:rsidRPr="0021406B">
        <w:rPr>
          <w:rFonts w:ascii="Arial" w:hAnsi="Arial" w:cs="Arial"/>
          <w:sz w:val="20"/>
          <w:szCs w:val="20"/>
          <w:lang w:eastAsia="en-GB"/>
        </w:rPr>
        <w:t xml:space="preserve"> (investing in health and wellbeing early in life and focussing on children, young people, families and whanau). </w:t>
      </w:r>
    </w:p>
    <w:p w14:paraId="0EE1D1ED" w14:textId="77777777" w:rsidR="00A62D59" w:rsidRPr="0021406B" w:rsidRDefault="00A62D59" w:rsidP="00A62D59">
      <w:pPr>
        <w:ind w:left="351"/>
        <w:contextualSpacing/>
        <w:rPr>
          <w:rFonts w:ascii="Arial" w:hAnsi="Arial" w:cs="Arial"/>
          <w:sz w:val="20"/>
          <w:szCs w:val="20"/>
          <w:lang w:eastAsia="en-GB"/>
        </w:rPr>
      </w:pPr>
    </w:p>
    <w:p w14:paraId="083F2806" w14:textId="77777777" w:rsidR="00A62D59" w:rsidRDefault="00A62D59" w:rsidP="00C04FF1">
      <w:pPr>
        <w:numPr>
          <w:ilvl w:val="0"/>
          <w:numId w:val="48"/>
        </w:numPr>
        <w:contextualSpacing/>
        <w:rPr>
          <w:rFonts w:ascii="Arial" w:hAnsi="Arial" w:cs="Arial"/>
          <w:sz w:val="20"/>
          <w:szCs w:val="20"/>
          <w:lang w:eastAsia="en-GB"/>
        </w:rPr>
      </w:pPr>
      <w:r>
        <w:rPr>
          <w:rFonts w:ascii="Arial" w:hAnsi="Arial" w:cs="Arial"/>
          <w:sz w:val="20"/>
          <w:szCs w:val="20"/>
          <w:lang w:eastAsia="en-GB"/>
        </w:rPr>
        <w:t xml:space="preserve">Improving breastfeeding rates at three months of age </w:t>
      </w:r>
      <w:r w:rsidRPr="0021406B">
        <w:rPr>
          <w:rFonts w:ascii="Arial" w:hAnsi="Arial" w:cs="Arial"/>
          <w:sz w:val="20"/>
          <w:szCs w:val="20"/>
          <w:lang w:eastAsia="en-GB"/>
        </w:rPr>
        <w:t>support</w:t>
      </w:r>
      <w:r>
        <w:rPr>
          <w:rFonts w:ascii="Arial" w:hAnsi="Arial" w:cs="Arial"/>
          <w:sz w:val="20"/>
          <w:szCs w:val="20"/>
          <w:lang w:eastAsia="en-GB"/>
        </w:rPr>
        <w:t>s</w:t>
      </w:r>
      <w:r w:rsidRPr="0021406B">
        <w:rPr>
          <w:rFonts w:ascii="Arial" w:hAnsi="Arial" w:cs="Arial"/>
          <w:sz w:val="20"/>
          <w:szCs w:val="20"/>
          <w:lang w:eastAsia="en-GB"/>
        </w:rPr>
        <w:t xml:space="preserve"> the achievement of the following government priority: </w:t>
      </w:r>
      <w:proofErr w:type="gramStart"/>
      <w:r w:rsidRPr="0021406B">
        <w:rPr>
          <w:rFonts w:ascii="Arial" w:hAnsi="Arial" w:cs="Arial"/>
          <w:sz w:val="20"/>
          <w:szCs w:val="20"/>
          <w:lang w:eastAsia="en-GB"/>
        </w:rPr>
        <w:t>the</w:t>
      </w:r>
      <w:proofErr w:type="gramEnd"/>
      <w:r w:rsidRPr="0021406B">
        <w:rPr>
          <w:rFonts w:ascii="Arial" w:hAnsi="Arial" w:cs="Arial"/>
          <w:sz w:val="20"/>
          <w:szCs w:val="20"/>
          <w:lang w:eastAsia="en-GB"/>
        </w:rPr>
        <w:t xml:space="preserve"> Childhood Obesity Plan which has three focus areas—food, the environment and being active at each life stage, starting during </w:t>
      </w:r>
      <w:r>
        <w:rPr>
          <w:rFonts w:ascii="Arial" w:hAnsi="Arial" w:cs="Arial"/>
          <w:sz w:val="20"/>
          <w:szCs w:val="20"/>
          <w:lang w:eastAsia="en-GB"/>
        </w:rPr>
        <w:t>pregnancy and early childhood.</w:t>
      </w:r>
    </w:p>
    <w:p w14:paraId="79EF271F" w14:textId="77777777" w:rsidR="00A62D59" w:rsidRDefault="00A62D59" w:rsidP="00A62D59">
      <w:pPr>
        <w:pStyle w:val="ListParagraph"/>
        <w:rPr>
          <w:rFonts w:ascii="Arial" w:hAnsi="Arial" w:cs="Arial"/>
          <w:sz w:val="20"/>
          <w:szCs w:val="20"/>
          <w:lang w:eastAsia="en-GB"/>
        </w:rPr>
      </w:pPr>
    </w:p>
    <w:p w14:paraId="66BCD243" w14:textId="77777777" w:rsidR="00A62D59" w:rsidRDefault="00A62D59" w:rsidP="00C04FF1">
      <w:pPr>
        <w:numPr>
          <w:ilvl w:val="0"/>
          <w:numId w:val="48"/>
        </w:numPr>
        <w:contextualSpacing/>
        <w:rPr>
          <w:rFonts w:ascii="Arial" w:hAnsi="Arial" w:cs="Arial"/>
          <w:sz w:val="20"/>
          <w:szCs w:val="20"/>
          <w:lang w:eastAsia="en-GB"/>
        </w:rPr>
      </w:pPr>
      <w:r>
        <w:rPr>
          <w:rFonts w:ascii="Arial" w:hAnsi="Arial" w:cs="Arial"/>
          <w:sz w:val="20"/>
          <w:szCs w:val="20"/>
          <w:lang w:eastAsia="en-GB"/>
        </w:rPr>
        <w:t xml:space="preserve">Improving breastfeeding rates at three months of age </w:t>
      </w:r>
      <w:r w:rsidRPr="00CD23E7">
        <w:rPr>
          <w:rFonts w:ascii="Arial" w:hAnsi="Arial" w:cs="Arial"/>
          <w:sz w:val="20"/>
          <w:szCs w:val="20"/>
          <w:lang w:eastAsia="en-GB"/>
        </w:rPr>
        <w:t>further support</w:t>
      </w:r>
      <w:r>
        <w:rPr>
          <w:rFonts w:ascii="Arial" w:hAnsi="Arial" w:cs="Arial"/>
          <w:sz w:val="20"/>
          <w:szCs w:val="20"/>
          <w:lang w:eastAsia="en-GB"/>
        </w:rPr>
        <w:t>s</w:t>
      </w:r>
      <w:r w:rsidRPr="00CD23E7">
        <w:rPr>
          <w:rFonts w:ascii="Arial" w:hAnsi="Arial" w:cs="Arial"/>
          <w:sz w:val="20"/>
          <w:szCs w:val="20"/>
          <w:lang w:eastAsia="en-GB"/>
        </w:rPr>
        <w:t xml:space="preserve"> the achievement of the following Ministry objectives: </w:t>
      </w:r>
      <w:proofErr w:type="gramStart"/>
      <w:r w:rsidRPr="00CD23E7">
        <w:rPr>
          <w:rFonts w:ascii="Arial" w:hAnsi="Arial" w:cs="Arial"/>
          <w:sz w:val="20"/>
          <w:szCs w:val="20"/>
          <w:lang w:eastAsia="en-GB"/>
        </w:rPr>
        <w:t>the</w:t>
      </w:r>
      <w:proofErr w:type="gramEnd"/>
      <w:r w:rsidRPr="00CD23E7">
        <w:rPr>
          <w:rFonts w:ascii="Arial" w:hAnsi="Arial" w:cs="Arial"/>
          <w:sz w:val="20"/>
          <w:szCs w:val="20"/>
          <w:lang w:eastAsia="en-GB"/>
        </w:rPr>
        <w:t xml:space="preserve"> Ministry Statement of Intent 2015-19 objective to embed and expand the Maternity Quality Initiative </w:t>
      </w:r>
      <w:r w:rsidRPr="00CD23E7">
        <w:rPr>
          <w:rFonts w:ascii="Arial" w:hAnsi="Arial" w:cs="Arial"/>
          <w:i/>
          <w:sz w:val="20"/>
          <w:szCs w:val="20"/>
          <w:lang w:eastAsia="en-GB"/>
        </w:rPr>
        <w:t>Priority 1— Strengthening Primary Maternity Services: better coordination of national support for breastfeeding promotion and protection.</w:t>
      </w:r>
    </w:p>
    <w:p w14:paraId="74DB33DF" w14:textId="77777777" w:rsidR="00A62D59" w:rsidRPr="0061549C" w:rsidRDefault="00A62D59" w:rsidP="00A62D59">
      <w:pPr>
        <w:contextualSpacing/>
        <w:rPr>
          <w:rFonts w:ascii="Arial" w:hAnsi="Arial" w:cs="Arial"/>
          <w:sz w:val="20"/>
          <w:szCs w:val="20"/>
          <w:lang w:eastAsia="en-GB"/>
        </w:rPr>
      </w:pPr>
    </w:p>
    <w:p w14:paraId="1861E28F" w14:textId="77777777" w:rsidR="00A62D59" w:rsidRPr="0021406B" w:rsidRDefault="00A62D59" w:rsidP="00A62D59">
      <w:pPr>
        <w:shd w:val="clear" w:color="auto" w:fill="FFFFFF"/>
        <w:spacing w:before="60" w:after="60"/>
        <w:jc w:val="both"/>
        <w:rPr>
          <w:rFonts w:ascii="Arial" w:hAnsi="Arial" w:cs="Arial"/>
          <w:b/>
          <w:sz w:val="22"/>
          <w:szCs w:val="22"/>
        </w:rPr>
      </w:pPr>
      <w:r w:rsidRPr="0021406B">
        <w:rPr>
          <w:rFonts w:ascii="Arial" w:hAnsi="Arial" w:cs="Arial"/>
          <w:b/>
          <w:sz w:val="22"/>
          <w:szCs w:val="22"/>
        </w:rPr>
        <w:t>Actions and activities are that have a proven impact on this measure:</w:t>
      </w:r>
    </w:p>
    <w:p w14:paraId="7E3D34D4" w14:textId="77777777" w:rsidR="00A62D59" w:rsidRPr="00D338C0" w:rsidRDefault="00A62D59" w:rsidP="00C04FF1">
      <w:pPr>
        <w:pStyle w:val="ListParagraph"/>
        <w:numPr>
          <w:ilvl w:val="0"/>
          <w:numId w:val="50"/>
        </w:numPr>
        <w:jc w:val="both"/>
        <w:rPr>
          <w:rFonts w:ascii="Arial" w:hAnsi="Arial" w:cs="Arial"/>
          <w:color w:val="000000"/>
          <w:sz w:val="20"/>
          <w:szCs w:val="20"/>
        </w:rPr>
      </w:pPr>
      <w:r>
        <w:rPr>
          <w:rFonts w:ascii="Arial" w:hAnsi="Arial" w:cs="Arial"/>
          <w:color w:val="000000"/>
          <w:sz w:val="20"/>
          <w:szCs w:val="20"/>
        </w:rPr>
        <w:t>E</w:t>
      </w:r>
      <w:r w:rsidRPr="00D338C0">
        <w:rPr>
          <w:rFonts w:ascii="Arial" w:hAnsi="Arial" w:cs="Arial"/>
          <w:color w:val="000000"/>
          <w:sz w:val="20"/>
          <w:szCs w:val="20"/>
        </w:rPr>
        <w:t xml:space="preserve">stablish a mother-to-mother peer support programme, targeting Māori, </w:t>
      </w:r>
      <w:proofErr w:type="gramStart"/>
      <w:r w:rsidRPr="00D338C0">
        <w:rPr>
          <w:rFonts w:ascii="Arial" w:hAnsi="Arial" w:cs="Arial"/>
          <w:color w:val="000000"/>
          <w:sz w:val="20"/>
          <w:szCs w:val="20"/>
        </w:rPr>
        <w:t>Pacific</w:t>
      </w:r>
      <w:proofErr w:type="gramEnd"/>
      <w:r w:rsidRPr="00D338C0">
        <w:rPr>
          <w:rFonts w:ascii="Arial" w:hAnsi="Arial" w:cs="Arial"/>
          <w:color w:val="000000"/>
          <w:sz w:val="20"/>
          <w:szCs w:val="20"/>
        </w:rPr>
        <w:t xml:space="preserve"> and families in low socioeconomic areas.</w:t>
      </w:r>
    </w:p>
    <w:p w14:paraId="0D20A1A7" w14:textId="77777777" w:rsidR="00A62D59" w:rsidRPr="00D338C0" w:rsidRDefault="00A62D59" w:rsidP="00C04FF1">
      <w:pPr>
        <w:pStyle w:val="ListParagraph"/>
        <w:numPr>
          <w:ilvl w:val="0"/>
          <w:numId w:val="50"/>
        </w:numPr>
        <w:shd w:val="clear" w:color="auto" w:fill="FFFFFF"/>
        <w:spacing w:before="60" w:after="60"/>
        <w:jc w:val="both"/>
        <w:rPr>
          <w:rFonts w:ascii="Arial" w:hAnsi="Arial" w:cs="Arial"/>
          <w:sz w:val="20"/>
          <w:szCs w:val="20"/>
        </w:rPr>
      </w:pPr>
      <w:r>
        <w:rPr>
          <w:rFonts w:ascii="Arial" w:hAnsi="Arial" w:cs="Arial"/>
          <w:sz w:val="20"/>
          <w:szCs w:val="20"/>
        </w:rPr>
        <w:t>D</w:t>
      </w:r>
      <w:r w:rsidRPr="00D338C0">
        <w:rPr>
          <w:rFonts w:ascii="Arial" w:hAnsi="Arial" w:cs="Arial"/>
          <w:sz w:val="20"/>
          <w:szCs w:val="20"/>
        </w:rPr>
        <w:t>eliver professional development updates to GP teams, WCTO providers and LMCs around current best practice for breastfeeding.</w:t>
      </w:r>
    </w:p>
    <w:p w14:paraId="37E6483A" w14:textId="77777777" w:rsidR="00A62D59" w:rsidRPr="00D338C0" w:rsidRDefault="00A62D59" w:rsidP="00C04FF1">
      <w:pPr>
        <w:pStyle w:val="ListParagraph"/>
        <w:numPr>
          <w:ilvl w:val="0"/>
          <w:numId w:val="50"/>
        </w:numPr>
        <w:shd w:val="clear" w:color="auto" w:fill="FFFFFF"/>
        <w:spacing w:before="60" w:after="60"/>
        <w:jc w:val="both"/>
        <w:rPr>
          <w:rFonts w:ascii="Arial" w:hAnsi="Arial" w:cs="Arial"/>
          <w:sz w:val="20"/>
          <w:szCs w:val="20"/>
        </w:rPr>
      </w:pPr>
      <w:r>
        <w:rPr>
          <w:rFonts w:ascii="Arial" w:hAnsi="Arial" w:cs="Arial"/>
          <w:sz w:val="20"/>
          <w:szCs w:val="20"/>
        </w:rPr>
        <w:t xml:space="preserve">Work with </w:t>
      </w:r>
      <w:r w:rsidRPr="00D338C0">
        <w:rPr>
          <w:rFonts w:ascii="Arial" w:hAnsi="Arial" w:cs="Arial"/>
          <w:sz w:val="20"/>
          <w:szCs w:val="20"/>
        </w:rPr>
        <w:t>partners to develop a breastfeeding action plan that will identify enablers to impro</w:t>
      </w:r>
      <w:r>
        <w:rPr>
          <w:rFonts w:ascii="Arial" w:hAnsi="Arial" w:cs="Arial"/>
          <w:sz w:val="20"/>
          <w:szCs w:val="20"/>
        </w:rPr>
        <w:t>ve breastfeeding rates</w:t>
      </w:r>
      <w:r w:rsidRPr="00D338C0">
        <w:rPr>
          <w:rFonts w:ascii="Arial" w:hAnsi="Arial" w:cs="Arial"/>
          <w:sz w:val="20"/>
          <w:szCs w:val="20"/>
        </w:rPr>
        <w:t>.</w:t>
      </w:r>
    </w:p>
    <w:p w14:paraId="186DBAA1" w14:textId="77777777" w:rsidR="00A62D59" w:rsidRDefault="00A62D59" w:rsidP="00C04FF1">
      <w:pPr>
        <w:pStyle w:val="ListParagraph"/>
        <w:numPr>
          <w:ilvl w:val="0"/>
          <w:numId w:val="50"/>
        </w:numPr>
        <w:shd w:val="clear" w:color="auto" w:fill="FFFFFF"/>
        <w:spacing w:before="60" w:after="60"/>
        <w:jc w:val="both"/>
        <w:rPr>
          <w:rFonts w:ascii="Arial" w:hAnsi="Arial" w:cs="Arial"/>
          <w:sz w:val="20"/>
          <w:szCs w:val="20"/>
        </w:rPr>
      </w:pPr>
      <w:r>
        <w:rPr>
          <w:rFonts w:ascii="Arial" w:hAnsi="Arial" w:cs="Arial"/>
          <w:sz w:val="20"/>
          <w:szCs w:val="20"/>
        </w:rPr>
        <w:t>D</w:t>
      </w:r>
      <w:r w:rsidRPr="00D338C0">
        <w:rPr>
          <w:rFonts w:ascii="Arial" w:hAnsi="Arial" w:cs="Arial"/>
          <w:sz w:val="20"/>
          <w:szCs w:val="20"/>
        </w:rPr>
        <w:t xml:space="preserve">evelop a communication plan to ensure that whanau with a </w:t>
      </w:r>
      <w:proofErr w:type="spellStart"/>
      <w:r w:rsidRPr="00D338C0">
        <w:rPr>
          <w:rFonts w:ascii="Arial" w:hAnsi="Arial" w:cs="Arial"/>
          <w:sz w:val="20"/>
          <w:szCs w:val="20"/>
        </w:rPr>
        <w:t>newborn</w:t>
      </w:r>
      <w:proofErr w:type="spellEnd"/>
      <w:r w:rsidRPr="00D338C0">
        <w:rPr>
          <w:rFonts w:ascii="Arial" w:hAnsi="Arial" w:cs="Arial"/>
          <w:sz w:val="20"/>
          <w:szCs w:val="20"/>
        </w:rPr>
        <w:t xml:space="preserve"> are aware of pathways to support them with breastfeeding on their return home from hospital. </w:t>
      </w:r>
    </w:p>
    <w:p w14:paraId="449D78FF" w14:textId="77777777" w:rsidR="00A62D59" w:rsidRPr="00D338C0" w:rsidRDefault="00A62D59" w:rsidP="00C04FF1">
      <w:pPr>
        <w:pStyle w:val="ListParagraph"/>
        <w:numPr>
          <w:ilvl w:val="0"/>
          <w:numId w:val="50"/>
        </w:numPr>
        <w:shd w:val="clear" w:color="auto" w:fill="FFFFFF"/>
        <w:spacing w:before="60" w:after="60"/>
        <w:jc w:val="both"/>
        <w:rPr>
          <w:rFonts w:ascii="Arial" w:hAnsi="Arial" w:cs="Arial"/>
          <w:sz w:val="20"/>
          <w:szCs w:val="20"/>
        </w:rPr>
      </w:pPr>
      <w:r>
        <w:rPr>
          <w:rFonts w:ascii="Arial" w:hAnsi="Arial" w:cs="Arial"/>
          <w:sz w:val="20"/>
          <w:szCs w:val="20"/>
        </w:rPr>
        <w:t>R</w:t>
      </w:r>
      <w:r w:rsidRPr="00D338C0">
        <w:rPr>
          <w:rFonts w:ascii="Arial" w:hAnsi="Arial" w:cs="Arial"/>
          <w:sz w:val="20"/>
          <w:szCs w:val="20"/>
        </w:rPr>
        <w:t>eorient current lactation support services to provision of clini</w:t>
      </w:r>
      <w:r>
        <w:rPr>
          <w:rFonts w:ascii="Arial" w:hAnsi="Arial" w:cs="Arial"/>
          <w:sz w:val="20"/>
          <w:szCs w:val="20"/>
        </w:rPr>
        <w:t>cs in areas of high deprivation.</w:t>
      </w:r>
    </w:p>
    <w:p w14:paraId="6837A58D" w14:textId="77777777" w:rsidR="00A62D59" w:rsidRDefault="00A62D59" w:rsidP="00A62D59">
      <w:pPr>
        <w:shd w:val="clear" w:color="auto" w:fill="FFFFFF"/>
        <w:spacing w:before="60" w:after="60"/>
        <w:jc w:val="both"/>
        <w:rPr>
          <w:rFonts w:ascii="Arial" w:hAnsi="Arial" w:cs="Arial"/>
          <w:b/>
          <w:sz w:val="22"/>
          <w:szCs w:val="22"/>
        </w:rPr>
      </w:pPr>
    </w:p>
    <w:p w14:paraId="39D70709" w14:textId="77777777" w:rsidR="00A62D59" w:rsidRPr="0021406B" w:rsidRDefault="00A62D59" w:rsidP="00A62D59">
      <w:pPr>
        <w:shd w:val="clear" w:color="auto" w:fill="FFFFFF"/>
        <w:spacing w:before="60" w:after="60"/>
        <w:jc w:val="both"/>
        <w:rPr>
          <w:rFonts w:ascii="Arial" w:hAnsi="Arial" w:cs="Arial"/>
          <w:b/>
          <w:sz w:val="22"/>
          <w:szCs w:val="22"/>
        </w:rPr>
      </w:pPr>
      <w:proofErr w:type="gramStart"/>
      <w:r w:rsidRPr="0021406B">
        <w:rPr>
          <w:rFonts w:ascii="Arial" w:hAnsi="Arial" w:cs="Arial"/>
          <w:b/>
          <w:sz w:val="22"/>
          <w:szCs w:val="22"/>
        </w:rPr>
        <w:t>Deliverables</w:t>
      </w:r>
      <w:proofErr w:type="gramEnd"/>
      <w:r w:rsidRPr="0021406B">
        <w:rPr>
          <w:rFonts w:ascii="Arial" w:hAnsi="Arial" w:cs="Arial"/>
          <w:b/>
          <w:sz w:val="22"/>
          <w:szCs w:val="22"/>
        </w:rPr>
        <w:t xml:space="preserve"> definitions</w:t>
      </w:r>
      <w:r>
        <w:rPr>
          <w:rFonts w:ascii="Arial" w:hAnsi="Arial" w:cs="Arial"/>
          <w:b/>
          <w:sz w:val="22"/>
          <w:szCs w:val="22"/>
        </w:rPr>
        <w:t>:</w:t>
      </w:r>
    </w:p>
    <w:p w14:paraId="0935C4EE" w14:textId="77777777" w:rsidR="00A62D59" w:rsidRDefault="00A62D59" w:rsidP="00A62D59">
      <w:pPr>
        <w:jc w:val="both"/>
        <w:rPr>
          <w:rFonts w:ascii="Arial" w:hAnsi="Arial" w:cs="Arial"/>
          <w:sz w:val="20"/>
          <w:szCs w:val="20"/>
        </w:rPr>
      </w:pPr>
      <w:r w:rsidRPr="00CD23E7">
        <w:rPr>
          <w:rFonts w:ascii="Arial" w:hAnsi="Arial" w:cs="Arial"/>
          <w:sz w:val="20"/>
          <w:szCs w:val="20"/>
        </w:rPr>
        <w:t>Data is sourced from the Well Chil</w:t>
      </w:r>
      <w:r>
        <w:rPr>
          <w:rFonts w:ascii="Arial" w:hAnsi="Arial" w:cs="Arial"/>
          <w:sz w:val="20"/>
          <w:szCs w:val="20"/>
        </w:rPr>
        <w:t xml:space="preserve">d / Tamariki Ora (WCTO) dataset. </w:t>
      </w:r>
      <w:r w:rsidRPr="00CD23E7">
        <w:rPr>
          <w:rFonts w:ascii="Arial" w:hAnsi="Arial" w:cs="Arial"/>
          <w:sz w:val="20"/>
          <w:szCs w:val="20"/>
          <w:lang w:eastAsia="en-GB"/>
        </w:rPr>
        <w:t xml:space="preserve">Reporting on breastfeeding rates is via the </w:t>
      </w:r>
      <w:proofErr w:type="gramStart"/>
      <w:r w:rsidRPr="00CD23E7">
        <w:rPr>
          <w:rFonts w:ascii="Arial" w:hAnsi="Arial" w:cs="Arial"/>
          <w:sz w:val="20"/>
          <w:szCs w:val="20"/>
          <w:lang w:eastAsia="en-GB"/>
        </w:rPr>
        <w:t>six monthly</w:t>
      </w:r>
      <w:proofErr w:type="gramEnd"/>
      <w:r w:rsidRPr="00CD23E7">
        <w:rPr>
          <w:rFonts w:ascii="Arial" w:hAnsi="Arial" w:cs="Arial"/>
          <w:sz w:val="20"/>
          <w:szCs w:val="20"/>
          <w:lang w:eastAsia="en-GB"/>
        </w:rPr>
        <w:t xml:space="preserve"> publication of Well Child / Tamariki Ora (WCTO) Quality Improvement Framework Report. </w:t>
      </w:r>
      <w:r w:rsidRPr="00CD23E7">
        <w:rPr>
          <w:rFonts w:ascii="Arial" w:hAnsi="Arial" w:cs="Arial"/>
          <w:sz w:val="20"/>
          <w:szCs w:val="20"/>
        </w:rPr>
        <w:t>Baseline data and information can be found on the Ministry of Health website</w:t>
      </w:r>
      <w:r>
        <w:rPr>
          <w:rFonts w:ascii="Arial" w:hAnsi="Arial" w:cs="Arial"/>
          <w:sz w:val="20"/>
          <w:szCs w:val="20"/>
        </w:rPr>
        <w:t xml:space="preserve"> (</w:t>
      </w:r>
      <w:r w:rsidRPr="00AF122B">
        <w:rPr>
          <w:rFonts w:ascii="Arial" w:hAnsi="Arial" w:cs="Arial"/>
          <w:sz w:val="20"/>
          <w:szCs w:val="20"/>
        </w:rPr>
        <w:t>http://www.health.govt.nz/publication/well-child-tamariki-ora-quality-improvement-framework</w:t>
      </w:r>
      <w:r>
        <w:rPr>
          <w:rFonts w:ascii="Arial" w:hAnsi="Arial" w:cs="Arial"/>
          <w:sz w:val="20"/>
          <w:szCs w:val="20"/>
        </w:rPr>
        <w:t>).</w:t>
      </w:r>
    </w:p>
    <w:p w14:paraId="6ED09E13" w14:textId="77777777" w:rsidR="00A62D59" w:rsidRPr="00CD23E7" w:rsidRDefault="00A62D59" w:rsidP="00A62D59">
      <w:pPr>
        <w:jc w:val="both"/>
        <w:rPr>
          <w:rFonts w:ascii="Arial" w:hAnsi="Arial" w:cs="Arial"/>
          <w:sz w:val="20"/>
          <w:szCs w:val="20"/>
          <w:lang w:eastAsia="en-GB"/>
        </w:rPr>
      </w:pPr>
    </w:p>
    <w:p w14:paraId="544D20E8" w14:textId="77777777" w:rsidR="00A62D59" w:rsidRPr="005B584A" w:rsidRDefault="00A62D59" w:rsidP="00A62D59">
      <w:pPr>
        <w:shd w:val="clear" w:color="auto" w:fill="FFFFFF"/>
        <w:spacing w:before="60" w:after="60"/>
        <w:jc w:val="both"/>
        <w:rPr>
          <w:rFonts w:ascii="Arial" w:hAnsi="Arial" w:cs="Arial"/>
          <w:b/>
          <w:sz w:val="22"/>
          <w:szCs w:val="22"/>
        </w:rPr>
      </w:pPr>
      <w:r w:rsidRPr="005B584A">
        <w:rPr>
          <w:rFonts w:ascii="Arial" w:hAnsi="Arial" w:cs="Arial"/>
          <w:b/>
          <w:sz w:val="22"/>
          <w:szCs w:val="22"/>
        </w:rPr>
        <w:t>Qualitative deliverables:</w:t>
      </w:r>
    </w:p>
    <w:p w14:paraId="2DF4549A" w14:textId="77777777" w:rsidR="00A62D59" w:rsidRDefault="00A62D59" w:rsidP="00A62D59">
      <w:pPr>
        <w:rPr>
          <w:rFonts w:ascii="Arial" w:eastAsiaTheme="minorHAnsi" w:hAnsi="Arial" w:cs="Arial"/>
          <w:sz w:val="20"/>
          <w:szCs w:val="20"/>
        </w:rPr>
      </w:pPr>
      <w:r>
        <w:rPr>
          <w:rFonts w:ascii="Arial" w:eastAsiaTheme="minorHAnsi" w:hAnsi="Arial" w:cs="Arial"/>
          <w:sz w:val="20"/>
          <w:szCs w:val="20"/>
        </w:rPr>
        <w:t>The qualitative report covers the following deliverables (template attached):</w:t>
      </w:r>
    </w:p>
    <w:p w14:paraId="115E5624" w14:textId="77777777" w:rsidR="00A62D59" w:rsidRDefault="00A62D59" w:rsidP="00A62D59">
      <w:pPr>
        <w:rPr>
          <w:rFonts w:ascii="Arial" w:eastAsiaTheme="minorHAnsi" w:hAnsi="Arial" w:cs="Arial"/>
          <w:sz w:val="20"/>
          <w:szCs w:val="20"/>
        </w:rPr>
      </w:pPr>
    </w:p>
    <w:p w14:paraId="6B1B4D69" w14:textId="77777777" w:rsidR="00A62D59" w:rsidRDefault="00A62D59" w:rsidP="00C04FF1">
      <w:pPr>
        <w:pStyle w:val="ListParagraph"/>
        <w:numPr>
          <w:ilvl w:val="0"/>
          <w:numId w:val="49"/>
        </w:numPr>
        <w:rPr>
          <w:rFonts w:ascii="Arial" w:eastAsiaTheme="minorHAnsi" w:hAnsi="Arial" w:cs="Arial"/>
          <w:sz w:val="20"/>
          <w:szCs w:val="20"/>
        </w:rPr>
      </w:pPr>
      <w:r>
        <w:rPr>
          <w:rFonts w:ascii="Arial" w:eastAsiaTheme="minorHAnsi" w:hAnsi="Arial" w:cs="Arial"/>
          <w:sz w:val="20"/>
          <w:szCs w:val="20"/>
        </w:rPr>
        <w:t>The DHB i</w:t>
      </w:r>
      <w:r w:rsidRPr="005B584A">
        <w:rPr>
          <w:rFonts w:ascii="Arial" w:eastAsiaTheme="minorHAnsi" w:hAnsi="Arial" w:cs="Arial"/>
          <w:sz w:val="20"/>
          <w:szCs w:val="20"/>
        </w:rPr>
        <w:t xml:space="preserve">dentifies its </w:t>
      </w:r>
      <w:r>
        <w:rPr>
          <w:rFonts w:ascii="Arial" w:eastAsiaTheme="minorHAnsi" w:hAnsi="Arial" w:cs="Arial"/>
          <w:sz w:val="20"/>
          <w:szCs w:val="20"/>
        </w:rPr>
        <w:t xml:space="preserve">total </w:t>
      </w:r>
      <w:r w:rsidRPr="005B584A">
        <w:rPr>
          <w:rFonts w:ascii="Arial" w:eastAsiaTheme="minorHAnsi" w:hAnsi="Arial" w:cs="Arial"/>
          <w:sz w:val="20"/>
          <w:szCs w:val="20"/>
        </w:rPr>
        <w:t xml:space="preserve">population baseline performance (whether a </w:t>
      </w:r>
      <w:r>
        <w:rPr>
          <w:rFonts w:ascii="Arial" w:eastAsiaTheme="minorHAnsi" w:hAnsi="Arial" w:cs="Arial"/>
          <w:sz w:val="20"/>
          <w:szCs w:val="20"/>
        </w:rPr>
        <w:t>primary care activity or PHO) and outlines progress towards achieving the t</w:t>
      </w:r>
      <w:r w:rsidRPr="005B584A">
        <w:rPr>
          <w:rFonts w:ascii="Arial" w:eastAsiaTheme="minorHAnsi" w:hAnsi="Arial" w:cs="Arial"/>
          <w:sz w:val="20"/>
          <w:szCs w:val="20"/>
        </w:rPr>
        <w:t>arget</w:t>
      </w:r>
      <w:r>
        <w:rPr>
          <w:rFonts w:ascii="Arial" w:eastAsiaTheme="minorHAnsi" w:hAnsi="Arial" w:cs="Arial"/>
          <w:sz w:val="20"/>
          <w:szCs w:val="20"/>
        </w:rPr>
        <w:t xml:space="preserve"> of 60% for the total population. The DHB also identifies its baseline performance for Māori, </w:t>
      </w:r>
      <w:proofErr w:type="gramStart"/>
      <w:r>
        <w:rPr>
          <w:rFonts w:ascii="Arial" w:eastAsiaTheme="minorHAnsi" w:hAnsi="Arial" w:cs="Arial"/>
          <w:sz w:val="20"/>
          <w:szCs w:val="20"/>
        </w:rPr>
        <w:t>Pacific</w:t>
      </w:r>
      <w:proofErr w:type="gramEnd"/>
      <w:r>
        <w:rPr>
          <w:rFonts w:ascii="Arial" w:eastAsiaTheme="minorHAnsi" w:hAnsi="Arial" w:cs="Arial"/>
          <w:sz w:val="20"/>
          <w:szCs w:val="20"/>
        </w:rPr>
        <w:t xml:space="preserve"> and high deprivation populations, outlining the equity gaps and progress towards closing these.</w:t>
      </w:r>
    </w:p>
    <w:p w14:paraId="1175A70A" w14:textId="77777777" w:rsidR="00A62D59" w:rsidRDefault="00A62D59" w:rsidP="00C04FF1">
      <w:pPr>
        <w:pStyle w:val="ListParagraph"/>
        <w:numPr>
          <w:ilvl w:val="0"/>
          <w:numId w:val="49"/>
        </w:numPr>
        <w:rPr>
          <w:rFonts w:ascii="Arial" w:eastAsiaTheme="minorHAnsi" w:hAnsi="Arial" w:cs="Arial"/>
          <w:sz w:val="20"/>
          <w:szCs w:val="20"/>
        </w:rPr>
      </w:pPr>
      <w:r w:rsidRPr="005B584A">
        <w:rPr>
          <w:rFonts w:ascii="Arial" w:eastAsiaTheme="minorHAnsi" w:hAnsi="Arial" w:cs="Arial"/>
          <w:sz w:val="20"/>
          <w:szCs w:val="20"/>
        </w:rPr>
        <w:t>Activities described are specific, time-bound and evidence based, and are most likely to increase the baseline rate towards the target</w:t>
      </w:r>
      <w:r>
        <w:rPr>
          <w:rFonts w:ascii="Arial" w:eastAsiaTheme="minorHAnsi" w:hAnsi="Arial" w:cs="Arial"/>
          <w:sz w:val="20"/>
          <w:szCs w:val="20"/>
        </w:rPr>
        <w:t xml:space="preserve"> for the total population and for Māori</w:t>
      </w:r>
      <w:r w:rsidRPr="005B584A">
        <w:rPr>
          <w:rFonts w:ascii="Arial" w:eastAsiaTheme="minorHAnsi" w:hAnsi="Arial" w:cs="Arial"/>
          <w:sz w:val="20"/>
          <w:szCs w:val="20"/>
        </w:rPr>
        <w:t xml:space="preserve">. </w:t>
      </w:r>
      <w:r>
        <w:rPr>
          <w:rFonts w:ascii="Arial" w:eastAsiaTheme="minorHAnsi" w:hAnsi="Arial" w:cs="Arial"/>
          <w:sz w:val="20"/>
          <w:szCs w:val="20"/>
        </w:rPr>
        <w:t>If the target has not been achieved (for the total population and for Māori), the DHB is expected to outline activities designed to address this. If the target has been achieved, the DHB is invited to share their successful activities.</w:t>
      </w:r>
    </w:p>
    <w:p w14:paraId="6995E1B4" w14:textId="77777777" w:rsidR="00A62D59" w:rsidRDefault="00A62D59" w:rsidP="00C04FF1">
      <w:pPr>
        <w:pStyle w:val="ListParagraph"/>
        <w:numPr>
          <w:ilvl w:val="0"/>
          <w:numId w:val="49"/>
        </w:numPr>
        <w:rPr>
          <w:rFonts w:ascii="Arial" w:eastAsiaTheme="minorHAnsi" w:hAnsi="Arial" w:cs="Arial"/>
          <w:sz w:val="20"/>
          <w:szCs w:val="20"/>
        </w:rPr>
      </w:pPr>
      <w:r w:rsidRPr="005B584A">
        <w:rPr>
          <w:rFonts w:ascii="Arial" w:eastAsiaTheme="minorHAnsi" w:hAnsi="Arial" w:cs="Arial"/>
          <w:sz w:val="20"/>
          <w:szCs w:val="20"/>
        </w:rPr>
        <w:t xml:space="preserve">The activities are a mixture of universal and tailored interventions. </w:t>
      </w:r>
      <w:r>
        <w:rPr>
          <w:rFonts w:ascii="Arial" w:eastAsiaTheme="minorHAnsi" w:hAnsi="Arial" w:cs="Arial"/>
          <w:sz w:val="20"/>
          <w:szCs w:val="20"/>
        </w:rPr>
        <w:t xml:space="preserve">The tailored interventions are designed to promote, </w:t>
      </w:r>
      <w:proofErr w:type="gramStart"/>
      <w:r>
        <w:rPr>
          <w:rFonts w:ascii="Arial" w:eastAsiaTheme="minorHAnsi" w:hAnsi="Arial" w:cs="Arial"/>
          <w:sz w:val="20"/>
          <w:szCs w:val="20"/>
        </w:rPr>
        <w:t>protect</w:t>
      </w:r>
      <w:proofErr w:type="gramEnd"/>
      <w:r>
        <w:rPr>
          <w:rFonts w:ascii="Arial" w:eastAsiaTheme="minorHAnsi" w:hAnsi="Arial" w:cs="Arial"/>
          <w:sz w:val="20"/>
          <w:szCs w:val="20"/>
        </w:rPr>
        <w:t xml:space="preserve"> and support breastfeeding for Māori </w:t>
      </w:r>
      <w:proofErr w:type="spellStart"/>
      <w:r>
        <w:rPr>
          <w:rFonts w:ascii="Arial" w:eastAsiaTheme="minorHAnsi" w:hAnsi="Arial" w:cs="Arial"/>
          <w:sz w:val="20"/>
          <w:szCs w:val="20"/>
        </w:rPr>
        <w:t>whanāu</w:t>
      </w:r>
      <w:proofErr w:type="spellEnd"/>
      <w:r>
        <w:rPr>
          <w:rFonts w:ascii="Arial" w:eastAsiaTheme="minorHAnsi" w:hAnsi="Arial" w:cs="Arial"/>
          <w:sz w:val="20"/>
          <w:szCs w:val="20"/>
        </w:rPr>
        <w:t xml:space="preserve"> in particular. The primary aim of these tailored activities is to address equity gaps.</w:t>
      </w:r>
    </w:p>
    <w:p w14:paraId="3600A3A3" w14:textId="77777777" w:rsidR="00A62D59" w:rsidRDefault="00A62D59" w:rsidP="00C04FF1">
      <w:pPr>
        <w:pStyle w:val="ListParagraph"/>
        <w:numPr>
          <w:ilvl w:val="0"/>
          <w:numId w:val="49"/>
        </w:numPr>
        <w:rPr>
          <w:rFonts w:ascii="Arial" w:eastAsiaTheme="minorHAnsi" w:hAnsi="Arial" w:cs="Arial"/>
          <w:sz w:val="20"/>
          <w:szCs w:val="20"/>
        </w:rPr>
      </w:pPr>
      <w:r w:rsidRPr="005B584A">
        <w:rPr>
          <w:rFonts w:ascii="Arial" w:eastAsiaTheme="minorHAnsi" w:hAnsi="Arial" w:cs="Arial"/>
          <w:sz w:val="20"/>
          <w:szCs w:val="20"/>
        </w:rPr>
        <w:t xml:space="preserve">There is a clear intervention logic outlining how the activities listed will improve Maori </w:t>
      </w:r>
      <w:r>
        <w:rPr>
          <w:rFonts w:ascii="Arial" w:eastAsiaTheme="minorHAnsi" w:hAnsi="Arial" w:cs="Arial"/>
          <w:sz w:val="20"/>
          <w:szCs w:val="20"/>
        </w:rPr>
        <w:t xml:space="preserve">and Pacific </w:t>
      </w:r>
      <w:r w:rsidRPr="005B584A">
        <w:rPr>
          <w:rFonts w:ascii="Arial" w:eastAsiaTheme="minorHAnsi" w:hAnsi="Arial" w:cs="Arial"/>
          <w:sz w:val="20"/>
          <w:szCs w:val="20"/>
        </w:rPr>
        <w:t xml:space="preserve">health outcomes and reduce health inequalities. </w:t>
      </w:r>
    </w:p>
    <w:p w14:paraId="5192779C" w14:textId="77777777" w:rsidR="00A62D59" w:rsidRPr="005B584A" w:rsidRDefault="00A62D59" w:rsidP="00C04FF1">
      <w:pPr>
        <w:pStyle w:val="ListParagraph"/>
        <w:numPr>
          <w:ilvl w:val="0"/>
          <w:numId w:val="49"/>
        </w:numPr>
        <w:rPr>
          <w:rFonts w:ascii="Arial" w:eastAsiaTheme="minorHAnsi" w:hAnsi="Arial" w:cs="Arial"/>
          <w:sz w:val="20"/>
          <w:szCs w:val="20"/>
        </w:rPr>
      </w:pPr>
      <w:r>
        <w:rPr>
          <w:rFonts w:ascii="Arial" w:eastAsiaTheme="minorHAnsi" w:hAnsi="Arial" w:cs="Arial"/>
          <w:sz w:val="20"/>
          <w:szCs w:val="20"/>
        </w:rPr>
        <w:lastRenderedPageBreak/>
        <w:t xml:space="preserve">The DHB outlines </w:t>
      </w:r>
      <w:r w:rsidRPr="005B584A">
        <w:rPr>
          <w:rFonts w:ascii="Arial" w:eastAsiaTheme="minorHAnsi" w:hAnsi="Arial" w:cs="Arial"/>
          <w:sz w:val="20"/>
          <w:szCs w:val="20"/>
        </w:rPr>
        <w:t>how they are monitoring or evaluating against the activities identified.</w:t>
      </w:r>
    </w:p>
    <w:p w14:paraId="7B037BE0" w14:textId="77777777" w:rsidR="00A62D59" w:rsidRDefault="00A62D59" w:rsidP="00A62D59">
      <w:pPr>
        <w:shd w:val="clear" w:color="auto" w:fill="FFFFFF"/>
        <w:spacing w:before="60" w:after="60"/>
        <w:jc w:val="both"/>
        <w:rPr>
          <w:rFonts w:ascii="Arial" w:hAnsi="Arial" w:cs="Arial"/>
          <w:b/>
          <w:sz w:val="22"/>
          <w:szCs w:val="22"/>
        </w:rPr>
      </w:pPr>
    </w:p>
    <w:p w14:paraId="4FB44945" w14:textId="77777777" w:rsidR="00A62D59" w:rsidRPr="007E099A" w:rsidRDefault="00A62D59" w:rsidP="00A62D59">
      <w:pPr>
        <w:shd w:val="clear" w:color="auto" w:fill="FFFFFF"/>
        <w:spacing w:before="60" w:after="60"/>
        <w:jc w:val="both"/>
        <w:rPr>
          <w:rFonts w:ascii="Arial" w:hAnsi="Arial" w:cs="Arial"/>
          <w:b/>
          <w:sz w:val="22"/>
          <w:szCs w:val="22"/>
        </w:rPr>
      </w:pPr>
      <w:r w:rsidRPr="007E099A">
        <w:rPr>
          <w:rFonts w:ascii="Arial" w:hAnsi="Arial" w:cs="Arial"/>
          <w:b/>
          <w:sz w:val="22"/>
          <w:szCs w:val="22"/>
        </w:rPr>
        <w:t xml:space="preserve">Numerator: </w:t>
      </w:r>
    </w:p>
    <w:p w14:paraId="526BB083" w14:textId="77777777" w:rsidR="00A62D59" w:rsidRPr="007E099A" w:rsidRDefault="00A62D59" w:rsidP="00A62D59">
      <w:pPr>
        <w:shd w:val="clear" w:color="auto" w:fill="FFFFFF"/>
        <w:spacing w:before="60" w:after="60"/>
        <w:jc w:val="both"/>
        <w:rPr>
          <w:rFonts w:ascii="Arial" w:hAnsi="Arial" w:cs="Arial"/>
          <w:sz w:val="20"/>
          <w:szCs w:val="20"/>
        </w:rPr>
      </w:pPr>
      <w:r w:rsidRPr="007E099A">
        <w:rPr>
          <w:rFonts w:ascii="Arial" w:hAnsi="Arial" w:cs="Arial"/>
          <w:sz w:val="20"/>
          <w:szCs w:val="20"/>
        </w:rPr>
        <w:t xml:space="preserve">Breastfeeding at three months = exclusive or fully </w:t>
      </w:r>
    </w:p>
    <w:p w14:paraId="085F6045" w14:textId="77777777" w:rsidR="00A62D59" w:rsidRPr="007E099A" w:rsidRDefault="00A62D59" w:rsidP="00A62D59">
      <w:pPr>
        <w:shd w:val="clear" w:color="auto" w:fill="FFFFFF"/>
        <w:spacing w:before="60" w:after="60"/>
        <w:rPr>
          <w:rFonts w:ascii="Arial" w:hAnsi="Arial" w:cs="Arial"/>
          <w:sz w:val="20"/>
          <w:szCs w:val="20"/>
        </w:rPr>
      </w:pPr>
      <w:r w:rsidRPr="007E099A">
        <w:rPr>
          <w:rFonts w:ascii="Arial" w:hAnsi="Arial" w:cs="Arial"/>
          <w:sz w:val="20"/>
          <w:szCs w:val="20"/>
        </w:rPr>
        <w:t xml:space="preserve">Source: WCTO NHI dataset </w:t>
      </w:r>
      <w:r>
        <w:rPr>
          <w:rFonts w:ascii="Arial" w:hAnsi="Arial" w:cs="Arial"/>
          <w:sz w:val="20"/>
          <w:szCs w:val="20"/>
        </w:rPr>
        <w:t>(</w:t>
      </w:r>
      <w:r w:rsidRPr="0061549C">
        <w:rPr>
          <w:rFonts w:ascii="Arial" w:hAnsi="Arial" w:cs="Arial"/>
          <w:sz w:val="20"/>
          <w:szCs w:val="20"/>
        </w:rPr>
        <w:t>http://www.health.govt.nz/publication/indicators-well-child-tamariki-ora-quality-improvement-framework</w:t>
      </w:r>
      <w:r>
        <w:rPr>
          <w:rFonts w:ascii="Arial" w:hAnsi="Arial" w:cs="Arial"/>
          <w:sz w:val="20"/>
          <w:szCs w:val="20"/>
        </w:rPr>
        <w:t>)</w:t>
      </w:r>
    </w:p>
    <w:p w14:paraId="4DFCDFE7" w14:textId="77777777" w:rsidR="00A62D59" w:rsidRPr="007E099A" w:rsidRDefault="00A62D59" w:rsidP="00A62D59">
      <w:pPr>
        <w:shd w:val="clear" w:color="auto" w:fill="FFFFFF"/>
        <w:spacing w:before="60" w:after="60"/>
        <w:jc w:val="both"/>
        <w:rPr>
          <w:rFonts w:ascii="Arial" w:hAnsi="Arial" w:cs="Arial"/>
          <w:b/>
          <w:sz w:val="22"/>
          <w:szCs w:val="22"/>
        </w:rPr>
      </w:pPr>
    </w:p>
    <w:p w14:paraId="79267A87" w14:textId="77777777" w:rsidR="00A62D59" w:rsidRPr="007E099A" w:rsidRDefault="00A62D59" w:rsidP="00A62D59">
      <w:pPr>
        <w:shd w:val="clear" w:color="auto" w:fill="FFFFFF"/>
        <w:spacing w:before="60" w:after="60"/>
        <w:jc w:val="both"/>
        <w:rPr>
          <w:rFonts w:ascii="Arial" w:hAnsi="Arial" w:cs="Arial"/>
          <w:b/>
          <w:sz w:val="22"/>
          <w:szCs w:val="22"/>
        </w:rPr>
      </w:pPr>
      <w:r w:rsidRPr="007E099A">
        <w:rPr>
          <w:rFonts w:ascii="Arial" w:hAnsi="Arial" w:cs="Arial"/>
          <w:b/>
          <w:sz w:val="22"/>
          <w:szCs w:val="22"/>
        </w:rPr>
        <w:t xml:space="preserve">Denominator: </w:t>
      </w:r>
    </w:p>
    <w:p w14:paraId="54379689" w14:textId="77777777" w:rsidR="00A62D59" w:rsidRPr="007E099A" w:rsidRDefault="00A62D59" w:rsidP="00A62D59">
      <w:pPr>
        <w:shd w:val="clear" w:color="auto" w:fill="FFFFFF"/>
        <w:spacing w:before="60" w:after="60"/>
        <w:jc w:val="both"/>
        <w:rPr>
          <w:rFonts w:ascii="Arial" w:hAnsi="Arial" w:cs="Arial"/>
          <w:sz w:val="20"/>
          <w:szCs w:val="20"/>
        </w:rPr>
      </w:pPr>
      <w:r w:rsidRPr="007E099A">
        <w:rPr>
          <w:rFonts w:ascii="Arial" w:hAnsi="Arial" w:cs="Arial"/>
          <w:sz w:val="20"/>
          <w:szCs w:val="20"/>
        </w:rPr>
        <w:t xml:space="preserve">Breastfeeding at three months = not null </w:t>
      </w:r>
    </w:p>
    <w:p w14:paraId="7396EB98" w14:textId="77777777" w:rsidR="00A62D59" w:rsidRPr="007E099A" w:rsidRDefault="00A62D59" w:rsidP="00A62D59">
      <w:pPr>
        <w:shd w:val="clear" w:color="auto" w:fill="FFFFFF"/>
        <w:spacing w:before="60" w:after="60"/>
        <w:rPr>
          <w:rFonts w:ascii="Arial" w:hAnsi="Arial" w:cs="Arial"/>
          <w:sz w:val="20"/>
          <w:szCs w:val="20"/>
        </w:rPr>
      </w:pPr>
      <w:r w:rsidRPr="007E099A">
        <w:rPr>
          <w:rFonts w:ascii="Arial" w:hAnsi="Arial" w:cs="Arial"/>
          <w:sz w:val="20"/>
          <w:szCs w:val="20"/>
        </w:rPr>
        <w:t xml:space="preserve">Source: WCTO NHI dataset </w:t>
      </w:r>
      <w:r>
        <w:rPr>
          <w:rFonts w:ascii="Arial" w:hAnsi="Arial" w:cs="Arial"/>
          <w:sz w:val="20"/>
          <w:szCs w:val="20"/>
        </w:rPr>
        <w:t>(</w:t>
      </w:r>
      <w:r w:rsidRPr="0061549C">
        <w:rPr>
          <w:rFonts w:ascii="Arial" w:hAnsi="Arial" w:cs="Arial"/>
          <w:sz w:val="20"/>
          <w:szCs w:val="20"/>
        </w:rPr>
        <w:t>http://www.health.govt.nz/publication/indicators-well-child-tamariki-ora-quality-improvement-framework</w:t>
      </w:r>
      <w:r>
        <w:rPr>
          <w:rFonts w:ascii="Arial" w:hAnsi="Arial" w:cs="Arial"/>
          <w:sz w:val="20"/>
          <w:szCs w:val="20"/>
        </w:rPr>
        <w:t>)</w:t>
      </w:r>
    </w:p>
    <w:p w14:paraId="7FD920A6" w14:textId="77777777" w:rsidR="00A62D59" w:rsidRPr="0021406B" w:rsidRDefault="00A62D59" w:rsidP="00A62D59">
      <w:pPr>
        <w:shd w:val="clear" w:color="auto" w:fill="FFFFFF"/>
        <w:spacing w:before="60"/>
        <w:jc w:val="both"/>
        <w:rPr>
          <w:rFonts w:ascii="Arial" w:hAnsi="Arial" w:cs="Arial"/>
          <w:sz w:val="16"/>
          <w:szCs w:val="16"/>
        </w:rPr>
      </w:pPr>
    </w:p>
    <w:p w14:paraId="47C67904" w14:textId="77777777" w:rsidR="00A62D59" w:rsidRPr="002A22DB" w:rsidRDefault="00A62D59" w:rsidP="00A62D59">
      <w:pPr>
        <w:pStyle w:val="SubOne"/>
        <w:shd w:val="clear" w:color="auto" w:fill="FFFFFF"/>
        <w:spacing w:before="60" w:after="60"/>
        <w:jc w:val="both"/>
        <w:rPr>
          <w:sz w:val="20"/>
          <w:szCs w:val="20"/>
        </w:rPr>
      </w:pPr>
      <w:r w:rsidRPr="002A22DB">
        <w:rPr>
          <w:sz w:val="20"/>
          <w:szCs w:val="20"/>
        </w:rPr>
        <w:t xml:space="preserve">Reporting Period </w:t>
      </w:r>
    </w:p>
    <w:tbl>
      <w:tblP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229"/>
      </w:tblGrid>
      <w:tr w:rsidR="00A62D59" w:rsidRPr="002A22DB" w14:paraId="791063C0" w14:textId="77777777" w:rsidTr="003D2D0B">
        <w:tc>
          <w:tcPr>
            <w:tcW w:w="18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1D59E8" w14:textId="77777777" w:rsidR="00A62D59" w:rsidRPr="002A22DB" w:rsidRDefault="00A62D59" w:rsidP="003D2D0B">
            <w:pPr>
              <w:spacing w:before="60" w:after="60"/>
              <w:jc w:val="both"/>
              <w:rPr>
                <w:rFonts w:ascii="Arial" w:hAnsi="Arial" w:cs="Arial"/>
                <w:b/>
                <w:sz w:val="20"/>
                <w:szCs w:val="20"/>
              </w:rPr>
            </w:pPr>
            <w:r w:rsidRPr="002A22DB">
              <w:rPr>
                <w:rFonts w:ascii="Arial" w:hAnsi="Arial" w:cs="Arial"/>
                <w:b/>
                <w:sz w:val="20"/>
                <w:szCs w:val="20"/>
              </w:rPr>
              <w:t xml:space="preserve">Quarter </w:t>
            </w:r>
          </w:p>
        </w:tc>
        <w:tc>
          <w:tcPr>
            <w:tcW w:w="622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50EEFC0" w14:textId="77777777" w:rsidR="00A62D59" w:rsidRPr="002A22DB" w:rsidRDefault="00A62D59" w:rsidP="003D2D0B">
            <w:pPr>
              <w:spacing w:before="60" w:after="60"/>
              <w:jc w:val="both"/>
              <w:rPr>
                <w:rFonts w:ascii="Arial" w:hAnsi="Arial" w:cs="Arial"/>
                <w:b/>
                <w:sz w:val="20"/>
                <w:szCs w:val="20"/>
              </w:rPr>
            </w:pPr>
            <w:r w:rsidRPr="002A22DB">
              <w:rPr>
                <w:rFonts w:ascii="Arial" w:hAnsi="Arial" w:cs="Arial"/>
                <w:b/>
                <w:sz w:val="20"/>
                <w:szCs w:val="20"/>
              </w:rPr>
              <w:t>For the time period</w:t>
            </w:r>
          </w:p>
        </w:tc>
      </w:tr>
      <w:tr w:rsidR="00A62D59" w:rsidRPr="002A22DB" w14:paraId="06746868" w14:textId="77777777" w:rsidTr="003D2D0B">
        <w:tc>
          <w:tcPr>
            <w:tcW w:w="1843" w:type="dxa"/>
            <w:tcBorders>
              <w:top w:val="single" w:sz="4" w:space="0" w:color="auto"/>
              <w:left w:val="single" w:sz="4" w:space="0" w:color="auto"/>
              <w:bottom w:val="single" w:sz="4" w:space="0" w:color="auto"/>
              <w:right w:val="single" w:sz="4" w:space="0" w:color="auto"/>
            </w:tcBorders>
            <w:hideMark/>
          </w:tcPr>
          <w:p w14:paraId="04CFB623" w14:textId="77777777" w:rsidR="00A62D59" w:rsidRPr="002A22DB" w:rsidRDefault="00A62D59" w:rsidP="003D2D0B">
            <w:pPr>
              <w:spacing w:before="60" w:after="60"/>
              <w:jc w:val="both"/>
              <w:rPr>
                <w:rFonts w:ascii="Arial" w:hAnsi="Arial" w:cs="Arial"/>
                <w:sz w:val="20"/>
                <w:szCs w:val="20"/>
              </w:rPr>
            </w:pPr>
            <w:r w:rsidRPr="002A22DB">
              <w:rPr>
                <w:rFonts w:ascii="Arial" w:hAnsi="Arial" w:cs="Arial"/>
                <w:sz w:val="20"/>
                <w:szCs w:val="20"/>
              </w:rPr>
              <w:t>Quarter 1</w:t>
            </w:r>
          </w:p>
        </w:tc>
        <w:tc>
          <w:tcPr>
            <w:tcW w:w="6229" w:type="dxa"/>
            <w:tcBorders>
              <w:top w:val="single" w:sz="4" w:space="0" w:color="auto"/>
              <w:left w:val="single" w:sz="4" w:space="0" w:color="auto"/>
              <w:bottom w:val="single" w:sz="4" w:space="0" w:color="auto"/>
              <w:right w:val="single" w:sz="4" w:space="0" w:color="auto"/>
            </w:tcBorders>
            <w:hideMark/>
          </w:tcPr>
          <w:p w14:paraId="2F8B1A15" w14:textId="77777777" w:rsidR="00A62D59" w:rsidRPr="002A22DB" w:rsidRDefault="00A62D59" w:rsidP="003D2D0B">
            <w:pPr>
              <w:spacing w:before="60" w:after="60"/>
              <w:jc w:val="both"/>
              <w:rPr>
                <w:rFonts w:ascii="Arial" w:hAnsi="Arial" w:cs="Arial"/>
                <w:sz w:val="20"/>
                <w:szCs w:val="20"/>
              </w:rPr>
            </w:pPr>
            <w:r w:rsidRPr="002A22DB">
              <w:rPr>
                <w:rFonts w:ascii="Arial" w:hAnsi="Arial" w:cs="Arial"/>
                <w:sz w:val="20"/>
                <w:szCs w:val="20"/>
              </w:rPr>
              <w:t xml:space="preserve">Data to cover the period 1 January to 30 June </w:t>
            </w:r>
          </w:p>
        </w:tc>
      </w:tr>
      <w:tr w:rsidR="00A62D59" w:rsidRPr="002A22DB" w14:paraId="05EF4A6A" w14:textId="77777777" w:rsidTr="003D2D0B">
        <w:trPr>
          <w:trHeight w:val="309"/>
        </w:trPr>
        <w:tc>
          <w:tcPr>
            <w:tcW w:w="1843" w:type="dxa"/>
            <w:tcBorders>
              <w:top w:val="single" w:sz="4" w:space="0" w:color="auto"/>
              <w:left w:val="single" w:sz="4" w:space="0" w:color="auto"/>
              <w:bottom w:val="single" w:sz="4" w:space="0" w:color="auto"/>
              <w:right w:val="single" w:sz="4" w:space="0" w:color="auto"/>
            </w:tcBorders>
            <w:hideMark/>
          </w:tcPr>
          <w:p w14:paraId="3AD609EA" w14:textId="77777777" w:rsidR="00A62D59" w:rsidRPr="002A22DB" w:rsidRDefault="00A62D59" w:rsidP="003D2D0B">
            <w:pPr>
              <w:spacing w:before="60" w:after="60"/>
              <w:jc w:val="both"/>
              <w:rPr>
                <w:rFonts w:ascii="Arial" w:hAnsi="Arial" w:cs="Arial"/>
                <w:sz w:val="20"/>
                <w:szCs w:val="20"/>
              </w:rPr>
            </w:pPr>
            <w:r w:rsidRPr="002A22DB">
              <w:rPr>
                <w:rFonts w:ascii="Arial" w:hAnsi="Arial" w:cs="Arial"/>
                <w:sz w:val="20"/>
                <w:szCs w:val="20"/>
              </w:rPr>
              <w:t>Quarter 3</w:t>
            </w:r>
          </w:p>
        </w:tc>
        <w:tc>
          <w:tcPr>
            <w:tcW w:w="6229" w:type="dxa"/>
            <w:tcBorders>
              <w:top w:val="single" w:sz="4" w:space="0" w:color="auto"/>
              <w:left w:val="single" w:sz="4" w:space="0" w:color="auto"/>
              <w:bottom w:val="single" w:sz="4" w:space="0" w:color="auto"/>
              <w:right w:val="single" w:sz="4" w:space="0" w:color="auto"/>
            </w:tcBorders>
          </w:tcPr>
          <w:p w14:paraId="40472F53" w14:textId="77777777" w:rsidR="00A62D59" w:rsidRPr="002A22DB" w:rsidRDefault="00A62D59" w:rsidP="003D2D0B">
            <w:pPr>
              <w:spacing w:before="60" w:after="60"/>
              <w:jc w:val="both"/>
              <w:rPr>
                <w:rFonts w:ascii="Arial" w:hAnsi="Arial" w:cs="Arial"/>
                <w:sz w:val="20"/>
                <w:szCs w:val="20"/>
              </w:rPr>
            </w:pPr>
            <w:r w:rsidRPr="002A22DB">
              <w:rPr>
                <w:rFonts w:ascii="Arial" w:hAnsi="Arial" w:cs="Arial"/>
                <w:sz w:val="20"/>
                <w:szCs w:val="20"/>
              </w:rPr>
              <w:t>Data to cover the period 1 July to 31 December</w:t>
            </w:r>
          </w:p>
        </w:tc>
      </w:tr>
    </w:tbl>
    <w:p w14:paraId="48066E05" w14:textId="77777777" w:rsidR="00A62D59" w:rsidRPr="002A22DB" w:rsidRDefault="00A62D59" w:rsidP="00A62D59">
      <w:pPr>
        <w:pStyle w:val="SubOne"/>
        <w:shd w:val="clear" w:color="auto" w:fill="FFFFFF"/>
        <w:spacing w:before="60" w:after="60"/>
        <w:jc w:val="both"/>
        <w:rPr>
          <w:sz w:val="20"/>
          <w:szCs w:val="20"/>
        </w:rPr>
      </w:pPr>
    </w:p>
    <w:p w14:paraId="39B7816B" w14:textId="77777777" w:rsidR="00A62D59" w:rsidRPr="002A22DB" w:rsidRDefault="00A62D59" w:rsidP="00A62D59">
      <w:pPr>
        <w:pStyle w:val="SubOne"/>
        <w:shd w:val="clear" w:color="auto" w:fill="FFFFFF"/>
        <w:spacing w:before="60" w:after="60"/>
        <w:jc w:val="both"/>
        <w:rPr>
          <w:sz w:val="20"/>
          <w:szCs w:val="20"/>
        </w:rPr>
      </w:pPr>
      <w:r w:rsidRPr="002A22DB">
        <w:rPr>
          <w:sz w:val="20"/>
          <w:szCs w:val="20"/>
        </w:rPr>
        <w:t>Expectations</w:t>
      </w:r>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7655"/>
      </w:tblGrid>
      <w:tr w:rsidR="00A62D59" w:rsidRPr="002A22DB" w14:paraId="33D2C35B" w14:textId="77777777" w:rsidTr="003D2D0B">
        <w:trPr>
          <w:cantSplit/>
        </w:trPr>
        <w:tc>
          <w:tcPr>
            <w:tcW w:w="1701" w:type="dxa"/>
            <w:tcBorders>
              <w:top w:val="single" w:sz="4" w:space="0" w:color="auto"/>
              <w:bottom w:val="nil"/>
            </w:tcBorders>
            <w:shd w:val="clear" w:color="auto" w:fill="F2F2F2"/>
          </w:tcPr>
          <w:p w14:paraId="4FECCA46" w14:textId="77777777" w:rsidR="00A62D59" w:rsidRPr="002A22DB" w:rsidRDefault="00A62D59" w:rsidP="003D2D0B">
            <w:pPr>
              <w:keepNext/>
              <w:spacing w:before="60" w:after="60" w:line="264" w:lineRule="auto"/>
              <w:rPr>
                <w:rFonts w:ascii="Arial" w:hAnsi="Arial"/>
                <w:b/>
                <w:sz w:val="20"/>
                <w:szCs w:val="20"/>
                <w:lang w:eastAsia="en-GB"/>
              </w:rPr>
            </w:pPr>
            <w:r w:rsidRPr="002A22DB">
              <w:rPr>
                <w:rFonts w:ascii="Arial" w:hAnsi="Arial"/>
                <w:b/>
                <w:sz w:val="20"/>
                <w:szCs w:val="20"/>
                <w:lang w:eastAsia="en-GB"/>
              </w:rPr>
              <w:t>Standard</w:t>
            </w:r>
          </w:p>
        </w:tc>
        <w:tc>
          <w:tcPr>
            <w:tcW w:w="7655" w:type="dxa"/>
            <w:tcBorders>
              <w:top w:val="single" w:sz="4" w:space="0" w:color="auto"/>
              <w:bottom w:val="nil"/>
            </w:tcBorders>
            <w:shd w:val="clear" w:color="auto" w:fill="F2F2F2"/>
          </w:tcPr>
          <w:p w14:paraId="4A18C88E" w14:textId="77777777" w:rsidR="00A62D59" w:rsidRPr="002A22DB" w:rsidRDefault="00A62D59" w:rsidP="003D2D0B">
            <w:pPr>
              <w:keepNext/>
              <w:spacing w:before="60" w:after="60" w:line="264" w:lineRule="auto"/>
              <w:rPr>
                <w:rFonts w:ascii="Arial" w:hAnsi="Arial"/>
                <w:sz w:val="20"/>
                <w:szCs w:val="20"/>
                <w:lang w:eastAsia="en-GB"/>
              </w:rPr>
            </w:pPr>
            <w:r w:rsidRPr="002A22DB">
              <w:rPr>
                <w:rFonts w:ascii="Arial" w:hAnsi="Arial"/>
                <w:sz w:val="20"/>
                <w:szCs w:val="20"/>
                <w:lang w:eastAsia="en-GB"/>
              </w:rPr>
              <w:t xml:space="preserve">DHBs use evidence-based interventions and education to promote child, family and </w:t>
            </w:r>
            <w:proofErr w:type="spellStart"/>
            <w:r w:rsidRPr="002A22DB">
              <w:rPr>
                <w:rFonts w:ascii="Arial" w:hAnsi="Arial"/>
                <w:sz w:val="20"/>
                <w:szCs w:val="20"/>
                <w:lang w:eastAsia="en-GB"/>
              </w:rPr>
              <w:t>whānau</w:t>
            </w:r>
            <w:proofErr w:type="spellEnd"/>
            <w:r w:rsidRPr="002A22DB">
              <w:rPr>
                <w:rFonts w:ascii="Arial" w:hAnsi="Arial"/>
                <w:sz w:val="20"/>
                <w:szCs w:val="20"/>
                <w:lang w:eastAsia="en-GB"/>
              </w:rPr>
              <w:t xml:space="preserve"> health and wellbeing.</w:t>
            </w:r>
          </w:p>
        </w:tc>
      </w:tr>
      <w:tr w:rsidR="00A62D59" w:rsidRPr="002A22DB" w14:paraId="1C59F24F" w14:textId="77777777" w:rsidTr="003D2D0B">
        <w:trPr>
          <w:cantSplit/>
        </w:trPr>
        <w:tc>
          <w:tcPr>
            <w:tcW w:w="1701" w:type="dxa"/>
            <w:tcBorders>
              <w:top w:val="nil"/>
              <w:bottom w:val="nil"/>
            </w:tcBorders>
            <w:shd w:val="clear" w:color="auto" w:fill="auto"/>
          </w:tcPr>
          <w:p w14:paraId="379D56BF" w14:textId="77777777" w:rsidR="00A62D59" w:rsidRPr="002A22DB" w:rsidRDefault="00A62D59" w:rsidP="003D2D0B">
            <w:pPr>
              <w:keepNext/>
              <w:spacing w:before="60" w:after="60" w:line="264" w:lineRule="auto"/>
              <w:rPr>
                <w:rFonts w:ascii="Arial" w:hAnsi="Arial"/>
                <w:b/>
                <w:sz w:val="20"/>
                <w:szCs w:val="20"/>
                <w:lang w:eastAsia="en-GB"/>
              </w:rPr>
            </w:pPr>
            <w:r w:rsidRPr="002A22DB">
              <w:rPr>
                <w:rFonts w:ascii="Arial" w:hAnsi="Arial"/>
                <w:b/>
                <w:sz w:val="20"/>
                <w:szCs w:val="20"/>
                <w:lang w:eastAsia="en-GB"/>
              </w:rPr>
              <w:t>Indicator</w:t>
            </w:r>
          </w:p>
        </w:tc>
        <w:tc>
          <w:tcPr>
            <w:tcW w:w="7655" w:type="dxa"/>
            <w:tcBorders>
              <w:top w:val="nil"/>
              <w:bottom w:val="nil"/>
            </w:tcBorders>
          </w:tcPr>
          <w:p w14:paraId="2A15AB50" w14:textId="77777777" w:rsidR="00A62D59" w:rsidRPr="002A22DB" w:rsidRDefault="00A62D59" w:rsidP="003D2D0B">
            <w:pPr>
              <w:keepNext/>
              <w:spacing w:before="60" w:after="60" w:line="264" w:lineRule="auto"/>
              <w:rPr>
                <w:rFonts w:ascii="Arial" w:hAnsi="Arial"/>
                <w:sz w:val="20"/>
                <w:szCs w:val="20"/>
                <w:lang w:eastAsia="en-GB"/>
              </w:rPr>
            </w:pPr>
            <w:r w:rsidRPr="002A22DB">
              <w:rPr>
                <w:rFonts w:ascii="Arial" w:hAnsi="Arial"/>
                <w:sz w:val="20"/>
                <w:szCs w:val="20"/>
                <w:lang w:eastAsia="en-GB"/>
              </w:rPr>
              <w:t>Infants are exclusively or fully breastfed at three months.</w:t>
            </w:r>
          </w:p>
        </w:tc>
      </w:tr>
      <w:tr w:rsidR="00A62D59" w:rsidRPr="002A22DB" w14:paraId="0F217762" w14:textId="77777777" w:rsidTr="003D2D0B">
        <w:trPr>
          <w:cantSplit/>
        </w:trPr>
        <w:tc>
          <w:tcPr>
            <w:tcW w:w="1701" w:type="dxa"/>
            <w:tcBorders>
              <w:top w:val="nil"/>
            </w:tcBorders>
            <w:shd w:val="clear" w:color="auto" w:fill="auto"/>
          </w:tcPr>
          <w:p w14:paraId="41B176CC" w14:textId="77777777" w:rsidR="00A62D59" w:rsidRPr="002A22DB" w:rsidRDefault="00A62D59" w:rsidP="003D2D0B">
            <w:pPr>
              <w:keepNext/>
              <w:spacing w:before="60" w:after="60" w:line="264" w:lineRule="auto"/>
              <w:rPr>
                <w:rFonts w:ascii="Arial" w:hAnsi="Arial"/>
                <w:b/>
                <w:sz w:val="20"/>
                <w:szCs w:val="20"/>
                <w:lang w:eastAsia="en-GB"/>
              </w:rPr>
            </w:pPr>
            <w:r w:rsidRPr="002A22DB">
              <w:rPr>
                <w:rFonts w:ascii="Arial" w:hAnsi="Arial"/>
                <w:b/>
                <w:sz w:val="20"/>
                <w:szCs w:val="20"/>
                <w:lang w:eastAsia="en-GB"/>
              </w:rPr>
              <w:t xml:space="preserve">Target </w:t>
            </w:r>
          </w:p>
        </w:tc>
        <w:tc>
          <w:tcPr>
            <w:tcW w:w="7655" w:type="dxa"/>
            <w:tcBorders>
              <w:top w:val="nil"/>
            </w:tcBorders>
          </w:tcPr>
          <w:p w14:paraId="50274F7E" w14:textId="77777777" w:rsidR="00A62D59" w:rsidRPr="002A22DB" w:rsidRDefault="00A62D59" w:rsidP="003D2D0B">
            <w:pPr>
              <w:keepNext/>
              <w:spacing w:before="60" w:after="60" w:line="264" w:lineRule="auto"/>
              <w:rPr>
                <w:rFonts w:ascii="Arial" w:hAnsi="Arial"/>
                <w:sz w:val="20"/>
                <w:szCs w:val="20"/>
                <w:lang w:eastAsia="en-GB"/>
              </w:rPr>
            </w:pPr>
            <w:r>
              <w:rPr>
                <w:rFonts w:ascii="Arial" w:hAnsi="Arial"/>
                <w:sz w:val="20"/>
                <w:szCs w:val="20"/>
                <w:lang w:eastAsia="en-GB"/>
              </w:rPr>
              <w:t>7</w:t>
            </w:r>
            <w:r w:rsidRPr="002A22DB">
              <w:rPr>
                <w:rFonts w:ascii="Arial" w:hAnsi="Arial"/>
                <w:sz w:val="20"/>
                <w:szCs w:val="20"/>
                <w:lang w:eastAsia="en-GB"/>
              </w:rPr>
              <w:t>0 percent</w:t>
            </w:r>
          </w:p>
        </w:tc>
      </w:tr>
    </w:tbl>
    <w:p w14:paraId="11ED9F94" w14:textId="77777777" w:rsidR="00A62D59" w:rsidRPr="002A22DB" w:rsidRDefault="00A62D59" w:rsidP="00A62D59">
      <w:pPr>
        <w:shd w:val="clear" w:color="auto" w:fill="FFFFFF"/>
        <w:spacing w:before="60" w:after="60"/>
        <w:jc w:val="both"/>
        <w:rPr>
          <w:rFonts w:ascii="Arial" w:hAnsi="Arial" w:cs="Arial"/>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647"/>
      </w:tblGrid>
      <w:tr w:rsidR="00A62D59" w:rsidRPr="002A22DB" w14:paraId="4FC3360C" w14:textId="77777777" w:rsidTr="003D2D0B">
        <w:tc>
          <w:tcPr>
            <w:tcW w:w="1418" w:type="dxa"/>
            <w:shd w:val="clear" w:color="auto" w:fill="FFFFFF" w:themeFill="background1"/>
            <w:vAlign w:val="center"/>
          </w:tcPr>
          <w:p w14:paraId="640FB459" w14:textId="77777777" w:rsidR="00A62D59" w:rsidRPr="002A22DB" w:rsidRDefault="00A62D59" w:rsidP="003D2D0B">
            <w:pPr>
              <w:shd w:val="clear" w:color="auto" w:fill="FFFFFF"/>
              <w:spacing w:before="60" w:after="60"/>
              <w:jc w:val="both"/>
              <w:rPr>
                <w:rFonts w:ascii="Arial" w:hAnsi="Arial" w:cs="Arial"/>
                <w:b/>
                <w:sz w:val="20"/>
                <w:szCs w:val="20"/>
              </w:rPr>
            </w:pPr>
            <w:r w:rsidRPr="002A22DB">
              <w:rPr>
                <w:rFonts w:ascii="Arial" w:hAnsi="Arial" w:cs="Arial"/>
                <w:b/>
                <w:sz w:val="20"/>
                <w:szCs w:val="20"/>
              </w:rPr>
              <w:t xml:space="preserve">Rating: </w:t>
            </w:r>
          </w:p>
        </w:tc>
        <w:tc>
          <w:tcPr>
            <w:tcW w:w="8647" w:type="dxa"/>
            <w:shd w:val="clear" w:color="auto" w:fill="FFFFFF" w:themeFill="background1"/>
            <w:vAlign w:val="center"/>
          </w:tcPr>
          <w:p w14:paraId="4986B464" w14:textId="77777777" w:rsidR="00A62D59" w:rsidRPr="002A22DB" w:rsidRDefault="00A62D59" w:rsidP="003D2D0B">
            <w:pPr>
              <w:shd w:val="clear" w:color="auto" w:fill="FFFFFF"/>
              <w:spacing w:before="60" w:after="60"/>
              <w:jc w:val="both"/>
              <w:rPr>
                <w:rFonts w:ascii="Arial" w:hAnsi="Arial" w:cs="Arial"/>
                <w:b/>
                <w:sz w:val="20"/>
                <w:szCs w:val="20"/>
              </w:rPr>
            </w:pPr>
            <w:r w:rsidRPr="002A22DB">
              <w:rPr>
                <w:rFonts w:ascii="Arial" w:hAnsi="Arial" w:cs="Arial"/>
                <w:b/>
                <w:sz w:val="20"/>
                <w:szCs w:val="20"/>
              </w:rPr>
              <w:t>Definition</w:t>
            </w:r>
          </w:p>
        </w:tc>
      </w:tr>
      <w:tr w:rsidR="00A62D59" w:rsidRPr="002A22DB" w14:paraId="2A7ABB4A" w14:textId="77777777" w:rsidTr="003D2D0B">
        <w:tc>
          <w:tcPr>
            <w:tcW w:w="1418" w:type="dxa"/>
            <w:shd w:val="clear" w:color="auto" w:fill="auto"/>
          </w:tcPr>
          <w:p w14:paraId="0EFD3C69"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Outstanding performer</w:t>
            </w:r>
          </w:p>
        </w:tc>
        <w:tc>
          <w:tcPr>
            <w:tcW w:w="8647" w:type="dxa"/>
            <w:shd w:val="clear" w:color="auto" w:fill="auto"/>
          </w:tcPr>
          <w:p w14:paraId="240337A7" w14:textId="2D93B16A" w:rsidR="00A62D59" w:rsidRPr="002A22DB" w:rsidDel="007E68A6" w:rsidRDefault="00A62D59" w:rsidP="00BA6502">
            <w:pPr>
              <w:shd w:val="clear" w:color="auto" w:fill="FFFFFF"/>
              <w:autoSpaceDE w:val="0"/>
              <w:autoSpaceDN w:val="0"/>
              <w:adjustRightInd w:val="0"/>
              <w:spacing w:before="60" w:after="60" w:line="240" w:lineRule="atLeast"/>
              <w:rPr>
                <w:rFonts w:ascii="Arial" w:hAnsi="Arial" w:cs="Arial"/>
                <w:sz w:val="20"/>
                <w:szCs w:val="20"/>
              </w:rPr>
            </w:pPr>
            <w:r w:rsidRPr="002A22DB">
              <w:rPr>
                <w:rFonts w:ascii="Arial" w:hAnsi="Arial" w:cs="Arial"/>
                <w:sz w:val="20"/>
                <w:szCs w:val="20"/>
              </w:rPr>
              <w:t xml:space="preserve">Consistent achievement over a consecutive </w:t>
            </w:r>
            <w:proofErr w:type="gramStart"/>
            <w:r w:rsidRPr="002A22DB">
              <w:rPr>
                <w:rFonts w:ascii="Arial" w:hAnsi="Arial" w:cs="Arial"/>
                <w:sz w:val="20"/>
                <w:szCs w:val="20"/>
              </w:rPr>
              <w:t>24 month</w:t>
            </w:r>
            <w:proofErr w:type="gramEnd"/>
            <w:r w:rsidRPr="002A22DB">
              <w:rPr>
                <w:rFonts w:ascii="Arial" w:hAnsi="Arial" w:cs="Arial"/>
                <w:sz w:val="20"/>
                <w:szCs w:val="20"/>
              </w:rPr>
              <w:t xml:space="preserve"> period of </w:t>
            </w:r>
            <w:r w:rsidR="00BA6502">
              <w:rPr>
                <w:rFonts w:ascii="Arial" w:hAnsi="Arial" w:cs="Arial"/>
                <w:sz w:val="20"/>
                <w:szCs w:val="20"/>
              </w:rPr>
              <w:t>7</w:t>
            </w:r>
            <w:r w:rsidRPr="002A22DB">
              <w:rPr>
                <w:rFonts w:ascii="Arial" w:hAnsi="Arial" w:cs="Arial"/>
                <w:sz w:val="20"/>
                <w:szCs w:val="20"/>
              </w:rPr>
              <w:t>0% of infants (total population and Māori) are exclusively or fully breastfed at three months. Significant progress has been made towards closing equity gaps.</w:t>
            </w:r>
          </w:p>
        </w:tc>
      </w:tr>
      <w:tr w:rsidR="00A62D59" w:rsidRPr="002A22DB" w14:paraId="20085DF4" w14:textId="77777777" w:rsidTr="003D2D0B">
        <w:tc>
          <w:tcPr>
            <w:tcW w:w="1418" w:type="dxa"/>
            <w:shd w:val="clear" w:color="auto" w:fill="auto"/>
          </w:tcPr>
          <w:p w14:paraId="416FD382"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Achieved</w:t>
            </w:r>
          </w:p>
        </w:tc>
        <w:tc>
          <w:tcPr>
            <w:tcW w:w="8647" w:type="dxa"/>
            <w:shd w:val="clear" w:color="auto" w:fill="auto"/>
          </w:tcPr>
          <w:p w14:paraId="7A1202F5" w14:textId="17552CB1" w:rsidR="00A62D59" w:rsidRPr="002A22DB" w:rsidRDefault="00BA6502" w:rsidP="00BA6502">
            <w:pPr>
              <w:shd w:val="clear" w:color="auto" w:fill="FFFFFF"/>
              <w:spacing w:before="60" w:after="60"/>
              <w:jc w:val="both"/>
              <w:rPr>
                <w:rFonts w:ascii="Arial" w:hAnsi="Arial" w:cs="Arial"/>
                <w:sz w:val="20"/>
                <w:szCs w:val="20"/>
              </w:rPr>
            </w:pPr>
            <w:r>
              <w:rPr>
                <w:rFonts w:ascii="Arial" w:hAnsi="Arial" w:cs="Arial"/>
                <w:sz w:val="20"/>
                <w:szCs w:val="20"/>
              </w:rPr>
              <w:t>7</w:t>
            </w:r>
            <w:r w:rsidR="00A62D59" w:rsidRPr="002A22DB">
              <w:rPr>
                <w:rFonts w:ascii="Arial" w:hAnsi="Arial" w:cs="Arial"/>
                <w:sz w:val="20"/>
                <w:szCs w:val="20"/>
              </w:rPr>
              <w:t>0% of infants (total population and Māori) are exclusively or fully breastfed at three months within the current reporting period. Progress has been made towards closing equity gaps.</w:t>
            </w:r>
          </w:p>
        </w:tc>
      </w:tr>
      <w:tr w:rsidR="00A62D59" w:rsidRPr="002A22DB" w14:paraId="66682974" w14:textId="77777777" w:rsidTr="003D2D0B">
        <w:tblPrEx>
          <w:tblLook w:val="01E0" w:firstRow="1" w:lastRow="1" w:firstColumn="1" w:lastColumn="1" w:noHBand="0" w:noVBand="0"/>
        </w:tblPrEx>
        <w:tc>
          <w:tcPr>
            <w:tcW w:w="1418" w:type="dxa"/>
            <w:shd w:val="clear" w:color="auto" w:fill="auto"/>
          </w:tcPr>
          <w:p w14:paraId="7C09114F"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Partially Achieved</w:t>
            </w:r>
          </w:p>
        </w:tc>
        <w:tc>
          <w:tcPr>
            <w:tcW w:w="8647" w:type="dxa"/>
            <w:shd w:val="clear" w:color="auto" w:fill="auto"/>
          </w:tcPr>
          <w:p w14:paraId="02EA0255"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 xml:space="preserve">The target has not been reached for either the total population or Māori.  The DHB has supplied a </w:t>
            </w:r>
            <w:proofErr w:type="gramStart"/>
            <w:r w:rsidRPr="002A22DB">
              <w:rPr>
                <w:rFonts w:ascii="Arial" w:hAnsi="Arial" w:cs="Arial"/>
                <w:sz w:val="20"/>
                <w:szCs w:val="20"/>
              </w:rPr>
              <w:t>resolution plan outlining activities</w:t>
            </w:r>
            <w:proofErr w:type="gramEnd"/>
            <w:r w:rsidRPr="002A22DB">
              <w:rPr>
                <w:rFonts w:ascii="Arial" w:hAnsi="Arial" w:cs="Arial"/>
                <w:sz w:val="20"/>
                <w:szCs w:val="20"/>
              </w:rPr>
              <w:t xml:space="preserve"> to meet the target for the total population and to address equity gaps.</w:t>
            </w:r>
          </w:p>
        </w:tc>
      </w:tr>
      <w:tr w:rsidR="00A62D59" w:rsidRPr="002A22DB" w14:paraId="402CDD3E" w14:textId="77777777" w:rsidTr="003D2D0B">
        <w:tblPrEx>
          <w:tblLook w:val="01E0" w:firstRow="1" w:lastRow="1" w:firstColumn="1" w:lastColumn="1" w:noHBand="0" w:noVBand="0"/>
        </w:tblPrEx>
        <w:tc>
          <w:tcPr>
            <w:tcW w:w="1418" w:type="dxa"/>
            <w:shd w:val="clear" w:color="auto" w:fill="auto"/>
          </w:tcPr>
          <w:p w14:paraId="450B3849"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Not Achieved</w:t>
            </w:r>
          </w:p>
        </w:tc>
        <w:tc>
          <w:tcPr>
            <w:tcW w:w="8647" w:type="dxa"/>
            <w:shd w:val="clear" w:color="auto" w:fill="auto"/>
          </w:tcPr>
          <w:p w14:paraId="5A7B1DA3" w14:textId="77777777" w:rsidR="00A62D59" w:rsidRPr="002A22DB" w:rsidRDefault="00A62D59" w:rsidP="003D2D0B">
            <w:pPr>
              <w:shd w:val="clear" w:color="auto" w:fill="FFFFFF"/>
              <w:spacing w:before="60" w:after="60"/>
              <w:jc w:val="both"/>
              <w:rPr>
                <w:rFonts w:ascii="Arial" w:hAnsi="Arial" w:cs="Arial"/>
                <w:sz w:val="20"/>
                <w:szCs w:val="20"/>
              </w:rPr>
            </w:pPr>
            <w:r w:rsidRPr="002A22DB">
              <w:rPr>
                <w:rFonts w:ascii="Arial" w:hAnsi="Arial" w:cs="Arial"/>
                <w:sz w:val="20"/>
                <w:szCs w:val="20"/>
              </w:rPr>
              <w:t xml:space="preserve">The target has not been reached for either the total population or Māori.  </w:t>
            </w:r>
          </w:p>
        </w:tc>
      </w:tr>
    </w:tbl>
    <w:p w14:paraId="28CE6E86" w14:textId="77777777" w:rsidR="009914D0" w:rsidRDefault="009914D0"/>
    <w:p w14:paraId="58DBA059" w14:textId="77777777" w:rsidR="009914D0" w:rsidRDefault="009914D0"/>
    <w:p w14:paraId="1F5324A7" w14:textId="77777777" w:rsidR="009914D0" w:rsidRDefault="009914D0">
      <w:r>
        <w:br w:type="page"/>
      </w:r>
    </w:p>
    <w:p w14:paraId="2FF00CB6" w14:textId="77777777" w:rsidR="009914D0" w:rsidRDefault="009914D0" w:rsidP="009914D0">
      <w:pPr>
        <w:keepNext/>
        <w:spacing w:before="240" w:after="60"/>
        <w:outlineLvl w:val="1"/>
        <w:rPr>
          <w:rFonts w:ascii="Arial" w:hAnsi="Arial" w:cs="Arial"/>
          <w:b/>
          <w:i/>
        </w:rPr>
      </w:pPr>
      <w:bookmarkStart w:id="384" w:name="_Toc9592000"/>
      <w:bookmarkStart w:id="385" w:name="_Toc4588673"/>
      <w:bookmarkStart w:id="386" w:name="_Toc4588530"/>
      <w:r>
        <w:rPr>
          <w:rFonts w:ascii="Arial" w:hAnsi="Arial" w:cs="Arial"/>
          <w:b/>
          <w:i/>
        </w:rPr>
        <w:lastRenderedPageBreak/>
        <w:t>Outcome priority: we live longer in good health</w:t>
      </w:r>
      <w:bookmarkEnd w:id="384"/>
      <w:bookmarkEnd w:id="385"/>
      <w:bookmarkEnd w:id="386"/>
    </w:p>
    <w:p w14:paraId="2724681A" w14:textId="77777777" w:rsidR="009914D0" w:rsidRDefault="009914D0" w:rsidP="009914D0">
      <w:pPr>
        <w:pStyle w:val="Heading2"/>
        <w:spacing w:before="0"/>
      </w:pPr>
      <w:bookmarkStart w:id="387" w:name="_Toc4588531"/>
    </w:p>
    <w:p w14:paraId="3ABA79F3" w14:textId="39A4B817" w:rsidR="009914D0" w:rsidRDefault="009914D0" w:rsidP="009914D0">
      <w:pPr>
        <w:pStyle w:val="Heading2"/>
        <w:spacing w:before="0"/>
      </w:pPr>
      <w:bookmarkStart w:id="388" w:name="_Toc9592001"/>
      <w:r>
        <w:t xml:space="preserve">Improving child wellbeing CW07: Improving the timeliness of </w:t>
      </w:r>
      <w:proofErr w:type="spellStart"/>
      <w:r>
        <w:t>newborn</w:t>
      </w:r>
      <w:proofErr w:type="spellEnd"/>
      <w:r>
        <w:t xml:space="preserve"> enrolment in General Practice</w:t>
      </w:r>
      <w:bookmarkEnd w:id="387"/>
      <w:bookmarkEnd w:id="388"/>
    </w:p>
    <w:p w14:paraId="1EE52437" w14:textId="77777777" w:rsidR="009914D0" w:rsidRDefault="009914D0" w:rsidP="009914D0">
      <w:pPr>
        <w:rPr>
          <w:rFonts w:eastAsia="Calibri"/>
          <w:i/>
        </w:rPr>
      </w:pPr>
    </w:p>
    <w:tbl>
      <w:tblPr>
        <w:tblW w:w="9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6"/>
        <w:gridCol w:w="6809"/>
      </w:tblGrid>
      <w:tr w:rsidR="009914D0" w14:paraId="579E23EF" w14:textId="77777777" w:rsidTr="009914D0">
        <w:tc>
          <w:tcPr>
            <w:tcW w:w="96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7AB09A7" w14:textId="77777777" w:rsidR="009914D0" w:rsidRDefault="009914D0">
            <w:pPr>
              <w:shd w:val="clear" w:color="auto" w:fill="FFFFFF"/>
              <w:spacing w:before="60" w:after="60" w:line="256" w:lineRule="auto"/>
              <w:jc w:val="center"/>
              <w:rPr>
                <w:rFonts w:ascii="Arial" w:hAnsi="Arial" w:cs="Arial"/>
                <w:b/>
                <w:sz w:val="22"/>
                <w:szCs w:val="22"/>
              </w:rPr>
            </w:pPr>
            <w:r>
              <w:rPr>
                <w:rFonts w:ascii="Arial" w:hAnsi="Arial" w:cs="Arial"/>
                <w:b/>
                <w:sz w:val="22"/>
                <w:szCs w:val="22"/>
              </w:rPr>
              <w:t>Summary information</w:t>
            </w:r>
          </w:p>
        </w:tc>
      </w:tr>
      <w:tr w:rsidR="009914D0" w14:paraId="5674F2E1" w14:textId="77777777" w:rsidTr="009914D0">
        <w:tc>
          <w:tcPr>
            <w:tcW w:w="2864" w:type="dxa"/>
            <w:tcBorders>
              <w:top w:val="single" w:sz="4" w:space="0" w:color="auto"/>
              <w:left w:val="single" w:sz="4" w:space="0" w:color="auto"/>
              <w:bottom w:val="single" w:sz="4" w:space="0" w:color="auto"/>
              <w:right w:val="single" w:sz="4" w:space="0" w:color="auto"/>
            </w:tcBorders>
            <w:hideMark/>
          </w:tcPr>
          <w:p w14:paraId="68D5609D" w14:textId="77777777" w:rsidR="009914D0" w:rsidRDefault="009914D0">
            <w:pPr>
              <w:shd w:val="clear" w:color="auto" w:fill="FFFFFF"/>
              <w:spacing w:line="256" w:lineRule="auto"/>
              <w:rPr>
                <w:rFonts w:ascii="Arial" w:hAnsi="Arial" w:cs="Arial"/>
                <w:b/>
                <w:i/>
                <w:sz w:val="20"/>
                <w:szCs w:val="20"/>
              </w:rPr>
            </w:pPr>
            <w:r>
              <w:rPr>
                <w:rFonts w:ascii="Arial" w:hAnsi="Arial" w:cs="Arial"/>
                <w:b/>
                <w:i/>
                <w:sz w:val="20"/>
                <w:szCs w:val="20"/>
              </w:rPr>
              <w:t>Target/performance expectation</w:t>
            </w:r>
          </w:p>
        </w:tc>
        <w:tc>
          <w:tcPr>
            <w:tcW w:w="6804" w:type="dxa"/>
            <w:tcBorders>
              <w:top w:val="single" w:sz="4" w:space="0" w:color="auto"/>
              <w:left w:val="single" w:sz="4" w:space="0" w:color="auto"/>
              <w:bottom w:val="single" w:sz="4" w:space="0" w:color="auto"/>
              <w:right w:val="single" w:sz="4" w:space="0" w:color="auto"/>
            </w:tcBorders>
            <w:hideMark/>
          </w:tcPr>
          <w:p w14:paraId="5CE84A3D" w14:textId="77777777" w:rsidR="009914D0" w:rsidRDefault="009914D0">
            <w:pPr>
              <w:shd w:val="clear" w:color="auto" w:fill="FFFFFF"/>
              <w:spacing w:line="256" w:lineRule="auto"/>
              <w:jc w:val="both"/>
              <w:rPr>
                <w:rFonts w:ascii="Arial" w:hAnsi="Arial" w:cs="Arial"/>
                <w:b/>
                <w:i/>
                <w:sz w:val="20"/>
                <w:szCs w:val="20"/>
              </w:rPr>
            </w:pPr>
            <w:r>
              <w:rPr>
                <w:rFonts w:ascii="Arial" w:hAnsi="Arial" w:cs="Arial"/>
                <w:sz w:val="20"/>
                <w:szCs w:val="20"/>
              </w:rPr>
              <w:t>Agreed in DHB Annual Plan</w:t>
            </w:r>
          </w:p>
        </w:tc>
      </w:tr>
      <w:tr w:rsidR="009914D0" w14:paraId="34948EB3" w14:textId="77777777" w:rsidTr="009914D0">
        <w:trPr>
          <w:trHeight w:val="493"/>
        </w:trPr>
        <w:tc>
          <w:tcPr>
            <w:tcW w:w="2864" w:type="dxa"/>
            <w:tcBorders>
              <w:top w:val="single" w:sz="4" w:space="0" w:color="auto"/>
              <w:left w:val="single" w:sz="4" w:space="0" w:color="auto"/>
              <w:bottom w:val="single" w:sz="4" w:space="0" w:color="auto"/>
              <w:right w:val="single" w:sz="4" w:space="0" w:color="auto"/>
            </w:tcBorders>
            <w:hideMark/>
          </w:tcPr>
          <w:p w14:paraId="5F969115" w14:textId="77777777" w:rsidR="009914D0" w:rsidRDefault="009914D0">
            <w:pPr>
              <w:shd w:val="clear" w:color="auto" w:fill="FFFFFF"/>
              <w:spacing w:line="256" w:lineRule="auto"/>
              <w:rPr>
                <w:rFonts w:ascii="Arial" w:hAnsi="Arial" w:cs="Arial"/>
                <w:b/>
                <w:i/>
                <w:sz w:val="20"/>
                <w:szCs w:val="20"/>
              </w:rPr>
            </w:pPr>
            <w:r>
              <w:rPr>
                <w:rFonts w:ascii="Arial" w:hAnsi="Arial" w:cs="Arial"/>
                <w:b/>
                <w:i/>
                <w:sz w:val="20"/>
                <w:szCs w:val="20"/>
              </w:rPr>
              <w:t>Reporting frequency</w:t>
            </w:r>
          </w:p>
        </w:tc>
        <w:tc>
          <w:tcPr>
            <w:tcW w:w="6804" w:type="dxa"/>
            <w:tcBorders>
              <w:top w:val="single" w:sz="4" w:space="0" w:color="auto"/>
              <w:left w:val="single" w:sz="4" w:space="0" w:color="auto"/>
              <w:bottom w:val="single" w:sz="4" w:space="0" w:color="auto"/>
              <w:right w:val="single" w:sz="4" w:space="0" w:color="auto"/>
            </w:tcBorders>
            <w:hideMark/>
          </w:tcPr>
          <w:p w14:paraId="2E48A953" w14:textId="77777777" w:rsidR="009914D0" w:rsidRDefault="009914D0">
            <w:pPr>
              <w:shd w:val="clear" w:color="auto" w:fill="FFFFFF"/>
              <w:spacing w:line="256" w:lineRule="auto"/>
              <w:jc w:val="both"/>
              <w:rPr>
                <w:rFonts w:ascii="Arial" w:hAnsi="Arial" w:cs="Arial"/>
                <w:sz w:val="20"/>
                <w:szCs w:val="20"/>
              </w:rPr>
            </w:pPr>
            <w:r>
              <w:rPr>
                <w:rFonts w:ascii="Arial" w:hAnsi="Arial" w:cs="Arial"/>
                <w:sz w:val="20"/>
                <w:szCs w:val="20"/>
              </w:rPr>
              <w:t>Quarterly</w:t>
            </w:r>
          </w:p>
        </w:tc>
      </w:tr>
      <w:tr w:rsidR="009914D0" w14:paraId="1BAA0F2C" w14:textId="77777777" w:rsidTr="009914D0">
        <w:tc>
          <w:tcPr>
            <w:tcW w:w="2864" w:type="dxa"/>
            <w:tcBorders>
              <w:top w:val="single" w:sz="4" w:space="0" w:color="auto"/>
              <w:left w:val="single" w:sz="4" w:space="0" w:color="auto"/>
              <w:bottom w:val="single" w:sz="4" w:space="0" w:color="auto"/>
              <w:right w:val="single" w:sz="4" w:space="0" w:color="auto"/>
            </w:tcBorders>
            <w:hideMark/>
          </w:tcPr>
          <w:p w14:paraId="42332FAF" w14:textId="77777777" w:rsidR="009914D0" w:rsidRDefault="009914D0">
            <w:pPr>
              <w:shd w:val="clear" w:color="auto" w:fill="FFFFFF"/>
              <w:spacing w:before="60" w:line="256" w:lineRule="auto"/>
              <w:rPr>
                <w:rFonts w:ascii="Arial" w:hAnsi="Arial" w:cs="Arial"/>
                <w:b/>
                <w:i/>
                <w:sz w:val="20"/>
                <w:szCs w:val="20"/>
              </w:rPr>
            </w:pPr>
            <w:r>
              <w:rPr>
                <w:rFonts w:ascii="Arial" w:hAnsi="Arial" w:cs="Arial"/>
                <w:b/>
                <w:i/>
                <w:sz w:val="20"/>
                <w:szCs w:val="20"/>
              </w:rPr>
              <w:t>Source information for reporting provided by:</w:t>
            </w:r>
          </w:p>
        </w:tc>
        <w:tc>
          <w:tcPr>
            <w:tcW w:w="6804" w:type="dxa"/>
            <w:tcBorders>
              <w:top w:val="single" w:sz="4" w:space="0" w:color="auto"/>
              <w:left w:val="single" w:sz="4" w:space="0" w:color="auto"/>
              <w:bottom w:val="single" w:sz="4" w:space="0" w:color="auto"/>
              <w:right w:val="single" w:sz="4" w:space="0" w:color="auto"/>
            </w:tcBorders>
            <w:hideMark/>
          </w:tcPr>
          <w:p w14:paraId="40B9316E" w14:textId="77777777" w:rsidR="009914D0" w:rsidRDefault="009914D0">
            <w:pPr>
              <w:shd w:val="clear" w:color="auto" w:fill="FFFFFF"/>
              <w:spacing w:before="60" w:line="256" w:lineRule="auto"/>
              <w:rPr>
                <w:rFonts w:ascii="Arial" w:hAnsi="Arial" w:cs="Arial"/>
                <w:i/>
                <w:sz w:val="20"/>
                <w:szCs w:val="20"/>
              </w:rPr>
            </w:pPr>
            <w:r>
              <w:rPr>
                <w:rFonts w:ascii="Arial" w:hAnsi="Arial" w:cs="Arial"/>
                <w:i/>
                <w:sz w:val="20"/>
                <w:szCs w:val="20"/>
              </w:rPr>
              <w:t xml:space="preserve">The National Enrolment Service (NES) </w:t>
            </w:r>
          </w:p>
        </w:tc>
      </w:tr>
      <w:tr w:rsidR="009914D0" w14:paraId="19832766" w14:textId="77777777" w:rsidTr="009914D0">
        <w:trPr>
          <w:trHeight w:val="1575"/>
        </w:trPr>
        <w:tc>
          <w:tcPr>
            <w:tcW w:w="2864" w:type="dxa"/>
            <w:tcBorders>
              <w:top w:val="single" w:sz="4" w:space="0" w:color="auto"/>
              <w:left w:val="single" w:sz="4" w:space="0" w:color="auto"/>
              <w:bottom w:val="single" w:sz="4" w:space="0" w:color="auto"/>
              <w:right w:val="single" w:sz="4" w:space="0" w:color="auto"/>
            </w:tcBorders>
            <w:hideMark/>
          </w:tcPr>
          <w:p w14:paraId="6614C607" w14:textId="77777777" w:rsidR="009914D0" w:rsidRDefault="009914D0">
            <w:pPr>
              <w:shd w:val="clear" w:color="auto" w:fill="FFFFFF"/>
              <w:spacing w:before="60" w:after="60" w:line="256" w:lineRule="auto"/>
              <w:rPr>
                <w:rFonts w:ascii="Arial" w:hAnsi="Arial" w:cs="Arial"/>
                <w:b/>
                <w:i/>
                <w:sz w:val="20"/>
                <w:szCs w:val="20"/>
              </w:rPr>
            </w:pPr>
            <w:r>
              <w:rPr>
                <w:rFonts w:ascii="Arial" w:hAnsi="Arial" w:cs="Arial"/>
                <w:b/>
                <w:i/>
                <w:sz w:val="20"/>
                <w:szCs w:val="20"/>
              </w:rPr>
              <w:t>Quarterly reporting - standard timeline applies</w:t>
            </w:r>
          </w:p>
        </w:tc>
        <w:tc>
          <w:tcPr>
            <w:tcW w:w="6804" w:type="dxa"/>
            <w:tcBorders>
              <w:top w:val="single" w:sz="4" w:space="0" w:color="auto"/>
              <w:left w:val="single" w:sz="4" w:space="0" w:color="auto"/>
              <w:bottom w:val="single" w:sz="4" w:space="0" w:color="auto"/>
              <w:right w:val="single" w:sz="4" w:space="0" w:color="auto"/>
            </w:tcBorders>
            <w:hideMark/>
          </w:tcPr>
          <w:tbl>
            <w:tblPr>
              <w:tblW w:w="7260" w:type="dxa"/>
              <w:jc w:val="center"/>
              <w:tblLayout w:type="fixed"/>
              <w:tblLook w:val="04A0" w:firstRow="1" w:lastRow="0" w:firstColumn="1" w:lastColumn="0" w:noHBand="0" w:noVBand="1"/>
            </w:tblPr>
            <w:tblGrid>
              <w:gridCol w:w="3007"/>
              <w:gridCol w:w="4253"/>
            </w:tblGrid>
            <w:tr w:rsidR="009914D0" w14:paraId="59BEC862" w14:textId="7777777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45FDD97A" w14:textId="77777777" w:rsidR="009914D0" w:rsidRDefault="009914D0">
                  <w:pPr>
                    <w:spacing w:line="256" w:lineRule="auto"/>
                    <w:ind w:left="205" w:hanging="205"/>
                    <w:rPr>
                      <w:rFonts w:ascii="Calibri" w:hAnsi="Calibri"/>
                      <w:sz w:val="20"/>
                      <w:szCs w:val="20"/>
                    </w:rPr>
                  </w:pPr>
                  <w:r>
                    <w:rPr>
                      <w:rFonts w:ascii="Calibri" w:hAnsi="Calibri"/>
                      <w:sz w:val="20"/>
                      <w:szCs w:val="20"/>
                    </w:rPr>
                    <w:t>DHB Reports Due</w:t>
                  </w:r>
                </w:p>
              </w:tc>
              <w:tc>
                <w:tcPr>
                  <w:tcW w:w="4252" w:type="dxa"/>
                  <w:tcBorders>
                    <w:top w:val="single" w:sz="4" w:space="0" w:color="auto"/>
                    <w:left w:val="single" w:sz="4" w:space="0" w:color="auto"/>
                    <w:bottom w:val="single" w:sz="4" w:space="0" w:color="auto"/>
                    <w:right w:val="single" w:sz="4" w:space="0" w:color="auto"/>
                  </w:tcBorders>
                  <w:noWrap/>
                  <w:vAlign w:val="center"/>
                  <w:hideMark/>
                </w:tcPr>
                <w:p w14:paraId="368CFC7B" w14:textId="77777777" w:rsidR="009914D0" w:rsidRDefault="009914D0">
                  <w:pPr>
                    <w:spacing w:line="256" w:lineRule="auto"/>
                    <w:ind w:left="205" w:hanging="205"/>
                    <w:rPr>
                      <w:rFonts w:ascii="Calibri" w:hAnsi="Calibri"/>
                      <w:sz w:val="20"/>
                      <w:szCs w:val="20"/>
                    </w:rPr>
                  </w:pPr>
                  <w:r>
                    <w:rPr>
                      <w:rFonts w:ascii="Calibri" w:hAnsi="Calibri"/>
                      <w:sz w:val="20"/>
                      <w:szCs w:val="20"/>
                    </w:rPr>
                    <w:t>20th of the month following the end of the quarter</w:t>
                  </w:r>
                </w:p>
              </w:tc>
            </w:tr>
            <w:tr w:rsidR="009914D0" w14:paraId="0917515F" w14:textId="7777777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071A3F4E" w14:textId="77777777" w:rsidR="009914D0" w:rsidRDefault="009914D0">
                  <w:pPr>
                    <w:spacing w:line="256" w:lineRule="auto"/>
                    <w:ind w:left="205" w:hanging="205"/>
                    <w:rPr>
                      <w:rFonts w:ascii="Calibri" w:hAnsi="Calibri"/>
                      <w:sz w:val="20"/>
                      <w:szCs w:val="20"/>
                    </w:rPr>
                  </w:pPr>
                  <w:r>
                    <w:rPr>
                      <w:rFonts w:ascii="Calibri" w:hAnsi="Calibri"/>
                      <w:sz w:val="20"/>
                      <w:szCs w:val="20"/>
                    </w:rPr>
                    <w:t xml:space="preserve">Ministry Initial rating &amp; feedback </w:t>
                  </w:r>
                </w:p>
              </w:tc>
              <w:tc>
                <w:tcPr>
                  <w:tcW w:w="4252" w:type="dxa"/>
                  <w:tcBorders>
                    <w:top w:val="single" w:sz="4" w:space="0" w:color="auto"/>
                    <w:left w:val="single" w:sz="4" w:space="0" w:color="auto"/>
                    <w:bottom w:val="single" w:sz="4" w:space="0" w:color="auto"/>
                    <w:right w:val="single" w:sz="4" w:space="0" w:color="auto"/>
                  </w:tcBorders>
                  <w:noWrap/>
                  <w:vAlign w:val="center"/>
                  <w:hideMark/>
                </w:tcPr>
                <w:p w14:paraId="14FB55CD" w14:textId="77777777" w:rsidR="009914D0" w:rsidRDefault="009914D0">
                  <w:pPr>
                    <w:spacing w:line="256" w:lineRule="auto"/>
                    <w:ind w:left="205" w:hanging="205"/>
                    <w:rPr>
                      <w:rFonts w:ascii="Calibri" w:hAnsi="Calibri"/>
                      <w:sz w:val="20"/>
                      <w:szCs w:val="20"/>
                    </w:rPr>
                  </w:pPr>
                  <w:r>
                    <w:rPr>
                      <w:rFonts w:ascii="Calibri" w:hAnsi="Calibri"/>
                      <w:sz w:val="20"/>
                      <w:szCs w:val="20"/>
                    </w:rPr>
                    <w:t>8-10 working days from receiving reports</w:t>
                  </w:r>
                </w:p>
              </w:tc>
            </w:tr>
            <w:tr w:rsidR="009914D0" w14:paraId="4A9F104F" w14:textId="7777777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5E997051" w14:textId="77777777" w:rsidR="009914D0" w:rsidRDefault="009914D0">
                  <w:pPr>
                    <w:spacing w:line="256" w:lineRule="auto"/>
                    <w:ind w:left="205" w:hanging="205"/>
                    <w:rPr>
                      <w:rFonts w:ascii="Calibri" w:hAnsi="Calibri"/>
                      <w:sz w:val="20"/>
                      <w:szCs w:val="20"/>
                    </w:rPr>
                  </w:pPr>
                  <w:r>
                    <w:rPr>
                      <w:rFonts w:ascii="Calibri" w:hAnsi="Calibri"/>
                      <w:sz w:val="20"/>
                      <w:szCs w:val="20"/>
                    </w:rPr>
                    <w:t>DHB Response due</w:t>
                  </w:r>
                </w:p>
              </w:tc>
              <w:tc>
                <w:tcPr>
                  <w:tcW w:w="4252" w:type="dxa"/>
                  <w:tcBorders>
                    <w:top w:val="single" w:sz="4" w:space="0" w:color="auto"/>
                    <w:left w:val="single" w:sz="4" w:space="0" w:color="auto"/>
                    <w:bottom w:val="single" w:sz="4" w:space="0" w:color="auto"/>
                    <w:right w:val="single" w:sz="4" w:space="0" w:color="auto"/>
                  </w:tcBorders>
                  <w:noWrap/>
                  <w:vAlign w:val="center"/>
                  <w:hideMark/>
                </w:tcPr>
                <w:p w14:paraId="3F76C637" w14:textId="77777777" w:rsidR="009914D0" w:rsidRDefault="009914D0">
                  <w:pPr>
                    <w:spacing w:line="256" w:lineRule="auto"/>
                    <w:ind w:left="205" w:hanging="205"/>
                    <w:rPr>
                      <w:rFonts w:ascii="Calibri" w:hAnsi="Calibri"/>
                      <w:sz w:val="20"/>
                      <w:szCs w:val="20"/>
                    </w:rPr>
                  </w:pPr>
                  <w:r>
                    <w:rPr>
                      <w:rFonts w:ascii="Calibri" w:hAnsi="Calibri"/>
                      <w:sz w:val="20"/>
                      <w:szCs w:val="20"/>
                    </w:rPr>
                    <w:t>5 working days from receiving initial ratings</w:t>
                  </w:r>
                </w:p>
              </w:tc>
            </w:tr>
            <w:tr w:rsidR="009914D0" w14:paraId="79A64516" w14:textId="7777777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534188DB" w14:textId="77777777" w:rsidR="009914D0" w:rsidRDefault="009914D0">
                  <w:pPr>
                    <w:spacing w:line="256" w:lineRule="auto"/>
                    <w:ind w:left="205" w:hanging="205"/>
                    <w:rPr>
                      <w:rFonts w:ascii="Calibri" w:hAnsi="Calibri"/>
                      <w:sz w:val="20"/>
                      <w:szCs w:val="20"/>
                    </w:rPr>
                  </w:pPr>
                  <w:r>
                    <w:rPr>
                      <w:rFonts w:ascii="Calibri" w:hAnsi="Calibri"/>
                      <w:sz w:val="20"/>
                      <w:szCs w:val="20"/>
                    </w:rPr>
                    <w:t xml:space="preserve">Confirmed rating and feedback </w:t>
                  </w:r>
                </w:p>
              </w:tc>
              <w:tc>
                <w:tcPr>
                  <w:tcW w:w="4252" w:type="dxa"/>
                  <w:tcBorders>
                    <w:top w:val="single" w:sz="4" w:space="0" w:color="auto"/>
                    <w:left w:val="single" w:sz="4" w:space="0" w:color="auto"/>
                    <w:bottom w:val="single" w:sz="4" w:space="0" w:color="auto"/>
                    <w:right w:val="single" w:sz="4" w:space="0" w:color="auto"/>
                  </w:tcBorders>
                  <w:noWrap/>
                  <w:vAlign w:val="center"/>
                  <w:hideMark/>
                </w:tcPr>
                <w:p w14:paraId="142C1174" w14:textId="77777777" w:rsidR="009914D0" w:rsidRDefault="009914D0">
                  <w:pPr>
                    <w:spacing w:line="256" w:lineRule="auto"/>
                    <w:ind w:left="205" w:hanging="205"/>
                    <w:rPr>
                      <w:rFonts w:ascii="Calibri" w:hAnsi="Calibri"/>
                      <w:sz w:val="20"/>
                      <w:szCs w:val="20"/>
                    </w:rPr>
                  </w:pPr>
                  <w:r>
                    <w:rPr>
                      <w:rFonts w:ascii="Calibri" w:hAnsi="Calibri"/>
                      <w:sz w:val="20"/>
                      <w:szCs w:val="20"/>
                    </w:rPr>
                    <w:t>4-5 working days from receiving DHB feedback</w:t>
                  </w:r>
                </w:p>
              </w:tc>
            </w:tr>
          </w:tbl>
          <w:p w14:paraId="7AB554CD" w14:textId="77777777" w:rsidR="009914D0" w:rsidRDefault="009914D0">
            <w:pPr>
              <w:shd w:val="clear" w:color="auto" w:fill="FFFFFF"/>
              <w:spacing w:before="60" w:after="60" w:line="256" w:lineRule="auto"/>
              <w:jc w:val="both"/>
              <w:rPr>
                <w:rFonts w:ascii="Arial" w:hAnsi="Arial" w:cs="Arial"/>
                <w:i/>
                <w:sz w:val="16"/>
                <w:szCs w:val="16"/>
              </w:rPr>
            </w:pPr>
          </w:p>
        </w:tc>
      </w:tr>
    </w:tbl>
    <w:p w14:paraId="578B2F52" w14:textId="77777777" w:rsidR="009914D0" w:rsidRDefault="009914D0" w:rsidP="009914D0">
      <w:pPr>
        <w:pStyle w:val="SubOne"/>
        <w:shd w:val="clear" w:color="auto" w:fill="FFFFFF"/>
        <w:spacing w:before="60" w:after="60"/>
        <w:jc w:val="both"/>
        <w:rPr>
          <w:i/>
        </w:rPr>
      </w:pPr>
      <w:r>
        <w:t>Link to outcomes and priority areas</w:t>
      </w:r>
    </w:p>
    <w:p w14:paraId="11A350A2" w14:textId="77777777" w:rsidR="009914D0" w:rsidRDefault="009914D0" w:rsidP="009914D0">
      <w:pPr>
        <w:spacing w:after="120" w:line="300" w:lineRule="auto"/>
        <w:rPr>
          <w:rFonts w:ascii="Arial" w:hAnsi="Arial" w:cs="Arial"/>
          <w:sz w:val="22"/>
          <w:szCs w:val="22"/>
        </w:rPr>
      </w:pPr>
      <w:r>
        <w:rPr>
          <w:rFonts w:ascii="Arial" w:hAnsi="Arial" w:cs="Arial"/>
          <w:sz w:val="22"/>
          <w:szCs w:val="22"/>
        </w:rPr>
        <w:t xml:space="preserve">Delivery of this measure supports the vision for the New Zealand health and disability system of </w:t>
      </w:r>
      <w:proofErr w:type="spellStart"/>
      <w:r>
        <w:rPr>
          <w:rFonts w:ascii="Arial" w:hAnsi="Arial" w:cs="Arial"/>
          <w:sz w:val="22"/>
          <w:szCs w:val="22"/>
        </w:rPr>
        <w:t>Pae</w:t>
      </w:r>
      <w:proofErr w:type="spellEnd"/>
      <w:r>
        <w:rPr>
          <w:rFonts w:ascii="Arial" w:hAnsi="Arial" w:cs="Arial"/>
          <w:sz w:val="22"/>
          <w:szCs w:val="22"/>
        </w:rPr>
        <w:t xml:space="preserve"> Ora – healthy futures.</w:t>
      </w:r>
    </w:p>
    <w:p w14:paraId="41590349" w14:textId="77777777" w:rsidR="009914D0" w:rsidRDefault="009914D0" w:rsidP="009914D0">
      <w:pPr>
        <w:pStyle w:val="NormalWeb"/>
        <w:shd w:val="clear" w:color="auto" w:fill="FFFFFF"/>
        <w:rPr>
          <w:rFonts w:ascii="Arial" w:hAnsi="Arial" w:cs="Arial"/>
          <w:color w:val="002639"/>
          <w:sz w:val="20"/>
          <w:szCs w:val="20"/>
          <w:lang w:val="en"/>
        </w:rPr>
      </w:pPr>
      <w:proofErr w:type="spellStart"/>
      <w:r>
        <w:rPr>
          <w:rFonts w:ascii="Arial" w:hAnsi="Arial" w:cs="Arial"/>
          <w:color w:val="002639"/>
          <w:sz w:val="20"/>
          <w:szCs w:val="20"/>
          <w:lang w:val="en"/>
        </w:rPr>
        <w:t>Pae</w:t>
      </w:r>
      <w:proofErr w:type="spellEnd"/>
      <w:r>
        <w:rPr>
          <w:rFonts w:ascii="Arial" w:hAnsi="Arial" w:cs="Arial"/>
          <w:color w:val="002639"/>
          <w:sz w:val="20"/>
          <w:szCs w:val="20"/>
          <w:lang w:val="en"/>
        </w:rPr>
        <w:t xml:space="preserve"> </w:t>
      </w:r>
      <w:proofErr w:type="spellStart"/>
      <w:r>
        <w:rPr>
          <w:rFonts w:ascii="Arial" w:hAnsi="Arial" w:cs="Arial"/>
          <w:color w:val="002639"/>
          <w:sz w:val="20"/>
          <w:szCs w:val="20"/>
          <w:lang w:val="en"/>
        </w:rPr>
        <w:t>ora</w:t>
      </w:r>
      <w:proofErr w:type="spellEnd"/>
      <w:r>
        <w:rPr>
          <w:rFonts w:ascii="Arial" w:hAnsi="Arial" w:cs="Arial"/>
          <w:color w:val="002639"/>
          <w:sz w:val="20"/>
          <w:szCs w:val="20"/>
          <w:lang w:val="en"/>
        </w:rPr>
        <w:t xml:space="preserve"> is holistic and includes three interconnected elements: mauri </w:t>
      </w:r>
      <w:proofErr w:type="spellStart"/>
      <w:r>
        <w:rPr>
          <w:rFonts w:ascii="Arial" w:hAnsi="Arial" w:cs="Arial"/>
          <w:color w:val="002639"/>
          <w:sz w:val="20"/>
          <w:szCs w:val="20"/>
          <w:lang w:val="en"/>
        </w:rPr>
        <w:t>ora</w:t>
      </w:r>
      <w:proofErr w:type="spellEnd"/>
      <w:r>
        <w:rPr>
          <w:rFonts w:ascii="Arial" w:hAnsi="Arial" w:cs="Arial"/>
          <w:color w:val="002639"/>
          <w:sz w:val="20"/>
          <w:szCs w:val="20"/>
          <w:lang w:val="en"/>
        </w:rPr>
        <w:t xml:space="preserve">, </w:t>
      </w:r>
      <w:proofErr w:type="spellStart"/>
      <w:r>
        <w:rPr>
          <w:rFonts w:ascii="Arial" w:hAnsi="Arial" w:cs="Arial"/>
          <w:color w:val="002639"/>
          <w:sz w:val="20"/>
          <w:szCs w:val="20"/>
          <w:lang w:val="en"/>
        </w:rPr>
        <w:t>whānau</w:t>
      </w:r>
      <w:proofErr w:type="spellEnd"/>
      <w:r>
        <w:rPr>
          <w:rFonts w:ascii="Arial" w:hAnsi="Arial" w:cs="Arial"/>
          <w:color w:val="002639"/>
          <w:sz w:val="20"/>
          <w:szCs w:val="20"/>
          <w:lang w:val="en"/>
        </w:rPr>
        <w:t xml:space="preserve"> </w:t>
      </w:r>
      <w:proofErr w:type="spellStart"/>
      <w:r>
        <w:rPr>
          <w:rFonts w:ascii="Arial" w:hAnsi="Arial" w:cs="Arial"/>
          <w:color w:val="002639"/>
          <w:sz w:val="20"/>
          <w:szCs w:val="20"/>
          <w:lang w:val="en"/>
        </w:rPr>
        <w:t>ora</w:t>
      </w:r>
      <w:proofErr w:type="spellEnd"/>
      <w:r>
        <w:rPr>
          <w:rFonts w:ascii="Arial" w:hAnsi="Arial" w:cs="Arial"/>
          <w:color w:val="002639"/>
          <w:sz w:val="20"/>
          <w:szCs w:val="20"/>
          <w:lang w:val="en"/>
        </w:rPr>
        <w:t xml:space="preserve"> and </w:t>
      </w:r>
      <w:proofErr w:type="spellStart"/>
      <w:r>
        <w:rPr>
          <w:rFonts w:ascii="Arial" w:hAnsi="Arial" w:cs="Arial"/>
          <w:color w:val="002639"/>
          <w:sz w:val="20"/>
          <w:szCs w:val="20"/>
          <w:lang w:val="en"/>
        </w:rPr>
        <w:t>wai</w:t>
      </w:r>
      <w:proofErr w:type="spellEnd"/>
      <w:r>
        <w:rPr>
          <w:rFonts w:ascii="Arial" w:hAnsi="Arial" w:cs="Arial"/>
          <w:color w:val="002639"/>
          <w:sz w:val="20"/>
          <w:szCs w:val="20"/>
          <w:lang w:val="en"/>
        </w:rPr>
        <w:t xml:space="preserve"> </w:t>
      </w:r>
      <w:proofErr w:type="spellStart"/>
      <w:r>
        <w:rPr>
          <w:rFonts w:ascii="Arial" w:hAnsi="Arial" w:cs="Arial"/>
          <w:color w:val="002639"/>
          <w:sz w:val="20"/>
          <w:szCs w:val="20"/>
          <w:lang w:val="en"/>
        </w:rPr>
        <w:t>ora</w:t>
      </w:r>
      <w:proofErr w:type="spellEnd"/>
      <w:r>
        <w:rPr>
          <w:rFonts w:ascii="Arial" w:hAnsi="Arial" w:cs="Arial"/>
          <w:color w:val="002639"/>
          <w:sz w:val="20"/>
          <w:szCs w:val="20"/>
          <w:lang w:val="en"/>
        </w:rPr>
        <w:t>, which provide the foundations for three health and disability outcomes that the Government want the system to achieve.</w:t>
      </w:r>
    </w:p>
    <w:p w14:paraId="0EDFD659" w14:textId="77777777" w:rsidR="009914D0" w:rsidRDefault="009914D0" w:rsidP="00C04FF1">
      <w:pPr>
        <w:pStyle w:val="ListParagraph"/>
        <w:numPr>
          <w:ilvl w:val="0"/>
          <w:numId w:val="118"/>
        </w:numPr>
        <w:shd w:val="clear" w:color="auto" w:fill="FFFFFF"/>
        <w:spacing w:before="100" w:beforeAutospacing="1" w:after="100" w:afterAutospacing="1"/>
        <w:rPr>
          <w:rFonts w:ascii="Arial" w:hAnsi="Arial" w:cs="Arial"/>
          <w:color w:val="002639"/>
          <w:sz w:val="20"/>
          <w:szCs w:val="20"/>
          <w:lang w:val="en"/>
        </w:rPr>
      </w:pPr>
      <w:r>
        <w:rPr>
          <w:rFonts w:ascii="Arial" w:hAnsi="Arial" w:cs="Arial"/>
          <w:color w:val="002639"/>
          <w:sz w:val="20"/>
          <w:szCs w:val="20"/>
          <w:lang w:val="en"/>
        </w:rPr>
        <w:t>We live longer in good health.</w:t>
      </w:r>
    </w:p>
    <w:p w14:paraId="3C2ECB1B" w14:textId="77777777" w:rsidR="009914D0" w:rsidRDefault="009914D0" w:rsidP="00C04FF1">
      <w:pPr>
        <w:pStyle w:val="ListParagraph"/>
        <w:numPr>
          <w:ilvl w:val="0"/>
          <w:numId w:val="118"/>
        </w:numPr>
        <w:shd w:val="clear" w:color="auto" w:fill="FFFFFF"/>
        <w:spacing w:before="100" w:beforeAutospacing="1" w:after="100" w:afterAutospacing="1"/>
        <w:rPr>
          <w:rFonts w:ascii="Arial" w:hAnsi="Arial" w:cs="Arial"/>
          <w:color w:val="002639"/>
          <w:sz w:val="20"/>
          <w:szCs w:val="20"/>
          <w:lang w:val="en"/>
        </w:rPr>
      </w:pPr>
      <w:r>
        <w:rPr>
          <w:rFonts w:ascii="Arial" w:hAnsi="Arial" w:cs="Arial"/>
          <w:color w:val="002639"/>
          <w:sz w:val="20"/>
          <w:szCs w:val="20"/>
          <w:lang w:val="en"/>
        </w:rPr>
        <w:t>We have improved quality of life.</w:t>
      </w:r>
    </w:p>
    <w:p w14:paraId="6A329C2E" w14:textId="77777777" w:rsidR="009914D0" w:rsidRDefault="009914D0" w:rsidP="00C04FF1">
      <w:pPr>
        <w:pStyle w:val="ListParagraph"/>
        <w:numPr>
          <w:ilvl w:val="0"/>
          <w:numId w:val="118"/>
        </w:numPr>
        <w:shd w:val="clear" w:color="auto" w:fill="FFFFFF"/>
        <w:spacing w:before="100" w:beforeAutospacing="1" w:after="100" w:afterAutospacing="1"/>
        <w:rPr>
          <w:rFonts w:ascii="Arial" w:hAnsi="Arial" w:cs="Arial"/>
          <w:color w:val="002639"/>
          <w:sz w:val="20"/>
          <w:szCs w:val="20"/>
          <w:lang w:val="en"/>
        </w:rPr>
      </w:pPr>
      <w:r>
        <w:rPr>
          <w:rFonts w:ascii="Arial" w:hAnsi="Arial" w:cs="Arial"/>
          <w:color w:val="002639"/>
          <w:sz w:val="20"/>
          <w:szCs w:val="20"/>
          <w:lang w:val="en"/>
        </w:rPr>
        <w:t>We have health equity for Māori and all other people.</w:t>
      </w:r>
    </w:p>
    <w:p w14:paraId="329E7497" w14:textId="77777777" w:rsidR="009914D0" w:rsidRDefault="009914D0" w:rsidP="009914D0">
      <w:pPr>
        <w:spacing w:after="120" w:line="300" w:lineRule="auto"/>
        <w:rPr>
          <w:rFonts w:cs="Arial"/>
          <w:sz w:val="20"/>
          <w:szCs w:val="20"/>
        </w:rPr>
      </w:pPr>
      <w:r>
        <w:rPr>
          <w:rFonts w:ascii="Arial" w:hAnsi="Arial" w:cs="Arial"/>
          <w:sz w:val="20"/>
          <w:szCs w:val="20"/>
        </w:rPr>
        <w:t xml:space="preserve">Improving child wellbeing is one of the Government’s top five health priorities. Early </w:t>
      </w:r>
      <w:proofErr w:type="spellStart"/>
      <w:r>
        <w:rPr>
          <w:rFonts w:ascii="Arial" w:hAnsi="Arial" w:cs="Arial"/>
          <w:sz w:val="20"/>
          <w:szCs w:val="20"/>
        </w:rPr>
        <w:t>newborn</w:t>
      </w:r>
      <w:proofErr w:type="spellEnd"/>
      <w:r>
        <w:rPr>
          <w:rFonts w:ascii="Arial" w:hAnsi="Arial" w:cs="Arial"/>
          <w:sz w:val="20"/>
          <w:szCs w:val="20"/>
        </w:rPr>
        <w:t xml:space="preserve"> enrolment with general practice supports this.  Enrolment of all children at birth with a primary care provider is recommended by the Children’ Commissioner and is supported by the Paediatric Society of New Zealand to support timely engagement with health services. The objective is for </w:t>
      </w:r>
      <w:proofErr w:type="spellStart"/>
      <w:r>
        <w:rPr>
          <w:rFonts w:ascii="Arial" w:hAnsi="Arial" w:cs="Arial"/>
          <w:sz w:val="20"/>
          <w:szCs w:val="20"/>
        </w:rPr>
        <w:t>newborns</w:t>
      </w:r>
      <w:proofErr w:type="spellEnd"/>
      <w:r>
        <w:rPr>
          <w:rFonts w:ascii="Arial" w:hAnsi="Arial" w:cs="Arial"/>
          <w:sz w:val="20"/>
          <w:szCs w:val="20"/>
        </w:rPr>
        <w:t xml:space="preserve"> to be enrolled with a general practice before 6 weeks of age so that the first immunisation event will be completed on time and the general practice has the necessary time to engage with the family prior to this event.  Early enrolment also enables the detection of any health or social issues.</w:t>
      </w:r>
    </w:p>
    <w:p w14:paraId="03EBA392" w14:textId="77777777" w:rsidR="009914D0" w:rsidRDefault="009914D0" w:rsidP="009914D0">
      <w:pPr>
        <w:rPr>
          <w:rFonts w:ascii="Arial" w:hAnsi="Arial" w:cs="Times"/>
          <w:sz w:val="20"/>
          <w:szCs w:val="20"/>
          <w:lang w:eastAsia="en-GB"/>
        </w:rPr>
      </w:pPr>
    </w:p>
    <w:p w14:paraId="01EEBBEF" w14:textId="77777777" w:rsidR="009914D0" w:rsidRDefault="009914D0" w:rsidP="009914D0">
      <w:pPr>
        <w:rPr>
          <w:rFonts w:ascii="Arial" w:hAnsi="Arial" w:cs="Arial"/>
          <w:sz w:val="20"/>
          <w:szCs w:val="20"/>
        </w:rPr>
      </w:pPr>
      <w:r>
        <w:rPr>
          <w:rFonts w:ascii="Arial" w:hAnsi="Arial" w:cs="Times"/>
          <w:sz w:val="20"/>
          <w:szCs w:val="20"/>
          <w:lang w:eastAsia="en-GB"/>
        </w:rPr>
        <w:t xml:space="preserve">Since the introduction of the preliminary </w:t>
      </w:r>
      <w:proofErr w:type="spellStart"/>
      <w:r>
        <w:rPr>
          <w:rFonts w:ascii="Arial" w:hAnsi="Arial" w:cs="Times"/>
          <w:sz w:val="20"/>
          <w:szCs w:val="20"/>
          <w:lang w:eastAsia="en-GB"/>
        </w:rPr>
        <w:t>newborn</w:t>
      </w:r>
      <w:proofErr w:type="spellEnd"/>
      <w:r>
        <w:rPr>
          <w:rFonts w:ascii="Arial" w:hAnsi="Arial" w:cs="Times"/>
          <w:sz w:val="20"/>
          <w:szCs w:val="20"/>
          <w:lang w:eastAsia="en-GB"/>
        </w:rPr>
        <w:t xml:space="preserve"> enrolment policy in October 2012 there has been improvement</w:t>
      </w:r>
      <w:r>
        <w:rPr>
          <w:rFonts w:ascii="Arial" w:hAnsi="Arial" w:cs="Times"/>
          <w:strike/>
          <w:sz w:val="20"/>
          <w:szCs w:val="20"/>
          <w:lang w:eastAsia="en-GB"/>
        </w:rPr>
        <w:t xml:space="preserve">  </w:t>
      </w:r>
      <w:r>
        <w:rPr>
          <w:rFonts w:ascii="Arial" w:hAnsi="Arial" w:cs="Times"/>
          <w:sz w:val="20"/>
          <w:szCs w:val="20"/>
          <w:lang w:eastAsia="en-GB"/>
        </w:rPr>
        <w:t xml:space="preserve">in timely </w:t>
      </w:r>
      <w:proofErr w:type="spellStart"/>
      <w:r>
        <w:rPr>
          <w:rFonts w:ascii="Arial" w:hAnsi="Arial" w:cs="Times"/>
          <w:sz w:val="20"/>
          <w:szCs w:val="20"/>
          <w:lang w:eastAsia="en-GB"/>
        </w:rPr>
        <w:t>newborn</w:t>
      </w:r>
      <w:proofErr w:type="spellEnd"/>
      <w:r>
        <w:rPr>
          <w:rFonts w:ascii="Arial" w:hAnsi="Arial" w:cs="Times"/>
          <w:sz w:val="20"/>
          <w:szCs w:val="20"/>
          <w:lang w:eastAsia="en-GB"/>
        </w:rPr>
        <w:t xml:space="preserve"> enrolment. However more work is needed to continue these improvements, particularly for Maori </w:t>
      </w:r>
      <w:proofErr w:type="spellStart"/>
      <w:r>
        <w:rPr>
          <w:rFonts w:ascii="Arial" w:hAnsi="Arial" w:cs="Times"/>
          <w:sz w:val="20"/>
          <w:szCs w:val="20"/>
          <w:lang w:eastAsia="en-GB"/>
        </w:rPr>
        <w:t>newborns</w:t>
      </w:r>
      <w:proofErr w:type="spellEnd"/>
      <w:r>
        <w:rPr>
          <w:rFonts w:ascii="Arial" w:hAnsi="Arial" w:cs="Times"/>
          <w:sz w:val="20"/>
          <w:szCs w:val="20"/>
          <w:lang w:eastAsia="en-GB"/>
        </w:rPr>
        <w:t xml:space="preserve">. </w:t>
      </w:r>
      <w:r>
        <w:rPr>
          <w:rFonts w:ascii="Arial" w:hAnsi="Arial" w:cs="Arial"/>
          <w:sz w:val="20"/>
          <w:szCs w:val="20"/>
        </w:rPr>
        <w:t xml:space="preserve">Several parts of the health system are accountable for ensuring timely enrolment is achieved.  The DHB, PHO, general practice nor Lead Maternity Carer (LMC) alone can address all the issues associated with failure to enrol.  </w:t>
      </w:r>
    </w:p>
    <w:p w14:paraId="3EAC7386" w14:textId="77777777" w:rsidR="009914D0" w:rsidRDefault="009914D0" w:rsidP="009914D0">
      <w:pPr>
        <w:shd w:val="clear" w:color="auto" w:fill="FFFFFF" w:themeFill="background1"/>
        <w:rPr>
          <w:rFonts w:ascii="Arial" w:hAnsi="Arial" w:cs="Arial"/>
          <w:sz w:val="20"/>
          <w:szCs w:val="20"/>
          <w:lang w:eastAsia="en-GB"/>
        </w:rPr>
      </w:pPr>
    </w:p>
    <w:p w14:paraId="78D8C241" w14:textId="77777777" w:rsidR="009914D0" w:rsidRDefault="009914D0" w:rsidP="009914D0">
      <w:pPr>
        <w:shd w:val="clear" w:color="auto" w:fill="FFFFFF" w:themeFill="background1"/>
        <w:spacing w:before="60" w:after="60"/>
        <w:jc w:val="both"/>
        <w:rPr>
          <w:rFonts w:ascii="Arial" w:hAnsi="Arial" w:cs="Arial"/>
          <w:b/>
          <w:sz w:val="22"/>
          <w:szCs w:val="22"/>
        </w:rPr>
      </w:pPr>
      <w:r>
        <w:rPr>
          <w:rFonts w:ascii="Arial" w:hAnsi="Arial" w:cs="Arial"/>
          <w:b/>
          <w:sz w:val="22"/>
          <w:szCs w:val="22"/>
        </w:rPr>
        <w:t>Actions and activities that have a proven impact on this measure:</w:t>
      </w:r>
    </w:p>
    <w:p w14:paraId="2EA14202" w14:textId="77777777" w:rsidR="009914D0" w:rsidRDefault="009914D0" w:rsidP="00C04FF1">
      <w:pPr>
        <w:pStyle w:val="ListParagraph"/>
        <w:numPr>
          <w:ilvl w:val="0"/>
          <w:numId w:val="119"/>
        </w:numPr>
        <w:shd w:val="clear" w:color="auto" w:fill="FFFFFF" w:themeFill="background1"/>
        <w:spacing w:before="60" w:after="60"/>
        <w:ind w:left="360"/>
        <w:jc w:val="both"/>
        <w:rPr>
          <w:rFonts w:ascii="Arial" w:hAnsi="Arial" w:cs="Arial"/>
          <w:sz w:val="20"/>
          <w:szCs w:val="20"/>
        </w:rPr>
      </w:pPr>
      <w:r>
        <w:rPr>
          <w:rFonts w:ascii="Arial" w:hAnsi="Arial" w:cs="Arial"/>
          <w:sz w:val="20"/>
          <w:szCs w:val="20"/>
        </w:rPr>
        <w:t xml:space="preserve">The LMC having a conversation with the pregnant woman about the importance of enrolling her </w:t>
      </w:r>
      <w:proofErr w:type="spellStart"/>
      <w:r>
        <w:rPr>
          <w:rFonts w:ascii="Arial" w:hAnsi="Arial" w:cs="Arial"/>
          <w:sz w:val="20"/>
          <w:szCs w:val="20"/>
        </w:rPr>
        <w:t>newborn</w:t>
      </w:r>
      <w:proofErr w:type="spellEnd"/>
      <w:r>
        <w:rPr>
          <w:rFonts w:ascii="Arial" w:hAnsi="Arial" w:cs="Arial"/>
          <w:sz w:val="20"/>
          <w:szCs w:val="20"/>
        </w:rPr>
        <w:t xml:space="preserve">(s) in 0-5 universal services </w:t>
      </w:r>
      <w:proofErr w:type="spellStart"/>
      <w:r>
        <w:rPr>
          <w:rFonts w:ascii="Arial" w:hAnsi="Arial" w:cs="Arial"/>
          <w:sz w:val="20"/>
          <w:szCs w:val="20"/>
        </w:rPr>
        <w:t>eg</w:t>
      </w:r>
      <w:proofErr w:type="spellEnd"/>
      <w:r>
        <w:rPr>
          <w:rFonts w:ascii="Arial" w:hAnsi="Arial" w:cs="Arial"/>
          <w:sz w:val="20"/>
          <w:szCs w:val="20"/>
        </w:rPr>
        <w:t xml:space="preserve"> general practice, the National Immunisation Register (NIR), Well Child Tamariki Ora, the Oral Health Community service, the Universal </w:t>
      </w:r>
      <w:proofErr w:type="spellStart"/>
      <w:r>
        <w:rPr>
          <w:rFonts w:ascii="Arial" w:hAnsi="Arial" w:cs="Arial"/>
          <w:sz w:val="20"/>
          <w:szCs w:val="20"/>
        </w:rPr>
        <w:t>Newborn</w:t>
      </w:r>
      <w:proofErr w:type="spellEnd"/>
      <w:r>
        <w:rPr>
          <w:rFonts w:ascii="Arial" w:hAnsi="Arial" w:cs="Arial"/>
          <w:sz w:val="20"/>
          <w:szCs w:val="20"/>
        </w:rPr>
        <w:t xml:space="preserve"> Hearing Screening Intervention Programme</w:t>
      </w:r>
    </w:p>
    <w:p w14:paraId="7B6E0D15" w14:textId="77777777" w:rsidR="009914D0" w:rsidRDefault="009914D0" w:rsidP="00C04FF1">
      <w:pPr>
        <w:pStyle w:val="ListParagraph"/>
        <w:numPr>
          <w:ilvl w:val="0"/>
          <w:numId w:val="119"/>
        </w:numPr>
        <w:shd w:val="clear" w:color="auto" w:fill="FFFFFF" w:themeFill="background1"/>
        <w:spacing w:before="60" w:after="60"/>
        <w:ind w:left="360"/>
        <w:jc w:val="both"/>
        <w:rPr>
          <w:rFonts w:ascii="Arial" w:hAnsi="Arial" w:cs="Arial"/>
          <w:sz w:val="20"/>
          <w:szCs w:val="20"/>
        </w:rPr>
      </w:pPr>
      <w:r>
        <w:rPr>
          <w:rFonts w:ascii="Arial" w:hAnsi="Arial" w:cs="Arial"/>
          <w:sz w:val="20"/>
          <w:szCs w:val="20"/>
        </w:rPr>
        <w:t>The LMC liaising with the woman’s general practice during pregnancy and post-partum</w:t>
      </w:r>
    </w:p>
    <w:p w14:paraId="47F8CDF9" w14:textId="77777777" w:rsidR="009914D0" w:rsidRDefault="009914D0" w:rsidP="00C04FF1">
      <w:pPr>
        <w:pStyle w:val="ListParagraph"/>
        <w:numPr>
          <w:ilvl w:val="0"/>
          <w:numId w:val="119"/>
        </w:numPr>
        <w:shd w:val="clear" w:color="auto" w:fill="FFFFFF" w:themeFill="background1"/>
        <w:ind w:left="360"/>
        <w:jc w:val="both"/>
        <w:rPr>
          <w:rFonts w:ascii="Arial" w:hAnsi="Arial" w:cs="Arial"/>
          <w:color w:val="000000"/>
          <w:sz w:val="20"/>
          <w:szCs w:val="20"/>
        </w:rPr>
      </w:pPr>
      <w:r>
        <w:rPr>
          <w:rFonts w:ascii="Arial" w:hAnsi="Arial" w:cs="Arial"/>
          <w:color w:val="000000"/>
          <w:sz w:val="20"/>
          <w:szCs w:val="20"/>
        </w:rPr>
        <w:t>Hospital staff ensuring details are entered accurately into electronic systems and ensuring the notification is promptly sent through to the nominated provider.</w:t>
      </w:r>
    </w:p>
    <w:p w14:paraId="2F02A04D" w14:textId="77777777" w:rsidR="009914D0" w:rsidRDefault="009914D0" w:rsidP="00C04FF1">
      <w:pPr>
        <w:pStyle w:val="ListParagraph"/>
        <w:numPr>
          <w:ilvl w:val="0"/>
          <w:numId w:val="119"/>
        </w:numPr>
        <w:shd w:val="clear" w:color="auto" w:fill="FFFFFF" w:themeFill="background1"/>
        <w:spacing w:before="60" w:after="60"/>
        <w:ind w:left="360"/>
        <w:jc w:val="both"/>
        <w:rPr>
          <w:rFonts w:ascii="Arial" w:hAnsi="Arial" w:cs="Arial"/>
          <w:sz w:val="20"/>
          <w:szCs w:val="20"/>
        </w:rPr>
      </w:pPr>
      <w:r>
        <w:rPr>
          <w:rFonts w:ascii="Arial" w:hAnsi="Arial" w:cs="Arial"/>
          <w:sz w:val="20"/>
          <w:szCs w:val="20"/>
        </w:rPr>
        <w:t>General practice actioning the NIR provider nomination promptly by accepting or declining the nomination.</w:t>
      </w:r>
    </w:p>
    <w:p w14:paraId="12CC7175" w14:textId="77777777" w:rsidR="009914D0" w:rsidRDefault="009914D0" w:rsidP="00C04FF1">
      <w:pPr>
        <w:pStyle w:val="ListParagraph"/>
        <w:numPr>
          <w:ilvl w:val="0"/>
          <w:numId w:val="119"/>
        </w:numPr>
        <w:shd w:val="clear" w:color="auto" w:fill="FFFFFF" w:themeFill="background1"/>
        <w:spacing w:before="60" w:after="60"/>
        <w:ind w:left="360"/>
        <w:jc w:val="both"/>
        <w:rPr>
          <w:rFonts w:ascii="Arial" w:hAnsi="Arial" w:cs="Arial"/>
          <w:sz w:val="20"/>
          <w:szCs w:val="20"/>
        </w:rPr>
      </w:pPr>
      <w:r>
        <w:rPr>
          <w:rFonts w:ascii="Arial" w:hAnsi="Arial" w:cs="Arial"/>
          <w:sz w:val="20"/>
          <w:szCs w:val="20"/>
        </w:rPr>
        <w:lastRenderedPageBreak/>
        <w:t xml:space="preserve">PHOs working closely with their practices to ensure the practical suggestions provided in the “Enrolling Babies at Birth” resource (published May 2014) are implemented in practice processes. </w:t>
      </w:r>
      <w:hyperlink r:id="rId17" w:history="1">
        <w:r>
          <w:rPr>
            <w:rStyle w:val="Hyperlink"/>
            <w:rFonts w:ascii="Arial" w:hAnsi="Arial" w:cs="Arial"/>
            <w:sz w:val="20"/>
            <w:szCs w:val="20"/>
          </w:rPr>
          <w:t>https://www.health.govt.nz/publication/enrolling-babies-birth</w:t>
        </w:r>
      </w:hyperlink>
    </w:p>
    <w:p w14:paraId="482953EB" w14:textId="77777777" w:rsidR="009914D0" w:rsidRDefault="009914D0" w:rsidP="009914D0">
      <w:pPr>
        <w:shd w:val="clear" w:color="auto" w:fill="FFFFFF" w:themeFill="background1"/>
        <w:spacing w:before="60" w:after="60"/>
        <w:jc w:val="both"/>
        <w:rPr>
          <w:rFonts w:ascii="Arial" w:hAnsi="Arial" w:cs="Arial"/>
          <w:sz w:val="20"/>
          <w:szCs w:val="20"/>
        </w:rPr>
      </w:pPr>
      <w:r>
        <w:rPr>
          <w:rFonts w:ascii="Arial" w:hAnsi="Arial" w:cs="Arial"/>
          <w:sz w:val="20"/>
          <w:szCs w:val="20"/>
        </w:rPr>
        <w:t xml:space="preserve"> DHBs and PHOs ensuring there is a process for finding alternative general practices for babies declined by the nominated provider and for enrolling babies who do not have a nominated provider.</w:t>
      </w:r>
    </w:p>
    <w:p w14:paraId="748543F9" w14:textId="77777777" w:rsidR="009914D0" w:rsidRDefault="009914D0" w:rsidP="009914D0">
      <w:pPr>
        <w:shd w:val="clear" w:color="auto" w:fill="FFFFFF"/>
        <w:spacing w:before="60"/>
        <w:jc w:val="both"/>
        <w:rPr>
          <w:rFonts w:ascii="Arial" w:hAnsi="Arial" w:cs="Arial"/>
          <w:b/>
          <w:sz w:val="22"/>
          <w:szCs w:val="22"/>
        </w:rPr>
      </w:pPr>
    </w:p>
    <w:p w14:paraId="378D8CFC" w14:textId="77777777" w:rsidR="009914D0" w:rsidRDefault="009914D0" w:rsidP="009914D0">
      <w:pPr>
        <w:shd w:val="clear" w:color="auto" w:fill="FFFFFF"/>
        <w:spacing w:before="60"/>
        <w:ind w:left="-142"/>
        <w:jc w:val="both"/>
        <w:rPr>
          <w:rFonts w:ascii="Arial" w:hAnsi="Arial" w:cs="Arial"/>
          <w:b/>
          <w:sz w:val="16"/>
          <w:szCs w:val="16"/>
        </w:rPr>
      </w:pPr>
      <w:proofErr w:type="gramStart"/>
      <w:r>
        <w:rPr>
          <w:rFonts w:ascii="Arial" w:hAnsi="Arial" w:cs="Arial"/>
          <w:b/>
          <w:sz w:val="22"/>
          <w:szCs w:val="22"/>
        </w:rPr>
        <w:t>Deliverables</w:t>
      </w:r>
      <w:proofErr w:type="gramEnd"/>
      <w:r>
        <w:rPr>
          <w:rFonts w:ascii="Arial" w:hAnsi="Arial" w:cs="Arial"/>
          <w:b/>
          <w:sz w:val="22"/>
          <w:szCs w:val="22"/>
        </w:rPr>
        <w:t xml:space="preserve"> definitions</w:t>
      </w:r>
    </w:p>
    <w:p w14:paraId="4C667E2E" w14:textId="77777777" w:rsidR="009914D0" w:rsidRDefault="009914D0" w:rsidP="009914D0">
      <w:pPr>
        <w:autoSpaceDE w:val="0"/>
        <w:autoSpaceDN w:val="0"/>
        <w:adjustRightInd w:val="0"/>
        <w:rPr>
          <w:rFonts w:ascii="Symbol" w:hAnsi="Symbol" w:cs="Symbol"/>
          <w:color w:val="000000"/>
          <w:lang w:eastAsia="en-NZ"/>
        </w:rPr>
      </w:pPr>
    </w:p>
    <w:p w14:paraId="1303945D" w14:textId="77777777" w:rsidR="009914D0" w:rsidRDefault="009914D0" w:rsidP="009914D0">
      <w:pPr>
        <w:shd w:val="clear" w:color="auto" w:fill="FABF8F" w:themeFill="accent6" w:themeFillTint="99"/>
        <w:spacing w:before="120" w:after="60"/>
        <w:ind w:left="-142"/>
        <w:jc w:val="both"/>
        <w:rPr>
          <w:rFonts w:ascii="Arial" w:hAnsi="Arial" w:cs="Arial"/>
          <w:b/>
          <w:sz w:val="20"/>
          <w:szCs w:val="20"/>
        </w:rPr>
      </w:pPr>
      <w:r>
        <w:rPr>
          <w:rFonts w:ascii="Arial" w:hAnsi="Arial" w:cs="Arial"/>
          <w:b/>
          <w:sz w:val="20"/>
          <w:szCs w:val="20"/>
        </w:rPr>
        <w:t>Quantitative deliverables</w:t>
      </w:r>
    </w:p>
    <w:p w14:paraId="0B5F6B9C" w14:textId="77777777" w:rsidR="009914D0" w:rsidRDefault="009914D0" w:rsidP="009914D0">
      <w:pPr>
        <w:jc w:val="both"/>
        <w:rPr>
          <w:rFonts w:ascii="Arial" w:hAnsi="Arial" w:cs="Arial"/>
          <w:sz w:val="20"/>
          <w:szCs w:val="20"/>
          <w:lang w:eastAsia="en-GB"/>
        </w:rPr>
      </w:pPr>
      <w:r>
        <w:rPr>
          <w:rFonts w:ascii="Arial" w:hAnsi="Arial" w:cs="Arial"/>
          <w:sz w:val="20"/>
          <w:szCs w:val="20"/>
          <w:lang w:eastAsia="en-GB"/>
        </w:rPr>
        <w:t xml:space="preserve">Data is allocated to DHB on the basis of </w:t>
      </w:r>
      <w:proofErr w:type="spellStart"/>
      <w:r>
        <w:rPr>
          <w:rFonts w:ascii="Arial" w:hAnsi="Arial" w:cs="Arial"/>
          <w:sz w:val="20"/>
          <w:szCs w:val="20"/>
          <w:lang w:eastAsia="en-GB"/>
        </w:rPr>
        <w:t>newborn</w:t>
      </w:r>
      <w:proofErr w:type="spellEnd"/>
      <w:r>
        <w:rPr>
          <w:rFonts w:ascii="Arial" w:hAnsi="Arial" w:cs="Arial"/>
          <w:sz w:val="20"/>
          <w:szCs w:val="20"/>
          <w:lang w:eastAsia="en-GB"/>
        </w:rPr>
        <w:t xml:space="preserve"> domicile. Data presented as rolling three months (one month in </w:t>
      </w:r>
      <w:proofErr w:type="spellStart"/>
      <w:r>
        <w:rPr>
          <w:rFonts w:ascii="Arial" w:hAnsi="Arial" w:cs="Arial"/>
          <w:sz w:val="20"/>
          <w:szCs w:val="20"/>
          <w:lang w:eastAsia="en-GB"/>
        </w:rPr>
        <w:t>arreas</w:t>
      </w:r>
      <w:proofErr w:type="spellEnd"/>
      <w:r>
        <w:rPr>
          <w:rFonts w:ascii="Arial" w:hAnsi="Arial" w:cs="Arial"/>
          <w:sz w:val="20"/>
          <w:szCs w:val="20"/>
          <w:lang w:eastAsia="en-GB"/>
        </w:rPr>
        <w:t xml:space="preserve"> of reporting period as outlined below)</w:t>
      </w:r>
    </w:p>
    <w:p w14:paraId="66AFFF82" w14:textId="77777777" w:rsidR="009914D0" w:rsidRDefault="009914D0" w:rsidP="009914D0">
      <w:pPr>
        <w:jc w:val="both"/>
        <w:rPr>
          <w:rFonts w:ascii="Arial" w:hAnsi="Arial" w:cs="Arial"/>
          <w:sz w:val="20"/>
          <w:szCs w:val="20"/>
          <w:lang w:eastAsia="en-GB"/>
        </w:rPr>
      </w:pPr>
    </w:p>
    <w:p w14:paraId="08EA1524" w14:textId="77777777" w:rsidR="009914D0" w:rsidRDefault="009914D0" w:rsidP="009914D0">
      <w:pPr>
        <w:jc w:val="both"/>
        <w:rPr>
          <w:rFonts w:ascii="Arial" w:hAnsi="Arial" w:cs="Arial"/>
          <w:b/>
          <w:sz w:val="22"/>
          <w:szCs w:val="22"/>
          <w:lang w:eastAsia="en-GB"/>
        </w:rPr>
      </w:pPr>
      <w:r>
        <w:rPr>
          <w:rFonts w:ascii="Arial" w:hAnsi="Arial" w:cs="Arial"/>
          <w:b/>
          <w:sz w:val="22"/>
          <w:szCs w:val="22"/>
          <w:lang w:eastAsia="en-GB"/>
        </w:rPr>
        <w:t>Measure 1</w:t>
      </w:r>
    </w:p>
    <w:p w14:paraId="1739C3AC" w14:textId="77777777" w:rsidR="009914D0" w:rsidRDefault="009914D0" w:rsidP="009914D0">
      <w:pPr>
        <w:autoSpaceDE w:val="0"/>
        <w:autoSpaceDN w:val="0"/>
        <w:adjustRightInd w:val="0"/>
        <w:spacing w:after="289"/>
        <w:contextualSpacing/>
        <w:rPr>
          <w:rFonts w:ascii="Arial" w:hAnsi="Arial" w:cs="Arial"/>
          <w:color w:val="000000"/>
          <w:sz w:val="22"/>
          <w:szCs w:val="22"/>
          <w:lang w:eastAsia="en-NZ"/>
        </w:rPr>
      </w:pPr>
      <w:r>
        <w:rPr>
          <w:rFonts w:ascii="Arial" w:hAnsi="Arial" w:cs="Arial"/>
          <w:color w:val="000000"/>
          <w:sz w:val="22"/>
          <w:szCs w:val="22"/>
          <w:lang w:eastAsia="en-NZ"/>
        </w:rPr>
        <w:t xml:space="preserve">55 percent of </w:t>
      </w:r>
      <w:proofErr w:type="spellStart"/>
      <w:r>
        <w:rPr>
          <w:rFonts w:ascii="Arial" w:hAnsi="Arial" w:cs="Arial"/>
          <w:color w:val="000000"/>
          <w:sz w:val="22"/>
          <w:szCs w:val="22"/>
          <w:lang w:eastAsia="en-NZ"/>
        </w:rPr>
        <w:t>newborns</w:t>
      </w:r>
      <w:proofErr w:type="spellEnd"/>
      <w:r>
        <w:rPr>
          <w:rFonts w:ascii="Arial" w:hAnsi="Arial" w:cs="Arial"/>
          <w:color w:val="000000"/>
          <w:sz w:val="22"/>
          <w:szCs w:val="22"/>
          <w:lang w:eastAsia="en-NZ"/>
        </w:rPr>
        <w:t xml:space="preserve"> enrolled with a general practice by 6 weeks of age  </w:t>
      </w:r>
    </w:p>
    <w:p w14:paraId="1E145CCD" w14:textId="77777777" w:rsidR="009914D0" w:rsidRDefault="009914D0" w:rsidP="009914D0">
      <w:pPr>
        <w:shd w:val="clear" w:color="auto" w:fill="FFFFFF" w:themeFill="background1"/>
        <w:autoSpaceDE w:val="0"/>
        <w:autoSpaceDN w:val="0"/>
        <w:adjustRightInd w:val="0"/>
        <w:spacing w:after="289"/>
        <w:ind w:left="720"/>
        <w:contextualSpacing/>
        <w:rPr>
          <w:rFonts w:ascii="Arial" w:hAnsi="Arial" w:cs="Arial"/>
          <w:b/>
          <w:sz w:val="22"/>
          <w:szCs w:val="22"/>
        </w:rPr>
      </w:pPr>
      <w:r>
        <w:rPr>
          <w:rFonts w:ascii="Arial" w:hAnsi="Arial" w:cs="Arial"/>
          <w:b/>
          <w:sz w:val="22"/>
          <w:szCs w:val="22"/>
        </w:rPr>
        <w:t xml:space="preserve">Numerator: </w:t>
      </w:r>
    </w:p>
    <w:p w14:paraId="0E38EA9C"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The total number of babies on the National Immunisation Register (NIR) aged 6 weeks</w:t>
      </w:r>
    </w:p>
    <w:p w14:paraId="388D16BF"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Data source: NIR</w:t>
      </w:r>
    </w:p>
    <w:p w14:paraId="17AE8072" w14:textId="77777777" w:rsidR="009914D0" w:rsidRDefault="009914D0" w:rsidP="009914D0">
      <w:pPr>
        <w:shd w:val="clear" w:color="auto" w:fill="FFFFFF" w:themeFill="background1"/>
        <w:spacing w:before="60" w:after="60"/>
        <w:ind w:left="720"/>
        <w:contextualSpacing/>
        <w:rPr>
          <w:rFonts w:ascii="Arial" w:hAnsi="Arial" w:cs="Arial"/>
          <w:b/>
          <w:sz w:val="22"/>
          <w:szCs w:val="22"/>
        </w:rPr>
      </w:pPr>
      <w:r>
        <w:rPr>
          <w:rFonts w:ascii="Arial" w:hAnsi="Arial" w:cs="Arial"/>
          <w:b/>
          <w:sz w:val="22"/>
          <w:szCs w:val="22"/>
        </w:rPr>
        <w:t xml:space="preserve">Denominator: </w:t>
      </w:r>
    </w:p>
    <w:p w14:paraId="1C824DD6"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The total number of babies pre-enrolled or enrolled on the National Enrolment Service (NES)</w:t>
      </w:r>
    </w:p>
    <w:p w14:paraId="4DF0DBF7"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Data source: NES</w:t>
      </w:r>
    </w:p>
    <w:p w14:paraId="2C3368AD" w14:textId="77777777" w:rsidR="009914D0" w:rsidRDefault="009914D0" w:rsidP="009914D0">
      <w:pPr>
        <w:jc w:val="both"/>
        <w:rPr>
          <w:rFonts w:ascii="Arial" w:hAnsi="Arial" w:cs="Arial"/>
          <w:sz w:val="22"/>
          <w:szCs w:val="22"/>
          <w:lang w:eastAsia="en-GB"/>
        </w:rPr>
      </w:pPr>
    </w:p>
    <w:p w14:paraId="4B43756F" w14:textId="77777777" w:rsidR="009914D0" w:rsidRDefault="009914D0" w:rsidP="009914D0">
      <w:pPr>
        <w:jc w:val="both"/>
        <w:rPr>
          <w:rFonts w:ascii="Arial" w:hAnsi="Arial" w:cs="Arial"/>
          <w:b/>
          <w:sz w:val="22"/>
          <w:szCs w:val="22"/>
          <w:lang w:eastAsia="en-GB"/>
        </w:rPr>
      </w:pPr>
      <w:r>
        <w:rPr>
          <w:rFonts w:ascii="Arial" w:hAnsi="Arial" w:cs="Arial"/>
          <w:b/>
          <w:sz w:val="22"/>
          <w:szCs w:val="22"/>
          <w:lang w:eastAsia="en-GB"/>
        </w:rPr>
        <w:t>Measure 2</w:t>
      </w:r>
    </w:p>
    <w:p w14:paraId="75FD1330" w14:textId="77777777" w:rsidR="009914D0" w:rsidRDefault="009914D0" w:rsidP="009914D0">
      <w:pPr>
        <w:jc w:val="both"/>
        <w:rPr>
          <w:rFonts w:ascii="Arial" w:hAnsi="Arial" w:cs="Arial"/>
          <w:color w:val="000000"/>
          <w:sz w:val="22"/>
          <w:szCs w:val="22"/>
          <w:lang w:eastAsia="en-NZ"/>
        </w:rPr>
      </w:pPr>
      <w:r>
        <w:rPr>
          <w:rFonts w:ascii="Arial" w:hAnsi="Arial" w:cs="Arial"/>
          <w:color w:val="000000"/>
          <w:sz w:val="22"/>
          <w:szCs w:val="22"/>
          <w:lang w:eastAsia="en-NZ"/>
        </w:rPr>
        <w:t xml:space="preserve">85 percent of </w:t>
      </w:r>
      <w:proofErr w:type="spellStart"/>
      <w:r>
        <w:rPr>
          <w:rFonts w:ascii="Arial" w:hAnsi="Arial" w:cs="Arial"/>
          <w:color w:val="000000"/>
          <w:sz w:val="22"/>
          <w:szCs w:val="22"/>
          <w:lang w:eastAsia="en-NZ"/>
        </w:rPr>
        <w:t>newborns</w:t>
      </w:r>
      <w:proofErr w:type="spellEnd"/>
      <w:r>
        <w:rPr>
          <w:rFonts w:ascii="Arial" w:hAnsi="Arial" w:cs="Arial"/>
          <w:color w:val="000000"/>
          <w:sz w:val="22"/>
          <w:szCs w:val="22"/>
          <w:lang w:eastAsia="en-NZ"/>
        </w:rPr>
        <w:t xml:space="preserve"> enrolled with a general practice by 3 months of age </w:t>
      </w:r>
    </w:p>
    <w:p w14:paraId="08D61FE9" w14:textId="77777777" w:rsidR="009914D0" w:rsidRDefault="009914D0" w:rsidP="009914D0">
      <w:pPr>
        <w:shd w:val="clear" w:color="auto" w:fill="FFFFFF" w:themeFill="background1"/>
        <w:spacing w:before="60" w:after="60"/>
        <w:ind w:left="720"/>
        <w:contextualSpacing/>
        <w:jc w:val="both"/>
        <w:rPr>
          <w:rFonts w:ascii="Arial" w:hAnsi="Arial" w:cs="Arial"/>
          <w:b/>
          <w:sz w:val="22"/>
          <w:szCs w:val="22"/>
        </w:rPr>
      </w:pPr>
      <w:r>
        <w:rPr>
          <w:rFonts w:ascii="Arial" w:hAnsi="Arial" w:cs="Arial"/>
          <w:b/>
          <w:sz w:val="22"/>
          <w:szCs w:val="22"/>
        </w:rPr>
        <w:t xml:space="preserve">Numerator: </w:t>
      </w:r>
    </w:p>
    <w:p w14:paraId="1992F0B5"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The total number of babies on the National Immunisation Register (NIR) aged 3 months</w:t>
      </w:r>
    </w:p>
    <w:p w14:paraId="35291909"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Data source: NIR</w:t>
      </w:r>
    </w:p>
    <w:p w14:paraId="04B23A7A" w14:textId="77777777" w:rsidR="009914D0" w:rsidRDefault="009914D0" w:rsidP="009914D0">
      <w:pPr>
        <w:shd w:val="clear" w:color="auto" w:fill="FFFFFF" w:themeFill="background1"/>
        <w:spacing w:before="60" w:after="60"/>
        <w:ind w:left="720"/>
        <w:contextualSpacing/>
        <w:jc w:val="both"/>
        <w:rPr>
          <w:rFonts w:ascii="Arial" w:hAnsi="Arial" w:cs="Arial"/>
          <w:b/>
          <w:sz w:val="22"/>
          <w:szCs w:val="22"/>
        </w:rPr>
      </w:pPr>
      <w:r>
        <w:rPr>
          <w:rFonts w:ascii="Arial" w:hAnsi="Arial" w:cs="Arial"/>
          <w:b/>
          <w:sz w:val="22"/>
          <w:szCs w:val="22"/>
        </w:rPr>
        <w:t xml:space="preserve">Denominator: </w:t>
      </w:r>
    </w:p>
    <w:p w14:paraId="447A0362" w14:textId="77777777" w:rsidR="009914D0" w:rsidRDefault="009914D0" w:rsidP="009914D0">
      <w:pPr>
        <w:shd w:val="clear" w:color="auto" w:fill="FFFFFF" w:themeFill="background1"/>
        <w:spacing w:before="60" w:after="60"/>
        <w:ind w:left="720"/>
        <w:contextualSpacing/>
        <w:rPr>
          <w:rFonts w:ascii="Arial" w:hAnsi="Arial" w:cs="Arial"/>
          <w:sz w:val="20"/>
          <w:szCs w:val="20"/>
        </w:rPr>
      </w:pPr>
      <w:r>
        <w:rPr>
          <w:rFonts w:ascii="Arial" w:hAnsi="Arial" w:cs="Arial"/>
          <w:sz w:val="20"/>
          <w:szCs w:val="20"/>
        </w:rPr>
        <w:t>The total number of babies pre-enrolled or enrolled on the National Enrolment Service (NES)</w:t>
      </w:r>
    </w:p>
    <w:p w14:paraId="17E08EC3" w14:textId="77777777" w:rsidR="009914D0" w:rsidRDefault="009914D0" w:rsidP="009914D0">
      <w:pPr>
        <w:shd w:val="clear" w:color="auto" w:fill="FFFFFF" w:themeFill="background1"/>
        <w:spacing w:before="60" w:after="60"/>
        <w:ind w:left="720"/>
        <w:contextualSpacing/>
        <w:rPr>
          <w:rFonts w:ascii="Arial" w:hAnsi="Arial" w:cs="Arial"/>
          <w:b/>
          <w:sz w:val="22"/>
          <w:szCs w:val="22"/>
        </w:rPr>
      </w:pPr>
      <w:r>
        <w:rPr>
          <w:rFonts w:ascii="Arial" w:hAnsi="Arial" w:cs="Arial"/>
          <w:sz w:val="20"/>
          <w:szCs w:val="20"/>
        </w:rPr>
        <w:t>Data source: NES</w:t>
      </w:r>
    </w:p>
    <w:p w14:paraId="1CD17F3F" w14:textId="77777777" w:rsidR="009914D0" w:rsidRDefault="009914D0" w:rsidP="009914D0">
      <w:pPr>
        <w:shd w:val="clear" w:color="auto" w:fill="FFFFFF"/>
        <w:spacing w:before="60"/>
        <w:jc w:val="both"/>
        <w:rPr>
          <w:rFonts w:ascii="Arial" w:hAnsi="Arial" w:cs="Arial"/>
          <w:sz w:val="16"/>
          <w:szCs w:val="16"/>
        </w:rPr>
      </w:pPr>
    </w:p>
    <w:p w14:paraId="2C0B5467" w14:textId="77777777" w:rsidR="009914D0" w:rsidRDefault="009914D0" w:rsidP="009914D0">
      <w:pPr>
        <w:pStyle w:val="SubOne"/>
        <w:shd w:val="clear" w:color="auto" w:fill="FFFFFF"/>
        <w:spacing w:before="60" w:after="60"/>
        <w:jc w:val="both"/>
        <w:rPr>
          <w:sz w:val="20"/>
          <w:szCs w:val="20"/>
        </w:rPr>
      </w:pPr>
      <w:r>
        <w:rPr>
          <w:sz w:val="20"/>
          <w:szCs w:val="20"/>
        </w:rPr>
        <w:t xml:space="preserve">Reporting Period </w:t>
      </w:r>
    </w:p>
    <w:tbl>
      <w:tblP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229"/>
      </w:tblGrid>
      <w:tr w:rsidR="009914D0" w14:paraId="6DABCBB2" w14:textId="77777777" w:rsidTr="009914D0">
        <w:tc>
          <w:tcPr>
            <w:tcW w:w="18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9B1B5F4" w14:textId="77777777" w:rsidR="009914D0" w:rsidRDefault="009914D0">
            <w:pPr>
              <w:spacing w:before="60" w:after="60" w:line="256" w:lineRule="auto"/>
              <w:jc w:val="both"/>
              <w:rPr>
                <w:rFonts w:ascii="Arial" w:hAnsi="Arial" w:cs="Arial"/>
                <w:b/>
                <w:sz w:val="20"/>
                <w:szCs w:val="20"/>
              </w:rPr>
            </w:pPr>
            <w:r>
              <w:rPr>
                <w:rFonts w:ascii="Arial" w:hAnsi="Arial" w:cs="Arial"/>
                <w:b/>
                <w:sz w:val="20"/>
                <w:szCs w:val="20"/>
              </w:rPr>
              <w:t xml:space="preserve">Quarter </w:t>
            </w:r>
          </w:p>
        </w:tc>
        <w:tc>
          <w:tcPr>
            <w:tcW w:w="622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19E36DE" w14:textId="77777777" w:rsidR="009914D0" w:rsidRDefault="009914D0">
            <w:pPr>
              <w:spacing w:before="60" w:after="60" w:line="256" w:lineRule="auto"/>
              <w:jc w:val="both"/>
              <w:rPr>
                <w:rFonts w:ascii="Arial" w:hAnsi="Arial" w:cs="Arial"/>
                <w:b/>
                <w:sz w:val="20"/>
                <w:szCs w:val="20"/>
              </w:rPr>
            </w:pPr>
            <w:r>
              <w:rPr>
                <w:rFonts w:ascii="Arial" w:hAnsi="Arial" w:cs="Arial"/>
                <w:b/>
                <w:sz w:val="20"/>
                <w:szCs w:val="20"/>
              </w:rPr>
              <w:t>For the time period</w:t>
            </w:r>
          </w:p>
        </w:tc>
      </w:tr>
      <w:tr w:rsidR="009914D0" w14:paraId="7A570B25" w14:textId="77777777" w:rsidTr="009914D0">
        <w:tc>
          <w:tcPr>
            <w:tcW w:w="1843" w:type="dxa"/>
            <w:tcBorders>
              <w:top w:val="single" w:sz="4" w:space="0" w:color="auto"/>
              <w:left w:val="single" w:sz="4" w:space="0" w:color="auto"/>
              <w:bottom w:val="single" w:sz="4" w:space="0" w:color="auto"/>
              <w:right w:val="single" w:sz="4" w:space="0" w:color="auto"/>
            </w:tcBorders>
            <w:hideMark/>
          </w:tcPr>
          <w:p w14:paraId="72B25ED3"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Quarter 1 (July – September)</w:t>
            </w:r>
          </w:p>
        </w:tc>
        <w:tc>
          <w:tcPr>
            <w:tcW w:w="6229" w:type="dxa"/>
            <w:tcBorders>
              <w:top w:val="single" w:sz="4" w:space="0" w:color="auto"/>
              <w:left w:val="single" w:sz="4" w:space="0" w:color="auto"/>
              <w:bottom w:val="single" w:sz="4" w:space="0" w:color="auto"/>
              <w:right w:val="single" w:sz="4" w:space="0" w:color="auto"/>
            </w:tcBorders>
            <w:hideMark/>
          </w:tcPr>
          <w:p w14:paraId="3FECCBE6"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 xml:space="preserve">Data to cover the </w:t>
            </w:r>
            <w:proofErr w:type="gramStart"/>
            <w:r>
              <w:rPr>
                <w:rFonts w:ascii="Arial" w:hAnsi="Arial" w:cs="Arial"/>
                <w:sz w:val="20"/>
                <w:szCs w:val="20"/>
              </w:rPr>
              <w:t>three month</w:t>
            </w:r>
            <w:proofErr w:type="gramEnd"/>
            <w:r>
              <w:rPr>
                <w:rFonts w:ascii="Arial" w:hAnsi="Arial" w:cs="Arial"/>
                <w:sz w:val="20"/>
                <w:szCs w:val="20"/>
              </w:rPr>
              <w:t xml:space="preserve"> period 16 June to 15 September</w:t>
            </w:r>
          </w:p>
        </w:tc>
      </w:tr>
      <w:tr w:rsidR="009914D0" w14:paraId="17108775" w14:textId="77777777" w:rsidTr="009914D0">
        <w:trPr>
          <w:trHeight w:val="309"/>
        </w:trPr>
        <w:tc>
          <w:tcPr>
            <w:tcW w:w="1843" w:type="dxa"/>
            <w:tcBorders>
              <w:top w:val="single" w:sz="4" w:space="0" w:color="auto"/>
              <w:left w:val="single" w:sz="4" w:space="0" w:color="auto"/>
              <w:bottom w:val="single" w:sz="4" w:space="0" w:color="auto"/>
              <w:right w:val="single" w:sz="4" w:space="0" w:color="auto"/>
            </w:tcBorders>
            <w:hideMark/>
          </w:tcPr>
          <w:p w14:paraId="78538D6A"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Quarter 2  (October -December)</w:t>
            </w:r>
          </w:p>
        </w:tc>
        <w:tc>
          <w:tcPr>
            <w:tcW w:w="6229" w:type="dxa"/>
            <w:tcBorders>
              <w:top w:val="single" w:sz="4" w:space="0" w:color="auto"/>
              <w:left w:val="single" w:sz="4" w:space="0" w:color="auto"/>
              <w:bottom w:val="single" w:sz="4" w:space="0" w:color="auto"/>
              <w:right w:val="single" w:sz="4" w:space="0" w:color="auto"/>
            </w:tcBorders>
            <w:hideMark/>
          </w:tcPr>
          <w:p w14:paraId="386508D4"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Data to cover the period 16 September to 15 December</w:t>
            </w:r>
          </w:p>
        </w:tc>
      </w:tr>
      <w:tr w:rsidR="009914D0" w14:paraId="37BE7793" w14:textId="77777777" w:rsidTr="009914D0">
        <w:trPr>
          <w:trHeight w:val="309"/>
        </w:trPr>
        <w:tc>
          <w:tcPr>
            <w:tcW w:w="1843" w:type="dxa"/>
            <w:tcBorders>
              <w:top w:val="single" w:sz="4" w:space="0" w:color="auto"/>
              <w:left w:val="single" w:sz="4" w:space="0" w:color="auto"/>
              <w:bottom w:val="single" w:sz="4" w:space="0" w:color="auto"/>
              <w:right w:val="single" w:sz="4" w:space="0" w:color="auto"/>
            </w:tcBorders>
            <w:hideMark/>
          </w:tcPr>
          <w:p w14:paraId="70295031"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Quarter 3 (January – March)</w:t>
            </w:r>
          </w:p>
        </w:tc>
        <w:tc>
          <w:tcPr>
            <w:tcW w:w="6229" w:type="dxa"/>
            <w:tcBorders>
              <w:top w:val="single" w:sz="4" w:space="0" w:color="auto"/>
              <w:left w:val="single" w:sz="4" w:space="0" w:color="auto"/>
              <w:bottom w:val="single" w:sz="4" w:space="0" w:color="auto"/>
              <w:right w:val="single" w:sz="4" w:space="0" w:color="auto"/>
            </w:tcBorders>
            <w:hideMark/>
          </w:tcPr>
          <w:p w14:paraId="7BF66CF2"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Data to cover the period 16 December to 15 March</w:t>
            </w:r>
          </w:p>
        </w:tc>
      </w:tr>
      <w:tr w:rsidR="009914D0" w14:paraId="3801DEF6" w14:textId="77777777" w:rsidTr="009914D0">
        <w:trPr>
          <w:trHeight w:val="309"/>
        </w:trPr>
        <w:tc>
          <w:tcPr>
            <w:tcW w:w="1843" w:type="dxa"/>
            <w:tcBorders>
              <w:top w:val="single" w:sz="4" w:space="0" w:color="auto"/>
              <w:left w:val="single" w:sz="4" w:space="0" w:color="auto"/>
              <w:bottom w:val="single" w:sz="4" w:space="0" w:color="auto"/>
              <w:right w:val="single" w:sz="4" w:space="0" w:color="auto"/>
            </w:tcBorders>
            <w:hideMark/>
          </w:tcPr>
          <w:p w14:paraId="20FE1F64"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Quarter 4 (April to June)</w:t>
            </w:r>
          </w:p>
        </w:tc>
        <w:tc>
          <w:tcPr>
            <w:tcW w:w="6229" w:type="dxa"/>
            <w:tcBorders>
              <w:top w:val="single" w:sz="4" w:space="0" w:color="auto"/>
              <w:left w:val="single" w:sz="4" w:space="0" w:color="auto"/>
              <w:bottom w:val="single" w:sz="4" w:space="0" w:color="auto"/>
              <w:right w:val="single" w:sz="4" w:space="0" w:color="auto"/>
            </w:tcBorders>
            <w:hideMark/>
          </w:tcPr>
          <w:p w14:paraId="500702C3" w14:textId="77777777" w:rsidR="009914D0" w:rsidRDefault="009914D0">
            <w:pPr>
              <w:spacing w:before="60" w:after="60" w:line="256" w:lineRule="auto"/>
              <w:jc w:val="both"/>
              <w:rPr>
                <w:rFonts w:ascii="Arial" w:hAnsi="Arial" w:cs="Arial"/>
                <w:sz w:val="20"/>
                <w:szCs w:val="20"/>
              </w:rPr>
            </w:pPr>
            <w:r>
              <w:rPr>
                <w:rFonts w:ascii="Arial" w:hAnsi="Arial" w:cs="Arial"/>
                <w:sz w:val="20"/>
                <w:szCs w:val="20"/>
              </w:rPr>
              <w:t>Data to cover the period 16 March to 15 June</w:t>
            </w:r>
          </w:p>
        </w:tc>
      </w:tr>
    </w:tbl>
    <w:p w14:paraId="3AD36154" w14:textId="77777777" w:rsidR="009914D0" w:rsidRDefault="009914D0" w:rsidP="009914D0">
      <w:pPr>
        <w:pStyle w:val="SubOne"/>
        <w:shd w:val="clear" w:color="auto" w:fill="FFFFFF"/>
        <w:spacing w:before="60" w:after="60"/>
        <w:jc w:val="both"/>
        <w:rPr>
          <w:sz w:val="20"/>
          <w:szCs w:val="20"/>
        </w:rPr>
      </w:pPr>
    </w:p>
    <w:p w14:paraId="5A49A4D0" w14:textId="2A0BEE10" w:rsidR="009914D0" w:rsidRDefault="009914D0" w:rsidP="009914D0">
      <w:pPr>
        <w:pStyle w:val="SubOne"/>
        <w:shd w:val="clear" w:color="auto" w:fill="FFFFFF"/>
        <w:spacing w:before="60" w:after="60"/>
        <w:jc w:val="both"/>
        <w:rPr>
          <w:sz w:val="20"/>
          <w:szCs w:val="20"/>
        </w:rPr>
      </w:pPr>
    </w:p>
    <w:p w14:paraId="26B892BD" w14:textId="11E2159C" w:rsidR="00B3462F" w:rsidRDefault="00B3462F" w:rsidP="009914D0">
      <w:pPr>
        <w:pStyle w:val="SubOne"/>
        <w:shd w:val="clear" w:color="auto" w:fill="FFFFFF"/>
        <w:spacing w:before="60" w:after="60"/>
        <w:jc w:val="both"/>
        <w:rPr>
          <w:sz w:val="20"/>
          <w:szCs w:val="20"/>
        </w:rPr>
      </w:pPr>
    </w:p>
    <w:p w14:paraId="2963B6F3" w14:textId="716E415F" w:rsidR="00B3462F" w:rsidRDefault="00B3462F" w:rsidP="009914D0">
      <w:pPr>
        <w:pStyle w:val="SubOne"/>
        <w:shd w:val="clear" w:color="auto" w:fill="FFFFFF"/>
        <w:spacing w:before="60" w:after="60"/>
        <w:jc w:val="both"/>
        <w:rPr>
          <w:sz w:val="20"/>
          <w:szCs w:val="20"/>
        </w:rPr>
      </w:pPr>
    </w:p>
    <w:p w14:paraId="2DCEC316" w14:textId="701EFA48" w:rsidR="00B3462F" w:rsidRDefault="00B3462F" w:rsidP="009914D0">
      <w:pPr>
        <w:pStyle w:val="SubOne"/>
        <w:shd w:val="clear" w:color="auto" w:fill="FFFFFF"/>
        <w:spacing w:before="60" w:after="60"/>
        <w:jc w:val="both"/>
        <w:rPr>
          <w:sz w:val="20"/>
          <w:szCs w:val="20"/>
        </w:rPr>
      </w:pPr>
    </w:p>
    <w:p w14:paraId="6F748D72" w14:textId="656340D4" w:rsidR="00B3462F" w:rsidRDefault="00B3462F" w:rsidP="009914D0">
      <w:pPr>
        <w:pStyle w:val="SubOne"/>
        <w:shd w:val="clear" w:color="auto" w:fill="FFFFFF"/>
        <w:spacing w:before="60" w:after="60"/>
        <w:jc w:val="both"/>
        <w:rPr>
          <w:sz w:val="20"/>
          <w:szCs w:val="20"/>
        </w:rPr>
      </w:pPr>
    </w:p>
    <w:p w14:paraId="2BBAECF1" w14:textId="3D20B0EB" w:rsidR="00B3462F" w:rsidRDefault="00B3462F" w:rsidP="009914D0">
      <w:pPr>
        <w:pStyle w:val="SubOne"/>
        <w:shd w:val="clear" w:color="auto" w:fill="FFFFFF"/>
        <w:spacing w:before="60" w:after="60"/>
        <w:jc w:val="both"/>
        <w:rPr>
          <w:sz w:val="20"/>
          <w:szCs w:val="20"/>
        </w:rPr>
      </w:pPr>
    </w:p>
    <w:p w14:paraId="2A2FF945" w14:textId="0D7A9400" w:rsidR="00B3462F" w:rsidRDefault="00B3462F" w:rsidP="009914D0">
      <w:pPr>
        <w:pStyle w:val="SubOne"/>
        <w:shd w:val="clear" w:color="auto" w:fill="FFFFFF"/>
        <w:spacing w:before="60" w:after="60"/>
        <w:jc w:val="both"/>
        <w:rPr>
          <w:sz w:val="20"/>
          <w:szCs w:val="20"/>
        </w:rPr>
      </w:pPr>
    </w:p>
    <w:p w14:paraId="328C85DD" w14:textId="77777777" w:rsidR="00B3462F" w:rsidRDefault="00B3462F" w:rsidP="009914D0">
      <w:pPr>
        <w:pStyle w:val="SubOne"/>
        <w:shd w:val="clear" w:color="auto" w:fill="FFFFFF"/>
        <w:spacing w:before="60" w:after="60"/>
        <w:jc w:val="both"/>
        <w:rPr>
          <w:sz w:val="20"/>
          <w:szCs w:val="20"/>
        </w:rPr>
      </w:pPr>
    </w:p>
    <w:p w14:paraId="56449C79" w14:textId="77777777" w:rsidR="009914D0" w:rsidRDefault="009914D0" w:rsidP="009914D0">
      <w:pPr>
        <w:pStyle w:val="SubOne"/>
        <w:shd w:val="clear" w:color="auto" w:fill="FFFFFF"/>
        <w:spacing w:before="60" w:after="60"/>
        <w:jc w:val="both"/>
        <w:rPr>
          <w:sz w:val="20"/>
          <w:szCs w:val="20"/>
        </w:rPr>
      </w:pPr>
    </w:p>
    <w:p w14:paraId="2133B0CA" w14:textId="77777777" w:rsidR="009914D0" w:rsidRDefault="009914D0" w:rsidP="009914D0">
      <w:pPr>
        <w:pStyle w:val="SubOne"/>
        <w:shd w:val="clear" w:color="auto" w:fill="FFFFFF"/>
        <w:spacing w:before="60" w:after="60"/>
        <w:jc w:val="both"/>
        <w:rPr>
          <w:sz w:val="20"/>
          <w:szCs w:val="20"/>
        </w:rPr>
      </w:pPr>
      <w:r>
        <w:rPr>
          <w:sz w:val="20"/>
          <w:szCs w:val="20"/>
        </w:rPr>
        <w:lastRenderedPageBreak/>
        <w:t>Expectations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9914D0" w14:paraId="5A932376" w14:textId="77777777" w:rsidTr="009914D0">
        <w:trPr>
          <w:cantSplit/>
        </w:trPr>
        <w:tc>
          <w:tcPr>
            <w:tcW w:w="1843" w:type="dxa"/>
            <w:tcBorders>
              <w:top w:val="single" w:sz="4" w:space="0" w:color="auto"/>
              <w:left w:val="single" w:sz="4" w:space="0" w:color="auto"/>
              <w:bottom w:val="single" w:sz="4" w:space="0" w:color="auto"/>
              <w:right w:val="single" w:sz="4" w:space="0" w:color="auto"/>
            </w:tcBorders>
            <w:hideMark/>
          </w:tcPr>
          <w:p w14:paraId="5711FF43"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sz w:val="20"/>
                <w:szCs w:val="20"/>
                <w:lang w:val="en-GB"/>
              </w:rPr>
            </w:pPr>
            <w:r>
              <w:rPr>
                <w:rFonts w:ascii="Arial" w:hAnsi="Arial" w:cs="Arial"/>
                <w:sz w:val="20"/>
                <w:szCs w:val="20"/>
                <w:lang w:val="en-GB"/>
              </w:rPr>
              <w:t>Outstanding Performer</w:t>
            </w:r>
          </w:p>
        </w:tc>
        <w:tc>
          <w:tcPr>
            <w:tcW w:w="7371" w:type="dxa"/>
            <w:tcBorders>
              <w:top w:val="single" w:sz="4" w:space="0" w:color="auto"/>
              <w:left w:val="single" w:sz="4" w:space="0" w:color="auto"/>
              <w:bottom w:val="single" w:sz="4" w:space="0" w:color="auto"/>
              <w:right w:val="single" w:sz="4" w:space="0" w:color="auto"/>
            </w:tcBorders>
            <w:hideMark/>
          </w:tcPr>
          <w:p w14:paraId="687A8AEC" w14:textId="77777777" w:rsidR="009914D0" w:rsidRDefault="009914D0">
            <w:p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color w:val="000000"/>
                <w:sz w:val="20"/>
                <w:szCs w:val="20"/>
              </w:rPr>
              <w:t xml:space="preserve">The DHB has met  the “Total population” target for children enrolled with a general practice by 6 weeks of age and by 3 months of age </w:t>
            </w:r>
            <w:r>
              <w:rPr>
                <w:rFonts w:ascii="Arial" w:hAnsi="Arial" w:cs="Arial"/>
                <w:b/>
                <w:color w:val="000000"/>
                <w:sz w:val="20"/>
                <w:szCs w:val="20"/>
              </w:rPr>
              <w:t>and</w:t>
            </w:r>
          </w:p>
          <w:p w14:paraId="40307AEB" w14:textId="77777777" w:rsidR="009914D0" w:rsidRDefault="009914D0" w:rsidP="00C04FF1">
            <w:pPr>
              <w:numPr>
                <w:ilvl w:val="0"/>
                <w:numId w:val="120"/>
              </w:num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color w:val="000000"/>
                <w:sz w:val="20"/>
                <w:szCs w:val="20"/>
              </w:rPr>
              <w:t xml:space="preserve">the DHB has substantially exceeded the target for one or both targets </w:t>
            </w:r>
            <w:r>
              <w:rPr>
                <w:rFonts w:ascii="Arial" w:hAnsi="Arial" w:cs="Arial"/>
                <w:i/>
                <w:color w:val="000000"/>
                <w:sz w:val="20"/>
                <w:szCs w:val="20"/>
              </w:rPr>
              <w:t>and/or</w:t>
            </w:r>
          </w:p>
          <w:p w14:paraId="1EE85487" w14:textId="77777777" w:rsidR="009914D0" w:rsidRDefault="009914D0" w:rsidP="00C04FF1">
            <w:pPr>
              <w:numPr>
                <w:ilvl w:val="0"/>
                <w:numId w:val="120"/>
              </w:num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color w:val="000000"/>
                <w:sz w:val="20"/>
                <w:szCs w:val="20"/>
              </w:rPr>
              <w:t xml:space="preserve">the DHB has met the target for one or both measures  for: </w:t>
            </w:r>
          </w:p>
          <w:p w14:paraId="51FF79A3" w14:textId="77777777" w:rsidR="009914D0" w:rsidRDefault="009914D0" w:rsidP="00C04FF1">
            <w:pPr>
              <w:numPr>
                <w:ilvl w:val="1"/>
                <w:numId w:val="120"/>
              </w:num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color w:val="000000"/>
                <w:sz w:val="20"/>
                <w:szCs w:val="20"/>
              </w:rPr>
              <w:t xml:space="preserve">the total population, </w:t>
            </w:r>
            <w:r>
              <w:rPr>
                <w:rFonts w:ascii="Arial" w:hAnsi="Arial" w:cs="Arial"/>
                <w:b/>
                <w:color w:val="000000"/>
                <w:sz w:val="20"/>
                <w:szCs w:val="20"/>
              </w:rPr>
              <w:t>and</w:t>
            </w:r>
          </w:p>
          <w:p w14:paraId="50EA3DB4" w14:textId="77777777" w:rsidR="009914D0" w:rsidRDefault="009914D0" w:rsidP="00C04FF1">
            <w:pPr>
              <w:numPr>
                <w:ilvl w:val="1"/>
                <w:numId w:val="120"/>
              </w:num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sz w:val="20"/>
                <w:szCs w:val="20"/>
              </w:rPr>
              <w:t xml:space="preserve">the Māori population group, </w:t>
            </w:r>
            <w:r>
              <w:rPr>
                <w:rFonts w:ascii="Arial" w:hAnsi="Arial" w:cs="Arial"/>
                <w:b/>
                <w:sz w:val="20"/>
                <w:szCs w:val="20"/>
              </w:rPr>
              <w:t>and (</w:t>
            </w:r>
            <w:r>
              <w:rPr>
                <w:rFonts w:ascii="Arial" w:hAnsi="Arial" w:cs="Arial"/>
                <w:sz w:val="20"/>
                <w:szCs w:val="20"/>
              </w:rPr>
              <w:t>where applicable)</w:t>
            </w:r>
          </w:p>
          <w:p w14:paraId="454DF3EA" w14:textId="77777777" w:rsidR="009914D0" w:rsidRDefault="009914D0" w:rsidP="00C04FF1">
            <w:pPr>
              <w:numPr>
                <w:ilvl w:val="1"/>
                <w:numId w:val="120"/>
              </w:numPr>
              <w:shd w:val="clear" w:color="auto" w:fill="FFFFFF"/>
              <w:autoSpaceDE w:val="0"/>
              <w:autoSpaceDN w:val="0"/>
              <w:adjustRightInd w:val="0"/>
              <w:spacing w:before="60" w:after="60" w:line="240" w:lineRule="atLeast"/>
              <w:rPr>
                <w:rFonts w:ascii="Arial" w:hAnsi="Arial" w:cs="Arial"/>
                <w:color w:val="000000"/>
                <w:sz w:val="20"/>
                <w:szCs w:val="20"/>
              </w:rPr>
            </w:pPr>
            <w:r>
              <w:rPr>
                <w:rFonts w:ascii="Arial" w:hAnsi="Arial" w:cs="Arial"/>
                <w:sz w:val="20"/>
                <w:szCs w:val="20"/>
              </w:rPr>
              <w:t>the Pacific population.</w:t>
            </w:r>
          </w:p>
        </w:tc>
      </w:tr>
      <w:tr w:rsidR="009914D0" w14:paraId="629D95E8" w14:textId="77777777" w:rsidTr="009914D0">
        <w:trPr>
          <w:cantSplit/>
        </w:trPr>
        <w:tc>
          <w:tcPr>
            <w:tcW w:w="1843" w:type="dxa"/>
            <w:tcBorders>
              <w:top w:val="single" w:sz="4" w:space="0" w:color="auto"/>
              <w:left w:val="single" w:sz="4" w:space="0" w:color="auto"/>
              <w:bottom w:val="single" w:sz="4" w:space="0" w:color="auto"/>
              <w:right w:val="single" w:sz="4" w:space="0" w:color="auto"/>
            </w:tcBorders>
            <w:hideMark/>
          </w:tcPr>
          <w:p w14:paraId="59C43C55"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i/>
                <w:sz w:val="20"/>
                <w:szCs w:val="20"/>
                <w:lang w:val="en-GB"/>
              </w:rPr>
            </w:pPr>
            <w:r>
              <w:rPr>
                <w:rFonts w:ascii="Arial" w:hAnsi="Arial" w:cs="Arial"/>
                <w:sz w:val="20"/>
                <w:szCs w:val="20"/>
                <w:lang w:val="en-GB"/>
              </w:rPr>
              <w:t>Achieved</w:t>
            </w:r>
          </w:p>
        </w:tc>
        <w:tc>
          <w:tcPr>
            <w:tcW w:w="7371" w:type="dxa"/>
            <w:tcBorders>
              <w:top w:val="single" w:sz="4" w:space="0" w:color="auto"/>
              <w:left w:val="single" w:sz="4" w:space="0" w:color="auto"/>
              <w:bottom w:val="single" w:sz="4" w:space="0" w:color="auto"/>
              <w:right w:val="single" w:sz="4" w:space="0" w:color="auto"/>
            </w:tcBorders>
            <w:hideMark/>
          </w:tcPr>
          <w:p w14:paraId="584B7A3F" w14:textId="77777777" w:rsidR="009914D0" w:rsidRDefault="009914D0">
            <w:pPr>
              <w:shd w:val="clear" w:color="auto" w:fill="FFFFFF"/>
              <w:autoSpaceDE w:val="0"/>
              <w:autoSpaceDN w:val="0"/>
              <w:adjustRightInd w:val="0"/>
              <w:spacing w:before="60" w:after="60" w:line="240" w:lineRule="atLeast"/>
              <w:ind w:left="15"/>
              <w:rPr>
                <w:rFonts w:ascii="Arial" w:hAnsi="Arial" w:cs="Arial"/>
                <w:color w:val="000000"/>
                <w:sz w:val="20"/>
                <w:szCs w:val="20"/>
              </w:rPr>
            </w:pPr>
            <w:r>
              <w:rPr>
                <w:rFonts w:ascii="Arial" w:hAnsi="Arial" w:cs="Arial"/>
                <w:color w:val="000000"/>
                <w:sz w:val="20"/>
                <w:szCs w:val="20"/>
              </w:rPr>
              <w:t xml:space="preserve">The DHB has reached the “Total population” target for children enrolled with a general practice by 6 weeks of age and by 3 months of age and has delivered all the actions and milestones identified for the period in its annual plan </w:t>
            </w:r>
            <w:r>
              <w:rPr>
                <w:rFonts w:ascii="Arial" w:hAnsi="Arial" w:cs="Arial"/>
                <w:b/>
                <w:i/>
                <w:color w:val="000000"/>
                <w:sz w:val="20"/>
                <w:szCs w:val="20"/>
              </w:rPr>
              <w:t xml:space="preserve">and </w:t>
            </w:r>
            <w:r>
              <w:rPr>
                <w:rFonts w:ascii="Arial" w:hAnsi="Arial" w:cs="Arial"/>
                <w:color w:val="000000"/>
                <w:sz w:val="20"/>
                <w:szCs w:val="20"/>
              </w:rPr>
              <w:t>h</w:t>
            </w:r>
            <w:r>
              <w:rPr>
                <w:rFonts w:ascii="Arial" w:hAnsi="Arial" w:cs="Arial"/>
                <w:color w:val="000000"/>
                <w:sz w:val="20"/>
                <w:szCs w:val="20"/>
                <w:lang w:val="en-GB"/>
              </w:rPr>
              <w:t>as achieved significant progress for the Māori population group, and (where relevant) the Pacific population group, for both targets.</w:t>
            </w:r>
          </w:p>
        </w:tc>
      </w:tr>
      <w:tr w:rsidR="009914D0" w14:paraId="1EE018C9" w14:textId="77777777" w:rsidTr="009914D0">
        <w:trPr>
          <w:cantSplit/>
        </w:trPr>
        <w:tc>
          <w:tcPr>
            <w:tcW w:w="1843" w:type="dxa"/>
            <w:tcBorders>
              <w:top w:val="single" w:sz="4" w:space="0" w:color="auto"/>
              <w:left w:val="single" w:sz="4" w:space="0" w:color="auto"/>
              <w:bottom w:val="single" w:sz="4" w:space="0" w:color="auto"/>
              <w:right w:val="single" w:sz="4" w:space="0" w:color="auto"/>
            </w:tcBorders>
            <w:hideMark/>
          </w:tcPr>
          <w:p w14:paraId="528CC903"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sz w:val="20"/>
                <w:szCs w:val="20"/>
                <w:lang w:val="en-GB"/>
              </w:rPr>
            </w:pPr>
            <w:r>
              <w:rPr>
                <w:rFonts w:ascii="Arial" w:hAnsi="Arial" w:cs="Arial"/>
                <w:sz w:val="20"/>
                <w:szCs w:val="20"/>
                <w:lang w:val="en-GB"/>
              </w:rPr>
              <w:t>Partially Achieved</w:t>
            </w:r>
          </w:p>
        </w:tc>
        <w:tc>
          <w:tcPr>
            <w:tcW w:w="7371" w:type="dxa"/>
            <w:tcBorders>
              <w:top w:val="single" w:sz="4" w:space="0" w:color="auto"/>
              <w:left w:val="single" w:sz="4" w:space="0" w:color="auto"/>
              <w:bottom w:val="single" w:sz="4" w:space="0" w:color="auto"/>
              <w:right w:val="single" w:sz="4" w:space="0" w:color="auto"/>
            </w:tcBorders>
            <w:hideMark/>
          </w:tcPr>
          <w:p w14:paraId="7E0848DC"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sz w:val="20"/>
                <w:szCs w:val="20"/>
                <w:lang w:val="en-GB"/>
              </w:rPr>
            </w:pPr>
            <w:r>
              <w:rPr>
                <w:rFonts w:ascii="Arial" w:hAnsi="Arial" w:cs="Arial"/>
                <w:color w:val="000000"/>
                <w:sz w:val="20"/>
                <w:szCs w:val="20"/>
              </w:rPr>
              <w:t xml:space="preserve">The DHB has reached the “Total population” target for children enrolled with a general practice by 6 weeks of age </w:t>
            </w:r>
            <w:r>
              <w:rPr>
                <w:rFonts w:ascii="Arial" w:hAnsi="Arial" w:cs="Arial"/>
                <w:b/>
                <w:color w:val="000000"/>
                <w:sz w:val="20"/>
                <w:szCs w:val="20"/>
              </w:rPr>
              <w:t>or</w:t>
            </w:r>
            <w:r>
              <w:rPr>
                <w:rFonts w:ascii="Arial" w:hAnsi="Arial" w:cs="Arial"/>
                <w:color w:val="000000"/>
                <w:sz w:val="20"/>
                <w:szCs w:val="20"/>
              </w:rPr>
              <w:t xml:space="preserve"> by 3 months of age </w:t>
            </w:r>
            <w:r>
              <w:rPr>
                <w:rFonts w:ascii="Arial" w:hAnsi="Arial" w:cs="Arial"/>
                <w:b/>
                <w:color w:val="000000"/>
                <w:sz w:val="20"/>
                <w:szCs w:val="20"/>
              </w:rPr>
              <w:t>and/or</w:t>
            </w:r>
            <w:r>
              <w:rPr>
                <w:rFonts w:ascii="Arial" w:hAnsi="Arial" w:cs="Arial"/>
                <w:color w:val="000000"/>
                <w:sz w:val="20"/>
                <w:szCs w:val="20"/>
              </w:rPr>
              <w:t xml:space="preserve">  an adequate resolution plan has been provided if it has not delivered all the actions and milestones identified for the period in its annual plan </w:t>
            </w:r>
          </w:p>
        </w:tc>
      </w:tr>
      <w:tr w:rsidR="009914D0" w14:paraId="2F16923F" w14:textId="77777777" w:rsidTr="009914D0">
        <w:trPr>
          <w:cantSplit/>
        </w:trPr>
        <w:tc>
          <w:tcPr>
            <w:tcW w:w="1843" w:type="dxa"/>
            <w:tcBorders>
              <w:top w:val="single" w:sz="4" w:space="0" w:color="auto"/>
              <w:left w:val="single" w:sz="4" w:space="0" w:color="auto"/>
              <w:bottom w:val="single" w:sz="4" w:space="0" w:color="auto"/>
              <w:right w:val="single" w:sz="4" w:space="0" w:color="auto"/>
            </w:tcBorders>
            <w:hideMark/>
          </w:tcPr>
          <w:p w14:paraId="16238A0C"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sz w:val="20"/>
                <w:szCs w:val="20"/>
                <w:lang w:val="en-GB"/>
              </w:rPr>
            </w:pPr>
            <w:r>
              <w:rPr>
                <w:rFonts w:ascii="Arial" w:hAnsi="Arial" w:cs="Arial"/>
                <w:sz w:val="20"/>
                <w:szCs w:val="20"/>
                <w:lang w:val="en-GB"/>
              </w:rPr>
              <w:t>Not Achieved</w:t>
            </w:r>
          </w:p>
        </w:tc>
        <w:tc>
          <w:tcPr>
            <w:tcW w:w="7371" w:type="dxa"/>
            <w:tcBorders>
              <w:top w:val="single" w:sz="4" w:space="0" w:color="auto"/>
              <w:left w:val="single" w:sz="4" w:space="0" w:color="auto"/>
              <w:bottom w:val="single" w:sz="4" w:space="0" w:color="auto"/>
              <w:right w:val="single" w:sz="4" w:space="0" w:color="auto"/>
            </w:tcBorders>
            <w:hideMark/>
          </w:tcPr>
          <w:p w14:paraId="6C73BC95" w14:textId="77777777" w:rsidR="009914D0" w:rsidRDefault="009914D0">
            <w:pPr>
              <w:shd w:val="clear" w:color="auto" w:fill="FFFFFF"/>
              <w:tabs>
                <w:tab w:val="left" w:pos="720"/>
              </w:tabs>
              <w:overflowPunct w:val="0"/>
              <w:autoSpaceDE w:val="0"/>
              <w:autoSpaceDN w:val="0"/>
              <w:adjustRightInd w:val="0"/>
              <w:spacing w:before="60" w:after="60" w:line="256" w:lineRule="auto"/>
              <w:jc w:val="both"/>
              <w:rPr>
                <w:rFonts w:ascii="Arial" w:hAnsi="Arial" w:cs="Arial"/>
                <w:sz w:val="20"/>
                <w:szCs w:val="20"/>
                <w:lang w:val="en-GB"/>
              </w:rPr>
            </w:pPr>
            <w:r>
              <w:rPr>
                <w:rFonts w:ascii="Arial" w:hAnsi="Arial" w:cs="Arial"/>
                <w:color w:val="000000"/>
                <w:sz w:val="20"/>
                <w:szCs w:val="20"/>
                <w:lang w:val="en-GB"/>
              </w:rPr>
              <w:t>T</w:t>
            </w:r>
            <w:r>
              <w:rPr>
                <w:rFonts w:ascii="Arial" w:hAnsi="Arial" w:cs="Arial"/>
                <w:sz w:val="20"/>
                <w:szCs w:val="20"/>
                <w:lang w:val="en-GB"/>
              </w:rPr>
              <w:t xml:space="preserve">he DHB’s level of new born enrolment in general practice </w:t>
            </w:r>
            <w:r>
              <w:rPr>
                <w:rFonts w:ascii="Arial" w:hAnsi="Arial" w:cs="Arial"/>
                <w:color w:val="000000"/>
                <w:sz w:val="20"/>
                <w:szCs w:val="20"/>
                <w:lang w:val="en-GB"/>
              </w:rPr>
              <w:t xml:space="preserve">has failed to substantially </w:t>
            </w:r>
            <w:r>
              <w:rPr>
                <w:rFonts w:ascii="Arial" w:hAnsi="Arial" w:cs="Arial"/>
                <w:sz w:val="20"/>
                <w:szCs w:val="20"/>
                <w:lang w:val="en-GB"/>
              </w:rPr>
              <w:t xml:space="preserve">progress towards the </w:t>
            </w:r>
            <w:r>
              <w:rPr>
                <w:rFonts w:ascii="Arial" w:hAnsi="Arial" w:cs="Arial"/>
                <w:color w:val="000000"/>
                <w:sz w:val="20"/>
                <w:szCs w:val="20"/>
                <w:lang w:val="en-GB"/>
              </w:rPr>
              <w:t xml:space="preserve">targets identified  </w:t>
            </w:r>
            <w:r>
              <w:rPr>
                <w:rFonts w:ascii="Arial" w:hAnsi="Arial" w:cs="Arial"/>
                <w:b/>
                <w:color w:val="000000"/>
                <w:sz w:val="20"/>
                <w:szCs w:val="20"/>
                <w:lang w:val="en-GB"/>
              </w:rPr>
              <w:t>and/or</w:t>
            </w:r>
            <w:r>
              <w:rPr>
                <w:rFonts w:ascii="Arial" w:hAnsi="Arial" w:cs="Arial"/>
                <w:color w:val="000000"/>
                <w:sz w:val="20"/>
                <w:szCs w:val="20"/>
                <w:lang w:val="en-GB"/>
              </w:rPr>
              <w:t xml:space="preserve"> an adequate resolution plan has not been provided for any actions and milestones identified in the annual plan that have not been delivered.</w:t>
            </w:r>
          </w:p>
        </w:tc>
      </w:tr>
    </w:tbl>
    <w:p w14:paraId="75381780" w14:textId="0FF546F1" w:rsidR="00F042AD" w:rsidRDefault="009914D0">
      <w:pPr>
        <w:rPr>
          <w:rFonts w:ascii="Arial" w:hAnsi="Arial" w:cs="Arial"/>
          <w:b/>
          <w:bCs/>
          <w:i/>
          <w:iCs/>
        </w:rPr>
      </w:pPr>
      <w:r>
        <w:t xml:space="preserve"> </w:t>
      </w:r>
      <w:r w:rsidR="00F042AD">
        <w:br w:type="page"/>
      </w:r>
    </w:p>
    <w:p w14:paraId="629BB7B3" w14:textId="77777777" w:rsidR="00354258" w:rsidRPr="00B57FB6" w:rsidRDefault="00354258" w:rsidP="00354258">
      <w:pPr>
        <w:keepNext/>
        <w:spacing w:before="240" w:after="60"/>
        <w:outlineLvl w:val="0"/>
        <w:rPr>
          <w:rFonts w:ascii="Arial" w:hAnsi="Arial" w:cs="Arial"/>
          <w:b/>
          <w:bCs/>
          <w:i/>
          <w:iCs/>
          <w:kern w:val="32"/>
        </w:rPr>
      </w:pPr>
      <w:bookmarkStart w:id="389" w:name="_Toc4588532"/>
      <w:bookmarkStart w:id="390" w:name="_Toc4588675"/>
      <w:bookmarkStart w:id="391" w:name="_Toc9592002"/>
      <w:r w:rsidRPr="00B57FB6">
        <w:rPr>
          <w:rFonts w:ascii="Arial" w:hAnsi="Arial" w:cs="Arial"/>
          <w:b/>
          <w:bCs/>
          <w:i/>
          <w:iCs/>
          <w:kern w:val="32"/>
        </w:rPr>
        <w:lastRenderedPageBreak/>
        <w:t>Outcome priority: we live longer in good health</w:t>
      </w:r>
      <w:bookmarkEnd w:id="389"/>
      <w:bookmarkEnd w:id="390"/>
      <w:bookmarkEnd w:id="391"/>
    </w:p>
    <w:p w14:paraId="4386FFE6" w14:textId="77777777" w:rsidR="00354258" w:rsidRPr="00D77CF3" w:rsidRDefault="00354258" w:rsidP="00354258">
      <w:pPr>
        <w:autoSpaceDE w:val="0"/>
        <w:autoSpaceDN w:val="0"/>
        <w:adjustRightInd w:val="0"/>
        <w:spacing w:before="60" w:after="60" w:line="240" w:lineRule="atLeast"/>
        <w:jc w:val="both"/>
        <w:rPr>
          <w:rFonts w:ascii="Arial" w:hAnsi="Arial" w:cs="Arial"/>
          <w:b/>
          <w:bCs/>
          <w:color w:val="000000"/>
          <w:sz w:val="22"/>
          <w:szCs w:val="22"/>
        </w:rPr>
      </w:pPr>
    </w:p>
    <w:p w14:paraId="227F55FA" w14:textId="5000B122" w:rsidR="00632E9E" w:rsidRPr="00632E9E" w:rsidRDefault="00632E9E" w:rsidP="00632E9E">
      <w:pPr>
        <w:keepNext/>
        <w:spacing w:before="240" w:after="60"/>
        <w:outlineLvl w:val="0"/>
        <w:rPr>
          <w:rFonts w:ascii="Arial" w:hAnsi="Arial" w:cs="Arial"/>
          <w:b/>
          <w:bCs/>
          <w:i/>
          <w:iCs/>
          <w:kern w:val="32"/>
          <w:sz w:val="28"/>
          <w:szCs w:val="32"/>
          <w:lang w:eastAsia="en-GB"/>
        </w:rPr>
      </w:pPr>
      <w:bookmarkStart w:id="392" w:name="_Toc4588534"/>
      <w:r w:rsidRPr="00632E9E">
        <w:rPr>
          <w:rFonts w:ascii="Arial" w:hAnsi="Arial" w:cs="Arial"/>
          <w:b/>
          <w:bCs/>
          <w:i/>
          <w:iCs/>
          <w:kern w:val="32"/>
          <w:sz w:val="28"/>
          <w:szCs w:val="32"/>
          <w:lang w:eastAsia="en-GB"/>
        </w:rPr>
        <w:t>Improving child wellbeing CW08: Increased Immunisation</w:t>
      </w:r>
      <w:r w:rsidR="004B277A">
        <w:rPr>
          <w:rFonts w:ascii="Arial" w:hAnsi="Arial" w:cs="Arial"/>
          <w:b/>
          <w:bCs/>
          <w:i/>
          <w:iCs/>
          <w:kern w:val="32"/>
          <w:sz w:val="28"/>
          <w:szCs w:val="32"/>
          <w:lang w:eastAsia="en-GB"/>
        </w:rPr>
        <w:t xml:space="preserve"> (at 2 years)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
        <w:gridCol w:w="1763"/>
        <w:gridCol w:w="3636"/>
        <w:gridCol w:w="3106"/>
      </w:tblGrid>
      <w:tr w:rsidR="00632E9E" w:rsidRPr="00632E9E" w14:paraId="757E23C8" w14:textId="77777777" w:rsidTr="00632E9E">
        <w:tc>
          <w:tcPr>
            <w:tcW w:w="9540" w:type="dxa"/>
            <w:gridSpan w:val="4"/>
            <w:shd w:val="clear" w:color="auto" w:fill="D9D9D9"/>
          </w:tcPr>
          <w:p w14:paraId="0A122766" w14:textId="77777777" w:rsidR="00632E9E" w:rsidRPr="00632E9E" w:rsidRDefault="00632E9E" w:rsidP="00632E9E">
            <w:pPr>
              <w:spacing w:before="60" w:after="60"/>
              <w:jc w:val="center"/>
              <w:rPr>
                <w:rFonts w:ascii="Arial" w:hAnsi="Arial" w:cs="Arial"/>
                <w:b/>
                <w:sz w:val="22"/>
                <w:szCs w:val="22"/>
                <w:lang w:eastAsia="en-GB"/>
              </w:rPr>
            </w:pPr>
            <w:r w:rsidRPr="00632E9E">
              <w:rPr>
                <w:rFonts w:ascii="Arial" w:hAnsi="Arial" w:cs="Arial"/>
                <w:b/>
                <w:sz w:val="22"/>
                <w:szCs w:val="22"/>
                <w:lang w:eastAsia="en-GB"/>
              </w:rPr>
              <w:t>Summary information</w:t>
            </w:r>
          </w:p>
        </w:tc>
      </w:tr>
      <w:tr w:rsidR="00632E9E" w:rsidRPr="00632E9E" w14:paraId="55C8501F" w14:textId="77777777" w:rsidTr="00632E9E">
        <w:tc>
          <w:tcPr>
            <w:tcW w:w="9540" w:type="dxa"/>
            <w:gridSpan w:val="4"/>
            <w:shd w:val="clear" w:color="auto" w:fill="auto"/>
          </w:tcPr>
          <w:p w14:paraId="032FA48C" w14:textId="77777777" w:rsidR="00632E9E" w:rsidRPr="00632E9E" w:rsidRDefault="00632E9E" w:rsidP="00632E9E">
            <w:pPr>
              <w:autoSpaceDE w:val="0"/>
              <w:autoSpaceDN w:val="0"/>
              <w:adjustRightInd w:val="0"/>
              <w:spacing w:before="120" w:after="120"/>
              <w:jc w:val="both"/>
              <w:rPr>
                <w:rFonts w:ascii="Arial" w:hAnsi="Arial" w:cs="Arial"/>
                <w:sz w:val="22"/>
                <w:szCs w:val="22"/>
                <w:lang w:eastAsia="en-GB"/>
              </w:rPr>
            </w:pPr>
            <w:r w:rsidRPr="00632E9E">
              <w:rPr>
                <w:rFonts w:ascii="Arial" w:hAnsi="Arial" w:cs="Arial"/>
                <w:b/>
                <w:bCs/>
                <w:color w:val="000000"/>
                <w:sz w:val="22"/>
                <w:szCs w:val="22"/>
                <w:lang w:eastAsia="en-NZ"/>
              </w:rPr>
              <w:t xml:space="preserve">Indicator: </w:t>
            </w:r>
            <w:r w:rsidRPr="00632E9E">
              <w:rPr>
                <w:rFonts w:ascii="Arial" w:hAnsi="Arial" w:cs="Arial"/>
                <w:color w:val="000000"/>
                <w:sz w:val="22"/>
                <w:szCs w:val="22"/>
                <w:lang w:eastAsia="en-NZ"/>
              </w:rPr>
              <w:t xml:space="preserve"> 95 percent of two-year-olds have completed all age-appropriate immunisations due between birth and age two years, with no equity gap between Māori and non-Māori populations</w:t>
            </w:r>
          </w:p>
        </w:tc>
      </w:tr>
      <w:tr w:rsidR="00632E9E" w:rsidRPr="00632E9E" w14:paraId="0E17D4E4" w14:textId="77777777" w:rsidTr="00632E9E">
        <w:tc>
          <w:tcPr>
            <w:tcW w:w="2798" w:type="dxa"/>
            <w:gridSpan w:val="2"/>
            <w:shd w:val="clear" w:color="auto" w:fill="auto"/>
          </w:tcPr>
          <w:p w14:paraId="00B69720" w14:textId="77777777" w:rsidR="00632E9E" w:rsidRPr="00632E9E" w:rsidRDefault="00632E9E" w:rsidP="00632E9E">
            <w:pPr>
              <w:spacing w:before="60" w:after="60"/>
              <w:jc w:val="both"/>
              <w:rPr>
                <w:rFonts w:ascii="Arial" w:hAnsi="Arial" w:cs="Arial"/>
                <w:b/>
                <w:i/>
                <w:sz w:val="22"/>
                <w:szCs w:val="22"/>
                <w:lang w:eastAsia="en-GB"/>
              </w:rPr>
            </w:pPr>
            <w:r w:rsidRPr="00632E9E">
              <w:rPr>
                <w:rFonts w:ascii="Arial" w:hAnsi="Arial" w:cs="Arial"/>
                <w:b/>
                <w:i/>
                <w:sz w:val="22"/>
                <w:szCs w:val="22"/>
                <w:lang w:eastAsia="en-GB"/>
              </w:rPr>
              <w:t>Measures</w:t>
            </w:r>
          </w:p>
        </w:tc>
        <w:tc>
          <w:tcPr>
            <w:tcW w:w="6742" w:type="dxa"/>
            <w:gridSpan w:val="2"/>
            <w:shd w:val="clear" w:color="auto" w:fill="auto"/>
          </w:tcPr>
          <w:p w14:paraId="77D05347" w14:textId="77777777" w:rsidR="00632E9E" w:rsidRPr="00632E9E" w:rsidRDefault="00632E9E" w:rsidP="00632E9E">
            <w:pPr>
              <w:spacing w:before="60" w:after="60"/>
              <w:jc w:val="both"/>
              <w:rPr>
                <w:rFonts w:ascii="Arial" w:hAnsi="Arial" w:cs="Arial"/>
                <w:b/>
                <w:i/>
                <w:sz w:val="22"/>
                <w:szCs w:val="22"/>
                <w:lang w:eastAsia="en-GB"/>
              </w:rPr>
            </w:pPr>
            <w:r w:rsidRPr="00632E9E">
              <w:rPr>
                <w:rFonts w:ascii="Arial" w:hAnsi="Arial" w:cs="Arial"/>
                <w:b/>
                <w:i/>
                <w:sz w:val="22"/>
                <w:szCs w:val="22"/>
                <w:lang w:eastAsia="en-GB"/>
              </w:rPr>
              <w:t>Reporting</w:t>
            </w:r>
          </w:p>
        </w:tc>
      </w:tr>
      <w:tr w:rsidR="00632E9E" w:rsidRPr="00632E9E" w14:paraId="72E50D12" w14:textId="77777777" w:rsidTr="00632E9E">
        <w:tc>
          <w:tcPr>
            <w:tcW w:w="1035" w:type="dxa"/>
            <w:shd w:val="clear" w:color="auto" w:fill="auto"/>
          </w:tcPr>
          <w:p w14:paraId="434EE4DA"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Type:</w:t>
            </w:r>
          </w:p>
        </w:tc>
        <w:tc>
          <w:tcPr>
            <w:tcW w:w="1763" w:type="dxa"/>
            <w:shd w:val="clear" w:color="auto" w:fill="auto"/>
          </w:tcPr>
          <w:p w14:paraId="44AE579C" w14:textId="77777777" w:rsidR="00632E9E" w:rsidRPr="00632E9E" w:rsidRDefault="00632E9E" w:rsidP="00632E9E">
            <w:pPr>
              <w:spacing w:before="60" w:after="60"/>
              <w:jc w:val="both"/>
              <w:rPr>
                <w:rFonts w:ascii="Arial" w:hAnsi="Arial" w:cs="Arial"/>
                <w:b/>
                <w:i/>
                <w:sz w:val="18"/>
                <w:szCs w:val="18"/>
                <w:lang w:eastAsia="en-GB"/>
              </w:rPr>
            </w:pPr>
            <w:r w:rsidRPr="00632E9E">
              <w:rPr>
                <w:rFonts w:ascii="Arial" w:hAnsi="Arial" w:cs="Arial"/>
                <w:b/>
                <w:i/>
                <w:sz w:val="18"/>
                <w:szCs w:val="18"/>
                <w:lang w:eastAsia="en-GB"/>
              </w:rPr>
              <w:t>Outcome</w:t>
            </w:r>
          </w:p>
        </w:tc>
        <w:tc>
          <w:tcPr>
            <w:tcW w:w="3636" w:type="dxa"/>
            <w:shd w:val="clear" w:color="auto" w:fill="auto"/>
          </w:tcPr>
          <w:p w14:paraId="6F63E265"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Type:</w:t>
            </w:r>
          </w:p>
        </w:tc>
        <w:tc>
          <w:tcPr>
            <w:tcW w:w="3106" w:type="dxa"/>
            <w:shd w:val="clear" w:color="auto" w:fill="auto"/>
          </w:tcPr>
          <w:p w14:paraId="65F13E04"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Mandatory</w:t>
            </w:r>
          </w:p>
        </w:tc>
      </w:tr>
      <w:tr w:rsidR="00632E9E" w:rsidRPr="00632E9E" w14:paraId="0E717326" w14:textId="77777777" w:rsidTr="00632E9E">
        <w:tc>
          <w:tcPr>
            <w:tcW w:w="1035" w:type="dxa"/>
            <w:shd w:val="clear" w:color="auto" w:fill="auto"/>
          </w:tcPr>
          <w:p w14:paraId="583361C6"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Target:</w:t>
            </w:r>
          </w:p>
        </w:tc>
        <w:tc>
          <w:tcPr>
            <w:tcW w:w="1763" w:type="dxa"/>
            <w:shd w:val="clear" w:color="auto" w:fill="auto"/>
          </w:tcPr>
          <w:p w14:paraId="463ADB0C"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Targets set in APs</w:t>
            </w:r>
          </w:p>
        </w:tc>
        <w:tc>
          <w:tcPr>
            <w:tcW w:w="3636" w:type="dxa"/>
            <w:shd w:val="clear" w:color="auto" w:fill="auto"/>
          </w:tcPr>
          <w:p w14:paraId="5AF22756" w14:textId="77777777" w:rsidR="00632E9E" w:rsidRPr="00632E9E" w:rsidRDefault="00632E9E" w:rsidP="00632E9E">
            <w:pPr>
              <w:spacing w:before="60" w:after="60"/>
              <w:jc w:val="both"/>
              <w:rPr>
                <w:rFonts w:ascii="Arial" w:hAnsi="Arial" w:cs="Arial"/>
                <w:sz w:val="22"/>
                <w:szCs w:val="22"/>
                <w:lang w:eastAsia="en-GB"/>
              </w:rPr>
            </w:pPr>
            <w:r w:rsidRPr="00632E9E">
              <w:rPr>
                <w:rFonts w:ascii="Arial" w:hAnsi="Arial" w:cs="Arial"/>
                <w:sz w:val="22"/>
                <w:szCs w:val="22"/>
                <w:lang w:eastAsia="en-GB"/>
              </w:rPr>
              <w:t>Reporting frequency:</w:t>
            </w:r>
          </w:p>
        </w:tc>
        <w:tc>
          <w:tcPr>
            <w:tcW w:w="3106" w:type="dxa"/>
            <w:shd w:val="clear" w:color="auto" w:fill="auto"/>
          </w:tcPr>
          <w:p w14:paraId="16DBEF21" w14:textId="77777777" w:rsidR="00632E9E" w:rsidRPr="00632E9E" w:rsidRDefault="00632E9E" w:rsidP="00632E9E">
            <w:pPr>
              <w:tabs>
                <w:tab w:val="center" w:pos="1285"/>
              </w:tabs>
              <w:spacing w:before="60" w:after="60"/>
              <w:jc w:val="both"/>
              <w:rPr>
                <w:rFonts w:ascii="Arial" w:hAnsi="Arial" w:cs="Arial"/>
                <w:sz w:val="22"/>
                <w:szCs w:val="22"/>
                <w:lang w:eastAsia="en-GB"/>
              </w:rPr>
            </w:pPr>
            <w:r w:rsidRPr="00632E9E">
              <w:rPr>
                <w:rFonts w:ascii="Arial" w:hAnsi="Arial" w:cs="Arial"/>
                <w:sz w:val="22"/>
                <w:szCs w:val="22"/>
                <w:lang w:eastAsia="en-GB"/>
              </w:rPr>
              <w:t>Quarterly</w:t>
            </w:r>
          </w:p>
        </w:tc>
      </w:tr>
      <w:tr w:rsidR="00632E9E" w:rsidRPr="00632E9E" w14:paraId="386C4F87" w14:textId="77777777" w:rsidTr="00632E9E">
        <w:tc>
          <w:tcPr>
            <w:tcW w:w="2798" w:type="dxa"/>
            <w:gridSpan w:val="2"/>
            <w:tcBorders>
              <w:top w:val="single" w:sz="4" w:space="0" w:color="auto"/>
              <w:left w:val="single" w:sz="4" w:space="0" w:color="auto"/>
              <w:bottom w:val="single" w:sz="4" w:space="0" w:color="auto"/>
              <w:right w:val="single" w:sz="4" w:space="0" w:color="auto"/>
            </w:tcBorders>
            <w:shd w:val="clear" w:color="auto" w:fill="auto"/>
          </w:tcPr>
          <w:p w14:paraId="315B2816" w14:textId="77777777" w:rsidR="00632E9E" w:rsidRPr="00632E9E" w:rsidRDefault="00632E9E" w:rsidP="00632E9E">
            <w:pPr>
              <w:spacing w:before="60" w:after="60"/>
              <w:jc w:val="both"/>
              <w:rPr>
                <w:rFonts w:ascii="Arial" w:hAnsi="Arial" w:cs="Arial"/>
                <w:b/>
                <w:i/>
                <w:sz w:val="22"/>
                <w:szCs w:val="22"/>
                <w:lang w:eastAsia="en-GB"/>
              </w:rPr>
            </w:pPr>
            <w:r w:rsidRPr="00632E9E">
              <w:rPr>
                <w:rFonts w:ascii="Arial" w:hAnsi="Arial" w:cs="Arial"/>
                <w:b/>
                <w:i/>
                <w:sz w:val="22"/>
                <w:szCs w:val="22"/>
                <w:lang w:eastAsia="en-GB"/>
              </w:rPr>
              <w:t>Source data/template for reporting provided by:</w:t>
            </w:r>
          </w:p>
        </w:tc>
        <w:tc>
          <w:tcPr>
            <w:tcW w:w="6742" w:type="dxa"/>
            <w:gridSpan w:val="2"/>
            <w:tcBorders>
              <w:top w:val="single" w:sz="4" w:space="0" w:color="auto"/>
              <w:left w:val="single" w:sz="4" w:space="0" w:color="auto"/>
              <w:bottom w:val="single" w:sz="4" w:space="0" w:color="auto"/>
              <w:right w:val="single" w:sz="4" w:space="0" w:color="auto"/>
            </w:tcBorders>
            <w:shd w:val="clear" w:color="auto" w:fill="auto"/>
          </w:tcPr>
          <w:p w14:paraId="111D9F13" w14:textId="77777777" w:rsidR="00632E9E" w:rsidRPr="00632E9E" w:rsidRDefault="00632E9E" w:rsidP="00632E9E">
            <w:pPr>
              <w:spacing w:before="60" w:after="60"/>
              <w:jc w:val="both"/>
              <w:rPr>
                <w:rFonts w:ascii="Arial" w:hAnsi="Arial" w:cs="Arial"/>
                <w:i/>
                <w:sz w:val="22"/>
                <w:szCs w:val="22"/>
                <w:lang w:eastAsia="en-GB"/>
              </w:rPr>
            </w:pPr>
            <w:r w:rsidRPr="00632E9E">
              <w:rPr>
                <w:rFonts w:ascii="Arial" w:hAnsi="Arial" w:cs="Arial"/>
                <w:i/>
                <w:sz w:val="22"/>
                <w:szCs w:val="22"/>
                <w:lang w:eastAsia="en-GB"/>
              </w:rPr>
              <w:t>Data is supplied by the Ministry from the National Immunisation Register Data Mart and through the DHB quarterly reporting website</w:t>
            </w:r>
          </w:p>
        </w:tc>
      </w:tr>
      <w:tr w:rsidR="00632E9E" w:rsidRPr="00632E9E" w14:paraId="332769F2" w14:textId="77777777" w:rsidTr="00632E9E">
        <w:tc>
          <w:tcPr>
            <w:tcW w:w="2798" w:type="dxa"/>
            <w:gridSpan w:val="2"/>
            <w:tcBorders>
              <w:top w:val="single" w:sz="4" w:space="0" w:color="auto"/>
              <w:left w:val="single" w:sz="4" w:space="0" w:color="auto"/>
              <w:bottom w:val="single" w:sz="4" w:space="0" w:color="auto"/>
              <w:right w:val="single" w:sz="4" w:space="0" w:color="auto"/>
            </w:tcBorders>
            <w:shd w:val="clear" w:color="auto" w:fill="auto"/>
          </w:tcPr>
          <w:p w14:paraId="2E33CDA7" w14:textId="77777777" w:rsidR="00632E9E" w:rsidRPr="00632E9E" w:rsidRDefault="00632E9E" w:rsidP="00632E9E">
            <w:pPr>
              <w:spacing w:before="60" w:after="60"/>
              <w:jc w:val="both"/>
              <w:rPr>
                <w:rFonts w:ascii="Arial" w:hAnsi="Arial" w:cs="Arial"/>
                <w:b/>
                <w:i/>
                <w:sz w:val="22"/>
                <w:szCs w:val="22"/>
                <w:lang w:eastAsia="en-GB"/>
              </w:rPr>
            </w:pPr>
            <w:r w:rsidRPr="00632E9E">
              <w:rPr>
                <w:rFonts w:ascii="Arial" w:hAnsi="Arial" w:cs="Arial"/>
                <w:b/>
                <w:i/>
                <w:sz w:val="22"/>
                <w:szCs w:val="22"/>
                <w:lang w:eastAsia="en-GB"/>
              </w:rPr>
              <w:t>Quarterly reporting  - standard timeline applies</w:t>
            </w:r>
          </w:p>
        </w:tc>
        <w:tc>
          <w:tcPr>
            <w:tcW w:w="6742" w:type="dxa"/>
            <w:gridSpan w:val="2"/>
            <w:tcBorders>
              <w:top w:val="single" w:sz="4" w:space="0" w:color="auto"/>
              <w:left w:val="single" w:sz="4" w:space="0" w:color="auto"/>
              <w:bottom w:val="single" w:sz="4" w:space="0" w:color="auto"/>
              <w:right w:val="single" w:sz="4" w:space="0" w:color="auto"/>
            </w:tcBorders>
            <w:shd w:val="clear" w:color="auto" w:fill="auto"/>
          </w:tcPr>
          <w:p w14:paraId="146550D1" w14:textId="77777777" w:rsidR="00632E9E" w:rsidRPr="00632E9E" w:rsidRDefault="00632E9E" w:rsidP="00632E9E">
            <w:pPr>
              <w:spacing w:before="60" w:after="60"/>
              <w:jc w:val="both"/>
              <w:rPr>
                <w:rFonts w:ascii="Arial" w:hAnsi="Arial" w:cs="Arial"/>
                <w:i/>
                <w:sz w:val="22"/>
                <w:szCs w:val="22"/>
                <w:lang w:eastAsia="en-GB"/>
              </w:rPr>
            </w:pPr>
          </w:p>
          <w:tbl>
            <w:tblPr>
              <w:tblpPr w:leftFromText="180" w:rightFromText="180" w:vertAnchor="text" w:horzAnchor="margin" w:tblpY="-81"/>
              <w:tblOverlap w:val="never"/>
              <w:tblW w:w="6516" w:type="dxa"/>
              <w:tblLook w:val="0000" w:firstRow="0" w:lastRow="0" w:firstColumn="0" w:lastColumn="0" w:noHBand="0" w:noVBand="0"/>
            </w:tblPr>
            <w:tblGrid>
              <w:gridCol w:w="2686"/>
              <w:gridCol w:w="3830"/>
            </w:tblGrid>
            <w:tr w:rsidR="00632E9E" w:rsidRPr="00632E9E" w14:paraId="49A7339E" w14:textId="77777777" w:rsidTr="00632E9E">
              <w:trPr>
                <w:trHeight w:val="33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30E7"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DHB Reports Due</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2D2A2"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20th of the month following the end of the quarter</w:t>
                  </w:r>
                </w:p>
              </w:tc>
            </w:tr>
            <w:tr w:rsidR="00632E9E" w:rsidRPr="00632E9E" w14:paraId="55955406" w14:textId="77777777" w:rsidTr="00632E9E">
              <w:trPr>
                <w:trHeight w:val="33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41907"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 xml:space="preserve">Ministry Initial rating &amp; feedback </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F936"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8-10 working days from receiving reports</w:t>
                  </w:r>
                </w:p>
              </w:tc>
            </w:tr>
            <w:tr w:rsidR="00632E9E" w:rsidRPr="00632E9E" w14:paraId="7D3D9200" w14:textId="77777777" w:rsidTr="00632E9E">
              <w:trPr>
                <w:trHeight w:val="33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547FD"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DHB Response due</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9EA3"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Five working days from receiving initial ratings</w:t>
                  </w:r>
                </w:p>
              </w:tc>
            </w:tr>
            <w:tr w:rsidR="00632E9E" w:rsidRPr="00632E9E" w14:paraId="1B84538C" w14:textId="77777777" w:rsidTr="00632E9E">
              <w:trPr>
                <w:trHeight w:val="33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71272"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 xml:space="preserve">Confirmed rating and feedback </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706A" w14:textId="77777777" w:rsidR="00632E9E" w:rsidRPr="00632E9E" w:rsidRDefault="00632E9E" w:rsidP="00632E9E">
                  <w:pPr>
                    <w:spacing w:before="120" w:after="120"/>
                    <w:rPr>
                      <w:rFonts w:ascii="Arial" w:hAnsi="Arial" w:cs="Arial"/>
                      <w:sz w:val="20"/>
                      <w:szCs w:val="20"/>
                      <w:lang w:eastAsia="en-GB"/>
                    </w:rPr>
                  </w:pPr>
                  <w:r w:rsidRPr="00632E9E">
                    <w:rPr>
                      <w:rFonts w:ascii="Arial" w:hAnsi="Arial" w:cs="Arial"/>
                      <w:sz w:val="20"/>
                      <w:szCs w:val="20"/>
                      <w:lang w:eastAsia="en-GB"/>
                    </w:rPr>
                    <w:t>4-5 working days from receiving DHB feedback</w:t>
                  </w:r>
                </w:p>
              </w:tc>
            </w:tr>
          </w:tbl>
          <w:p w14:paraId="3E85EED0" w14:textId="77777777" w:rsidR="00632E9E" w:rsidRPr="00632E9E" w:rsidRDefault="00632E9E" w:rsidP="00632E9E">
            <w:pPr>
              <w:spacing w:before="60" w:after="60"/>
              <w:jc w:val="both"/>
              <w:rPr>
                <w:rFonts w:ascii="Arial" w:hAnsi="Arial" w:cs="Arial"/>
                <w:i/>
                <w:sz w:val="22"/>
                <w:szCs w:val="22"/>
                <w:lang w:eastAsia="en-GB"/>
              </w:rPr>
            </w:pPr>
          </w:p>
        </w:tc>
      </w:tr>
    </w:tbl>
    <w:p w14:paraId="0A182E3A" w14:textId="77777777" w:rsidR="00632E9E" w:rsidRPr="00632E9E" w:rsidRDefault="00632E9E" w:rsidP="00632E9E">
      <w:pPr>
        <w:spacing w:before="60" w:after="60"/>
        <w:rPr>
          <w:rFonts w:ascii="Arial" w:hAnsi="Arial" w:cs="Arial"/>
          <w:sz w:val="22"/>
          <w:szCs w:val="22"/>
          <w:lang w:eastAsia="en-GB"/>
        </w:rPr>
      </w:pPr>
    </w:p>
    <w:p w14:paraId="5CB21B38" w14:textId="77777777" w:rsidR="00632E9E" w:rsidRPr="00632E9E" w:rsidRDefault="00632E9E" w:rsidP="00632E9E">
      <w:pPr>
        <w:rPr>
          <w:rFonts w:ascii="Arial" w:hAnsi="Arial" w:cs="Times"/>
          <w:b/>
          <w:szCs w:val="22"/>
          <w:lang w:eastAsia="en-GB"/>
        </w:rPr>
      </w:pPr>
      <w:r w:rsidRPr="00632E9E">
        <w:rPr>
          <w:rFonts w:ascii="Arial" w:hAnsi="Arial" w:cs="Times"/>
          <w:b/>
          <w:szCs w:val="22"/>
          <w:lang w:eastAsia="en-GB"/>
        </w:rPr>
        <w:t>Link to outcomes</w:t>
      </w:r>
    </w:p>
    <w:p w14:paraId="37CB1D5E" w14:textId="77777777" w:rsidR="00632E9E" w:rsidRPr="00632E9E" w:rsidRDefault="00632E9E" w:rsidP="00632E9E">
      <w:pPr>
        <w:rPr>
          <w:rFonts w:ascii="Arial" w:hAnsi="Arial" w:cs="Times"/>
          <w:b/>
          <w:sz w:val="22"/>
          <w:szCs w:val="22"/>
          <w:lang w:eastAsia="en-GB"/>
        </w:rPr>
      </w:pPr>
    </w:p>
    <w:p w14:paraId="063279D1" w14:textId="77777777" w:rsidR="00632E9E" w:rsidRPr="00632E9E" w:rsidRDefault="00632E9E" w:rsidP="00632E9E">
      <w:pPr>
        <w:rPr>
          <w:rFonts w:ascii="Arial" w:hAnsi="Arial" w:cs="Arial"/>
          <w:sz w:val="22"/>
          <w:szCs w:val="22"/>
          <w:lang w:eastAsia="en-GB"/>
        </w:rPr>
      </w:pPr>
      <w:r w:rsidRPr="00632E9E">
        <w:rPr>
          <w:rFonts w:ascii="Arial" w:hAnsi="Arial" w:cs="Arial"/>
          <w:sz w:val="22"/>
          <w:szCs w:val="22"/>
          <w:lang w:eastAsia="en-GB"/>
        </w:rPr>
        <w:t xml:space="preserve">Delivery of this measure supports the government </w:t>
      </w:r>
      <w:r w:rsidRPr="00632E9E">
        <w:rPr>
          <w:rFonts w:ascii="Arial" w:hAnsi="Arial" w:cs="Arial"/>
          <w:i/>
          <w:sz w:val="22"/>
          <w:szCs w:val="22"/>
          <w:lang w:eastAsia="en-GB"/>
        </w:rPr>
        <w:t>priority Improving the wellbeing of New Zealanders and their families</w:t>
      </w:r>
      <w:r w:rsidRPr="00632E9E">
        <w:rPr>
          <w:rFonts w:ascii="Arial" w:hAnsi="Arial" w:cs="Arial"/>
          <w:sz w:val="22"/>
          <w:szCs w:val="22"/>
          <w:lang w:eastAsia="en-GB"/>
        </w:rPr>
        <w:t xml:space="preserve">. </w:t>
      </w:r>
    </w:p>
    <w:p w14:paraId="5977F228" w14:textId="77777777" w:rsidR="00632E9E" w:rsidRPr="00632E9E" w:rsidRDefault="00632E9E" w:rsidP="00632E9E">
      <w:pPr>
        <w:spacing w:line="300" w:lineRule="auto"/>
        <w:rPr>
          <w:rFonts w:ascii="Arial" w:hAnsi="Arial" w:cs="Arial"/>
          <w:sz w:val="22"/>
          <w:szCs w:val="22"/>
          <w:lang w:eastAsia="en-GB"/>
        </w:rPr>
      </w:pPr>
    </w:p>
    <w:p w14:paraId="6991E150" w14:textId="77777777" w:rsidR="00632E9E" w:rsidRPr="00632E9E" w:rsidRDefault="00632E9E" w:rsidP="00632E9E">
      <w:pPr>
        <w:jc w:val="both"/>
        <w:rPr>
          <w:rFonts w:ascii="Arial" w:hAnsi="Arial" w:cs="Arial"/>
          <w:sz w:val="22"/>
          <w:szCs w:val="22"/>
          <w:lang w:eastAsia="en-GB"/>
        </w:rPr>
      </w:pPr>
      <w:r w:rsidRPr="00632E9E">
        <w:rPr>
          <w:rFonts w:ascii="Arial" w:hAnsi="Arial" w:cs="Arial"/>
          <w:sz w:val="22"/>
          <w:szCs w:val="22"/>
          <w:lang w:eastAsia="en-GB"/>
        </w:rPr>
        <w:t>By ensuring increased immunisation coverage DHBs will support Government's priority to make New Zealand the best place in the world to be a child and our health system outcome that we live longer in good health.</w:t>
      </w:r>
    </w:p>
    <w:p w14:paraId="1C7DB2C6" w14:textId="77777777" w:rsidR="00632E9E" w:rsidRPr="00632E9E" w:rsidRDefault="00632E9E" w:rsidP="00632E9E">
      <w:pPr>
        <w:rPr>
          <w:rFonts w:ascii="Arial" w:hAnsi="Arial" w:cs="Arial"/>
          <w:bCs/>
          <w:iCs/>
          <w:sz w:val="22"/>
          <w:szCs w:val="22"/>
          <w:lang w:eastAsia="en-GB"/>
        </w:rPr>
      </w:pPr>
    </w:p>
    <w:p w14:paraId="1D40214F" w14:textId="77777777" w:rsidR="00632E9E" w:rsidRPr="00632E9E" w:rsidRDefault="00632E9E" w:rsidP="00632E9E">
      <w:pPr>
        <w:rPr>
          <w:rFonts w:ascii="Arial" w:hAnsi="Arial" w:cs="Arial"/>
          <w:bCs/>
          <w:iCs/>
          <w:sz w:val="22"/>
          <w:szCs w:val="22"/>
          <w:lang w:eastAsia="en-GB"/>
        </w:rPr>
      </w:pPr>
      <w:r w:rsidRPr="00632E9E">
        <w:rPr>
          <w:rFonts w:ascii="Arial" w:hAnsi="Arial" w:cs="Arial"/>
          <w:bCs/>
          <w:iCs/>
          <w:sz w:val="22"/>
          <w:szCs w:val="22"/>
          <w:lang w:eastAsia="en-GB"/>
        </w:rPr>
        <w:t>Immunisation is one the most effective and cost-effective public health intervention to prevent disease and save lives. Improved immunisation coverage leads directly to reduced rates of vaccine-preventable disease, and consequently better health and independence for children, particularly for the most vulnerable groups. This equates to longer and healthier lives. Increasing immunisation coverage is a pro-equity strategy because Māori and Pacific children are more likely to experience serious complications if they contract vaccine-preventable diseases.</w:t>
      </w:r>
    </w:p>
    <w:p w14:paraId="404AA333" w14:textId="77777777" w:rsidR="00632E9E" w:rsidRPr="00632E9E" w:rsidRDefault="00632E9E" w:rsidP="00632E9E">
      <w:pPr>
        <w:rPr>
          <w:rFonts w:ascii="Arial" w:hAnsi="Arial" w:cs="Arial"/>
          <w:bCs/>
          <w:iCs/>
          <w:sz w:val="22"/>
          <w:szCs w:val="22"/>
          <w:lang w:eastAsia="en-GB"/>
        </w:rPr>
      </w:pPr>
    </w:p>
    <w:p w14:paraId="0A63AAA8" w14:textId="77777777" w:rsidR="00632E9E" w:rsidRPr="00632E9E" w:rsidRDefault="00632E9E" w:rsidP="00632E9E">
      <w:pPr>
        <w:jc w:val="both"/>
        <w:rPr>
          <w:rFonts w:ascii="Arial" w:hAnsi="Arial" w:cs="Arial"/>
          <w:bCs/>
          <w:iCs/>
          <w:sz w:val="22"/>
          <w:szCs w:val="22"/>
          <w:lang w:eastAsia="en-GB"/>
        </w:rPr>
      </w:pPr>
      <w:r w:rsidRPr="00632E9E">
        <w:rPr>
          <w:rFonts w:ascii="Arial" w:hAnsi="Arial" w:cs="Arial"/>
          <w:bCs/>
          <w:iCs/>
          <w:sz w:val="22"/>
          <w:szCs w:val="22"/>
          <w:lang w:eastAsia="en-GB"/>
        </w:rPr>
        <w:t xml:space="preserve">Childhood immunisation provides a </w:t>
      </w:r>
      <w:proofErr w:type="gramStart"/>
      <w:r w:rsidRPr="00632E9E">
        <w:rPr>
          <w:rFonts w:ascii="Arial" w:hAnsi="Arial" w:cs="Arial"/>
          <w:bCs/>
          <w:iCs/>
          <w:sz w:val="22"/>
          <w:szCs w:val="22"/>
          <w:lang w:eastAsia="en-GB"/>
        </w:rPr>
        <w:t>touch-point</w:t>
      </w:r>
      <w:proofErr w:type="gramEnd"/>
      <w:r w:rsidRPr="00632E9E">
        <w:rPr>
          <w:rFonts w:ascii="Arial" w:hAnsi="Arial" w:cs="Arial"/>
          <w:bCs/>
          <w:iCs/>
          <w:sz w:val="22"/>
          <w:szCs w:val="22"/>
          <w:lang w:eastAsia="en-GB"/>
        </w:rPr>
        <w:t xml:space="preserve"> into the health system, promoting a healthy habit of engagement with the health system for young families, supporting early enrolment of infants in general practice and with well child services. Provision of effective immunisation services enhances integration across general practice, maternity, secondary care, well child and other child service providers. Training in immunisation provision, health education for parents, knowledge about vaccine-preventable diseases </w:t>
      </w:r>
      <w:r w:rsidRPr="00632E9E">
        <w:rPr>
          <w:rFonts w:ascii="Arial" w:hAnsi="Arial" w:cs="Arial"/>
          <w:bCs/>
          <w:iCs/>
          <w:sz w:val="22"/>
          <w:szCs w:val="22"/>
          <w:lang w:eastAsia="en-GB"/>
        </w:rPr>
        <w:lastRenderedPageBreak/>
        <w:t>and how to identify and provide services to high-needs populations will generalise to a range of other child and family service areas.</w:t>
      </w:r>
    </w:p>
    <w:p w14:paraId="2C969B51" w14:textId="77777777" w:rsidR="00632E9E" w:rsidRPr="00632E9E" w:rsidRDefault="00632E9E" w:rsidP="00632E9E">
      <w:pPr>
        <w:rPr>
          <w:rFonts w:ascii="Arial" w:hAnsi="Arial" w:cs="Arial"/>
          <w:b/>
          <w:lang w:val="en-GB" w:eastAsia="en-GB"/>
        </w:rPr>
      </w:pPr>
    </w:p>
    <w:p w14:paraId="28D13351" w14:textId="77777777" w:rsidR="00632E9E" w:rsidRPr="00632E9E" w:rsidRDefault="00632E9E" w:rsidP="00632E9E">
      <w:pPr>
        <w:rPr>
          <w:rFonts w:ascii="Arial" w:hAnsi="Arial" w:cs="Times"/>
          <w:b/>
          <w:sz w:val="22"/>
          <w:szCs w:val="22"/>
          <w:lang w:eastAsia="en-GB"/>
        </w:rPr>
      </w:pPr>
      <w:r w:rsidRPr="00632E9E">
        <w:rPr>
          <w:rFonts w:ascii="Arial" w:hAnsi="Arial" w:cs="Times"/>
          <w:b/>
          <w:szCs w:val="22"/>
          <w:lang w:eastAsia="en-GB"/>
        </w:rPr>
        <w:t>Deliverable</w:t>
      </w:r>
      <w:r w:rsidRPr="00632E9E">
        <w:rPr>
          <w:rFonts w:ascii="Arial" w:hAnsi="Arial" w:cs="Times"/>
          <w:b/>
          <w:sz w:val="22"/>
          <w:szCs w:val="22"/>
          <w:lang w:eastAsia="en-GB"/>
        </w:rPr>
        <w:br/>
      </w:r>
    </w:p>
    <w:p w14:paraId="7CAA6970" w14:textId="77777777" w:rsidR="00632E9E" w:rsidRPr="00632E9E" w:rsidRDefault="00632E9E" w:rsidP="00632E9E">
      <w:pPr>
        <w:rPr>
          <w:rFonts w:ascii="Arial" w:hAnsi="Arial" w:cs="Times"/>
          <w:b/>
          <w:sz w:val="22"/>
          <w:szCs w:val="22"/>
          <w:u w:val="single"/>
          <w:lang w:eastAsia="en-GB"/>
        </w:rPr>
      </w:pPr>
      <w:r w:rsidRPr="00632E9E">
        <w:rPr>
          <w:rFonts w:ascii="Arial" w:hAnsi="Arial" w:cs="Times"/>
          <w:b/>
          <w:sz w:val="22"/>
          <w:szCs w:val="22"/>
          <w:u w:val="single"/>
          <w:lang w:eastAsia="en-GB"/>
        </w:rPr>
        <w:t>Percentage of eligible children fully immunised at two years of age for Māori, Pacific (where relevant), and Total populations</w:t>
      </w:r>
    </w:p>
    <w:p w14:paraId="309BE4AD" w14:textId="77777777" w:rsidR="00632E9E" w:rsidRPr="00632E9E" w:rsidRDefault="00632E9E" w:rsidP="00632E9E">
      <w:pPr>
        <w:rPr>
          <w:rFonts w:ascii="Arial" w:hAnsi="Arial" w:cs="Times"/>
          <w:b/>
          <w:sz w:val="22"/>
          <w:szCs w:val="22"/>
          <w:lang w:eastAsia="en-GB"/>
        </w:rPr>
      </w:pPr>
    </w:p>
    <w:p w14:paraId="67A08568"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The expectation of this measure is that DHBs will provide equitable immunisation coverage across their Māori, Pacific (where relevant) and Total populations measured at two years of age, aiming at coverage of 95 percent for each group. Equitable coverage will be defined as an equity gap of no more than two percent between Māori and non-Māori populations; this margin allows for data variability when DHB’s have a small Māori cohort. Additionally for Pacific-priority DHBs, the expectation is that coverage for the Pacific population will be the same or higher than that of the Total population. </w:t>
      </w:r>
    </w:p>
    <w:p w14:paraId="142AC857" w14:textId="77777777" w:rsidR="00632E9E" w:rsidRPr="00632E9E" w:rsidRDefault="00632E9E" w:rsidP="00632E9E">
      <w:pPr>
        <w:jc w:val="both"/>
        <w:rPr>
          <w:rFonts w:ascii="Arial" w:hAnsi="Arial" w:cs="Arial"/>
          <w:bCs/>
          <w:iCs/>
          <w:sz w:val="22"/>
          <w:szCs w:val="22"/>
          <w:lang w:eastAsia="en-GB"/>
        </w:rPr>
      </w:pPr>
    </w:p>
    <w:p w14:paraId="4854781D" w14:textId="77777777" w:rsidR="00632E9E" w:rsidRPr="00632E9E" w:rsidRDefault="00632E9E" w:rsidP="00632E9E">
      <w:pPr>
        <w:rPr>
          <w:rFonts w:ascii="Arial" w:hAnsi="Arial" w:cs="Arial"/>
          <w:bCs/>
          <w:iCs/>
          <w:sz w:val="22"/>
          <w:szCs w:val="22"/>
          <w:lang w:eastAsia="en-GB"/>
        </w:rPr>
      </w:pPr>
      <w:r w:rsidRPr="00632E9E">
        <w:rPr>
          <w:rFonts w:ascii="Arial" w:hAnsi="Arial" w:cs="Arial"/>
          <w:bCs/>
          <w:iCs/>
          <w:sz w:val="22"/>
          <w:szCs w:val="22"/>
          <w:lang w:eastAsia="en-GB"/>
        </w:rPr>
        <w:t xml:space="preserve">Immunisation coverage for two-year-olds will be measured quarterly and reported by ethnicity and deprivation level. Coverage is calculated as the percentage of children who turned two years of age during the quarter who are recorded as fully immunised for age on the National Immunisation Register (NIR), including all scheduled vaccines due between birth and age two years. </w:t>
      </w:r>
    </w:p>
    <w:p w14:paraId="6B90C773" w14:textId="77777777" w:rsidR="00632E9E" w:rsidRPr="00632E9E" w:rsidRDefault="00632E9E" w:rsidP="00632E9E">
      <w:pPr>
        <w:jc w:val="both"/>
        <w:rPr>
          <w:rFonts w:ascii="Arial" w:hAnsi="Arial" w:cs="Arial"/>
          <w:bCs/>
          <w:iCs/>
          <w:sz w:val="22"/>
          <w:szCs w:val="22"/>
          <w:lang w:eastAsia="en-GB"/>
        </w:rPr>
      </w:pPr>
    </w:p>
    <w:p w14:paraId="2C407B98" w14:textId="77777777" w:rsidR="00632E9E" w:rsidRPr="00632E9E" w:rsidRDefault="00632E9E" w:rsidP="00632E9E">
      <w:pPr>
        <w:rPr>
          <w:rFonts w:ascii="Arial" w:hAnsi="Arial" w:cs="Times"/>
          <w:b/>
          <w:szCs w:val="22"/>
          <w:lang w:eastAsia="en-GB"/>
        </w:rPr>
      </w:pPr>
      <w:r w:rsidRPr="00632E9E">
        <w:rPr>
          <w:rFonts w:ascii="Arial" w:hAnsi="Arial" w:cs="Times"/>
          <w:b/>
          <w:szCs w:val="22"/>
          <w:lang w:eastAsia="en-GB"/>
        </w:rPr>
        <w:t>Assessment of coverage</w:t>
      </w:r>
      <w:r w:rsidRPr="00632E9E">
        <w:rPr>
          <w:rFonts w:ascii="Arial" w:hAnsi="Arial" w:cs="Times"/>
          <w:b/>
          <w:szCs w:val="22"/>
          <w:lang w:eastAsia="en-GB"/>
        </w:rPr>
        <w:br/>
      </w:r>
    </w:p>
    <w:p w14:paraId="40D23097" w14:textId="77777777" w:rsidR="00632E9E" w:rsidRPr="00632E9E" w:rsidRDefault="00632E9E" w:rsidP="00632E9E">
      <w:pPr>
        <w:rPr>
          <w:rFonts w:ascii="Arial" w:hAnsi="Arial" w:cs="Arial"/>
          <w:bCs/>
          <w:iCs/>
          <w:sz w:val="22"/>
          <w:szCs w:val="22"/>
          <w:lang w:eastAsia="en-GB"/>
        </w:rPr>
      </w:pPr>
      <w:r w:rsidRPr="00632E9E">
        <w:rPr>
          <w:rFonts w:ascii="Arial" w:hAnsi="Arial" w:cs="Arial"/>
          <w:bCs/>
          <w:iCs/>
          <w:sz w:val="22"/>
          <w:szCs w:val="22"/>
          <w:lang w:eastAsia="en-GB"/>
        </w:rPr>
        <w:t>Immunisation coverage for two-year-olds will be measured using the following the National Immunisation Register (NIR) DataMart report:</w:t>
      </w:r>
    </w:p>
    <w:tbl>
      <w:tblPr>
        <w:tblStyle w:val="TableGrid"/>
        <w:tblW w:w="0" w:type="auto"/>
        <w:tblLook w:val="04A0" w:firstRow="1" w:lastRow="0" w:firstColumn="1" w:lastColumn="0" w:noHBand="0" w:noVBand="1"/>
      </w:tblPr>
      <w:tblGrid>
        <w:gridCol w:w="4508"/>
        <w:gridCol w:w="4508"/>
      </w:tblGrid>
      <w:tr w:rsidR="00632E9E" w:rsidRPr="00632E9E" w14:paraId="1ABBC193" w14:textId="77777777" w:rsidTr="00632E9E">
        <w:tc>
          <w:tcPr>
            <w:tcW w:w="9016" w:type="dxa"/>
            <w:gridSpan w:val="2"/>
          </w:tcPr>
          <w:p w14:paraId="5A9ED770" w14:textId="77777777" w:rsidR="00632E9E" w:rsidRPr="00632E9E" w:rsidRDefault="00632E9E" w:rsidP="00632E9E">
            <w:pPr>
              <w:rPr>
                <w:rFonts w:ascii="Arial" w:eastAsiaTheme="minorHAnsi" w:hAnsi="Arial" w:cs="Arial"/>
                <w:b/>
                <w:sz w:val="20"/>
                <w:szCs w:val="20"/>
                <w:lang w:eastAsia="en-GB"/>
              </w:rPr>
            </w:pPr>
            <w:r w:rsidRPr="00632E9E">
              <w:rPr>
                <w:rFonts w:ascii="Arial" w:eastAsiaTheme="minorHAnsi" w:hAnsi="Arial" w:cs="Arial"/>
                <w:b/>
                <w:sz w:val="20"/>
                <w:szCs w:val="20"/>
                <w:lang w:eastAsia="en-GB"/>
              </w:rPr>
              <w:t>Reporting parameters for immunisation measure at age two years</w:t>
            </w:r>
          </w:p>
        </w:tc>
      </w:tr>
      <w:tr w:rsidR="00632E9E" w:rsidRPr="00632E9E" w14:paraId="44475230" w14:textId="77777777" w:rsidTr="00632E9E">
        <w:tc>
          <w:tcPr>
            <w:tcW w:w="4508" w:type="dxa"/>
          </w:tcPr>
          <w:p w14:paraId="2FFDEEBC"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Reporting platform</w:t>
            </w:r>
          </w:p>
        </w:tc>
        <w:tc>
          <w:tcPr>
            <w:tcW w:w="4508" w:type="dxa"/>
          </w:tcPr>
          <w:p w14:paraId="3BBC5CF7"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Qlik Sense</w:t>
            </w:r>
          </w:p>
        </w:tc>
      </w:tr>
      <w:tr w:rsidR="00632E9E" w:rsidRPr="00632E9E" w14:paraId="53A9C2C5" w14:textId="77777777" w:rsidTr="00632E9E">
        <w:tc>
          <w:tcPr>
            <w:tcW w:w="4508" w:type="dxa"/>
          </w:tcPr>
          <w:p w14:paraId="7F28C8D6"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Report name</w:t>
            </w:r>
          </w:p>
        </w:tc>
        <w:tc>
          <w:tcPr>
            <w:tcW w:w="4508" w:type="dxa"/>
          </w:tcPr>
          <w:p w14:paraId="5AADABEE"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Child immunisation coverage by milestone</w:t>
            </w:r>
          </w:p>
        </w:tc>
      </w:tr>
      <w:tr w:rsidR="00632E9E" w:rsidRPr="00632E9E" w14:paraId="1DBC2945" w14:textId="77777777" w:rsidTr="00632E9E">
        <w:tc>
          <w:tcPr>
            <w:tcW w:w="4508" w:type="dxa"/>
          </w:tcPr>
          <w:p w14:paraId="32A1DC54"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Report end date</w:t>
            </w:r>
          </w:p>
        </w:tc>
        <w:tc>
          <w:tcPr>
            <w:tcW w:w="4508" w:type="dxa"/>
          </w:tcPr>
          <w:p w14:paraId="068E576A"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Last day of the relevant quarter</w:t>
            </w:r>
          </w:p>
        </w:tc>
      </w:tr>
      <w:tr w:rsidR="00632E9E" w:rsidRPr="00632E9E" w14:paraId="4D1ECBA3" w14:textId="77777777" w:rsidTr="00632E9E">
        <w:tc>
          <w:tcPr>
            <w:tcW w:w="4508" w:type="dxa"/>
          </w:tcPr>
          <w:p w14:paraId="5687F28A"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Reporting period</w:t>
            </w:r>
          </w:p>
        </w:tc>
        <w:tc>
          <w:tcPr>
            <w:tcW w:w="4508" w:type="dxa"/>
          </w:tcPr>
          <w:p w14:paraId="387073FF"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Last three months</w:t>
            </w:r>
          </w:p>
        </w:tc>
      </w:tr>
      <w:tr w:rsidR="00632E9E" w:rsidRPr="00632E9E" w14:paraId="389340F2" w14:textId="77777777" w:rsidTr="00632E9E">
        <w:tc>
          <w:tcPr>
            <w:tcW w:w="4508" w:type="dxa"/>
          </w:tcPr>
          <w:p w14:paraId="3177096D"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Milestone age</w:t>
            </w:r>
          </w:p>
        </w:tc>
        <w:tc>
          <w:tcPr>
            <w:tcW w:w="4508" w:type="dxa"/>
          </w:tcPr>
          <w:p w14:paraId="3EB172F0" w14:textId="77777777" w:rsidR="00632E9E" w:rsidRPr="00632E9E" w:rsidRDefault="00632E9E" w:rsidP="00632E9E">
            <w:pPr>
              <w:rPr>
                <w:rFonts w:ascii="Arial" w:eastAsiaTheme="minorHAnsi" w:hAnsi="Arial" w:cs="Arial"/>
                <w:sz w:val="20"/>
                <w:szCs w:val="20"/>
                <w:lang w:eastAsia="en-GB"/>
              </w:rPr>
            </w:pPr>
            <w:r w:rsidRPr="00632E9E">
              <w:rPr>
                <w:rFonts w:ascii="Arial" w:eastAsiaTheme="minorHAnsi" w:hAnsi="Arial" w:cs="Arial"/>
                <w:sz w:val="20"/>
                <w:szCs w:val="20"/>
                <w:lang w:eastAsia="en-GB"/>
              </w:rPr>
              <w:t>Two years</w:t>
            </w:r>
          </w:p>
        </w:tc>
      </w:tr>
    </w:tbl>
    <w:p w14:paraId="042F6301" w14:textId="77777777" w:rsidR="00632E9E" w:rsidRPr="00632E9E" w:rsidRDefault="00632E9E" w:rsidP="00632E9E">
      <w:pPr>
        <w:autoSpaceDE w:val="0"/>
        <w:autoSpaceDN w:val="0"/>
        <w:adjustRightInd w:val="0"/>
        <w:spacing w:before="120" w:after="120"/>
        <w:jc w:val="both"/>
        <w:rPr>
          <w:rFonts w:ascii="Arial" w:hAnsi="Arial" w:cs="Arial"/>
          <w:color w:val="000000"/>
          <w:sz w:val="22"/>
          <w:szCs w:val="22"/>
          <w:lang w:eastAsia="en-GB"/>
        </w:rPr>
      </w:pPr>
    </w:p>
    <w:p w14:paraId="28F5BDBC" w14:textId="77777777" w:rsidR="00632E9E" w:rsidRPr="00632E9E" w:rsidRDefault="00632E9E" w:rsidP="00632E9E">
      <w:pPr>
        <w:rPr>
          <w:rFonts w:ascii="Arial" w:hAnsi="Arial" w:cs="Arial"/>
          <w:i/>
          <w:sz w:val="22"/>
          <w:szCs w:val="22"/>
          <w:lang w:val="en-GB" w:eastAsia="en-GB"/>
        </w:rPr>
      </w:pPr>
      <w:r w:rsidRPr="00632E9E">
        <w:rPr>
          <w:rFonts w:ascii="Arial" w:hAnsi="Arial" w:cs="Arial"/>
          <w:i/>
          <w:sz w:val="22"/>
          <w:szCs w:val="22"/>
          <w:lang w:val="en-GB" w:eastAsia="en-GB"/>
        </w:rPr>
        <w:t xml:space="preserve">Numerator: </w:t>
      </w:r>
    </w:p>
    <w:p w14:paraId="767C9AC1"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The numerator is the number of eligible children enrolled on the NIR who have turned two years of age during the quarter and who are recorded as fully immunised on the end of the day that they turn the milestone age.</w:t>
      </w:r>
    </w:p>
    <w:p w14:paraId="2549C691" w14:textId="77777777" w:rsidR="00632E9E" w:rsidRPr="00632E9E" w:rsidRDefault="00632E9E" w:rsidP="00632E9E">
      <w:pPr>
        <w:rPr>
          <w:rFonts w:ascii="Arial" w:hAnsi="Arial" w:cs="Arial"/>
          <w:sz w:val="22"/>
          <w:szCs w:val="22"/>
          <w:lang w:val="en-GB" w:eastAsia="en-GB"/>
        </w:rPr>
      </w:pPr>
    </w:p>
    <w:p w14:paraId="1A53643F"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Fully immunised at age two years is defined as having received all measured immunisations scheduled between birth and age two years. This includes the immunisation events due at six weeks, three months, five months, and 15 months of age, or an appropriate catch-up schedule. To be measured as fully immunised, the child must have received all age-appropriate doses of diphtheria, tetanus, pertussis, polio, hepatitis B, </w:t>
      </w:r>
      <w:r w:rsidRPr="00632E9E">
        <w:rPr>
          <w:rFonts w:ascii="Arial" w:hAnsi="Arial" w:cs="Arial"/>
          <w:i/>
          <w:sz w:val="22"/>
          <w:szCs w:val="22"/>
          <w:lang w:val="en-GB" w:eastAsia="en-GB"/>
        </w:rPr>
        <w:t>Haemophilus influenzae</w:t>
      </w:r>
      <w:r w:rsidRPr="00632E9E">
        <w:rPr>
          <w:rFonts w:ascii="Arial" w:hAnsi="Arial" w:cs="Arial"/>
          <w:sz w:val="22"/>
          <w:szCs w:val="22"/>
          <w:lang w:val="en-GB" w:eastAsia="en-GB"/>
        </w:rPr>
        <w:t xml:space="preserve"> type B, pneumococcal vaccines and the first dose of measles, </w:t>
      </w:r>
      <w:proofErr w:type="gramStart"/>
      <w:r w:rsidRPr="00632E9E">
        <w:rPr>
          <w:rFonts w:ascii="Arial" w:hAnsi="Arial" w:cs="Arial"/>
          <w:sz w:val="22"/>
          <w:szCs w:val="22"/>
          <w:lang w:val="en-GB" w:eastAsia="en-GB"/>
        </w:rPr>
        <w:t>mumps</w:t>
      </w:r>
      <w:proofErr w:type="gramEnd"/>
      <w:r w:rsidRPr="00632E9E">
        <w:rPr>
          <w:rFonts w:ascii="Arial" w:hAnsi="Arial" w:cs="Arial"/>
          <w:sz w:val="22"/>
          <w:szCs w:val="22"/>
          <w:lang w:val="en-GB" w:eastAsia="en-GB"/>
        </w:rPr>
        <w:t xml:space="preserve"> and rubella vaccine. </w:t>
      </w:r>
    </w:p>
    <w:p w14:paraId="0C3987E0" w14:textId="77777777" w:rsidR="00632E9E" w:rsidRPr="00632E9E" w:rsidRDefault="00632E9E" w:rsidP="00632E9E">
      <w:pPr>
        <w:rPr>
          <w:rFonts w:ascii="Arial" w:hAnsi="Arial" w:cs="Arial"/>
          <w:sz w:val="22"/>
          <w:szCs w:val="22"/>
          <w:lang w:val="en-GB" w:eastAsia="en-GB"/>
        </w:rPr>
      </w:pPr>
    </w:p>
    <w:p w14:paraId="161E5EB0"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Although rotavirus and varicella vaccines are included in the National Immunisation Schedule, these vaccines are not currently included in performance measures for immunisation coverage because of their later addition to the schedule. It is anticipated that these vaccines will be included in performance measures in the future.     </w:t>
      </w:r>
    </w:p>
    <w:p w14:paraId="26235643" w14:textId="77777777" w:rsidR="00632E9E" w:rsidRPr="00632E9E" w:rsidRDefault="00632E9E" w:rsidP="00632E9E">
      <w:pPr>
        <w:rPr>
          <w:rFonts w:ascii="Arial" w:hAnsi="Arial" w:cs="Arial"/>
          <w:sz w:val="22"/>
          <w:szCs w:val="22"/>
          <w:lang w:val="en-GB" w:eastAsia="en-GB"/>
        </w:rPr>
      </w:pPr>
    </w:p>
    <w:p w14:paraId="34B11764" w14:textId="77777777" w:rsidR="00632E9E" w:rsidRPr="00632E9E" w:rsidRDefault="00632E9E" w:rsidP="00632E9E">
      <w:pPr>
        <w:rPr>
          <w:rFonts w:ascii="Arial" w:hAnsi="Arial" w:cs="Arial"/>
          <w:sz w:val="22"/>
          <w:szCs w:val="22"/>
          <w:lang w:val="en-GB" w:eastAsia="en-GB"/>
        </w:rPr>
      </w:pPr>
      <w:r w:rsidRPr="00632E9E">
        <w:rPr>
          <w:rFonts w:ascii="Arial" w:hAnsi="Arial" w:cs="Arial"/>
          <w:i/>
          <w:sz w:val="22"/>
          <w:szCs w:val="22"/>
          <w:lang w:val="en-GB" w:eastAsia="en-GB"/>
        </w:rPr>
        <w:t>Denominator</w:t>
      </w:r>
      <w:r w:rsidRPr="00632E9E">
        <w:rPr>
          <w:rFonts w:ascii="Arial" w:hAnsi="Arial" w:cs="Arial"/>
          <w:sz w:val="22"/>
          <w:szCs w:val="22"/>
          <w:lang w:val="en-GB" w:eastAsia="en-GB"/>
        </w:rPr>
        <w:t xml:space="preserve">: </w:t>
      </w:r>
    </w:p>
    <w:p w14:paraId="08DB2302"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The denominator is the number of eligible children enrolled on the NIR who have turned two years of age during the quarter. Those who decline vaccines or who have opted off their information being recorded on the NIR are included in the denominator.  </w:t>
      </w:r>
    </w:p>
    <w:p w14:paraId="59DAC8BC" w14:textId="77777777" w:rsidR="00632E9E" w:rsidRPr="00632E9E" w:rsidRDefault="00632E9E" w:rsidP="00632E9E">
      <w:pPr>
        <w:rPr>
          <w:rFonts w:ascii="Arial" w:hAnsi="Arial" w:cs="Arial"/>
          <w:sz w:val="22"/>
          <w:szCs w:val="22"/>
          <w:lang w:val="en-GB" w:eastAsia="en-GB"/>
        </w:rPr>
      </w:pPr>
    </w:p>
    <w:p w14:paraId="3953B94D"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lastRenderedPageBreak/>
        <w:t xml:space="preserve">The quarterly coverage report will be run after the weekly data update (“refresh”) of the NIR Data Mart after the end of the quarter; reports are generally run on the Monday closest to the 10th of the month after the end of the quarter to ensure timeliness while also allowing the complete quarter's data to have been loaded on to the NIR Data Mart. </w:t>
      </w:r>
    </w:p>
    <w:p w14:paraId="5BF8931E" w14:textId="77777777" w:rsidR="00632E9E" w:rsidRPr="00632E9E" w:rsidRDefault="00632E9E" w:rsidP="00632E9E">
      <w:pPr>
        <w:rPr>
          <w:rFonts w:ascii="Arial" w:hAnsi="Arial" w:cs="Arial"/>
          <w:sz w:val="22"/>
          <w:szCs w:val="22"/>
          <w:lang w:val="en-GB" w:eastAsia="en-GB"/>
        </w:rPr>
      </w:pPr>
    </w:p>
    <w:p w14:paraId="6A30BF10"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Current performance reports can be accessed directly from the NIR DataMart reports on Qlik Sense. At the end of each quarter, the reports at both National and DHB level will also be available to DHBs in Excel and PDF format in the toolkit section of the Quarterly Reporting Database. DHBs are expected to use these reports to provide exception qualitative reports and/or use this mechanism to raise issues with the Ministry.</w:t>
      </w:r>
    </w:p>
    <w:p w14:paraId="6B1EA87E" w14:textId="77777777" w:rsidR="00632E9E" w:rsidRPr="00632E9E" w:rsidRDefault="00632E9E" w:rsidP="00632E9E">
      <w:pPr>
        <w:rPr>
          <w:rFonts w:ascii="Arial" w:hAnsi="Arial" w:cs="Arial"/>
          <w:sz w:val="22"/>
          <w:szCs w:val="22"/>
          <w:lang w:val="en-GB" w:eastAsia="en-GB"/>
        </w:rPr>
      </w:pPr>
    </w:p>
    <w:p w14:paraId="1232E841" w14:textId="77777777" w:rsidR="00632E9E" w:rsidRPr="00632E9E" w:rsidRDefault="00632E9E" w:rsidP="00632E9E">
      <w:pPr>
        <w:rPr>
          <w:rFonts w:ascii="Arial" w:eastAsia="Calibri" w:hAnsi="Arial" w:cs="Arial"/>
          <w:sz w:val="22"/>
          <w:szCs w:val="22"/>
          <w:lang w:eastAsia="en-GB"/>
        </w:rPr>
      </w:pPr>
      <w:r w:rsidRPr="00632E9E">
        <w:rPr>
          <w:rFonts w:ascii="Arial" w:hAnsi="Arial" w:cs="Arial"/>
          <w:sz w:val="22"/>
          <w:szCs w:val="22"/>
          <w:lang w:val="en-GB" w:eastAsia="en-GB"/>
        </w:rPr>
        <w:t>Immunisation</w:t>
      </w:r>
      <w:r w:rsidRPr="00632E9E">
        <w:rPr>
          <w:rFonts w:ascii="Arial" w:eastAsia="Calibri" w:hAnsi="Arial" w:cs="Arial"/>
          <w:sz w:val="22"/>
          <w:szCs w:val="22"/>
          <w:lang w:eastAsia="en-GB"/>
        </w:rPr>
        <w:t xml:space="preserve"> coverage reports will be provided quarterly as follows:</w:t>
      </w:r>
    </w:p>
    <w:p w14:paraId="4604D077" w14:textId="77777777" w:rsidR="00632E9E" w:rsidRPr="00632E9E" w:rsidRDefault="00632E9E" w:rsidP="00632E9E">
      <w:pPr>
        <w:shd w:val="clear" w:color="auto" w:fill="FFFFFF"/>
        <w:spacing w:before="60" w:after="60" w:line="259" w:lineRule="auto"/>
        <w:jc w:val="both"/>
        <w:rPr>
          <w:rFonts w:ascii="Arial" w:eastAsia="Calibri" w:hAnsi="Arial" w:cs="Arial"/>
          <w:sz w:val="22"/>
          <w:szCs w:val="22"/>
          <w:lang w:eastAsia="en-GB"/>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632E9E" w:rsidRPr="00632E9E" w14:paraId="0BD59051"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1BE50AE" w14:textId="77777777" w:rsidR="00632E9E" w:rsidRPr="00632E9E" w:rsidRDefault="00632E9E" w:rsidP="00632E9E">
            <w:pPr>
              <w:spacing w:before="60" w:after="60" w:line="259" w:lineRule="auto"/>
              <w:jc w:val="both"/>
              <w:rPr>
                <w:rFonts w:ascii="Arial" w:eastAsia="Calibri" w:hAnsi="Arial" w:cs="Arial"/>
                <w:b/>
                <w:sz w:val="20"/>
                <w:szCs w:val="20"/>
                <w:lang w:eastAsia="en-GB"/>
              </w:rPr>
            </w:pPr>
            <w:r w:rsidRPr="00632E9E">
              <w:rPr>
                <w:rFonts w:ascii="Arial" w:eastAsia="Calibri" w:hAnsi="Arial" w:cs="Arial"/>
                <w:b/>
                <w:sz w:val="20"/>
                <w:szCs w:val="20"/>
                <w:lang w:eastAsia="en-GB"/>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D29E8D2" w14:textId="77777777" w:rsidR="00632E9E" w:rsidRPr="00632E9E" w:rsidRDefault="00632E9E" w:rsidP="00632E9E">
            <w:pPr>
              <w:spacing w:before="60" w:after="60" w:line="259" w:lineRule="auto"/>
              <w:jc w:val="both"/>
              <w:rPr>
                <w:rFonts w:ascii="Arial" w:eastAsia="Calibri" w:hAnsi="Arial" w:cs="Arial"/>
                <w:b/>
                <w:sz w:val="20"/>
                <w:szCs w:val="20"/>
                <w:lang w:eastAsia="en-GB"/>
              </w:rPr>
            </w:pPr>
            <w:r w:rsidRPr="00632E9E">
              <w:rPr>
                <w:rFonts w:ascii="Arial" w:eastAsia="Calibri" w:hAnsi="Arial" w:cs="Arial"/>
                <w:b/>
                <w:sz w:val="20"/>
                <w:szCs w:val="20"/>
                <w:lang w:eastAsia="en-GB"/>
              </w:rPr>
              <w:t>For the time period</w:t>
            </w:r>
          </w:p>
        </w:tc>
      </w:tr>
      <w:tr w:rsidR="00632E9E" w:rsidRPr="00632E9E" w14:paraId="56E8FBAE"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1B0E269B"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Quarter 1</w:t>
            </w:r>
          </w:p>
        </w:tc>
        <w:tc>
          <w:tcPr>
            <w:tcW w:w="4323" w:type="dxa"/>
            <w:tcBorders>
              <w:top w:val="single" w:sz="4" w:space="0" w:color="auto"/>
              <w:left w:val="single" w:sz="4" w:space="0" w:color="auto"/>
              <w:bottom w:val="single" w:sz="4" w:space="0" w:color="auto"/>
              <w:right w:val="single" w:sz="4" w:space="0" w:color="auto"/>
            </w:tcBorders>
            <w:hideMark/>
          </w:tcPr>
          <w:p w14:paraId="08EBBE1C"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Data covering 1 July to 30 September</w:t>
            </w:r>
          </w:p>
        </w:tc>
      </w:tr>
      <w:tr w:rsidR="00632E9E" w:rsidRPr="00632E9E" w14:paraId="4470913C"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430C354D"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Quarter 2</w:t>
            </w:r>
          </w:p>
        </w:tc>
        <w:tc>
          <w:tcPr>
            <w:tcW w:w="4323" w:type="dxa"/>
            <w:tcBorders>
              <w:top w:val="single" w:sz="4" w:space="0" w:color="auto"/>
              <w:left w:val="single" w:sz="4" w:space="0" w:color="auto"/>
              <w:bottom w:val="single" w:sz="4" w:space="0" w:color="auto"/>
              <w:right w:val="single" w:sz="4" w:space="0" w:color="auto"/>
            </w:tcBorders>
          </w:tcPr>
          <w:p w14:paraId="4665A4D0"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Data covering 1 October to 31 December</w:t>
            </w:r>
          </w:p>
        </w:tc>
      </w:tr>
      <w:tr w:rsidR="00632E9E" w:rsidRPr="00632E9E" w14:paraId="009F8C84" w14:textId="77777777" w:rsidTr="00632E9E">
        <w:trPr>
          <w:trHeight w:val="309"/>
          <w:jc w:val="center"/>
        </w:trPr>
        <w:tc>
          <w:tcPr>
            <w:tcW w:w="1617" w:type="dxa"/>
            <w:tcBorders>
              <w:top w:val="single" w:sz="4" w:space="0" w:color="auto"/>
              <w:left w:val="single" w:sz="4" w:space="0" w:color="auto"/>
              <w:bottom w:val="single" w:sz="4" w:space="0" w:color="auto"/>
              <w:right w:val="single" w:sz="4" w:space="0" w:color="auto"/>
            </w:tcBorders>
            <w:hideMark/>
          </w:tcPr>
          <w:p w14:paraId="2D808430"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Quarter 3</w:t>
            </w:r>
          </w:p>
        </w:tc>
        <w:tc>
          <w:tcPr>
            <w:tcW w:w="4323" w:type="dxa"/>
            <w:tcBorders>
              <w:top w:val="single" w:sz="4" w:space="0" w:color="auto"/>
              <w:left w:val="single" w:sz="4" w:space="0" w:color="auto"/>
              <w:bottom w:val="single" w:sz="4" w:space="0" w:color="auto"/>
              <w:right w:val="single" w:sz="4" w:space="0" w:color="auto"/>
            </w:tcBorders>
          </w:tcPr>
          <w:p w14:paraId="365BF3AA"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Data covering 1 January to 31 March</w:t>
            </w:r>
          </w:p>
        </w:tc>
      </w:tr>
      <w:tr w:rsidR="00632E9E" w:rsidRPr="00632E9E" w14:paraId="3622EDF7" w14:textId="77777777" w:rsidTr="00632E9E">
        <w:trPr>
          <w:jc w:val="center"/>
        </w:trPr>
        <w:tc>
          <w:tcPr>
            <w:tcW w:w="1617" w:type="dxa"/>
            <w:tcBorders>
              <w:top w:val="single" w:sz="4" w:space="0" w:color="auto"/>
              <w:left w:val="single" w:sz="4" w:space="0" w:color="auto"/>
              <w:bottom w:val="single" w:sz="4" w:space="0" w:color="auto"/>
              <w:right w:val="single" w:sz="4" w:space="0" w:color="auto"/>
            </w:tcBorders>
            <w:hideMark/>
          </w:tcPr>
          <w:p w14:paraId="03DE4992"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Quarter 4</w:t>
            </w:r>
          </w:p>
        </w:tc>
        <w:tc>
          <w:tcPr>
            <w:tcW w:w="4323" w:type="dxa"/>
            <w:tcBorders>
              <w:top w:val="single" w:sz="4" w:space="0" w:color="auto"/>
              <w:left w:val="single" w:sz="4" w:space="0" w:color="auto"/>
              <w:bottom w:val="single" w:sz="4" w:space="0" w:color="auto"/>
              <w:right w:val="single" w:sz="4" w:space="0" w:color="auto"/>
            </w:tcBorders>
          </w:tcPr>
          <w:p w14:paraId="01B92090" w14:textId="77777777" w:rsidR="00632E9E" w:rsidRPr="00632E9E" w:rsidRDefault="00632E9E" w:rsidP="00632E9E">
            <w:pPr>
              <w:spacing w:before="60" w:after="60" w:line="259" w:lineRule="auto"/>
              <w:jc w:val="both"/>
              <w:rPr>
                <w:rFonts w:ascii="Arial" w:eastAsia="Calibri" w:hAnsi="Arial" w:cs="Arial"/>
                <w:sz w:val="20"/>
                <w:szCs w:val="20"/>
                <w:lang w:eastAsia="en-GB"/>
              </w:rPr>
            </w:pPr>
            <w:r w:rsidRPr="00632E9E">
              <w:rPr>
                <w:rFonts w:ascii="Arial" w:eastAsia="Calibri" w:hAnsi="Arial" w:cs="Arial"/>
                <w:sz w:val="20"/>
                <w:szCs w:val="20"/>
                <w:lang w:eastAsia="en-GB"/>
              </w:rPr>
              <w:t>Data covering 1 April to 30 June</w:t>
            </w:r>
          </w:p>
        </w:tc>
      </w:tr>
    </w:tbl>
    <w:p w14:paraId="750FF965" w14:textId="77777777" w:rsidR="00632E9E" w:rsidRPr="00632E9E" w:rsidRDefault="00632E9E" w:rsidP="00632E9E">
      <w:pPr>
        <w:spacing w:before="60" w:after="60"/>
        <w:jc w:val="both"/>
        <w:rPr>
          <w:rFonts w:ascii="Arial" w:hAnsi="Arial" w:cs="Arial"/>
          <w:b/>
          <w:sz w:val="22"/>
          <w:szCs w:val="22"/>
          <w:lang w:val="en-GB" w:eastAsia="en-GB"/>
        </w:rPr>
      </w:pPr>
    </w:p>
    <w:p w14:paraId="00DF7CD9" w14:textId="77777777" w:rsidR="00632E9E" w:rsidRPr="00632E9E" w:rsidRDefault="00632E9E" w:rsidP="00632E9E">
      <w:pPr>
        <w:rPr>
          <w:rFonts w:ascii="Arial" w:hAnsi="Arial" w:cs="Times"/>
          <w:b/>
          <w:szCs w:val="22"/>
          <w:lang w:eastAsia="en-GB"/>
        </w:rPr>
      </w:pPr>
      <w:r w:rsidRPr="00632E9E">
        <w:rPr>
          <w:rFonts w:ascii="Arial" w:hAnsi="Arial" w:cs="Times"/>
          <w:b/>
          <w:szCs w:val="22"/>
          <w:lang w:eastAsia="en-GB"/>
        </w:rPr>
        <w:t>Expectations</w:t>
      </w:r>
      <w:r w:rsidRPr="00632E9E">
        <w:rPr>
          <w:rFonts w:ascii="Arial" w:hAnsi="Arial" w:cs="Times"/>
          <w:b/>
          <w:szCs w:val="22"/>
          <w:lang w:eastAsia="en-GB"/>
        </w:rPr>
        <w:br/>
      </w:r>
    </w:p>
    <w:p w14:paraId="18C54CB4"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The expectation of this measure is that DHBs will provide equitable immunisation coverage across their Māori, Pacific (where relevant) and Total populations. DHBs are expected to aim at 95 percent immunisation coverage at two years of age in each of these groups, with children having completed all age-appropriate scheduled immunisations due between birth and age two years. DHBs are expected to set local targets with the aim of eliminating inequities. </w:t>
      </w:r>
    </w:p>
    <w:p w14:paraId="641C4DE3" w14:textId="77777777" w:rsidR="00632E9E" w:rsidRPr="00632E9E" w:rsidRDefault="00632E9E" w:rsidP="00632E9E">
      <w:pPr>
        <w:rPr>
          <w:rFonts w:ascii="Arial" w:hAnsi="Arial" w:cs="Arial"/>
          <w:sz w:val="22"/>
          <w:szCs w:val="22"/>
          <w:lang w:val="en-GB" w:eastAsia="en-GB"/>
        </w:rPr>
      </w:pPr>
    </w:p>
    <w:p w14:paraId="2CE4E129"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If DHBs do not reach the target level of coverage for any of Māori, Pacific (where relevant), or Total populations in any quarter they are expected to provide an exception qualitative report at the end of each quarter advising how they will track towards higher coverage. If the target level of coverage has been reached across all priority ethnicities, only a confirmation statement is required.</w:t>
      </w:r>
    </w:p>
    <w:p w14:paraId="639E9C09" w14:textId="77777777" w:rsidR="00632E9E" w:rsidRPr="00632E9E" w:rsidRDefault="00632E9E" w:rsidP="00632E9E">
      <w:pPr>
        <w:rPr>
          <w:rFonts w:ascii="Arial" w:hAnsi="Arial" w:cs="Arial"/>
          <w:sz w:val="22"/>
          <w:szCs w:val="22"/>
          <w:lang w:val="en-GB" w:eastAsia="en-GB"/>
        </w:rPr>
      </w:pPr>
    </w:p>
    <w:p w14:paraId="56D503AC" w14:textId="77777777" w:rsidR="00632E9E" w:rsidRPr="00632E9E" w:rsidRDefault="00632E9E" w:rsidP="00632E9E">
      <w:pPr>
        <w:rPr>
          <w:rFonts w:ascii="Arial" w:hAnsi="Arial" w:cs="Arial"/>
          <w:sz w:val="22"/>
          <w:szCs w:val="22"/>
          <w:lang w:val="en-GB" w:eastAsia="en-GB"/>
        </w:rPr>
      </w:pPr>
      <w:r w:rsidRPr="00632E9E">
        <w:rPr>
          <w:rFonts w:ascii="Arial" w:hAnsi="Arial" w:cs="Arial"/>
          <w:sz w:val="22"/>
          <w:szCs w:val="22"/>
          <w:lang w:val="en-GB" w:eastAsia="en-GB"/>
        </w:rPr>
        <w:t xml:space="preserve">The assessment requirements for each quarter are set out below: </w:t>
      </w:r>
    </w:p>
    <w:p w14:paraId="44FAC7BC" w14:textId="77777777" w:rsidR="00632E9E" w:rsidRPr="00632E9E" w:rsidRDefault="00632E9E" w:rsidP="00632E9E">
      <w:pPr>
        <w:spacing w:after="160" w:line="259" w:lineRule="auto"/>
        <w:rPr>
          <w:rFonts w:ascii="Arial" w:hAnsi="Arial" w:cs="Arial"/>
          <w:b/>
          <w:bCs/>
          <w:color w:val="000000"/>
          <w:sz w:val="22"/>
          <w:szCs w:val="22"/>
          <w:lang w:eastAsia="en-GB"/>
        </w:rPr>
      </w:pPr>
    </w:p>
    <w:p w14:paraId="63CD4080" w14:textId="77777777" w:rsidR="00632E9E" w:rsidRPr="00632E9E" w:rsidRDefault="00632E9E" w:rsidP="00632E9E">
      <w:pPr>
        <w:autoSpaceDE w:val="0"/>
        <w:autoSpaceDN w:val="0"/>
        <w:adjustRightInd w:val="0"/>
        <w:spacing w:before="60" w:after="60" w:line="240" w:lineRule="atLeast"/>
        <w:jc w:val="both"/>
        <w:rPr>
          <w:rFonts w:ascii="Arial" w:hAnsi="Arial" w:cs="Arial"/>
          <w:b/>
          <w:bCs/>
          <w:color w:val="000000"/>
          <w:sz w:val="22"/>
          <w:szCs w:val="22"/>
          <w:lang w:eastAsia="en-GB"/>
        </w:rPr>
      </w:pPr>
      <w:r w:rsidRPr="00632E9E">
        <w:rPr>
          <w:rFonts w:ascii="Arial" w:hAnsi="Arial" w:cs="Arial"/>
          <w:b/>
          <w:bCs/>
          <w:color w:val="000000"/>
          <w:sz w:val="22"/>
          <w:szCs w:val="22"/>
          <w:lang w:eastAsia="en-GB"/>
        </w:rPr>
        <w:t>Table 1: Quarters 1, 2 &amp; 3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32E9E" w:rsidRPr="00632E9E" w14:paraId="583E9C45"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54305A19" w14:textId="77777777" w:rsidR="00632E9E" w:rsidRPr="00632E9E" w:rsidRDefault="00632E9E"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632E9E">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5DFD44A0" w14:textId="77777777" w:rsidR="00632E9E" w:rsidRPr="00632E9E" w:rsidRDefault="00632E9E" w:rsidP="00632E9E">
            <w:pPr>
              <w:autoSpaceDE w:val="0"/>
              <w:autoSpaceDN w:val="0"/>
              <w:adjustRightInd w:val="0"/>
              <w:spacing w:before="60" w:after="60"/>
              <w:rPr>
                <w:rFonts w:ascii="Arial" w:hAnsi="Arial" w:cs="Arial"/>
                <w:b/>
                <w:bCs/>
                <w:color w:val="000000"/>
                <w:sz w:val="22"/>
                <w:szCs w:val="22"/>
                <w:lang w:eastAsia="en-GB"/>
              </w:rPr>
            </w:pPr>
            <w:r w:rsidRPr="00632E9E">
              <w:rPr>
                <w:rFonts w:ascii="Arial" w:hAnsi="Arial" w:cs="Arial"/>
                <w:b/>
                <w:bCs/>
                <w:color w:val="000000"/>
                <w:sz w:val="22"/>
                <w:szCs w:val="22"/>
                <w:lang w:eastAsia="en-GB"/>
              </w:rPr>
              <w:t>Explanation</w:t>
            </w:r>
          </w:p>
        </w:tc>
      </w:tr>
      <w:tr w:rsidR="00632E9E" w:rsidRPr="00632E9E" w14:paraId="63217BB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74FDDD5A"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632E9E">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4A21C12D" w14:textId="77777777" w:rsidR="00632E9E" w:rsidRPr="00632E9E" w:rsidRDefault="00632E9E"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632E9E">
              <w:rPr>
                <w:rFonts w:ascii="Arial" w:hAnsi="Arial" w:cs="Arial"/>
                <w:color w:val="000000"/>
                <w:sz w:val="22"/>
                <w:szCs w:val="22"/>
                <w:lang w:eastAsia="en-GB"/>
              </w:rPr>
              <w:t>The DHB has:</w:t>
            </w:r>
          </w:p>
          <w:p w14:paraId="0BFCC261" w14:textId="77777777" w:rsidR="00632E9E" w:rsidRPr="00632E9E" w:rsidRDefault="00632E9E"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achieved immunisation coverage of at least 95 percent for children at two years of age for each of the Māori, Pacific (where relevant), and Total populations</w:t>
            </w:r>
          </w:p>
          <w:p w14:paraId="7AB9AD58" w14:textId="77777777" w:rsidR="00632E9E" w:rsidRPr="00632E9E" w:rsidRDefault="00632E9E"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the equity gap, if any, between Māori and non-Maori populations is no more than two percent.</w:t>
            </w:r>
          </w:p>
          <w:p w14:paraId="403C0C52" w14:textId="77777777" w:rsidR="00632E9E" w:rsidRPr="00632E9E" w:rsidRDefault="00632E9E"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5AB1694C" w14:textId="77777777" w:rsidR="00632E9E" w:rsidRPr="00632E9E" w:rsidRDefault="00632E9E" w:rsidP="00632E9E">
            <w:pPr>
              <w:autoSpaceDE w:val="0"/>
              <w:autoSpaceDN w:val="0"/>
              <w:adjustRightInd w:val="0"/>
              <w:spacing w:before="120" w:after="120" w:line="240" w:lineRule="atLeast"/>
              <w:ind w:left="15"/>
              <w:rPr>
                <w:rFonts w:ascii="Arial" w:hAnsi="Arial" w:cs="Arial"/>
                <w:color w:val="000000"/>
                <w:sz w:val="20"/>
                <w:szCs w:val="20"/>
                <w:lang w:eastAsia="en-GB"/>
              </w:rPr>
            </w:pPr>
            <w:r w:rsidRPr="00632E9E">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32E9E" w:rsidRPr="00632E9E" w14:paraId="2A60389E"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6935BDF"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lastRenderedPageBreak/>
              <w:t>Partially Achieved</w:t>
            </w:r>
          </w:p>
        </w:tc>
        <w:tc>
          <w:tcPr>
            <w:tcW w:w="7380" w:type="dxa"/>
            <w:tcBorders>
              <w:top w:val="single" w:sz="4" w:space="0" w:color="auto"/>
              <w:left w:val="single" w:sz="4" w:space="0" w:color="auto"/>
              <w:bottom w:val="single" w:sz="4" w:space="0" w:color="auto"/>
              <w:right w:val="single" w:sz="4" w:space="0" w:color="auto"/>
            </w:tcBorders>
            <w:hideMark/>
          </w:tcPr>
          <w:p w14:paraId="2E382552"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The DHB does not meet any criteria for “Not Achieved” and has:</w:t>
            </w:r>
          </w:p>
          <w:p w14:paraId="3AFC942E" w14:textId="77777777" w:rsidR="00632E9E" w:rsidRPr="00632E9E" w:rsidRDefault="00632E9E"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632E9E">
              <w:rPr>
                <w:rFonts w:ascii="Arial" w:hAnsi="Arial" w:cs="Arial"/>
                <w:sz w:val="22"/>
                <w:szCs w:val="22"/>
                <w:lang w:val="en-GB" w:eastAsia="en-GB"/>
              </w:rPr>
              <w:t>immunisation coverage that is between 90 and 94 percent for children at two years of age for each of the Māori, Pacific (where relevant), and Total populations, and</w:t>
            </w:r>
          </w:p>
          <w:p w14:paraId="06CD76F1" w14:textId="77777777" w:rsidR="00632E9E" w:rsidRPr="00632E9E" w:rsidRDefault="00632E9E"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632E9E">
              <w:rPr>
                <w:rFonts w:ascii="Arial" w:hAnsi="Arial" w:cs="Arial"/>
                <w:sz w:val="22"/>
                <w:szCs w:val="22"/>
                <w:lang w:val="en-GB" w:eastAsia="en-GB"/>
              </w:rPr>
              <w:t>any equity gap between Māori and non-Māori populations is less than five percent</w:t>
            </w:r>
          </w:p>
          <w:p w14:paraId="1358A0F1"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The DHB must provide evidence that they are working towards improvement of immunisation coverage and elimination of equity gaps.</w:t>
            </w:r>
          </w:p>
          <w:p w14:paraId="4A230987"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3D3160ED"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0"/>
                <w:szCs w:val="20"/>
                <w:lang w:val="en-GB" w:eastAsia="en-GB"/>
              </w:rPr>
            </w:pPr>
            <w:r w:rsidRPr="00632E9E">
              <w:rPr>
                <w:rFonts w:ascii="Arial" w:hAnsi="Arial" w:cs="Arial"/>
                <w:sz w:val="20"/>
                <w:szCs w:val="20"/>
                <w:lang w:val="en-GB" w:eastAsia="en-GB"/>
              </w:rPr>
              <w:t xml:space="preserve">Note: Immunisation coverage of less than 90 percent for any one of the priority groups or an equity gap between Māori and non-Māori populations of five percent or more will be rated as Not Achieved regardless of any other results. </w:t>
            </w:r>
          </w:p>
        </w:tc>
      </w:tr>
      <w:tr w:rsidR="00632E9E" w:rsidRPr="00632E9E" w14:paraId="20E5ACC2"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4868DB0B"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hideMark/>
          </w:tcPr>
          <w:p w14:paraId="79A80012" w14:textId="77777777" w:rsidR="00632E9E" w:rsidRPr="00632E9E" w:rsidRDefault="00632E9E"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The DHB has:</w:t>
            </w:r>
          </w:p>
          <w:p w14:paraId="3D17B2E4"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immunisation coverage that is less than 90 percent for children at age two years for any of the Māori, Pacific (where relevant), or Total populations, and/or</w:t>
            </w:r>
          </w:p>
          <w:p w14:paraId="5136B483"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 xml:space="preserve">an equity gap of five percent or more between Māori and non-Māori populations, and/or </w:t>
            </w:r>
          </w:p>
          <w:p w14:paraId="3AB7DDB5"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not provided an adequate resolution plan to improve coverage and/or eliminate equity gaps.</w:t>
            </w:r>
          </w:p>
          <w:p w14:paraId="3AC1339C" w14:textId="77777777" w:rsidR="00632E9E" w:rsidRPr="00632E9E" w:rsidRDefault="00632E9E" w:rsidP="00632E9E">
            <w:pPr>
              <w:tabs>
                <w:tab w:val="left" w:pos="720"/>
              </w:tabs>
              <w:overflowPunct w:val="0"/>
              <w:autoSpaceDE w:val="0"/>
              <w:autoSpaceDN w:val="0"/>
              <w:adjustRightInd w:val="0"/>
              <w:spacing w:before="60" w:after="60"/>
              <w:ind w:left="54"/>
              <w:jc w:val="both"/>
              <w:rPr>
                <w:rFonts w:ascii="Arial" w:eastAsia="Calibri" w:hAnsi="Arial" w:cs="Arial"/>
                <w:sz w:val="22"/>
                <w:szCs w:val="22"/>
                <w:lang w:val="en-GB" w:eastAsia="en-GB"/>
              </w:rPr>
            </w:pPr>
          </w:p>
        </w:tc>
      </w:tr>
    </w:tbl>
    <w:p w14:paraId="26215416" w14:textId="77777777" w:rsidR="00632E9E" w:rsidRPr="00632E9E" w:rsidRDefault="00632E9E" w:rsidP="00632E9E">
      <w:pPr>
        <w:autoSpaceDE w:val="0"/>
        <w:autoSpaceDN w:val="0"/>
        <w:adjustRightInd w:val="0"/>
        <w:spacing w:before="60" w:after="60" w:line="240" w:lineRule="atLeast"/>
        <w:jc w:val="both"/>
        <w:rPr>
          <w:rFonts w:ascii="Arial" w:hAnsi="Arial" w:cs="Arial"/>
          <w:b/>
          <w:bCs/>
          <w:color w:val="000000"/>
          <w:sz w:val="22"/>
          <w:szCs w:val="22"/>
          <w:lang w:eastAsia="en-GB"/>
        </w:rPr>
      </w:pPr>
    </w:p>
    <w:p w14:paraId="67A3A003" w14:textId="77777777" w:rsidR="00632E9E" w:rsidRPr="00632E9E" w:rsidRDefault="00632E9E" w:rsidP="00632E9E">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0B3E92FF" w14:textId="77777777" w:rsidR="00632E9E" w:rsidRPr="00632E9E" w:rsidRDefault="00632E9E" w:rsidP="00632E9E">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7A99F66F" w14:textId="77777777" w:rsidR="00632E9E" w:rsidRPr="00632E9E" w:rsidRDefault="00632E9E" w:rsidP="00632E9E">
      <w:pPr>
        <w:autoSpaceDE w:val="0"/>
        <w:autoSpaceDN w:val="0"/>
        <w:adjustRightInd w:val="0"/>
        <w:spacing w:before="60" w:after="60" w:line="240" w:lineRule="atLeast"/>
        <w:ind w:left="720"/>
        <w:jc w:val="both"/>
        <w:rPr>
          <w:rFonts w:ascii="Arial" w:hAnsi="Arial" w:cs="Arial"/>
          <w:b/>
          <w:bCs/>
          <w:color w:val="000000"/>
          <w:sz w:val="22"/>
          <w:szCs w:val="22"/>
          <w:lang w:eastAsia="en-GB"/>
        </w:rPr>
      </w:pPr>
    </w:p>
    <w:p w14:paraId="7F8FEA32" w14:textId="77777777" w:rsidR="00632E9E" w:rsidRPr="00632E9E" w:rsidRDefault="00632E9E" w:rsidP="00632E9E">
      <w:pPr>
        <w:autoSpaceDE w:val="0"/>
        <w:autoSpaceDN w:val="0"/>
        <w:adjustRightInd w:val="0"/>
        <w:spacing w:before="60" w:after="60" w:line="240" w:lineRule="atLeast"/>
        <w:ind w:left="720"/>
        <w:jc w:val="both"/>
        <w:rPr>
          <w:rFonts w:ascii="Arial" w:hAnsi="Arial" w:cs="Arial"/>
          <w:b/>
          <w:bCs/>
          <w:color w:val="000000"/>
          <w:sz w:val="22"/>
          <w:szCs w:val="22"/>
          <w:lang w:eastAsia="en-GB"/>
        </w:rPr>
      </w:pPr>
      <w:r w:rsidRPr="00632E9E">
        <w:rPr>
          <w:rFonts w:ascii="Arial" w:hAnsi="Arial" w:cs="Arial"/>
          <w:b/>
          <w:bCs/>
          <w:color w:val="000000"/>
          <w:sz w:val="22"/>
          <w:szCs w:val="22"/>
          <w:lang w:eastAsia="en-GB"/>
        </w:rPr>
        <w:t>Table 2: Quarter 4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32E9E" w:rsidRPr="00632E9E" w14:paraId="2F1FA39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CCCCCC"/>
            <w:hideMark/>
          </w:tcPr>
          <w:p w14:paraId="4F187354" w14:textId="77777777" w:rsidR="00632E9E" w:rsidRPr="00632E9E" w:rsidRDefault="00632E9E" w:rsidP="00632E9E">
            <w:pPr>
              <w:autoSpaceDE w:val="0"/>
              <w:autoSpaceDN w:val="0"/>
              <w:adjustRightInd w:val="0"/>
              <w:spacing w:before="60" w:after="60" w:line="240" w:lineRule="atLeast"/>
              <w:ind w:left="108" w:right="108"/>
              <w:jc w:val="both"/>
              <w:rPr>
                <w:rFonts w:ascii="Arial" w:hAnsi="Arial" w:cs="Arial"/>
                <w:b/>
                <w:bCs/>
                <w:color w:val="000000"/>
                <w:sz w:val="22"/>
                <w:szCs w:val="22"/>
                <w:lang w:eastAsia="en-GB"/>
              </w:rPr>
            </w:pPr>
            <w:r w:rsidRPr="00632E9E">
              <w:rPr>
                <w:rFonts w:ascii="Arial" w:hAnsi="Arial" w:cs="Arial"/>
                <w:b/>
                <w:bCs/>
                <w:color w:val="000000"/>
                <w:sz w:val="22"/>
                <w:szCs w:val="22"/>
                <w:lang w:eastAsia="en-GB"/>
              </w:rPr>
              <w:t>Rating</w:t>
            </w:r>
          </w:p>
        </w:tc>
        <w:tc>
          <w:tcPr>
            <w:tcW w:w="7380" w:type="dxa"/>
            <w:tcBorders>
              <w:top w:val="single" w:sz="4" w:space="0" w:color="auto"/>
              <w:left w:val="single" w:sz="4" w:space="0" w:color="auto"/>
              <w:bottom w:val="single" w:sz="4" w:space="0" w:color="auto"/>
              <w:right w:val="single" w:sz="4" w:space="0" w:color="auto"/>
            </w:tcBorders>
            <w:shd w:val="clear" w:color="auto" w:fill="CCCCCC"/>
            <w:hideMark/>
          </w:tcPr>
          <w:p w14:paraId="780D3E65" w14:textId="77777777" w:rsidR="00632E9E" w:rsidRPr="00632E9E" w:rsidRDefault="00632E9E" w:rsidP="00632E9E">
            <w:pPr>
              <w:autoSpaceDE w:val="0"/>
              <w:autoSpaceDN w:val="0"/>
              <w:adjustRightInd w:val="0"/>
              <w:spacing w:before="60" w:after="60"/>
              <w:rPr>
                <w:rFonts w:ascii="Arial" w:hAnsi="Arial" w:cs="Arial"/>
                <w:b/>
                <w:bCs/>
                <w:color w:val="000000"/>
                <w:sz w:val="22"/>
                <w:szCs w:val="22"/>
                <w:lang w:eastAsia="en-GB"/>
              </w:rPr>
            </w:pPr>
            <w:r w:rsidRPr="00632E9E">
              <w:rPr>
                <w:rFonts w:ascii="Arial" w:hAnsi="Arial" w:cs="Arial"/>
                <w:b/>
                <w:bCs/>
                <w:color w:val="000000"/>
                <w:sz w:val="22"/>
                <w:szCs w:val="22"/>
                <w:lang w:eastAsia="en-GB"/>
              </w:rPr>
              <w:t>Explanation</w:t>
            </w:r>
          </w:p>
        </w:tc>
      </w:tr>
      <w:tr w:rsidR="00632E9E" w:rsidRPr="00632E9E" w14:paraId="58106C6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6BD3140B"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Outstanding Performer</w:t>
            </w:r>
          </w:p>
        </w:tc>
        <w:tc>
          <w:tcPr>
            <w:tcW w:w="7380" w:type="dxa"/>
            <w:tcBorders>
              <w:top w:val="single" w:sz="4" w:space="0" w:color="auto"/>
              <w:left w:val="single" w:sz="4" w:space="0" w:color="auto"/>
              <w:bottom w:val="single" w:sz="4" w:space="0" w:color="auto"/>
              <w:right w:val="single" w:sz="4" w:space="0" w:color="auto"/>
            </w:tcBorders>
            <w:hideMark/>
          </w:tcPr>
          <w:p w14:paraId="1BB4DB71" w14:textId="77777777" w:rsidR="00632E9E" w:rsidRPr="00632E9E" w:rsidRDefault="00632E9E"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632E9E">
              <w:rPr>
                <w:rFonts w:ascii="Arial" w:hAnsi="Arial" w:cs="Arial"/>
                <w:color w:val="000000"/>
                <w:sz w:val="22"/>
                <w:szCs w:val="22"/>
                <w:lang w:eastAsia="en-GB"/>
              </w:rPr>
              <w:t>The DHB has:</w:t>
            </w:r>
          </w:p>
          <w:p w14:paraId="045331D5" w14:textId="77777777" w:rsidR="00632E9E" w:rsidRPr="00632E9E" w:rsidRDefault="00632E9E"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achieved immunisation coverage of 95 percent for children at two years of age for each of the Māori, Pacific (where relevant), and Total populations consistently through the year</w:t>
            </w:r>
          </w:p>
          <w:p w14:paraId="06AB5934" w14:textId="77777777" w:rsidR="00632E9E" w:rsidRPr="00632E9E" w:rsidRDefault="00632E9E"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no equity gap between Māori and non-Māori populations.</w:t>
            </w:r>
          </w:p>
          <w:p w14:paraId="7689C26E" w14:textId="77777777" w:rsidR="00632E9E" w:rsidRPr="00632E9E" w:rsidRDefault="00632E9E" w:rsidP="00632E9E">
            <w:pPr>
              <w:autoSpaceDE w:val="0"/>
              <w:autoSpaceDN w:val="0"/>
              <w:adjustRightInd w:val="0"/>
              <w:spacing w:before="120" w:after="120" w:line="240" w:lineRule="atLeast"/>
              <w:ind w:left="735"/>
              <w:contextualSpacing/>
              <w:rPr>
                <w:rFonts w:ascii="Arial" w:hAnsi="Arial" w:cs="Arial"/>
                <w:color w:val="000000"/>
                <w:sz w:val="22"/>
                <w:szCs w:val="22"/>
                <w:lang w:eastAsia="en-GB"/>
              </w:rPr>
            </w:pPr>
          </w:p>
          <w:p w14:paraId="1DF4EC0D" w14:textId="77777777" w:rsidR="00632E9E" w:rsidRPr="00632E9E" w:rsidRDefault="00632E9E" w:rsidP="00632E9E">
            <w:pPr>
              <w:autoSpaceDE w:val="0"/>
              <w:autoSpaceDN w:val="0"/>
              <w:adjustRightInd w:val="0"/>
              <w:spacing w:before="120" w:after="120" w:line="240" w:lineRule="atLeast"/>
              <w:rPr>
                <w:rFonts w:ascii="Arial" w:hAnsi="Arial" w:cs="Arial"/>
                <w:color w:val="000000"/>
                <w:sz w:val="20"/>
                <w:szCs w:val="20"/>
                <w:lang w:eastAsia="en-GB"/>
              </w:rPr>
            </w:pPr>
            <w:r w:rsidRPr="00632E9E">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32E9E" w:rsidRPr="00632E9E" w14:paraId="34B04006"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091AFE9D"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i/>
                <w:sz w:val="22"/>
                <w:szCs w:val="22"/>
                <w:lang w:val="en-GB" w:eastAsia="en-GB"/>
              </w:rPr>
            </w:pPr>
            <w:r w:rsidRPr="00632E9E">
              <w:rPr>
                <w:rFonts w:ascii="Arial" w:hAnsi="Arial" w:cs="Arial"/>
                <w:sz w:val="22"/>
                <w:szCs w:val="22"/>
                <w:lang w:val="en-GB" w:eastAsia="en-GB"/>
              </w:rPr>
              <w:t>Achieved</w:t>
            </w:r>
          </w:p>
        </w:tc>
        <w:tc>
          <w:tcPr>
            <w:tcW w:w="7380" w:type="dxa"/>
            <w:tcBorders>
              <w:top w:val="single" w:sz="4" w:space="0" w:color="auto"/>
              <w:left w:val="single" w:sz="4" w:space="0" w:color="auto"/>
              <w:bottom w:val="single" w:sz="4" w:space="0" w:color="auto"/>
              <w:right w:val="single" w:sz="4" w:space="0" w:color="auto"/>
            </w:tcBorders>
            <w:hideMark/>
          </w:tcPr>
          <w:p w14:paraId="6BA68F0B" w14:textId="77777777" w:rsidR="00632E9E" w:rsidRPr="00632E9E" w:rsidRDefault="00632E9E" w:rsidP="00632E9E">
            <w:pPr>
              <w:autoSpaceDE w:val="0"/>
              <w:autoSpaceDN w:val="0"/>
              <w:adjustRightInd w:val="0"/>
              <w:spacing w:before="120" w:after="120" w:line="240" w:lineRule="atLeast"/>
              <w:ind w:left="15"/>
              <w:rPr>
                <w:rFonts w:ascii="Arial" w:hAnsi="Arial" w:cs="Arial"/>
                <w:color w:val="000000"/>
                <w:sz w:val="22"/>
                <w:szCs w:val="22"/>
                <w:lang w:eastAsia="en-GB"/>
              </w:rPr>
            </w:pPr>
            <w:r w:rsidRPr="00632E9E">
              <w:rPr>
                <w:rFonts w:ascii="Arial" w:hAnsi="Arial" w:cs="Arial"/>
                <w:color w:val="000000"/>
                <w:sz w:val="22"/>
                <w:szCs w:val="22"/>
                <w:lang w:eastAsia="en-GB"/>
              </w:rPr>
              <w:t>The DHB has:</w:t>
            </w:r>
          </w:p>
          <w:p w14:paraId="6FCA9A2B" w14:textId="77777777" w:rsidR="00632E9E" w:rsidRPr="00632E9E" w:rsidRDefault="00632E9E" w:rsidP="00C04FF1">
            <w:pPr>
              <w:numPr>
                <w:ilvl w:val="0"/>
                <w:numId w:val="111"/>
              </w:numPr>
              <w:autoSpaceDE w:val="0"/>
              <w:autoSpaceDN w:val="0"/>
              <w:adjustRightInd w:val="0"/>
              <w:spacing w:before="120" w:after="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achieved immunisation coverage of at least 95 percent for children at two years of age for each of the Māori, Pacific (where relevant), and Total populations</w:t>
            </w:r>
          </w:p>
          <w:p w14:paraId="4A896985" w14:textId="77777777" w:rsidR="00632E9E" w:rsidRPr="00632E9E" w:rsidRDefault="00632E9E" w:rsidP="00C04FF1">
            <w:pPr>
              <w:numPr>
                <w:ilvl w:val="0"/>
                <w:numId w:val="111"/>
              </w:numPr>
              <w:autoSpaceDE w:val="0"/>
              <w:autoSpaceDN w:val="0"/>
              <w:adjustRightInd w:val="0"/>
              <w:spacing w:before="120" w:line="240" w:lineRule="atLeast"/>
              <w:ind w:left="375"/>
              <w:contextualSpacing/>
              <w:rPr>
                <w:rFonts w:ascii="Arial" w:hAnsi="Arial" w:cs="Arial"/>
                <w:color w:val="000000"/>
                <w:sz w:val="22"/>
                <w:szCs w:val="22"/>
                <w:lang w:eastAsia="en-GB"/>
              </w:rPr>
            </w:pPr>
            <w:r w:rsidRPr="00632E9E">
              <w:rPr>
                <w:rFonts w:ascii="Arial" w:hAnsi="Arial" w:cs="Arial"/>
                <w:color w:val="000000"/>
                <w:sz w:val="22"/>
                <w:szCs w:val="22"/>
                <w:lang w:eastAsia="en-GB"/>
              </w:rPr>
              <w:t>the equity gap, if any, between Māori and non-Maori populations is no more than two percent.</w:t>
            </w:r>
          </w:p>
          <w:p w14:paraId="14A1DD93" w14:textId="77777777" w:rsidR="00632E9E" w:rsidRPr="00632E9E" w:rsidRDefault="00632E9E" w:rsidP="00632E9E">
            <w:pPr>
              <w:autoSpaceDE w:val="0"/>
              <w:autoSpaceDN w:val="0"/>
              <w:adjustRightInd w:val="0"/>
              <w:spacing w:before="120" w:line="240" w:lineRule="atLeast"/>
              <w:ind w:left="375"/>
              <w:contextualSpacing/>
              <w:rPr>
                <w:rFonts w:ascii="Arial" w:hAnsi="Arial" w:cs="Arial"/>
                <w:color w:val="000000"/>
                <w:sz w:val="22"/>
                <w:szCs w:val="22"/>
                <w:lang w:eastAsia="en-GB"/>
              </w:rPr>
            </w:pPr>
          </w:p>
          <w:p w14:paraId="20BE041B" w14:textId="77777777" w:rsidR="00632E9E" w:rsidRPr="00632E9E" w:rsidRDefault="00632E9E" w:rsidP="00632E9E">
            <w:pPr>
              <w:autoSpaceDE w:val="0"/>
              <w:autoSpaceDN w:val="0"/>
              <w:adjustRightInd w:val="0"/>
              <w:spacing w:before="60" w:after="60" w:line="240" w:lineRule="atLeast"/>
              <w:ind w:left="15"/>
              <w:rPr>
                <w:rFonts w:ascii="Arial" w:hAnsi="Arial" w:cs="Arial"/>
                <w:color w:val="000000"/>
                <w:sz w:val="22"/>
                <w:szCs w:val="22"/>
                <w:lang w:eastAsia="en-GB"/>
              </w:rPr>
            </w:pPr>
            <w:r w:rsidRPr="00632E9E">
              <w:rPr>
                <w:rFonts w:ascii="Arial" w:hAnsi="Arial" w:cs="Arial"/>
                <w:color w:val="000000"/>
                <w:sz w:val="20"/>
                <w:szCs w:val="20"/>
                <w:lang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32E9E" w:rsidRPr="00632E9E" w14:paraId="15324DF6"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6894F334"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lastRenderedPageBreak/>
              <w:t>Partially Achieved</w:t>
            </w:r>
          </w:p>
        </w:tc>
        <w:tc>
          <w:tcPr>
            <w:tcW w:w="7380" w:type="dxa"/>
            <w:tcBorders>
              <w:top w:val="single" w:sz="4" w:space="0" w:color="auto"/>
              <w:left w:val="single" w:sz="4" w:space="0" w:color="auto"/>
              <w:bottom w:val="single" w:sz="4" w:space="0" w:color="auto"/>
              <w:right w:val="single" w:sz="4" w:space="0" w:color="auto"/>
            </w:tcBorders>
          </w:tcPr>
          <w:p w14:paraId="3543079B"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The DHB does not meet any criteria for “Not Achieved” and has:</w:t>
            </w:r>
          </w:p>
          <w:p w14:paraId="6787867E" w14:textId="77777777" w:rsidR="00632E9E" w:rsidRPr="00632E9E" w:rsidRDefault="00632E9E"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632E9E">
              <w:rPr>
                <w:rFonts w:ascii="Arial" w:hAnsi="Arial" w:cs="Arial"/>
                <w:sz w:val="22"/>
                <w:szCs w:val="22"/>
                <w:lang w:val="en-GB" w:eastAsia="en-GB"/>
              </w:rPr>
              <w:t>immunisation coverage that is between 90 and 94 percent for children at two years of age for each of the Māori, Pacific (where relevant), and Total populations, and</w:t>
            </w:r>
          </w:p>
          <w:p w14:paraId="553F9106" w14:textId="77777777" w:rsidR="00632E9E" w:rsidRPr="00632E9E" w:rsidRDefault="00632E9E" w:rsidP="00C04FF1">
            <w:pPr>
              <w:numPr>
                <w:ilvl w:val="0"/>
                <w:numId w:val="112"/>
              </w:numPr>
              <w:tabs>
                <w:tab w:val="left" w:pos="720"/>
              </w:tabs>
              <w:overflowPunct w:val="0"/>
              <w:autoSpaceDE w:val="0"/>
              <w:autoSpaceDN w:val="0"/>
              <w:adjustRightInd w:val="0"/>
              <w:spacing w:before="60" w:after="60"/>
              <w:contextualSpacing/>
              <w:jc w:val="both"/>
              <w:rPr>
                <w:rFonts w:ascii="Arial" w:hAnsi="Arial" w:cs="Arial"/>
                <w:sz w:val="22"/>
                <w:szCs w:val="22"/>
                <w:lang w:val="en-GB" w:eastAsia="en-GB"/>
              </w:rPr>
            </w:pPr>
            <w:r w:rsidRPr="00632E9E">
              <w:rPr>
                <w:rFonts w:ascii="Arial" w:hAnsi="Arial" w:cs="Arial"/>
                <w:sz w:val="22"/>
                <w:szCs w:val="22"/>
                <w:lang w:val="en-GB" w:eastAsia="en-GB"/>
              </w:rPr>
              <w:t>any equity gap between Māori and non-Māori populations is less than five percent</w:t>
            </w:r>
          </w:p>
          <w:p w14:paraId="02AB79B0"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The DHB must provide evidence that they are working towards improvement of immunisation coverage and elimination of equity gaps.</w:t>
            </w:r>
          </w:p>
          <w:p w14:paraId="0767F4A3"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p w14:paraId="3A20BE53"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0"/>
                <w:szCs w:val="20"/>
                <w:lang w:val="en-GB" w:eastAsia="en-GB"/>
              </w:rPr>
              <w:t>Note: Immunisation coverage of less than 90 percent for any one of the priority groups or an equity gap between Māori and non-Māori populations of five percent or more will be rated as Not Achieved regardless of any other results.</w:t>
            </w:r>
          </w:p>
        </w:tc>
      </w:tr>
      <w:tr w:rsidR="00632E9E" w:rsidRPr="00632E9E" w14:paraId="78920483" w14:textId="77777777" w:rsidTr="00632E9E">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45E59C6D"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r w:rsidRPr="00632E9E">
              <w:rPr>
                <w:rFonts w:ascii="Arial" w:hAnsi="Arial" w:cs="Arial"/>
                <w:sz w:val="22"/>
                <w:szCs w:val="22"/>
                <w:lang w:val="en-GB" w:eastAsia="en-GB"/>
              </w:rPr>
              <w:t>Not Achieved</w:t>
            </w:r>
          </w:p>
        </w:tc>
        <w:tc>
          <w:tcPr>
            <w:tcW w:w="7380" w:type="dxa"/>
            <w:tcBorders>
              <w:top w:val="single" w:sz="4" w:space="0" w:color="auto"/>
              <w:left w:val="single" w:sz="4" w:space="0" w:color="auto"/>
              <w:bottom w:val="single" w:sz="4" w:space="0" w:color="auto"/>
              <w:right w:val="single" w:sz="4" w:space="0" w:color="auto"/>
            </w:tcBorders>
          </w:tcPr>
          <w:p w14:paraId="14AED512" w14:textId="77777777" w:rsidR="00632E9E" w:rsidRPr="00632E9E" w:rsidRDefault="00632E9E" w:rsidP="00632E9E">
            <w:pPr>
              <w:tabs>
                <w:tab w:val="left" w:pos="720"/>
              </w:tabs>
              <w:overflowPunct w:val="0"/>
              <w:autoSpaceDE w:val="0"/>
              <w:autoSpaceDN w:val="0"/>
              <w:adjustRightInd w:val="0"/>
              <w:spacing w:before="60" w:after="60"/>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The DHB has:</w:t>
            </w:r>
          </w:p>
          <w:p w14:paraId="1230D45B"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immunisation coverage that is less than 90 percent for children at age two years for any of the Māori, Pacific (where relevant), or Total populations, and/or</w:t>
            </w:r>
          </w:p>
          <w:p w14:paraId="764F5F1A"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 xml:space="preserve">an equity gap of five percent or more between Māori and non-Māori populations, and/or </w:t>
            </w:r>
          </w:p>
          <w:p w14:paraId="5E00638D" w14:textId="77777777" w:rsidR="00632E9E" w:rsidRPr="00632E9E" w:rsidRDefault="00632E9E" w:rsidP="00C04FF1">
            <w:pPr>
              <w:numPr>
                <w:ilvl w:val="0"/>
                <w:numId w:val="110"/>
              </w:numPr>
              <w:tabs>
                <w:tab w:val="left" w:pos="720"/>
              </w:tabs>
              <w:overflowPunct w:val="0"/>
              <w:autoSpaceDE w:val="0"/>
              <w:autoSpaceDN w:val="0"/>
              <w:adjustRightInd w:val="0"/>
              <w:spacing w:before="60" w:after="60"/>
              <w:ind w:left="360"/>
              <w:contextualSpacing/>
              <w:jc w:val="both"/>
              <w:rPr>
                <w:rFonts w:ascii="Arial" w:eastAsia="Calibri" w:hAnsi="Arial" w:cs="Arial"/>
                <w:sz w:val="22"/>
                <w:szCs w:val="22"/>
                <w:lang w:val="en-GB" w:eastAsia="en-GB"/>
              </w:rPr>
            </w:pPr>
            <w:r w:rsidRPr="00632E9E">
              <w:rPr>
                <w:rFonts w:ascii="Arial" w:eastAsia="Calibri" w:hAnsi="Arial" w:cs="Arial"/>
                <w:sz w:val="22"/>
                <w:szCs w:val="22"/>
                <w:lang w:val="en-GB" w:eastAsia="en-GB"/>
              </w:rPr>
              <w:t>not provided an adequate resolution plan to improve coverage and/or eliminate equity gaps.</w:t>
            </w:r>
          </w:p>
          <w:p w14:paraId="4FF802D8" w14:textId="77777777" w:rsidR="00632E9E" w:rsidRPr="00632E9E" w:rsidRDefault="00632E9E" w:rsidP="00632E9E">
            <w:pPr>
              <w:tabs>
                <w:tab w:val="left" w:pos="720"/>
              </w:tabs>
              <w:overflowPunct w:val="0"/>
              <w:autoSpaceDE w:val="0"/>
              <w:autoSpaceDN w:val="0"/>
              <w:adjustRightInd w:val="0"/>
              <w:spacing w:before="60" w:after="60"/>
              <w:jc w:val="both"/>
              <w:rPr>
                <w:rFonts w:ascii="Arial" w:hAnsi="Arial" w:cs="Arial"/>
                <w:sz w:val="22"/>
                <w:szCs w:val="22"/>
                <w:lang w:val="en-GB" w:eastAsia="en-GB"/>
              </w:rPr>
            </w:pPr>
          </w:p>
        </w:tc>
      </w:tr>
    </w:tbl>
    <w:p w14:paraId="14C412F3" w14:textId="77777777" w:rsidR="00632E9E" w:rsidRPr="00632E9E" w:rsidRDefault="00632E9E" w:rsidP="00632E9E">
      <w:pPr>
        <w:autoSpaceDE w:val="0"/>
        <w:autoSpaceDN w:val="0"/>
        <w:adjustRightInd w:val="0"/>
        <w:spacing w:before="60" w:after="60" w:line="240" w:lineRule="atLeast"/>
        <w:jc w:val="both"/>
        <w:rPr>
          <w:rFonts w:ascii="Arial" w:hAnsi="Arial" w:cs="Arial"/>
          <w:b/>
          <w:bCs/>
          <w:color w:val="000000"/>
          <w:sz w:val="22"/>
          <w:szCs w:val="22"/>
          <w:lang w:eastAsia="en-GB"/>
        </w:rPr>
      </w:pPr>
    </w:p>
    <w:p w14:paraId="4117A368" w14:textId="77777777" w:rsidR="00632E9E" w:rsidRPr="00632E9E" w:rsidRDefault="00632E9E" w:rsidP="00632E9E">
      <w:pPr>
        <w:rPr>
          <w:rFonts w:ascii="Arial" w:hAnsi="Arial" w:cs="Arial"/>
          <w:b/>
          <w:bCs/>
          <w:i/>
          <w:iCs/>
          <w:kern w:val="32"/>
          <w:sz w:val="28"/>
          <w:szCs w:val="32"/>
          <w:lang w:eastAsia="en-GB"/>
        </w:rPr>
      </w:pPr>
    </w:p>
    <w:p w14:paraId="42E4B049" w14:textId="77777777" w:rsidR="00632E9E" w:rsidRPr="00632E9E" w:rsidRDefault="00632E9E" w:rsidP="00632E9E">
      <w:pPr>
        <w:tabs>
          <w:tab w:val="right" w:leader="underscore" w:pos="5670"/>
          <w:tab w:val="left" w:pos="6237"/>
        </w:tabs>
        <w:rPr>
          <w:rFonts w:ascii="Arial" w:hAnsi="Arial" w:cs="Times"/>
          <w:b/>
          <w:sz w:val="22"/>
          <w:szCs w:val="22"/>
          <w:lang w:eastAsia="en-GB"/>
        </w:rPr>
      </w:pPr>
    </w:p>
    <w:p w14:paraId="7BB79214" w14:textId="77777777" w:rsidR="00082D73" w:rsidRDefault="00082D73">
      <w:pPr>
        <w:rPr>
          <w:rFonts w:ascii="Arial" w:hAnsi="Arial" w:cs="Arial"/>
          <w:b/>
          <w:bCs/>
          <w:i/>
          <w:iCs/>
          <w:kern w:val="32"/>
          <w:sz w:val="28"/>
          <w:szCs w:val="32"/>
        </w:rPr>
      </w:pPr>
      <w:r>
        <w:rPr>
          <w:rFonts w:ascii="Arial" w:hAnsi="Arial" w:cs="Arial"/>
          <w:b/>
          <w:bCs/>
          <w:i/>
          <w:iCs/>
          <w:kern w:val="32"/>
          <w:sz w:val="28"/>
          <w:szCs w:val="32"/>
        </w:rPr>
        <w:br w:type="page"/>
      </w:r>
    </w:p>
    <w:p w14:paraId="2D88CB94" w14:textId="64D153A6" w:rsidR="00211638" w:rsidRPr="00E2735C" w:rsidRDefault="00082D73" w:rsidP="00211638">
      <w:pPr>
        <w:keepNext/>
        <w:spacing w:before="240" w:after="60"/>
        <w:outlineLvl w:val="0"/>
        <w:rPr>
          <w:rFonts w:ascii="Arial" w:hAnsi="Arial" w:cs="Arial"/>
          <w:b/>
          <w:bCs/>
          <w:i/>
          <w:iCs/>
          <w:kern w:val="32"/>
          <w:sz w:val="28"/>
          <w:szCs w:val="32"/>
        </w:rPr>
      </w:pPr>
      <w:bookmarkStart w:id="393" w:name="_Toc9592004"/>
      <w:r>
        <w:rPr>
          <w:rFonts w:ascii="Arial" w:hAnsi="Arial" w:cs="Arial"/>
          <w:b/>
          <w:bCs/>
          <w:i/>
          <w:iCs/>
          <w:kern w:val="32"/>
          <w:sz w:val="28"/>
          <w:szCs w:val="32"/>
        </w:rPr>
        <w:lastRenderedPageBreak/>
        <w:t>Improving c</w:t>
      </w:r>
      <w:r w:rsidR="00211638" w:rsidRPr="00E2735C">
        <w:rPr>
          <w:rFonts w:ascii="Arial" w:hAnsi="Arial" w:cs="Arial"/>
          <w:b/>
          <w:bCs/>
          <w:i/>
          <w:iCs/>
          <w:kern w:val="32"/>
          <w:sz w:val="28"/>
          <w:szCs w:val="32"/>
        </w:rPr>
        <w:t>hild wellbeing CW09: Better help for smokers to quit (maternity)</w:t>
      </w:r>
      <w:bookmarkEnd w:id="392"/>
      <w:bookmarkEnd w:id="393"/>
      <w:r w:rsidR="00211638" w:rsidRPr="00E2735C">
        <w:rPr>
          <w:rFonts w:ascii="Arial" w:hAnsi="Arial" w:cs="Arial"/>
          <w:b/>
          <w:bCs/>
          <w:i/>
          <w:iCs/>
          <w:kern w:val="32"/>
          <w:sz w:val="28"/>
          <w:szCs w:val="32"/>
        </w:rPr>
        <w:t xml:space="preserve"> </w:t>
      </w:r>
    </w:p>
    <w:p w14:paraId="7B32A6D5" w14:textId="72EE2317" w:rsidR="00211638" w:rsidRPr="00D77CF3" w:rsidRDefault="00211638" w:rsidP="00211638">
      <w:pPr>
        <w:keepNext/>
        <w:spacing w:before="240" w:after="60"/>
        <w:outlineLvl w:val="0"/>
        <w:rPr>
          <w:rFonts w:ascii="Arial" w:hAnsi="Arial" w:cs="Arial"/>
          <w:sz w:val="22"/>
          <w:szCs w:val="22"/>
        </w:rPr>
      </w:pPr>
      <w:bookmarkStart w:id="394" w:name="_Toc4588535"/>
      <w:bookmarkStart w:id="395" w:name="_Toc4588678"/>
      <w:bookmarkStart w:id="396" w:name="_Toc9592005"/>
      <w:r>
        <w:rPr>
          <w:rFonts w:ascii="Arial" w:hAnsi="Arial" w:cs="Arial"/>
          <w:b/>
          <w:bCs/>
          <w:iCs/>
          <w:kern w:val="32"/>
          <w:sz w:val="28"/>
          <w:szCs w:val="32"/>
        </w:rPr>
        <w:t xml:space="preserve">This measure definition is included as a </w:t>
      </w:r>
      <w:r w:rsidR="003545EA">
        <w:rPr>
          <w:rFonts w:ascii="Arial" w:hAnsi="Arial" w:cs="Arial"/>
          <w:b/>
          <w:bCs/>
          <w:iCs/>
          <w:kern w:val="32"/>
          <w:sz w:val="28"/>
          <w:szCs w:val="32"/>
        </w:rPr>
        <w:t xml:space="preserve">sub </w:t>
      </w:r>
      <w:r>
        <w:rPr>
          <w:rFonts w:ascii="Arial" w:hAnsi="Arial" w:cs="Arial"/>
          <w:b/>
          <w:bCs/>
          <w:iCs/>
          <w:kern w:val="32"/>
          <w:sz w:val="28"/>
          <w:szCs w:val="32"/>
        </w:rPr>
        <w:t>component within measure PH04.</w:t>
      </w:r>
      <w:bookmarkEnd w:id="394"/>
      <w:bookmarkEnd w:id="395"/>
      <w:bookmarkEnd w:id="396"/>
      <w:r>
        <w:rPr>
          <w:rFonts w:ascii="Arial" w:hAnsi="Arial" w:cs="Arial"/>
          <w:b/>
          <w:bCs/>
          <w:iCs/>
          <w:kern w:val="32"/>
          <w:sz w:val="28"/>
          <w:szCs w:val="32"/>
        </w:rPr>
        <w:t xml:space="preserve"> </w:t>
      </w:r>
    </w:p>
    <w:p w14:paraId="3818D54C" w14:textId="2D13FAC4" w:rsidR="00F042AD" w:rsidRDefault="00F042AD" w:rsidP="00354258">
      <w:pPr>
        <w:rPr>
          <w:rFonts w:ascii="Arial" w:hAnsi="Arial" w:cs="Arial"/>
          <w:b/>
          <w:bCs/>
          <w:i/>
          <w:iCs/>
        </w:rPr>
      </w:pPr>
      <w:r>
        <w:br w:type="page"/>
      </w:r>
    </w:p>
    <w:p w14:paraId="767DF3E8" w14:textId="77777777" w:rsidR="003545EA" w:rsidRPr="001C5A62" w:rsidRDefault="003545EA" w:rsidP="003545EA">
      <w:pPr>
        <w:keepNext/>
        <w:spacing w:before="240" w:after="60"/>
        <w:outlineLvl w:val="0"/>
        <w:rPr>
          <w:rFonts w:ascii="Arial" w:hAnsi="Arial" w:cs="Arial"/>
          <w:b/>
          <w:bCs/>
          <w:i/>
          <w:iCs/>
          <w:kern w:val="32"/>
        </w:rPr>
      </w:pPr>
      <w:bookmarkStart w:id="397" w:name="_Toc4588536"/>
      <w:bookmarkStart w:id="398" w:name="_Toc4588679"/>
      <w:bookmarkStart w:id="399" w:name="_Toc9592006"/>
      <w:r>
        <w:rPr>
          <w:rFonts w:ascii="Arial" w:hAnsi="Arial" w:cs="Arial"/>
          <w:b/>
          <w:bCs/>
          <w:i/>
          <w:iCs/>
          <w:kern w:val="32"/>
        </w:rPr>
        <w:lastRenderedPageBreak/>
        <w:t>Outcome priority:</w:t>
      </w:r>
      <w:r w:rsidRPr="001C5A62">
        <w:t xml:space="preserve"> </w:t>
      </w:r>
      <w:r w:rsidRPr="001C5A62">
        <w:rPr>
          <w:rFonts w:ascii="Arial" w:hAnsi="Arial" w:cs="Arial"/>
          <w:b/>
          <w:bCs/>
          <w:i/>
          <w:iCs/>
          <w:kern w:val="32"/>
        </w:rPr>
        <w:t>We have health equity for Māori and other groups</w:t>
      </w:r>
      <w:bookmarkEnd w:id="397"/>
      <w:bookmarkEnd w:id="398"/>
      <w:bookmarkEnd w:id="399"/>
    </w:p>
    <w:p w14:paraId="5902FF7E" w14:textId="3A7D5CE2" w:rsidR="003545EA" w:rsidRPr="00E2735C" w:rsidRDefault="00082D73" w:rsidP="003545EA">
      <w:pPr>
        <w:keepNext/>
        <w:spacing w:before="240" w:after="60"/>
        <w:outlineLvl w:val="0"/>
        <w:rPr>
          <w:rFonts w:ascii="Arial" w:hAnsi="Arial" w:cs="Arial"/>
          <w:b/>
          <w:bCs/>
          <w:i/>
          <w:iCs/>
          <w:kern w:val="32"/>
          <w:sz w:val="28"/>
          <w:szCs w:val="32"/>
        </w:rPr>
      </w:pPr>
      <w:bookmarkStart w:id="400" w:name="_Toc4588537"/>
      <w:bookmarkStart w:id="401" w:name="_Toc9592007"/>
      <w:r>
        <w:rPr>
          <w:rFonts w:ascii="Arial" w:hAnsi="Arial" w:cs="Arial"/>
          <w:b/>
          <w:bCs/>
          <w:i/>
          <w:iCs/>
          <w:kern w:val="32"/>
          <w:sz w:val="28"/>
          <w:szCs w:val="32"/>
        </w:rPr>
        <w:t>Improving ch</w:t>
      </w:r>
      <w:r w:rsidR="003545EA" w:rsidRPr="00E2735C">
        <w:rPr>
          <w:rFonts w:ascii="Arial" w:hAnsi="Arial" w:cs="Arial"/>
          <w:b/>
          <w:bCs/>
          <w:i/>
          <w:iCs/>
          <w:kern w:val="32"/>
          <w:sz w:val="28"/>
          <w:szCs w:val="32"/>
        </w:rPr>
        <w:t>ild wellbeing CW10: Raising healthy kids</w:t>
      </w:r>
      <w:bookmarkEnd w:id="400"/>
      <w:bookmarkEnd w:id="40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512"/>
        <w:gridCol w:w="1440"/>
        <w:gridCol w:w="2340"/>
        <w:gridCol w:w="3546"/>
      </w:tblGrid>
      <w:tr w:rsidR="003545EA" w:rsidRPr="00D77CF3" w14:paraId="19FD9E79" w14:textId="77777777" w:rsidTr="001A445B">
        <w:tc>
          <w:tcPr>
            <w:tcW w:w="10206" w:type="dxa"/>
            <w:gridSpan w:val="5"/>
            <w:shd w:val="clear" w:color="auto" w:fill="D9D9D9"/>
          </w:tcPr>
          <w:p w14:paraId="0A37CE9A" w14:textId="77777777" w:rsidR="003545EA" w:rsidRPr="00D77CF3" w:rsidRDefault="003545EA" w:rsidP="001A445B">
            <w:pPr>
              <w:jc w:val="center"/>
              <w:rPr>
                <w:rFonts w:ascii="Arial" w:hAnsi="Arial" w:cs="Arial"/>
                <w:b/>
                <w:sz w:val="22"/>
                <w:szCs w:val="22"/>
                <w:lang w:val="en-GB"/>
              </w:rPr>
            </w:pPr>
            <w:r w:rsidRPr="00D77CF3">
              <w:rPr>
                <w:rFonts w:ascii="Arial" w:hAnsi="Arial" w:cs="Arial"/>
                <w:b/>
                <w:sz w:val="22"/>
                <w:szCs w:val="22"/>
                <w:lang w:val="en-GB"/>
              </w:rPr>
              <w:t>Summary information</w:t>
            </w:r>
          </w:p>
        </w:tc>
      </w:tr>
      <w:tr w:rsidR="003545EA" w:rsidRPr="00D77CF3" w14:paraId="43040F09" w14:textId="77777777" w:rsidTr="001A445B">
        <w:tc>
          <w:tcPr>
            <w:tcW w:w="10206" w:type="dxa"/>
            <w:gridSpan w:val="5"/>
            <w:shd w:val="clear" w:color="auto" w:fill="auto"/>
          </w:tcPr>
          <w:p w14:paraId="31B54819" w14:textId="77777777" w:rsidR="003545EA" w:rsidRPr="00D77CF3" w:rsidRDefault="003545EA" w:rsidP="001A445B">
            <w:pPr>
              <w:jc w:val="both"/>
              <w:rPr>
                <w:rFonts w:ascii="Arial" w:hAnsi="Arial" w:cs="Arial"/>
                <w:b/>
                <w:sz w:val="22"/>
                <w:szCs w:val="22"/>
                <w:lang w:val="en-GB"/>
              </w:rPr>
            </w:pPr>
            <w:r w:rsidRPr="00D77CF3">
              <w:rPr>
                <w:rFonts w:ascii="Arial" w:hAnsi="Arial" w:cs="Arial"/>
                <w:b/>
                <w:sz w:val="22"/>
                <w:szCs w:val="22"/>
                <w:lang w:val="en-GB"/>
              </w:rPr>
              <w:t xml:space="preserve">Indicator: </w:t>
            </w:r>
          </w:p>
          <w:p w14:paraId="129BAD25" w14:textId="77777777" w:rsidR="003545EA" w:rsidRPr="00D77CF3" w:rsidRDefault="003545EA" w:rsidP="001A445B">
            <w:pPr>
              <w:jc w:val="both"/>
              <w:rPr>
                <w:rFonts w:ascii="Arial" w:hAnsi="Arial" w:cs="Arial"/>
                <w:i/>
                <w:color w:val="A6A6A6"/>
                <w:sz w:val="16"/>
                <w:szCs w:val="16"/>
                <w:lang w:val="en-GB"/>
              </w:rPr>
            </w:pPr>
            <w:r w:rsidRPr="00D77CF3">
              <w:rPr>
                <w:rFonts w:ascii="Arial" w:hAnsi="Arial" w:cs="Arial"/>
                <w:color w:val="000000"/>
                <w:sz w:val="20"/>
                <w:szCs w:val="20"/>
                <w:lang w:val="en-GB" w:eastAsia="en-NZ"/>
              </w:rPr>
              <w:t xml:space="preserve">95 percent of obese children identified in the Before School Check (B4SC) programme will be offered a referral to a health professional for clinical assessment and </w:t>
            </w:r>
            <w:proofErr w:type="gramStart"/>
            <w:r w:rsidRPr="00D77CF3">
              <w:rPr>
                <w:rFonts w:ascii="Arial" w:hAnsi="Arial" w:cs="Arial"/>
                <w:color w:val="000000"/>
                <w:sz w:val="20"/>
                <w:szCs w:val="20"/>
                <w:lang w:val="en-GB" w:eastAsia="en-NZ"/>
              </w:rPr>
              <w:t>family based</w:t>
            </w:r>
            <w:proofErr w:type="gramEnd"/>
            <w:r w:rsidRPr="00D77CF3">
              <w:rPr>
                <w:rFonts w:ascii="Arial" w:hAnsi="Arial" w:cs="Arial"/>
                <w:color w:val="000000"/>
                <w:sz w:val="20"/>
                <w:szCs w:val="20"/>
                <w:lang w:val="en-GB" w:eastAsia="en-NZ"/>
              </w:rPr>
              <w:t xml:space="preserve"> nutrition, activity and lifestyle interventions.</w:t>
            </w:r>
          </w:p>
          <w:p w14:paraId="794E118C" w14:textId="77777777" w:rsidR="003545EA" w:rsidRPr="00D77CF3" w:rsidRDefault="003545EA" w:rsidP="001A445B">
            <w:pPr>
              <w:jc w:val="both"/>
              <w:rPr>
                <w:rFonts w:ascii="Arial" w:hAnsi="Arial" w:cs="Arial"/>
                <w:sz w:val="16"/>
                <w:szCs w:val="16"/>
                <w:lang w:val="en-GB"/>
              </w:rPr>
            </w:pPr>
          </w:p>
        </w:tc>
      </w:tr>
      <w:tr w:rsidR="003545EA" w:rsidRPr="00D77CF3" w14:paraId="4A744A14" w14:textId="77777777" w:rsidTr="001A445B">
        <w:tc>
          <w:tcPr>
            <w:tcW w:w="4320" w:type="dxa"/>
            <w:gridSpan w:val="3"/>
            <w:shd w:val="clear" w:color="auto" w:fill="auto"/>
          </w:tcPr>
          <w:p w14:paraId="0DC1AAC2" w14:textId="77777777" w:rsidR="003545EA" w:rsidRPr="00D77CF3" w:rsidRDefault="003545EA" w:rsidP="001A445B">
            <w:pPr>
              <w:jc w:val="both"/>
              <w:rPr>
                <w:rFonts w:ascii="Arial" w:hAnsi="Arial" w:cs="Arial"/>
                <w:b/>
                <w:i/>
                <w:sz w:val="22"/>
                <w:szCs w:val="22"/>
                <w:lang w:val="en-GB"/>
              </w:rPr>
            </w:pPr>
            <w:r w:rsidRPr="00D77CF3">
              <w:rPr>
                <w:rFonts w:ascii="Arial" w:hAnsi="Arial" w:cs="Arial"/>
                <w:b/>
                <w:i/>
                <w:sz w:val="22"/>
                <w:szCs w:val="22"/>
                <w:lang w:val="en-GB"/>
              </w:rPr>
              <w:t>Measures</w:t>
            </w:r>
          </w:p>
        </w:tc>
        <w:tc>
          <w:tcPr>
            <w:tcW w:w="5886" w:type="dxa"/>
            <w:gridSpan w:val="2"/>
            <w:shd w:val="clear" w:color="auto" w:fill="auto"/>
          </w:tcPr>
          <w:p w14:paraId="59C089D3" w14:textId="77777777" w:rsidR="003545EA" w:rsidRPr="00D77CF3" w:rsidRDefault="003545EA" w:rsidP="001A445B">
            <w:pPr>
              <w:jc w:val="both"/>
              <w:rPr>
                <w:rFonts w:ascii="Arial" w:hAnsi="Arial" w:cs="Arial"/>
                <w:b/>
                <w:i/>
                <w:sz w:val="22"/>
                <w:szCs w:val="22"/>
                <w:lang w:val="en-GB"/>
              </w:rPr>
            </w:pPr>
            <w:r w:rsidRPr="00D77CF3">
              <w:rPr>
                <w:rFonts w:ascii="Arial" w:hAnsi="Arial" w:cs="Arial"/>
                <w:b/>
                <w:i/>
                <w:sz w:val="22"/>
                <w:szCs w:val="22"/>
                <w:lang w:val="en-GB"/>
              </w:rPr>
              <w:t>Reporting</w:t>
            </w:r>
          </w:p>
        </w:tc>
      </w:tr>
      <w:tr w:rsidR="003545EA" w:rsidRPr="00D77CF3" w14:paraId="74E152EF" w14:textId="77777777" w:rsidTr="001A445B">
        <w:tc>
          <w:tcPr>
            <w:tcW w:w="1368" w:type="dxa"/>
            <w:shd w:val="clear" w:color="auto" w:fill="auto"/>
          </w:tcPr>
          <w:p w14:paraId="6A4AC6B7"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Type:</w:t>
            </w:r>
          </w:p>
        </w:tc>
        <w:tc>
          <w:tcPr>
            <w:tcW w:w="2952" w:type="dxa"/>
            <w:gridSpan w:val="2"/>
            <w:shd w:val="clear" w:color="auto" w:fill="auto"/>
          </w:tcPr>
          <w:p w14:paraId="51B6586F"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Output</w:t>
            </w:r>
          </w:p>
        </w:tc>
        <w:tc>
          <w:tcPr>
            <w:tcW w:w="2340" w:type="dxa"/>
            <w:shd w:val="clear" w:color="auto" w:fill="auto"/>
          </w:tcPr>
          <w:p w14:paraId="5B6B8120"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Type:</w:t>
            </w:r>
          </w:p>
        </w:tc>
        <w:tc>
          <w:tcPr>
            <w:tcW w:w="3546" w:type="dxa"/>
            <w:shd w:val="clear" w:color="auto" w:fill="auto"/>
          </w:tcPr>
          <w:p w14:paraId="46458A8E"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Provide update</w:t>
            </w:r>
          </w:p>
        </w:tc>
      </w:tr>
      <w:tr w:rsidR="003545EA" w:rsidRPr="00D77CF3" w14:paraId="11EFF330" w14:textId="77777777" w:rsidTr="001A445B">
        <w:tc>
          <w:tcPr>
            <w:tcW w:w="1368" w:type="dxa"/>
            <w:shd w:val="clear" w:color="auto" w:fill="auto"/>
          </w:tcPr>
          <w:p w14:paraId="03378381"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Target:</w:t>
            </w:r>
          </w:p>
        </w:tc>
        <w:tc>
          <w:tcPr>
            <w:tcW w:w="2952" w:type="dxa"/>
            <w:gridSpan w:val="2"/>
            <w:shd w:val="clear" w:color="auto" w:fill="auto"/>
          </w:tcPr>
          <w:p w14:paraId="03BC95E7"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95 per cent</w:t>
            </w:r>
          </w:p>
        </w:tc>
        <w:tc>
          <w:tcPr>
            <w:tcW w:w="2340" w:type="dxa"/>
            <w:shd w:val="clear" w:color="auto" w:fill="auto"/>
          </w:tcPr>
          <w:p w14:paraId="74CF6E92" w14:textId="77777777" w:rsidR="003545EA" w:rsidRPr="00D77CF3" w:rsidRDefault="003545EA" w:rsidP="001A445B">
            <w:pPr>
              <w:rPr>
                <w:rFonts w:ascii="Arial" w:hAnsi="Arial" w:cs="Arial"/>
                <w:sz w:val="22"/>
                <w:szCs w:val="22"/>
                <w:lang w:val="en-GB"/>
              </w:rPr>
            </w:pPr>
            <w:r w:rsidRPr="00D77CF3">
              <w:rPr>
                <w:rFonts w:ascii="Arial" w:hAnsi="Arial" w:cs="Arial"/>
                <w:sz w:val="22"/>
                <w:szCs w:val="22"/>
                <w:lang w:val="en-GB"/>
              </w:rPr>
              <w:t>Reporting frequency:</w:t>
            </w:r>
          </w:p>
        </w:tc>
        <w:tc>
          <w:tcPr>
            <w:tcW w:w="3546" w:type="dxa"/>
            <w:shd w:val="clear" w:color="auto" w:fill="auto"/>
          </w:tcPr>
          <w:p w14:paraId="54D1DBF4" w14:textId="77777777" w:rsidR="003545EA" w:rsidRPr="00D77CF3" w:rsidRDefault="003545EA" w:rsidP="001A445B">
            <w:pPr>
              <w:tabs>
                <w:tab w:val="center" w:pos="1285"/>
              </w:tabs>
              <w:rPr>
                <w:rFonts w:ascii="Arial" w:hAnsi="Arial" w:cs="Arial"/>
                <w:sz w:val="22"/>
                <w:szCs w:val="22"/>
                <w:lang w:val="en-GB"/>
              </w:rPr>
            </w:pPr>
            <w:r w:rsidRPr="00D77CF3">
              <w:rPr>
                <w:rFonts w:ascii="Arial" w:hAnsi="Arial" w:cs="Arial"/>
                <w:sz w:val="22"/>
                <w:szCs w:val="22"/>
                <w:lang w:val="en-GB"/>
              </w:rPr>
              <w:t>Quarterly</w:t>
            </w:r>
          </w:p>
        </w:tc>
      </w:tr>
      <w:tr w:rsidR="003545EA" w:rsidRPr="00D77CF3" w14:paraId="3EC84BCF" w14:textId="77777777" w:rsidTr="001A445B">
        <w:tc>
          <w:tcPr>
            <w:tcW w:w="2880" w:type="dxa"/>
            <w:gridSpan w:val="2"/>
            <w:shd w:val="clear" w:color="auto" w:fill="auto"/>
          </w:tcPr>
          <w:p w14:paraId="3D514038" w14:textId="77777777" w:rsidR="003545EA" w:rsidRPr="00D77CF3" w:rsidRDefault="003545EA" w:rsidP="001A445B">
            <w:pPr>
              <w:rPr>
                <w:rFonts w:ascii="Arial" w:hAnsi="Arial" w:cs="Arial"/>
                <w:b/>
                <w:i/>
                <w:sz w:val="22"/>
                <w:szCs w:val="22"/>
                <w:lang w:val="en-GB"/>
              </w:rPr>
            </w:pPr>
          </w:p>
          <w:p w14:paraId="71197EA1" w14:textId="77777777" w:rsidR="003545EA" w:rsidRPr="00D77CF3" w:rsidRDefault="003545EA" w:rsidP="001A445B">
            <w:pPr>
              <w:rPr>
                <w:rFonts w:ascii="Arial" w:hAnsi="Arial" w:cs="Arial"/>
                <w:b/>
                <w:i/>
                <w:sz w:val="22"/>
                <w:szCs w:val="22"/>
                <w:lang w:val="en-GB"/>
              </w:rPr>
            </w:pPr>
            <w:r w:rsidRPr="00D77CF3">
              <w:rPr>
                <w:rFonts w:ascii="Arial" w:hAnsi="Arial" w:cs="Arial"/>
                <w:b/>
                <w:i/>
                <w:sz w:val="22"/>
                <w:szCs w:val="22"/>
                <w:lang w:val="en-GB"/>
              </w:rPr>
              <w:t>Source data/template for reporting provided by:</w:t>
            </w:r>
          </w:p>
        </w:tc>
        <w:tc>
          <w:tcPr>
            <w:tcW w:w="7326" w:type="dxa"/>
            <w:gridSpan w:val="3"/>
            <w:shd w:val="clear" w:color="auto" w:fill="auto"/>
          </w:tcPr>
          <w:p w14:paraId="7A1BE1F8" w14:textId="77777777" w:rsidR="003545EA" w:rsidRPr="00D77CF3" w:rsidRDefault="003545EA" w:rsidP="001A445B">
            <w:pPr>
              <w:rPr>
                <w:rFonts w:ascii="Arial" w:hAnsi="Arial" w:cs="Arial"/>
                <w:i/>
                <w:sz w:val="22"/>
                <w:szCs w:val="22"/>
                <w:lang w:val="en-GB"/>
              </w:rPr>
            </w:pPr>
          </w:p>
          <w:p w14:paraId="1AB8CE1F" w14:textId="77777777" w:rsidR="003545EA" w:rsidRPr="00D77CF3" w:rsidRDefault="003545EA" w:rsidP="001A445B">
            <w:pPr>
              <w:rPr>
                <w:rFonts w:ascii="Arial" w:hAnsi="Arial" w:cs="Arial"/>
                <w:i/>
                <w:sz w:val="22"/>
                <w:szCs w:val="22"/>
                <w:lang w:val="en-GB"/>
              </w:rPr>
            </w:pPr>
            <w:r w:rsidRPr="00D77CF3">
              <w:rPr>
                <w:rFonts w:ascii="Arial" w:hAnsi="Arial" w:cs="Arial"/>
                <w:i/>
                <w:sz w:val="22"/>
                <w:szCs w:val="22"/>
                <w:lang w:val="en-GB"/>
              </w:rPr>
              <w:t>Data provided by Ministry of Health from B4SC database</w:t>
            </w:r>
          </w:p>
        </w:tc>
      </w:tr>
      <w:tr w:rsidR="003545EA" w:rsidRPr="00D77CF3" w14:paraId="560A5BF7" w14:textId="77777777" w:rsidTr="001A445B">
        <w:tc>
          <w:tcPr>
            <w:tcW w:w="10206" w:type="dxa"/>
            <w:gridSpan w:val="5"/>
            <w:shd w:val="clear" w:color="auto" w:fill="auto"/>
          </w:tcPr>
          <w:p w14:paraId="25112828" w14:textId="77777777" w:rsidR="003545EA" w:rsidRPr="00D77CF3" w:rsidRDefault="003545EA" w:rsidP="001A445B">
            <w:pPr>
              <w:jc w:val="both"/>
              <w:rPr>
                <w:rFonts w:ascii="Arial" w:hAnsi="Arial" w:cs="Arial"/>
                <w:sz w:val="22"/>
                <w:szCs w:val="22"/>
                <w:lang w:val="en-GB"/>
              </w:rPr>
            </w:pPr>
            <w:r w:rsidRPr="00D77CF3">
              <w:rPr>
                <w:rFonts w:ascii="Arial" w:hAnsi="Arial" w:cs="Arial"/>
                <w:b/>
                <w:sz w:val="22"/>
                <w:szCs w:val="18"/>
                <w:lang w:val="en-GB"/>
              </w:rPr>
              <w:t>Linkages:</w:t>
            </w:r>
            <w:r w:rsidRPr="00D77CF3">
              <w:rPr>
                <w:rFonts w:ascii="Arial" w:hAnsi="Arial" w:cs="Arial"/>
                <w:sz w:val="22"/>
                <w:szCs w:val="18"/>
                <w:lang w:val="en-GB"/>
              </w:rPr>
              <w:t xml:space="preserve"> The </w:t>
            </w:r>
            <w:r w:rsidRPr="00D77CF3">
              <w:rPr>
                <w:rFonts w:ascii="Arial" w:eastAsia="Calibri" w:hAnsi="Arial" w:cs="Arial"/>
                <w:bCs/>
                <w:iCs/>
                <w:noProof/>
                <w:kern w:val="32"/>
                <w:sz w:val="22"/>
                <w:szCs w:val="18"/>
                <w:lang w:val="en-GB"/>
              </w:rPr>
              <w:t>performance of this indicator is also reported in System Integration SI5: Delivery of Whānau Ora</w:t>
            </w:r>
            <w:r w:rsidRPr="00D77CF3">
              <w:rPr>
                <w:rFonts w:ascii="Arial" w:hAnsi="Arial" w:cs="Arial"/>
                <w:iCs/>
                <w:sz w:val="22"/>
                <w:szCs w:val="18"/>
                <w:lang w:val="en-GB"/>
              </w:rPr>
              <w:t xml:space="preserve">. </w:t>
            </w:r>
            <w:r w:rsidRPr="00D77CF3">
              <w:rPr>
                <w:rFonts w:ascii="Arial" w:eastAsia="Calibri" w:hAnsi="Arial" w:cs="Arial"/>
                <w:bCs/>
                <w:iCs/>
                <w:noProof/>
                <w:kern w:val="32"/>
                <w:sz w:val="22"/>
                <w:szCs w:val="18"/>
                <w:lang w:val="en-GB"/>
              </w:rPr>
              <w:t>It requires a heightened focus to achieve accelerated progress towards Whānau Ora and health equity, as agreed by the Whānau Ora Partnership Group.</w:t>
            </w:r>
          </w:p>
          <w:p w14:paraId="1E3E45D9" w14:textId="77777777" w:rsidR="003545EA" w:rsidRPr="00D77CF3" w:rsidRDefault="003545EA" w:rsidP="001A445B">
            <w:pPr>
              <w:rPr>
                <w:rFonts w:ascii="Arial" w:hAnsi="Arial" w:cs="Arial"/>
                <w:i/>
                <w:sz w:val="22"/>
                <w:szCs w:val="22"/>
                <w:lang w:val="en-GB"/>
              </w:rPr>
            </w:pPr>
          </w:p>
        </w:tc>
      </w:tr>
    </w:tbl>
    <w:p w14:paraId="6676ED2B" w14:textId="77777777" w:rsidR="003545EA" w:rsidRPr="00D77CF3" w:rsidRDefault="003545EA" w:rsidP="003545EA">
      <w:pPr>
        <w:jc w:val="both"/>
        <w:rPr>
          <w:rFonts w:ascii="Arial" w:hAnsi="Arial" w:cs="Arial"/>
          <w:b/>
          <w:sz w:val="22"/>
          <w:szCs w:val="22"/>
          <w:lang w:val="en-GB"/>
        </w:rPr>
      </w:pPr>
    </w:p>
    <w:p w14:paraId="7B756DAC" w14:textId="77777777" w:rsidR="003545EA" w:rsidRPr="00D77CF3" w:rsidRDefault="003545EA" w:rsidP="003545EA">
      <w:pPr>
        <w:jc w:val="both"/>
        <w:rPr>
          <w:rFonts w:ascii="Arial" w:hAnsi="Arial" w:cs="Arial"/>
          <w:b/>
          <w:i/>
          <w:sz w:val="22"/>
          <w:szCs w:val="22"/>
          <w:lang w:val="en-GB"/>
        </w:rPr>
      </w:pPr>
      <w:r w:rsidRPr="00D77CF3">
        <w:rPr>
          <w:rFonts w:ascii="Arial" w:hAnsi="Arial" w:cs="Arial"/>
          <w:b/>
          <w:sz w:val="22"/>
          <w:szCs w:val="22"/>
          <w:lang w:val="en-GB"/>
        </w:rPr>
        <w:t xml:space="preserve">Link to outcomes </w:t>
      </w:r>
    </w:p>
    <w:p w14:paraId="45B21F82" w14:textId="77777777" w:rsidR="006E773E" w:rsidRPr="0072302C" w:rsidRDefault="006E773E" w:rsidP="006E773E">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60E3CAB7" w14:textId="77777777" w:rsidR="003545EA" w:rsidRPr="001C5A62" w:rsidRDefault="003545EA" w:rsidP="003545EA">
      <w:pPr>
        <w:rPr>
          <w:rFonts w:ascii="Arial" w:hAnsi="Arial" w:cs="Arial"/>
          <w:sz w:val="22"/>
          <w:szCs w:val="22"/>
        </w:rPr>
      </w:pPr>
      <w:r w:rsidRPr="001C5A62">
        <w:rPr>
          <w:rFonts w:ascii="Arial" w:hAnsi="Arial" w:cs="Arial"/>
          <w:sz w:val="22"/>
          <w:szCs w:val="22"/>
        </w:rPr>
        <w:t xml:space="preserve">By </w:t>
      </w:r>
      <w:r>
        <w:rPr>
          <w:rFonts w:ascii="Arial" w:hAnsi="Arial" w:cs="Arial"/>
          <w:sz w:val="22"/>
          <w:szCs w:val="22"/>
        </w:rPr>
        <w:t xml:space="preserve">supporting children identified as obese at their Before School Check(B4SC) DHBs </w:t>
      </w:r>
      <w:r w:rsidRPr="001C5A62">
        <w:rPr>
          <w:rFonts w:ascii="Arial" w:hAnsi="Arial" w:cs="Arial"/>
          <w:sz w:val="22"/>
          <w:szCs w:val="22"/>
        </w:rPr>
        <w:t xml:space="preserve">will support Government's priority to make New Zealand the best place in the world to be a child and our health system outcome </w:t>
      </w:r>
      <w:r>
        <w:rPr>
          <w:rFonts w:ascii="Arial" w:hAnsi="Arial" w:cs="Arial"/>
          <w:sz w:val="22"/>
          <w:szCs w:val="22"/>
        </w:rPr>
        <w:t xml:space="preserve">that we </w:t>
      </w:r>
      <w:r w:rsidRPr="001C5A62">
        <w:rPr>
          <w:rFonts w:ascii="Arial" w:hAnsi="Arial" w:cs="Arial"/>
          <w:sz w:val="22"/>
          <w:szCs w:val="22"/>
        </w:rPr>
        <w:t>have health e</w:t>
      </w:r>
      <w:r>
        <w:rPr>
          <w:rFonts w:ascii="Arial" w:hAnsi="Arial" w:cs="Arial"/>
          <w:sz w:val="22"/>
          <w:szCs w:val="22"/>
        </w:rPr>
        <w:t xml:space="preserve">quity for Māori and other groups. </w:t>
      </w:r>
    </w:p>
    <w:p w14:paraId="1DE4B150" w14:textId="77777777" w:rsidR="003545EA" w:rsidRPr="00D77CF3" w:rsidRDefault="003545EA" w:rsidP="003545EA">
      <w:pPr>
        <w:jc w:val="both"/>
        <w:rPr>
          <w:rFonts w:ascii="Arial" w:hAnsi="Arial" w:cs="Arial"/>
          <w:b/>
          <w:sz w:val="22"/>
          <w:szCs w:val="22"/>
          <w:lang w:val="en-GB"/>
        </w:rPr>
      </w:pPr>
    </w:p>
    <w:p w14:paraId="697313F1" w14:textId="77777777" w:rsidR="003545EA" w:rsidRPr="00D77CF3" w:rsidRDefault="003545EA" w:rsidP="003545EA">
      <w:pPr>
        <w:jc w:val="both"/>
        <w:rPr>
          <w:rFonts w:ascii="Arial" w:hAnsi="Arial" w:cs="Arial"/>
          <w:b/>
          <w:sz w:val="22"/>
          <w:szCs w:val="22"/>
          <w:lang w:val="en-GB"/>
        </w:rPr>
      </w:pPr>
      <w:r w:rsidRPr="00D77CF3">
        <w:rPr>
          <w:rFonts w:ascii="Arial" w:hAnsi="Arial" w:cs="Arial"/>
          <w:b/>
          <w:sz w:val="22"/>
          <w:szCs w:val="22"/>
          <w:lang w:val="en-GB"/>
        </w:rPr>
        <w:t>Target Definition</w:t>
      </w:r>
    </w:p>
    <w:p w14:paraId="7ED0E222"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r w:rsidRPr="00D77CF3">
        <w:rPr>
          <w:rFonts w:ascii="Arial" w:hAnsi="Arial" w:cs="Arial"/>
          <w:color w:val="000000"/>
          <w:sz w:val="22"/>
          <w:szCs w:val="22"/>
          <w:lang w:val="en-GB" w:eastAsia="en-NZ"/>
        </w:rPr>
        <w:t>The target is: By December 2017, 95 per cent of obese children identified in the Before School Ch</w:t>
      </w:r>
      <w:r>
        <w:rPr>
          <w:rFonts w:ascii="Arial" w:hAnsi="Arial" w:cs="Arial"/>
          <w:color w:val="000000"/>
          <w:sz w:val="22"/>
          <w:szCs w:val="22"/>
          <w:lang w:val="en-GB" w:eastAsia="en-NZ"/>
        </w:rPr>
        <w:t>eck p</w:t>
      </w:r>
      <w:r w:rsidRPr="00D77CF3">
        <w:rPr>
          <w:rFonts w:ascii="Arial" w:hAnsi="Arial" w:cs="Arial"/>
          <w:color w:val="000000"/>
          <w:sz w:val="22"/>
          <w:szCs w:val="22"/>
          <w:lang w:val="en-GB" w:eastAsia="en-NZ"/>
        </w:rPr>
        <w:t xml:space="preserve">rogramme will be offered a referral to a health professional for clinical assessment and </w:t>
      </w:r>
      <w:proofErr w:type="gramStart"/>
      <w:r w:rsidRPr="00D77CF3">
        <w:rPr>
          <w:rFonts w:ascii="Arial" w:hAnsi="Arial" w:cs="Arial"/>
          <w:color w:val="000000"/>
          <w:sz w:val="22"/>
          <w:szCs w:val="22"/>
          <w:lang w:val="en-GB" w:eastAsia="en-NZ"/>
        </w:rPr>
        <w:t>family based</w:t>
      </w:r>
      <w:proofErr w:type="gramEnd"/>
      <w:r w:rsidRPr="00D77CF3">
        <w:rPr>
          <w:rFonts w:ascii="Arial" w:hAnsi="Arial" w:cs="Arial"/>
          <w:color w:val="000000"/>
          <w:sz w:val="22"/>
          <w:szCs w:val="22"/>
          <w:lang w:val="en-GB" w:eastAsia="en-NZ"/>
        </w:rPr>
        <w:t xml:space="preserve"> nutrition, activity and lifestyle interventions.</w:t>
      </w:r>
    </w:p>
    <w:p w14:paraId="2E802D89"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p>
    <w:p w14:paraId="065FABED"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r w:rsidRPr="00D77CF3">
        <w:rPr>
          <w:rFonts w:ascii="Arial" w:hAnsi="Arial" w:cs="Arial"/>
          <w:color w:val="000000"/>
          <w:sz w:val="22"/>
          <w:szCs w:val="22"/>
          <w:lang w:val="en-GB" w:eastAsia="en-NZ"/>
        </w:rPr>
        <w:t>The target was selected as the B4SC focuses on intervening in the early stages to ensure positive, sustained effects on health.  Children receive a comprehensive check before they start school and are referred to the services they need to support healthy eating and activity.</w:t>
      </w:r>
    </w:p>
    <w:p w14:paraId="1F535DB2"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p>
    <w:p w14:paraId="5C3E2AC9" w14:textId="77777777" w:rsidR="003545EA" w:rsidRPr="00D77CF3" w:rsidRDefault="003545EA" w:rsidP="003545EA">
      <w:pPr>
        <w:jc w:val="both"/>
        <w:rPr>
          <w:rFonts w:ascii="Arial" w:hAnsi="Arial" w:cs="Arial"/>
          <w:b/>
          <w:sz w:val="22"/>
          <w:szCs w:val="22"/>
          <w:lang w:val="en-GB"/>
        </w:rPr>
      </w:pPr>
      <w:proofErr w:type="gramStart"/>
      <w:r w:rsidRPr="00D77CF3">
        <w:rPr>
          <w:rFonts w:ascii="Arial" w:hAnsi="Arial" w:cs="Arial"/>
          <w:b/>
          <w:sz w:val="22"/>
          <w:szCs w:val="22"/>
          <w:lang w:val="en-GB"/>
        </w:rPr>
        <w:t>Deliverables</w:t>
      </w:r>
      <w:proofErr w:type="gramEnd"/>
      <w:r w:rsidRPr="00D77CF3">
        <w:rPr>
          <w:rFonts w:ascii="Arial" w:hAnsi="Arial" w:cs="Arial"/>
          <w:b/>
          <w:sz w:val="22"/>
          <w:szCs w:val="22"/>
          <w:lang w:val="en-GB"/>
        </w:rPr>
        <w:t xml:space="preserve"> definition</w:t>
      </w:r>
    </w:p>
    <w:p w14:paraId="57FC58E7" w14:textId="77777777" w:rsidR="003545EA" w:rsidRPr="00D77CF3" w:rsidRDefault="003545EA" w:rsidP="003545EA">
      <w:pPr>
        <w:jc w:val="both"/>
        <w:rPr>
          <w:rFonts w:ascii="Arial" w:hAnsi="Arial"/>
          <w:sz w:val="22"/>
          <w:szCs w:val="22"/>
          <w:lang w:val="en-GB"/>
        </w:rPr>
      </w:pPr>
      <w:r w:rsidRPr="00D77CF3">
        <w:rPr>
          <w:rFonts w:ascii="Arial" w:hAnsi="Arial"/>
          <w:sz w:val="22"/>
          <w:szCs w:val="22"/>
          <w:lang w:val="en-GB"/>
        </w:rPr>
        <w:t xml:space="preserve">Each DHB will be required to review the following data provided by the Ministry on a quarterly basis: </w:t>
      </w:r>
    </w:p>
    <w:p w14:paraId="06EB87BD" w14:textId="77777777" w:rsidR="003545EA" w:rsidRPr="00D77CF3" w:rsidRDefault="003545EA" w:rsidP="003545EA">
      <w:pPr>
        <w:jc w:val="both"/>
        <w:rPr>
          <w:rFonts w:ascii="Arial" w:hAnsi="Arial"/>
          <w:sz w:val="22"/>
          <w:szCs w:val="22"/>
          <w:lang w:val="en-GB"/>
        </w:rPr>
      </w:pPr>
    </w:p>
    <w:p w14:paraId="14C30DC4" w14:textId="77777777" w:rsidR="003545EA" w:rsidRPr="00D77CF3" w:rsidRDefault="003545EA" w:rsidP="00C04FF1">
      <w:pPr>
        <w:numPr>
          <w:ilvl w:val="0"/>
          <w:numId w:val="76"/>
        </w:numPr>
        <w:jc w:val="both"/>
        <w:rPr>
          <w:rFonts w:ascii="Arial" w:hAnsi="Arial" w:cs="Arial"/>
          <w:i/>
          <w:sz w:val="22"/>
          <w:szCs w:val="22"/>
          <w:lang w:val="en-GB"/>
        </w:rPr>
      </w:pPr>
      <w:r w:rsidRPr="00D77CF3">
        <w:rPr>
          <w:rFonts w:ascii="Arial" w:hAnsi="Arial" w:cs="Arial"/>
          <w:i/>
          <w:sz w:val="22"/>
          <w:szCs w:val="22"/>
          <w:lang w:val="en-GB"/>
        </w:rPr>
        <w:t xml:space="preserve">Denominator: the number of children identified as obese (BMI&gt;98th percentile) from all completed checks processed in a </w:t>
      </w:r>
      <w:proofErr w:type="gramStart"/>
      <w:r w:rsidRPr="00D77CF3">
        <w:rPr>
          <w:rFonts w:ascii="Arial" w:hAnsi="Arial" w:cs="Arial"/>
          <w:i/>
          <w:sz w:val="22"/>
          <w:szCs w:val="22"/>
          <w:lang w:val="en-GB"/>
        </w:rPr>
        <w:t>six month</w:t>
      </w:r>
      <w:proofErr w:type="gramEnd"/>
      <w:r w:rsidRPr="00D77CF3">
        <w:rPr>
          <w:rFonts w:ascii="Arial" w:hAnsi="Arial" w:cs="Arial"/>
          <w:i/>
          <w:sz w:val="22"/>
          <w:szCs w:val="22"/>
          <w:lang w:val="en-GB"/>
        </w:rPr>
        <w:t xml:space="preserve"> period</w:t>
      </w:r>
    </w:p>
    <w:p w14:paraId="19F3E336" w14:textId="77777777" w:rsidR="003545EA" w:rsidRPr="00D77CF3" w:rsidRDefault="003545EA" w:rsidP="00C04FF1">
      <w:pPr>
        <w:numPr>
          <w:ilvl w:val="0"/>
          <w:numId w:val="76"/>
        </w:numPr>
        <w:jc w:val="both"/>
        <w:rPr>
          <w:rFonts w:ascii="Arial" w:eastAsia="Calibri" w:hAnsi="Arial" w:cs="Arial"/>
          <w:color w:val="000000"/>
          <w:sz w:val="22"/>
          <w:szCs w:val="22"/>
          <w:lang w:val="en-GB"/>
        </w:rPr>
      </w:pPr>
      <w:r w:rsidRPr="00D77CF3">
        <w:rPr>
          <w:rFonts w:ascii="Arial" w:hAnsi="Arial" w:cs="Arial"/>
          <w:i/>
          <w:sz w:val="22"/>
          <w:szCs w:val="22"/>
          <w:lang w:val="en-GB"/>
        </w:rPr>
        <w:t>Numerator: a subset of the group of children identified in the denominator.  The numerator is the number of children where their referral was acknowledged within 60 days (30 days applies from 1 July 2016) or who are already under care or the referral was declined by the parent/caregiver</w:t>
      </w:r>
    </w:p>
    <w:p w14:paraId="3C603B46" w14:textId="77777777" w:rsidR="003545EA" w:rsidRPr="00D77CF3" w:rsidRDefault="003545EA" w:rsidP="003545EA">
      <w:pPr>
        <w:jc w:val="both"/>
        <w:rPr>
          <w:rFonts w:ascii="Arial" w:hAnsi="Arial"/>
          <w:sz w:val="22"/>
          <w:szCs w:val="22"/>
          <w:lang w:val="en-GB"/>
        </w:rPr>
      </w:pPr>
    </w:p>
    <w:p w14:paraId="52CED029" w14:textId="77777777" w:rsidR="003545EA" w:rsidRPr="00D77CF3" w:rsidRDefault="003545EA" w:rsidP="003545EA">
      <w:pPr>
        <w:autoSpaceDE w:val="0"/>
        <w:autoSpaceDN w:val="0"/>
        <w:adjustRightInd w:val="0"/>
        <w:spacing w:line="276" w:lineRule="auto"/>
        <w:ind w:left="360" w:hanging="360"/>
        <w:rPr>
          <w:rFonts w:ascii="Arial" w:eastAsia="Calibri" w:hAnsi="Arial" w:cs="Arial"/>
          <w:color w:val="000000"/>
          <w:sz w:val="22"/>
          <w:szCs w:val="22"/>
          <w:lang w:val="en-GB"/>
        </w:rPr>
      </w:pPr>
    </w:p>
    <w:p w14:paraId="631485AA" w14:textId="77777777" w:rsidR="003545EA" w:rsidRPr="00D77CF3" w:rsidRDefault="003545EA" w:rsidP="003545EA">
      <w:pPr>
        <w:autoSpaceDE w:val="0"/>
        <w:autoSpaceDN w:val="0"/>
        <w:adjustRightInd w:val="0"/>
        <w:spacing w:before="120" w:after="120"/>
        <w:jc w:val="both"/>
        <w:rPr>
          <w:rFonts w:ascii="Arial" w:hAnsi="Arial" w:cs="Arial"/>
          <w:b/>
          <w:bCs/>
          <w:color w:val="000000"/>
          <w:sz w:val="22"/>
          <w:szCs w:val="22"/>
          <w:u w:val="single"/>
          <w:lang w:val="en-GB"/>
        </w:rPr>
      </w:pPr>
      <w:r w:rsidRPr="00D77CF3">
        <w:rPr>
          <w:rFonts w:ascii="Arial" w:hAnsi="Arial" w:cs="Arial"/>
          <w:b/>
          <w:bCs/>
          <w:color w:val="000000"/>
          <w:sz w:val="22"/>
          <w:szCs w:val="22"/>
          <w:u w:val="single"/>
          <w:lang w:val="en-GB"/>
        </w:rPr>
        <w:t xml:space="preserve">Information will be provided for total DHB population, </w:t>
      </w:r>
      <w:proofErr w:type="gramStart"/>
      <w:r w:rsidRPr="00D77CF3">
        <w:rPr>
          <w:rFonts w:ascii="Arial" w:hAnsi="Arial" w:cs="Arial"/>
          <w:b/>
          <w:bCs/>
          <w:color w:val="000000"/>
          <w:sz w:val="22"/>
          <w:szCs w:val="22"/>
          <w:u w:val="single"/>
          <w:lang w:val="en-GB"/>
        </w:rPr>
        <w:t>Māori</w:t>
      </w:r>
      <w:proofErr w:type="gramEnd"/>
      <w:r w:rsidRPr="00D77CF3">
        <w:rPr>
          <w:rFonts w:ascii="Arial" w:hAnsi="Arial" w:cs="Arial"/>
          <w:b/>
          <w:bCs/>
          <w:color w:val="000000"/>
          <w:sz w:val="22"/>
          <w:szCs w:val="22"/>
          <w:u w:val="single"/>
          <w:lang w:val="en-GB"/>
        </w:rPr>
        <w:t xml:space="preserve"> and Pacific (for 8 DHBs with high Pacific populations), and deprivation (Dep Index 5).</w:t>
      </w:r>
    </w:p>
    <w:p w14:paraId="2558C39E" w14:textId="77777777" w:rsidR="003545EA" w:rsidRPr="00D77CF3" w:rsidRDefault="003545EA" w:rsidP="003545EA">
      <w:pPr>
        <w:jc w:val="both"/>
        <w:rPr>
          <w:rFonts w:ascii="Arial" w:hAnsi="Arial"/>
          <w:sz w:val="22"/>
          <w:szCs w:val="22"/>
          <w:lang w:val="en-GB"/>
        </w:rPr>
      </w:pPr>
    </w:p>
    <w:p w14:paraId="59555DB6" w14:textId="77777777" w:rsidR="003545EA" w:rsidRPr="00D77CF3" w:rsidRDefault="003545EA" w:rsidP="003545EA">
      <w:pPr>
        <w:jc w:val="both"/>
        <w:rPr>
          <w:rFonts w:ascii="Arial" w:hAnsi="Arial"/>
          <w:sz w:val="22"/>
          <w:szCs w:val="22"/>
          <w:lang w:val="en-GB"/>
        </w:rPr>
      </w:pPr>
      <w:r w:rsidRPr="00D77CF3">
        <w:rPr>
          <w:rFonts w:ascii="Arial" w:hAnsi="Arial"/>
          <w:sz w:val="22"/>
          <w:szCs w:val="22"/>
          <w:lang w:val="en-GB"/>
        </w:rPr>
        <w:t>DHBs must provide a progress update on:</w:t>
      </w:r>
    </w:p>
    <w:p w14:paraId="3AF8FCBD" w14:textId="77777777" w:rsidR="003545EA" w:rsidRPr="00D77CF3" w:rsidRDefault="003545EA" w:rsidP="003545EA">
      <w:pPr>
        <w:jc w:val="both"/>
        <w:rPr>
          <w:rFonts w:ascii="Arial" w:hAnsi="Arial"/>
          <w:sz w:val="22"/>
          <w:szCs w:val="22"/>
          <w:lang w:val="en-GB"/>
        </w:rPr>
      </w:pPr>
    </w:p>
    <w:p w14:paraId="7D04AE88" w14:textId="77777777" w:rsidR="003545EA" w:rsidRPr="00D77CF3" w:rsidRDefault="003545EA" w:rsidP="00C04FF1">
      <w:pPr>
        <w:numPr>
          <w:ilvl w:val="0"/>
          <w:numId w:val="73"/>
        </w:numPr>
        <w:jc w:val="both"/>
        <w:rPr>
          <w:rFonts w:ascii="Arial" w:hAnsi="Arial"/>
          <w:sz w:val="22"/>
          <w:szCs w:val="22"/>
          <w:lang w:val="en-GB"/>
        </w:rPr>
      </w:pPr>
      <w:r w:rsidRPr="00D77CF3">
        <w:rPr>
          <w:rFonts w:ascii="Arial" w:hAnsi="Arial"/>
          <w:sz w:val="22"/>
          <w:szCs w:val="22"/>
          <w:lang w:val="en-GB"/>
        </w:rPr>
        <w:t xml:space="preserve">Target performance to date and rate of progress based on data provided.  </w:t>
      </w:r>
    </w:p>
    <w:p w14:paraId="37A8895F" w14:textId="77777777" w:rsidR="003545EA" w:rsidRPr="00D77CF3" w:rsidRDefault="003545EA" w:rsidP="00C04FF1">
      <w:pPr>
        <w:numPr>
          <w:ilvl w:val="0"/>
          <w:numId w:val="73"/>
        </w:numPr>
        <w:jc w:val="both"/>
        <w:rPr>
          <w:rFonts w:ascii="Arial" w:hAnsi="Arial"/>
          <w:sz w:val="22"/>
          <w:szCs w:val="22"/>
          <w:lang w:val="en-GB"/>
        </w:rPr>
      </w:pPr>
      <w:r w:rsidRPr="00D77CF3">
        <w:rPr>
          <w:rFonts w:ascii="Arial" w:hAnsi="Arial"/>
          <w:sz w:val="22"/>
          <w:szCs w:val="22"/>
          <w:lang w:val="en-GB"/>
        </w:rPr>
        <w:t>Your activity to support the achievement of the target and initiatives to realise a reduction in childhood obesity, as reflected in your commitments in your Annual Plan, including:</w:t>
      </w:r>
    </w:p>
    <w:p w14:paraId="57AAE5FD" w14:textId="77777777" w:rsidR="003545EA" w:rsidRPr="00D77CF3" w:rsidRDefault="003545EA" w:rsidP="00C04FF1">
      <w:pPr>
        <w:numPr>
          <w:ilvl w:val="1"/>
          <w:numId w:val="73"/>
        </w:numPr>
        <w:jc w:val="both"/>
        <w:rPr>
          <w:rFonts w:ascii="Arial" w:hAnsi="Arial"/>
          <w:sz w:val="22"/>
          <w:szCs w:val="22"/>
          <w:lang w:val="en-GB"/>
        </w:rPr>
      </w:pPr>
      <w:r w:rsidRPr="00D77CF3">
        <w:rPr>
          <w:rFonts w:ascii="Arial" w:hAnsi="Arial"/>
          <w:sz w:val="22"/>
          <w:szCs w:val="22"/>
          <w:lang w:val="en-GB"/>
        </w:rPr>
        <w:lastRenderedPageBreak/>
        <w:t>progress with getting referrals acknowledged from the B4SC</w:t>
      </w:r>
    </w:p>
    <w:p w14:paraId="52460B01" w14:textId="77777777" w:rsidR="003545EA" w:rsidRPr="00D77CF3" w:rsidRDefault="003545EA" w:rsidP="00C04FF1">
      <w:pPr>
        <w:numPr>
          <w:ilvl w:val="1"/>
          <w:numId w:val="73"/>
        </w:numPr>
        <w:jc w:val="both"/>
        <w:rPr>
          <w:rFonts w:ascii="Arial" w:hAnsi="Arial"/>
          <w:sz w:val="22"/>
          <w:szCs w:val="22"/>
          <w:lang w:val="en-GB"/>
        </w:rPr>
      </w:pPr>
      <w:r w:rsidRPr="00D77CF3">
        <w:rPr>
          <w:rFonts w:ascii="Arial" w:hAnsi="Arial"/>
          <w:sz w:val="22"/>
          <w:szCs w:val="22"/>
          <w:lang w:val="en-GB"/>
        </w:rPr>
        <w:t xml:space="preserve">progress with the development of referrals pathways from the B4SC for assessment and </w:t>
      </w:r>
      <w:proofErr w:type="gramStart"/>
      <w:r w:rsidRPr="00D77CF3">
        <w:rPr>
          <w:rFonts w:ascii="Arial" w:hAnsi="Arial"/>
          <w:sz w:val="22"/>
          <w:szCs w:val="22"/>
          <w:lang w:val="en-GB"/>
        </w:rPr>
        <w:t>family based</w:t>
      </w:r>
      <w:proofErr w:type="gramEnd"/>
      <w:r w:rsidRPr="00D77CF3">
        <w:rPr>
          <w:rFonts w:ascii="Arial" w:hAnsi="Arial"/>
          <w:sz w:val="22"/>
          <w:szCs w:val="22"/>
          <w:lang w:val="en-GB"/>
        </w:rPr>
        <w:t xml:space="preserve"> nutrition, activity and lifestyle interventions</w:t>
      </w:r>
    </w:p>
    <w:p w14:paraId="6420F503" w14:textId="77777777" w:rsidR="003545EA" w:rsidRPr="00D77CF3" w:rsidRDefault="003545EA" w:rsidP="00C04FF1">
      <w:pPr>
        <w:numPr>
          <w:ilvl w:val="1"/>
          <w:numId w:val="73"/>
        </w:numPr>
        <w:jc w:val="both"/>
        <w:rPr>
          <w:rFonts w:ascii="Arial" w:hAnsi="Arial"/>
          <w:sz w:val="22"/>
          <w:szCs w:val="22"/>
          <w:lang w:val="en-GB"/>
        </w:rPr>
      </w:pPr>
      <w:r w:rsidRPr="00D77CF3">
        <w:rPr>
          <w:rFonts w:ascii="Arial" w:hAnsi="Arial"/>
          <w:sz w:val="22"/>
          <w:szCs w:val="22"/>
          <w:lang w:val="en-GB"/>
        </w:rPr>
        <w:t>activity to ensure DHBs, PHOs and other primary care and community partners work together to ensure families experience seamless transition and support post referral from the B4SC</w:t>
      </w:r>
    </w:p>
    <w:p w14:paraId="5F645126" w14:textId="77777777" w:rsidR="003545EA" w:rsidRPr="00D77CF3" w:rsidRDefault="003545EA" w:rsidP="00C04FF1">
      <w:pPr>
        <w:numPr>
          <w:ilvl w:val="1"/>
          <w:numId w:val="73"/>
        </w:numPr>
        <w:jc w:val="both"/>
        <w:rPr>
          <w:rFonts w:ascii="Arial" w:hAnsi="Arial"/>
          <w:sz w:val="22"/>
          <w:szCs w:val="22"/>
          <w:lang w:val="en-GB"/>
        </w:rPr>
      </w:pPr>
      <w:r w:rsidRPr="00D77CF3">
        <w:rPr>
          <w:rFonts w:ascii="Arial" w:hAnsi="Arial"/>
          <w:sz w:val="22"/>
          <w:szCs w:val="22"/>
          <w:lang w:val="en-GB"/>
        </w:rPr>
        <w:t>activity to support primary care and community partners having the conversation with families.</w:t>
      </w:r>
    </w:p>
    <w:p w14:paraId="268A0F93" w14:textId="77777777" w:rsidR="003545EA" w:rsidRPr="00D77CF3" w:rsidRDefault="003545EA" w:rsidP="00C04FF1">
      <w:pPr>
        <w:numPr>
          <w:ilvl w:val="0"/>
          <w:numId w:val="73"/>
        </w:numPr>
        <w:jc w:val="both"/>
        <w:rPr>
          <w:rFonts w:ascii="Arial" w:hAnsi="Arial"/>
          <w:sz w:val="22"/>
          <w:szCs w:val="22"/>
          <w:lang w:val="en-GB"/>
        </w:rPr>
      </w:pPr>
      <w:r w:rsidRPr="00D77CF3">
        <w:rPr>
          <w:rFonts w:ascii="Arial" w:hAnsi="Arial"/>
          <w:sz w:val="22"/>
          <w:szCs w:val="22"/>
          <w:lang w:val="en-GB"/>
        </w:rPr>
        <w:t>Barriers to achieving the target and mitigation strategies over the next quarter by DHB and the PHOs.</w:t>
      </w:r>
    </w:p>
    <w:p w14:paraId="19843C0B" w14:textId="77777777" w:rsidR="003545EA" w:rsidRPr="00D77CF3" w:rsidRDefault="003545EA" w:rsidP="00C04FF1">
      <w:pPr>
        <w:numPr>
          <w:ilvl w:val="0"/>
          <w:numId w:val="73"/>
        </w:numPr>
        <w:jc w:val="both"/>
        <w:rPr>
          <w:rFonts w:ascii="Arial" w:hAnsi="Arial"/>
          <w:sz w:val="22"/>
          <w:szCs w:val="22"/>
          <w:lang w:val="en-GB"/>
        </w:rPr>
      </w:pPr>
      <w:r w:rsidRPr="00D77CF3">
        <w:rPr>
          <w:rFonts w:ascii="Arial" w:hAnsi="Arial"/>
          <w:sz w:val="22"/>
          <w:szCs w:val="22"/>
          <w:lang w:val="en-GB"/>
        </w:rPr>
        <w:t xml:space="preserve">Collective action and link to broader approach to reducing childhood obesity across government agencies, the private sector, communities, schools, families and </w:t>
      </w:r>
      <w:proofErr w:type="spellStart"/>
      <w:r w:rsidRPr="00D77CF3">
        <w:rPr>
          <w:rFonts w:ascii="Arial" w:hAnsi="Arial"/>
          <w:sz w:val="22"/>
          <w:szCs w:val="22"/>
          <w:lang w:val="en-GB"/>
        </w:rPr>
        <w:t>whānau</w:t>
      </w:r>
      <w:proofErr w:type="spellEnd"/>
      <w:r w:rsidRPr="00D77CF3">
        <w:rPr>
          <w:rFonts w:ascii="Arial" w:hAnsi="Arial"/>
          <w:sz w:val="22"/>
          <w:szCs w:val="22"/>
          <w:lang w:val="en-GB"/>
        </w:rPr>
        <w:t>.</w:t>
      </w:r>
    </w:p>
    <w:p w14:paraId="010029F9" w14:textId="77777777" w:rsidR="003545EA" w:rsidRPr="00D77CF3" w:rsidRDefault="003545EA" w:rsidP="00C04FF1">
      <w:pPr>
        <w:numPr>
          <w:ilvl w:val="0"/>
          <w:numId w:val="73"/>
        </w:numPr>
        <w:jc w:val="both"/>
        <w:rPr>
          <w:rFonts w:ascii="Arial" w:hAnsi="Arial"/>
          <w:sz w:val="22"/>
          <w:szCs w:val="22"/>
          <w:lang w:val="en-GB"/>
        </w:rPr>
      </w:pPr>
      <w:r w:rsidRPr="00D77CF3">
        <w:rPr>
          <w:rFonts w:ascii="Arial" w:hAnsi="Arial"/>
          <w:sz w:val="22"/>
          <w:szCs w:val="22"/>
          <w:lang w:val="en-GB"/>
        </w:rPr>
        <w:t>What the DHB is doing to build in evaluation, measure effectiveness, and monitor outcomes over time.</w:t>
      </w:r>
    </w:p>
    <w:p w14:paraId="7E56DCDE" w14:textId="77777777" w:rsidR="003545EA" w:rsidRPr="00D77CF3" w:rsidRDefault="003545EA" w:rsidP="003545EA">
      <w:pPr>
        <w:jc w:val="both"/>
        <w:rPr>
          <w:rFonts w:ascii="Arial" w:hAnsi="Arial"/>
          <w:sz w:val="22"/>
          <w:szCs w:val="22"/>
          <w:lang w:val="en-GB"/>
        </w:rPr>
      </w:pPr>
    </w:p>
    <w:p w14:paraId="65641F51" w14:textId="77777777" w:rsidR="003545EA" w:rsidRPr="00D77CF3" w:rsidRDefault="003545EA" w:rsidP="003545EA">
      <w:pPr>
        <w:spacing w:before="60" w:after="60"/>
        <w:jc w:val="both"/>
        <w:rPr>
          <w:rFonts w:ascii="Arial" w:hAnsi="Arial" w:cs="Arial"/>
          <w:b/>
          <w:i/>
          <w:sz w:val="22"/>
          <w:szCs w:val="22"/>
          <w:lang w:val="en-GB"/>
        </w:rPr>
      </w:pPr>
      <w:r w:rsidRPr="00D77CF3">
        <w:rPr>
          <w:rFonts w:ascii="Arial" w:hAnsi="Arial" w:cs="Arial"/>
          <w:b/>
          <w:i/>
          <w:sz w:val="22"/>
          <w:szCs w:val="22"/>
          <w:lang w:val="en-GB"/>
        </w:rPr>
        <w:t>Explanation of terms:</w:t>
      </w:r>
    </w:p>
    <w:p w14:paraId="4D1256BE" w14:textId="77777777" w:rsidR="003545EA" w:rsidRPr="00D77CF3" w:rsidRDefault="003545EA" w:rsidP="00C04FF1">
      <w:pPr>
        <w:numPr>
          <w:ilvl w:val="0"/>
          <w:numId w:val="77"/>
        </w:numPr>
        <w:jc w:val="both"/>
        <w:rPr>
          <w:rFonts w:ascii="Arial" w:hAnsi="Arial" w:cs="Arial"/>
          <w:sz w:val="22"/>
          <w:szCs w:val="22"/>
          <w:lang w:val="en-GB"/>
        </w:rPr>
      </w:pPr>
      <w:r w:rsidRPr="00D77CF3">
        <w:rPr>
          <w:rFonts w:ascii="Arial" w:hAnsi="Arial" w:cs="Arial"/>
          <w:sz w:val="22"/>
          <w:szCs w:val="22"/>
          <w:lang w:val="en-GB"/>
        </w:rPr>
        <w:t>Obese children are children with a BMI  &gt; 98th percentile.</w:t>
      </w:r>
    </w:p>
    <w:p w14:paraId="53969B94" w14:textId="77777777" w:rsidR="003545EA" w:rsidRPr="00D77CF3" w:rsidRDefault="003545EA" w:rsidP="00C04FF1">
      <w:pPr>
        <w:numPr>
          <w:ilvl w:val="0"/>
          <w:numId w:val="77"/>
        </w:numPr>
        <w:jc w:val="both"/>
        <w:rPr>
          <w:rFonts w:ascii="Arial" w:hAnsi="Arial" w:cs="Arial"/>
          <w:sz w:val="22"/>
          <w:szCs w:val="22"/>
          <w:lang w:val="en-GB"/>
        </w:rPr>
      </w:pPr>
      <w:r w:rsidRPr="00D77CF3">
        <w:rPr>
          <w:rFonts w:ascii="Arial" w:hAnsi="Arial" w:cs="Arial"/>
          <w:sz w:val="22"/>
          <w:szCs w:val="22"/>
          <w:lang w:val="en-GB"/>
        </w:rPr>
        <w:t xml:space="preserve">Only </w:t>
      </w:r>
      <w:r w:rsidRPr="00D77CF3">
        <w:rPr>
          <w:rFonts w:ascii="Arial" w:hAnsi="Arial" w:cs="Arial"/>
          <w:i/>
          <w:sz w:val="22"/>
          <w:szCs w:val="22"/>
          <w:lang w:val="en-GB"/>
        </w:rPr>
        <w:t>completed B4SC</w:t>
      </w:r>
      <w:r w:rsidRPr="00D77CF3">
        <w:rPr>
          <w:rFonts w:ascii="Arial" w:hAnsi="Arial" w:cs="Arial"/>
          <w:sz w:val="22"/>
          <w:szCs w:val="22"/>
          <w:lang w:val="en-GB"/>
        </w:rPr>
        <w:t xml:space="preserve"> checks are included as part of the denominator where all the components of the B4SC have been completed and all necessary referrals made and entered into the B4SC system</w:t>
      </w:r>
    </w:p>
    <w:p w14:paraId="53DB4D76" w14:textId="77777777" w:rsidR="003545EA" w:rsidRPr="00D77CF3" w:rsidRDefault="003545EA" w:rsidP="00C04FF1">
      <w:pPr>
        <w:numPr>
          <w:ilvl w:val="0"/>
          <w:numId w:val="77"/>
        </w:numPr>
        <w:jc w:val="both"/>
        <w:rPr>
          <w:rFonts w:ascii="Arial" w:hAnsi="Arial" w:cs="Arial"/>
          <w:sz w:val="22"/>
          <w:szCs w:val="22"/>
          <w:lang w:val="en-GB"/>
        </w:rPr>
      </w:pPr>
      <w:r w:rsidRPr="00D77CF3">
        <w:rPr>
          <w:rFonts w:ascii="Arial" w:hAnsi="Arial" w:cs="Arial"/>
          <w:i/>
          <w:sz w:val="22"/>
          <w:szCs w:val="22"/>
          <w:lang w:val="en-GB"/>
        </w:rPr>
        <w:t>Referred</w:t>
      </w:r>
      <w:r w:rsidRPr="00D77CF3">
        <w:rPr>
          <w:rFonts w:ascii="Arial" w:hAnsi="Arial" w:cs="Arial"/>
          <w:sz w:val="22"/>
          <w:szCs w:val="22"/>
          <w:lang w:val="en-GB"/>
        </w:rPr>
        <w:t xml:space="preserve"> is based on available data from the B4SC database and uses the ‘Date referral acknowledged’ field in the database.  Where there is more than one referral the first referral is reported on.</w:t>
      </w:r>
    </w:p>
    <w:p w14:paraId="1F3799C3" w14:textId="77777777" w:rsidR="003545EA" w:rsidRPr="00D77CF3" w:rsidRDefault="003545EA" w:rsidP="00C04FF1">
      <w:pPr>
        <w:numPr>
          <w:ilvl w:val="0"/>
          <w:numId w:val="77"/>
        </w:numPr>
        <w:jc w:val="both"/>
        <w:rPr>
          <w:rFonts w:ascii="Arial" w:hAnsi="Arial" w:cs="Arial"/>
          <w:sz w:val="22"/>
          <w:szCs w:val="22"/>
          <w:lang w:val="en-GB"/>
        </w:rPr>
      </w:pPr>
      <w:r w:rsidRPr="00D77CF3">
        <w:rPr>
          <w:rFonts w:ascii="Arial" w:hAnsi="Arial" w:cs="Arial"/>
          <w:i/>
          <w:sz w:val="22"/>
          <w:szCs w:val="22"/>
          <w:lang w:val="en-GB"/>
        </w:rPr>
        <w:t xml:space="preserve">Referral acknowledged </w:t>
      </w:r>
      <w:r w:rsidRPr="00D77CF3">
        <w:rPr>
          <w:rFonts w:ascii="Arial" w:hAnsi="Arial" w:cs="Arial"/>
          <w:sz w:val="22"/>
          <w:szCs w:val="22"/>
          <w:lang w:val="en-GB"/>
        </w:rPr>
        <w:t>is where the referral to a registered health professional</w:t>
      </w:r>
      <w:r w:rsidRPr="00D77CF3">
        <w:rPr>
          <w:rFonts w:ascii="Calibri" w:hAnsi="Calibri" w:cs="Calibri"/>
          <w:sz w:val="22"/>
          <w:vertAlign w:val="superscript"/>
          <w:lang w:val="en-GB"/>
        </w:rPr>
        <w:footnoteReference w:id="12"/>
      </w:r>
      <w:r w:rsidRPr="00D77CF3">
        <w:rPr>
          <w:rFonts w:ascii="Arial" w:hAnsi="Arial" w:cs="Arial"/>
          <w:sz w:val="22"/>
          <w:szCs w:val="22"/>
          <w:lang w:val="en-GB"/>
        </w:rPr>
        <w:t xml:space="preserve"> is accepted or declined within 30 consecutive days of the referral sent.  The 30 (or 60 days) includes weekends and holidays.  </w:t>
      </w:r>
    </w:p>
    <w:p w14:paraId="331284EA" w14:textId="77777777" w:rsidR="003545EA" w:rsidRPr="00D77CF3" w:rsidRDefault="003545EA" w:rsidP="00C04FF1">
      <w:pPr>
        <w:numPr>
          <w:ilvl w:val="0"/>
          <w:numId w:val="77"/>
        </w:numPr>
        <w:jc w:val="both"/>
        <w:rPr>
          <w:rFonts w:ascii="Arial" w:hAnsi="Arial" w:cs="Arial"/>
          <w:sz w:val="22"/>
          <w:szCs w:val="22"/>
          <w:lang w:val="en-GB"/>
        </w:rPr>
      </w:pPr>
      <w:proofErr w:type="spellStart"/>
      <w:r w:rsidRPr="00D77CF3">
        <w:rPr>
          <w:rFonts w:ascii="Arial" w:hAnsi="Arial" w:cs="Arial"/>
          <w:i/>
          <w:sz w:val="22"/>
          <w:szCs w:val="22"/>
          <w:lang w:val="en-GB"/>
        </w:rPr>
        <w:t>Undercare</w:t>
      </w:r>
      <w:proofErr w:type="spellEnd"/>
      <w:r w:rsidRPr="00D77CF3">
        <w:rPr>
          <w:rFonts w:ascii="Arial" w:hAnsi="Arial" w:cs="Arial"/>
          <w:i/>
          <w:sz w:val="22"/>
          <w:szCs w:val="22"/>
          <w:lang w:val="en-GB"/>
        </w:rPr>
        <w:t xml:space="preserve"> </w:t>
      </w:r>
      <w:r w:rsidRPr="00D77CF3">
        <w:rPr>
          <w:rFonts w:ascii="Arial" w:hAnsi="Arial" w:cs="Arial"/>
          <w:sz w:val="22"/>
          <w:szCs w:val="22"/>
          <w:lang w:val="en-GB"/>
        </w:rPr>
        <w:t>is already under care of a service so not referred.</w:t>
      </w:r>
    </w:p>
    <w:p w14:paraId="6881CBE3" w14:textId="77777777" w:rsidR="003545EA" w:rsidRPr="00D77CF3" w:rsidRDefault="003545EA" w:rsidP="00C04FF1">
      <w:pPr>
        <w:numPr>
          <w:ilvl w:val="0"/>
          <w:numId w:val="77"/>
        </w:numPr>
        <w:jc w:val="both"/>
        <w:rPr>
          <w:rFonts w:ascii="Arial" w:hAnsi="Arial" w:cs="Arial"/>
          <w:sz w:val="22"/>
          <w:szCs w:val="22"/>
          <w:lang w:val="en-GB"/>
        </w:rPr>
      </w:pPr>
      <w:r w:rsidRPr="00D77CF3">
        <w:rPr>
          <w:rFonts w:ascii="Arial" w:hAnsi="Arial" w:cs="Arial"/>
          <w:i/>
          <w:sz w:val="22"/>
          <w:szCs w:val="22"/>
          <w:lang w:val="en-GB"/>
        </w:rPr>
        <w:t xml:space="preserve">Parent/caregiver declined </w:t>
      </w:r>
      <w:r w:rsidRPr="00D77CF3">
        <w:rPr>
          <w:rFonts w:ascii="Arial" w:hAnsi="Arial" w:cs="Arial"/>
          <w:sz w:val="22"/>
          <w:szCs w:val="22"/>
          <w:lang w:val="en-GB"/>
        </w:rPr>
        <w:t>is the parent/caregiver declined the referral.</w:t>
      </w:r>
    </w:p>
    <w:p w14:paraId="5677BD39" w14:textId="77777777" w:rsidR="003545EA" w:rsidRPr="00D77CF3" w:rsidRDefault="003545EA" w:rsidP="003545EA">
      <w:pPr>
        <w:jc w:val="both"/>
        <w:rPr>
          <w:rFonts w:ascii="Arial" w:hAnsi="Arial" w:cs="Arial"/>
          <w:sz w:val="22"/>
          <w:szCs w:val="22"/>
          <w:lang w:val="en-GB"/>
        </w:rPr>
      </w:pPr>
    </w:p>
    <w:p w14:paraId="4AA313EA"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r w:rsidRPr="00D77CF3">
        <w:rPr>
          <w:rFonts w:ascii="Arial" w:hAnsi="Arial" w:cs="Arial"/>
          <w:color w:val="000000"/>
          <w:sz w:val="22"/>
          <w:szCs w:val="22"/>
          <w:lang w:val="en-GB" w:eastAsia="en-NZ"/>
        </w:rPr>
        <w:t xml:space="preserve">The Ministry accepts the following registered health professionals as valid referrals for the purposes of the health target </w:t>
      </w:r>
    </w:p>
    <w:p w14:paraId="6D3FDA89"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p>
    <w:p w14:paraId="45AFB481" w14:textId="77777777" w:rsidR="003545EA" w:rsidRPr="00D77CF3" w:rsidRDefault="003545EA" w:rsidP="00C04FF1">
      <w:pPr>
        <w:numPr>
          <w:ilvl w:val="0"/>
          <w:numId w:val="78"/>
        </w:numPr>
        <w:autoSpaceDE w:val="0"/>
        <w:autoSpaceDN w:val="0"/>
        <w:adjustRightInd w:val="0"/>
        <w:contextualSpacing/>
        <w:rPr>
          <w:rFonts w:ascii="Arial" w:eastAsiaTheme="minorEastAsia" w:hAnsi="Arial" w:cs="Arial"/>
          <w:color w:val="000000"/>
          <w:sz w:val="22"/>
          <w:szCs w:val="22"/>
          <w:lang w:val="en-GB" w:eastAsia="en-NZ"/>
        </w:rPr>
      </w:pPr>
      <w:r w:rsidRPr="00D77CF3">
        <w:rPr>
          <w:rFonts w:ascii="Arial" w:eastAsiaTheme="minorEastAsia" w:hAnsi="Arial" w:cs="Arial"/>
          <w:color w:val="000000"/>
          <w:sz w:val="22"/>
          <w:szCs w:val="22"/>
          <w:lang w:val="en-GB" w:eastAsia="en-NZ"/>
        </w:rPr>
        <w:t>general practitioner</w:t>
      </w:r>
    </w:p>
    <w:p w14:paraId="00AC80B9" w14:textId="77777777" w:rsidR="003545EA" w:rsidRPr="00D77CF3" w:rsidRDefault="003545EA" w:rsidP="00C04FF1">
      <w:pPr>
        <w:numPr>
          <w:ilvl w:val="0"/>
          <w:numId w:val="78"/>
        </w:numPr>
        <w:autoSpaceDE w:val="0"/>
        <w:autoSpaceDN w:val="0"/>
        <w:adjustRightInd w:val="0"/>
        <w:contextualSpacing/>
        <w:rPr>
          <w:rFonts w:ascii="Arial" w:eastAsiaTheme="minorEastAsia" w:hAnsi="Arial" w:cs="Arial"/>
          <w:color w:val="000000"/>
          <w:sz w:val="22"/>
          <w:szCs w:val="22"/>
          <w:lang w:val="en-GB" w:eastAsia="en-NZ"/>
        </w:rPr>
      </w:pPr>
      <w:r w:rsidRPr="00D77CF3">
        <w:rPr>
          <w:rFonts w:ascii="Arial" w:eastAsiaTheme="minorEastAsia" w:hAnsi="Arial" w:cs="Arial"/>
          <w:color w:val="000000"/>
          <w:sz w:val="22"/>
          <w:szCs w:val="22"/>
          <w:lang w:val="en-GB" w:eastAsia="en-NZ"/>
        </w:rPr>
        <w:t xml:space="preserve">practice nurse </w:t>
      </w:r>
    </w:p>
    <w:p w14:paraId="74D2F419" w14:textId="77777777" w:rsidR="003545EA" w:rsidRPr="00D77CF3" w:rsidRDefault="003545EA" w:rsidP="00C04FF1">
      <w:pPr>
        <w:numPr>
          <w:ilvl w:val="0"/>
          <w:numId w:val="78"/>
        </w:numPr>
        <w:autoSpaceDE w:val="0"/>
        <w:autoSpaceDN w:val="0"/>
        <w:adjustRightInd w:val="0"/>
        <w:contextualSpacing/>
        <w:rPr>
          <w:rFonts w:ascii="Arial" w:eastAsiaTheme="minorEastAsia" w:hAnsi="Arial" w:cs="Arial"/>
          <w:color w:val="000000"/>
          <w:sz w:val="22"/>
          <w:szCs w:val="22"/>
          <w:lang w:val="en-GB" w:eastAsia="en-NZ"/>
        </w:rPr>
      </w:pPr>
      <w:r w:rsidRPr="00D77CF3">
        <w:rPr>
          <w:rFonts w:ascii="Arial" w:eastAsiaTheme="minorEastAsia" w:hAnsi="Arial" w:cs="Arial"/>
          <w:color w:val="000000"/>
          <w:sz w:val="22"/>
          <w:szCs w:val="22"/>
          <w:lang w:val="en-GB" w:eastAsia="en-NZ"/>
        </w:rPr>
        <w:t>community dietician</w:t>
      </w:r>
    </w:p>
    <w:p w14:paraId="5BEB5A71" w14:textId="77777777" w:rsidR="003545EA" w:rsidRPr="00D77CF3" w:rsidRDefault="003545EA" w:rsidP="00C04FF1">
      <w:pPr>
        <w:numPr>
          <w:ilvl w:val="0"/>
          <w:numId w:val="78"/>
        </w:numPr>
        <w:autoSpaceDE w:val="0"/>
        <w:autoSpaceDN w:val="0"/>
        <w:adjustRightInd w:val="0"/>
        <w:contextualSpacing/>
        <w:rPr>
          <w:rFonts w:ascii="Arial" w:eastAsiaTheme="minorEastAsia" w:hAnsi="Arial" w:cs="Arial"/>
          <w:color w:val="000000"/>
          <w:sz w:val="22"/>
          <w:szCs w:val="22"/>
          <w:lang w:val="en-GB" w:eastAsia="en-NZ"/>
        </w:rPr>
      </w:pPr>
      <w:r w:rsidRPr="00D77CF3">
        <w:rPr>
          <w:rFonts w:ascii="Arial" w:eastAsiaTheme="minorEastAsia" w:hAnsi="Arial" w:cs="Arial"/>
          <w:color w:val="000000"/>
          <w:sz w:val="22"/>
          <w:szCs w:val="22"/>
          <w:lang w:val="en-GB" w:eastAsia="en-NZ"/>
        </w:rPr>
        <w:t>public health nurse</w:t>
      </w:r>
    </w:p>
    <w:p w14:paraId="6EF99410" w14:textId="77777777" w:rsidR="003545EA" w:rsidRPr="00D77CF3" w:rsidRDefault="003545EA" w:rsidP="00C04FF1">
      <w:pPr>
        <w:numPr>
          <w:ilvl w:val="0"/>
          <w:numId w:val="78"/>
        </w:numPr>
        <w:autoSpaceDE w:val="0"/>
        <w:autoSpaceDN w:val="0"/>
        <w:adjustRightInd w:val="0"/>
        <w:contextualSpacing/>
        <w:rPr>
          <w:rFonts w:ascii="Arial" w:eastAsiaTheme="minorEastAsia" w:hAnsi="Arial" w:cs="Arial"/>
          <w:color w:val="000000"/>
          <w:sz w:val="22"/>
          <w:szCs w:val="22"/>
          <w:lang w:val="en-GB" w:eastAsia="en-NZ"/>
        </w:rPr>
      </w:pPr>
      <w:r w:rsidRPr="00D77CF3">
        <w:rPr>
          <w:rFonts w:ascii="Arial" w:eastAsiaTheme="minorEastAsia" w:hAnsi="Arial" w:cs="Arial"/>
          <w:color w:val="000000"/>
          <w:sz w:val="22"/>
          <w:szCs w:val="22"/>
          <w:lang w:val="en-GB" w:eastAsia="en-NZ"/>
        </w:rPr>
        <w:t>multi-disciplinary team that includes a registered primary health care professional in attendance</w:t>
      </w:r>
    </w:p>
    <w:p w14:paraId="77B2230B"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p>
    <w:p w14:paraId="07F7594E"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r w:rsidRPr="00D77CF3">
        <w:rPr>
          <w:rFonts w:ascii="Arial" w:hAnsi="Arial" w:cs="Arial"/>
          <w:color w:val="000000"/>
          <w:sz w:val="22"/>
          <w:szCs w:val="22"/>
          <w:lang w:val="en-GB" w:eastAsia="en-NZ"/>
        </w:rPr>
        <w:t>These practitioners need to have the requisite skills to conduct a clinical assessment and be able to ensure the child’s growth is routinely monitored.</w:t>
      </w:r>
    </w:p>
    <w:p w14:paraId="3729C600"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p>
    <w:p w14:paraId="589DBE79" w14:textId="77777777" w:rsidR="003545EA" w:rsidRPr="00D77CF3" w:rsidRDefault="003545EA" w:rsidP="003545EA">
      <w:pPr>
        <w:autoSpaceDE w:val="0"/>
        <w:autoSpaceDN w:val="0"/>
        <w:adjustRightInd w:val="0"/>
        <w:rPr>
          <w:rFonts w:ascii="Arial" w:hAnsi="Arial" w:cs="Arial"/>
          <w:color w:val="000000"/>
          <w:sz w:val="22"/>
          <w:szCs w:val="22"/>
          <w:lang w:val="en-GB" w:eastAsia="en-NZ"/>
        </w:rPr>
      </w:pPr>
      <w:r w:rsidRPr="00D77CF3">
        <w:rPr>
          <w:rFonts w:ascii="Arial" w:hAnsi="Arial" w:cs="Arial"/>
          <w:color w:val="000000"/>
          <w:sz w:val="22"/>
          <w:szCs w:val="22"/>
          <w:lang w:val="en-GB" w:eastAsia="en-NZ"/>
        </w:rPr>
        <w:t xml:space="preserve">A child may simultaneously be referred to a </w:t>
      </w:r>
      <w:proofErr w:type="gramStart"/>
      <w:r w:rsidRPr="00D77CF3">
        <w:rPr>
          <w:rFonts w:ascii="Arial" w:hAnsi="Arial" w:cs="Arial"/>
          <w:color w:val="000000"/>
          <w:sz w:val="22"/>
          <w:szCs w:val="22"/>
          <w:lang w:val="en-GB" w:eastAsia="en-NZ"/>
        </w:rPr>
        <w:t>family based</w:t>
      </w:r>
      <w:proofErr w:type="gramEnd"/>
      <w:r w:rsidRPr="00D77CF3">
        <w:rPr>
          <w:rFonts w:ascii="Arial" w:hAnsi="Arial" w:cs="Arial"/>
          <w:color w:val="000000"/>
          <w:sz w:val="22"/>
          <w:szCs w:val="22"/>
          <w:lang w:val="en-GB" w:eastAsia="en-NZ"/>
        </w:rPr>
        <w:t xml:space="preserve"> nutrition, activity and lifestyle intervention.  However this alone would not count as referred for the purposes of the health target.  </w:t>
      </w:r>
    </w:p>
    <w:p w14:paraId="36A104F2" w14:textId="77777777" w:rsidR="003545EA" w:rsidRPr="00D77CF3" w:rsidRDefault="003545EA" w:rsidP="003545EA">
      <w:pPr>
        <w:rPr>
          <w:rFonts w:ascii="Arial" w:hAnsi="Arial" w:cs="Arial"/>
          <w:color w:val="000000"/>
          <w:sz w:val="22"/>
          <w:szCs w:val="22"/>
          <w:lang w:val="en-GB"/>
        </w:rPr>
      </w:pPr>
    </w:p>
    <w:p w14:paraId="5A477B59" w14:textId="77777777" w:rsidR="003545EA" w:rsidRPr="00D77CF3" w:rsidRDefault="003545EA" w:rsidP="003545EA">
      <w:pPr>
        <w:jc w:val="both"/>
        <w:rPr>
          <w:rFonts w:ascii="Arial" w:hAnsi="Arial" w:cs="Arial"/>
          <w:b/>
          <w:i/>
          <w:sz w:val="22"/>
          <w:szCs w:val="22"/>
          <w:lang w:val="en-GB"/>
        </w:rPr>
      </w:pPr>
      <w:r w:rsidRPr="00D77CF3">
        <w:rPr>
          <w:rFonts w:ascii="Arial" w:hAnsi="Arial" w:cs="Arial"/>
          <w:b/>
          <w:i/>
          <w:sz w:val="22"/>
          <w:szCs w:val="22"/>
          <w:lang w:val="en-GB"/>
        </w:rPr>
        <w:t>Exclusions</w:t>
      </w:r>
    </w:p>
    <w:p w14:paraId="0353F175" w14:textId="77777777" w:rsidR="003545EA" w:rsidRPr="00D77CF3" w:rsidRDefault="003545EA" w:rsidP="003545EA">
      <w:pPr>
        <w:jc w:val="both"/>
        <w:rPr>
          <w:rFonts w:ascii="Arial" w:hAnsi="Arial" w:cs="Arial"/>
          <w:sz w:val="22"/>
          <w:szCs w:val="22"/>
          <w:lang w:val="en-GB"/>
        </w:rPr>
      </w:pPr>
      <w:r w:rsidRPr="00D77CF3">
        <w:rPr>
          <w:rFonts w:ascii="Arial" w:hAnsi="Arial" w:cs="Arial"/>
          <w:sz w:val="22"/>
          <w:szCs w:val="22"/>
          <w:lang w:val="en-GB"/>
        </w:rPr>
        <w:t>The following data has been excluded to account for errors:</w:t>
      </w:r>
    </w:p>
    <w:p w14:paraId="4662CD1A" w14:textId="77777777" w:rsidR="003545EA" w:rsidRPr="00D77CF3" w:rsidRDefault="003545EA" w:rsidP="003545EA">
      <w:pPr>
        <w:autoSpaceDE w:val="0"/>
        <w:autoSpaceDN w:val="0"/>
        <w:adjustRightInd w:val="0"/>
        <w:spacing w:after="120" w:line="276" w:lineRule="auto"/>
        <w:ind w:left="360"/>
        <w:rPr>
          <w:rFonts w:ascii="Arial" w:eastAsia="Calibri" w:hAnsi="Arial" w:cs="Arial"/>
          <w:color w:val="000000"/>
          <w:sz w:val="22"/>
          <w:szCs w:val="22"/>
          <w:lang w:val="en-GB"/>
        </w:rPr>
      </w:pPr>
      <w:r w:rsidRPr="00D77CF3">
        <w:rPr>
          <w:rFonts w:ascii="Arial" w:eastAsia="Calibri" w:hAnsi="Arial" w:cs="Arial"/>
          <w:color w:val="000000"/>
          <w:sz w:val="22"/>
          <w:szCs w:val="22"/>
          <w:lang w:val="en-GB"/>
        </w:rPr>
        <w:t>Checks which were declined</w:t>
      </w:r>
    </w:p>
    <w:p w14:paraId="57632FBE" w14:textId="77777777" w:rsidR="003545EA" w:rsidRPr="00D77CF3" w:rsidRDefault="003545EA" w:rsidP="003545EA">
      <w:pPr>
        <w:autoSpaceDE w:val="0"/>
        <w:autoSpaceDN w:val="0"/>
        <w:adjustRightInd w:val="0"/>
        <w:spacing w:after="120" w:line="276" w:lineRule="auto"/>
        <w:ind w:left="360"/>
        <w:rPr>
          <w:rFonts w:ascii="Arial" w:eastAsia="Calibri" w:hAnsi="Arial" w:cs="Arial"/>
          <w:color w:val="000000"/>
          <w:sz w:val="22"/>
          <w:szCs w:val="22"/>
          <w:lang w:val="en-GB"/>
        </w:rPr>
      </w:pPr>
      <w:r w:rsidRPr="00D77CF3">
        <w:rPr>
          <w:rFonts w:ascii="Arial" w:eastAsia="Calibri" w:hAnsi="Arial" w:cs="Arial"/>
          <w:color w:val="000000"/>
          <w:sz w:val="22"/>
          <w:szCs w:val="22"/>
          <w:lang w:val="en-GB"/>
        </w:rPr>
        <w:t>Checks with probable data quality issues:</w:t>
      </w:r>
    </w:p>
    <w:p w14:paraId="132B7FF1" w14:textId="77777777" w:rsidR="003545EA" w:rsidRPr="00D77CF3" w:rsidRDefault="003545EA" w:rsidP="003545EA">
      <w:pPr>
        <w:numPr>
          <w:ilvl w:val="0"/>
          <w:numId w:val="8"/>
        </w:numPr>
        <w:autoSpaceDE w:val="0"/>
        <w:autoSpaceDN w:val="0"/>
        <w:adjustRightInd w:val="0"/>
        <w:spacing w:after="120" w:line="276" w:lineRule="auto"/>
        <w:ind w:left="1080"/>
        <w:rPr>
          <w:rFonts w:ascii="Arial" w:eastAsia="Calibri" w:hAnsi="Arial" w:cs="Arial"/>
          <w:color w:val="000000"/>
          <w:sz w:val="22"/>
          <w:szCs w:val="22"/>
          <w:lang w:val="en-GB"/>
        </w:rPr>
      </w:pPr>
      <w:r w:rsidRPr="00D77CF3">
        <w:rPr>
          <w:rFonts w:ascii="Arial" w:eastAsia="Calibri" w:hAnsi="Arial" w:cs="Arial"/>
          <w:color w:val="000000"/>
          <w:sz w:val="22"/>
          <w:szCs w:val="22"/>
          <w:lang w:val="en-GB"/>
        </w:rPr>
        <w:t>BMI less than 5, or over 60</w:t>
      </w:r>
    </w:p>
    <w:p w14:paraId="06D7F3F5" w14:textId="77777777" w:rsidR="003545EA" w:rsidRPr="00D77CF3" w:rsidRDefault="003545EA" w:rsidP="003545EA">
      <w:pPr>
        <w:autoSpaceDE w:val="0"/>
        <w:autoSpaceDN w:val="0"/>
        <w:adjustRightInd w:val="0"/>
        <w:spacing w:after="120" w:line="276" w:lineRule="auto"/>
        <w:ind w:left="360"/>
        <w:rPr>
          <w:rFonts w:ascii="Arial" w:eastAsia="Calibri" w:hAnsi="Arial" w:cs="Arial"/>
          <w:color w:val="000000"/>
          <w:sz w:val="22"/>
          <w:szCs w:val="22"/>
          <w:lang w:val="en-GB"/>
        </w:rPr>
      </w:pPr>
      <w:r w:rsidRPr="00D77CF3">
        <w:rPr>
          <w:rFonts w:ascii="Arial" w:eastAsia="Calibri" w:hAnsi="Arial" w:cs="Arial"/>
          <w:color w:val="000000"/>
          <w:sz w:val="22"/>
          <w:szCs w:val="22"/>
          <w:lang w:val="en-GB"/>
        </w:rPr>
        <w:lastRenderedPageBreak/>
        <w:t>Children aged outside the target range (aged less than 48 months, or more than 60 months)</w:t>
      </w:r>
    </w:p>
    <w:p w14:paraId="25B6A259" w14:textId="77777777" w:rsidR="003545EA" w:rsidRPr="00D77CF3" w:rsidRDefault="003545EA" w:rsidP="003545EA">
      <w:pPr>
        <w:autoSpaceDE w:val="0"/>
        <w:autoSpaceDN w:val="0"/>
        <w:adjustRightInd w:val="0"/>
        <w:spacing w:after="120" w:line="276" w:lineRule="auto"/>
        <w:ind w:left="360"/>
        <w:rPr>
          <w:rFonts w:ascii="Arial" w:eastAsia="Calibri" w:hAnsi="Arial" w:cs="Arial"/>
          <w:color w:val="000000"/>
          <w:sz w:val="22"/>
          <w:szCs w:val="22"/>
          <w:lang w:val="en-GB"/>
        </w:rPr>
      </w:pPr>
      <w:r w:rsidRPr="00D77CF3">
        <w:rPr>
          <w:rFonts w:ascii="Arial" w:eastAsia="Calibri" w:hAnsi="Arial" w:cs="Arial"/>
          <w:color w:val="000000"/>
          <w:sz w:val="22"/>
          <w:szCs w:val="22"/>
          <w:lang w:val="en-GB"/>
        </w:rPr>
        <w:t>Referrals which were not acknowledged by the service provider within 30 consecutive days</w:t>
      </w:r>
    </w:p>
    <w:p w14:paraId="6A7EE77A" w14:textId="77777777" w:rsidR="003545EA" w:rsidRPr="00D77CF3" w:rsidRDefault="003545EA" w:rsidP="003545EA">
      <w:pPr>
        <w:autoSpaceDE w:val="0"/>
        <w:autoSpaceDN w:val="0"/>
        <w:adjustRightInd w:val="0"/>
        <w:spacing w:after="120" w:line="276" w:lineRule="auto"/>
        <w:ind w:left="360"/>
        <w:rPr>
          <w:rFonts w:ascii="Arial" w:eastAsia="Calibri" w:hAnsi="Arial" w:cs="Arial"/>
          <w:color w:val="000000"/>
          <w:sz w:val="22"/>
          <w:szCs w:val="22"/>
          <w:lang w:val="en-GB"/>
        </w:rPr>
      </w:pPr>
      <w:r w:rsidRPr="00D77CF3">
        <w:rPr>
          <w:rFonts w:ascii="Arial" w:eastAsia="Calibri" w:hAnsi="Arial" w:cs="Arial"/>
          <w:color w:val="000000"/>
          <w:sz w:val="22"/>
          <w:szCs w:val="22"/>
          <w:lang w:val="en-GB"/>
        </w:rPr>
        <w:t xml:space="preserve">Referrals to Community Development Service, Mental Health Services, Paediatrician, Other </w:t>
      </w:r>
    </w:p>
    <w:p w14:paraId="21832789" w14:textId="77777777" w:rsidR="003545EA" w:rsidRPr="00D77CF3" w:rsidRDefault="003545EA" w:rsidP="003545EA">
      <w:pPr>
        <w:jc w:val="both"/>
        <w:rPr>
          <w:rFonts w:ascii="Arial" w:hAnsi="Arial" w:cs="Arial"/>
          <w:b/>
          <w:i/>
          <w:sz w:val="22"/>
          <w:szCs w:val="22"/>
          <w:lang w:val="en-GB"/>
        </w:rPr>
      </w:pPr>
    </w:p>
    <w:p w14:paraId="3F90820B" w14:textId="77777777" w:rsidR="003545EA" w:rsidRPr="00D77CF3" w:rsidRDefault="003545EA" w:rsidP="003545EA">
      <w:pPr>
        <w:jc w:val="both"/>
        <w:rPr>
          <w:rFonts w:ascii="Arial" w:hAnsi="Arial" w:cs="Arial"/>
          <w:b/>
          <w:sz w:val="22"/>
          <w:szCs w:val="22"/>
          <w:lang w:val="en-GB"/>
        </w:rPr>
      </w:pPr>
    </w:p>
    <w:p w14:paraId="25D9C095" w14:textId="77777777" w:rsidR="003545EA" w:rsidRPr="00D77CF3" w:rsidRDefault="003545EA" w:rsidP="003545EA">
      <w:pPr>
        <w:jc w:val="both"/>
        <w:rPr>
          <w:rFonts w:ascii="Arial" w:hAnsi="Arial" w:cs="Arial"/>
          <w:b/>
          <w:sz w:val="22"/>
          <w:szCs w:val="22"/>
          <w:lang w:val="en-GB"/>
        </w:rPr>
      </w:pPr>
      <w:r w:rsidRPr="00D77CF3">
        <w:rPr>
          <w:rFonts w:ascii="Arial" w:hAnsi="Arial" w:cs="Arial"/>
          <w:b/>
          <w:sz w:val="22"/>
          <w:szCs w:val="22"/>
          <w:lang w:val="en-GB"/>
        </w:rPr>
        <w:t>Reporting period</w:t>
      </w:r>
    </w:p>
    <w:p w14:paraId="2DBDCCC7" w14:textId="77777777" w:rsidR="003545EA" w:rsidRPr="00D77CF3" w:rsidRDefault="003545EA" w:rsidP="003545EA">
      <w:pPr>
        <w:jc w:val="both"/>
        <w:rPr>
          <w:rFonts w:ascii="Arial" w:eastAsia="Arial Unicode MS" w:hAnsi="Arial" w:cs="Arial"/>
          <w:b/>
          <w:sz w:val="22"/>
          <w:szCs w:val="22"/>
          <w:lang w:val="en-GB"/>
        </w:rPr>
      </w:pPr>
    </w:p>
    <w:p w14:paraId="6565AE0E" w14:textId="77777777" w:rsidR="003545EA" w:rsidRPr="00D77CF3" w:rsidRDefault="003545EA" w:rsidP="003545EA">
      <w:pPr>
        <w:spacing w:before="60" w:after="120"/>
        <w:rPr>
          <w:rFonts w:ascii="Arial" w:hAnsi="Arial" w:cs="Arial"/>
          <w:sz w:val="22"/>
          <w:szCs w:val="22"/>
          <w:lang w:val="en-GB"/>
        </w:rPr>
      </w:pPr>
      <w:r w:rsidRPr="00D77CF3">
        <w:rPr>
          <w:rFonts w:ascii="Arial" w:hAnsi="Arial" w:cs="Arial"/>
          <w:sz w:val="22"/>
          <w:szCs w:val="22"/>
          <w:lang w:val="en-GB"/>
        </w:rPr>
        <w:t xml:space="preserve">DHB achievement of the Childhood obesity health target will be calculated based on six months rolling data as outlined in the table below: </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671"/>
      </w:tblGrid>
      <w:tr w:rsidR="003545EA" w:rsidRPr="00D77CF3" w14:paraId="65CDADB3" w14:textId="77777777" w:rsidTr="001A445B">
        <w:trPr>
          <w:jc w:val="center"/>
        </w:trPr>
        <w:tc>
          <w:tcPr>
            <w:tcW w:w="2547" w:type="dxa"/>
            <w:shd w:val="clear" w:color="auto" w:fill="CCCCCC"/>
            <w:vAlign w:val="center"/>
          </w:tcPr>
          <w:p w14:paraId="08D33F08" w14:textId="77777777" w:rsidR="003545EA" w:rsidRPr="00D77CF3" w:rsidRDefault="003545EA" w:rsidP="001A445B">
            <w:pPr>
              <w:spacing w:before="60" w:after="60"/>
              <w:jc w:val="both"/>
              <w:rPr>
                <w:rFonts w:ascii="Arial" w:hAnsi="Arial" w:cs="Arial"/>
                <w:b/>
                <w:sz w:val="22"/>
                <w:szCs w:val="22"/>
                <w:lang w:val="en-GB"/>
              </w:rPr>
            </w:pPr>
            <w:r w:rsidRPr="00D77CF3">
              <w:rPr>
                <w:rFonts w:ascii="Arial" w:hAnsi="Arial" w:cs="Arial"/>
                <w:b/>
                <w:sz w:val="22"/>
                <w:szCs w:val="22"/>
                <w:lang w:val="en-GB"/>
              </w:rPr>
              <w:t xml:space="preserve">Reporting quarter </w:t>
            </w:r>
          </w:p>
        </w:tc>
        <w:tc>
          <w:tcPr>
            <w:tcW w:w="7671" w:type="dxa"/>
            <w:shd w:val="clear" w:color="auto" w:fill="CCCCCC"/>
            <w:vAlign w:val="center"/>
          </w:tcPr>
          <w:p w14:paraId="2B25D79F" w14:textId="77777777" w:rsidR="003545EA" w:rsidRPr="00D77CF3" w:rsidRDefault="003545EA" w:rsidP="001A445B">
            <w:pPr>
              <w:spacing w:before="60" w:after="60"/>
              <w:jc w:val="both"/>
              <w:rPr>
                <w:rFonts w:ascii="Arial" w:hAnsi="Arial" w:cs="Arial"/>
                <w:b/>
                <w:sz w:val="22"/>
                <w:szCs w:val="22"/>
                <w:lang w:val="en-GB"/>
              </w:rPr>
            </w:pPr>
            <w:r w:rsidRPr="00D77CF3">
              <w:rPr>
                <w:rFonts w:ascii="Arial" w:hAnsi="Arial" w:cs="Arial"/>
                <w:b/>
                <w:sz w:val="22"/>
                <w:szCs w:val="22"/>
                <w:lang w:val="en-GB"/>
              </w:rPr>
              <w:t xml:space="preserve">Achievement based on </w:t>
            </w:r>
            <w:r w:rsidRPr="00D77CF3">
              <w:rPr>
                <w:rFonts w:ascii="Arial" w:hAnsi="Arial" w:cs="Arial"/>
                <w:color w:val="000000"/>
                <w:sz w:val="22"/>
                <w:szCs w:val="22"/>
                <w:lang w:val="en-GB" w:eastAsia="en-NZ"/>
              </w:rPr>
              <w:t>obese children identified in the Before School Check offered a referral and referral acknowledged between</w:t>
            </w:r>
            <w:r w:rsidRPr="00D77CF3">
              <w:rPr>
                <w:rFonts w:ascii="Arial" w:hAnsi="Arial" w:cs="Arial"/>
                <w:b/>
                <w:sz w:val="22"/>
                <w:szCs w:val="22"/>
                <w:lang w:val="en-GB"/>
              </w:rPr>
              <w:t>:</w:t>
            </w:r>
          </w:p>
        </w:tc>
      </w:tr>
      <w:tr w:rsidR="003545EA" w:rsidRPr="00D77CF3" w14:paraId="06D3FDD2" w14:textId="77777777" w:rsidTr="001A445B">
        <w:trPr>
          <w:jc w:val="center"/>
        </w:trPr>
        <w:tc>
          <w:tcPr>
            <w:tcW w:w="2547" w:type="dxa"/>
            <w:shd w:val="clear" w:color="auto" w:fill="auto"/>
          </w:tcPr>
          <w:p w14:paraId="1E8D9C0C"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Quarter 1</w:t>
            </w:r>
          </w:p>
        </w:tc>
        <w:tc>
          <w:tcPr>
            <w:tcW w:w="7671" w:type="dxa"/>
            <w:shd w:val="clear" w:color="auto" w:fill="auto"/>
          </w:tcPr>
          <w:p w14:paraId="39A8410A"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 xml:space="preserve">1 March to 31August </w:t>
            </w:r>
          </w:p>
        </w:tc>
      </w:tr>
      <w:tr w:rsidR="003545EA" w:rsidRPr="00D77CF3" w14:paraId="25D147D6" w14:textId="77777777" w:rsidTr="001A445B">
        <w:tblPrEx>
          <w:tblLook w:val="01E0" w:firstRow="1" w:lastRow="1" w:firstColumn="1" w:lastColumn="1" w:noHBand="0" w:noVBand="0"/>
        </w:tblPrEx>
        <w:trPr>
          <w:jc w:val="center"/>
        </w:trPr>
        <w:tc>
          <w:tcPr>
            <w:tcW w:w="2547" w:type="dxa"/>
            <w:shd w:val="clear" w:color="auto" w:fill="auto"/>
          </w:tcPr>
          <w:p w14:paraId="0DBD04F5"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Quarter 2</w:t>
            </w:r>
          </w:p>
        </w:tc>
        <w:tc>
          <w:tcPr>
            <w:tcW w:w="7671" w:type="dxa"/>
            <w:shd w:val="clear" w:color="auto" w:fill="auto"/>
          </w:tcPr>
          <w:p w14:paraId="2773F02A"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 xml:space="preserve">1 June to 30 November </w:t>
            </w:r>
          </w:p>
        </w:tc>
      </w:tr>
      <w:tr w:rsidR="003545EA" w:rsidRPr="00D77CF3" w14:paraId="2596F933" w14:textId="77777777" w:rsidTr="001A445B">
        <w:tblPrEx>
          <w:tblLook w:val="01E0" w:firstRow="1" w:lastRow="1" w:firstColumn="1" w:lastColumn="1" w:noHBand="0" w:noVBand="0"/>
        </w:tblPrEx>
        <w:trPr>
          <w:jc w:val="center"/>
        </w:trPr>
        <w:tc>
          <w:tcPr>
            <w:tcW w:w="2547" w:type="dxa"/>
            <w:shd w:val="clear" w:color="auto" w:fill="auto"/>
          </w:tcPr>
          <w:p w14:paraId="68BDA8A4"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Quarter 3</w:t>
            </w:r>
          </w:p>
        </w:tc>
        <w:tc>
          <w:tcPr>
            <w:tcW w:w="7671" w:type="dxa"/>
            <w:shd w:val="clear" w:color="auto" w:fill="auto"/>
          </w:tcPr>
          <w:p w14:paraId="4EFB9BDB" w14:textId="7D5CAF52"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1 September</w:t>
            </w:r>
            <w:r>
              <w:rPr>
                <w:rFonts w:ascii="Arial" w:hAnsi="Arial" w:cs="Arial"/>
                <w:sz w:val="22"/>
                <w:szCs w:val="22"/>
                <w:lang w:val="en-GB"/>
              </w:rPr>
              <w:t xml:space="preserve"> </w:t>
            </w:r>
            <w:r w:rsidRPr="00D77CF3">
              <w:rPr>
                <w:rFonts w:ascii="Arial" w:hAnsi="Arial" w:cs="Arial"/>
                <w:sz w:val="22"/>
                <w:szCs w:val="22"/>
                <w:lang w:val="en-GB"/>
              </w:rPr>
              <w:t xml:space="preserve">to 28 February </w:t>
            </w:r>
          </w:p>
        </w:tc>
      </w:tr>
      <w:tr w:rsidR="003545EA" w:rsidRPr="00D77CF3" w14:paraId="7B0CCC58" w14:textId="77777777" w:rsidTr="001A445B">
        <w:tblPrEx>
          <w:tblLook w:val="01E0" w:firstRow="1" w:lastRow="1" w:firstColumn="1" w:lastColumn="1" w:noHBand="0" w:noVBand="0"/>
        </w:tblPrEx>
        <w:trPr>
          <w:jc w:val="center"/>
        </w:trPr>
        <w:tc>
          <w:tcPr>
            <w:tcW w:w="2547" w:type="dxa"/>
            <w:shd w:val="clear" w:color="auto" w:fill="auto"/>
          </w:tcPr>
          <w:p w14:paraId="2BE2EECC"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Quarter 4</w:t>
            </w:r>
          </w:p>
        </w:tc>
        <w:tc>
          <w:tcPr>
            <w:tcW w:w="7671" w:type="dxa"/>
            <w:shd w:val="clear" w:color="auto" w:fill="auto"/>
          </w:tcPr>
          <w:p w14:paraId="3BEFD6B6" w14:textId="77777777" w:rsidR="003545EA" w:rsidRPr="00D77CF3" w:rsidRDefault="003545EA" w:rsidP="001A445B">
            <w:pPr>
              <w:spacing w:before="60" w:after="60"/>
              <w:jc w:val="both"/>
              <w:rPr>
                <w:rFonts w:ascii="Arial" w:hAnsi="Arial" w:cs="Arial"/>
                <w:sz w:val="22"/>
                <w:szCs w:val="22"/>
                <w:lang w:val="en-GB"/>
              </w:rPr>
            </w:pPr>
            <w:r w:rsidRPr="00D77CF3">
              <w:rPr>
                <w:rFonts w:ascii="Arial" w:hAnsi="Arial" w:cs="Arial"/>
                <w:sz w:val="22"/>
                <w:szCs w:val="22"/>
                <w:lang w:val="en-GB"/>
              </w:rPr>
              <w:t xml:space="preserve">1 December to 31 May </w:t>
            </w:r>
          </w:p>
        </w:tc>
      </w:tr>
    </w:tbl>
    <w:p w14:paraId="35085011" w14:textId="77777777" w:rsidR="003545EA" w:rsidRPr="00D77CF3" w:rsidRDefault="003545EA" w:rsidP="003545EA">
      <w:pPr>
        <w:jc w:val="both"/>
        <w:rPr>
          <w:rFonts w:ascii="Arial" w:eastAsia="Arial Unicode MS" w:hAnsi="Arial" w:cs="Arial"/>
          <w:b/>
          <w:sz w:val="22"/>
          <w:szCs w:val="22"/>
          <w:lang w:val="en-GB"/>
        </w:rPr>
      </w:pPr>
    </w:p>
    <w:p w14:paraId="1AF47F02" w14:textId="77777777" w:rsidR="003545EA" w:rsidRPr="00D77CF3" w:rsidRDefault="003545EA" w:rsidP="003545EA">
      <w:pPr>
        <w:jc w:val="both"/>
        <w:rPr>
          <w:rFonts w:ascii="Arial" w:eastAsia="Arial Unicode MS" w:hAnsi="Arial" w:cs="Arial"/>
          <w:b/>
          <w:sz w:val="22"/>
          <w:szCs w:val="22"/>
          <w:lang w:val="en-GB"/>
        </w:rPr>
      </w:pPr>
    </w:p>
    <w:p w14:paraId="30B9399B" w14:textId="77777777" w:rsidR="003545EA" w:rsidRPr="00D77CF3" w:rsidRDefault="003545EA" w:rsidP="003545EA">
      <w:pPr>
        <w:jc w:val="both"/>
        <w:rPr>
          <w:rFonts w:ascii="Arial" w:eastAsia="Arial Unicode MS" w:hAnsi="Arial" w:cs="Arial"/>
          <w:b/>
          <w:sz w:val="22"/>
          <w:szCs w:val="22"/>
          <w:lang w:val="en-GB"/>
        </w:rPr>
      </w:pPr>
      <w:r w:rsidRPr="00D77CF3">
        <w:rPr>
          <w:rFonts w:ascii="Arial" w:eastAsia="Arial Unicode MS" w:hAnsi="Arial" w:cs="Arial"/>
          <w:b/>
          <w:sz w:val="22"/>
          <w:szCs w:val="22"/>
          <w:lang w:val="en-GB"/>
        </w:rPr>
        <w:t>Expectations</w:t>
      </w:r>
    </w:p>
    <w:p w14:paraId="4CE3CCE5" w14:textId="77777777" w:rsidR="003545EA" w:rsidRPr="00D77CF3" w:rsidRDefault="003545EA" w:rsidP="003545EA">
      <w:pPr>
        <w:jc w:val="both"/>
        <w:rPr>
          <w:rFonts w:ascii="Arial" w:hAnsi="Arial" w:cs="Arial"/>
          <w:sz w:val="22"/>
          <w:szCs w:val="22"/>
          <w:lang w:val="en-GB"/>
        </w:rPr>
      </w:pPr>
      <w:r w:rsidRPr="00D77CF3">
        <w:rPr>
          <w:rFonts w:ascii="Arial" w:hAnsi="Arial"/>
          <w:sz w:val="22"/>
          <w:szCs w:val="22"/>
          <w:lang w:val="en-GB"/>
        </w:rPr>
        <w:t xml:space="preserve">The following </w:t>
      </w:r>
      <w:r w:rsidRPr="00D77CF3">
        <w:rPr>
          <w:rFonts w:ascii="Arial" w:hAnsi="Arial" w:cs="Arial"/>
          <w:sz w:val="22"/>
          <w:szCs w:val="22"/>
          <w:lang w:val="en-GB"/>
        </w:rPr>
        <w:t>achievement scale will be applied to the health target indicator:</w:t>
      </w:r>
    </w:p>
    <w:p w14:paraId="5A384202" w14:textId="77777777" w:rsidR="003545EA" w:rsidRPr="00D77CF3" w:rsidRDefault="003545EA" w:rsidP="003545EA">
      <w:pPr>
        <w:jc w:val="both"/>
        <w:rPr>
          <w:rFonts w:ascii="Arial" w:hAnsi="Arial" w:cs="Arial"/>
          <w:sz w:val="22"/>
          <w:szCs w:val="22"/>
          <w:lang w:val="en-GB"/>
        </w:rPr>
      </w:pPr>
    </w:p>
    <w:p w14:paraId="3B49383E" w14:textId="77777777" w:rsidR="003545EA" w:rsidRPr="00D77CF3" w:rsidRDefault="003545EA" w:rsidP="003545EA">
      <w:pPr>
        <w:autoSpaceDE w:val="0"/>
        <w:autoSpaceDN w:val="0"/>
        <w:adjustRightInd w:val="0"/>
        <w:spacing w:before="60" w:after="60" w:line="240" w:lineRule="atLeast"/>
        <w:ind w:left="720"/>
        <w:jc w:val="both"/>
        <w:rPr>
          <w:rFonts w:ascii="Arial" w:hAnsi="Arial" w:cs="Arial"/>
          <w:b/>
          <w:bCs/>
          <w:color w:val="000000"/>
          <w:sz w:val="22"/>
          <w:szCs w:val="22"/>
          <w:lang w:val="en-GB"/>
        </w:rPr>
      </w:pPr>
      <w:r w:rsidRPr="00D77CF3">
        <w:rPr>
          <w:rFonts w:ascii="Arial" w:hAnsi="Arial" w:cs="Arial"/>
          <w:b/>
          <w:bCs/>
          <w:color w:val="000000"/>
          <w:sz w:val="22"/>
          <w:szCs w:val="22"/>
          <w:lang w:val="en-GB"/>
        </w:rPr>
        <w:t>Table 1: Quarters 1, 2 &amp; 3 assessment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7379"/>
      </w:tblGrid>
      <w:tr w:rsidR="003545EA" w:rsidRPr="00D77CF3" w14:paraId="55C22682" w14:textId="77777777" w:rsidTr="001A445B">
        <w:tc>
          <w:tcPr>
            <w:tcW w:w="1621" w:type="dxa"/>
            <w:shd w:val="clear" w:color="auto" w:fill="CCCCCC"/>
            <w:vAlign w:val="center"/>
          </w:tcPr>
          <w:p w14:paraId="02FF837C" w14:textId="77777777" w:rsidR="003545EA" w:rsidRPr="00D77CF3" w:rsidRDefault="003545EA" w:rsidP="001A445B">
            <w:pPr>
              <w:jc w:val="both"/>
              <w:rPr>
                <w:rFonts w:ascii="Arial" w:hAnsi="Arial" w:cs="Arial"/>
                <w:b/>
                <w:sz w:val="22"/>
                <w:szCs w:val="22"/>
                <w:lang w:val="en-GB"/>
              </w:rPr>
            </w:pPr>
            <w:r w:rsidRPr="00D77CF3">
              <w:rPr>
                <w:rFonts w:ascii="Arial" w:hAnsi="Arial" w:cs="Arial"/>
                <w:b/>
                <w:sz w:val="22"/>
                <w:szCs w:val="22"/>
                <w:lang w:val="en-GB"/>
              </w:rPr>
              <w:t xml:space="preserve">Rating: </w:t>
            </w:r>
          </w:p>
        </w:tc>
        <w:tc>
          <w:tcPr>
            <w:tcW w:w="7379" w:type="dxa"/>
            <w:shd w:val="clear" w:color="auto" w:fill="CCCCCC"/>
            <w:vAlign w:val="center"/>
          </w:tcPr>
          <w:p w14:paraId="1F63E12C" w14:textId="77777777" w:rsidR="003545EA" w:rsidRPr="00D77CF3" w:rsidRDefault="003545EA" w:rsidP="001A445B">
            <w:pPr>
              <w:jc w:val="both"/>
              <w:rPr>
                <w:rFonts w:ascii="Arial" w:hAnsi="Arial" w:cs="Arial"/>
                <w:b/>
                <w:sz w:val="22"/>
                <w:szCs w:val="22"/>
                <w:lang w:val="en-GB"/>
              </w:rPr>
            </w:pPr>
            <w:r w:rsidRPr="00D77CF3">
              <w:rPr>
                <w:rFonts w:ascii="Arial" w:hAnsi="Arial" w:cs="Arial"/>
                <w:b/>
                <w:sz w:val="22"/>
                <w:szCs w:val="22"/>
                <w:lang w:val="en-GB"/>
              </w:rPr>
              <w:t>Definition</w:t>
            </w:r>
          </w:p>
        </w:tc>
      </w:tr>
      <w:tr w:rsidR="003545EA" w:rsidRPr="00D77CF3" w14:paraId="03D033A7" w14:textId="77777777" w:rsidTr="001A445B">
        <w:tc>
          <w:tcPr>
            <w:tcW w:w="1621" w:type="dxa"/>
            <w:shd w:val="clear" w:color="auto" w:fill="auto"/>
          </w:tcPr>
          <w:p w14:paraId="144C2BAF" w14:textId="77777777" w:rsidR="003545EA" w:rsidRPr="00D77CF3" w:rsidRDefault="003545EA" w:rsidP="001A445B">
            <w:pPr>
              <w:jc w:val="both"/>
              <w:rPr>
                <w:rFonts w:ascii="Arial" w:hAnsi="Arial" w:cs="Arial"/>
                <w:sz w:val="22"/>
                <w:szCs w:val="22"/>
                <w:lang w:val="en-GB"/>
              </w:rPr>
            </w:pPr>
            <w:r w:rsidRPr="00D77CF3">
              <w:rPr>
                <w:rFonts w:ascii="Arial" w:hAnsi="Arial" w:cs="Arial"/>
                <w:sz w:val="22"/>
                <w:szCs w:val="22"/>
                <w:lang w:val="en-GB"/>
              </w:rPr>
              <w:t>Outstanding Performer</w:t>
            </w:r>
          </w:p>
        </w:tc>
        <w:tc>
          <w:tcPr>
            <w:tcW w:w="7379" w:type="dxa"/>
            <w:shd w:val="clear" w:color="auto" w:fill="auto"/>
          </w:tcPr>
          <w:p w14:paraId="4934A5FA" w14:textId="77777777" w:rsidR="003545EA" w:rsidRPr="00D77CF3" w:rsidRDefault="003545EA" w:rsidP="001A445B">
            <w:pPr>
              <w:jc w:val="both"/>
              <w:rPr>
                <w:rFonts w:ascii="Arial" w:hAnsi="Arial" w:cs="Arial"/>
                <w:sz w:val="22"/>
                <w:szCs w:val="22"/>
                <w:lang w:val="en-GB"/>
              </w:rPr>
            </w:pPr>
            <w:r w:rsidRPr="00D77CF3">
              <w:rPr>
                <w:rFonts w:ascii="Arial" w:hAnsi="Arial" w:cs="Arial"/>
                <w:sz w:val="22"/>
                <w:szCs w:val="22"/>
                <w:lang w:val="en-GB"/>
              </w:rPr>
              <w:t>DHB shares their broader intent and activity around childhood obesity and has met the target percentage.</w:t>
            </w:r>
          </w:p>
        </w:tc>
      </w:tr>
      <w:tr w:rsidR="003545EA" w:rsidRPr="00D77CF3" w14:paraId="3E16F5FC" w14:textId="77777777" w:rsidTr="001A445B">
        <w:tc>
          <w:tcPr>
            <w:tcW w:w="1621" w:type="dxa"/>
            <w:shd w:val="clear" w:color="auto" w:fill="auto"/>
          </w:tcPr>
          <w:p w14:paraId="655A3A40" w14:textId="77777777" w:rsidR="003545EA" w:rsidRPr="00D77CF3" w:rsidRDefault="003545EA" w:rsidP="001A445B">
            <w:pPr>
              <w:jc w:val="both"/>
              <w:rPr>
                <w:rFonts w:ascii="Arial" w:hAnsi="Arial" w:cs="Arial"/>
                <w:sz w:val="22"/>
                <w:szCs w:val="22"/>
                <w:lang w:val="en-GB"/>
              </w:rPr>
            </w:pPr>
            <w:r w:rsidRPr="00D77CF3">
              <w:rPr>
                <w:rFonts w:ascii="Arial" w:hAnsi="Arial" w:cs="Arial"/>
                <w:sz w:val="22"/>
                <w:szCs w:val="22"/>
                <w:lang w:val="en-GB"/>
              </w:rPr>
              <w:t>Achieved</w:t>
            </w:r>
          </w:p>
        </w:tc>
        <w:tc>
          <w:tcPr>
            <w:tcW w:w="7379" w:type="dxa"/>
            <w:shd w:val="clear" w:color="auto" w:fill="auto"/>
          </w:tcPr>
          <w:p w14:paraId="51798603" w14:textId="77777777" w:rsidR="003545EA" w:rsidRPr="00D77CF3" w:rsidRDefault="003545EA" w:rsidP="001A445B">
            <w:pPr>
              <w:jc w:val="both"/>
              <w:rPr>
                <w:rFonts w:ascii="Arial" w:hAnsi="Arial" w:cs="Arial"/>
                <w:sz w:val="22"/>
                <w:szCs w:val="22"/>
                <w:lang w:val="en-GB"/>
              </w:rPr>
            </w:pPr>
            <w:r w:rsidRPr="00D77CF3">
              <w:rPr>
                <w:rFonts w:ascii="Arial" w:hAnsi="Arial"/>
                <w:sz w:val="22"/>
                <w:szCs w:val="22"/>
                <w:lang w:val="en-GB"/>
              </w:rPr>
              <w:t xml:space="preserve">The DHB has met the target percentage. </w:t>
            </w:r>
          </w:p>
        </w:tc>
      </w:tr>
      <w:tr w:rsidR="003545EA" w:rsidRPr="00D77CF3" w14:paraId="212764DE" w14:textId="77777777" w:rsidTr="001A445B">
        <w:tc>
          <w:tcPr>
            <w:tcW w:w="1621" w:type="dxa"/>
            <w:shd w:val="clear" w:color="auto" w:fill="auto"/>
          </w:tcPr>
          <w:p w14:paraId="11E796AC" w14:textId="77777777" w:rsidR="003545EA" w:rsidRPr="00D77CF3" w:rsidRDefault="003545EA" w:rsidP="001A445B">
            <w:pPr>
              <w:jc w:val="both"/>
              <w:rPr>
                <w:rFonts w:ascii="Arial" w:hAnsi="Arial" w:cs="Arial"/>
                <w:sz w:val="22"/>
                <w:szCs w:val="22"/>
                <w:lang w:val="en-GB"/>
              </w:rPr>
            </w:pPr>
            <w:r w:rsidRPr="00D77CF3">
              <w:rPr>
                <w:rFonts w:ascii="Arial" w:hAnsi="Arial" w:cs="Arial"/>
                <w:sz w:val="22"/>
                <w:szCs w:val="22"/>
                <w:lang w:val="en-GB"/>
              </w:rPr>
              <w:t>Partially Achieved</w:t>
            </w:r>
          </w:p>
        </w:tc>
        <w:tc>
          <w:tcPr>
            <w:tcW w:w="7379" w:type="dxa"/>
            <w:shd w:val="clear" w:color="auto" w:fill="auto"/>
          </w:tcPr>
          <w:p w14:paraId="7C8BFAF4" w14:textId="77777777" w:rsidR="003545EA" w:rsidRPr="00D77CF3" w:rsidRDefault="003545EA" w:rsidP="001A445B">
            <w:pPr>
              <w:jc w:val="both"/>
              <w:rPr>
                <w:rFonts w:ascii="Arial" w:hAnsi="Arial"/>
                <w:sz w:val="22"/>
                <w:szCs w:val="22"/>
                <w:lang w:val="en-GB"/>
              </w:rPr>
            </w:pPr>
            <w:r w:rsidRPr="00D77CF3">
              <w:rPr>
                <w:rFonts w:ascii="Arial" w:hAnsi="Arial"/>
                <w:sz w:val="22"/>
                <w:szCs w:val="22"/>
                <w:lang w:val="en-GB"/>
              </w:rPr>
              <w:t>The DHB has not met the target percentage but the narrative comments provided satisfy the assessor that the DHB is on track to compliance.</w:t>
            </w:r>
          </w:p>
        </w:tc>
      </w:tr>
      <w:tr w:rsidR="003545EA" w:rsidRPr="00D77CF3" w14:paraId="0ECC333A" w14:textId="77777777" w:rsidTr="001A445B">
        <w:tc>
          <w:tcPr>
            <w:tcW w:w="1621" w:type="dxa"/>
            <w:shd w:val="clear" w:color="auto" w:fill="auto"/>
          </w:tcPr>
          <w:p w14:paraId="7F5566CC" w14:textId="77777777" w:rsidR="003545EA" w:rsidRPr="00D77CF3" w:rsidRDefault="003545EA" w:rsidP="001A445B">
            <w:pPr>
              <w:jc w:val="both"/>
              <w:rPr>
                <w:rFonts w:ascii="Arial" w:hAnsi="Arial" w:cs="Arial"/>
                <w:sz w:val="22"/>
                <w:szCs w:val="22"/>
                <w:lang w:val="en-GB"/>
              </w:rPr>
            </w:pPr>
            <w:r w:rsidRPr="00D77CF3">
              <w:rPr>
                <w:rFonts w:ascii="Arial" w:hAnsi="Arial" w:cs="Arial"/>
                <w:sz w:val="22"/>
                <w:szCs w:val="22"/>
                <w:lang w:val="en-GB"/>
              </w:rPr>
              <w:t>Not Achieved</w:t>
            </w:r>
          </w:p>
        </w:tc>
        <w:tc>
          <w:tcPr>
            <w:tcW w:w="7379" w:type="dxa"/>
            <w:shd w:val="clear" w:color="auto" w:fill="auto"/>
          </w:tcPr>
          <w:p w14:paraId="0A558B43" w14:textId="77777777" w:rsidR="003545EA" w:rsidRPr="00D77CF3" w:rsidRDefault="003545EA" w:rsidP="001A445B">
            <w:pPr>
              <w:tabs>
                <w:tab w:val="num" w:pos="540"/>
              </w:tabs>
              <w:jc w:val="both"/>
              <w:rPr>
                <w:rFonts w:ascii="Arial" w:hAnsi="Arial"/>
                <w:sz w:val="22"/>
                <w:szCs w:val="22"/>
                <w:lang w:val="en-GB"/>
              </w:rPr>
            </w:pPr>
            <w:r w:rsidRPr="00D77CF3">
              <w:rPr>
                <w:rFonts w:ascii="Arial" w:hAnsi="Arial"/>
                <w:sz w:val="22"/>
                <w:szCs w:val="22"/>
                <w:lang w:val="en-GB"/>
              </w:rPr>
              <w:t>The DHB has not met the target percentage and the narrative comments provided do not satisfy the assessor that the DHB is on track to compliance.</w:t>
            </w:r>
          </w:p>
        </w:tc>
      </w:tr>
    </w:tbl>
    <w:p w14:paraId="4AD60027" w14:textId="77777777" w:rsidR="003545EA" w:rsidRPr="00D77CF3" w:rsidRDefault="003545EA" w:rsidP="003545EA">
      <w:pPr>
        <w:rPr>
          <w:rFonts w:ascii="Arial" w:hAnsi="Arial" w:cs="Arial"/>
          <w:i/>
          <w:sz w:val="18"/>
          <w:szCs w:val="18"/>
          <w:lang w:val="en-GB"/>
        </w:rPr>
      </w:pPr>
    </w:p>
    <w:p w14:paraId="0ED0A7F8" w14:textId="77777777" w:rsidR="003545EA" w:rsidRPr="00D77CF3" w:rsidRDefault="003545EA" w:rsidP="003545EA">
      <w:pPr>
        <w:autoSpaceDE w:val="0"/>
        <w:autoSpaceDN w:val="0"/>
        <w:adjustRightInd w:val="0"/>
        <w:spacing w:before="60" w:after="60" w:line="240" w:lineRule="atLeast"/>
        <w:ind w:left="720"/>
        <w:jc w:val="both"/>
        <w:rPr>
          <w:rFonts w:ascii="Arial" w:hAnsi="Arial" w:cs="Arial"/>
          <w:b/>
          <w:bCs/>
          <w:color w:val="000000"/>
          <w:sz w:val="22"/>
          <w:szCs w:val="22"/>
          <w:lang w:val="en-GB"/>
        </w:rPr>
      </w:pPr>
      <w:r w:rsidRPr="00D77CF3">
        <w:rPr>
          <w:rFonts w:ascii="Arial" w:hAnsi="Arial" w:cs="Arial"/>
          <w:b/>
          <w:bCs/>
          <w:color w:val="000000"/>
          <w:sz w:val="22"/>
          <w:szCs w:val="22"/>
          <w:lang w:val="en-GB"/>
        </w:rPr>
        <w:t>Table 2: Quarter 4 assessment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3545EA" w:rsidRPr="00D77CF3" w14:paraId="41064A8B" w14:textId="77777777" w:rsidTr="001A445B">
        <w:trPr>
          <w:cantSplit/>
        </w:trPr>
        <w:tc>
          <w:tcPr>
            <w:tcW w:w="2160" w:type="dxa"/>
            <w:tcBorders>
              <w:bottom w:val="single" w:sz="4" w:space="0" w:color="auto"/>
            </w:tcBorders>
            <w:shd w:val="clear" w:color="auto" w:fill="CCCCCC"/>
          </w:tcPr>
          <w:p w14:paraId="75C899BA" w14:textId="77777777" w:rsidR="003545EA" w:rsidRPr="00D77CF3" w:rsidRDefault="003545EA" w:rsidP="001A445B">
            <w:pPr>
              <w:autoSpaceDE w:val="0"/>
              <w:autoSpaceDN w:val="0"/>
              <w:adjustRightInd w:val="0"/>
              <w:spacing w:before="60" w:after="60" w:line="240" w:lineRule="atLeast"/>
              <w:ind w:left="108" w:right="108"/>
              <w:jc w:val="both"/>
              <w:rPr>
                <w:rFonts w:ascii="Arial" w:hAnsi="Arial" w:cs="Arial"/>
                <w:b/>
                <w:bCs/>
                <w:color w:val="000000"/>
                <w:sz w:val="22"/>
                <w:szCs w:val="22"/>
                <w:lang w:val="en-GB"/>
              </w:rPr>
            </w:pPr>
            <w:r w:rsidRPr="00D77CF3">
              <w:rPr>
                <w:rFonts w:ascii="Arial" w:hAnsi="Arial" w:cs="Arial"/>
                <w:b/>
                <w:bCs/>
                <w:color w:val="000000"/>
                <w:sz w:val="22"/>
                <w:szCs w:val="22"/>
                <w:lang w:val="en-GB"/>
              </w:rPr>
              <w:t>Rating</w:t>
            </w:r>
          </w:p>
        </w:tc>
        <w:tc>
          <w:tcPr>
            <w:tcW w:w="7380" w:type="dxa"/>
            <w:shd w:val="clear" w:color="auto" w:fill="CCCCCC"/>
          </w:tcPr>
          <w:p w14:paraId="2BBE5D19" w14:textId="77777777" w:rsidR="003545EA" w:rsidRPr="00D77CF3" w:rsidRDefault="003545EA" w:rsidP="001A445B">
            <w:pPr>
              <w:autoSpaceDE w:val="0"/>
              <w:autoSpaceDN w:val="0"/>
              <w:adjustRightInd w:val="0"/>
              <w:spacing w:before="60" w:after="60"/>
              <w:rPr>
                <w:rFonts w:ascii="Arial" w:hAnsi="Arial" w:cs="Arial"/>
                <w:b/>
                <w:bCs/>
                <w:color w:val="000000"/>
                <w:sz w:val="22"/>
                <w:szCs w:val="22"/>
                <w:lang w:val="en-GB"/>
              </w:rPr>
            </w:pPr>
            <w:r w:rsidRPr="00D77CF3">
              <w:rPr>
                <w:rFonts w:ascii="Arial" w:hAnsi="Arial" w:cs="Arial"/>
                <w:b/>
                <w:bCs/>
                <w:color w:val="000000"/>
                <w:sz w:val="22"/>
                <w:szCs w:val="22"/>
                <w:lang w:val="en-GB"/>
              </w:rPr>
              <w:t>Explanation</w:t>
            </w:r>
          </w:p>
        </w:tc>
      </w:tr>
      <w:tr w:rsidR="003545EA" w:rsidRPr="00D77CF3" w14:paraId="6E9349D4" w14:textId="77777777" w:rsidTr="001A445B">
        <w:trPr>
          <w:cantSplit/>
        </w:trPr>
        <w:tc>
          <w:tcPr>
            <w:tcW w:w="2160" w:type="dxa"/>
            <w:shd w:val="clear" w:color="auto" w:fill="E6E6E6"/>
          </w:tcPr>
          <w:p w14:paraId="296694C2"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sz w:val="22"/>
                <w:szCs w:val="22"/>
                <w:lang w:val="en-GB"/>
              </w:rPr>
            </w:pPr>
            <w:r w:rsidRPr="00D77CF3">
              <w:rPr>
                <w:rFonts w:ascii="Arial" w:hAnsi="Arial" w:cs="Arial"/>
                <w:sz w:val="22"/>
                <w:szCs w:val="22"/>
                <w:lang w:val="en-GB"/>
              </w:rPr>
              <w:t>Outstanding Performer</w:t>
            </w:r>
          </w:p>
        </w:tc>
        <w:tc>
          <w:tcPr>
            <w:tcW w:w="7380" w:type="dxa"/>
          </w:tcPr>
          <w:p w14:paraId="5F659D48" w14:textId="77777777" w:rsidR="003545EA" w:rsidRPr="00D77CF3" w:rsidRDefault="003545EA" w:rsidP="007B3CDE">
            <w:pPr>
              <w:numPr>
                <w:ilvl w:val="3"/>
                <w:numId w:val="23"/>
              </w:numPr>
              <w:autoSpaceDE w:val="0"/>
              <w:autoSpaceDN w:val="0"/>
              <w:adjustRightInd w:val="0"/>
              <w:spacing w:before="60" w:after="60" w:line="240" w:lineRule="atLeast"/>
              <w:ind w:left="375"/>
              <w:rPr>
                <w:rFonts w:ascii="Arial" w:hAnsi="Arial" w:cs="Arial"/>
                <w:color w:val="000000"/>
                <w:sz w:val="22"/>
                <w:szCs w:val="22"/>
                <w:lang w:val="en-GB"/>
              </w:rPr>
            </w:pPr>
            <w:r w:rsidRPr="00D77CF3">
              <w:rPr>
                <w:rFonts w:ascii="Arial" w:hAnsi="Arial" w:cs="Arial"/>
                <w:color w:val="000000"/>
                <w:sz w:val="22"/>
                <w:szCs w:val="22"/>
                <w:lang w:val="en-GB"/>
              </w:rPr>
              <w:t xml:space="preserve">The DHB has substantially exceeded the target; </w:t>
            </w:r>
            <w:r w:rsidRPr="00D77CF3">
              <w:rPr>
                <w:rFonts w:ascii="Arial" w:hAnsi="Arial" w:cs="Arial"/>
                <w:b/>
                <w:color w:val="000000"/>
                <w:sz w:val="22"/>
                <w:szCs w:val="22"/>
                <w:lang w:val="en-GB"/>
              </w:rPr>
              <w:t>and/or</w:t>
            </w:r>
          </w:p>
          <w:p w14:paraId="584FC5F2" w14:textId="77777777" w:rsidR="003545EA" w:rsidRPr="00D77CF3" w:rsidRDefault="003545EA" w:rsidP="007B3CDE">
            <w:pPr>
              <w:numPr>
                <w:ilvl w:val="3"/>
                <w:numId w:val="23"/>
              </w:numPr>
              <w:autoSpaceDE w:val="0"/>
              <w:autoSpaceDN w:val="0"/>
              <w:adjustRightInd w:val="0"/>
              <w:spacing w:before="60" w:after="60" w:line="240" w:lineRule="atLeast"/>
              <w:ind w:left="375"/>
              <w:rPr>
                <w:rFonts w:ascii="Arial" w:hAnsi="Arial" w:cs="Arial"/>
                <w:color w:val="000000"/>
                <w:sz w:val="22"/>
                <w:szCs w:val="22"/>
                <w:lang w:val="en-GB"/>
              </w:rPr>
            </w:pPr>
            <w:r w:rsidRPr="00D77CF3">
              <w:rPr>
                <w:rFonts w:ascii="Arial" w:hAnsi="Arial" w:cs="Arial"/>
                <w:color w:val="000000"/>
                <w:sz w:val="22"/>
                <w:szCs w:val="22"/>
                <w:lang w:val="en-GB"/>
              </w:rPr>
              <w:t>The DHB has reached the target for:</w:t>
            </w:r>
          </w:p>
          <w:p w14:paraId="0769B93F" w14:textId="77777777" w:rsidR="003545EA" w:rsidRPr="00D77CF3" w:rsidRDefault="003545EA" w:rsidP="007B3CDE">
            <w:pPr>
              <w:numPr>
                <w:ilvl w:val="0"/>
                <w:numId w:val="23"/>
              </w:numPr>
              <w:autoSpaceDE w:val="0"/>
              <w:autoSpaceDN w:val="0"/>
              <w:adjustRightInd w:val="0"/>
              <w:spacing w:before="60" w:after="60" w:line="240" w:lineRule="atLeast"/>
              <w:ind w:left="735"/>
              <w:rPr>
                <w:rFonts w:ascii="Arial" w:hAnsi="Arial" w:cs="Arial"/>
                <w:color w:val="000000"/>
                <w:sz w:val="22"/>
                <w:szCs w:val="22"/>
                <w:lang w:val="en-GB"/>
              </w:rPr>
            </w:pPr>
            <w:r w:rsidRPr="00D77CF3">
              <w:rPr>
                <w:rFonts w:ascii="Arial" w:hAnsi="Arial" w:cs="Arial"/>
                <w:color w:val="000000"/>
                <w:sz w:val="22"/>
                <w:szCs w:val="22"/>
                <w:lang w:val="en-GB"/>
              </w:rPr>
              <w:t xml:space="preserve">the total population, </w:t>
            </w:r>
            <w:r w:rsidRPr="00D77CF3">
              <w:rPr>
                <w:rFonts w:ascii="Arial" w:hAnsi="Arial" w:cs="Arial"/>
                <w:b/>
                <w:color w:val="000000"/>
                <w:sz w:val="22"/>
                <w:szCs w:val="22"/>
                <w:lang w:val="en-GB"/>
              </w:rPr>
              <w:t>and</w:t>
            </w:r>
          </w:p>
          <w:p w14:paraId="7DF461AD" w14:textId="77777777" w:rsidR="003545EA" w:rsidRPr="00D77CF3" w:rsidRDefault="003545EA" w:rsidP="007B3CDE">
            <w:pPr>
              <w:numPr>
                <w:ilvl w:val="0"/>
                <w:numId w:val="23"/>
              </w:numPr>
              <w:autoSpaceDE w:val="0"/>
              <w:autoSpaceDN w:val="0"/>
              <w:adjustRightInd w:val="0"/>
              <w:spacing w:before="60" w:after="60" w:line="240" w:lineRule="atLeast"/>
              <w:ind w:left="735"/>
              <w:rPr>
                <w:rFonts w:ascii="Arial" w:hAnsi="Arial" w:cs="Arial"/>
                <w:color w:val="000000"/>
                <w:sz w:val="22"/>
                <w:szCs w:val="22"/>
                <w:lang w:val="en-GB"/>
              </w:rPr>
            </w:pPr>
            <w:r w:rsidRPr="00D77CF3">
              <w:rPr>
                <w:rFonts w:ascii="Arial" w:hAnsi="Arial" w:cs="Arial"/>
                <w:sz w:val="22"/>
                <w:szCs w:val="22"/>
                <w:lang w:val="en-GB"/>
              </w:rPr>
              <w:t xml:space="preserve">the Māori population group, </w:t>
            </w:r>
            <w:r w:rsidRPr="00D77CF3">
              <w:rPr>
                <w:rFonts w:ascii="Arial" w:hAnsi="Arial" w:cs="Arial"/>
                <w:b/>
                <w:sz w:val="22"/>
                <w:szCs w:val="22"/>
                <w:lang w:val="en-GB"/>
              </w:rPr>
              <w:t xml:space="preserve">and </w:t>
            </w:r>
            <w:r w:rsidRPr="00D77CF3">
              <w:rPr>
                <w:rFonts w:ascii="Arial" w:hAnsi="Arial" w:cs="Arial"/>
                <w:sz w:val="22"/>
                <w:szCs w:val="22"/>
                <w:lang w:val="en-GB"/>
              </w:rPr>
              <w:t>where applicable</w:t>
            </w:r>
          </w:p>
          <w:p w14:paraId="2354281B" w14:textId="77777777" w:rsidR="003545EA" w:rsidRPr="00D77CF3" w:rsidRDefault="003545EA" w:rsidP="007B3CDE">
            <w:pPr>
              <w:numPr>
                <w:ilvl w:val="0"/>
                <w:numId w:val="23"/>
              </w:numPr>
              <w:autoSpaceDE w:val="0"/>
              <w:autoSpaceDN w:val="0"/>
              <w:adjustRightInd w:val="0"/>
              <w:spacing w:before="60" w:after="60" w:line="240" w:lineRule="atLeast"/>
              <w:ind w:left="735"/>
              <w:rPr>
                <w:rFonts w:ascii="Arial" w:hAnsi="Arial" w:cs="Arial"/>
                <w:color w:val="000000"/>
                <w:sz w:val="22"/>
                <w:szCs w:val="22"/>
                <w:lang w:val="en-GB"/>
              </w:rPr>
            </w:pPr>
            <w:r w:rsidRPr="00D77CF3">
              <w:rPr>
                <w:rFonts w:ascii="Arial" w:hAnsi="Arial" w:cs="Arial"/>
                <w:sz w:val="22"/>
                <w:szCs w:val="22"/>
                <w:lang w:val="en-GB"/>
              </w:rPr>
              <w:t>the Pacific population.</w:t>
            </w:r>
          </w:p>
        </w:tc>
      </w:tr>
      <w:tr w:rsidR="003545EA" w:rsidRPr="00D77CF3" w14:paraId="2C0C4EEC" w14:textId="77777777" w:rsidTr="001A445B">
        <w:trPr>
          <w:cantSplit/>
        </w:trPr>
        <w:tc>
          <w:tcPr>
            <w:tcW w:w="2160" w:type="dxa"/>
            <w:shd w:val="clear" w:color="auto" w:fill="E6E6E6"/>
          </w:tcPr>
          <w:p w14:paraId="238448CC"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i/>
                <w:sz w:val="22"/>
                <w:szCs w:val="22"/>
                <w:lang w:val="en-GB"/>
              </w:rPr>
            </w:pPr>
            <w:r w:rsidRPr="00D77CF3">
              <w:rPr>
                <w:rFonts w:ascii="Arial" w:hAnsi="Arial" w:cs="Arial"/>
                <w:sz w:val="22"/>
                <w:szCs w:val="22"/>
                <w:lang w:val="en-GB"/>
              </w:rPr>
              <w:t>Achieved</w:t>
            </w:r>
          </w:p>
        </w:tc>
        <w:tc>
          <w:tcPr>
            <w:tcW w:w="7380" w:type="dxa"/>
          </w:tcPr>
          <w:p w14:paraId="24E97A7A" w14:textId="77777777" w:rsidR="003545EA" w:rsidRPr="00D77CF3" w:rsidRDefault="003545EA" w:rsidP="001A445B">
            <w:pPr>
              <w:autoSpaceDE w:val="0"/>
              <w:autoSpaceDN w:val="0"/>
              <w:adjustRightInd w:val="0"/>
              <w:spacing w:before="60" w:after="60" w:line="240" w:lineRule="atLeast"/>
              <w:ind w:left="15"/>
              <w:rPr>
                <w:rFonts w:ascii="Arial" w:hAnsi="Arial" w:cs="Arial"/>
                <w:color w:val="000000"/>
                <w:sz w:val="22"/>
                <w:szCs w:val="22"/>
                <w:lang w:val="en-GB"/>
              </w:rPr>
            </w:pPr>
            <w:r w:rsidRPr="00D77CF3">
              <w:rPr>
                <w:rFonts w:ascii="Arial" w:hAnsi="Arial" w:cs="Arial"/>
                <w:color w:val="000000"/>
                <w:sz w:val="22"/>
                <w:szCs w:val="22"/>
                <w:lang w:val="en-GB"/>
              </w:rPr>
              <w:t>The DHB has reached the target and made progress towards closing the equity gap.</w:t>
            </w:r>
          </w:p>
        </w:tc>
      </w:tr>
      <w:tr w:rsidR="003545EA" w:rsidRPr="00D77CF3" w14:paraId="2FCED3A1" w14:textId="77777777" w:rsidTr="001A445B">
        <w:trPr>
          <w:cantSplit/>
        </w:trPr>
        <w:tc>
          <w:tcPr>
            <w:tcW w:w="2160" w:type="dxa"/>
            <w:shd w:val="clear" w:color="auto" w:fill="E6E6E6"/>
          </w:tcPr>
          <w:p w14:paraId="6F3C7AD7"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sz w:val="22"/>
                <w:szCs w:val="22"/>
                <w:lang w:val="en-GB"/>
              </w:rPr>
            </w:pPr>
            <w:r w:rsidRPr="00D77CF3">
              <w:rPr>
                <w:rFonts w:ascii="Arial" w:hAnsi="Arial" w:cs="Arial"/>
                <w:sz w:val="22"/>
                <w:szCs w:val="22"/>
                <w:lang w:val="en-GB"/>
              </w:rPr>
              <w:t>Partially Achieved</w:t>
            </w:r>
          </w:p>
        </w:tc>
        <w:tc>
          <w:tcPr>
            <w:tcW w:w="7380" w:type="dxa"/>
          </w:tcPr>
          <w:p w14:paraId="7E417267"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sz w:val="22"/>
                <w:szCs w:val="22"/>
                <w:lang w:val="en-GB"/>
              </w:rPr>
            </w:pPr>
            <w:r w:rsidRPr="00D77CF3">
              <w:rPr>
                <w:rFonts w:ascii="Arial" w:hAnsi="Arial" w:cs="Arial"/>
                <w:sz w:val="22"/>
                <w:szCs w:val="22"/>
                <w:lang w:val="en-GB"/>
              </w:rPr>
              <w:t>The DHB’s progress towards target has improved from the start of the year and has made significant progress towards the target.</w:t>
            </w:r>
          </w:p>
        </w:tc>
      </w:tr>
      <w:tr w:rsidR="003545EA" w:rsidRPr="00D77CF3" w14:paraId="17B60D61" w14:textId="77777777" w:rsidTr="001A445B">
        <w:trPr>
          <w:cantSplit/>
        </w:trPr>
        <w:tc>
          <w:tcPr>
            <w:tcW w:w="2160" w:type="dxa"/>
            <w:tcBorders>
              <w:top w:val="single" w:sz="4" w:space="0" w:color="auto"/>
              <w:left w:val="single" w:sz="4" w:space="0" w:color="auto"/>
              <w:bottom w:val="single" w:sz="4" w:space="0" w:color="auto"/>
              <w:right w:val="single" w:sz="4" w:space="0" w:color="auto"/>
            </w:tcBorders>
            <w:shd w:val="clear" w:color="auto" w:fill="E6E6E6"/>
          </w:tcPr>
          <w:p w14:paraId="2C9984DB"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sz w:val="22"/>
                <w:szCs w:val="22"/>
                <w:lang w:val="en-GB"/>
              </w:rPr>
            </w:pPr>
            <w:r w:rsidRPr="00D77CF3">
              <w:rPr>
                <w:rFonts w:ascii="Arial" w:hAnsi="Arial" w:cs="Arial"/>
                <w:sz w:val="22"/>
                <w:szCs w:val="22"/>
                <w:lang w:val="en-GB"/>
              </w:rPr>
              <w:t>Not Achieved</w:t>
            </w:r>
          </w:p>
        </w:tc>
        <w:tc>
          <w:tcPr>
            <w:tcW w:w="7380" w:type="dxa"/>
            <w:tcBorders>
              <w:top w:val="single" w:sz="4" w:space="0" w:color="auto"/>
              <w:left w:val="single" w:sz="4" w:space="0" w:color="auto"/>
              <w:bottom w:val="single" w:sz="4" w:space="0" w:color="auto"/>
              <w:right w:val="single" w:sz="4" w:space="0" w:color="auto"/>
            </w:tcBorders>
          </w:tcPr>
          <w:p w14:paraId="188A9656" w14:textId="77777777" w:rsidR="003545EA" w:rsidRPr="00D77CF3" w:rsidRDefault="003545EA" w:rsidP="001A445B">
            <w:pPr>
              <w:overflowPunct w:val="0"/>
              <w:autoSpaceDE w:val="0"/>
              <w:autoSpaceDN w:val="0"/>
              <w:adjustRightInd w:val="0"/>
              <w:spacing w:before="60" w:after="60"/>
              <w:jc w:val="both"/>
              <w:textAlignment w:val="baseline"/>
              <w:rPr>
                <w:rFonts w:ascii="Arial" w:hAnsi="Arial" w:cs="Arial"/>
                <w:sz w:val="22"/>
                <w:szCs w:val="22"/>
                <w:lang w:val="en-GB"/>
              </w:rPr>
            </w:pPr>
            <w:r w:rsidRPr="00D77CF3">
              <w:rPr>
                <w:rFonts w:ascii="Arial" w:hAnsi="Arial" w:cs="Arial"/>
                <w:sz w:val="22"/>
                <w:szCs w:val="22"/>
                <w:lang w:val="en-GB"/>
              </w:rPr>
              <w:t>The DHB’s progress towards target has not improved from the start of the year and has not significantly progressed towards the target.</w:t>
            </w:r>
          </w:p>
        </w:tc>
      </w:tr>
    </w:tbl>
    <w:p w14:paraId="54BA67C4" w14:textId="798FE0EA" w:rsidR="00F042AD" w:rsidRDefault="00F042AD" w:rsidP="0090388B">
      <w:pPr>
        <w:rPr>
          <w:rFonts w:ascii="Arial" w:hAnsi="Arial" w:cs="Arial"/>
          <w:b/>
          <w:bCs/>
          <w:i/>
          <w:iCs/>
        </w:rPr>
      </w:pPr>
      <w:r>
        <w:br w:type="page"/>
      </w:r>
    </w:p>
    <w:p w14:paraId="638AEB20" w14:textId="77777777" w:rsidR="00B3232A" w:rsidRPr="00B3232A" w:rsidRDefault="00B3232A" w:rsidP="00B3232A">
      <w:pPr>
        <w:rPr>
          <w:rFonts w:ascii="Arial" w:hAnsi="Arial" w:cs="Arial"/>
          <w:b/>
          <w:i/>
          <w:sz w:val="22"/>
          <w:szCs w:val="22"/>
        </w:rPr>
      </w:pPr>
      <w:bookmarkStart w:id="402" w:name="_Toc4588543"/>
      <w:bookmarkStart w:id="403" w:name="_Toc4588686"/>
      <w:bookmarkStart w:id="404" w:name="_Toc9592013"/>
      <w:r w:rsidRPr="00B3232A">
        <w:rPr>
          <w:rFonts w:ascii="Arial" w:hAnsi="Arial" w:cs="Arial"/>
          <w:b/>
          <w:i/>
        </w:rPr>
        <w:lastRenderedPageBreak/>
        <w:t xml:space="preserve">Outcome priority:  We have equity with Maori and other groups </w:t>
      </w:r>
    </w:p>
    <w:p w14:paraId="636B1373" w14:textId="77777777" w:rsidR="00B3232A" w:rsidRPr="00B3232A" w:rsidRDefault="00B3232A" w:rsidP="00B3232A">
      <w:pPr>
        <w:keepNext/>
        <w:spacing w:before="240" w:after="60"/>
        <w:outlineLvl w:val="1"/>
        <w:rPr>
          <w:rFonts w:ascii="Arial" w:hAnsi="Arial" w:cs="Arial"/>
          <w:b/>
          <w:bCs/>
          <w:i/>
          <w:iCs/>
          <w:sz w:val="28"/>
          <w:szCs w:val="28"/>
        </w:rPr>
      </w:pPr>
      <w:bookmarkStart w:id="405" w:name="_Toc9592009"/>
      <w:bookmarkStart w:id="406" w:name="_Toc4588539"/>
      <w:r w:rsidRPr="00B3232A">
        <w:rPr>
          <w:rFonts w:ascii="Arial" w:hAnsi="Arial" w:cs="Arial"/>
          <w:b/>
          <w:bCs/>
          <w:i/>
          <w:iCs/>
          <w:sz w:val="28"/>
          <w:szCs w:val="28"/>
        </w:rPr>
        <w:t>Improving child wellbeing CW12: Youth health initiatives</w:t>
      </w:r>
      <w:bookmarkEnd w:id="405"/>
      <w:bookmarkEnd w:id="406"/>
      <w:r w:rsidRPr="00B3232A">
        <w:rPr>
          <w:rFonts w:ascii="Arial" w:hAnsi="Arial" w:cs="Arial"/>
          <w:b/>
          <w:bCs/>
          <w:i/>
          <w:iCs/>
          <w:sz w:val="28"/>
          <w:szCs w:val="28"/>
        </w:rPr>
        <w:t xml:space="preserve"> </w:t>
      </w:r>
    </w:p>
    <w:p w14:paraId="1DD6010A" w14:textId="77777777" w:rsidR="00B3232A" w:rsidRPr="00B3232A" w:rsidRDefault="00B3232A" w:rsidP="00B3232A">
      <w:pPr>
        <w:rPr>
          <w:i/>
        </w:rPr>
      </w:pP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1"/>
      </w:tblGrid>
      <w:tr w:rsidR="00B3232A" w:rsidRPr="00B3232A" w14:paraId="3874F27A" w14:textId="77777777" w:rsidTr="004B1778">
        <w:tc>
          <w:tcPr>
            <w:tcW w:w="100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F2A371" w14:textId="77777777" w:rsidR="00B3232A" w:rsidRPr="00B3232A" w:rsidRDefault="00B3232A" w:rsidP="00B3232A">
            <w:pPr>
              <w:shd w:val="clear" w:color="auto" w:fill="FFFFFF"/>
              <w:spacing w:before="60" w:after="60"/>
              <w:jc w:val="center"/>
              <w:rPr>
                <w:rFonts w:ascii="Arial" w:hAnsi="Arial" w:cs="Arial"/>
                <w:b/>
                <w:sz w:val="22"/>
                <w:szCs w:val="22"/>
              </w:rPr>
            </w:pPr>
            <w:r w:rsidRPr="00B3232A">
              <w:rPr>
                <w:rFonts w:ascii="Arial" w:hAnsi="Arial" w:cs="Arial"/>
                <w:b/>
                <w:sz w:val="22"/>
                <w:szCs w:val="22"/>
              </w:rPr>
              <w:t>Summary information</w:t>
            </w:r>
          </w:p>
        </w:tc>
      </w:tr>
      <w:tr w:rsidR="00B3232A" w:rsidRPr="00B3232A" w14:paraId="22F046E9" w14:textId="77777777" w:rsidTr="004B1778">
        <w:tc>
          <w:tcPr>
            <w:tcW w:w="2864" w:type="dxa"/>
            <w:tcBorders>
              <w:top w:val="single" w:sz="4" w:space="0" w:color="auto"/>
              <w:left w:val="single" w:sz="4" w:space="0" w:color="auto"/>
              <w:bottom w:val="single" w:sz="4" w:space="0" w:color="auto"/>
              <w:right w:val="single" w:sz="4" w:space="0" w:color="auto"/>
            </w:tcBorders>
            <w:hideMark/>
          </w:tcPr>
          <w:p w14:paraId="798716A5" w14:textId="77777777" w:rsidR="00B3232A" w:rsidRPr="00B3232A" w:rsidRDefault="00B3232A" w:rsidP="00B3232A">
            <w:pPr>
              <w:shd w:val="clear" w:color="auto" w:fill="FFFFFF"/>
              <w:spacing w:before="60" w:after="60"/>
              <w:rPr>
                <w:rFonts w:ascii="Arial" w:hAnsi="Arial" w:cs="Arial"/>
                <w:b/>
                <w:i/>
                <w:sz w:val="22"/>
                <w:szCs w:val="22"/>
              </w:rPr>
            </w:pPr>
            <w:r w:rsidRPr="00B3232A">
              <w:rPr>
                <w:rFonts w:ascii="Arial" w:hAnsi="Arial" w:cs="Arial"/>
                <w:b/>
                <w:i/>
                <w:sz w:val="22"/>
                <w:szCs w:val="22"/>
              </w:rPr>
              <w:t>Target/performance expectation</w:t>
            </w:r>
          </w:p>
        </w:tc>
        <w:tc>
          <w:tcPr>
            <w:tcW w:w="7230" w:type="dxa"/>
            <w:tcBorders>
              <w:top w:val="single" w:sz="4" w:space="0" w:color="auto"/>
              <w:left w:val="single" w:sz="4" w:space="0" w:color="auto"/>
              <w:bottom w:val="single" w:sz="4" w:space="0" w:color="auto"/>
              <w:right w:val="single" w:sz="4" w:space="0" w:color="auto"/>
            </w:tcBorders>
            <w:hideMark/>
          </w:tcPr>
          <w:p w14:paraId="4E7CC076" w14:textId="77777777" w:rsidR="00B3232A" w:rsidRPr="00B3232A" w:rsidRDefault="00B3232A" w:rsidP="00B3232A">
            <w:pPr>
              <w:shd w:val="clear" w:color="auto" w:fill="FFFFFF"/>
              <w:spacing w:before="60" w:after="60"/>
              <w:jc w:val="both"/>
              <w:rPr>
                <w:rFonts w:ascii="Arial" w:hAnsi="Arial" w:cs="Arial"/>
                <w:b/>
                <w:i/>
                <w:sz w:val="22"/>
                <w:szCs w:val="22"/>
              </w:rPr>
            </w:pPr>
            <w:r w:rsidRPr="00B3232A">
              <w:rPr>
                <w:rFonts w:ascii="Arial" w:hAnsi="Arial" w:cs="Arial"/>
                <w:sz w:val="22"/>
                <w:szCs w:val="22"/>
              </w:rPr>
              <w:t>Agreed in DHB Annual Plan</w:t>
            </w:r>
          </w:p>
        </w:tc>
      </w:tr>
      <w:tr w:rsidR="00B3232A" w:rsidRPr="00B3232A" w14:paraId="57B38A58" w14:textId="77777777" w:rsidTr="004B1778">
        <w:trPr>
          <w:trHeight w:val="493"/>
        </w:trPr>
        <w:tc>
          <w:tcPr>
            <w:tcW w:w="2864" w:type="dxa"/>
            <w:tcBorders>
              <w:top w:val="single" w:sz="4" w:space="0" w:color="auto"/>
              <w:left w:val="single" w:sz="4" w:space="0" w:color="auto"/>
              <w:bottom w:val="single" w:sz="4" w:space="0" w:color="auto"/>
              <w:right w:val="single" w:sz="4" w:space="0" w:color="auto"/>
            </w:tcBorders>
            <w:hideMark/>
          </w:tcPr>
          <w:p w14:paraId="76DD1C87" w14:textId="77777777" w:rsidR="00B3232A" w:rsidRPr="00B3232A" w:rsidRDefault="00B3232A" w:rsidP="00B3232A">
            <w:pPr>
              <w:shd w:val="clear" w:color="auto" w:fill="FFFFFF"/>
              <w:spacing w:before="60" w:after="60"/>
              <w:rPr>
                <w:rFonts w:ascii="Arial" w:hAnsi="Arial" w:cs="Arial"/>
                <w:b/>
                <w:i/>
                <w:sz w:val="22"/>
                <w:szCs w:val="22"/>
              </w:rPr>
            </w:pPr>
            <w:r w:rsidRPr="00B3232A">
              <w:rPr>
                <w:rFonts w:ascii="Arial" w:hAnsi="Arial" w:cs="Arial"/>
                <w:b/>
                <w:i/>
                <w:sz w:val="22"/>
                <w:szCs w:val="22"/>
              </w:rPr>
              <w:t>Reporting frequency</w:t>
            </w:r>
          </w:p>
        </w:tc>
        <w:tc>
          <w:tcPr>
            <w:tcW w:w="7230" w:type="dxa"/>
            <w:tcBorders>
              <w:top w:val="single" w:sz="4" w:space="0" w:color="auto"/>
              <w:left w:val="single" w:sz="4" w:space="0" w:color="auto"/>
              <w:bottom w:val="single" w:sz="4" w:space="0" w:color="auto"/>
              <w:right w:val="single" w:sz="4" w:space="0" w:color="auto"/>
            </w:tcBorders>
            <w:hideMark/>
          </w:tcPr>
          <w:p w14:paraId="1B9C569D"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hAnsi="Arial" w:cs="Arial"/>
                <w:sz w:val="22"/>
                <w:szCs w:val="22"/>
              </w:rPr>
              <w:t>Quarterly (some components six monthly)</w:t>
            </w:r>
          </w:p>
        </w:tc>
      </w:tr>
      <w:tr w:rsidR="00B3232A" w:rsidRPr="00B3232A" w14:paraId="4BC07E6B" w14:textId="77777777" w:rsidTr="004B1778">
        <w:tc>
          <w:tcPr>
            <w:tcW w:w="2864" w:type="dxa"/>
            <w:tcBorders>
              <w:top w:val="single" w:sz="4" w:space="0" w:color="auto"/>
              <w:left w:val="single" w:sz="4" w:space="0" w:color="auto"/>
              <w:bottom w:val="single" w:sz="4" w:space="0" w:color="auto"/>
              <w:right w:val="single" w:sz="4" w:space="0" w:color="auto"/>
            </w:tcBorders>
            <w:hideMark/>
          </w:tcPr>
          <w:p w14:paraId="1DCF2C7C" w14:textId="77777777" w:rsidR="00B3232A" w:rsidRPr="00B3232A" w:rsidRDefault="00B3232A" w:rsidP="00B3232A">
            <w:pPr>
              <w:shd w:val="clear" w:color="auto" w:fill="FFFFFF"/>
              <w:spacing w:before="60" w:after="60"/>
              <w:rPr>
                <w:rFonts w:ascii="Arial" w:hAnsi="Arial" w:cs="Arial"/>
                <w:b/>
                <w:i/>
                <w:sz w:val="22"/>
                <w:szCs w:val="22"/>
              </w:rPr>
            </w:pPr>
            <w:r w:rsidRPr="00B3232A">
              <w:rPr>
                <w:rFonts w:ascii="Arial" w:hAnsi="Arial" w:cs="Arial"/>
                <w:b/>
                <w:i/>
                <w:sz w:val="22"/>
                <w:szCs w:val="22"/>
              </w:rPr>
              <w:t>Source information for reporting provided by:</w:t>
            </w:r>
          </w:p>
        </w:tc>
        <w:tc>
          <w:tcPr>
            <w:tcW w:w="7230" w:type="dxa"/>
            <w:tcBorders>
              <w:top w:val="single" w:sz="4" w:space="0" w:color="auto"/>
              <w:left w:val="single" w:sz="4" w:space="0" w:color="auto"/>
              <w:bottom w:val="single" w:sz="4" w:space="0" w:color="auto"/>
              <w:right w:val="single" w:sz="4" w:space="0" w:color="auto"/>
            </w:tcBorders>
            <w:hideMark/>
          </w:tcPr>
          <w:p w14:paraId="2FEA54B5" w14:textId="77777777" w:rsidR="00B3232A" w:rsidRPr="00B3232A" w:rsidRDefault="00B3232A" w:rsidP="00B3232A">
            <w:pPr>
              <w:shd w:val="clear" w:color="auto" w:fill="FFFFFF"/>
              <w:spacing w:before="60" w:after="60"/>
              <w:rPr>
                <w:rFonts w:ascii="Arial" w:hAnsi="Arial" w:cs="Arial"/>
                <w:i/>
                <w:sz w:val="22"/>
                <w:szCs w:val="22"/>
              </w:rPr>
            </w:pPr>
            <w:r w:rsidRPr="00B3232A">
              <w:rPr>
                <w:rFonts w:ascii="Arial" w:hAnsi="Arial" w:cs="Arial"/>
                <w:i/>
                <w:sz w:val="22"/>
                <w:szCs w:val="22"/>
              </w:rPr>
              <w:t>DHBs to provide progress update reports on Youth Service Level Alliances Teams (SLATs), School Based Health Services and Youth Primary Mental Health services</w:t>
            </w:r>
          </w:p>
        </w:tc>
      </w:tr>
      <w:tr w:rsidR="00B3232A" w:rsidRPr="00B3232A" w14:paraId="3C025AFC" w14:textId="77777777" w:rsidTr="004B1778">
        <w:trPr>
          <w:trHeight w:val="2182"/>
        </w:trPr>
        <w:tc>
          <w:tcPr>
            <w:tcW w:w="2864" w:type="dxa"/>
            <w:tcBorders>
              <w:top w:val="single" w:sz="4" w:space="0" w:color="auto"/>
              <w:left w:val="single" w:sz="4" w:space="0" w:color="auto"/>
              <w:bottom w:val="single" w:sz="4" w:space="0" w:color="auto"/>
              <w:right w:val="single" w:sz="4" w:space="0" w:color="auto"/>
            </w:tcBorders>
            <w:hideMark/>
          </w:tcPr>
          <w:p w14:paraId="32BEA078" w14:textId="77777777" w:rsidR="00B3232A" w:rsidRPr="00B3232A" w:rsidRDefault="00B3232A" w:rsidP="00B3232A">
            <w:pPr>
              <w:shd w:val="clear" w:color="auto" w:fill="FFFFFF"/>
              <w:spacing w:before="60" w:after="60"/>
              <w:rPr>
                <w:rFonts w:ascii="Arial" w:hAnsi="Arial" w:cs="Arial"/>
                <w:b/>
                <w:i/>
                <w:sz w:val="22"/>
                <w:szCs w:val="22"/>
              </w:rPr>
            </w:pPr>
            <w:r w:rsidRPr="00B3232A">
              <w:rPr>
                <w:rFonts w:ascii="Arial" w:hAnsi="Arial" w:cs="Arial"/>
                <w:b/>
                <w:i/>
                <w:sz w:val="22"/>
                <w:szCs w:val="22"/>
              </w:rPr>
              <w:t>Quarterly reporting  - standard timeline applies</w:t>
            </w:r>
          </w:p>
        </w:tc>
        <w:tc>
          <w:tcPr>
            <w:tcW w:w="7230" w:type="dxa"/>
            <w:tcBorders>
              <w:top w:val="single" w:sz="4" w:space="0" w:color="auto"/>
              <w:left w:val="single" w:sz="4" w:space="0" w:color="auto"/>
              <w:bottom w:val="single" w:sz="4" w:space="0" w:color="auto"/>
              <w:right w:val="single" w:sz="4" w:space="0" w:color="auto"/>
            </w:tcBorders>
          </w:tcPr>
          <w:p w14:paraId="561EEE04" w14:textId="77777777" w:rsidR="00B3232A" w:rsidRPr="00B3232A" w:rsidRDefault="00B3232A" w:rsidP="00B3232A">
            <w:pPr>
              <w:shd w:val="clear" w:color="auto" w:fill="FFFFFF"/>
              <w:spacing w:before="60" w:after="60"/>
              <w:jc w:val="both"/>
              <w:rPr>
                <w:rFonts w:ascii="Arial" w:hAnsi="Arial" w:cs="Arial"/>
                <w:i/>
                <w:sz w:val="22"/>
                <w:szCs w:val="22"/>
              </w:rPr>
            </w:pPr>
          </w:p>
          <w:tbl>
            <w:tblPr>
              <w:tblW w:w="7110" w:type="dxa"/>
              <w:jc w:val="center"/>
              <w:tblLayout w:type="fixed"/>
              <w:tblLook w:val="04A0" w:firstRow="1" w:lastRow="0" w:firstColumn="1" w:lastColumn="0" w:noHBand="0" w:noVBand="1"/>
            </w:tblPr>
            <w:tblGrid>
              <w:gridCol w:w="3003"/>
              <w:gridCol w:w="4107"/>
            </w:tblGrid>
            <w:tr w:rsidR="00B3232A" w:rsidRPr="00B3232A" w14:paraId="6C80BAD7"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7B9DE1CC"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DHB Reports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2EC40D9"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20th of the month following the end of the quarter</w:t>
                  </w:r>
                </w:p>
              </w:tc>
            </w:tr>
            <w:tr w:rsidR="00B3232A" w:rsidRPr="00B3232A" w14:paraId="0EC9CAF7"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18CCD9B"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1B884C2"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8-10 working days from receiving reports</w:t>
                  </w:r>
                </w:p>
              </w:tc>
            </w:tr>
            <w:tr w:rsidR="00B3232A" w:rsidRPr="00B3232A" w14:paraId="5A2B9B64"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6E7C19F4"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DHB Response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9FC96A2"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5 working days from receiving initial ratings</w:t>
                  </w:r>
                </w:p>
              </w:tc>
            </w:tr>
            <w:tr w:rsidR="00B3232A" w:rsidRPr="00B3232A" w14:paraId="33C6D423"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55F543A9"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D319FA8" w14:textId="77777777" w:rsidR="00B3232A" w:rsidRPr="00B3232A" w:rsidRDefault="00B3232A" w:rsidP="00B3232A">
                  <w:pPr>
                    <w:ind w:left="205" w:hanging="205"/>
                    <w:rPr>
                      <w:rFonts w:ascii="Arial" w:hAnsi="Arial" w:cs="Arial"/>
                      <w:sz w:val="22"/>
                      <w:szCs w:val="22"/>
                    </w:rPr>
                  </w:pPr>
                  <w:r w:rsidRPr="00B3232A">
                    <w:rPr>
                      <w:rFonts w:ascii="Arial" w:hAnsi="Arial" w:cs="Arial"/>
                      <w:sz w:val="22"/>
                      <w:szCs w:val="22"/>
                    </w:rPr>
                    <w:t>4-5 working days from receiving DHB feedback</w:t>
                  </w:r>
                </w:p>
              </w:tc>
            </w:tr>
          </w:tbl>
          <w:p w14:paraId="6DC50FF7" w14:textId="77777777" w:rsidR="00B3232A" w:rsidRPr="00B3232A" w:rsidRDefault="00B3232A" w:rsidP="00B3232A">
            <w:pPr>
              <w:shd w:val="clear" w:color="auto" w:fill="FFFFFF"/>
              <w:spacing w:before="60" w:after="60"/>
              <w:jc w:val="both"/>
              <w:rPr>
                <w:rFonts w:ascii="Arial" w:hAnsi="Arial" w:cs="Arial"/>
                <w:i/>
                <w:sz w:val="22"/>
                <w:szCs w:val="22"/>
              </w:rPr>
            </w:pPr>
          </w:p>
        </w:tc>
      </w:tr>
    </w:tbl>
    <w:p w14:paraId="416950E2" w14:textId="77777777" w:rsidR="00B3232A" w:rsidRPr="00B3232A" w:rsidRDefault="00B3232A" w:rsidP="00B3232A">
      <w:pPr>
        <w:shd w:val="clear" w:color="auto" w:fill="FFFFFF"/>
        <w:spacing w:before="60" w:after="60"/>
        <w:jc w:val="both"/>
        <w:rPr>
          <w:rFonts w:ascii="Arial" w:hAnsi="Arial" w:cs="Arial"/>
          <w:b/>
          <w:i/>
          <w:sz w:val="22"/>
          <w:szCs w:val="22"/>
        </w:rPr>
      </w:pPr>
      <w:r w:rsidRPr="00B3232A">
        <w:rPr>
          <w:rFonts w:ascii="Arial" w:hAnsi="Arial" w:cs="Arial"/>
          <w:b/>
          <w:sz w:val="22"/>
          <w:szCs w:val="22"/>
        </w:rPr>
        <w:t>Link to outcomes and priority areas</w:t>
      </w:r>
    </w:p>
    <w:p w14:paraId="0050D80E" w14:textId="77777777" w:rsidR="00B3232A" w:rsidRPr="00B3232A" w:rsidRDefault="00B3232A" w:rsidP="00B3232A">
      <w:pPr>
        <w:rPr>
          <w:rFonts w:ascii="Arial" w:hAnsi="Arial" w:cs="Arial"/>
          <w:sz w:val="22"/>
          <w:szCs w:val="22"/>
        </w:rPr>
      </w:pPr>
      <w:r w:rsidRPr="00B3232A">
        <w:rPr>
          <w:rFonts w:ascii="Arial" w:hAnsi="Arial" w:cs="Arial"/>
          <w:sz w:val="22"/>
          <w:szCs w:val="22"/>
        </w:rPr>
        <w:t>By delivering youth health initiatives DHBs will support Government's priority to make New Zealand the best place in the world to be a child and our health system outcome that we have equity for Māori and other groups.</w:t>
      </w:r>
    </w:p>
    <w:p w14:paraId="387D3E6B" w14:textId="77777777" w:rsidR="00B3232A" w:rsidRPr="00B3232A" w:rsidRDefault="00B3232A" w:rsidP="00B3232A">
      <w:pPr>
        <w:rPr>
          <w:rFonts w:ascii="Arial" w:hAnsi="Arial" w:cs="Arial"/>
          <w:sz w:val="22"/>
          <w:szCs w:val="22"/>
        </w:rPr>
      </w:pPr>
    </w:p>
    <w:p w14:paraId="37D06497" w14:textId="77777777" w:rsidR="00B3232A" w:rsidRPr="00B3232A" w:rsidRDefault="00B3232A" w:rsidP="00B3232A">
      <w:pPr>
        <w:rPr>
          <w:rFonts w:ascii="Arial" w:eastAsia="Calibri" w:hAnsi="Arial" w:cs="Arial"/>
          <w:color w:val="000000"/>
          <w:sz w:val="22"/>
          <w:szCs w:val="22"/>
          <w:lang w:val="en-GB" w:eastAsia="en-GB"/>
        </w:rPr>
      </w:pPr>
      <w:r w:rsidRPr="00B3232A">
        <w:rPr>
          <w:rFonts w:ascii="Arial" w:hAnsi="Arial" w:cs="Arial"/>
          <w:sz w:val="22"/>
          <w:szCs w:val="22"/>
        </w:rPr>
        <w:t>This measure</w:t>
      </w:r>
      <w:r w:rsidRPr="00B3232A">
        <w:rPr>
          <w:rFonts w:ascii="Arial" w:eastAsia="Calibri" w:hAnsi="Arial" w:cs="Arial"/>
          <w:color w:val="000000"/>
          <w:sz w:val="22"/>
          <w:szCs w:val="22"/>
          <w:lang w:val="en-GB" w:eastAsia="en-GB"/>
        </w:rPr>
        <w:t xml:space="preserve"> reports on three Youth Health focus areas: </w:t>
      </w:r>
    </w:p>
    <w:p w14:paraId="50AFD54A" w14:textId="77777777" w:rsidR="00B3232A" w:rsidRPr="00B3232A" w:rsidRDefault="00B3232A" w:rsidP="00C04FF1">
      <w:pPr>
        <w:numPr>
          <w:ilvl w:val="0"/>
          <w:numId w:val="140"/>
        </w:numPr>
        <w:spacing w:before="120" w:after="120"/>
        <w:contextualSpacing/>
        <w:jc w:val="both"/>
        <w:rPr>
          <w:rFonts w:ascii="Arial" w:eastAsia="Calibri" w:hAnsi="Arial" w:cs="Arial"/>
          <w:b/>
          <w:sz w:val="22"/>
          <w:szCs w:val="22"/>
        </w:rPr>
      </w:pPr>
      <w:r w:rsidRPr="00B3232A">
        <w:rPr>
          <w:rFonts w:ascii="Arial" w:hAnsi="Arial" w:cs="Arial"/>
          <w:sz w:val="22"/>
          <w:szCs w:val="22"/>
        </w:rPr>
        <w:t xml:space="preserve">Youth Service Level Alliance Team (Youth SLAT) to </w:t>
      </w:r>
      <w:r w:rsidRPr="00B3232A">
        <w:rPr>
          <w:rFonts w:ascii="Arial" w:eastAsia="Calibri" w:hAnsi="Arial" w:cs="Arial"/>
          <w:sz w:val="22"/>
          <w:szCs w:val="22"/>
        </w:rPr>
        <w:t xml:space="preserve">improve the responsiveness of primary care to youth </w:t>
      </w:r>
    </w:p>
    <w:p w14:paraId="049648F6" w14:textId="77777777" w:rsidR="00B3232A" w:rsidRPr="00B3232A" w:rsidRDefault="00B3232A" w:rsidP="00C04FF1">
      <w:pPr>
        <w:numPr>
          <w:ilvl w:val="0"/>
          <w:numId w:val="140"/>
        </w:numPr>
        <w:spacing w:before="120" w:after="120"/>
        <w:contextualSpacing/>
        <w:jc w:val="both"/>
        <w:rPr>
          <w:rFonts w:ascii="Arial" w:eastAsia="Calibri" w:hAnsi="Arial" w:cs="Arial"/>
          <w:b/>
          <w:sz w:val="22"/>
          <w:szCs w:val="22"/>
        </w:rPr>
      </w:pPr>
      <w:r w:rsidRPr="00B3232A">
        <w:rPr>
          <w:rFonts w:ascii="Arial" w:eastAsia="Calibri" w:hAnsi="Arial" w:cs="Arial"/>
          <w:sz w:val="22"/>
          <w:szCs w:val="22"/>
        </w:rPr>
        <w:t>School Based Health Services (SBHS) in secondary schools, teen parent units and alternative education facilities</w:t>
      </w:r>
    </w:p>
    <w:p w14:paraId="1479A703" w14:textId="77777777" w:rsidR="00B3232A" w:rsidRPr="00B3232A" w:rsidRDefault="00B3232A" w:rsidP="00C04FF1">
      <w:pPr>
        <w:numPr>
          <w:ilvl w:val="0"/>
          <w:numId w:val="140"/>
        </w:numPr>
        <w:spacing w:before="120" w:after="120"/>
        <w:contextualSpacing/>
        <w:jc w:val="both"/>
        <w:rPr>
          <w:rFonts w:ascii="Arial" w:eastAsia="Calibri" w:hAnsi="Arial" w:cs="Arial"/>
          <w:b/>
          <w:sz w:val="22"/>
          <w:szCs w:val="22"/>
        </w:rPr>
      </w:pPr>
      <w:r w:rsidRPr="00B3232A">
        <w:rPr>
          <w:rFonts w:ascii="Arial" w:eastAsia="Calibri" w:hAnsi="Arial" w:cs="Arial"/>
          <w:sz w:val="22"/>
          <w:szCs w:val="22"/>
        </w:rPr>
        <w:t>Youth Primary Mental Health services (reported under MH04)</w:t>
      </w:r>
    </w:p>
    <w:p w14:paraId="1A08E6EC" w14:textId="77777777" w:rsidR="00B3232A" w:rsidRPr="00B3232A" w:rsidRDefault="00B3232A" w:rsidP="00B3232A">
      <w:pPr>
        <w:spacing w:before="120" w:after="120"/>
        <w:contextualSpacing/>
        <w:jc w:val="both"/>
        <w:rPr>
          <w:rFonts w:ascii="Arial" w:eastAsia="Calibri" w:hAnsi="Arial" w:cs="Arial"/>
          <w:sz w:val="22"/>
          <w:szCs w:val="22"/>
        </w:rPr>
      </w:pPr>
    </w:p>
    <w:p w14:paraId="628FB47D" w14:textId="77777777" w:rsidR="00B3232A" w:rsidRPr="00B3232A" w:rsidRDefault="00B3232A" w:rsidP="00B3232A">
      <w:pPr>
        <w:spacing w:before="120" w:after="120"/>
        <w:jc w:val="both"/>
        <w:rPr>
          <w:rFonts w:ascii="Arial" w:eastAsia="Calibri" w:hAnsi="Arial" w:cs="Arial"/>
          <w:b/>
          <w:sz w:val="22"/>
          <w:szCs w:val="22"/>
        </w:rPr>
      </w:pPr>
      <w:r w:rsidRPr="00B3232A">
        <w:rPr>
          <w:rFonts w:ascii="Arial" w:eastAsia="Calibri" w:hAnsi="Arial" w:cs="Arial"/>
          <w:sz w:val="22"/>
          <w:szCs w:val="22"/>
        </w:rPr>
        <w:t xml:space="preserve">Young people are often unable or reluctant to access primary care and mental health services. Often the services in their local area are geared towards treating adults or people with more acute needs. Young people may require a unique mix of social, developmental and health services, and their family GP may not have sufficient expertise to provide the full range of care needed. Young people can also feel uncomfortable discussing their issues with their usual family GP. To improve youth access to appropriate primary care services, young people need </w:t>
      </w:r>
      <w:r w:rsidRPr="00B3232A">
        <w:rPr>
          <w:rFonts w:ascii="Arial" w:eastAsia="Calibri" w:hAnsi="Arial" w:cs="Arial"/>
          <w:color w:val="000000"/>
          <w:sz w:val="22"/>
          <w:szCs w:val="22"/>
          <w:lang w:val="en-GB" w:eastAsia="en-GB"/>
        </w:rPr>
        <w:t>a range of sustainable youth-friendly health and social services, including:</w:t>
      </w:r>
    </w:p>
    <w:p w14:paraId="3E0C0790"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youth specific services as appropriate for the locality, which may include youth wellness hubs/networks, School Based Health Services or Youth One Stop Shops (YOSS); and</w:t>
      </w:r>
    </w:p>
    <w:p w14:paraId="6E8AE538"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General practice that is responsive to youth</w:t>
      </w:r>
    </w:p>
    <w:p w14:paraId="6188813D" w14:textId="77777777" w:rsidR="00B3232A" w:rsidRPr="00B3232A" w:rsidRDefault="00B3232A" w:rsidP="00B3232A">
      <w:pPr>
        <w:spacing w:before="120" w:after="120"/>
        <w:jc w:val="both"/>
        <w:rPr>
          <w:rFonts w:ascii="Arial" w:eastAsia="Calibri" w:hAnsi="Arial" w:cs="Arial"/>
          <w:sz w:val="22"/>
          <w:szCs w:val="22"/>
        </w:rPr>
      </w:pPr>
      <w:r w:rsidRPr="00B3232A">
        <w:rPr>
          <w:rFonts w:ascii="Arial" w:eastAsia="Calibri" w:hAnsi="Arial" w:cs="Arial"/>
          <w:sz w:val="22"/>
          <w:szCs w:val="22"/>
        </w:rPr>
        <w:t>Responsive primary care, YOSS, Youth Wellness Hubs, and other youth-friendly organisations provide young people with a wide range of services, including mental health services, in a non-judgemental and community-based environment. Youth-friendly services help young people to overcome their reluctance and enable them to open up about their issues. This can lead to significant improvements in their mental health and wellbeing, while assisting with other problems they may be facing.</w:t>
      </w:r>
    </w:p>
    <w:p w14:paraId="4CD2F094" w14:textId="77777777" w:rsidR="00B3232A" w:rsidRPr="00B3232A" w:rsidRDefault="00B3232A" w:rsidP="00B3232A">
      <w:pPr>
        <w:spacing w:before="120" w:after="120"/>
        <w:jc w:val="both"/>
        <w:rPr>
          <w:rFonts w:ascii="Arial" w:eastAsia="Calibri" w:hAnsi="Arial" w:cs="Arial"/>
          <w:sz w:val="22"/>
          <w:szCs w:val="22"/>
        </w:rPr>
      </w:pPr>
      <w:r w:rsidRPr="00B3232A">
        <w:rPr>
          <w:rFonts w:ascii="Arial" w:eastAsia="Calibri" w:hAnsi="Arial" w:cs="Arial"/>
          <w:sz w:val="22"/>
          <w:szCs w:val="22"/>
        </w:rPr>
        <w:t>Changes we would expect to see:</w:t>
      </w:r>
    </w:p>
    <w:p w14:paraId="53643B6D"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 xml:space="preserve">Primary care services that are more responsive to the specific needs of young people </w:t>
      </w:r>
    </w:p>
    <w:p w14:paraId="4748A062"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lastRenderedPageBreak/>
        <w:t>Improved youth access to appropriate services</w:t>
      </w:r>
    </w:p>
    <w:p w14:paraId="483DBCFF"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Improved integration of services for youth</w:t>
      </w:r>
    </w:p>
    <w:p w14:paraId="038863F9" w14:textId="77777777" w:rsidR="00B3232A" w:rsidRPr="00B3232A" w:rsidRDefault="00B3232A" w:rsidP="00C04FF1">
      <w:pPr>
        <w:numPr>
          <w:ilvl w:val="0"/>
          <w:numId w:val="129"/>
        </w:numPr>
        <w:spacing w:before="120" w:after="120" w:line="276" w:lineRule="auto"/>
        <w:ind w:left="357" w:hanging="357"/>
        <w:contextualSpacing/>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Improved sustainability of youth-specific services, such as YOSS.</w:t>
      </w:r>
    </w:p>
    <w:p w14:paraId="226FF910" w14:textId="77777777" w:rsidR="00B3232A" w:rsidRPr="00B3232A" w:rsidRDefault="00B3232A" w:rsidP="00B3232A">
      <w:pPr>
        <w:shd w:val="clear" w:color="auto" w:fill="FFFFFF"/>
        <w:spacing w:before="240" w:after="60"/>
        <w:jc w:val="both"/>
        <w:rPr>
          <w:rFonts w:ascii="Arial" w:hAnsi="Arial" w:cs="Arial"/>
          <w:b/>
          <w:sz w:val="22"/>
          <w:szCs w:val="22"/>
        </w:rPr>
      </w:pPr>
      <w:r w:rsidRPr="00B3232A">
        <w:rPr>
          <w:rFonts w:ascii="Arial" w:hAnsi="Arial" w:cs="Arial"/>
          <w:b/>
          <w:sz w:val="22"/>
          <w:szCs w:val="22"/>
        </w:rPr>
        <w:t>Actions and activities that have a proven impact on this measure:</w:t>
      </w:r>
    </w:p>
    <w:p w14:paraId="3CB297BB"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 xml:space="preserve">DHBs are expected to use the Alliance Leadership Team and Youth SLATs or equivalent to jointly develop DHB Annual Plans for Youth Services. This work should align with and inform the development of the SLM plan. </w:t>
      </w:r>
    </w:p>
    <w:p w14:paraId="2A73AE43"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p>
    <w:p w14:paraId="32F10533"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 xml:space="preserve">Every District Alliance should now have established a group dedicated to young people to implement an integrated approach to improving the health and wellbeing of our youth. The group shall have a mandate to make recommendations to the Alliance Leadership Team on local youth health needs and agreed changes to service provision, while providing oversight on the implementation of actions to improve youth health across the system. These groups are commonly called </w:t>
      </w:r>
      <w:r w:rsidRPr="00B3232A">
        <w:rPr>
          <w:rFonts w:ascii="Arial" w:hAnsi="Arial" w:cs="Arial"/>
          <w:sz w:val="22"/>
          <w:szCs w:val="22"/>
        </w:rPr>
        <w:t>Youth Service Level Alliance Teams (</w:t>
      </w:r>
      <w:r w:rsidRPr="00B3232A">
        <w:rPr>
          <w:rFonts w:ascii="Arial" w:eastAsia="Calibri" w:hAnsi="Arial" w:cs="Arial"/>
          <w:color w:val="000000"/>
          <w:sz w:val="22"/>
          <w:szCs w:val="22"/>
          <w:lang w:val="en-GB" w:eastAsia="en-GB"/>
        </w:rPr>
        <w:t xml:space="preserve">Youth SLATs) and that term is used in CW12 for brevity. Alliances and DHB s may use other arrangements as long as they fulfil the purpose and function. </w:t>
      </w:r>
    </w:p>
    <w:p w14:paraId="63614C98"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p>
    <w:p w14:paraId="26C43F9B"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r w:rsidRPr="00B3232A">
        <w:rPr>
          <w:rFonts w:ascii="Arial" w:eastAsia="Calibri" w:hAnsi="Arial" w:cs="Arial"/>
          <w:color w:val="000000"/>
          <w:sz w:val="22"/>
          <w:szCs w:val="22"/>
          <w:lang w:val="en-GB" w:eastAsia="en-GB"/>
        </w:rPr>
        <w:t>Youth SLATs should include membership from both primary and secondary services, youth specific health services (such as YOSS or SBHS) and other relevant stakeholders (including the education and social sectors) as appropriate. Youth SLATs should identify and include actions for specific groups that may have higher needs or are less likely to access health and other social services (such as Rainbow youth, Māori, Pacific, young people in care, those living in high deprivation communities and NEET</w:t>
      </w:r>
      <w:r w:rsidRPr="00B3232A">
        <w:rPr>
          <w:rFonts w:ascii="Arial" w:eastAsia="Calibri" w:hAnsi="Arial" w:cs="Arial"/>
          <w:color w:val="000000"/>
          <w:sz w:val="22"/>
          <w:szCs w:val="22"/>
          <w:vertAlign w:val="superscript"/>
          <w:lang w:val="en-GB" w:eastAsia="en-GB"/>
        </w:rPr>
        <w:footnoteReference w:id="13"/>
      </w:r>
      <w:r w:rsidRPr="00B3232A">
        <w:rPr>
          <w:rFonts w:ascii="Arial" w:eastAsia="Calibri" w:hAnsi="Arial" w:cs="Arial"/>
          <w:color w:val="000000"/>
          <w:sz w:val="22"/>
          <w:szCs w:val="22"/>
          <w:lang w:val="en-GB" w:eastAsia="en-GB"/>
        </w:rPr>
        <w:t xml:space="preserve"> young people), as well as youth in general. </w:t>
      </w:r>
    </w:p>
    <w:p w14:paraId="51C8F5B9" w14:textId="77777777" w:rsidR="00B3232A" w:rsidRPr="00B3232A" w:rsidRDefault="00B3232A" w:rsidP="00B3232A">
      <w:pPr>
        <w:autoSpaceDE w:val="0"/>
        <w:autoSpaceDN w:val="0"/>
        <w:adjustRightInd w:val="0"/>
        <w:jc w:val="both"/>
        <w:rPr>
          <w:rFonts w:ascii="Arial" w:eastAsia="Calibri" w:hAnsi="Arial" w:cs="Arial"/>
          <w:color w:val="000000"/>
          <w:sz w:val="22"/>
          <w:szCs w:val="22"/>
          <w:lang w:val="en-GB" w:eastAsia="en-GB"/>
        </w:rPr>
      </w:pPr>
    </w:p>
    <w:p w14:paraId="2587A0F0" w14:textId="77777777" w:rsidR="00B3232A" w:rsidRPr="00B3232A" w:rsidRDefault="00B3232A" w:rsidP="00B3232A">
      <w:pPr>
        <w:ind w:left="-5" w:right="221"/>
        <w:rPr>
          <w:rFonts w:ascii="Arial" w:hAnsi="Arial" w:cs="Arial"/>
          <w:sz w:val="22"/>
          <w:szCs w:val="22"/>
        </w:rPr>
      </w:pPr>
      <w:r w:rsidRPr="00B3232A">
        <w:rPr>
          <w:rFonts w:ascii="Arial" w:hAnsi="Arial" w:cs="Arial"/>
          <w:sz w:val="22"/>
          <w:szCs w:val="22"/>
        </w:rPr>
        <w:t xml:space="preserve">The Youth Primary Mental Health Service Evaluation Report describes that in 2015/16 over 9000 HEEADSSS assessments were administered to Year 9 students and students made approximately 110,000 visits to SBHS. The evaluation found that this initiative contributes to improved </w:t>
      </w:r>
      <w:proofErr w:type="gramStart"/>
      <w:r w:rsidRPr="00B3232A">
        <w:rPr>
          <w:rFonts w:ascii="Arial" w:hAnsi="Arial" w:cs="Arial"/>
          <w:sz w:val="22"/>
          <w:szCs w:val="22"/>
        </w:rPr>
        <w:t>short and long term</w:t>
      </w:r>
      <w:proofErr w:type="gramEnd"/>
      <w:r w:rsidRPr="00B3232A">
        <w:rPr>
          <w:rFonts w:ascii="Arial" w:hAnsi="Arial" w:cs="Arial"/>
          <w:sz w:val="22"/>
          <w:szCs w:val="22"/>
        </w:rPr>
        <w:t xml:space="preserve"> outcomes for youth.  The most notable results were in the mental health domain: there was less depression and suicide risk among the students in schools that had higher levels of health services.  </w:t>
      </w:r>
    </w:p>
    <w:p w14:paraId="5F35CBC9" w14:textId="77777777" w:rsidR="00B3232A" w:rsidRPr="00B3232A" w:rsidRDefault="00B3232A" w:rsidP="00B3232A">
      <w:pPr>
        <w:spacing w:after="214"/>
        <w:ind w:left="-5" w:right="221"/>
        <w:rPr>
          <w:rFonts w:ascii="Arial" w:hAnsi="Arial" w:cs="Arial"/>
          <w:sz w:val="22"/>
          <w:szCs w:val="22"/>
        </w:rPr>
      </w:pPr>
      <w:r w:rsidRPr="00B3232A">
        <w:rPr>
          <w:rFonts w:ascii="Arial" w:hAnsi="Arial" w:cs="Arial"/>
          <w:sz w:val="22"/>
          <w:szCs w:val="22"/>
        </w:rPr>
        <w:t>Looking more closely at the</w:t>
      </w:r>
      <w:r w:rsidRPr="00B3232A">
        <w:rPr>
          <w:rFonts w:ascii="Arial" w:hAnsi="Arial" w:cs="Arial"/>
          <w:i/>
          <w:sz w:val="22"/>
          <w:szCs w:val="22"/>
        </w:rPr>
        <w:t xml:space="preserve"> </w:t>
      </w:r>
      <w:r w:rsidRPr="00B3232A">
        <w:rPr>
          <w:rFonts w:ascii="Arial" w:hAnsi="Arial" w:cs="Arial"/>
          <w:sz w:val="22"/>
          <w:szCs w:val="22"/>
        </w:rPr>
        <w:t xml:space="preserve">specific qualities of the school health services that were particularly associated with improved mental health outcomes among the students, there was significantly less depression and suicide risk where: </w:t>
      </w:r>
    </w:p>
    <w:p w14:paraId="2DD7CB7E" w14:textId="77777777" w:rsidR="00B3232A" w:rsidRPr="00B3232A" w:rsidRDefault="00B3232A" w:rsidP="00C04FF1">
      <w:pPr>
        <w:numPr>
          <w:ilvl w:val="0"/>
          <w:numId w:val="143"/>
        </w:numPr>
        <w:spacing w:after="161" w:line="258" w:lineRule="auto"/>
        <w:ind w:right="221"/>
        <w:rPr>
          <w:rFonts w:ascii="Arial" w:hAnsi="Arial" w:cs="Arial"/>
          <w:sz w:val="22"/>
          <w:szCs w:val="22"/>
        </w:rPr>
      </w:pPr>
      <w:r w:rsidRPr="00B3232A">
        <w:rPr>
          <w:rFonts w:ascii="Arial" w:hAnsi="Arial" w:cs="Arial"/>
          <w:sz w:val="22"/>
          <w:szCs w:val="22"/>
        </w:rPr>
        <w:t xml:space="preserve">the school health services had health professionals on site </w:t>
      </w:r>
    </w:p>
    <w:p w14:paraId="4AA662B6" w14:textId="77777777" w:rsidR="00B3232A" w:rsidRPr="00B3232A" w:rsidRDefault="00B3232A" w:rsidP="00C04FF1">
      <w:pPr>
        <w:numPr>
          <w:ilvl w:val="0"/>
          <w:numId w:val="143"/>
        </w:numPr>
        <w:spacing w:after="211" w:line="258" w:lineRule="auto"/>
        <w:ind w:right="221"/>
        <w:rPr>
          <w:rFonts w:ascii="Arial" w:hAnsi="Arial" w:cs="Arial"/>
          <w:sz w:val="22"/>
          <w:szCs w:val="22"/>
        </w:rPr>
      </w:pPr>
      <w:r w:rsidRPr="00B3232A">
        <w:rPr>
          <w:rFonts w:ascii="Arial" w:hAnsi="Arial" w:cs="Arial"/>
          <w:sz w:val="22"/>
          <w:szCs w:val="22"/>
        </w:rPr>
        <w:t xml:space="preserve">the hours of health professional time per week per 100 students was higher (ratio of nurse full time equivalent (FTE) was funded for increase in Budget 19 from 1FTE:750 students to 1FTE:700 students) </w:t>
      </w:r>
    </w:p>
    <w:p w14:paraId="6C25B3F6" w14:textId="77777777" w:rsidR="00B3232A" w:rsidRPr="00B3232A" w:rsidRDefault="00B3232A" w:rsidP="00C04FF1">
      <w:pPr>
        <w:numPr>
          <w:ilvl w:val="0"/>
          <w:numId w:val="143"/>
        </w:numPr>
        <w:spacing w:after="214" w:line="258" w:lineRule="auto"/>
        <w:ind w:right="221"/>
        <w:rPr>
          <w:rFonts w:ascii="Arial" w:hAnsi="Arial" w:cs="Arial"/>
          <w:sz w:val="22"/>
          <w:szCs w:val="22"/>
        </w:rPr>
      </w:pPr>
      <w:r w:rsidRPr="00B3232A">
        <w:rPr>
          <w:rFonts w:ascii="Arial" w:hAnsi="Arial" w:cs="Arial"/>
          <w:sz w:val="22"/>
          <w:szCs w:val="22"/>
        </w:rPr>
        <w:t xml:space="preserve">health professionals were trained in youth health and well supported through professional peer review, and </w:t>
      </w:r>
    </w:p>
    <w:p w14:paraId="7D75C805" w14:textId="77777777" w:rsidR="00B3232A" w:rsidRPr="00B3232A" w:rsidRDefault="00B3232A" w:rsidP="00C04FF1">
      <w:pPr>
        <w:numPr>
          <w:ilvl w:val="0"/>
          <w:numId w:val="143"/>
        </w:numPr>
        <w:spacing w:after="161" w:line="258" w:lineRule="auto"/>
        <w:ind w:right="221"/>
        <w:rPr>
          <w:rFonts w:ascii="Arial" w:hAnsi="Arial" w:cs="Arial"/>
          <w:sz w:val="22"/>
          <w:szCs w:val="22"/>
        </w:rPr>
      </w:pPr>
      <w:r w:rsidRPr="00B3232A">
        <w:rPr>
          <w:rFonts w:ascii="Arial" w:hAnsi="Arial" w:cs="Arial"/>
          <w:sz w:val="22"/>
          <w:szCs w:val="22"/>
        </w:rPr>
        <w:t xml:space="preserve">the health professionals were well integrated with the school and with the local community.  </w:t>
      </w:r>
    </w:p>
    <w:p w14:paraId="2A875823" w14:textId="77777777" w:rsidR="00B3232A" w:rsidRPr="00B3232A" w:rsidRDefault="00B3232A" w:rsidP="00B3232A">
      <w:pPr>
        <w:ind w:left="-5" w:right="221"/>
        <w:rPr>
          <w:rFonts w:ascii="Arial" w:hAnsi="Arial" w:cs="Arial"/>
          <w:sz w:val="22"/>
          <w:szCs w:val="22"/>
        </w:rPr>
      </w:pPr>
      <w:r w:rsidRPr="00B3232A">
        <w:rPr>
          <w:rFonts w:ascii="Arial" w:hAnsi="Arial" w:cs="Arial"/>
          <w:sz w:val="22"/>
          <w:szCs w:val="22"/>
        </w:rPr>
        <w:t xml:space="preserve">There was some evidence of effectiveness of school health services in the domain of sexual and reproductive health: there was better contraceptive use by female students in schools that provided sexual health services and where the health professionals had received training in youth health.  </w:t>
      </w:r>
    </w:p>
    <w:p w14:paraId="254CF4FB" w14:textId="77777777" w:rsidR="00B3232A" w:rsidRPr="00B3232A" w:rsidRDefault="00B3232A" w:rsidP="00B3232A">
      <w:pPr>
        <w:ind w:left="-5" w:right="221"/>
        <w:rPr>
          <w:rFonts w:ascii="Arial" w:hAnsi="Arial" w:cs="Arial"/>
          <w:sz w:val="22"/>
          <w:szCs w:val="22"/>
        </w:rPr>
      </w:pPr>
      <w:r w:rsidRPr="00B3232A">
        <w:rPr>
          <w:rFonts w:ascii="Arial" w:hAnsi="Arial" w:cs="Arial"/>
          <w:sz w:val="22"/>
          <w:szCs w:val="22"/>
        </w:rPr>
        <w:t xml:space="preserve">There were associations between school health services and both reduced use of hospital A &amp; E, and increased levels of private and confidential health care reported by the students. </w:t>
      </w:r>
    </w:p>
    <w:p w14:paraId="145F18DA" w14:textId="77777777" w:rsidR="00B3232A" w:rsidRPr="00B3232A" w:rsidRDefault="00B3232A" w:rsidP="00B3232A">
      <w:pPr>
        <w:ind w:left="-5" w:right="221"/>
        <w:rPr>
          <w:rFonts w:ascii="Arial" w:hAnsi="Arial" w:cs="Arial"/>
          <w:sz w:val="22"/>
          <w:szCs w:val="22"/>
        </w:rPr>
      </w:pPr>
      <w:r w:rsidRPr="00B3232A">
        <w:rPr>
          <w:rFonts w:ascii="Arial" w:hAnsi="Arial" w:cs="Arial"/>
          <w:sz w:val="22"/>
          <w:szCs w:val="22"/>
        </w:rPr>
        <w:t xml:space="preserve">https://www.health.govt.nz/system/files/documents/publications/evaluation-report-youthprimary-mental-health-service-dec16.pdf </w:t>
      </w:r>
    </w:p>
    <w:p w14:paraId="1F492A9B" w14:textId="77777777" w:rsidR="00B3232A" w:rsidRPr="00B3232A" w:rsidRDefault="00B3232A" w:rsidP="00B3232A">
      <w:pPr>
        <w:spacing w:after="211"/>
        <w:ind w:left="-5" w:right="221"/>
        <w:rPr>
          <w:rFonts w:ascii="Arial" w:hAnsi="Arial" w:cs="Arial"/>
          <w:sz w:val="22"/>
          <w:szCs w:val="22"/>
        </w:rPr>
      </w:pPr>
    </w:p>
    <w:p w14:paraId="54F433C1" w14:textId="77777777" w:rsidR="00B3232A" w:rsidRPr="00B3232A" w:rsidRDefault="00B3232A" w:rsidP="00B3232A">
      <w:pPr>
        <w:autoSpaceDE w:val="0"/>
        <w:autoSpaceDN w:val="0"/>
        <w:adjustRightInd w:val="0"/>
        <w:rPr>
          <w:rFonts w:ascii="Arial" w:hAnsi="Arial" w:cs="Arial"/>
          <w:sz w:val="22"/>
          <w:szCs w:val="22"/>
          <w:lang w:eastAsia="en-NZ"/>
        </w:rPr>
      </w:pPr>
    </w:p>
    <w:p w14:paraId="37725CD7" w14:textId="77777777" w:rsidR="00B3232A" w:rsidRPr="00B3232A" w:rsidRDefault="00B3232A" w:rsidP="00B3232A">
      <w:pPr>
        <w:rPr>
          <w:rFonts w:ascii="Arial" w:hAnsi="Arial" w:cs="Arial"/>
          <w:sz w:val="22"/>
          <w:szCs w:val="22"/>
        </w:rPr>
      </w:pPr>
      <w:r w:rsidRPr="00B3232A">
        <w:rPr>
          <w:rFonts w:ascii="Arial" w:hAnsi="Arial" w:cs="Arial"/>
          <w:color w:val="000000"/>
          <w:sz w:val="22"/>
          <w:szCs w:val="22"/>
        </w:rPr>
        <w:t>The Ministry is undertaking a School Based Health Services (SBHS) Enhancement Programme.</w:t>
      </w:r>
      <w:r w:rsidRPr="00B3232A">
        <w:rPr>
          <w:rFonts w:ascii="Arial" w:hAnsi="Arial" w:cs="Arial"/>
          <w:b/>
          <w:bCs/>
          <w:color w:val="000000"/>
          <w:sz w:val="22"/>
          <w:szCs w:val="22"/>
        </w:rPr>
        <w:t> </w:t>
      </w:r>
      <w:r w:rsidRPr="00B3232A">
        <w:rPr>
          <w:rFonts w:ascii="Arial" w:hAnsi="Arial" w:cs="Arial"/>
          <w:color w:val="000000"/>
          <w:sz w:val="22"/>
          <w:szCs w:val="22"/>
        </w:rPr>
        <w:t xml:space="preserve">The work includes developing a clear accountability framework for SBHS with a better reflection of </w:t>
      </w:r>
      <w:proofErr w:type="spellStart"/>
      <w:r w:rsidRPr="00B3232A">
        <w:rPr>
          <w:rFonts w:ascii="Arial" w:hAnsi="Arial" w:cs="Arial"/>
          <w:color w:val="000000"/>
          <w:sz w:val="22"/>
          <w:szCs w:val="22"/>
        </w:rPr>
        <w:t>te</w:t>
      </w:r>
      <w:proofErr w:type="spellEnd"/>
      <w:r w:rsidRPr="00B3232A">
        <w:rPr>
          <w:rFonts w:ascii="Arial" w:hAnsi="Arial" w:cs="Arial"/>
          <w:color w:val="000000"/>
          <w:sz w:val="22"/>
          <w:szCs w:val="22"/>
        </w:rPr>
        <w:t xml:space="preserve"> </w:t>
      </w:r>
      <w:proofErr w:type="spellStart"/>
      <w:r w:rsidRPr="00B3232A">
        <w:rPr>
          <w:rFonts w:ascii="Arial" w:hAnsi="Arial" w:cs="Arial"/>
          <w:color w:val="000000"/>
          <w:sz w:val="22"/>
          <w:szCs w:val="22"/>
        </w:rPr>
        <w:t>Tiriti</w:t>
      </w:r>
      <w:proofErr w:type="spellEnd"/>
      <w:r w:rsidRPr="00B3232A">
        <w:rPr>
          <w:rFonts w:ascii="Arial" w:hAnsi="Arial" w:cs="Arial"/>
          <w:color w:val="000000"/>
          <w:sz w:val="22"/>
          <w:szCs w:val="22"/>
        </w:rPr>
        <w:t xml:space="preserve"> principles and long-term system outcomes and performance measures for SBHS. This will support quality improvement and outcomes evaluation, to build the contribution of SBHS to </w:t>
      </w:r>
      <w:proofErr w:type="spellStart"/>
      <w:r w:rsidRPr="00B3232A">
        <w:rPr>
          <w:rFonts w:ascii="Arial" w:hAnsi="Arial" w:cs="Arial"/>
          <w:color w:val="000000"/>
          <w:sz w:val="22"/>
          <w:szCs w:val="22"/>
        </w:rPr>
        <w:t>rangatahi</w:t>
      </w:r>
      <w:proofErr w:type="spellEnd"/>
      <w:r w:rsidRPr="00B3232A">
        <w:rPr>
          <w:rFonts w:ascii="Arial" w:hAnsi="Arial" w:cs="Arial"/>
          <w:color w:val="000000"/>
          <w:sz w:val="22"/>
          <w:szCs w:val="22"/>
        </w:rPr>
        <w:t xml:space="preserve"> wellbeing and achieving equity. It will also </w:t>
      </w:r>
      <w:r w:rsidRPr="00B3232A">
        <w:rPr>
          <w:rFonts w:ascii="Arial" w:hAnsi="Arial" w:cs="Arial"/>
          <w:sz w:val="22"/>
          <w:szCs w:val="22"/>
        </w:rPr>
        <w:t xml:space="preserve">build the evidence base for investment, </w:t>
      </w:r>
      <w:proofErr w:type="gramStart"/>
      <w:r w:rsidRPr="00B3232A">
        <w:rPr>
          <w:rFonts w:ascii="Arial" w:hAnsi="Arial" w:cs="Arial"/>
          <w:sz w:val="22"/>
          <w:szCs w:val="22"/>
        </w:rPr>
        <w:t>implementation</w:t>
      </w:r>
      <w:proofErr w:type="gramEnd"/>
      <w:r w:rsidRPr="00B3232A">
        <w:rPr>
          <w:rFonts w:ascii="Arial" w:hAnsi="Arial" w:cs="Arial"/>
          <w:sz w:val="22"/>
          <w:szCs w:val="22"/>
        </w:rPr>
        <w:t xml:space="preserve"> and research of SBHS. </w:t>
      </w:r>
    </w:p>
    <w:p w14:paraId="396062E5" w14:textId="77777777" w:rsidR="00B3232A" w:rsidRPr="00B3232A" w:rsidRDefault="00B3232A" w:rsidP="00B3232A">
      <w:pPr>
        <w:autoSpaceDE w:val="0"/>
        <w:autoSpaceDN w:val="0"/>
        <w:adjustRightInd w:val="0"/>
        <w:rPr>
          <w:rFonts w:ascii="Arial" w:eastAsia="Calibri" w:hAnsi="Arial" w:cs="Arial"/>
          <w:color w:val="000000"/>
          <w:sz w:val="22"/>
          <w:szCs w:val="22"/>
          <w:lang w:val="en-GB" w:eastAsia="en-GB"/>
        </w:rPr>
      </w:pPr>
    </w:p>
    <w:p w14:paraId="41BECD46" w14:textId="77777777" w:rsidR="00B3232A" w:rsidRPr="00B3232A" w:rsidRDefault="00B3232A" w:rsidP="00B3232A">
      <w:pPr>
        <w:rPr>
          <w:rFonts w:ascii="Arial" w:hAnsi="Arial" w:cs="Arial"/>
          <w:b/>
          <w:sz w:val="22"/>
          <w:szCs w:val="22"/>
        </w:rPr>
      </w:pPr>
    </w:p>
    <w:p w14:paraId="4FD5C75A" w14:textId="77777777" w:rsidR="00B3232A" w:rsidRPr="00B3232A" w:rsidRDefault="00B3232A" w:rsidP="00B3232A">
      <w:pPr>
        <w:shd w:val="clear" w:color="auto" w:fill="FFFFFF"/>
        <w:spacing w:before="120" w:after="120"/>
        <w:jc w:val="both"/>
        <w:rPr>
          <w:rFonts w:ascii="Arial" w:hAnsi="Arial" w:cs="Arial"/>
          <w:strike/>
          <w:sz w:val="22"/>
          <w:szCs w:val="22"/>
        </w:rPr>
      </w:pPr>
      <w:r w:rsidRPr="00B3232A">
        <w:rPr>
          <w:rFonts w:ascii="Arial" w:hAnsi="Arial" w:cs="Arial"/>
          <w:b/>
          <w:sz w:val="22"/>
          <w:szCs w:val="22"/>
        </w:rPr>
        <w:t>Reporting Requirements</w:t>
      </w:r>
    </w:p>
    <w:p w14:paraId="574DA820" w14:textId="77777777" w:rsidR="00B3232A" w:rsidRPr="00B3232A" w:rsidRDefault="00B3232A" w:rsidP="00C04FF1">
      <w:pPr>
        <w:numPr>
          <w:ilvl w:val="0"/>
          <w:numId w:val="139"/>
        </w:numPr>
        <w:spacing w:before="120" w:after="120"/>
        <w:contextualSpacing/>
        <w:jc w:val="both"/>
        <w:rPr>
          <w:rFonts w:ascii="Arial" w:eastAsia="Calibri" w:hAnsi="Arial" w:cs="Arial"/>
          <w:b/>
          <w:sz w:val="22"/>
          <w:szCs w:val="22"/>
        </w:rPr>
      </w:pPr>
      <w:r w:rsidRPr="00B3232A">
        <w:rPr>
          <w:rFonts w:ascii="Arial" w:eastAsia="Calibri" w:hAnsi="Arial" w:cs="Arial"/>
          <w:sz w:val="22"/>
          <w:szCs w:val="22"/>
        </w:rPr>
        <w:t xml:space="preserve">Youth SLAT to Improve the responsiveness of primary care to youth. </w:t>
      </w:r>
    </w:p>
    <w:p w14:paraId="5937CB0F" w14:textId="77777777" w:rsidR="00B3232A" w:rsidRPr="00B3232A" w:rsidRDefault="00B3232A" w:rsidP="00C04FF1">
      <w:pPr>
        <w:numPr>
          <w:ilvl w:val="1"/>
          <w:numId w:val="139"/>
        </w:numPr>
        <w:spacing w:before="120" w:after="120"/>
        <w:contextualSpacing/>
        <w:jc w:val="both"/>
        <w:rPr>
          <w:rFonts w:ascii="Arial" w:eastAsia="Calibri" w:hAnsi="Arial" w:cs="Arial"/>
          <w:sz w:val="22"/>
          <w:szCs w:val="22"/>
        </w:rPr>
      </w:pPr>
      <w:r w:rsidRPr="00B3232A">
        <w:rPr>
          <w:rFonts w:ascii="Arial" w:eastAsia="Calibri" w:hAnsi="Arial" w:cs="Arial"/>
          <w:sz w:val="22"/>
          <w:szCs w:val="22"/>
        </w:rPr>
        <w:t xml:space="preserve">Describe the actions the Youth SLAT or equivalent has undertaken in the quarter to improve the health of the DHB’s youth population (for the </w:t>
      </w:r>
      <w:proofErr w:type="gramStart"/>
      <w:r w:rsidRPr="00B3232A">
        <w:rPr>
          <w:rFonts w:ascii="Arial" w:eastAsia="Calibri" w:hAnsi="Arial" w:cs="Arial"/>
          <w:sz w:val="22"/>
          <w:szCs w:val="22"/>
        </w:rPr>
        <w:t>12-19 year</w:t>
      </w:r>
      <w:proofErr w:type="gramEnd"/>
      <w:r w:rsidRPr="00B3232A">
        <w:rPr>
          <w:rFonts w:ascii="Arial" w:eastAsia="Calibri" w:hAnsi="Arial" w:cs="Arial"/>
          <w:sz w:val="22"/>
          <w:szCs w:val="22"/>
        </w:rPr>
        <w:t xml:space="preserve"> age group at a minimum) by addressing identified gaps in responsiveness, access, service provision, clinical and financial sustainability for primary and community services for the young people, as per your Youth SLAT(s) work programme, in a quarterly narrative report as per the template provided.</w:t>
      </w:r>
    </w:p>
    <w:p w14:paraId="4C75ECD1" w14:textId="77777777" w:rsidR="00B3232A" w:rsidRPr="00B3232A" w:rsidRDefault="00B3232A" w:rsidP="00C04FF1">
      <w:pPr>
        <w:numPr>
          <w:ilvl w:val="1"/>
          <w:numId w:val="139"/>
        </w:numPr>
        <w:spacing w:before="120" w:after="120"/>
        <w:contextualSpacing/>
        <w:jc w:val="both"/>
        <w:rPr>
          <w:rFonts w:ascii="Arial" w:eastAsia="Calibri" w:hAnsi="Arial" w:cs="Arial"/>
          <w:sz w:val="22"/>
          <w:szCs w:val="22"/>
        </w:rPr>
      </w:pPr>
      <w:r w:rsidRPr="00B3232A">
        <w:rPr>
          <w:rFonts w:ascii="Arial" w:eastAsia="Calibri" w:hAnsi="Arial" w:cs="Arial"/>
          <w:sz w:val="22"/>
          <w:szCs w:val="22"/>
        </w:rPr>
        <w:t xml:space="preserve">Describe the actions undertaken in the quarter to ensure the high performance of the Youth SLAT or equivalent in your local alliancing arrangements, in a quarterly narrative report as per the template provided.  </w:t>
      </w:r>
    </w:p>
    <w:p w14:paraId="630AFD1E" w14:textId="77777777" w:rsidR="00B3232A" w:rsidRPr="00B3232A" w:rsidRDefault="00B3232A" w:rsidP="00B3232A">
      <w:pPr>
        <w:spacing w:before="120" w:after="120"/>
        <w:ind w:left="1440"/>
        <w:contextualSpacing/>
        <w:jc w:val="both"/>
        <w:rPr>
          <w:rFonts w:ascii="Arial" w:eastAsia="Calibri" w:hAnsi="Arial" w:cs="Arial"/>
          <w:sz w:val="22"/>
          <w:szCs w:val="22"/>
        </w:rPr>
      </w:pPr>
    </w:p>
    <w:p w14:paraId="379D5705" w14:textId="77777777" w:rsidR="00B3232A" w:rsidRPr="00B3232A" w:rsidRDefault="00B3232A" w:rsidP="00C04FF1">
      <w:pPr>
        <w:numPr>
          <w:ilvl w:val="0"/>
          <w:numId w:val="139"/>
        </w:numPr>
        <w:spacing w:before="120" w:after="120"/>
        <w:contextualSpacing/>
        <w:jc w:val="both"/>
        <w:rPr>
          <w:rFonts w:ascii="Arial" w:eastAsia="Calibri" w:hAnsi="Arial" w:cs="Arial"/>
          <w:b/>
          <w:sz w:val="22"/>
          <w:szCs w:val="22"/>
        </w:rPr>
      </w:pPr>
      <w:r w:rsidRPr="00B3232A">
        <w:rPr>
          <w:rFonts w:ascii="Arial" w:eastAsia="Calibri" w:hAnsi="Arial" w:cs="Arial"/>
          <w:sz w:val="22"/>
          <w:szCs w:val="22"/>
        </w:rPr>
        <w:t xml:space="preserve">School Based Health Services (SBHS) in decile one to five secondary schools, teen parent units and alternative education facilities. </w:t>
      </w:r>
    </w:p>
    <w:p w14:paraId="2A201C9B" w14:textId="77777777" w:rsidR="00B3232A" w:rsidRPr="00B3232A" w:rsidRDefault="00B3232A" w:rsidP="00C04FF1">
      <w:pPr>
        <w:numPr>
          <w:ilvl w:val="1"/>
          <w:numId w:val="139"/>
        </w:numPr>
        <w:spacing w:before="120" w:after="120"/>
        <w:contextualSpacing/>
        <w:jc w:val="both"/>
        <w:rPr>
          <w:rFonts w:ascii="Arial" w:eastAsia="Calibri" w:hAnsi="Arial" w:cs="Arial"/>
          <w:sz w:val="22"/>
          <w:szCs w:val="22"/>
        </w:rPr>
      </w:pPr>
      <w:r w:rsidRPr="00B3232A">
        <w:rPr>
          <w:rFonts w:ascii="Arial" w:eastAsia="Calibri" w:hAnsi="Arial" w:cs="Arial"/>
          <w:sz w:val="22"/>
          <w:szCs w:val="22"/>
        </w:rPr>
        <w:t xml:space="preserve">Report on SBHS service delivery in a </w:t>
      </w:r>
      <w:proofErr w:type="gramStart"/>
      <w:r w:rsidRPr="00B3232A">
        <w:rPr>
          <w:rFonts w:ascii="Arial" w:eastAsia="Calibri" w:hAnsi="Arial" w:cs="Arial"/>
          <w:sz w:val="22"/>
          <w:szCs w:val="22"/>
        </w:rPr>
        <w:t>six monthly</w:t>
      </w:r>
      <w:proofErr w:type="gramEnd"/>
      <w:r w:rsidRPr="00B3232A">
        <w:rPr>
          <w:rFonts w:ascii="Arial" w:eastAsia="Calibri" w:hAnsi="Arial" w:cs="Arial"/>
          <w:sz w:val="22"/>
          <w:szCs w:val="22"/>
        </w:rPr>
        <w:t xml:space="preserve"> quantitative report in quarters two and four, as per the template provided.  </w:t>
      </w:r>
    </w:p>
    <w:p w14:paraId="2CF62C38" w14:textId="77777777" w:rsidR="00B3232A" w:rsidRPr="00B3232A" w:rsidRDefault="00B3232A" w:rsidP="00B3232A">
      <w:pPr>
        <w:ind w:left="720"/>
        <w:contextualSpacing/>
        <w:rPr>
          <w:rFonts w:ascii="Arial" w:eastAsia="Calibri" w:hAnsi="Arial" w:cs="Arial"/>
          <w:sz w:val="22"/>
          <w:szCs w:val="22"/>
        </w:rPr>
      </w:pPr>
    </w:p>
    <w:p w14:paraId="7B0B25E0" w14:textId="77777777" w:rsidR="00B3232A" w:rsidRPr="00B3232A" w:rsidRDefault="00B3232A" w:rsidP="00C04FF1">
      <w:pPr>
        <w:numPr>
          <w:ilvl w:val="0"/>
          <w:numId w:val="139"/>
        </w:numPr>
        <w:spacing w:before="120" w:after="120"/>
        <w:contextualSpacing/>
        <w:jc w:val="both"/>
        <w:rPr>
          <w:rFonts w:ascii="Arial" w:eastAsia="Calibri" w:hAnsi="Arial" w:cs="Arial"/>
          <w:i/>
          <w:sz w:val="22"/>
          <w:szCs w:val="22"/>
        </w:rPr>
      </w:pPr>
      <w:r w:rsidRPr="00B3232A">
        <w:rPr>
          <w:rFonts w:ascii="Arial" w:eastAsia="Calibri" w:hAnsi="Arial" w:cs="Arial"/>
          <w:i/>
          <w:sz w:val="22"/>
          <w:szCs w:val="22"/>
        </w:rPr>
        <w:t>Youth Primary Mental Health services</w:t>
      </w:r>
    </w:p>
    <w:p w14:paraId="75B8F1CA" w14:textId="77777777" w:rsidR="00B3232A" w:rsidRPr="00B3232A" w:rsidRDefault="00B3232A" w:rsidP="00B3232A">
      <w:pPr>
        <w:autoSpaceDE w:val="0"/>
        <w:autoSpaceDN w:val="0"/>
        <w:adjustRightInd w:val="0"/>
        <w:ind w:firstLine="720"/>
        <w:contextualSpacing/>
        <w:rPr>
          <w:rFonts w:ascii="Arial" w:eastAsiaTheme="minorHAnsi" w:hAnsi="Arial" w:cs="Arial"/>
          <w:color w:val="000000"/>
          <w:sz w:val="22"/>
          <w:szCs w:val="22"/>
        </w:rPr>
      </w:pPr>
      <w:r w:rsidRPr="00B3232A">
        <w:rPr>
          <w:rFonts w:ascii="Arial" w:eastAsiaTheme="minorHAnsi" w:hAnsi="Arial" w:cs="Arial"/>
          <w:color w:val="000000"/>
          <w:sz w:val="22"/>
          <w:szCs w:val="22"/>
        </w:rPr>
        <w:t>The reporting for this focus area is in MH04.</w:t>
      </w:r>
    </w:p>
    <w:p w14:paraId="5320D67B" w14:textId="77777777" w:rsidR="00B3232A" w:rsidRPr="00B3232A" w:rsidRDefault="00B3232A" w:rsidP="00B3232A">
      <w:pPr>
        <w:autoSpaceDE w:val="0"/>
        <w:autoSpaceDN w:val="0"/>
        <w:adjustRightInd w:val="0"/>
        <w:ind w:firstLine="720"/>
        <w:contextualSpacing/>
        <w:rPr>
          <w:rFonts w:ascii="Arial" w:eastAsiaTheme="minorHAnsi" w:hAnsi="Arial" w:cs="Arial"/>
          <w:color w:val="000000"/>
          <w:sz w:val="22"/>
          <w:szCs w:val="22"/>
        </w:rPr>
      </w:pPr>
    </w:p>
    <w:p w14:paraId="2DD10F84"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Reporting period</w:t>
      </w:r>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4007"/>
      </w:tblGrid>
      <w:tr w:rsidR="00B3232A" w:rsidRPr="00B3232A" w14:paraId="3C92A48D" w14:textId="77777777" w:rsidTr="004B1778">
        <w:trPr>
          <w:jc w:val="center"/>
        </w:trPr>
        <w:tc>
          <w:tcPr>
            <w:tcW w:w="22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4D04D5"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 xml:space="preserve">Quarter </w:t>
            </w:r>
          </w:p>
        </w:tc>
        <w:tc>
          <w:tcPr>
            <w:tcW w:w="40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DBF3CF7"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For the time period</w:t>
            </w:r>
          </w:p>
        </w:tc>
      </w:tr>
      <w:tr w:rsidR="00B3232A" w:rsidRPr="00B3232A" w14:paraId="57E19DDD" w14:textId="77777777" w:rsidTr="004B1778">
        <w:trPr>
          <w:jc w:val="center"/>
        </w:trPr>
        <w:tc>
          <w:tcPr>
            <w:tcW w:w="2244" w:type="dxa"/>
            <w:tcBorders>
              <w:top w:val="single" w:sz="4" w:space="0" w:color="auto"/>
              <w:left w:val="single" w:sz="4" w:space="0" w:color="auto"/>
              <w:bottom w:val="single" w:sz="4" w:space="0" w:color="auto"/>
              <w:right w:val="single" w:sz="4" w:space="0" w:color="auto"/>
            </w:tcBorders>
            <w:hideMark/>
          </w:tcPr>
          <w:p w14:paraId="60BF8060"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hAnsi="Arial" w:cs="Arial"/>
                <w:sz w:val="22"/>
                <w:szCs w:val="22"/>
              </w:rPr>
              <w:t xml:space="preserve">1 </w:t>
            </w:r>
          </w:p>
        </w:tc>
        <w:tc>
          <w:tcPr>
            <w:tcW w:w="4007" w:type="dxa"/>
            <w:tcBorders>
              <w:top w:val="single" w:sz="4" w:space="0" w:color="auto"/>
              <w:left w:val="single" w:sz="4" w:space="0" w:color="auto"/>
              <w:bottom w:val="single" w:sz="4" w:space="0" w:color="auto"/>
              <w:right w:val="single" w:sz="4" w:space="0" w:color="auto"/>
            </w:tcBorders>
            <w:hideMark/>
          </w:tcPr>
          <w:p w14:paraId="2DACC3D5"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eastAsia="Calibri" w:hAnsi="Arial" w:cs="Arial"/>
                <w:sz w:val="22"/>
                <w:szCs w:val="22"/>
              </w:rPr>
              <w:t xml:space="preserve">1 July  – 30 September </w:t>
            </w:r>
          </w:p>
        </w:tc>
      </w:tr>
      <w:tr w:rsidR="00B3232A" w:rsidRPr="00B3232A" w14:paraId="7A57ED27" w14:textId="77777777" w:rsidTr="004B1778">
        <w:trPr>
          <w:jc w:val="center"/>
        </w:trPr>
        <w:tc>
          <w:tcPr>
            <w:tcW w:w="2244" w:type="dxa"/>
            <w:tcBorders>
              <w:top w:val="single" w:sz="4" w:space="0" w:color="auto"/>
              <w:left w:val="single" w:sz="4" w:space="0" w:color="auto"/>
              <w:bottom w:val="single" w:sz="4" w:space="0" w:color="auto"/>
              <w:right w:val="single" w:sz="4" w:space="0" w:color="auto"/>
            </w:tcBorders>
            <w:hideMark/>
          </w:tcPr>
          <w:p w14:paraId="05721F2D"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hAnsi="Arial" w:cs="Arial"/>
                <w:sz w:val="22"/>
                <w:szCs w:val="22"/>
              </w:rPr>
              <w:t xml:space="preserve">2 </w:t>
            </w:r>
          </w:p>
        </w:tc>
        <w:tc>
          <w:tcPr>
            <w:tcW w:w="4007" w:type="dxa"/>
            <w:tcBorders>
              <w:top w:val="single" w:sz="4" w:space="0" w:color="auto"/>
              <w:left w:val="single" w:sz="4" w:space="0" w:color="auto"/>
              <w:bottom w:val="single" w:sz="4" w:space="0" w:color="auto"/>
              <w:right w:val="single" w:sz="4" w:space="0" w:color="auto"/>
            </w:tcBorders>
            <w:hideMark/>
          </w:tcPr>
          <w:p w14:paraId="0622A671"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eastAsia="Calibri" w:hAnsi="Arial" w:cs="Arial"/>
                <w:sz w:val="22"/>
                <w:szCs w:val="22"/>
              </w:rPr>
              <w:t xml:space="preserve">1 October  – 31 December </w:t>
            </w:r>
          </w:p>
        </w:tc>
      </w:tr>
      <w:tr w:rsidR="00B3232A" w:rsidRPr="00B3232A" w14:paraId="6CAC2CFB" w14:textId="77777777" w:rsidTr="004B1778">
        <w:trPr>
          <w:jc w:val="center"/>
        </w:trPr>
        <w:tc>
          <w:tcPr>
            <w:tcW w:w="2244" w:type="dxa"/>
            <w:tcBorders>
              <w:top w:val="single" w:sz="4" w:space="0" w:color="auto"/>
              <w:left w:val="single" w:sz="4" w:space="0" w:color="auto"/>
              <w:bottom w:val="single" w:sz="4" w:space="0" w:color="auto"/>
              <w:right w:val="single" w:sz="4" w:space="0" w:color="auto"/>
            </w:tcBorders>
            <w:hideMark/>
          </w:tcPr>
          <w:p w14:paraId="1A31E28A"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hAnsi="Arial" w:cs="Arial"/>
                <w:sz w:val="22"/>
                <w:szCs w:val="22"/>
              </w:rPr>
              <w:t>3</w:t>
            </w:r>
          </w:p>
        </w:tc>
        <w:tc>
          <w:tcPr>
            <w:tcW w:w="4007" w:type="dxa"/>
            <w:tcBorders>
              <w:top w:val="single" w:sz="4" w:space="0" w:color="auto"/>
              <w:left w:val="single" w:sz="4" w:space="0" w:color="auto"/>
              <w:bottom w:val="single" w:sz="4" w:space="0" w:color="auto"/>
              <w:right w:val="single" w:sz="4" w:space="0" w:color="auto"/>
            </w:tcBorders>
            <w:hideMark/>
          </w:tcPr>
          <w:p w14:paraId="06CC74DE"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eastAsia="Calibri" w:hAnsi="Arial" w:cs="Arial"/>
                <w:sz w:val="22"/>
                <w:szCs w:val="22"/>
              </w:rPr>
              <w:t xml:space="preserve">1 January  – 31 March </w:t>
            </w:r>
          </w:p>
        </w:tc>
      </w:tr>
      <w:tr w:rsidR="00B3232A" w:rsidRPr="00B3232A" w14:paraId="7FF825B7" w14:textId="77777777" w:rsidTr="004B1778">
        <w:trPr>
          <w:jc w:val="center"/>
        </w:trPr>
        <w:tc>
          <w:tcPr>
            <w:tcW w:w="2244" w:type="dxa"/>
            <w:tcBorders>
              <w:top w:val="single" w:sz="4" w:space="0" w:color="auto"/>
              <w:left w:val="single" w:sz="4" w:space="0" w:color="auto"/>
              <w:bottom w:val="single" w:sz="4" w:space="0" w:color="auto"/>
              <w:right w:val="single" w:sz="4" w:space="0" w:color="auto"/>
            </w:tcBorders>
            <w:hideMark/>
          </w:tcPr>
          <w:p w14:paraId="24468C33"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hAnsi="Arial" w:cs="Arial"/>
                <w:sz w:val="22"/>
                <w:szCs w:val="22"/>
              </w:rPr>
              <w:t>4</w:t>
            </w:r>
          </w:p>
        </w:tc>
        <w:tc>
          <w:tcPr>
            <w:tcW w:w="4007" w:type="dxa"/>
            <w:tcBorders>
              <w:top w:val="single" w:sz="4" w:space="0" w:color="auto"/>
              <w:left w:val="single" w:sz="4" w:space="0" w:color="auto"/>
              <w:bottom w:val="single" w:sz="4" w:space="0" w:color="auto"/>
              <w:right w:val="single" w:sz="4" w:space="0" w:color="auto"/>
            </w:tcBorders>
            <w:hideMark/>
          </w:tcPr>
          <w:p w14:paraId="417D5379" w14:textId="77777777" w:rsidR="00B3232A" w:rsidRPr="00B3232A" w:rsidRDefault="00B3232A" w:rsidP="00B3232A">
            <w:pPr>
              <w:shd w:val="clear" w:color="auto" w:fill="FFFFFF"/>
              <w:spacing w:before="60" w:after="60"/>
              <w:jc w:val="both"/>
              <w:rPr>
                <w:rFonts w:ascii="Arial" w:hAnsi="Arial" w:cs="Arial"/>
                <w:sz w:val="22"/>
                <w:szCs w:val="22"/>
              </w:rPr>
            </w:pPr>
            <w:r w:rsidRPr="00B3232A">
              <w:rPr>
                <w:rFonts w:ascii="Arial" w:eastAsia="Calibri" w:hAnsi="Arial" w:cs="Arial"/>
                <w:sz w:val="22"/>
                <w:szCs w:val="22"/>
              </w:rPr>
              <w:t xml:space="preserve">1 April 13 – 30 June </w:t>
            </w:r>
          </w:p>
        </w:tc>
      </w:tr>
    </w:tbl>
    <w:p w14:paraId="6DCBD8BC" w14:textId="77777777" w:rsidR="00B3232A" w:rsidRPr="00B3232A" w:rsidRDefault="00B3232A" w:rsidP="00B3232A">
      <w:pPr>
        <w:rPr>
          <w:rFonts w:ascii="Arial" w:hAnsi="Arial" w:cs="Arial"/>
          <w:b/>
          <w:szCs w:val="22"/>
        </w:rPr>
      </w:pPr>
    </w:p>
    <w:p w14:paraId="40469CDB" w14:textId="77777777" w:rsidR="00B3232A" w:rsidRPr="00B3232A" w:rsidRDefault="00B3232A" w:rsidP="00B3232A">
      <w:pPr>
        <w:spacing w:before="60" w:after="60"/>
        <w:jc w:val="both"/>
        <w:rPr>
          <w:rFonts w:ascii="Arial" w:hAnsi="Arial" w:cs="Arial"/>
          <w:b/>
          <w:sz w:val="22"/>
          <w:szCs w:val="22"/>
        </w:rPr>
      </w:pPr>
      <w:r w:rsidRPr="00B3232A">
        <w:rPr>
          <w:rFonts w:ascii="Arial" w:hAnsi="Arial" w:cs="Arial"/>
          <w:b/>
          <w:sz w:val="22"/>
          <w:szCs w:val="22"/>
        </w:rPr>
        <w:t>Expectations</w:t>
      </w:r>
    </w:p>
    <w:p w14:paraId="6FFC616F"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Table 1: Quarter 1 and 3 expectations</w:t>
      </w:r>
    </w:p>
    <w:p w14:paraId="4032E466"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Your rating is based on the combined performance for Focus Areas 1 and 3 (Youth SLAT and mental health)</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79"/>
        <w:gridCol w:w="8"/>
      </w:tblGrid>
      <w:tr w:rsidR="00B3232A" w:rsidRPr="00B3232A" w14:paraId="3C726E91" w14:textId="77777777" w:rsidTr="004B1778">
        <w:trPr>
          <w:trHeight w:val="607"/>
        </w:trPr>
        <w:tc>
          <w:tcPr>
            <w:tcW w:w="2880" w:type="dxa"/>
            <w:shd w:val="clear" w:color="auto" w:fill="C0C0C0"/>
            <w:vAlign w:val="center"/>
          </w:tcPr>
          <w:p w14:paraId="7B70E74E" w14:textId="77777777" w:rsidR="00B3232A" w:rsidRPr="00B3232A" w:rsidRDefault="00B3232A" w:rsidP="00B3232A">
            <w:pPr>
              <w:rPr>
                <w:rFonts w:ascii="Arial" w:hAnsi="Arial" w:cs="Arial"/>
                <w:b/>
                <w:bCs/>
                <w:sz w:val="22"/>
                <w:szCs w:val="22"/>
                <w:lang w:val="en-GB"/>
              </w:rPr>
            </w:pPr>
            <w:r w:rsidRPr="00B3232A">
              <w:rPr>
                <w:rFonts w:ascii="Arial" w:hAnsi="Arial" w:cs="Arial"/>
                <w:b/>
                <w:bCs/>
                <w:sz w:val="22"/>
                <w:szCs w:val="22"/>
                <w:lang w:val="en-GB"/>
              </w:rPr>
              <w:t>Rating</w:t>
            </w:r>
          </w:p>
        </w:tc>
        <w:tc>
          <w:tcPr>
            <w:tcW w:w="6487" w:type="dxa"/>
            <w:gridSpan w:val="2"/>
            <w:shd w:val="clear" w:color="auto" w:fill="C0C0C0"/>
            <w:vAlign w:val="center"/>
          </w:tcPr>
          <w:p w14:paraId="35669BC4" w14:textId="77777777" w:rsidR="00B3232A" w:rsidRPr="00B3232A" w:rsidRDefault="00B3232A" w:rsidP="00B3232A">
            <w:pPr>
              <w:keepNext/>
              <w:autoSpaceDE w:val="0"/>
              <w:outlineLvl w:val="3"/>
              <w:rPr>
                <w:rFonts w:ascii="Arial" w:hAnsi="Arial" w:cs="Arial"/>
                <w:b/>
                <w:bCs/>
                <w:sz w:val="22"/>
                <w:szCs w:val="22"/>
                <w:lang w:val="en-GB"/>
              </w:rPr>
            </w:pPr>
            <w:r w:rsidRPr="00B3232A">
              <w:rPr>
                <w:rFonts w:ascii="Arial" w:hAnsi="Arial" w:cs="Arial"/>
                <w:bCs/>
                <w:sz w:val="22"/>
                <w:szCs w:val="22"/>
                <w:lang w:val="en-GB"/>
              </w:rPr>
              <w:t>0</w:t>
            </w:r>
            <w:r w:rsidRPr="00B3232A">
              <w:rPr>
                <w:rFonts w:ascii="Arial" w:hAnsi="Arial" w:cs="Arial"/>
                <w:b/>
                <w:bCs/>
                <w:sz w:val="22"/>
                <w:szCs w:val="22"/>
                <w:lang w:val="en-GB"/>
              </w:rPr>
              <w:t xml:space="preserve">Criteria </w:t>
            </w:r>
          </w:p>
        </w:tc>
      </w:tr>
      <w:tr w:rsidR="00B3232A" w:rsidRPr="00B3232A" w14:paraId="4FD3C338" w14:textId="77777777" w:rsidTr="004B1778">
        <w:trPr>
          <w:gridAfter w:val="1"/>
          <w:wAfter w:w="8" w:type="dxa"/>
        </w:trPr>
        <w:tc>
          <w:tcPr>
            <w:tcW w:w="2880" w:type="dxa"/>
          </w:tcPr>
          <w:p w14:paraId="0D088BA4" w14:textId="77777777" w:rsidR="00B3232A" w:rsidRPr="00B3232A" w:rsidRDefault="00B3232A" w:rsidP="00B3232A">
            <w:pPr>
              <w:rPr>
                <w:rFonts w:ascii="Arial" w:hAnsi="Arial" w:cs="Arial"/>
                <w:b/>
                <w:bCs/>
                <w:sz w:val="22"/>
                <w:szCs w:val="22"/>
                <w:lang w:val="en-GB"/>
              </w:rPr>
            </w:pPr>
            <w:r w:rsidRPr="00B3232A">
              <w:rPr>
                <w:rFonts w:ascii="Arial" w:hAnsi="Arial" w:cs="Arial"/>
                <w:b/>
                <w:bCs/>
                <w:sz w:val="22"/>
                <w:szCs w:val="22"/>
                <w:lang w:val="en-GB"/>
              </w:rPr>
              <w:t xml:space="preserve">Achieved </w:t>
            </w:r>
            <w:r w:rsidRPr="00B3232A">
              <w:rPr>
                <w:rFonts w:ascii="Arial" w:hAnsi="Arial" w:cs="Arial"/>
                <w:bCs/>
                <w:sz w:val="22"/>
                <w:szCs w:val="22"/>
                <w:lang w:val="en-GB"/>
              </w:rPr>
              <w:t>– given if criteria for both focus area have been met</w:t>
            </w:r>
          </w:p>
        </w:tc>
        <w:tc>
          <w:tcPr>
            <w:tcW w:w="6479" w:type="dxa"/>
          </w:tcPr>
          <w:p w14:paraId="1BE1D9B0" w14:textId="77777777" w:rsidR="00B3232A" w:rsidRPr="00B3232A" w:rsidRDefault="00B3232A" w:rsidP="00B3232A">
            <w:pPr>
              <w:spacing w:after="240"/>
              <w:jc w:val="both"/>
              <w:rPr>
                <w:rFonts w:ascii="Arial" w:hAnsi="Arial" w:cs="Arial"/>
                <w:sz w:val="22"/>
                <w:szCs w:val="22"/>
                <w:lang w:val="en-GB"/>
              </w:rPr>
            </w:pPr>
            <w:r w:rsidRPr="00B3232A">
              <w:rPr>
                <w:rFonts w:ascii="Arial" w:hAnsi="Arial" w:cs="Arial"/>
                <w:b/>
                <w:sz w:val="22"/>
                <w:szCs w:val="22"/>
                <w:lang w:val="en-GB"/>
              </w:rPr>
              <w:t>Focus area 1</w:t>
            </w:r>
            <w:r w:rsidRPr="00B3232A">
              <w:rPr>
                <w:rFonts w:ascii="Arial" w:hAnsi="Arial" w:cs="Arial"/>
                <w:sz w:val="22"/>
                <w:szCs w:val="22"/>
                <w:lang w:val="en-GB"/>
              </w:rPr>
              <w:t xml:space="preserve">: All actions, milestones and measures are on track, or if some actions, </w:t>
            </w:r>
            <w:proofErr w:type="gramStart"/>
            <w:r w:rsidRPr="00B3232A">
              <w:rPr>
                <w:rFonts w:ascii="Arial" w:hAnsi="Arial" w:cs="Arial"/>
                <w:sz w:val="22"/>
                <w:szCs w:val="22"/>
                <w:lang w:val="en-GB"/>
              </w:rPr>
              <w:t>milestones</w:t>
            </w:r>
            <w:proofErr w:type="gramEnd"/>
            <w:r w:rsidRPr="00B3232A">
              <w:rPr>
                <w:rFonts w:ascii="Arial" w:hAnsi="Arial" w:cs="Arial"/>
                <w:sz w:val="22"/>
                <w:szCs w:val="22"/>
                <w:lang w:val="en-GB"/>
              </w:rPr>
              <w:t xml:space="preserve"> and measures are not on track, adequate mitigation strategies are presented.</w:t>
            </w:r>
          </w:p>
          <w:p w14:paraId="4268F6E0" w14:textId="77777777" w:rsidR="00B3232A" w:rsidRPr="00B3232A" w:rsidRDefault="00B3232A" w:rsidP="00B3232A">
            <w:pPr>
              <w:spacing w:after="240"/>
              <w:jc w:val="both"/>
              <w:rPr>
                <w:rFonts w:ascii="Arial" w:hAnsi="Arial" w:cs="Arial"/>
                <w:sz w:val="22"/>
                <w:szCs w:val="22"/>
                <w:lang w:val="en-GB"/>
              </w:rPr>
            </w:pPr>
            <w:r w:rsidRPr="00B3232A">
              <w:rPr>
                <w:rFonts w:ascii="Arial" w:hAnsi="Arial" w:cs="Arial"/>
                <w:b/>
                <w:sz w:val="22"/>
                <w:szCs w:val="22"/>
                <w:lang w:val="en-GB"/>
              </w:rPr>
              <w:t>Focus area 3</w:t>
            </w:r>
            <w:r w:rsidRPr="00B3232A">
              <w:rPr>
                <w:rFonts w:ascii="Arial" w:hAnsi="Arial" w:cs="Arial"/>
                <w:sz w:val="22"/>
                <w:szCs w:val="22"/>
                <w:lang w:val="en-GB"/>
              </w:rPr>
              <w:t>: as per MH04 measure.</w:t>
            </w:r>
          </w:p>
        </w:tc>
      </w:tr>
      <w:tr w:rsidR="00B3232A" w:rsidRPr="00B3232A" w14:paraId="00ED5681" w14:textId="77777777" w:rsidTr="004B1778">
        <w:trPr>
          <w:gridAfter w:val="1"/>
          <w:wAfter w:w="8" w:type="dxa"/>
        </w:trPr>
        <w:tc>
          <w:tcPr>
            <w:tcW w:w="2880" w:type="dxa"/>
          </w:tcPr>
          <w:p w14:paraId="09F51F01" w14:textId="77777777" w:rsidR="00B3232A" w:rsidRPr="00B3232A" w:rsidRDefault="00B3232A" w:rsidP="00B3232A">
            <w:pPr>
              <w:tabs>
                <w:tab w:val="left" w:pos="1932"/>
              </w:tabs>
              <w:spacing w:after="240"/>
              <w:jc w:val="both"/>
              <w:rPr>
                <w:rFonts w:ascii="Arial" w:hAnsi="Arial" w:cs="Arial"/>
                <w:b/>
                <w:bCs/>
                <w:sz w:val="22"/>
                <w:szCs w:val="22"/>
                <w:lang w:val="en-GB"/>
              </w:rPr>
            </w:pPr>
            <w:r w:rsidRPr="00B3232A">
              <w:rPr>
                <w:rFonts w:ascii="Arial" w:hAnsi="Arial" w:cs="Arial"/>
                <w:b/>
                <w:bCs/>
                <w:sz w:val="22"/>
                <w:szCs w:val="22"/>
                <w:lang w:val="en-GB"/>
              </w:rPr>
              <w:lastRenderedPageBreak/>
              <w:t xml:space="preserve">Partial achievement </w:t>
            </w:r>
            <w:r w:rsidRPr="00B3232A">
              <w:rPr>
                <w:rFonts w:ascii="Arial" w:hAnsi="Arial" w:cs="Arial"/>
                <w:bCs/>
                <w:sz w:val="22"/>
                <w:szCs w:val="22"/>
                <w:lang w:val="en-GB"/>
              </w:rPr>
              <w:t>– given if:</w:t>
            </w:r>
          </w:p>
          <w:p w14:paraId="1BB30CCF" w14:textId="77777777" w:rsidR="00B3232A" w:rsidRPr="00B3232A" w:rsidRDefault="00B3232A" w:rsidP="00C04FF1">
            <w:pPr>
              <w:numPr>
                <w:ilvl w:val="0"/>
                <w:numId w:val="141"/>
              </w:numPr>
              <w:tabs>
                <w:tab w:val="left" w:pos="1932"/>
              </w:tabs>
              <w:spacing w:after="240"/>
              <w:contextualSpacing/>
              <w:jc w:val="both"/>
              <w:rPr>
                <w:rFonts w:ascii="Arial" w:hAnsi="Arial" w:cs="Arial"/>
                <w:sz w:val="22"/>
                <w:szCs w:val="22"/>
                <w:lang w:val="en-GB"/>
              </w:rPr>
            </w:pPr>
            <w:r w:rsidRPr="00B3232A">
              <w:rPr>
                <w:rFonts w:ascii="Arial" w:hAnsi="Arial" w:cs="Arial"/>
                <w:sz w:val="22"/>
                <w:szCs w:val="22"/>
                <w:lang w:val="en-GB"/>
              </w:rPr>
              <w:t xml:space="preserve">Achieved in focus area 1 or 3 </w:t>
            </w:r>
            <w:r w:rsidRPr="00B3232A">
              <w:rPr>
                <w:rFonts w:ascii="Arial" w:hAnsi="Arial" w:cs="Arial"/>
                <w:b/>
                <w:sz w:val="22"/>
                <w:szCs w:val="22"/>
                <w:u w:val="single"/>
                <w:lang w:val="en-GB"/>
              </w:rPr>
              <w:t>and</w:t>
            </w:r>
            <w:r w:rsidRPr="00B3232A">
              <w:rPr>
                <w:rFonts w:ascii="Arial" w:hAnsi="Arial" w:cs="Arial"/>
                <w:sz w:val="22"/>
                <w:szCs w:val="22"/>
                <w:lang w:val="en-GB"/>
              </w:rPr>
              <w:t xml:space="preserve"> a Partial Achieved in focus area 1 or 3.</w:t>
            </w:r>
          </w:p>
          <w:p w14:paraId="3EFF1174" w14:textId="77777777" w:rsidR="00B3232A" w:rsidRPr="00B3232A" w:rsidRDefault="00B3232A" w:rsidP="00C04FF1">
            <w:pPr>
              <w:numPr>
                <w:ilvl w:val="0"/>
                <w:numId w:val="141"/>
              </w:numPr>
              <w:tabs>
                <w:tab w:val="left" w:pos="1932"/>
              </w:tabs>
              <w:spacing w:after="240"/>
              <w:contextualSpacing/>
              <w:jc w:val="both"/>
              <w:rPr>
                <w:rFonts w:ascii="Arial" w:hAnsi="Arial" w:cs="Arial"/>
                <w:sz w:val="22"/>
                <w:szCs w:val="22"/>
                <w:lang w:val="en-GB"/>
              </w:rPr>
            </w:pPr>
            <w:r w:rsidRPr="00B3232A">
              <w:rPr>
                <w:rFonts w:ascii="Arial" w:hAnsi="Arial" w:cs="Arial"/>
                <w:sz w:val="22"/>
                <w:szCs w:val="22"/>
                <w:lang w:val="en-GB"/>
              </w:rPr>
              <w:t>Partial Achieved in focus areas 1 and 3.</w:t>
            </w:r>
          </w:p>
          <w:p w14:paraId="5A4D6814" w14:textId="77777777" w:rsidR="00B3232A" w:rsidRPr="00B3232A" w:rsidRDefault="00B3232A" w:rsidP="00B3232A">
            <w:pPr>
              <w:rPr>
                <w:rFonts w:ascii="Arial" w:hAnsi="Arial" w:cs="Arial"/>
                <w:b/>
                <w:bCs/>
                <w:sz w:val="22"/>
                <w:szCs w:val="22"/>
                <w:lang w:val="en-GB"/>
              </w:rPr>
            </w:pPr>
          </w:p>
        </w:tc>
        <w:tc>
          <w:tcPr>
            <w:tcW w:w="6479" w:type="dxa"/>
          </w:tcPr>
          <w:p w14:paraId="669EB868" w14:textId="77777777" w:rsidR="00B3232A" w:rsidRPr="00B3232A" w:rsidRDefault="00B3232A" w:rsidP="00B3232A">
            <w:pPr>
              <w:spacing w:after="240"/>
              <w:jc w:val="both"/>
              <w:rPr>
                <w:rFonts w:ascii="Arial" w:hAnsi="Arial" w:cs="Arial"/>
                <w:sz w:val="22"/>
                <w:szCs w:val="22"/>
                <w:lang w:val="en-GB"/>
              </w:rPr>
            </w:pPr>
            <w:r w:rsidRPr="00B3232A">
              <w:rPr>
                <w:rFonts w:ascii="Arial" w:hAnsi="Arial" w:cs="Arial"/>
                <w:b/>
                <w:sz w:val="22"/>
                <w:szCs w:val="22"/>
                <w:lang w:val="en-GB"/>
              </w:rPr>
              <w:t>Focus area 1</w:t>
            </w:r>
            <w:r w:rsidRPr="00B3232A">
              <w:rPr>
                <w:rFonts w:ascii="Arial" w:hAnsi="Arial" w:cs="Arial"/>
                <w:sz w:val="22"/>
                <w:szCs w:val="22"/>
                <w:lang w:val="en-GB"/>
              </w:rPr>
              <w:t xml:space="preserve">: </w:t>
            </w:r>
          </w:p>
          <w:p w14:paraId="72155242" w14:textId="77777777" w:rsidR="00B3232A" w:rsidRPr="00B3232A" w:rsidRDefault="00B3232A" w:rsidP="00C04FF1">
            <w:pPr>
              <w:numPr>
                <w:ilvl w:val="0"/>
                <w:numId w:val="142"/>
              </w:numPr>
              <w:tabs>
                <w:tab w:val="left" w:pos="431"/>
              </w:tabs>
              <w:spacing w:before="60" w:after="240"/>
              <w:ind w:left="207" w:hanging="142"/>
              <w:contextualSpacing/>
              <w:jc w:val="both"/>
              <w:rPr>
                <w:rFonts w:ascii="Arial" w:hAnsi="Arial" w:cs="Arial"/>
                <w:sz w:val="22"/>
                <w:szCs w:val="22"/>
                <w:lang w:val="en-GB"/>
              </w:rPr>
            </w:pPr>
            <w:r w:rsidRPr="00B3232A">
              <w:rPr>
                <w:rFonts w:ascii="Arial" w:hAnsi="Arial" w:cs="Arial"/>
                <w:sz w:val="22"/>
                <w:szCs w:val="22"/>
                <w:lang w:val="en-GB"/>
              </w:rPr>
              <w:t xml:space="preserve">Reporting template been only partially completed/used resulting in unclear actions, </w:t>
            </w:r>
            <w:proofErr w:type="gramStart"/>
            <w:r w:rsidRPr="00B3232A">
              <w:rPr>
                <w:rFonts w:ascii="Arial" w:hAnsi="Arial" w:cs="Arial"/>
                <w:sz w:val="22"/>
                <w:szCs w:val="22"/>
                <w:lang w:val="en-GB"/>
              </w:rPr>
              <w:t>milestones</w:t>
            </w:r>
            <w:proofErr w:type="gramEnd"/>
            <w:r w:rsidRPr="00B3232A">
              <w:rPr>
                <w:rFonts w:ascii="Arial" w:hAnsi="Arial" w:cs="Arial"/>
                <w:sz w:val="22"/>
                <w:szCs w:val="22"/>
                <w:lang w:val="en-GB"/>
              </w:rPr>
              <w:t xml:space="preserve"> or measures.</w:t>
            </w:r>
          </w:p>
          <w:p w14:paraId="37019E12" w14:textId="77777777" w:rsidR="00B3232A" w:rsidRPr="00B3232A" w:rsidRDefault="00B3232A" w:rsidP="00C04FF1">
            <w:pPr>
              <w:numPr>
                <w:ilvl w:val="0"/>
                <w:numId w:val="142"/>
              </w:numPr>
              <w:tabs>
                <w:tab w:val="left" w:pos="431"/>
              </w:tabs>
              <w:spacing w:before="60" w:after="240"/>
              <w:ind w:left="207" w:hanging="142"/>
              <w:contextualSpacing/>
              <w:jc w:val="both"/>
              <w:rPr>
                <w:rFonts w:ascii="Arial" w:hAnsi="Arial" w:cs="Arial"/>
                <w:sz w:val="22"/>
                <w:szCs w:val="22"/>
                <w:lang w:val="en-GB"/>
              </w:rPr>
            </w:pPr>
            <w:r w:rsidRPr="00B3232A">
              <w:rPr>
                <w:rFonts w:ascii="Arial" w:hAnsi="Arial" w:cs="Arial"/>
                <w:sz w:val="22"/>
                <w:szCs w:val="22"/>
                <w:lang w:val="en-GB"/>
              </w:rPr>
              <w:t>Report template has been completed, but some clarification is required.</w:t>
            </w:r>
          </w:p>
          <w:p w14:paraId="5419E830" w14:textId="77777777" w:rsidR="00B3232A" w:rsidRPr="00B3232A" w:rsidRDefault="00B3232A" w:rsidP="00B3232A">
            <w:pPr>
              <w:tabs>
                <w:tab w:val="left" w:pos="431"/>
              </w:tabs>
              <w:spacing w:before="60" w:after="240"/>
              <w:jc w:val="both"/>
              <w:rPr>
                <w:rFonts w:ascii="Arial" w:hAnsi="Arial" w:cs="Arial"/>
                <w:sz w:val="22"/>
                <w:szCs w:val="22"/>
                <w:lang w:val="en-GB"/>
              </w:rPr>
            </w:pPr>
            <w:r w:rsidRPr="00B3232A">
              <w:rPr>
                <w:rFonts w:ascii="Arial" w:hAnsi="Arial" w:cs="Arial"/>
                <w:b/>
                <w:sz w:val="22"/>
                <w:szCs w:val="22"/>
                <w:lang w:val="en-GB"/>
              </w:rPr>
              <w:t>Focus area 3</w:t>
            </w:r>
            <w:r w:rsidRPr="00B3232A">
              <w:rPr>
                <w:rFonts w:ascii="Arial" w:hAnsi="Arial" w:cs="Arial"/>
                <w:sz w:val="22"/>
                <w:szCs w:val="22"/>
                <w:lang w:val="en-GB"/>
              </w:rPr>
              <w:t>: as per MH04 measure.</w:t>
            </w:r>
          </w:p>
        </w:tc>
      </w:tr>
      <w:tr w:rsidR="00B3232A" w:rsidRPr="00B3232A" w14:paraId="6BE35CDD" w14:textId="77777777" w:rsidTr="004B1778">
        <w:trPr>
          <w:gridAfter w:val="1"/>
          <w:wAfter w:w="8" w:type="dxa"/>
          <w:trHeight w:val="2359"/>
        </w:trPr>
        <w:tc>
          <w:tcPr>
            <w:tcW w:w="2880" w:type="dxa"/>
          </w:tcPr>
          <w:p w14:paraId="2C1C36E8" w14:textId="77777777" w:rsidR="00B3232A" w:rsidRPr="00B3232A" w:rsidRDefault="00B3232A" w:rsidP="00B3232A">
            <w:pPr>
              <w:rPr>
                <w:rFonts w:ascii="Arial" w:hAnsi="Arial" w:cs="Arial"/>
                <w:bCs/>
                <w:color w:val="000000" w:themeColor="text1"/>
                <w:sz w:val="22"/>
                <w:szCs w:val="22"/>
                <w:lang w:val="en-GB"/>
              </w:rPr>
            </w:pPr>
            <w:r w:rsidRPr="00B3232A">
              <w:rPr>
                <w:rFonts w:ascii="Arial" w:hAnsi="Arial" w:cs="Arial"/>
                <w:b/>
                <w:bCs/>
                <w:sz w:val="22"/>
                <w:szCs w:val="22"/>
                <w:lang w:val="en-GB"/>
              </w:rPr>
              <w:t>Not achieved</w:t>
            </w:r>
            <w:r w:rsidRPr="00B3232A">
              <w:rPr>
                <w:rFonts w:ascii="Arial" w:hAnsi="Arial" w:cs="Arial"/>
                <w:b/>
                <w:bCs/>
                <w:color w:val="000000" w:themeColor="text1"/>
                <w:sz w:val="22"/>
                <w:szCs w:val="22"/>
                <w:lang w:val="en-GB"/>
              </w:rPr>
              <w:t xml:space="preserve"> </w:t>
            </w:r>
            <w:r w:rsidRPr="00B3232A">
              <w:rPr>
                <w:rFonts w:ascii="Arial" w:hAnsi="Arial" w:cs="Arial"/>
                <w:bCs/>
                <w:color w:val="000000" w:themeColor="text1"/>
                <w:sz w:val="22"/>
                <w:szCs w:val="22"/>
                <w:lang w:val="en-GB"/>
              </w:rPr>
              <w:t>- given if stated criteria for either focus areas has  been met</w:t>
            </w:r>
          </w:p>
          <w:p w14:paraId="517323EB" w14:textId="77777777" w:rsidR="00B3232A" w:rsidRPr="00B3232A" w:rsidRDefault="00B3232A" w:rsidP="00B3232A">
            <w:pPr>
              <w:rPr>
                <w:rFonts w:ascii="Arial" w:hAnsi="Arial" w:cs="Arial"/>
                <w:b/>
                <w:bCs/>
                <w:sz w:val="22"/>
                <w:szCs w:val="22"/>
                <w:lang w:val="en-GB"/>
              </w:rPr>
            </w:pPr>
            <w:r w:rsidRPr="00B3232A">
              <w:rPr>
                <w:rFonts w:ascii="Arial" w:hAnsi="Arial" w:cs="Arial"/>
                <w:bCs/>
                <w:color w:val="000000" w:themeColor="text1"/>
                <w:sz w:val="22"/>
                <w:szCs w:val="22"/>
                <w:lang w:val="en-GB"/>
              </w:rPr>
              <w:t>– escalation required</w:t>
            </w:r>
          </w:p>
        </w:tc>
        <w:tc>
          <w:tcPr>
            <w:tcW w:w="6479" w:type="dxa"/>
          </w:tcPr>
          <w:p w14:paraId="4935D835" w14:textId="77777777" w:rsidR="00B3232A" w:rsidRPr="00B3232A" w:rsidRDefault="00B3232A" w:rsidP="00B3232A">
            <w:pPr>
              <w:tabs>
                <w:tab w:val="left" w:pos="1932"/>
              </w:tabs>
              <w:spacing w:after="240"/>
              <w:jc w:val="both"/>
              <w:rPr>
                <w:rFonts w:ascii="Arial" w:eastAsia="Calibri" w:hAnsi="Arial" w:cs="Arial"/>
                <w:color w:val="000000"/>
                <w:sz w:val="22"/>
                <w:szCs w:val="22"/>
              </w:rPr>
            </w:pPr>
            <w:r w:rsidRPr="00B3232A">
              <w:rPr>
                <w:rFonts w:ascii="Arial" w:eastAsia="Calibri" w:hAnsi="Arial" w:cs="Arial"/>
                <w:b/>
                <w:color w:val="000000"/>
                <w:sz w:val="22"/>
                <w:szCs w:val="22"/>
              </w:rPr>
              <w:t xml:space="preserve">Focus area 1: </w:t>
            </w:r>
            <w:r w:rsidRPr="00B3232A">
              <w:rPr>
                <w:rFonts w:ascii="Arial" w:eastAsia="Calibri" w:hAnsi="Arial" w:cs="Arial"/>
                <w:color w:val="000000"/>
                <w:sz w:val="22"/>
                <w:szCs w:val="22"/>
              </w:rPr>
              <w:t>Some actions, milestones and measures are not on track and adequate mitigation strategies are not presented or it cannot be confirmed that data or a report has been provided.</w:t>
            </w:r>
          </w:p>
          <w:p w14:paraId="31B445B7" w14:textId="77777777" w:rsidR="00B3232A" w:rsidRPr="00B3232A" w:rsidRDefault="00B3232A" w:rsidP="00B3232A">
            <w:pPr>
              <w:tabs>
                <w:tab w:val="left" w:pos="1932"/>
              </w:tabs>
              <w:spacing w:after="240"/>
              <w:jc w:val="both"/>
              <w:rPr>
                <w:rFonts w:ascii="Arial" w:eastAsia="Calibri" w:hAnsi="Arial" w:cs="Arial"/>
                <w:color w:val="000000"/>
                <w:sz w:val="22"/>
                <w:szCs w:val="22"/>
              </w:rPr>
            </w:pPr>
            <w:r w:rsidRPr="00B3232A">
              <w:rPr>
                <w:rFonts w:ascii="Arial" w:eastAsia="Calibri" w:hAnsi="Arial" w:cs="Arial"/>
                <w:b/>
                <w:color w:val="000000"/>
                <w:sz w:val="22"/>
                <w:szCs w:val="22"/>
              </w:rPr>
              <w:t>Focus area 3:</w:t>
            </w:r>
            <w:r w:rsidRPr="00B3232A">
              <w:rPr>
                <w:rFonts w:ascii="Arial" w:eastAsia="Calibri" w:hAnsi="Arial" w:cs="Arial"/>
                <w:color w:val="000000"/>
                <w:sz w:val="22"/>
                <w:szCs w:val="22"/>
              </w:rPr>
              <w:t xml:space="preserve"> as per MH04 measure.</w:t>
            </w:r>
          </w:p>
        </w:tc>
      </w:tr>
    </w:tbl>
    <w:p w14:paraId="0C6E6CE5"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Table 2: Quarter 2 and 4 expectations</w:t>
      </w:r>
    </w:p>
    <w:p w14:paraId="0354422B" w14:textId="77777777" w:rsidR="00B3232A" w:rsidRPr="00B3232A" w:rsidRDefault="00B3232A" w:rsidP="00B3232A">
      <w:pPr>
        <w:shd w:val="clear" w:color="auto" w:fill="FFFFFF"/>
        <w:spacing w:before="60" w:after="60"/>
        <w:jc w:val="both"/>
        <w:rPr>
          <w:rFonts w:ascii="Arial" w:hAnsi="Arial" w:cs="Arial"/>
          <w:b/>
          <w:sz w:val="22"/>
          <w:szCs w:val="22"/>
        </w:rPr>
      </w:pPr>
      <w:r w:rsidRPr="00B3232A">
        <w:rPr>
          <w:rFonts w:ascii="Arial" w:hAnsi="Arial" w:cs="Arial"/>
          <w:b/>
          <w:sz w:val="22"/>
          <w:szCs w:val="22"/>
        </w:rPr>
        <w:t>Your rating is based on the combined performance for Focus Areas 1, 2 and 3 (Youth SLAT, SBHS and mental health)</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79"/>
        <w:gridCol w:w="8"/>
      </w:tblGrid>
      <w:tr w:rsidR="00B3232A" w:rsidRPr="00B3232A" w14:paraId="4C3F71FF" w14:textId="77777777" w:rsidTr="004B1778">
        <w:trPr>
          <w:trHeight w:val="607"/>
        </w:trPr>
        <w:tc>
          <w:tcPr>
            <w:tcW w:w="2880" w:type="dxa"/>
            <w:shd w:val="clear" w:color="auto" w:fill="C0C0C0"/>
            <w:vAlign w:val="center"/>
          </w:tcPr>
          <w:p w14:paraId="527B2F35" w14:textId="77777777" w:rsidR="00B3232A" w:rsidRPr="00B3232A" w:rsidRDefault="00B3232A" w:rsidP="00B3232A">
            <w:pPr>
              <w:rPr>
                <w:rFonts w:ascii="Calibri" w:hAnsi="Calibri" w:cs="Arial"/>
                <w:b/>
                <w:bCs/>
                <w:lang w:val="en-GB"/>
              </w:rPr>
            </w:pPr>
            <w:r w:rsidRPr="00B3232A">
              <w:rPr>
                <w:rFonts w:ascii="Calibri" w:hAnsi="Calibri" w:cs="Arial"/>
                <w:b/>
                <w:bCs/>
                <w:lang w:val="en-GB"/>
              </w:rPr>
              <w:t>Rating</w:t>
            </w:r>
          </w:p>
        </w:tc>
        <w:tc>
          <w:tcPr>
            <w:tcW w:w="6487" w:type="dxa"/>
            <w:gridSpan w:val="2"/>
            <w:shd w:val="clear" w:color="auto" w:fill="C0C0C0"/>
            <w:vAlign w:val="center"/>
          </w:tcPr>
          <w:p w14:paraId="5ACED7F3" w14:textId="77777777" w:rsidR="00B3232A" w:rsidRPr="00B3232A" w:rsidRDefault="00B3232A" w:rsidP="00B3232A">
            <w:pPr>
              <w:keepNext/>
              <w:autoSpaceDE w:val="0"/>
              <w:outlineLvl w:val="3"/>
              <w:rPr>
                <w:rFonts w:ascii="Calibri" w:hAnsi="Calibri" w:cs="Arial"/>
                <w:b/>
                <w:bCs/>
                <w:lang w:val="en-GB"/>
              </w:rPr>
            </w:pPr>
            <w:r w:rsidRPr="00B3232A">
              <w:rPr>
                <w:rFonts w:ascii="ZWAdobeF" w:hAnsi="ZWAdobeF" w:cs="ZWAdobeF"/>
                <w:bCs/>
                <w:sz w:val="2"/>
                <w:szCs w:val="2"/>
                <w:lang w:val="en-GB"/>
              </w:rPr>
              <w:t>0</w:t>
            </w:r>
            <w:r w:rsidRPr="00B3232A">
              <w:rPr>
                <w:rFonts w:ascii="Calibri" w:hAnsi="Calibri" w:cs="Arial"/>
                <w:b/>
                <w:bCs/>
                <w:lang w:val="en-GB"/>
              </w:rPr>
              <w:t xml:space="preserve">Criteria </w:t>
            </w:r>
          </w:p>
        </w:tc>
      </w:tr>
      <w:tr w:rsidR="00B3232A" w:rsidRPr="00B3232A" w14:paraId="164ED91A" w14:textId="77777777" w:rsidTr="004B1778">
        <w:trPr>
          <w:gridAfter w:val="1"/>
          <w:wAfter w:w="8" w:type="dxa"/>
        </w:trPr>
        <w:tc>
          <w:tcPr>
            <w:tcW w:w="2880" w:type="dxa"/>
          </w:tcPr>
          <w:p w14:paraId="390532FB" w14:textId="77777777" w:rsidR="00B3232A" w:rsidRPr="00B3232A" w:rsidRDefault="00B3232A" w:rsidP="00B3232A">
            <w:pPr>
              <w:rPr>
                <w:rFonts w:ascii="Arial" w:hAnsi="Arial" w:cs="Arial"/>
                <w:b/>
                <w:bCs/>
                <w:sz w:val="22"/>
                <w:szCs w:val="22"/>
                <w:lang w:val="en-GB"/>
              </w:rPr>
            </w:pPr>
            <w:r w:rsidRPr="00B3232A">
              <w:rPr>
                <w:rFonts w:ascii="Arial" w:hAnsi="Arial" w:cs="Arial"/>
                <w:b/>
                <w:bCs/>
                <w:sz w:val="22"/>
                <w:szCs w:val="22"/>
                <w:lang w:val="en-GB"/>
              </w:rPr>
              <w:t xml:space="preserve">Achieved- </w:t>
            </w:r>
            <w:r w:rsidRPr="00B3232A">
              <w:rPr>
                <w:rFonts w:ascii="Arial" w:hAnsi="Arial" w:cs="Arial"/>
                <w:bCs/>
                <w:sz w:val="22"/>
                <w:szCs w:val="22"/>
                <w:lang w:val="en-GB"/>
              </w:rPr>
              <w:t>given if criteria for the three focus areas have been met</w:t>
            </w:r>
          </w:p>
        </w:tc>
        <w:tc>
          <w:tcPr>
            <w:tcW w:w="6479" w:type="dxa"/>
          </w:tcPr>
          <w:p w14:paraId="17819DE1" w14:textId="77777777" w:rsidR="00B3232A" w:rsidRPr="00B3232A" w:rsidRDefault="00B3232A" w:rsidP="00B3232A">
            <w:pPr>
              <w:spacing w:after="240"/>
              <w:jc w:val="both"/>
              <w:rPr>
                <w:rFonts w:ascii="Arial" w:hAnsi="Arial" w:cs="Arial"/>
                <w:color w:val="000000" w:themeColor="text1"/>
                <w:sz w:val="22"/>
                <w:szCs w:val="22"/>
                <w:lang w:val="en-GB"/>
              </w:rPr>
            </w:pPr>
            <w:r w:rsidRPr="00B3232A">
              <w:rPr>
                <w:rFonts w:ascii="Arial" w:hAnsi="Arial" w:cs="Arial"/>
                <w:b/>
                <w:sz w:val="22"/>
                <w:szCs w:val="22"/>
                <w:lang w:val="en-GB"/>
              </w:rPr>
              <w:t>Focus area 1</w:t>
            </w:r>
            <w:r w:rsidRPr="00B3232A">
              <w:rPr>
                <w:rFonts w:ascii="Arial" w:hAnsi="Arial" w:cs="Arial"/>
                <w:sz w:val="22"/>
                <w:szCs w:val="22"/>
                <w:lang w:val="en-GB"/>
              </w:rPr>
              <w:t xml:space="preserve">: All actions, milestones and measures are on track, or if some actions, </w:t>
            </w:r>
            <w:proofErr w:type="gramStart"/>
            <w:r w:rsidRPr="00B3232A">
              <w:rPr>
                <w:rFonts w:ascii="Arial" w:hAnsi="Arial" w:cs="Arial"/>
                <w:sz w:val="22"/>
                <w:szCs w:val="22"/>
                <w:lang w:val="en-GB"/>
              </w:rPr>
              <w:t>milestones</w:t>
            </w:r>
            <w:proofErr w:type="gramEnd"/>
            <w:r w:rsidRPr="00B3232A">
              <w:rPr>
                <w:rFonts w:ascii="Arial" w:hAnsi="Arial" w:cs="Arial"/>
                <w:sz w:val="22"/>
                <w:szCs w:val="22"/>
                <w:lang w:val="en-GB"/>
              </w:rPr>
              <w:t xml:space="preserve"> and measures are not on track, adequate mitigation </w:t>
            </w:r>
            <w:r w:rsidRPr="00B3232A">
              <w:rPr>
                <w:rFonts w:ascii="Arial" w:hAnsi="Arial" w:cs="Arial"/>
                <w:color w:val="000000" w:themeColor="text1"/>
                <w:sz w:val="22"/>
                <w:szCs w:val="22"/>
                <w:lang w:val="en-GB"/>
              </w:rPr>
              <w:t>strategies are presented.</w:t>
            </w:r>
          </w:p>
          <w:p w14:paraId="62927A48" w14:textId="77777777" w:rsidR="00B3232A" w:rsidRPr="00B3232A" w:rsidRDefault="00B3232A" w:rsidP="00B3232A">
            <w:pPr>
              <w:spacing w:after="240"/>
              <w:jc w:val="both"/>
              <w:rPr>
                <w:rFonts w:ascii="Arial" w:hAnsi="Arial" w:cs="Arial"/>
                <w:color w:val="000000" w:themeColor="text1"/>
                <w:sz w:val="22"/>
                <w:szCs w:val="22"/>
                <w:lang w:val="en-GB"/>
              </w:rPr>
            </w:pPr>
            <w:r w:rsidRPr="00B3232A">
              <w:rPr>
                <w:rFonts w:ascii="Arial" w:hAnsi="Arial" w:cs="Arial"/>
                <w:b/>
                <w:color w:val="000000" w:themeColor="text1"/>
                <w:sz w:val="22"/>
                <w:szCs w:val="22"/>
                <w:lang w:val="en-GB"/>
              </w:rPr>
              <w:t xml:space="preserve">Focus area 2: </w:t>
            </w:r>
            <w:r w:rsidRPr="00B3232A">
              <w:rPr>
                <w:rFonts w:ascii="Arial" w:hAnsi="Arial" w:cs="Arial"/>
                <w:color w:val="000000" w:themeColor="text1"/>
                <w:sz w:val="22"/>
                <w:szCs w:val="22"/>
                <w:lang w:val="en-GB"/>
              </w:rPr>
              <w:t>SBHS reporting template has been submitted with no significant SBHS delivery gaps and no need for further clarification or detail.</w:t>
            </w:r>
          </w:p>
          <w:p w14:paraId="286A092E" w14:textId="77777777" w:rsidR="00B3232A" w:rsidRPr="00B3232A" w:rsidRDefault="00B3232A" w:rsidP="00B3232A">
            <w:pPr>
              <w:spacing w:after="240"/>
              <w:jc w:val="both"/>
              <w:rPr>
                <w:rFonts w:ascii="Arial" w:hAnsi="Arial" w:cs="Arial"/>
                <w:b/>
                <w:color w:val="FF0000"/>
                <w:sz w:val="22"/>
                <w:szCs w:val="22"/>
                <w:lang w:val="en-GB"/>
              </w:rPr>
            </w:pPr>
          </w:p>
          <w:p w14:paraId="06EEE834" w14:textId="77777777" w:rsidR="00B3232A" w:rsidRPr="00B3232A" w:rsidRDefault="00B3232A" w:rsidP="00B3232A">
            <w:pPr>
              <w:spacing w:after="240"/>
              <w:jc w:val="both"/>
              <w:rPr>
                <w:rFonts w:ascii="Arial" w:hAnsi="Arial" w:cs="Arial"/>
                <w:sz w:val="22"/>
                <w:szCs w:val="22"/>
                <w:lang w:val="en-GB"/>
              </w:rPr>
            </w:pPr>
            <w:r w:rsidRPr="00B3232A">
              <w:rPr>
                <w:rFonts w:ascii="Arial" w:hAnsi="Arial" w:cs="Arial"/>
                <w:b/>
                <w:sz w:val="22"/>
                <w:szCs w:val="22"/>
                <w:lang w:val="en-GB"/>
              </w:rPr>
              <w:t>Focus area 3</w:t>
            </w:r>
            <w:r w:rsidRPr="00B3232A">
              <w:rPr>
                <w:rFonts w:ascii="Arial" w:hAnsi="Arial" w:cs="Arial"/>
                <w:sz w:val="22"/>
                <w:szCs w:val="22"/>
                <w:lang w:val="en-GB"/>
              </w:rPr>
              <w:t>: as per MH04 measure.</w:t>
            </w:r>
          </w:p>
        </w:tc>
      </w:tr>
      <w:tr w:rsidR="00B3232A" w:rsidRPr="00B3232A" w14:paraId="0E8E1631" w14:textId="77777777" w:rsidTr="004B1778">
        <w:trPr>
          <w:gridAfter w:val="1"/>
          <w:wAfter w:w="8" w:type="dxa"/>
        </w:trPr>
        <w:tc>
          <w:tcPr>
            <w:tcW w:w="2880" w:type="dxa"/>
          </w:tcPr>
          <w:p w14:paraId="69EB757D" w14:textId="77777777" w:rsidR="00B3232A" w:rsidRPr="00B3232A" w:rsidRDefault="00B3232A" w:rsidP="00B3232A">
            <w:pPr>
              <w:rPr>
                <w:rFonts w:ascii="Arial" w:hAnsi="Arial" w:cs="Arial"/>
                <w:b/>
                <w:bCs/>
                <w:color w:val="000000" w:themeColor="text1"/>
                <w:sz w:val="22"/>
                <w:szCs w:val="22"/>
                <w:lang w:val="en-GB"/>
              </w:rPr>
            </w:pPr>
            <w:r w:rsidRPr="00B3232A">
              <w:rPr>
                <w:rFonts w:ascii="Arial" w:hAnsi="Arial" w:cs="Arial"/>
                <w:b/>
                <w:bCs/>
                <w:sz w:val="22"/>
                <w:szCs w:val="22"/>
                <w:lang w:val="en-GB"/>
              </w:rPr>
              <w:t xml:space="preserve">Partial achievement </w:t>
            </w:r>
            <w:r w:rsidRPr="00B3232A">
              <w:rPr>
                <w:rFonts w:ascii="Arial" w:hAnsi="Arial" w:cs="Arial"/>
                <w:b/>
                <w:bCs/>
                <w:color w:val="000000" w:themeColor="text1"/>
                <w:sz w:val="22"/>
                <w:szCs w:val="22"/>
                <w:lang w:val="en-GB"/>
              </w:rPr>
              <w:t xml:space="preserve">- </w:t>
            </w:r>
            <w:r w:rsidRPr="00B3232A">
              <w:rPr>
                <w:rFonts w:ascii="Arial" w:hAnsi="Arial" w:cs="Arial"/>
                <w:bCs/>
                <w:color w:val="000000" w:themeColor="text1"/>
                <w:sz w:val="22"/>
                <w:szCs w:val="22"/>
                <w:lang w:val="en-GB"/>
              </w:rPr>
              <w:t>given if:</w:t>
            </w:r>
          </w:p>
          <w:p w14:paraId="09071B59" w14:textId="77777777" w:rsidR="00B3232A" w:rsidRPr="00B3232A" w:rsidRDefault="00B3232A" w:rsidP="00C04FF1">
            <w:pPr>
              <w:numPr>
                <w:ilvl w:val="0"/>
                <w:numId w:val="141"/>
              </w:numPr>
              <w:tabs>
                <w:tab w:val="left" w:pos="1932"/>
              </w:tabs>
              <w:spacing w:after="240"/>
              <w:contextualSpacing/>
              <w:jc w:val="both"/>
              <w:rPr>
                <w:rFonts w:ascii="Arial" w:hAnsi="Arial" w:cs="Arial"/>
                <w:color w:val="000000" w:themeColor="text1"/>
                <w:sz w:val="22"/>
                <w:szCs w:val="22"/>
                <w:lang w:val="en-GB"/>
              </w:rPr>
            </w:pPr>
            <w:r w:rsidRPr="00B3232A">
              <w:rPr>
                <w:rFonts w:ascii="Arial" w:hAnsi="Arial" w:cs="Arial"/>
                <w:color w:val="000000" w:themeColor="text1"/>
                <w:sz w:val="22"/>
                <w:szCs w:val="22"/>
                <w:lang w:val="en-GB"/>
              </w:rPr>
              <w:t xml:space="preserve">Achieved in focus area 1, 2 and/or 3 </w:t>
            </w:r>
            <w:r w:rsidRPr="00B3232A">
              <w:rPr>
                <w:rFonts w:ascii="Arial" w:hAnsi="Arial" w:cs="Arial"/>
                <w:b/>
                <w:color w:val="000000" w:themeColor="text1"/>
                <w:sz w:val="22"/>
                <w:szCs w:val="22"/>
                <w:u w:val="single"/>
                <w:lang w:val="en-GB"/>
              </w:rPr>
              <w:t>and</w:t>
            </w:r>
            <w:r w:rsidRPr="00B3232A">
              <w:rPr>
                <w:rFonts w:ascii="Arial" w:hAnsi="Arial" w:cs="Arial"/>
                <w:color w:val="000000" w:themeColor="text1"/>
                <w:sz w:val="22"/>
                <w:szCs w:val="22"/>
                <w:lang w:val="en-GB"/>
              </w:rPr>
              <w:t xml:space="preserve"> a Partial Achieved in focus area 1, 2 and/or 3.</w:t>
            </w:r>
          </w:p>
          <w:p w14:paraId="70B0DE20" w14:textId="77777777" w:rsidR="00B3232A" w:rsidRPr="00B3232A" w:rsidRDefault="00B3232A" w:rsidP="00C04FF1">
            <w:pPr>
              <w:numPr>
                <w:ilvl w:val="0"/>
                <w:numId w:val="141"/>
              </w:numPr>
              <w:tabs>
                <w:tab w:val="left" w:pos="1932"/>
              </w:tabs>
              <w:spacing w:after="240"/>
              <w:contextualSpacing/>
              <w:jc w:val="both"/>
              <w:rPr>
                <w:rFonts w:ascii="Arial" w:hAnsi="Arial" w:cs="Arial"/>
                <w:sz w:val="22"/>
                <w:szCs w:val="22"/>
                <w:lang w:val="en-GB"/>
              </w:rPr>
            </w:pPr>
            <w:r w:rsidRPr="00B3232A">
              <w:rPr>
                <w:rFonts w:ascii="Arial" w:hAnsi="Arial" w:cs="Arial"/>
                <w:color w:val="000000" w:themeColor="text1"/>
                <w:sz w:val="22"/>
                <w:szCs w:val="22"/>
                <w:lang w:val="en-GB"/>
              </w:rPr>
              <w:t xml:space="preserve">Partial achieved in </w:t>
            </w:r>
            <w:r w:rsidRPr="00B3232A">
              <w:rPr>
                <w:rFonts w:ascii="Arial" w:hAnsi="Arial" w:cs="Arial"/>
                <w:sz w:val="22"/>
                <w:szCs w:val="22"/>
                <w:lang w:val="en-GB"/>
              </w:rPr>
              <w:t>focus areas 1, 2 and 3.</w:t>
            </w:r>
          </w:p>
          <w:p w14:paraId="4C4665B0" w14:textId="77777777" w:rsidR="00B3232A" w:rsidRPr="00B3232A" w:rsidRDefault="00B3232A" w:rsidP="00B3232A">
            <w:pPr>
              <w:rPr>
                <w:rFonts w:ascii="Arial" w:hAnsi="Arial" w:cs="Arial"/>
                <w:b/>
                <w:bCs/>
                <w:sz w:val="22"/>
                <w:szCs w:val="22"/>
                <w:lang w:val="en-GB"/>
              </w:rPr>
            </w:pPr>
          </w:p>
        </w:tc>
        <w:tc>
          <w:tcPr>
            <w:tcW w:w="6479" w:type="dxa"/>
          </w:tcPr>
          <w:p w14:paraId="43B7F8B7" w14:textId="77777777" w:rsidR="00B3232A" w:rsidRPr="00B3232A" w:rsidRDefault="00B3232A" w:rsidP="00B3232A">
            <w:pPr>
              <w:spacing w:after="240"/>
              <w:jc w:val="both"/>
              <w:rPr>
                <w:rFonts w:ascii="Arial" w:hAnsi="Arial" w:cs="Arial"/>
                <w:color w:val="000000" w:themeColor="text1"/>
                <w:sz w:val="22"/>
                <w:szCs w:val="22"/>
                <w:lang w:val="en-GB"/>
              </w:rPr>
            </w:pPr>
            <w:r w:rsidRPr="00B3232A">
              <w:rPr>
                <w:rFonts w:ascii="Arial" w:hAnsi="Arial" w:cs="Arial"/>
                <w:b/>
                <w:color w:val="000000" w:themeColor="text1"/>
                <w:sz w:val="22"/>
                <w:szCs w:val="22"/>
                <w:lang w:val="en-GB"/>
              </w:rPr>
              <w:t>Focus area 1</w:t>
            </w:r>
            <w:r w:rsidRPr="00B3232A">
              <w:rPr>
                <w:rFonts w:ascii="Arial" w:hAnsi="Arial" w:cs="Arial"/>
                <w:color w:val="000000" w:themeColor="text1"/>
                <w:sz w:val="22"/>
                <w:szCs w:val="22"/>
                <w:lang w:val="en-GB"/>
              </w:rPr>
              <w:t xml:space="preserve">: </w:t>
            </w:r>
          </w:p>
          <w:p w14:paraId="03CD4DEA" w14:textId="77777777" w:rsidR="00B3232A" w:rsidRPr="00B3232A" w:rsidRDefault="00B3232A" w:rsidP="00C04FF1">
            <w:pPr>
              <w:numPr>
                <w:ilvl w:val="0"/>
                <w:numId w:val="142"/>
              </w:numPr>
              <w:tabs>
                <w:tab w:val="left" w:pos="431"/>
              </w:tabs>
              <w:spacing w:before="60" w:after="240"/>
              <w:ind w:left="207" w:hanging="142"/>
              <w:contextualSpacing/>
              <w:jc w:val="both"/>
              <w:rPr>
                <w:rFonts w:ascii="Arial" w:hAnsi="Arial" w:cs="Arial"/>
                <w:color w:val="000000" w:themeColor="text1"/>
                <w:sz w:val="22"/>
                <w:szCs w:val="22"/>
                <w:lang w:val="en-GB"/>
              </w:rPr>
            </w:pPr>
            <w:r w:rsidRPr="00B3232A">
              <w:rPr>
                <w:rFonts w:ascii="Arial" w:hAnsi="Arial" w:cs="Arial"/>
                <w:color w:val="000000" w:themeColor="text1"/>
                <w:sz w:val="22"/>
                <w:szCs w:val="22"/>
                <w:lang w:val="en-GB"/>
              </w:rPr>
              <w:t xml:space="preserve">Reporting template been only partially completed/used resulting in unclear actions, </w:t>
            </w:r>
            <w:proofErr w:type="gramStart"/>
            <w:r w:rsidRPr="00B3232A">
              <w:rPr>
                <w:rFonts w:ascii="Arial" w:hAnsi="Arial" w:cs="Arial"/>
                <w:color w:val="000000" w:themeColor="text1"/>
                <w:sz w:val="22"/>
                <w:szCs w:val="22"/>
                <w:lang w:val="en-GB"/>
              </w:rPr>
              <w:t>milestones</w:t>
            </w:r>
            <w:proofErr w:type="gramEnd"/>
            <w:r w:rsidRPr="00B3232A">
              <w:rPr>
                <w:rFonts w:ascii="Arial" w:hAnsi="Arial" w:cs="Arial"/>
                <w:color w:val="000000" w:themeColor="text1"/>
                <w:sz w:val="22"/>
                <w:szCs w:val="22"/>
                <w:lang w:val="en-GB"/>
              </w:rPr>
              <w:t xml:space="preserve"> or measures.</w:t>
            </w:r>
          </w:p>
          <w:p w14:paraId="7632BDC8" w14:textId="77777777" w:rsidR="00B3232A" w:rsidRPr="00B3232A" w:rsidRDefault="00B3232A" w:rsidP="00C04FF1">
            <w:pPr>
              <w:numPr>
                <w:ilvl w:val="0"/>
                <w:numId w:val="142"/>
              </w:numPr>
              <w:tabs>
                <w:tab w:val="left" w:pos="431"/>
              </w:tabs>
              <w:spacing w:before="60" w:after="240"/>
              <w:ind w:left="207" w:hanging="142"/>
              <w:contextualSpacing/>
              <w:jc w:val="both"/>
              <w:rPr>
                <w:rFonts w:ascii="Arial" w:hAnsi="Arial" w:cs="Arial"/>
                <w:color w:val="000000" w:themeColor="text1"/>
                <w:sz w:val="22"/>
                <w:szCs w:val="22"/>
                <w:lang w:val="en-GB"/>
              </w:rPr>
            </w:pPr>
            <w:r w:rsidRPr="00B3232A">
              <w:rPr>
                <w:rFonts w:ascii="Arial" w:hAnsi="Arial" w:cs="Arial"/>
                <w:color w:val="000000" w:themeColor="text1"/>
                <w:sz w:val="22"/>
                <w:szCs w:val="22"/>
                <w:lang w:val="en-GB"/>
              </w:rPr>
              <w:t>Report template has been completed, but some clarification is required.</w:t>
            </w:r>
          </w:p>
          <w:p w14:paraId="13A78F34" w14:textId="77777777" w:rsidR="00B3232A" w:rsidRPr="00B3232A" w:rsidRDefault="00B3232A" w:rsidP="00B3232A">
            <w:pPr>
              <w:tabs>
                <w:tab w:val="left" w:pos="431"/>
              </w:tabs>
              <w:spacing w:before="60" w:after="60"/>
              <w:jc w:val="both"/>
              <w:rPr>
                <w:rFonts w:ascii="Arial" w:hAnsi="Arial" w:cs="Arial"/>
                <w:b/>
                <w:color w:val="000000" w:themeColor="text1"/>
                <w:sz w:val="22"/>
                <w:szCs w:val="22"/>
                <w:lang w:val="en-GB"/>
              </w:rPr>
            </w:pPr>
            <w:r w:rsidRPr="00B3232A">
              <w:rPr>
                <w:rFonts w:ascii="Arial" w:hAnsi="Arial" w:cs="Arial"/>
                <w:b/>
                <w:color w:val="000000" w:themeColor="text1"/>
                <w:sz w:val="22"/>
                <w:szCs w:val="22"/>
                <w:lang w:val="en-GB"/>
              </w:rPr>
              <w:t>Focus area 2:</w:t>
            </w:r>
          </w:p>
          <w:p w14:paraId="1E2D86F3" w14:textId="77777777" w:rsidR="00B3232A" w:rsidRPr="00B3232A" w:rsidRDefault="00B3232A" w:rsidP="00C04FF1">
            <w:pPr>
              <w:numPr>
                <w:ilvl w:val="0"/>
                <w:numId w:val="142"/>
              </w:numPr>
              <w:tabs>
                <w:tab w:val="left" w:pos="431"/>
              </w:tabs>
              <w:spacing w:before="60" w:after="240"/>
              <w:ind w:left="207" w:hanging="142"/>
              <w:contextualSpacing/>
              <w:jc w:val="both"/>
              <w:rPr>
                <w:rFonts w:ascii="Arial" w:hAnsi="Arial" w:cs="Arial"/>
                <w:color w:val="000000" w:themeColor="text1"/>
                <w:sz w:val="22"/>
                <w:szCs w:val="22"/>
                <w:lang w:val="en-GB"/>
              </w:rPr>
            </w:pPr>
            <w:r w:rsidRPr="00B3232A">
              <w:rPr>
                <w:rFonts w:ascii="Arial" w:hAnsi="Arial" w:cs="Arial"/>
                <w:color w:val="000000" w:themeColor="text1"/>
                <w:sz w:val="22"/>
                <w:szCs w:val="22"/>
                <w:lang w:val="en-GB"/>
              </w:rPr>
              <w:t>Report template has been completed, but some clarification is required.</w:t>
            </w:r>
          </w:p>
          <w:p w14:paraId="539ECF93" w14:textId="77777777" w:rsidR="00B3232A" w:rsidRPr="00B3232A" w:rsidRDefault="00B3232A" w:rsidP="00B3232A">
            <w:pPr>
              <w:tabs>
                <w:tab w:val="left" w:pos="431"/>
              </w:tabs>
              <w:spacing w:before="60" w:after="60"/>
              <w:jc w:val="both"/>
              <w:rPr>
                <w:rFonts w:ascii="Arial" w:hAnsi="Arial" w:cs="Arial"/>
                <w:color w:val="000000" w:themeColor="text1"/>
                <w:sz w:val="22"/>
                <w:szCs w:val="22"/>
                <w:lang w:val="en-GB"/>
              </w:rPr>
            </w:pPr>
            <w:r w:rsidRPr="00B3232A">
              <w:rPr>
                <w:rFonts w:ascii="Arial" w:hAnsi="Arial" w:cs="Arial"/>
                <w:b/>
                <w:color w:val="000000" w:themeColor="text1"/>
                <w:sz w:val="22"/>
                <w:szCs w:val="22"/>
                <w:lang w:val="en-GB"/>
              </w:rPr>
              <w:t>Focus area 3</w:t>
            </w:r>
            <w:r w:rsidRPr="00B3232A">
              <w:rPr>
                <w:rFonts w:ascii="Arial" w:hAnsi="Arial" w:cs="Arial"/>
                <w:color w:val="000000" w:themeColor="text1"/>
                <w:sz w:val="22"/>
                <w:szCs w:val="22"/>
                <w:lang w:val="en-GB"/>
              </w:rPr>
              <w:t>: as per MH04 measure.</w:t>
            </w:r>
          </w:p>
        </w:tc>
      </w:tr>
      <w:tr w:rsidR="00B3232A" w:rsidRPr="00B3232A" w14:paraId="77C33684" w14:textId="77777777" w:rsidTr="004B1778">
        <w:trPr>
          <w:gridAfter w:val="1"/>
          <w:wAfter w:w="8" w:type="dxa"/>
          <w:trHeight w:val="2359"/>
        </w:trPr>
        <w:tc>
          <w:tcPr>
            <w:tcW w:w="2880" w:type="dxa"/>
          </w:tcPr>
          <w:p w14:paraId="7BF61CD4" w14:textId="77777777" w:rsidR="00B3232A" w:rsidRPr="00B3232A" w:rsidRDefault="00B3232A" w:rsidP="00B3232A">
            <w:pPr>
              <w:rPr>
                <w:rFonts w:ascii="Arial" w:hAnsi="Arial" w:cs="Arial"/>
                <w:bCs/>
                <w:color w:val="000000" w:themeColor="text1"/>
                <w:sz w:val="22"/>
                <w:szCs w:val="22"/>
                <w:lang w:val="en-GB"/>
              </w:rPr>
            </w:pPr>
            <w:r w:rsidRPr="00B3232A">
              <w:rPr>
                <w:rFonts w:ascii="Arial" w:hAnsi="Arial" w:cs="Arial"/>
                <w:b/>
                <w:bCs/>
                <w:sz w:val="22"/>
                <w:szCs w:val="22"/>
                <w:lang w:val="en-GB"/>
              </w:rPr>
              <w:lastRenderedPageBreak/>
              <w:t>Not achieved</w:t>
            </w:r>
            <w:r w:rsidRPr="00B3232A">
              <w:rPr>
                <w:rFonts w:ascii="Arial" w:hAnsi="Arial" w:cs="Arial"/>
                <w:b/>
                <w:bCs/>
                <w:color w:val="000000" w:themeColor="text1"/>
                <w:sz w:val="22"/>
                <w:szCs w:val="22"/>
                <w:lang w:val="en-GB"/>
              </w:rPr>
              <w:t xml:space="preserve"> - </w:t>
            </w:r>
            <w:r w:rsidRPr="00B3232A">
              <w:rPr>
                <w:rFonts w:ascii="Arial" w:hAnsi="Arial" w:cs="Arial"/>
                <w:bCs/>
                <w:color w:val="000000" w:themeColor="text1"/>
                <w:sz w:val="22"/>
                <w:szCs w:val="22"/>
                <w:lang w:val="en-GB"/>
              </w:rPr>
              <w:t>given if stated criteria for either focus areas has  been met</w:t>
            </w:r>
          </w:p>
          <w:p w14:paraId="2BBCF8B6" w14:textId="77777777" w:rsidR="00B3232A" w:rsidRPr="00B3232A" w:rsidRDefault="00B3232A" w:rsidP="00B3232A">
            <w:pPr>
              <w:rPr>
                <w:rFonts w:ascii="Arial" w:hAnsi="Arial" w:cs="Arial"/>
                <w:b/>
                <w:bCs/>
                <w:sz w:val="22"/>
                <w:szCs w:val="22"/>
                <w:lang w:val="en-GB"/>
              </w:rPr>
            </w:pPr>
            <w:r w:rsidRPr="00B3232A">
              <w:rPr>
                <w:rFonts w:ascii="Arial" w:hAnsi="Arial" w:cs="Arial"/>
                <w:bCs/>
                <w:color w:val="000000" w:themeColor="text1"/>
                <w:sz w:val="22"/>
                <w:szCs w:val="22"/>
                <w:lang w:val="en-GB"/>
              </w:rPr>
              <w:t>– escalation required</w:t>
            </w:r>
          </w:p>
        </w:tc>
        <w:tc>
          <w:tcPr>
            <w:tcW w:w="6479" w:type="dxa"/>
          </w:tcPr>
          <w:p w14:paraId="0B9E3629" w14:textId="77777777" w:rsidR="00B3232A" w:rsidRPr="00B3232A" w:rsidRDefault="00B3232A" w:rsidP="00B3232A">
            <w:pPr>
              <w:tabs>
                <w:tab w:val="left" w:pos="1932"/>
              </w:tabs>
              <w:spacing w:after="240"/>
              <w:jc w:val="both"/>
              <w:rPr>
                <w:rFonts w:ascii="Arial" w:eastAsia="Calibri" w:hAnsi="Arial" w:cs="Arial"/>
                <w:color w:val="000000"/>
                <w:sz w:val="22"/>
                <w:szCs w:val="22"/>
              </w:rPr>
            </w:pPr>
            <w:r w:rsidRPr="00B3232A">
              <w:rPr>
                <w:rFonts w:ascii="Arial" w:eastAsia="Calibri" w:hAnsi="Arial" w:cs="Arial"/>
                <w:b/>
                <w:color w:val="000000"/>
                <w:sz w:val="22"/>
                <w:szCs w:val="22"/>
              </w:rPr>
              <w:t xml:space="preserve">Focus area 1: </w:t>
            </w:r>
            <w:r w:rsidRPr="00B3232A">
              <w:rPr>
                <w:rFonts w:ascii="Arial" w:eastAsia="Calibri" w:hAnsi="Arial" w:cs="Arial"/>
                <w:color w:val="000000"/>
                <w:sz w:val="22"/>
                <w:szCs w:val="22"/>
              </w:rPr>
              <w:t>Some actions, milestones and measures are not on track and adequate mitigation strategies are not presented or it cannot be confirmed that data or a report has been provided.</w:t>
            </w:r>
          </w:p>
          <w:p w14:paraId="4F9086C7" w14:textId="77777777" w:rsidR="00B3232A" w:rsidRPr="00B3232A" w:rsidRDefault="00B3232A" w:rsidP="00B3232A">
            <w:pPr>
              <w:tabs>
                <w:tab w:val="left" w:pos="1932"/>
              </w:tabs>
              <w:spacing w:after="240"/>
              <w:jc w:val="both"/>
              <w:rPr>
                <w:rFonts w:ascii="Arial" w:eastAsia="Calibri" w:hAnsi="Arial" w:cs="Arial"/>
                <w:color w:val="000000"/>
                <w:sz w:val="22"/>
                <w:szCs w:val="22"/>
              </w:rPr>
            </w:pPr>
            <w:r w:rsidRPr="00B3232A">
              <w:rPr>
                <w:rFonts w:ascii="Arial" w:eastAsia="Calibri" w:hAnsi="Arial" w:cs="Arial"/>
                <w:b/>
                <w:color w:val="000000" w:themeColor="text1"/>
                <w:sz w:val="22"/>
                <w:szCs w:val="22"/>
              </w:rPr>
              <w:t xml:space="preserve">Focus area 2: </w:t>
            </w:r>
            <w:r w:rsidRPr="00B3232A">
              <w:rPr>
                <w:rFonts w:ascii="Arial" w:eastAsia="Calibri" w:hAnsi="Arial" w:cs="Arial"/>
                <w:color w:val="000000" w:themeColor="text1"/>
                <w:sz w:val="22"/>
                <w:szCs w:val="22"/>
              </w:rPr>
              <w:t xml:space="preserve">Report shows </w:t>
            </w:r>
            <w:r w:rsidRPr="00B3232A">
              <w:rPr>
                <w:rFonts w:ascii="Arial" w:hAnsi="Arial" w:cs="Arial"/>
                <w:color w:val="000000" w:themeColor="text1"/>
                <w:sz w:val="22"/>
                <w:szCs w:val="22"/>
                <w:lang w:val="en-GB"/>
              </w:rPr>
              <w:t xml:space="preserve">significant gaps in SBHS delivery </w:t>
            </w:r>
            <w:r w:rsidRPr="00B3232A">
              <w:rPr>
                <w:rFonts w:ascii="Arial" w:eastAsia="Calibri" w:hAnsi="Arial" w:cs="Arial"/>
                <w:color w:val="000000" w:themeColor="text1"/>
                <w:sz w:val="22"/>
                <w:szCs w:val="22"/>
              </w:rPr>
              <w:t>or it cannot be confirmed that data or a report has been provided</w:t>
            </w:r>
            <w:r w:rsidRPr="00B3232A">
              <w:rPr>
                <w:rFonts w:ascii="Arial" w:eastAsia="Calibri" w:hAnsi="Arial" w:cs="Arial"/>
                <w:color w:val="000000"/>
                <w:sz w:val="22"/>
                <w:szCs w:val="22"/>
              </w:rPr>
              <w:t>.</w:t>
            </w:r>
          </w:p>
          <w:p w14:paraId="768F6FDC" w14:textId="77777777" w:rsidR="00B3232A" w:rsidRPr="00B3232A" w:rsidRDefault="00B3232A" w:rsidP="00B3232A">
            <w:pPr>
              <w:tabs>
                <w:tab w:val="left" w:pos="1932"/>
              </w:tabs>
              <w:spacing w:after="240"/>
              <w:jc w:val="both"/>
              <w:rPr>
                <w:rFonts w:ascii="Arial" w:eastAsia="Calibri" w:hAnsi="Arial" w:cs="Arial"/>
                <w:color w:val="000000"/>
                <w:sz w:val="22"/>
                <w:szCs w:val="22"/>
              </w:rPr>
            </w:pPr>
            <w:r w:rsidRPr="00B3232A">
              <w:rPr>
                <w:rFonts w:ascii="Arial" w:eastAsia="Calibri" w:hAnsi="Arial" w:cs="Arial"/>
                <w:b/>
                <w:color w:val="000000"/>
                <w:sz w:val="22"/>
                <w:szCs w:val="22"/>
              </w:rPr>
              <w:t>Focus area 3:</w:t>
            </w:r>
            <w:r w:rsidRPr="00B3232A">
              <w:rPr>
                <w:rFonts w:ascii="Arial" w:eastAsia="Calibri" w:hAnsi="Arial" w:cs="Arial"/>
                <w:color w:val="000000"/>
                <w:sz w:val="22"/>
                <w:szCs w:val="22"/>
              </w:rPr>
              <w:t xml:space="preserve"> as per MH04 measure.</w:t>
            </w:r>
          </w:p>
        </w:tc>
      </w:tr>
    </w:tbl>
    <w:p w14:paraId="170F5FDD" w14:textId="77777777" w:rsidR="00B3232A" w:rsidRPr="00B3232A" w:rsidRDefault="00B3232A" w:rsidP="00B3232A">
      <w:pPr>
        <w:shd w:val="clear" w:color="auto" w:fill="FFFFFF"/>
        <w:spacing w:before="60" w:after="60"/>
        <w:jc w:val="both"/>
        <w:rPr>
          <w:rFonts w:ascii="Arial" w:hAnsi="Arial" w:cs="Arial"/>
          <w:b/>
          <w:sz w:val="22"/>
          <w:szCs w:val="22"/>
        </w:rPr>
      </w:pPr>
    </w:p>
    <w:p w14:paraId="43DD6924" w14:textId="77777777" w:rsidR="00B3232A" w:rsidRPr="00B3232A" w:rsidRDefault="00B3232A" w:rsidP="00B3232A">
      <w:pPr>
        <w:keepNext/>
        <w:spacing w:before="240" w:after="60"/>
        <w:outlineLvl w:val="1"/>
        <w:rPr>
          <w:rFonts w:ascii="Arial" w:hAnsi="Arial" w:cs="Arial"/>
          <w:b/>
          <w:bCs/>
          <w:i/>
          <w:iCs/>
        </w:rPr>
      </w:pPr>
      <w:r w:rsidRPr="00B3232A">
        <w:rPr>
          <w:rFonts w:ascii="Arial" w:hAnsi="Arial" w:cs="Arial"/>
          <w:b/>
          <w:bCs/>
          <w:i/>
          <w:iCs/>
        </w:rPr>
        <w:br w:type="page"/>
      </w:r>
    </w:p>
    <w:p w14:paraId="155C5BC7" w14:textId="41CEF9DC" w:rsidR="00445E1D" w:rsidRPr="00445E1D" w:rsidRDefault="00445E1D" w:rsidP="00445E1D">
      <w:pPr>
        <w:pStyle w:val="Heading2"/>
        <w:rPr>
          <w:sz w:val="24"/>
          <w:szCs w:val="24"/>
        </w:rPr>
      </w:pPr>
      <w:r w:rsidRPr="00445E1D">
        <w:rPr>
          <w:sz w:val="24"/>
          <w:szCs w:val="24"/>
        </w:rPr>
        <w:lastRenderedPageBreak/>
        <w:t>Outcome priority:  We have improved quality of life</w:t>
      </w:r>
      <w:bookmarkEnd w:id="402"/>
      <w:bookmarkEnd w:id="403"/>
      <w:bookmarkEnd w:id="404"/>
    </w:p>
    <w:p w14:paraId="5CFF523D" w14:textId="30C5E396" w:rsidR="001B4084" w:rsidRDefault="00082D73" w:rsidP="001B4084">
      <w:pPr>
        <w:pStyle w:val="Heading2"/>
        <w:rPr>
          <w:sz w:val="24"/>
          <w:szCs w:val="24"/>
        </w:rPr>
      </w:pPr>
      <w:bookmarkStart w:id="407" w:name="_Toc9592014"/>
      <w:bookmarkStart w:id="408" w:name="_Toc4588544"/>
      <w:r>
        <w:t>Improving m</w:t>
      </w:r>
      <w:r w:rsidR="00445E1D">
        <w:t xml:space="preserve">ental </w:t>
      </w:r>
      <w:r w:rsidR="003101B5">
        <w:t>wellbeing</w:t>
      </w:r>
      <w:r w:rsidR="00445E1D">
        <w:t xml:space="preserve"> MH01:</w:t>
      </w:r>
      <w:r w:rsidR="00445E1D" w:rsidRPr="00445E1D">
        <w:t xml:space="preserve"> </w:t>
      </w:r>
      <w:r w:rsidR="001B4084" w:rsidRPr="00B44AD8">
        <w:t xml:space="preserve">Improving the health status of people with severe mental illness through improved </w:t>
      </w:r>
      <w:r w:rsidR="001B4084" w:rsidRPr="00445E1D">
        <w:t>access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407"/>
      <w:r w:rsidR="001B4084" w:rsidRPr="00445E1D">
        <w:t xml:space="preserve"> </w:t>
      </w:r>
      <w:bookmarkEnd w:id="408"/>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1B4084" w:rsidRPr="00B44AD8" w14:paraId="68777165" w14:textId="77777777" w:rsidTr="008052F3">
        <w:tc>
          <w:tcPr>
            <w:tcW w:w="10094" w:type="dxa"/>
            <w:gridSpan w:val="2"/>
            <w:shd w:val="clear" w:color="auto" w:fill="D9D9D9"/>
          </w:tcPr>
          <w:p w14:paraId="4A02CCCB" w14:textId="77777777" w:rsidR="001B4084" w:rsidRPr="00B44AD8" w:rsidRDefault="001B4084" w:rsidP="008052F3">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1B4084" w:rsidRPr="00B44AD8" w14:paraId="53476E50" w14:textId="77777777" w:rsidTr="008052F3">
        <w:tc>
          <w:tcPr>
            <w:tcW w:w="2864" w:type="dxa"/>
            <w:shd w:val="clear" w:color="auto" w:fill="auto"/>
          </w:tcPr>
          <w:p w14:paraId="49460DE0" w14:textId="77777777" w:rsidR="001B4084" w:rsidRPr="00B44AD8" w:rsidRDefault="001B4084" w:rsidP="008052F3">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1F8F3094" w14:textId="77777777" w:rsidR="001B4084" w:rsidRPr="00B44AD8" w:rsidRDefault="001B4084" w:rsidP="008052F3">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1B4084" w:rsidRPr="00B44AD8" w14:paraId="0BCDD090" w14:textId="77777777" w:rsidTr="008052F3">
        <w:trPr>
          <w:trHeight w:val="493"/>
        </w:trPr>
        <w:tc>
          <w:tcPr>
            <w:tcW w:w="2864" w:type="dxa"/>
            <w:shd w:val="clear" w:color="auto" w:fill="auto"/>
          </w:tcPr>
          <w:p w14:paraId="765FD704" w14:textId="77777777" w:rsidR="001B4084" w:rsidRPr="00B44AD8" w:rsidRDefault="001B4084" w:rsidP="008052F3">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55C89A21" w14:textId="77777777" w:rsidR="001B4084" w:rsidRPr="00B44AD8" w:rsidRDefault="001B4084" w:rsidP="008052F3">
            <w:pPr>
              <w:shd w:val="clear" w:color="auto" w:fill="FFFFFF"/>
              <w:spacing w:before="60" w:after="60"/>
              <w:jc w:val="both"/>
              <w:rPr>
                <w:rFonts w:ascii="Arial" w:hAnsi="Arial" w:cs="Arial"/>
                <w:sz w:val="20"/>
                <w:szCs w:val="20"/>
              </w:rPr>
            </w:pPr>
            <w:r>
              <w:rPr>
                <w:rFonts w:ascii="Arial" w:hAnsi="Arial" w:cs="Arial"/>
                <w:sz w:val="20"/>
                <w:szCs w:val="20"/>
              </w:rPr>
              <w:t xml:space="preserve">Six </w:t>
            </w:r>
            <w:proofErr w:type="gramStart"/>
            <w:r>
              <w:rPr>
                <w:rFonts w:ascii="Arial" w:hAnsi="Arial" w:cs="Arial"/>
                <w:sz w:val="20"/>
                <w:szCs w:val="20"/>
              </w:rPr>
              <w:t>monthly</w:t>
            </w:r>
            <w:proofErr w:type="gramEnd"/>
          </w:p>
        </w:tc>
      </w:tr>
      <w:tr w:rsidR="001B4084" w:rsidRPr="00B44AD8" w14:paraId="0841C6F9" w14:textId="77777777" w:rsidTr="008052F3">
        <w:tc>
          <w:tcPr>
            <w:tcW w:w="2864" w:type="dxa"/>
            <w:shd w:val="clear" w:color="auto" w:fill="auto"/>
          </w:tcPr>
          <w:p w14:paraId="71C6DF5A" w14:textId="77777777" w:rsidR="001B4084" w:rsidRPr="00B44AD8" w:rsidRDefault="001B4084" w:rsidP="008052F3">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757384FD" w14:textId="77777777" w:rsidR="001B4084" w:rsidRPr="00B44AD8" w:rsidRDefault="001B4084" w:rsidP="008052F3">
            <w:pPr>
              <w:shd w:val="clear" w:color="auto" w:fill="FFFFFF"/>
              <w:spacing w:before="60" w:after="60"/>
              <w:rPr>
                <w:rFonts w:ascii="Arial" w:hAnsi="Arial" w:cs="Arial"/>
                <w:i/>
                <w:sz w:val="20"/>
                <w:szCs w:val="20"/>
              </w:rPr>
            </w:pPr>
            <w:r w:rsidRPr="00B44AD8">
              <w:rPr>
                <w:rFonts w:ascii="Arial" w:hAnsi="Arial" w:cs="Arial"/>
                <w:i/>
                <w:sz w:val="20"/>
                <w:szCs w:val="20"/>
              </w:rPr>
              <w:t xml:space="preserve">Ministry to provide data via NSFL web site </w:t>
            </w:r>
            <w:hyperlink r:id="rId18" w:history="1">
              <w:r w:rsidRPr="00B44AD8">
                <w:rPr>
                  <w:rFonts w:ascii="Arial" w:hAnsi="Arial" w:cs="Arial"/>
                  <w:i/>
                  <w:color w:val="0000FF"/>
                  <w:sz w:val="20"/>
                  <w:szCs w:val="20"/>
                  <w:u w:val="single"/>
                </w:rPr>
                <w:t>http://nsfl.health.govt.nz/accountability/performance-and-monitoring</w:t>
              </w:r>
            </w:hyperlink>
            <w:r w:rsidRPr="00B44AD8">
              <w:rPr>
                <w:rFonts w:ascii="Arial" w:hAnsi="Arial" w:cs="Arial"/>
                <w:i/>
                <w:sz w:val="20"/>
                <w:szCs w:val="20"/>
              </w:rPr>
              <w:t xml:space="preserve"> </w:t>
            </w:r>
          </w:p>
          <w:p w14:paraId="6BC1E381" w14:textId="77777777" w:rsidR="001B4084" w:rsidRPr="00B44AD8" w:rsidRDefault="001B4084" w:rsidP="008052F3">
            <w:pPr>
              <w:shd w:val="clear" w:color="auto" w:fill="FFFFFF"/>
              <w:spacing w:before="60" w:after="60"/>
              <w:rPr>
                <w:rFonts w:ascii="Arial" w:hAnsi="Arial" w:cs="Arial"/>
                <w:i/>
                <w:sz w:val="20"/>
                <w:szCs w:val="20"/>
              </w:rPr>
            </w:pPr>
            <w:r w:rsidRPr="00B44AD8">
              <w:rPr>
                <w:rFonts w:ascii="Arial" w:hAnsi="Arial" w:cs="Arial"/>
                <w:i/>
                <w:sz w:val="20"/>
                <w:szCs w:val="20"/>
              </w:rPr>
              <w:t>and the DHB quarterly reporting website</w:t>
            </w:r>
          </w:p>
        </w:tc>
      </w:tr>
      <w:tr w:rsidR="001B4084" w:rsidRPr="00B44AD8" w14:paraId="3C722E98" w14:textId="77777777" w:rsidTr="008052F3">
        <w:trPr>
          <w:trHeight w:val="2182"/>
        </w:trPr>
        <w:tc>
          <w:tcPr>
            <w:tcW w:w="2864" w:type="dxa"/>
            <w:shd w:val="clear" w:color="auto" w:fill="auto"/>
          </w:tcPr>
          <w:p w14:paraId="5E7B02B7" w14:textId="77777777" w:rsidR="001B4084" w:rsidRPr="00B44AD8" w:rsidRDefault="001B4084" w:rsidP="008052F3">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30241287" w14:textId="77777777" w:rsidR="001B4084" w:rsidRPr="00B44AD8" w:rsidRDefault="001B4084" w:rsidP="008052F3">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1B4084" w:rsidRPr="00B44AD8" w14:paraId="24276E7A"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9C08"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DAB0"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20th of the month following the end of the quarter</w:t>
                  </w:r>
                </w:p>
              </w:tc>
            </w:tr>
            <w:tr w:rsidR="001B4084" w:rsidRPr="00B44AD8" w14:paraId="76E615C9"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FE50"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9FB30"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8-10 working days from receiving reports</w:t>
                  </w:r>
                </w:p>
              </w:tc>
            </w:tr>
            <w:tr w:rsidR="001B4084" w:rsidRPr="00B44AD8" w14:paraId="1C8F2430"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EA672"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48F1"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5 working days from receiving initial ratings</w:t>
                  </w:r>
                </w:p>
              </w:tc>
            </w:tr>
            <w:tr w:rsidR="001B4084" w:rsidRPr="00B44AD8" w14:paraId="17FF0588"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C08B9"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77F64" w14:textId="77777777" w:rsidR="001B4084" w:rsidRPr="00B44AD8" w:rsidRDefault="001B4084" w:rsidP="008052F3">
                  <w:pPr>
                    <w:ind w:left="205" w:hanging="205"/>
                    <w:rPr>
                      <w:rFonts w:ascii="Calibri" w:hAnsi="Calibri"/>
                      <w:sz w:val="20"/>
                      <w:szCs w:val="20"/>
                    </w:rPr>
                  </w:pPr>
                  <w:r w:rsidRPr="00B44AD8">
                    <w:rPr>
                      <w:rFonts w:ascii="Calibri" w:hAnsi="Calibri"/>
                      <w:sz w:val="20"/>
                      <w:szCs w:val="20"/>
                    </w:rPr>
                    <w:t>4-5 working days from receiving DHB feedback</w:t>
                  </w:r>
                </w:p>
              </w:tc>
            </w:tr>
          </w:tbl>
          <w:p w14:paraId="2D8402F5" w14:textId="77777777" w:rsidR="001B4084" w:rsidRPr="00B44AD8" w:rsidRDefault="001B4084" w:rsidP="008052F3">
            <w:pPr>
              <w:shd w:val="clear" w:color="auto" w:fill="FFFFFF"/>
              <w:spacing w:before="60" w:after="60"/>
              <w:jc w:val="both"/>
              <w:rPr>
                <w:rFonts w:ascii="Arial" w:hAnsi="Arial" w:cs="Arial"/>
                <w:i/>
                <w:sz w:val="16"/>
                <w:szCs w:val="16"/>
              </w:rPr>
            </w:pPr>
          </w:p>
        </w:tc>
      </w:tr>
    </w:tbl>
    <w:p w14:paraId="037262E7" w14:textId="77777777" w:rsidR="001B4084" w:rsidRPr="003028EF" w:rsidRDefault="001B4084" w:rsidP="001B4084">
      <w:pPr>
        <w:pStyle w:val="SubOne"/>
        <w:shd w:val="clear" w:color="auto" w:fill="FFFFFF"/>
        <w:spacing w:before="60" w:after="60"/>
        <w:jc w:val="both"/>
        <w:rPr>
          <w:i/>
        </w:rPr>
      </w:pPr>
      <w:r w:rsidRPr="005D6BDC">
        <w:t>L</w:t>
      </w:r>
      <w:r>
        <w:t>ink to outcomes and priority areas</w:t>
      </w:r>
    </w:p>
    <w:p w14:paraId="5D6F8ABA" w14:textId="77777777" w:rsidR="006E773E" w:rsidRPr="0072302C" w:rsidRDefault="006E773E" w:rsidP="006E773E">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5A93FE60" w14:textId="3D83EA68" w:rsidR="005D75CC" w:rsidRPr="003F7CAF" w:rsidRDefault="005D75CC" w:rsidP="005D75CC">
      <w:pPr>
        <w:spacing w:before="60" w:after="60"/>
        <w:jc w:val="both"/>
        <w:rPr>
          <w:rFonts w:ascii="Arial" w:hAnsi="Arial" w:cs="Arial"/>
          <w:sz w:val="20"/>
          <w:szCs w:val="20"/>
        </w:rPr>
      </w:pPr>
      <w:r w:rsidRPr="003F7CAF">
        <w:rPr>
          <w:rFonts w:ascii="Arial" w:hAnsi="Arial" w:cs="Arial"/>
          <w:sz w:val="20"/>
          <w:szCs w:val="20"/>
        </w:rPr>
        <w:t xml:space="preserve">By improving access to mental health services DHB swill support Government's priority to ensure everyone who is able is earning, learning, </w:t>
      </w:r>
      <w:proofErr w:type="gramStart"/>
      <w:r w:rsidRPr="003F7CAF">
        <w:rPr>
          <w:rFonts w:ascii="Arial" w:hAnsi="Arial" w:cs="Arial"/>
          <w:sz w:val="20"/>
          <w:szCs w:val="20"/>
        </w:rPr>
        <w:t>caring</w:t>
      </w:r>
      <w:proofErr w:type="gramEnd"/>
      <w:r w:rsidRPr="003F7CAF">
        <w:rPr>
          <w:rFonts w:ascii="Arial" w:hAnsi="Arial" w:cs="Arial"/>
          <w:sz w:val="20"/>
          <w:szCs w:val="20"/>
        </w:rPr>
        <w:t xml:space="preserve"> or volunteering and our system outcome that we have improved quality of life</w:t>
      </w:r>
      <w:r w:rsidR="00C62339" w:rsidRPr="003F7CAF">
        <w:rPr>
          <w:rFonts w:ascii="Arial" w:hAnsi="Arial" w:cs="Arial"/>
          <w:sz w:val="20"/>
          <w:szCs w:val="20"/>
        </w:rPr>
        <w:t xml:space="preserve"> and maintain our health and independence</w:t>
      </w:r>
      <w:r w:rsidRPr="003F7CAF">
        <w:rPr>
          <w:rFonts w:ascii="Arial" w:hAnsi="Arial" w:cs="Arial"/>
          <w:sz w:val="20"/>
          <w:szCs w:val="20"/>
        </w:rPr>
        <w:t>.</w:t>
      </w:r>
    </w:p>
    <w:p w14:paraId="2C31A088" w14:textId="77777777" w:rsidR="001B4084" w:rsidRPr="003F7CAF" w:rsidRDefault="001B4084" w:rsidP="001B4084">
      <w:pPr>
        <w:spacing w:before="60" w:after="60"/>
        <w:jc w:val="both"/>
        <w:rPr>
          <w:rFonts w:ascii="Arial" w:hAnsi="Arial" w:cs="Arial"/>
          <w:sz w:val="20"/>
          <w:szCs w:val="20"/>
        </w:rPr>
      </w:pPr>
    </w:p>
    <w:p w14:paraId="597CF075" w14:textId="77777777" w:rsidR="001B4084" w:rsidRPr="003F7CAF" w:rsidRDefault="001B4084" w:rsidP="001B4084">
      <w:pPr>
        <w:spacing w:before="60" w:after="60"/>
        <w:jc w:val="both"/>
        <w:rPr>
          <w:rFonts w:ascii="Arial" w:hAnsi="Arial" w:cs="Arial"/>
          <w:sz w:val="20"/>
          <w:szCs w:val="20"/>
        </w:rPr>
      </w:pPr>
      <w:r w:rsidRPr="003F7CAF">
        <w:rPr>
          <w:rFonts w:ascii="Arial" w:hAnsi="Arial" w:cs="Arial"/>
          <w:sz w:val="20"/>
          <w:szCs w:val="20"/>
        </w:rPr>
        <w:t>The health system will work to ensure and independent/ high quality of life for New Zealanders with mental health and addiction concerns.  Accessible services ensure people can obtain health care at the right place and right time taking account of different population needs</w:t>
      </w:r>
    </w:p>
    <w:p w14:paraId="29219857" w14:textId="77777777" w:rsidR="001B4084" w:rsidRPr="003F7CAF" w:rsidRDefault="001B4084" w:rsidP="001B4084">
      <w:pPr>
        <w:spacing w:before="60" w:after="60"/>
        <w:jc w:val="both"/>
        <w:rPr>
          <w:rFonts w:ascii="Arial" w:hAnsi="Arial" w:cs="Arial"/>
          <w:sz w:val="20"/>
          <w:szCs w:val="20"/>
        </w:rPr>
      </w:pPr>
    </w:p>
    <w:p w14:paraId="08DE014C" w14:textId="77777777" w:rsidR="001B4084" w:rsidRPr="003F7CAF" w:rsidRDefault="001B4084" w:rsidP="001B4084">
      <w:pPr>
        <w:spacing w:before="60" w:after="60"/>
        <w:jc w:val="both"/>
        <w:rPr>
          <w:rFonts w:ascii="Arial" w:hAnsi="Arial" w:cs="Arial"/>
          <w:sz w:val="20"/>
          <w:szCs w:val="20"/>
        </w:rPr>
      </w:pPr>
      <w:r w:rsidRPr="003F7CAF">
        <w:rPr>
          <w:rFonts w:ascii="Arial" w:hAnsi="Arial" w:cs="Arial"/>
          <w:sz w:val="20"/>
          <w:szCs w:val="20"/>
        </w:rPr>
        <w:t xml:space="preserve">DHBs will improve the health status of people with severe mental illness through access to a broad range of services. </w:t>
      </w:r>
    </w:p>
    <w:p w14:paraId="47E48338" w14:textId="77777777" w:rsidR="001B4084" w:rsidRPr="003F7CAF" w:rsidRDefault="001B4084" w:rsidP="001B4084">
      <w:pPr>
        <w:spacing w:before="60" w:after="60"/>
        <w:jc w:val="both"/>
        <w:rPr>
          <w:rFonts w:ascii="Arial" w:hAnsi="Arial" w:cs="Arial"/>
          <w:sz w:val="20"/>
          <w:szCs w:val="20"/>
          <w:highlight w:val="yellow"/>
        </w:rPr>
      </w:pPr>
    </w:p>
    <w:p w14:paraId="248AE78B" w14:textId="77777777" w:rsidR="001B4084" w:rsidRPr="003F7CAF" w:rsidRDefault="001B4084" w:rsidP="001B4084">
      <w:pPr>
        <w:spacing w:before="60" w:after="60"/>
        <w:jc w:val="both"/>
        <w:rPr>
          <w:rFonts w:ascii="Arial" w:hAnsi="Arial" w:cs="Arial"/>
          <w:sz w:val="20"/>
          <w:szCs w:val="20"/>
        </w:rPr>
      </w:pPr>
      <w:r w:rsidRPr="003F7CAF">
        <w:rPr>
          <w:rFonts w:ascii="Arial" w:hAnsi="Arial" w:cs="Arial"/>
          <w:sz w:val="20"/>
          <w:szCs w:val="20"/>
        </w:rPr>
        <w:t>DHBs will contribute to the independent/ high quality of life for New Zealanders with mental health and addiction concerns by ensuring their mental health services are cost effective, results focused and have regard to the service impacts on people who are severely affected by mental illness.  The DHB will provide people with better health and disability services by ensuring that the range of services closes existing service gaps, and makes them easier to access. The range of services will be of high quality, safe, evidence based and provided in the least restrictive environment.  This focus is designed to provide better outcomes for people with mental illness and increase people’s confidence and trust in the health and disability system and services.</w:t>
      </w:r>
    </w:p>
    <w:p w14:paraId="7FE17E0F"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 xml:space="preserve"> </w:t>
      </w:r>
    </w:p>
    <w:p w14:paraId="08ADF8FE"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 xml:space="preserve">Better access to a broad range of services improves people’s mental health and wellbeing, </w:t>
      </w:r>
    </w:p>
    <w:p w14:paraId="74AC3064" w14:textId="77777777" w:rsidR="003F7CAF" w:rsidRDefault="003F7CAF" w:rsidP="001B4084">
      <w:pPr>
        <w:shd w:val="clear" w:color="auto" w:fill="FFFFFF"/>
        <w:spacing w:before="60" w:after="60"/>
        <w:jc w:val="both"/>
        <w:rPr>
          <w:rFonts w:ascii="Arial" w:hAnsi="Arial" w:cs="Arial"/>
          <w:b/>
          <w:sz w:val="22"/>
          <w:szCs w:val="22"/>
        </w:rPr>
      </w:pPr>
    </w:p>
    <w:p w14:paraId="21CEB161" w14:textId="77777777" w:rsidR="001B4084" w:rsidRPr="00584CB4" w:rsidRDefault="001B4084" w:rsidP="001B4084">
      <w:pPr>
        <w:shd w:val="clear" w:color="auto" w:fill="FFFFFF"/>
        <w:spacing w:before="60" w:after="60"/>
        <w:jc w:val="both"/>
        <w:rPr>
          <w:rFonts w:ascii="Arial" w:hAnsi="Arial" w:cs="Arial"/>
          <w:b/>
          <w:sz w:val="22"/>
          <w:szCs w:val="22"/>
        </w:rPr>
      </w:pPr>
      <w:r w:rsidRPr="00584CB4">
        <w:rPr>
          <w:rFonts w:ascii="Arial" w:hAnsi="Arial" w:cs="Arial"/>
          <w:b/>
          <w:sz w:val="22"/>
          <w:szCs w:val="22"/>
        </w:rPr>
        <w:t>Actions and activities are that have a proven impact on this measure:</w:t>
      </w:r>
    </w:p>
    <w:p w14:paraId="11779016"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 xml:space="preserve">Examples of key activities undertaken to support improved access rates </w:t>
      </w:r>
      <w:proofErr w:type="gramStart"/>
      <w:r w:rsidRPr="003F7CAF">
        <w:rPr>
          <w:rFonts w:ascii="Arial" w:hAnsi="Arial" w:cs="Arial"/>
          <w:sz w:val="20"/>
          <w:szCs w:val="20"/>
        </w:rPr>
        <w:t>are:</w:t>
      </w:r>
      <w:proofErr w:type="gramEnd"/>
      <w:r w:rsidRPr="003F7CAF">
        <w:rPr>
          <w:rFonts w:ascii="Arial" w:hAnsi="Arial" w:cs="Arial"/>
          <w:sz w:val="20"/>
          <w:szCs w:val="20"/>
        </w:rPr>
        <w:t xml:space="preserve"> development of CAMHS services across all regions, packages of care for individuals with high and complex needs, mental health specialists at emergency departments, Kaupapa Maori services, and eating disorder services.  </w:t>
      </w:r>
    </w:p>
    <w:p w14:paraId="32DF5829" w14:textId="77777777" w:rsidR="001B4084" w:rsidRPr="003F7CAF" w:rsidRDefault="001B4084" w:rsidP="001B4084">
      <w:pPr>
        <w:shd w:val="clear" w:color="auto" w:fill="FFFFFF"/>
        <w:spacing w:before="60" w:after="60"/>
        <w:jc w:val="both"/>
        <w:rPr>
          <w:rFonts w:ascii="Arial" w:hAnsi="Arial" w:cs="Arial"/>
          <w:sz w:val="20"/>
          <w:szCs w:val="20"/>
        </w:rPr>
      </w:pPr>
    </w:p>
    <w:p w14:paraId="3D45F144"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 xml:space="preserve">Integration of primary and secondary services will result in improving access to a wider range of services and impact on the referrals to specialist mental health services. </w:t>
      </w:r>
    </w:p>
    <w:p w14:paraId="3F458569" w14:textId="77777777" w:rsidR="001B4084" w:rsidRPr="003F7CAF" w:rsidRDefault="001B4084" w:rsidP="001B4084">
      <w:pPr>
        <w:shd w:val="clear" w:color="auto" w:fill="FFFFFF"/>
        <w:spacing w:before="60" w:after="60"/>
        <w:jc w:val="both"/>
        <w:rPr>
          <w:rFonts w:ascii="Arial" w:hAnsi="Arial" w:cs="Arial"/>
          <w:sz w:val="20"/>
          <w:szCs w:val="20"/>
        </w:rPr>
      </w:pPr>
    </w:p>
    <w:p w14:paraId="691BE076"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 xml:space="preserve">Increasing consult liaison activity is also likely to impact on access rates and is required to be reported here. </w:t>
      </w:r>
    </w:p>
    <w:p w14:paraId="6D7F0E78" w14:textId="77777777" w:rsidR="001B4084" w:rsidRPr="003F7CAF" w:rsidRDefault="001B4084" w:rsidP="001B4084">
      <w:pPr>
        <w:shd w:val="clear" w:color="auto" w:fill="FFFFFF"/>
        <w:spacing w:before="120" w:after="60" w:line="360" w:lineRule="auto"/>
        <w:jc w:val="both"/>
        <w:rPr>
          <w:rFonts w:ascii="Arial" w:hAnsi="Arial" w:cs="Arial"/>
          <w:b/>
          <w:sz w:val="20"/>
          <w:szCs w:val="20"/>
        </w:rPr>
      </w:pPr>
      <w:r w:rsidRPr="003F7CAF">
        <w:rPr>
          <w:rFonts w:ascii="Arial" w:hAnsi="Arial" w:cs="Arial"/>
          <w:b/>
          <w:sz w:val="20"/>
          <w:szCs w:val="20"/>
        </w:rPr>
        <w:t xml:space="preserve">Deliverables definitions for Access and Consult Liaison </w:t>
      </w:r>
    </w:p>
    <w:p w14:paraId="3E5AF83F" w14:textId="77777777" w:rsidR="001B4084" w:rsidRPr="003F7CAF" w:rsidRDefault="001B4084" w:rsidP="001B4084">
      <w:pPr>
        <w:shd w:val="clear" w:color="auto" w:fill="FFFFFF"/>
        <w:spacing w:before="120" w:after="60" w:line="360" w:lineRule="auto"/>
        <w:jc w:val="both"/>
        <w:rPr>
          <w:rFonts w:ascii="Arial" w:hAnsi="Arial" w:cs="Arial"/>
          <w:b/>
          <w:i/>
          <w:sz w:val="20"/>
          <w:szCs w:val="20"/>
        </w:rPr>
      </w:pPr>
      <w:r w:rsidRPr="003F7CAF">
        <w:rPr>
          <w:rFonts w:ascii="Arial" w:hAnsi="Arial" w:cs="Arial"/>
          <w:b/>
          <w:i/>
          <w:sz w:val="20"/>
          <w:szCs w:val="20"/>
        </w:rPr>
        <w:t>Access</w:t>
      </w:r>
    </w:p>
    <w:p w14:paraId="42F25D08" w14:textId="77777777" w:rsidR="001B4084" w:rsidRPr="003F7CAF" w:rsidRDefault="001B4084" w:rsidP="001B4084">
      <w:pPr>
        <w:shd w:val="clear" w:color="auto" w:fill="FFFFFF"/>
        <w:spacing w:before="120" w:after="60" w:line="360" w:lineRule="auto"/>
        <w:ind w:firstLine="720"/>
        <w:jc w:val="both"/>
        <w:rPr>
          <w:rFonts w:ascii="Arial" w:hAnsi="Arial" w:cs="Arial"/>
          <w:b/>
          <w:sz w:val="20"/>
          <w:szCs w:val="20"/>
        </w:rPr>
      </w:pPr>
      <w:r w:rsidRPr="003F7CAF">
        <w:rPr>
          <w:rFonts w:ascii="Arial" w:hAnsi="Arial" w:cs="Arial"/>
          <w:b/>
          <w:i/>
          <w:sz w:val="20"/>
          <w:szCs w:val="20"/>
        </w:rPr>
        <w:t>Numerator:</w:t>
      </w:r>
      <w:r w:rsidRPr="003F7CAF">
        <w:rPr>
          <w:rFonts w:ascii="Arial" w:hAnsi="Arial" w:cs="Arial"/>
          <w:sz w:val="20"/>
          <w:szCs w:val="20"/>
        </w:rPr>
        <w:t xml:space="preserve"> </w:t>
      </w:r>
    </w:p>
    <w:p w14:paraId="66E7D512"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sz w:val="20"/>
          <w:szCs w:val="20"/>
        </w:rPr>
        <w:t>(Data Source: Ministry of Health)</w:t>
      </w:r>
    </w:p>
    <w:p w14:paraId="66E5F338" w14:textId="77777777" w:rsidR="001B4084" w:rsidRPr="003F7CAF" w:rsidRDefault="001B4084" w:rsidP="001B4084">
      <w:pPr>
        <w:shd w:val="clear" w:color="auto" w:fill="FFFFFF"/>
        <w:spacing w:before="60" w:after="60"/>
        <w:ind w:left="720"/>
        <w:jc w:val="both"/>
        <w:rPr>
          <w:rFonts w:ascii="Arial" w:hAnsi="Arial" w:cs="Arial"/>
          <w:sz w:val="20"/>
          <w:szCs w:val="20"/>
        </w:rPr>
      </w:pPr>
      <w:r w:rsidRPr="003F7CAF">
        <w:rPr>
          <w:rFonts w:ascii="Arial" w:hAnsi="Arial" w:cs="Arial"/>
          <w:sz w:val="20"/>
          <w:szCs w:val="20"/>
        </w:rPr>
        <w:t>The average number of people domiciled in the DHB region, seen per year rolling every three months being reported (the period is lagged by three months) for:</w:t>
      </w:r>
    </w:p>
    <w:p w14:paraId="1EB0A9D3" w14:textId="77777777" w:rsidR="001B4084" w:rsidRPr="003F7CAF" w:rsidRDefault="001B4084" w:rsidP="00C04FF1">
      <w:pPr>
        <w:numPr>
          <w:ilvl w:val="0"/>
          <w:numId w:val="34"/>
        </w:numPr>
        <w:shd w:val="clear" w:color="auto" w:fill="FFFFFF"/>
        <w:tabs>
          <w:tab w:val="clear" w:pos="720"/>
          <w:tab w:val="num" w:pos="1080"/>
        </w:tabs>
        <w:spacing w:before="60" w:after="60"/>
        <w:ind w:left="1080"/>
        <w:jc w:val="both"/>
        <w:rPr>
          <w:rFonts w:ascii="Arial" w:hAnsi="Arial" w:cs="Arial"/>
          <w:sz w:val="20"/>
          <w:szCs w:val="20"/>
        </w:rPr>
      </w:pPr>
      <w:r w:rsidRPr="003F7CAF">
        <w:rPr>
          <w:rFonts w:ascii="Arial" w:hAnsi="Arial" w:cs="Arial"/>
          <w:sz w:val="20"/>
          <w:szCs w:val="20"/>
        </w:rPr>
        <w:t>child and youth aged 0-19, specified for each of the three categories Māori, Other, and in total</w:t>
      </w:r>
    </w:p>
    <w:p w14:paraId="7A6FCE81" w14:textId="77777777" w:rsidR="001B4084" w:rsidRPr="003F7CAF" w:rsidRDefault="001B4084" w:rsidP="00C04FF1">
      <w:pPr>
        <w:numPr>
          <w:ilvl w:val="0"/>
          <w:numId w:val="34"/>
        </w:numPr>
        <w:shd w:val="clear" w:color="auto" w:fill="FFFFFF"/>
        <w:tabs>
          <w:tab w:val="clear" w:pos="720"/>
          <w:tab w:val="num" w:pos="1080"/>
        </w:tabs>
        <w:spacing w:before="60" w:after="60"/>
        <w:ind w:left="1080"/>
        <w:jc w:val="both"/>
        <w:rPr>
          <w:rFonts w:ascii="Arial" w:hAnsi="Arial" w:cs="Arial"/>
          <w:sz w:val="20"/>
          <w:szCs w:val="20"/>
        </w:rPr>
      </w:pPr>
      <w:r w:rsidRPr="003F7CAF">
        <w:rPr>
          <w:rFonts w:ascii="Arial" w:hAnsi="Arial" w:cs="Arial"/>
          <w:sz w:val="20"/>
          <w:szCs w:val="20"/>
        </w:rPr>
        <w:t>adults aged 20-64, specified for each of the three categories Māori, Other, and in total</w:t>
      </w:r>
    </w:p>
    <w:p w14:paraId="2E521650" w14:textId="77777777" w:rsidR="001B4084" w:rsidRPr="003F7CAF" w:rsidRDefault="001B4084" w:rsidP="00C04FF1">
      <w:pPr>
        <w:numPr>
          <w:ilvl w:val="0"/>
          <w:numId w:val="34"/>
        </w:numPr>
        <w:shd w:val="clear" w:color="auto" w:fill="FFFFFF"/>
        <w:tabs>
          <w:tab w:val="clear" w:pos="720"/>
          <w:tab w:val="num" w:pos="1080"/>
        </w:tabs>
        <w:spacing w:before="60" w:after="60"/>
        <w:ind w:left="1080"/>
        <w:jc w:val="both"/>
        <w:rPr>
          <w:rFonts w:ascii="Arial" w:hAnsi="Arial" w:cs="Arial"/>
          <w:sz w:val="20"/>
          <w:szCs w:val="20"/>
        </w:rPr>
      </w:pPr>
      <w:r w:rsidRPr="003F7CAF">
        <w:rPr>
          <w:rFonts w:ascii="Arial" w:hAnsi="Arial" w:cs="Arial"/>
          <w:sz w:val="20"/>
          <w:szCs w:val="20"/>
        </w:rPr>
        <w:t>older people aged 65+, specified for each of the three categories Māori, Other, and in total.</w:t>
      </w:r>
    </w:p>
    <w:p w14:paraId="1E2EC0D3"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b/>
          <w:i/>
          <w:sz w:val="20"/>
          <w:szCs w:val="20"/>
        </w:rPr>
        <w:t>Denominator:</w:t>
      </w:r>
      <w:r w:rsidRPr="003F7CAF">
        <w:rPr>
          <w:rFonts w:ascii="Arial" w:hAnsi="Arial" w:cs="Arial"/>
          <w:sz w:val="20"/>
          <w:szCs w:val="20"/>
        </w:rPr>
        <w:t xml:space="preserve"> </w:t>
      </w:r>
    </w:p>
    <w:p w14:paraId="02A81641"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sz w:val="20"/>
          <w:szCs w:val="20"/>
        </w:rPr>
        <w:t>(Data Source: Ministry of Health)</w:t>
      </w:r>
    </w:p>
    <w:p w14:paraId="056A668D"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sz w:val="20"/>
          <w:szCs w:val="20"/>
        </w:rPr>
        <w:t>Projected population of the DHB region by age and ethnicity.</w:t>
      </w:r>
    </w:p>
    <w:p w14:paraId="5DECE5C5" w14:textId="77777777" w:rsidR="001B4084" w:rsidRPr="003F7CAF" w:rsidRDefault="001B4084" w:rsidP="001B4084">
      <w:pPr>
        <w:shd w:val="clear" w:color="auto" w:fill="FFFFFF"/>
        <w:spacing w:before="120" w:after="60"/>
        <w:ind w:firstLine="720"/>
        <w:jc w:val="both"/>
        <w:rPr>
          <w:rFonts w:ascii="Arial" w:hAnsi="Arial" w:cs="Arial"/>
          <w:b/>
          <w:sz w:val="20"/>
          <w:szCs w:val="20"/>
        </w:rPr>
      </w:pPr>
    </w:p>
    <w:p w14:paraId="6437B063" w14:textId="77777777" w:rsidR="001B4084" w:rsidRPr="003F7CAF" w:rsidRDefault="001B4084" w:rsidP="001B4084">
      <w:pPr>
        <w:shd w:val="clear" w:color="auto" w:fill="FFFFFF"/>
        <w:spacing w:before="120" w:after="60"/>
        <w:ind w:firstLine="720"/>
        <w:jc w:val="both"/>
        <w:rPr>
          <w:rFonts w:ascii="Arial" w:hAnsi="Arial" w:cs="Arial"/>
          <w:b/>
          <w:sz w:val="20"/>
          <w:szCs w:val="20"/>
        </w:rPr>
      </w:pPr>
      <w:r w:rsidRPr="003F7CAF">
        <w:rPr>
          <w:rFonts w:ascii="Arial" w:hAnsi="Arial" w:cs="Arial"/>
          <w:b/>
          <w:sz w:val="20"/>
          <w:szCs w:val="20"/>
        </w:rPr>
        <w:t>Interpreting Access Rates</w:t>
      </w:r>
    </w:p>
    <w:p w14:paraId="4776C438" w14:textId="77777777" w:rsidR="001B4084" w:rsidRPr="003F7CAF" w:rsidRDefault="001B4084" w:rsidP="001B4084">
      <w:pPr>
        <w:shd w:val="clear" w:color="auto" w:fill="FFFFFF"/>
        <w:spacing w:before="60" w:after="60"/>
        <w:ind w:left="1080"/>
        <w:jc w:val="both"/>
        <w:rPr>
          <w:rFonts w:ascii="Arial" w:hAnsi="Arial" w:cs="Arial"/>
          <w:sz w:val="20"/>
          <w:szCs w:val="20"/>
        </w:rPr>
      </w:pPr>
      <w:r w:rsidRPr="003F7CAF">
        <w:rPr>
          <w:rFonts w:ascii="Arial" w:hAnsi="Arial" w:cs="Arial"/>
          <w:sz w:val="20"/>
          <w:szCs w:val="20"/>
        </w:rPr>
        <w:t>There are at least four factors that can impact on making informed decisions regarding access rates both by DHB and nationally.  These factors must be taken into consideration by all parties when negotiating targets.  They are:</w:t>
      </w:r>
    </w:p>
    <w:p w14:paraId="325274A8" w14:textId="77777777" w:rsidR="001B4084" w:rsidRPr="003F7CAF" w:rsidRDefault="001B4084" w:rsidP="00C04FF1">
      <w:pPr>
        <w:numPr>
          <w:ilvl w:val="0"/>
          <w:numId w:val="35"/>
        </w:numPr>
        <w:shd w:val="clear" w:color="auto" w:fill="FFFFFF"/>
        <w:tabs>
          <w:tab w:val="clear" w:pos="720"/>
          <w:tab w:val="num" w:pos="1440"/>
        </w:tabs>
        <w:spacing w:before="60" w:after="60"/>
        <w:ind w:left="1440"/>
        <w:jc w:val="both"/>
        <w:rPr>
          <w:rFonts w:ascii="Arial" w:hAnsi="Arial" w:cs="Arial"/>
          <w:sz w:val="20"/>
          <w:szCs w:val="20"/>
        </w:rPr>
      </w:pPr>
      <w:r w:rsidRPr="003F7CAF">
        <w:rPr>
          <w:rFonts w:ascii="Arial" w:hAnsi="Arial" w:cs="Arial"/>
          <w:sz w:val="20"/>
          <w:szCs w:val="20"/>
        </w:rPr>
        <w:t>the more recovery-focused a service, the lower the likely demand will be for services.  A point will be reached where access will stabilise at a particular rate that is likely to be unique to each DHB</w:t>
      </w:r>
    </w:p>
    <w:p w14:paraId="2052227B" w14:textId="77777777" w:rsidR="001B4084" w:rsidRPr="003F7CAF" w:rsidRDefault="001B4084" w:rsidP="00C04FF1">
      <w:pPr>
        <w:numPr>
          <w:ilvl w:val="0"/>
          <w:numId w:val="35"/>
        </w:numPr>
        <w:shd w:val="clear" w:color="auto" w:fill="FFFFFF"/>
        <w:tabs>
          <w:tab w:val="clear" w:pos="720"/>
          <w:tab w:val="num" w:pos="1440"/>
        </w:tabs>
        <w:spacing w:before="60" w:after="60"/>
        <w:ind w:left="1440"/>
        <w:jc w:val="both"/>
        <w:rPr>
          <w:rFonts w:ascii="Arial" w:hAnsi="Arial" w:cs="Arial"/>
          <w:sz w:val="20"/>
          <w:szCs w:val="20"/>
        </w:rPr>
      </w:pPr>
      <w:r w:rsidRPr="003F7CAF">
        <w:rPr>
          <w:rFonts w:ascii="Arial" w:hAnsi="Arial" w:cs="Arial"/>
          <w:sz w:val="20"/>
          <w:szCs w:val="20"/>
        </w:rPr>
        <w:t>the number and quality of primary ancillary mental health services (e.g. GPs, Private Counsellors, and Relationship Services) will have an impact on access rates to secondary mental health services</w:t>
      </w:r>
    </w:p>
    <w:p w14:paraId="0A018D2C" w14:textId="77777777" w:rsidR="001B4084" w:rsidRPr="003F7CAF" w:rsidRDefault="001B4084" w:rsidP="00C04FF1">
      <w:pPr>
        <w:numPr>
          <w:ilvl w:val="0"/>
          <w:numId w:val="35"/>
        </w:numPr>
        <w:shd w:val="clear" w:color="auto" w:fill="FFFFFF"/>
        <w:tabs>
          <w:tab w:val="clear" w:pos="720"/>
          <w:tab w:val="num" w:pos="1440"/>
        </w:tabs>
        <w:spacing w:before="60" w:after="60"/>
        <w:ind w:left="1440"/>
        <w:jc w:val="both"/>
        <w:rPr>
          <w:rFonts w:ascii="Arial" w:hAnsi="Arial" w:cs="Arial"/>
          <w:sz w:val="20"/>
          <w:szCs w:val="20"/>
        </w:rPr>
      </w:pPr>
      <w:r w:rsidRPr="003F7CAF">
        <w:rPr>
          <w:rFonts w:ascii="Arial" w:hAnsi="Arial" w:cs="Arial"/>
          <w:sz w:val="20"/>
          <w:szCs w:val="20"/>
        </w:rPr>
        <w:t>that there is a difference between determining serious mental illness epidemiologically, and a clinical assessment of what constitutes a serious mental illness</w:t>
      </w:r>
    </w:p>
    <w:p w14:paraId="78918535" w14:textId="77777777" w:rsidR="001B4084" w:rsidRPr="003F7CAF" w:rsidRDefault="001B4084" w:rsidP="00C04FF1">
      <w:pPr>
        <w:numPr>
          <w:ilvl w:val="0"/>
          <w:numId w:val="35"/>
        </w:numPr>
        <w:shd w:val="clear" w:color="auto" w:fill="FFFFFF"/>
        <w:tabs>
          <w:tab w:val="clear" w:pos="720"/>
          <w:tab w:val="num" w:pos="1440"/>
        </w:tabs>
        <w:spacing w:before="60" w:after="60"/>
        <w:ind w:left="1440"/>
        <w:jc w:val="both"/>
        <w:rPr>
          <w:rFonts w:ascii="Arial" w:hAnsi="Arial" w:cs="Arial"/>
          <w:sz w:val="20"/>
          <w:szCs w:val="20"/>
        </w:rPr>
      </w:pPr>
      <w:r w:rsidRPr="003F7CAF">
        <w:rPr>
          <w:rFonts w:ascii="Arial" w:hAnsi="Arial" w:cs="Arial"/>
          <w:sz w:val="20"/>
          <w:szCs w:val="20"/>
        </w:rPr>
        <w:t xml:space="preserve">that only half of older </w:t>
      </w:r>
      <w:proofErr w:type="gramStart"/>
      <w:r w:rsidRPr="003F7CAF">
        <w:rPr>
          <w:rFonts w:ascii="Arial" w:hAnsi="Arial" w:cs="Arial"/>
          <w:sz w:val="20"/>
          <w:szCs w:val="20"/>
        </w:rPr>
        <w:t>peoples</w:t>
      </w:r>
      <w:proofErr w:type="gramEnd"/>
      <w:r w:rsidRPr="003F7CAF">
        <w:rPr>
          <w:rFonts w:ascii="Arial" w:hAnsi="Arial" w:cs="Arial"/>
          <w:sz w:val="20"/>
          <w:szCs w:val="20"/>
        </w:rPr>
        <w:t xml:space="preserve"> services are funded directly by mental health</w:t>
      </w:r>
    </w:p>
    <w:p w14:paraId="01B03340" w14:textId="77777777" w:rsidR="001B4084" w:rsidRPr="00584CB4" w:rsidRDefault="001B4084" w:rsidP="001B4084">
      <w:pPr>
        <w:shd w:val="clear" w:color="auto" w:fill="FFFFFF"/>
        <w:spacing w:before="60" w:after="60"/>
        <w:jc w:val="both"/>
        <w:rPr>
          <w:rFonts w:ascii="Arial" w:hAnsi="Arial" w:cs="Arial"/>
          <w:sz w:val="22"/>
          <w:szCs w:val="22"/>
        </w:rPr>
      </w:pPr>
    </w:p>
    <w:p w14:paraId="5FAACE6D" w14:textId="77777777" w:rsidR="001B4084" w:rsidRDefault="001B4084" w:rsidP="001B4084">
      <w:pPr>
        <w:rPr>
          <w:rFonts w:ascii="Arial" w:hAnsi="Arial" w:cs="Arial"/>
          <w:b/>
          <w:i/>
          <w:sz w:val="22"/>
          <w:szCs w:val="22"/>
        </w:rPr>
      </w:pPr>
    </w:p>
    <w:p w14:paraId="36BE23F0" w14:textId="77777777" w:rsidR="001B4084" w:rsidRPr="00584CB4" w:rsidRDefault="001B4084" w:rsidP="001B4084">
      <w:pPr>
        <w:shd w:val="clear" w:color="auto" w:fill="FFFFFF"/>
        <w:spacing w:before="60" w:after="60" w:line="360" w:lineRule="auto"/>
        <w:ind w:firstLine="720"/>
        <w:jc w:val="both"/>
        <w:rPr>
          <w:rFonts w:ascii="Arial" w:hAnsi="Arial" w:cs="Arial"/>
          <w:sz w:val="22"/>
          <w:szCs w:val="22"/>
        </w:rPr>
      </w:pPr>
      <w:r w:rsidRPr="00584CB4">
        <w:rPr>
          <w:rFonts w:ascii="Arial" w:hAnsi="Arial" w:cs="Arial"/>
          <w:b/>
          <w:i/>
          <w:sz w:val="22"/>
          <w:szCs w:val="22"/>
        </w:rPr>
        <w:t>Reporting required</w:t>
      </w:r>
      <w:r w:rsidRPr="00584CB4">
        <w:rPr>
          <w:rFonts w:ascii="Arial" w:hAnsi="Arial" w:cs="Arial"/>
          <w:i/>
          <w:sz w:val="22"/>
          <w:szCs w:val="22"/>
        </w:rPr>
        <w:t>:</w:t>
      </w:r>
      <w:r w:rsidRPr="00584CB4">
        <w:rPr>
          <w:rFonts w:ascii="Arial" w:hAnsi="Arial" w:cs="Arial"/>
          <w:sz w:val="22"/>
          <w:szCs w:val="22"/>
        </w:rPr>
        <w:t xml:space="preserve"> Six monthly, annual rolling as per the table below:</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1B4084" w:rsidRPr="00584CB4" w14:paraId="143755C0" w14:textId="77777777" w:rsidTr="008052F3">
        <w:trPr>
          <w:jc w:val="center"/>
        </w:trPr>
        <w:tc>
          <w:tcPr>
            <w:tcW w:w="1617" w:type="dxa"/>
            <w:shd w:val="clear" w:color="auto" w:fill="CCCCCC"/>
            <w:vAlign w:val="center"/>
          </w:tcPr>
          <w:p w14:paraId="37756DBA" w14:textId="77777777" w:rsidR="001B4084" w:rsidRPr="00584CB4" w:rsidRDefault="001B4084" w:rsidP="008052F3">
            <w:pPr>
              <w:shd w:val="clear" w:color="auto" w:fill="FFFFFF"/>
              <w:spacing w:before="60" w:after="60"/>
              <w:jc w:val="both"/>
              <w:rPr>
                <w:rFonts w:ascii="Arial" w:hAnsi="Arial" w:cs="Arial"/>
                <w:b/>
                <w:sz w:val="22"/>
                <w:szCs w:val="22"/>
              </w:rPr>
            </w:pPr>
            <w:r w:rsidRPr="00584CB4">
              <w:rPr>
                <w:rFonts w:ascii="Arial" w:hAnsi="Arial" w:cs="Arial"/>
                <w:b/>
                <w:sz w:val="22"/>
                <w:szCs w:val="22"/>
              </w:rPr>
              <w:t xml:space="preserve">Quarter </w:t>
            </w:r>
          </w:p>
        </w:tc>
        <w:tc>
          <w:tcPr>
            <w:tcW w:w="4323" w:type="dxa"/>
            <w:shd w:val="clear" w:color="auto" w:fill="CCCCCC"/>
            <w:vAlign w:val="center"/>
          </w:tcPr>
          <w:p w14:paraId="2EFF539C" w14:textId="77777777" w:rsidR="001B4084" w:rsidRPr="00584CB4" w:rsidRDefault="001B4084" w:rsidP="008052F3">
            <w:pPr>
              <w:shd w:val="clear" w:color="auto" w:fill="FFFFFF"/>
              <w:spacing w:before="60" w:after="60"/>
              <w:jc w:val="both"/>
              <w:rPr>
                <w:rFonts w:ascii="Arial" w:hAnsi="Arial" w:cs="Arial"/>
                <w:b/>
                <w:sz w:val="22"/>
                <w:szCs w:val="22"/>
              </w:rPr>
            </w:pPr>
            <w:r w:rsidRPr="00584CB4">
              <w:rPr>
                <w:rFonts w:ascii="Arial" w:hAnsi="Arial" w:cs="Arial"/>
                <w:b/>
                <w:sz w:val="22"/>
                <w:szCs w:val="22"/>
              </w:rPr>
              <w:t>For the time period</w:t>
            </w:r>
          </w:p>
        </w:tc>
      </w:tr>
      <w:tr w:rsidR="001B4084" w:rsidRPr="00584CB4" w14:paraId="7C9C4B52" w14:textId="77777777" w:rsidTr="008052F3">
        <w:tblPrEx>
          <w:tblLook w:val="01E0" w:firstRow="1" w:lastRow="1" w:firstColumn="1" w:lastColumn="1" w:noHBand="0" w:noVBand="0"/>
        </w:tblPrEx>
        <w:trPr>
          <w:jc w:val="center"/>
        </w:trPr>
        <w:tc>
          <w:tcPr>
            <w:tcW w:w="1617" w:type="dxa"/>
            <w:shd w:val="clear" w:color="auto" w:fill="auto"/>
          </w:tcPr>
          <w:p w14:paraId="29E16491" w14:textId="77777777" w:rsidR="001B4084" w:rsidRPr="00584CB4" w:rsidRDefault="001B4084" w:rsidP="008052F3">
            <w:pPr>
              <w:shd w:val="clear" w:color="auto" w:fill="FFFFFF"/>
              <w:spacing w:before="60" w:after="60"/>
              <w:jc w:val="both"/>
              <w:rPr>
                <w:rFonts w:ascii="Arial" w:hAnsi="Arial" w:cs="Arial"/>
                <w:sz w:val="22"/>
                <w:szCs w:val="22"/>
              </w:rPr>
            </w:pPr>
            <w:r w:rsidRPr="00584CB4">
              <w:rPr>
                <w:rFonts w:ascii="Arial" w:hAnsi="Arial" w:cs="Arial"/>
                <w:sz w:val="22"/>
                <w:szCs w:val="22"/>
              </w:rPr>
              <w:t>Quarter 2</w:t>
            </w:r>
          </w:p>
        </w:tc>
        <w:tc>
          <w:tcPr>
            <w:tcW w:w="4323" w:type="dxa"/>
            <w:shd w:val="clear" w:color="auto" w:fill="auto"/>
          </w:tcPr>
          <w:p w14:paraId="46DBE2E5" w14:textId="77777777" w:rsidR="001B4084" w:rsidRPr="00584CB4" w:rsidRDefault="001B4084" w:rsidP="008052F3">
            <w:pPr>
              <w:shd w:val="clear" w:color="auto" w:fill="FFFFFF"/>
              <w:spacing w:before="60" w:after="60"/>
              <w:jc w:val="both"/>
              <w:rPr>
                <w:rFonts w:ascii="Arial" w:hAnsi="Arial" w:cs="Arial"/>
                <w:sz w:val="22"/>
                <w:szCs w:val="22"/>
              </w:rPr>
            </w:pPr>
            <w:r w:rsidRPr="00584CB4">
              <w:rPr>
                <w:rFonts w:ascii="Arial" w:hAnsi="Arial" w:cs="Arial"/>
                <w:color w:val="000000"/>
                <w:sz w:val="22"/>
                <w:szCs w:val="22"/>
              </w:rPr>
              <w:t>Annual a quarter in arrears</w:t>
            </w:r>
          </w:p>
        </w:tc>
      </w:tr>
      <w:tr w:rsidR="001B4084" w:rsidRPr="00584CB4" w14:paraId="35D0E588" w14:textId="77777777" w:rsidTr="008052F3">
        <w:tblPrEx>
          <w:tblLook w:val="01E0" w:firstRow="1" w:lastRow="1" w:firstColumn="1" w:lastColumn="1" w:noHBand="0" w:noVBand="0"/>
        </w:tblPrEx>
        <w:trPr>
          <w:jc w:val="center"/>
        </w:trPr>
        <w:tc>
          <w:tcPr>
            <w:tcW w:w="1617" w:type="dxa"/>
            <w:shd w:val="clear" w:color="auto" w:fill="auto"/>
          </w:tcPr>
          <w:p w14:paraId="13028AB8" w14:textId="77777777" w:rsidR="001B4084" w:rsidRPr="00584CB4" w:rsidRDefault="001B4084" w:rsidP="008052F3">
            <w:pPr>
              <w:shd w:val="clear" w:color="auto" w:fill="FFFFFF"/>
              <w:spacing w:before="60" w:after="60"/>
              <w:jc w:val="both"/>
              <w:rPr>
                <w:rFonts w:ascii="Arial" w:hAnsi="Arial" w:cs="Arial"/>
                <w:sz w:val="22"/>
                <w:szCs w:val="22"/>
              </w:rPr>
            </w:pPr>
            <w:r w:rsidRPr="00584CB4">
              <w:rPr>
                <w:rFonts w:ascii="Arial" w:hAnsi="Arial" w:cs="Arial"/>
                <w:sz w:val="22"/>
                <w:szCs w:val="22"/>
              </w:rPr>
              <w:t>Quarter 4</w:t>
            </w:r>
          </w:p>
        </w:tc>
        <w:tc>
          <w:tcPr>
            <w:tcW w:w="4323" w:type="dxa"/>
            <w:shd w:val="clear" w:color="auto" w:fill="auto"/>
          </w:tcPr>
          <w:p w14:paraId="6390671E" w14:textId="77777777" w:rsidR="001B4084" w:rsidRPr="00584CB4" w:rsidRDefault="001B4084" w:rsidP="008052F3">
            <w:pPr>
              <w:shd w:val="clear" w:color="auto" w:fill="FFFFFF"/>
              <w:spacing w:before="60" w:after="60"/>
              <w:jc w:val="both"/>
              <w:rPr>
                <w:rFonts w:ascii="Arial" w:hAnsi="Arial" w:cs="Arial"/>
                <w:sz w:val="22"/>
                <w:szCs w:val="22"/>
              </w:rPr>
            </w:pPr>
            <w:r w:rsidRPr="00584CB4">
              <w:rPr>
                <w:rFonts w:ascii="Arial" w:hAnsi="Arial" w:cs="Arial"/>
                <w:color w:val="000000"/>
                <w:sz w:val="22"/>
                <w:szCs w:val="22"/>
              </w:rPr>
              <w:t>Annual a quarter in arrears</w:t>
            </w:r>
          </w:p>
        </w:tc>
      </w:tr>
    </w:tbl>
    <w:p w14:paraId="2A026102" w14:textId="77777777" w:rsidR="001B4084" w:rsidRPr="00584CB4" w:rsidRDefault="001B4084" w:rsidP="001B4084">
      <w:pPr>
        <w:shd w:val="clear" w:color="auto" w:fill="FFFFFF"/>
        <w:spacing w:before="60" w:after="60" w:line="360" w:lineRule="auto"/>
        <w:jc w:val="both"/>
        <w:rPr>
          <w:rFonts w:ascii="Arial" w:hAnsi="Arial" w:cs="Arial"/>
          <w:b/>
          <w:sz w:val="22"/>
          <w:szCs w:val="22"/>
        </w:rPr>
      </w:pPr>
      <w:r w:rsidRPr="00584CB4">
        <w:rPr>
          <w:rFonts w:ascii="Arial" w:hAnsi="Arial" w:cs="Arial"/>
          <w:b/>
          <w:sz w:val="22"/>
          <w:szCs w:val="22"/>
        </w:rPr>
        <w:t>Consultation &amp; Liaison Activity</w:t>
      </w:r>
    </w:p>
    <w:p w14:paraId="385051F5"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sz w:val="20"/>
          <w:szCs w:val="20"/>
        </w:rPr>
        <w:t>For those DHBs who can collect consultation activity they should report it here.</w:t>
      </w:r>
    </w:p>
    <w:p w14:paraId="7C6501BC" w14:textId="77777777" w:rsidR="001B4084" w:rsidRPr="003F7CAF" w:rsidRDefault="001B4084" w:rsidP="001B4084">
      <w:pPr>
        <w:shd w:val="clear" w:color="auto" w:fill="FFFFFF"/>
        <w:spacing w:before="60" w:after="60"/>
        <w:jc w:val="both"/>
        <w:rPr>
          <w:rFonts w:ascii="Arial" w:hAnsi="Arial" w:cs="Arial"/>
          <w:b/>
          <w:sz w:val="20"/>
          <w:szCs w:val="20"/>
        </w:rPr>
      </w:pPr>
      <w:r w:rsidRPr="003F7CAF">
        <w:rPr>
          <w:rFonts w:ascii="Arial" w:hAnsi="Arial" w:cs="Arial"/>
          <w:b/>
          <w:sz w:val="20"/>
          <w:szCs w:val="20"/>
        </w:rPr>
        <w:tab/>
      </w:r>
    </w:p>
    <w:p w14:paraId="4A00926A" w14:textId="77777777" w:rsidR="001B4084" w:rsidRPr="003F7CAF" w:rsidRDefault="001B4084" w:rsidP="001B4084">
      <w:pPr>
        <w:shd w:val="clear" w:color="auto" w:fill="FFFFFF"/>
        <w:spacing w:before="60" w:after="60"/>
        <w:ind w:left="720"/>
        <w:jc w:val="both"/>
        <w:rPr>
          <w:rFonts w:ascii="Arial" w:hAnsi="Arial" w:cs="Arial"/>
          <w:i/>
          <w:sz w:val="20"/>
          <w:szCs w:val="20"/>
        </w:rPr>
      </w:pPr>
      <w:r w:rsidRPr="003F7CAF">
        <w:rPr>
          <w:rFonts w:ascii="Arial" w:hAnsi="Arial" w:cs="Arial"/>
          <w:i/>
          <w:sz w:val="20"/>
          <w:szCs w:val="20"/>
        </w:rPr>
        <w:t>The criteria below have been drawn from the KPI consult liaison working group proposal that reported its work to the Ministry of Health:</w:t>
      </w:r>
    </w:p>
    <w:p w14:paraId="12FDD5EF" w14:textId="77777777" w:rsidR="001B4084" w:rsidRPr="00584CB4" w:rsidRDefault="001B4084" w:rsidP="001B4084">
      <w:pPr>
        <w:shd w:val="clear" w:color="auto" w:fill="FFFFFF"/>
        <w:spacing w:before="60" w:after="60"/>
        <w:jc w:val="both"/>
        <w:rPr>
          <w:rFonts w:ascii="Arial" w:hAnsi="Arial" w:cs="Arial"/>
          <w:b/>
          <w:sz w:val="22"/>
          <w:szCs w:val="22"/>
        </w:rPr>
      </w:pPr>
    </w:p>
    <w:tbl>
      <w:tblPr>
        <w:tblStyle w:val="TableGrid"/>
        <w:tblW w:w="0" w:type="auto"/>
        <w:tblLook w:val="04A0" w:firstRow="1" w:lastRow="0" w:firstColumn="1" w:lastColumn="0" w:noHBand="0" w:noVBand="1"/>
      </w:tblPr>
      <w:tblGrid>
        <w:gridCol w:w="2588"/>
        <w:gridCol w:w="2306"/>
        <w:gridCol w:w="2061"/>
        <w:gridCol w:w="2061"/>
      </w:tblGrid>
      <w:tr w:rsidR="001B4084" w:rsidRPr="00584CB4" w14:paraId="0C8A4DF1" w14:textId="77777777" w:rsidTr="008052F3">
        <w:tc>
          <w:tcPr>
            <w:tcW w:w="2588" w:type="dxa"/>
          </w:tcPr>
          <w:p w14:paraId="2F04FB1B" w14:textId="77777777" w:rsidR="001B4084" w:rsidRPr="003F7CAF" w:rsidRDefault="001B4084" w:rsidP="008052F3">
            <w:pPr>
              <w:spacing w:before="60" w:after="60"/>
              <w:jc w:val="both"/>
              <w:rPr>
                <w:rFonts w:ascii="Arial" w:hAnsi="Arial" w:cs="Arial"/>
                <w:b/>
                <w:sz w:val="20"/>
                <w:szCs w:val="20"/>
              </w:rPr>
            </w:pPr>
            <w:r w:rsidRPr="003F7CAF">
              <w:rPr>
                <w:rFonts w:ascii="Arial" w:hAnsi="Arial" w:cs="Arial"/>
                <w:b/>
                <w:sz w:val="20"/>
                <w:szCs w:val="20"/>
              </w:rPr>
              <w:t>Consult Function</w:t>
            </w:r>
          </w:p>
        </w:tc>
        <w:tc>
          <w:tcPr>
            <w:tcW w:w="2306" w:type="dxa"/>
          </w:tcPr>
          <w:p w14:paraId="6D220702" w14:textId="77777777" w:rsidR="001B4084" w:rsidRPr="003F7CAF" w:rsidRDefault="001B4084" w:rsidP="008052F3">
            <w:pPr>
              <w:spacing w:before="60" w:after="60"/>
              <w:jc w:val="both"/>
              <w:rPr>
                <w:rFonts w:ascii="Arial" w:hAnsi="Arial" w:cs="Arial"/>
                <w:b/>
                <w:sz w:val="20"/>
                <w:szCs w:val="20"/>
              </w:rPr>
            </w:pPr>
            <w:r w:rsidRPr="003F7CAF">
              <w:rPr>
                <w:rFonts w:ascii="Arial" w:hAnsi="Arial" w:cs="Arial"/>
                <w:b/>
                <w:sz w:val="20"/>
                <w:szCs w:val="20"/>
              </w:rPr>
              <w:t>Consult Activity</w:t>
            </w:r>
          </w:p>
        </w:tc>
        <w:tc>
          <w:tcPr>
            <w:tcW w:w="2061" w:type="dxa"/>
          </w:tcPr>
          <w:p w14:paraId="4D73CD83" w14:textId="77777777" w:rsidR="001B4084" w:rsidRPr="003F7CAF" w:rsidRDefault="001B4084" w:rsidP="008052F3">
            <w:pPr>
              <w:spacing w:before="60" w:after="60"/>
              <w:jc w:val="both"/>
              <w:rPr>
                <w:rFonts w:ascii="Arial" w:hAnsi="Arial" w:cs="Arial"/>
                <w:b/>
                <w:sz w:val="20"/>
                <w:szCs w:val="20"/>
              </w:rPr>
            </w:pPr>
            <w:r w:rsidRPr="003F7CAF">
              <w:rPr>
                <w:rFonts w:ascii="Arial" w:hAnsi="Arial" w:cs="Arial"/>
                <w:b/>
                <w:sz w:val="20"/>
                <w:szCs w:val="20"/>
              </w:rPr>
              <w:t>Activity definition</w:t>
            </w:r>
          </w:p>
        </w:tc>
        <w:tc>
          <w:tcPr>
            <w:tcW w:w="2061" w:type="dxa"/>
          </w:tcPr>
          <w:p w14:paraId="6EA0091B" w14:textId="77777777" w:rsidR="001B4084" w:rsidRPr="003F7CAF" w:rsidRDefault="001B4084" w:rsidP="008052F3">
            <w:pPr>
              <w:spacing w:before="60" w:after="60"/>
              <w:rPr>
                <w:rFonts w:ascii="Arial" w:hAnsi="Arial" w:cs="Arial"/>
                <w:b/>
                <w:i/>
                <w:sz w:val="20"/>
                <w:szCs w:val="20"/>
              </w:rPr>
            </w:pPr>
            <w:r w:rsidRPr="003F7CAF">
              <w:rPr>
                <w:rFonts w:ascii="Arial" w:hAnsi="Arial" w:cs="Arial"/>
                <w:b/>
                <w:i/>
                <w:sz w:val="20"/>
                <w:szCs w:val="20"/>
              </w:rPr>
              <w:t>Total number of activities</w:t>
            </w:r>
          </w:p>
        </w:tc>
      </w:tr>
      <w:tr w:rsidR="001B4084" w:rsidRPr="00584CB4" w14:paraId="54D2205B" w14:textId="77777777" w:rsidTr="008052F3">
        <w:tc>
          <w:tcPr>
            <w:tcW w:w="2588" w:type="dxa"/>
          </w:tcPr>
          <w:p w14:paraId="30DCD737" w14:textId="77777777" w:rsidR="001B4084" w:rsidRPr="003F7CAF" w:rsidRDefault="001B4084" w:rsidP="008052F3">
            <w:pPr>
              <w:spacing w:before="60" w:after="60"/>
              <w:jc w:val="both"/>
              <w:rPr>
                <w:rFonts w:ascii="Arial" w:hAnsi="Arial" w:cs="Arial"/>
                <w:b/>
                <w:sz w:val="20"/>
                <w:szCs w:val="20"/>
              </w:rPr>
            </w:pPr>
            <w:r w:rsidRPr="003F7CAF">
              <w:rPr>
                <w:rFonts w:ascii="Arial" w:hAnsi="Arial" w:cs="Arial"/>
                <w:b/>
                <w:sz w:val="20"/>
                <w:szCs w:val="20"/>
              </w:rPr>
              <w:t>Direct consult</w:t>
            </w:r>
          </w:p>
        </w:tc>
        <w:tc>
          <w:tcPr>
            <w:tcW w:w="2306" w:type="dxa"/>
          </w:tcPr>
          <w:p w14:paraId="23392975" w14:textId="77777777" w:rsidR="001B4084" w:rsidRPr="003F7CAF" w:rsidRDefault="001B4084" w:rsidP="008052F3">
            <w:pPr>
              <w:spacing w:before="60" w:after="60"/>
              <w:rPr>
                <w:rFonts w:ascii="Arial" w:hAnsi="Arial" w:cs="Arial"/>
                <w:sz w:val="20"/>
                <w:szCs w:val="20"/>
              </w:rPr>
            </w:pPr>
            <w:r w:rsidRPr="003F7CAF">
              <w:rPr>
                <w:rFonts w:ascii="Arial" w:hAnsi="Arial" w:cs="Arial"/>
                <w:sz w:val="20"/>
                <w:szCs w:val="20"/>
              </w:rPr>
              <w:t>Consultation: Consumer participation</w:t>
            </w:r>
          </w:p>
        </w:tc>
        <w:tc>
          <w:tcPr>
            <w:tcW w:w="2061" w:type="dxa"/>
          </w:tcPr>
          <w:p w14:paraId="62F82420" w14:textId="77777777" w:rsidR="001B4084" w:rsidRPr="003F7CAF" w:rsidRDefault="001B4084" w:rsidP="008052F3">
            <w:pPr>
              <w:spacing w:before="60" w:after="60"/>
              <w:rPr>
                <w:rFonts w:ascii="Arial" w:hAnsi="Arial" w:cs="Arial"/>
                <w:sz w:val="20"/>
                <w:szCs w:val="20"/>
              </w:rPr>
            </w:pPr>
            <w:r w:rsidRPr="003F7CAF">
              <w:rPr>
                <w:rFonts w:ascii="Arial" w:hAnsi="Arial" w:cs="Arial"/>
                <w:sz w:val="20"/>
                <w:szCs w:val="20"/>
              </w:rPr>
              <w:t>No active referral – please refer to the KPI Consult Liaison document</w:t>
            </w:r>
          </w:p>
        </w:tc>
        <w:tc>
          <w:tcPr>
            <w:tcW w:w="2061" w:type="dxa"/>
          </w:tcPr>
          <w:p w14:paraId="648EC96C" w14:textId="77777777" w:rsidR="001B4084" w:rsidRPr="003F7CAF" w:rsidRDefault="001B4084" w:rsidP="008052F3">
            <w:pPr>
              <w:spacing w:before="60" w:after="60"/>
              <w:jc w:val="both"/>
              <w:rPr>
                <w:rFonts w:ascii="Arial" w:hAnsi="Arial" w:cs="Arial"/>
                <w:b/>
                <w:sz w:val="20"/>
                <w:szCs w:val="20"/>
              </w:rPr>
            </w:pPr>
          </w:p>
        </w:tc>
      </w:tr>
      <w:tr w:rsidR="001B4084" w:rsidRPr="00584CB4" w14:paraId="0B8AB5C5" w14:textId="77777777" w:rsidTr="008052F3">
        <w:tc>
          <w:tcPr>
            <w:tcW w:w="2588" w:type="dxa"/>
            <w:tcBorders>
              <w:bottom w:val="single" w:sz="4" w:space="0" w:color="auto"/>
            </w:tcBorders>
          </w:tcPr>
          <w:p w14:paraId="1C302105" w14:textId="77777777" w:rsidR="001B4084" w:rsidRPr="003F7CAF" w:rsidRDefault="001B4084" w:rsidP="008052F3">
            <w:pPr>
              <w:spacing w:before="60" w:after="60"/>
              <w:jc w:val="both"/>
              <w:rPr>
                <w:rFonts w:ascii="Arial" w:hAnsi="Arial" w:cs="Arial"/>
                <w:b/>
                <w:sz w:val="20"/>
                <w:szCs w:val="20"/>
              </w:rPr>
            </w:pPr>
            <w:r w:rsidRPr="003F7CAF">
              <w:rPr>
                <w:rFonts w:ascii="Arial" w:hAnsi="Arial" w:cs="Arial"/>
                <w:b/>
                <w:sz w:val="20"/>
                <w:szCs w:val="20"/>
              </w:rPr>
              <w:lastRenderedPageBreak/>
              <w:t>Indirect consult</w:t>
            </w:r>
          </w:p>
        </w:tc>
        <w:tc>
          <w:tcPr>
            <w:tcW w:w="2306" w:type="dxa"/>
            <w:tcBorders>
              <w:bottom w:val="single" w:sz="4" w:space="0" w:color="auto"/>
            </w:tcBorders>
          </w:tcPr>
          <w:p w14:paraId="7D6F8E1C" w14:textId="77777777" w:rsidR="001B4084" w:rsidRPr="003F7CAF" w:rsidRDefault="001B4084" w:rsidP="008052F3">
            <w:pPr>
              <w:spacing w:before="60" w:after="60"/>
              <w:rPr>
                <w:rFonts w:ascii="Arial" w:hAnsi="Arial" w:cs="Arial"/>
                <w:sz w:val="20"/>
                <w:szCs w:val="20"/>
              </w:rPr>
            </w:pPr>
            <w:r w:rsidRPr="003F7CAF">
              <w:rPr>
                <w:rFonts w:ascii="Arial" w:hAnsi="Arial" w:cs="Arial"/>
                <w:sz w:val="20"/>
                <w:szCs w:val="20"/>
              </w:rPr>
              <w:t>Consultation: No consumer participation</w:t>
            </w:r>
          </w:p>
        </w:tc>
        <w:tc>
          <w:tcPr>
            <w:tcW w:w="2061" w:type="dxa"/>
            <w:tcBorders>
              <w:bottom w:val="single" w:sz="4" w:space="0" w:color="auto"/>
            </w:tcBorders>
          </w:tcPr>
          <w:p w14:paraId="3BABCB72" w14:textId="77777777" w:rsidR="001B4084" w:rsidRPr="003F7CAF" w:rsidRDefault="001B4084" w:rsidP="008052F3">
            <w:pPr>
              <w:spacing w:before="60" w:after="60"/>
              <w:rPr>
                <w:rFonts w:ascii="Arial" w:hAnsi="Arial" w:cs="Arial"/>
                <w:sz w:val="20"/>
                <w:szCs w:val="20"/>
              </w:rPr>
            </w:pPr>
            <w:r w:rsidRPr="003F7CAF">
              <w:rPr>
                <w:rFonts w:ascii="Arial" w:hAnsi="Arial" w:cs="Arial"/>
                <w:sz w:val="20"/>
                <w:szCs w:val="20"/>
              </w:rPr>
              <w:t>No active referral – please refer to the KPI Consult Liaison document</w:t>
            </w:r>
          </w:p>
        </w:tc>
        <w:tc>
          <w:tcPr>
            <w:tcW w:w="2061" w:type="dxa"/>
            <w:tcBorders>
              <w:bottom w:val="single" w:sz="4" w:space="0" w:color="auto"/>
            </w:tcBorders>
          </w:tcPr>
          <w:p w14:paraId="48A8B73F" w14:textId="77777777" w:rsidR="001B4084" w:rsidRPr="003F7CAF" w:rsidRDefault="001B4084" w:rsidP="008052F3">
            <w:pPr>
              <w:spacing w:before="60" w:after="60"/>
              <w:jc w:val="both"/>
              <w:rPr>
                <w:rFonts w:ascii="Arial" w:hAnsi="Arial" w:cs="Arial"/>
                <w:b/>
                <w:sz w:val="20"/>
                <w:szCs w:val="20"/>
              </w:rPr>
            </w:pPr>
          </w:p>
        </w:tc>
      </w:tr>
      <w:tr w:rsidR="001B4084" w:rsidRPr="00584CB4" w14:paraId="575FEF47" w14:textId="77777777" w:rsidTr="008052F3">
        <w:tc>
          <w:tcPr>
            <w:tcW w:w="2588" w:type="dxa"/>
          </w:tcPr>
          <w:p w14:paraId="636BFDC9" w14:textId="77777777" w:rsidR="001B4084" w:rsidRPr="003F7CAF" w:rsidRDefault="001B4084" w:rsidP="008052F3">
            <w:pPr>
              <w:spacing w:before="60" w:after="60"/>
              <w:rPr>
                <w:rFonts w:ascii="Arial" w:hAnsi="Arial" w:cs="Arial"/>
                <w:b/>
                <w:i/>
                <w:sz w:val="20"/>
                <w:szCs w:val="20"/>
              </w:rPr>
            </w:pPr>
            <w:r w:rsidRPr="003F7CAF">
              <w:rPr>
                <w:rFonts w:ascii="Arial" w:hAnsi="Arial" w:cs="Arial"/>
                <w:b/>
                <w:i/>
                <w:sz w:val="20"/>
                <w:szCs w:val="20"/>
              </w:rPr>
              <w:t>Total Consultation Activity</w:t>
            </w:r>
          </w:p>
        </w:tc>
        <w:tc>
          <w:tcPr>
            <w:tcW w:w="2306" w:type="dxa"/>
          </w:tcPr>
          <w:p w14:paraId="40F40334" w14:textId="77777777" w:rsidR="001B4084" w:rsidRPr="003F7CAF" w:rsidRDefault="001B4084" w:rsidP="008052F3">
            <w:pPr>
              <w:spacing w:before="60" w:after="60"/>
              <w:jc w:val="both"/>
              <w:rPr>
                <w:rFonts w:ascii="Arial" w:hAnsi="Arial" w:cs="Arial"/>
                <w:b/>
                <w:sz w:val="20"/>
                <w:szCs w:val="20"/>
              </w:rPr>
            </w:pPr>
          </w:p>
        </w:tc>
        <w:tc>
          <w:tcPr>
            <w:tcW w:w="2061" w:type="dxa"/>
          </w:tcPr>
          <w:p w14:paraId="6C2BAD0B" w14:textId="77777777" w:rsidR="001B4084" w:rsidRPr="003F7CAF" w:rsidRDefault="001B4084" w:rsidP="008052F3">
            <w:pPr>
              <w:spacing w:before="60" w:after="60"/>
              <w:jc w:val="both"/>
              <w:rPr>
                <w:rFonts w:ascii="Arial" w:hAnsi="Arial" w:cs="Arial"/>
                <w:b/>
                <w:sz w:val="20"/>
                <w:szCs w:val="20"/>
              </w:rPr>
            </w:pPr>
          </w:p>
        </w:tc>
        <w:tc>
          <w:tcPr>
            <w:tcW w:w="2061" w:type="dxa"/>
          </w:tcPr>
          <w:p w14:paraId="629A5FF4" w14:textId="77777777" w:rsidR="001B4084" w:rsidRPr="003F7CAF" w:rsidRDefault="001B4084" w:rsidP="008052F3">
            <w:pPr>
              <w:spacing w:before="60" w:after="60"/>
              <w:jc w:val="both"/>
              <w:rPr>
                <w:rFonts w:ascii="Arial" w:hAnsi="Arial" w:cs="Arial"/>
                <w:b/>
                <w:sz w:val="20"/>
                <w:szCs w:val="20"/>
              </w:rPr>
            </w:pPr>
          </w:p>
        </w:tc>
      </w:tr>
    </w:tbl>
    <w:p w14:paraId="166B5641" w14:textId="77777777" w:rsidR="001B4084" w:rsidRPr="003F7CAF" w:rsidRDefault="001B4084" w:rsidP="001B4084">
      <w:pPr>
        <w:shd w:val="clear" w:color="auto" w:fill="FFFFFF"/>
        <w:spacing w:before="60" w:after="60"/>
        <w:ind w:firstLine="720"/>
        <w:jc w:val="both"/>
        <w:rPr>
          <w:rFonts w:ascii="Arial" w:hAnsi="Arial" w:cs="Arial"/>
          <w:sz w:val="20"/>
          <w:szCs w:val="20"/>
        </w:rPr>
      </w:pPr>
      <w:r w:rsidRPr="003F7CAF">
        <w:rPr>
          <w:rFonts w:ascii="Arial" w:hAnsi="Arial" w:cs="Arial"/>
          <w:b/>
          <w:i/>
          <w:sz w:val="20"/>
          <w:szCs w:val="20"/>
        </w:rPr>
        <w:t>Reporting required</w:t>
      </w:r>
      <w:r w:rsidRPr="003F7CAF">
        <w:rPr>
          <w:rFonts w:ascii="Arial" w:hAnsi="Arial" w:cs="Arial"/>
          <w:i/>
          <w:sz w:val="20"/>
          <w:szCs w:val="20"/>
        </w:rPr>
        <w:t>:</w:t>
      </w:r>
      <w:r w:rsidRPr="003F7CAF">
        <w:rPr>
          <w:rFonts w:ascii="Arial" w:hAnsi="Arial" w:cs="Arial"/>
          <w:sz w:val="20"/>
          <w:szCs w:val="20"/>
        </w:rPr>
        <w:t xml:space="preserve">  Six monthly, for the </w:t>
      </w:r>
      <w:proofErr w:type="gramStart"/>
      <w:r w:rsidRPr="003F7CAF">
        <w:rPr>
          <w:rFonts w:ascii="Arial" w:hAnsi="Arial" w:cs="Arial"/>
          <w:sz w:val="20"/>
          <w:szCs w:val="20"/>
        </w:rPr>
        <w:t>six month</w:t>
      </w:r>
      <w:proofErr w:type="gramEnd"/>
      <w:r w:rsidRPr="003F7CAF">
        <w:rPr>
          <w:rFonts w:ascii="Arial" w:hAnsi="Arial" w:cs="Arial"/>
          <w:sz w:val="20"/>
          <w:szCs w:val="20"/>
        </w:rPr>
        <w:t xml:space="preserve"> periods as per the table below:</w:t>
      </w:r>
    </w:p>
    <w:p w14:paraId="2ED8BED3" w14:textId="77777777" w:rsidR="001B4084" w:rsidRPr="003F7CAF" w:rsidRDefault="001B4084" w:rsidP="001B4084">
      <w:pPr>
        <w:shd w:val="clear" w:color="auto" w:fill="FFFFFF"/>
        <w:spacing w:before="60" w:after="60"/>
        <w:jc w:val="both"/>
        <w:rPr>
          <w:rFonts w:ascii="Arial" w:hAnsi="Arial" w:cs="Arial"/>
          <w:sz w:val="20"/>
          <w:szCs w:val="20"/>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1B4084" w:rsidRPr="003F7CAF" w14:paraId="21C169A2" w14:textId="77777777" w:rsidTr="008052F3">
        <w:trPr>
          <w:jc w:val="center"/>
        </w:trPr>
        <w:tc>
          <w:tcPr>
            <w:tcW w:w="1617" w:type="dxa"/>
            <w:shd w:val="clear" w:color="auto" w:fill="CCCCCC"/>
            <w:vAlign w:val="center"/>
          </w:tcPr>
          <w:p w14:paraId="4C1D7BDE" w14:textId="77777777" w:rsidR="001B4084" w:rsidRPr="003F7CAF" w:rsidRDefault="001B4084" w:rsidP="008052F3">
            <w:pPr>
              <w:shd w:val="clear" w:color="auto" w:fill="FFFFFF"/>
              <w:spacing w:before="60" w:after="60"/>
              <w:jc w:val="both"/>
              <w:rPr>
                <w:rFonts w:ascii="Arial" w:hAnsi="Arial" w:cs="Arial"/>
                <w:b/>
                <w:sz w:val="20"/>
                <w:szCs w:val="20"/>
              </w:rPr>
            </w:pPr>
            <w:r w:rsidRPr="003F7CAF">
              <w:rPr>
                <w:rFonts w:ascii="Arial" w:hAnsi="Arial" w:cs="Arial"/>
                <w:b/>
                <w:sz w:val="20"/>
                <w:szCs w:val="20"/>
              </w:rPr>
              <w:t xml:space="preserve">Quarter </w:t>
            </w:r>
          </w:p>
        </w:tc>
        <w:tc>
          <w:tcPr>
            <w:tcW w:w="4323" w:type="dxa"/>
            <w:shd w:val="clear" w:color="auto" w:fill="CCCCCC"/>
            <w:vAlign w:val="center"/>
          </w:tcPr>
          <w:p w14:paraId="2225DDF9" w14:textId="77777777" w:rsidR="001B4084" w:rsidRPr="003F7CAF" w:rsidRDefault="001B4084" w:rsidP="008052F3">
            <w:pPr>
              <w:shd w:val="clear" w:color="auto" w:fill="FFFFFF"/>
              <w:spacing w:before="60" w:after="60"/>
              <w:jc w:val="both"/>
              <w:rPr>
                <w:rFonts w:ascii="Arial" w:hAnsi="Arial" w:cs="Arial"/>
                <w:b/>
                <w:sz w:val="20"/>
                <w:szCs w:val="20"/>
              </w:rPr>
            </w:pPr>
            <w:r w:rsidRPr="003F7CAF">
              <w:rPr>
                <w:rFonts w:ascii="Arial" w:hAnsi="Arial" w:cs="Arial"/>
                <w:b/>
                <w:sz w:val="20"/>
                <w:szCs w:val="20"/>
              </w:rPr>
              <w:t>For the time period</w:t>
            </w:r>
          </w:p>
        </w:tc>
      </w:tr>
      <w:tr w:rsidR="001B4084" w:rsidRPr="003F7CAF" w14:paraId="0F3771EE" w14:textId="77777777" w:rsidTr="008052F3">
        <w:tblPrEx>
          <w:tblLook w:val="01E0" w:firstRow="1" w:lastRow="1" w:firstColumn="1" w:lastColumn="1" w:noHBand="0" w:noVBand="0"/>
        </w:tblPrEx>
        <w:trPr>
          <w:jc w:val="center"/>
        </w:trPr>
        <w:tc>
          <w:tcPr>
            <w:tcW w:w="1617" w:type="dxa"/>
            <w:shd w:val="clear" w:color="auto" w:fill="auto"/>
          </w:tcPr>
          <w:p w14:paraId="13FE2CF8" w14:textId="77777777" w:rsidR="001B4084" w:rsidRPr="003F7CAF" w:rsidRDefault="001B4084" w:rsidP="008052F3">
            <w:pPr>
              <w:shd w:val="clear" w:color="auto" w:fill="FFFFFF"/>
              <w:spacing w:before="60" w:after="60"/>
              <w:jc w:val="both"/>
              <w:rPr>
                <w:rFonts w:ascii="Arial" w:hAnsi="Arial" w:cs="Arial"/>
                <w:sz w:val="20"/>
                <w:szCs w:val="20"/>
              </w:rPr>
            </w:pPr>
            <w:r w:rsidRPr="003F7CAF">
              <w:rPr>
                <w:rFonts w:ascii="Arial" w:hAnsi="Arial" w:cs="Arial"/>
                <w:sz w:val="20"/>
                <w:szCs w:val="20"/>
              </w:rPr>
              <w:t>Quarter 2</w:t>
            </w:r>
          </w:p>
        </w:tc>
        <w:tc>
          <w:tcPr>
            <w:tcW w:w="4323" w:type="dxa"/>
            <w:shd w:val="clear" w:color="auto" w:fill="auto"/>
          </w:tcPr>
          <w:p w14:paraId="190FD3A7" w14:textId="7730E400" w:rsidR="001B4084" w:rsidRPr="003F7CAF" w:rsidRDefault="005C53FC" w:rsidP="008052F3">
            <w:pPr>
              <w:shd w:val="clear" w:color="auto" w:fill="FFFFFF"/>
              <w:spacing w:before="60" w:after="60"/>
              <w:jc w:val="both"/>
              <w:rPr>
                <w:rFonts w:ascii="Arial" w:hAnsi="Arial" w:cs="Arial"/>
                <w:sz w:val="20"/>
                <w:szCs w:val="20"/>
              </w:rPr>
            </w:pPr>
            <w:r>
              <w:rPr>
                <w:rFonts w:ascii="Arial" w:hAnsi="Arial" w:cs="Arial"/>
                <w:color w:val="000000"/>
                <w:sz w:val="20"/>
                <w:szCs w:val="20"/>
              </w:rPr>
              <w:t>Six monthly a quarter in arrears</w:t>
            </w:r>
          </w:p>
        </w:tc>
      </w:tr>
      <w:tr w:rsidR="001B4084" w:rsidRPr="003F7CAF" w14:paraId="166C36BF" w14:textId="77777777" w:rsidTr="008052F3">
        <w:tblPrEx>
          <w:tblLook w:val="01E0" w:firstRow="1" w:lastRow="1" w:firstColumn="1" w:lastColumn="1" w:noHBand="0" w:noVBand="0"/>
        </w:tblPrEx>
        <w:trPr>
          <w:jc w:val="center"/>
        </w:trPr>
        <w:tc>
          <w:tcPr>
            <w:tcW w:w="1617" w:type="dxa"/>
            <w:shd w:val="clear" w:color="auto" w:fill="auto"/>
          </w:tcPr>
          <w:p w14:paraId="5D1A7D25" w14:textId="77777777" w:rsidR="001B4084" w:rsidRPr="003F7CAF" w:rsidRDefault="001B4084" w:rsidP="008052F3">
            <w:pPr>
              <w:shd w:val="clear" w:color="auto" w:fill="FFFFFF"/>
              <w:spacing w:before="60" w:after="60"/>
              <w:jc w:val="both"/>
              <w:rPr>
                <w:rFonts w:ascii="Arial" w:hAnsi="Arial" w:cs="Arial"/>
                <w:sz w:val="20"/>
                <w:szCs w:val="20"/>
              </w:rPr>
            </w:pPr>
            <w:r w:rsidRPr="003F7CAF">
              <w:rPr>
                <w:rFonts w:ascii="Arial" w:hAnsi="Arial" w:cs="Arial"/>
                <w:sz w:val="20"/>
                <w:szCs w:val="20"/>
              </w:rPr>
              <w:t>Quarter 4</w:t>
            </w:r>
          </w:p>
        </w:tc>
        <w:tc>
          <w:tcPr>
            <w:tcW w:w="4323" w:type="dxa"/>
            <w:shd w:val="clear" w:color="auto" w:fill="auto"/>
          </w:tcPr>
          <w:p w14:paraId="5C3FCB6F" w14:textId="727F15CB" w:rsidR="001B4084" w:rsidRPr="003F7CAF" w:rsidRDefault="005C53FC" w:rsidP="008052F3">
            <w:pPr>
              <w:shd w:val="clear" w:color="auto" w:fill="FFFFFF"/>
              <w:spacing w:before="60" w:after="60"/>
              <w:jc w:val="both"/>
              <w:rPr>
                <w:rFonts w:ascii="Arial" w:hAnsi="Arial" w:cs="Arial"/>
                <w:sz w:val="20"/>
                <w:szCs w:val="20"/>
              </w:rPr>
            </w:pPr>
            <w:r w:rsidRPr="005C53FC">
              <w:rPr>
                <w:rFonts w:ascii="Arial" w:hAnsi="Arial" w:cs="Arial"/>
                <w:sz w:val="20"/>
                <w:szCs w:val="20"/>
              </w:rPr>
              <w:t>Six monthly a quarter in arrears</w:t>
            </w:r>
          </w:p>
        </w:tc>
      </w:tr>
    </w:tbl>
    <w:p w14:paraId="507CF38F" w14:textId="77777777" w:rsidR="001B4084" w:rsidRPr="00584CB4" w:rsidRDefault="001B4084" w:rsidP="001B4084">
      <w:pPr>
        <w:shd w:val="clear" w:color="auto" w:fill="FFFFFF"/>
        <w:spacing w:before="120" w:after="60"/>
        <w:jc w:val="both"/>
        <w:rPr>
          <w:rFonts w:ascii="Arial" w:hAnsi="Arial" w:cs="Arial"/>
          <w:b/>
          <w:sz w:val="22"/>
          <w:szCs w:val="22"/>
        </w:rPr>
      </w:pPr>
      <w:r w:rsidRPr="00584CB4">
        <w:rPr>
          <w:rFonts w:ascii="Arial" w:hAnsi="Arial" w:cs="Arial"/>
          <w:b/>
          <w:sz w:val="22"/>
          <w:szCs w:val="22"/>
        </w:rPr>
        <w:t>Expectations</w:t>
      </w:r>
    </w:p>
    <w:p w14:paraId="64989B4D" w14:textId="77777777" w:rsidR="001B4084" w:rsidRPr="003F7CAF" w:rsidRDefault="001B4084" w:rsidP="001B4084">
      <w:pPr>
        <w:shd w:val="clear" w:color="auto" w:fill="FFFFFF"/>
        <w:spacing w:before="60" w:after="60"/>
        <w:jc w:val="both"/>
        <w:rPr>
          <w:rFonts w:ascii="Arial" w:hAnsi="Arial" w:cs="Arial"/>
          <w:sz w:val="20"/>
          <w:szCs w:val="20"/>
        </w:rPr>
      </w:pPr>
      <w:r w:rsidRPr="003F7CAF">
        <w:rPr>
          <w:rFonts w:ascii="Arial" w:hAnsi="Arial" w:cs="Arial"/>
          <w:sz w:val="20"/>
          <w:szCs w:val="20"/>
        </w:rPr>
        <w:t>Where the target has not been met (or in quarter two, is not on track to be met) the DHB is expected to provide commentary on reasons for the target not being met</w:t>
      </w:r>
    </w:p>
    <w:p w14:paraId="253E125D" w14:textId="77777777" w:rsidR="001B4084" w:rsidRDefault="001B4084" w:rsidP="001358FA">
      <w:pPr>
        <w:shd w:val="clear" w:color="auto" w:fill="FFFFFF"/>
        <w:spacing w:before="60" w:after="60"/>
        <w:jc w:val="both"/>
        <w:rPr>
          <w:rFonts w:ascii="Arial" w:hAnsi="Arial" w:cs="Arial"/>
          <w:b/>
          <w:i/>
        </w:rPr>
      </w:pPr>
    </w:p>
    <w:p w14:paraId="5953411E" w14:textId="77777777" w:rsidR="001B4084" w:rsidRDefault="001B4084" w:rsidP="001358FA">
      <w:pPr>
        <w:shd w:val="clear" w:color="auto" w:fill="FFFFFF"/>
        <w:spacing w:before="60" w:after="60"/>
        <w:jc w:val="both"/>
        <w:rPr>
          <w:rFonts w:ascii="Arial" w:hAnsi="Arial" w:cs="Arial"/>
          <w:b/>
          <w:i/>
        </w:rPr>
      </w:pPr>
    </w:p>
    <w:p w14:paraId="69F5F2BD" w14:textId="77777777" w:rsidR="001B4084" w:rsidRDefault="001B4084" w:rsidP="001358FA">
      <w:pPr>
        <w:shd w:val="clear" w:color="auto" w:fill="FFFFFF"/>
        <w:spacing w:before="60" w:after="60"/>
        <w:jc w:val="both"/>
        <w:rPr>
          <w:rFonts w:ascii="Arial" w:hAnsi="Arial" w:cs="Arial"/>
          <w:b/>
          <w:i/>
        </w:rPr>
      </w:pPr>
    </w:p>
    <w:p w14:paraId="18E20A01" w14:textId="77777777" w:rsidR="001B4084" w:rsidRDefault="001B4084">
      <w:pPr>
        <w:rPr>
          <w:rFonts w:ascii="Arial" w:hAnsi="Arial" w:cs="Arial"/>
          <w:b/>
          <w:i/>
        </w:rPr>
      </w:pPr>
      <w:r>
        <w:rPr>
          <w:rFonts w:ascii="Arial" w:hAnsi="Arial" w:cs="Arial"/>
          <w:b/>
          <w:i/>
        </w:rPr>
        <w:br w:type="page"/>
      </w:r>
    </w:p>
    <w:p w14:paraId="4A9F177C" w14:textId="77777777" w:rsidR="00A77AAE" w:rsidRPr="00A77AAE" w:rsidRDefault="00A77AAE" w:rsidP="00A77AAE">
      <w:pPr>
        <w:shd w:val="clear" w:color="auto" w:fill="FFFFFF"/>
        <w:spacing w:before="60" w:after="60"/>
        <w:jc w:val="both"/>
        <w:rPr>
          <w:rFonts w:ascii="Arial" w:hAnsi="Arial" w:cs="Arial"/>
          <w:b/>
          <w:i/>
        </w:rPr>
      </w:pPr>
      <w:bookmarkStart w:id="409" w:name="_Toc277250150"/>
      <w:bookmarkStart w:id="410" w:name="_Toc356565142"/>
      <w:bookmarkStart w:id="411" w:name="_Toc350510632"/>
      <w:bookmarkStart w:id="412" w:name="_Toc349305950"/>
      <w:bookmarkStart w:id="413" w:name="_Toc348339226"/>
      <w:bookmarkStart w:id="414" w:name="_Toc348337561"/>
      <w:bookmarkStart w:id="415" w:name="_Toc343774693"/>
      <w:bookmarkStart w:id="416" w:name="_Toc343769120"/>
      <w:bookmarkStart w:id="417" w:name="_Toc343769029"/>
      <w:bookmarkStart w:id="418" w:name="_Toc343768783"/>
      <w:bookmarkStart w:id="419" w:name="_Toc342981959"/>
      <w:bookmarkStart w:id="420" w:name="_Toc342381806"/>
      <w:bookmarkStart w:id="421" w:name="_Toc340490135"/>
      <w:bookmarkStart w:id="422" w:name="_Toc340489536"/>
      <w:bookmarkStart w:id="423" w:name="_Toc336001206"/>
      <w:bookmarkStart w:id="424" w:name="_Toc318187784"/>
      <w:bookmarkStart w:id="425" w:name="_Toc309640148"/>
      <w:bookmarkStart w:id="426" w:name="_Toc308686906"/>
      <w:bookmarkStart w:id="427" w:name="_Toc308177308"/>
      <w:bookmarkStart w:id="428" w:name="_Toc308176028"/>
      <w:bookmarkStart w:id="429" w:name="_Toc307316842"/>
      <w:r w:rsidRPr="00A77AAE">
        <w:rPr>
          <w:rFonts w:ascii="Arial" w:hAnsi="Arial" w:cs="Arial"/>
          <w:b/>
          <w:i/>
        </w:rPr>
        <w:lastRenderedPageBreak/>
        <w:t>Outcome priority:  We have improved quality of life</w:t>
      </w:r>
    </w:p>
    <w:p w14:paraId="7321F433" w14:textId="7B48CD47" w:rsidR="00C062C3" w:rsidRDefault="00082D73" w:rsidP="00C062C3">
      <w:pPr>
        <w:keepNext/>
        <w:spacing w:before="240" w:after="60"/>
        <w:outlineLvl w:val="1"/>
        <w:rPr>
          <w:rFonts w:ascii="Arial" w:hAnsi="Arial" w:cs="Arial"/>
          <w:b/>
          <w:bCs/>
          <w:i/>
          <w:iCs/>
          <w:sz w:val="28"/>
          <w:szCs w:val="28"/>
        </w:rPr>
      </w:pPr>
      <w:bookmarkStart w:id="430" w:name="_Toc491938839"/>
      <w:bookmarkStart w:id="431" w:name="_Toc513555920"/>
      <w:bookmarkStart w:id="432" w:name="_Toc4588545"/>
      <w:bookmarkStart w:id="433" w:name="_Toc9592015"/>
      <w:r>
        <w:rPr>
          <w:rFonts w:ascii="Arial" w:hAnsi="Arial" w:cs="Arial"/>
          <w:b/>
          <w:bCs/>
          <w:i/>
          <w:iCs/>
          <w:sz w:val="28"/>
          <w:szCs w:val="28"/>
        </w:rPr>
        <w:t>Improving m</w:t>
      </w:r>
      <w:r w:rsidR="00A77AAE">
        <w:rPr>
          <w:rFonts w:ascii="Arial" w:hAnsi="Arial" w:cs="Arial"/>
          <w:b/>
          <w:bCs/>
          <w:i/>
          <w:iCs/>
          <w:sz w:val="28"/>
          <w:szCs w:val="28"/>
        </w:rPr>
        <w:t xml:space="preserve">ental </w:t>
      </w:r>
      <w:r w:rsidR="003101B5">
        <w:rPr>
          <w:rFonts w:ascii="Arial" w:hAnsi="Arial" w:cs="Arial"/>
          <w:b/>
          <w:bCs/>
          <w:i/>
          <w:iCs/>
          <w:sz w:val="28"/>
          <w:szCs w:val="28"/>
        </w:rPr>
        <w:t>wellbeing</w:t>
      </w:r>
      <w:r w:rsidR="00A77AAE">
        <w:rPr>
          <w:rFonts w:ascii="Arial" w:hAnsi="Arial" w:cs="Arial"/>
          <w:b/>
          <w:bCs/>
          <w:i/>
          <w:iCs/>
          <w:sz w:val="28"/>
          <w:szCs w:val="28"/>
        </w:rPr>
        <w:t xml:space="preserve"> MH02:</w:t>
      </w:r>
      <w:r w:rsidR="00C062C3" w:rsidRPr="00C062C3">
        <w:rPr>
          <w:rFonts w:ascii="Arial" w:hAnsi="Arial" w:cs="Arial"/>
          <w:b/>
          <w:bCs/>
          <w:i/>
          <w:iCs/>
          <w:sz w:val="28"/>
          <w:szCs w:val="28"/>
        </w:rPr>
        <w:t xml:space="preserve"> Improving mental health services using wellness and transition (discharge) planning</w:t>
      </w:r>
      <w:bookmarkEnd w:id="430"/>
      <w:bookmarkEnd w:id="431"/>
      <w:bookmarkEnd w:id="432"/>
      <w:bookmarkEnd w:id="43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C062C3" w:rsidRPr="00C062C3" w14:paraId="0462A48B" w14:textId="77777777" w:rsidTr="008052F3">
        <w:tc>
          <w:tcPr>
            <w:tcW w:w="10094" w:type="dxa"/>
            <w:gridSpan w:val="2"/>
            <w:shd w:val="clear" w:color="auto" w:fill="D9D9D9"/>
          </w:tcPr>
          <w:p w14:paraId="78A245F4" w14:textId="77777777" w:rsidR="00C062C3" w:rsidRPr="00C062C3" w:rsidRDefault="00C062C3" w:rsidP="00C062C3">
            <w:pPr>
              <w:shd w:val="clear" w:color="auto" w:fill="FFFFFF"/>
              <w:spacing w:before="60" w:after="60"/>
              <w:jc w:val="center"/>
              <w:rPr>
                <w:rFonts w:ascii="Arial" w:hAnsi="Arial" w:cs="Arial"/>
                <w:b/>
                <w:sz w:val="22"/>
                <w:szCs w:val="22"/>
              </w:rPr>
            </w:pPr>
            <w:r w:rsidRPr="00C062C3">
              <w:rPr>
                <w:rFonts w:ascii="Arial" w:hAnsi="Arial" w:cs="Arial"/>
                <w:b/>
                <w:sz w:val="22"/>
                <w:szCs w:val="22"/>
              </w:rPr>
              <w:t>Summary information</w:t>
            </w:r>
          </w:p>
        </w:tc>
      </w:tr>
      <w:tr w:rsidR="00C062C3" w:rsidRPr="00C062C3" w14:paraId="6494D602" w14:textId="77777777" w:rsidTr="008052F3">
        <w:tc>
          <w:tcPr>
            <w:tcW w:w="2864" w:type="dxa"/>
            <w:shd w:val="clear" w:color="auto" w:fill="auto"/>
          </w:tcPr>
          <w:p w14:paraId="574F288F" w14:textId="77777777" w:rsidR="00C062C3" w:rsidRPr="00C062C3" w:rsidRDefault="00C062C3" w:rsidP="00C062C3">
            <w:pPr>
              <w:shd w:val="clear" w:color="auto" w:fill="FFFFFF"/>
              <w:spacing w:before="60" w:after="60"/>
              <w:rPr>
                <w:rFonts w:ascii="Arial" w:hAnsi="Arial" w:cs="Arial"/>
                <w:b/>
                <w:i/>
                <w:sz w:val="20"/>
                <w:szCs w:val="20"/>
              </w:rPr>
            </w:pPr>
            <w:r w:rsidRPr="00C062C3">
              <w:rPr>
                <w:rFonts w:ascii="Arial" w:hAnsi="Arial" w:cs="Arial"/>
                <w:b/>
                <w:i/>
                <w:sz w:val="20"/>
                <w:szCs w:val="20"/>
              </w:rPr>
              <w:t>Target/performance expectation</w:t>
            </w:r>
          </w:p>
        </w:tc>
        <w:tc>
          <w:tcPr>
            <w:tcW w:w="7230" w:type="dxa"/>
            <w:shd w:val="clear" w:color="auto" w:fill="auto"/>
          </w:tcPr>
          <w:p w14:paraId="12D3DB68" w14:textId="77777777" w:rsidR="00C062C3" w:rsidRPr="00C062C3" w:rsidRDefault="00C062C3" w:rsidP="00C062C3">
            <w:pPr>
              <w:shd w:val="clear" w:color="auto" w:fill="FFFFFF"/>
              <w:spacing w:before="60" w:after="60"/>
              <w:jc w:val="both"/>
              <w:rPr>
                <w:rFonts w:ascii="Arial" w:hAnsi="Arial" w:cs="Arial"/>
                <w:b/>
                <w:i/>
                <w:sz w:val="20"/>
                <w:szCs w:val="20"/>
              </w:rPr>
            </w:pPr>
            <w:r w:rsidRPr="00C062C3">
              <w:rPr>
                <w:rFonts w:ascii="Arial" w:hAnsi="Arial" w:cs="Arial"/>
                <w:sz w:val="20"/>
                <w:szCs w:val="20"/>
              </w:rPr>
              <w:t>Agreed in DHB Annual Plan</w:t>
            </w:r>
          </w:p>
        </w:tc>
      </w:tr>
      <w:tr w:rsidR="00C062C3" w:rsidRPr="00C062C3" w14:paraId="097D9ECF" w14:textId="77777777" w:rsidTr="008052F3">
        <w:trPr>
          <w:trHeight w:val="493"/>
        </w:trPr>
        <w:tc>
          <w:tcPr>
            <w:tcW w:w="2864" w:type="dxa"/>
            <w:shd w:val="clear" w:color="auto" w:fill="auto"/>
          </w:tcPr>
          <w:p w14:paraId="3CE2F187" w14:textId="77777777" w:rsidR="00C062C3" w:rsidRPr="00C062C3" w:rsidRDefault="00C062C3" w:rsidP="00C062C3">
            <w:pPr>
              <w:shd w:val="clear" w:color="auto" w:fill="FFFFFF"/>
              <w:spacing w:before="60" w:after="60"/>
              <w:rPr>
                <w:rFonts w:ascii="Arial" w:hAnsi="Arial" w:cs="Arial"/>
                <w:b/>
                <w:i/>
                <w:sz w:val="20"/>
                <w:szCs w:val="20"/>
              </w:rPr>
            </w:pPr>
            <w:r w:rsidRPr="00C062C3">
              <w:rPr>
                <w:rFonts w:ascii="Arial" w:hAnsi="Arial" w:cs="Arial"/>
                <w:b/>
                <w:i/>
                <w:sz w:val="20"/>
                <w:szCs w:val="20"/>
              </w:rPr>
              <w:t>Reporting frequency</w:t>
            </w:r>
          </w:p>
        </w:tc>
        <w:tc>
          <w:tcPr>
            <w:tcW w:w="7230" w:type="dxa"/>
            <w:shd w:val="clear" w:color="auto" w:fill="auto"/>
          </w:tcPr>
          <w:p w14:paraId="6958A9F9" w14:textId="77777777" w:rsidR="00C062C3" w:rsidRPr="00C062C3" w:rsidRDefault="00C062C3" w:rsidP="00C062C3">
            <w:pPr>
              <w:shd w:val="clear" w:color="auto" w:fill="FFFFFF"/>
              <w:spacing w:before="60" w:after="60"/>
              <w:jc w:val="both"/>
              <w:rPr>
                <w:rFonts w:ascii="Arial" w:hAnsi="Arial" w:cs="Arial"/>
                <w:sz w:val="20"/>
                <w:szCs w:val="20"/>
              </w:rPr>
            </w:pPr>
            <w:r w:rsidRPr="00C062C3">
              <w:rPr>
                <w:rFonts w:ascii="Arial" w:hAnsi="Arial" w:cs="Arial"/>
                <w:sz w:val="20"/>
                <w:szCs w:val="20"/>
              </w:rPr>
              <w:t>Quarterly</w:t>
            </w:r>
          </w:p>
        </w:tc>
      </w:tr>
      <w:tr w:rsidR="00C062C3" w:rsidRPr="00C062C3" w14:paraId="73ED420E" w14:textId="77777777" w:rsidTr="008052F3">
        <w:tc>
          <w:tcPr>
            <w:tcW w:w="2864" w:type="dxa"/>
            <w:shd w:val="clear" w:color="auto" w:fill="auto"/>
          </w:tcPr>
          <w:p w14:paraId="33422D83" w14:textId="77777777" w:rsidR="00C062C3" w:rsidRPr="00C062C3" w:rsidRDefault="00C062C3" w:rsidP="00C062C3">
            <w:pPr>
              <w:shd w:val="clear" w:color="auto" w:fill="FFFFFF"/>
              <w:spacing w:before="60" w:after="60"/>
              <w:rPr>
                <w:rFonts w:ascii="Arial" w:hAnsi="Arial" w:cs="Arial"/>
                <w:b/>
                <w:i/>
                <w:sz w:val="20"/>
                <w:szCs w:val="20"/>
              </w:rPr>
            </w:pPr>
            <w:r w:rsidRPr="00C062C3">
              <w:rPr>
                <w:rFonts w:ascii="Arial" w:hAnsi="Arial" w:cs="Arial"/>
                <w:b/>
                <w:i/>
                <w:sz w:val="20"/>
                <w:szCs w:val="20"/>
              </w:rPr>
              <w:t>Source information for reporting provided by:</w:t>
            </w:r>
          </w:p>
        </w:tc>
        <w:tc>
          <w:tcPr>
            <w:tcW w:w="7230" w:type="dxa"/>
            <w:shd w:val="clear" w:color="auto" w:fill="auto"/>
          </w:tcPr>
          <w:p w14:paraId="0CD8CAEB" w14:textId="77777777" w:rsidR="00C062C3" w:rsidRPr="00C062C3" w:rsidRDefault="00C062C3" w:rsidP="00C062C3">
            <w:pPr>
              <w:shd w:val="clear" w:color="auto" w:fill="FFFFFF"/>
              <w:spacing w:before="60" w:after="60"/>
              <w:rPr>
                <w:rFonts w:ascii="Arial" w:hAnsi="Arial" w:cs="Arial"/>
                <w:i/>
                <w:sz w:val="20"/>
                <w:szCs w:val="20"/>
              </w:rPr>
            </w:pPr>
            <w:r w:rsidRPr="00C062C3">
              <w:rPr>
                <w:rFonts w:ascii="Arial" w:hAnsi="Arial" w:cs="Arial"/>
                <w:i/>
                <w:sz w:val="20"/>
                <w:szCs w:val="20"/>
              </w:rPr>
              <w:t>DHBs to provide data to the Ministry</w:t>
            </w:r>
          </w:p>
        </w:tc>
      </w:tr>
      <w:tr w:rsidR="00C062C3" w:rsidRPr="00C062C3" w14:paraId="74F8D676" w14:textId="77777777" w:rsidTr="008052F3">
        <w:trPr>
          <w:trHeight w:val="2182"/>
        </w:trPr>
        <w:tc>
          <w:tcPr>
            <w:tcW w:w="2864" w:type="dxa"/>
            <w:shd w:val="clear" w:color="auto" w:fill="auto"/>
          </w:tcPr>
          <w:p w14:paraId="700C0520" w14:textId="77777777" w:rsidR="00C062C3" w:rsidRPr="00C062C3" w:rsidRDefault="00C062C3" w:rsidP="00C062C3">
            <w:pPr>
              <w:shd w:val="clear" w:color="auto" w:fill="FFFFFF"/>
              <w:spacing w:before="60" w:after="60"/>
              <w:rPr>
                <w:rFonts w:ascii="Arial" w:hAnsi="Arial" w:cs="Arial"/>
                <w:b/>
                <w:i/>
                <w:sz w:val="20"/>
                <w:szCs w:val="20"/>
              </w:rPr>
            </w:pPr>
            <w:r w:rsidRPr="00C062C3">
              <w:rPr>
                <w:rFonts w:ascii="Arial" w:hAnsi="Arial" w:cs="Arial"/>
                <w:b/>
                <w:i/>
                <w:sz w:val="20"/>
                <w:szCs w:val="20"/>
              </w:rPr>
              <w:t>Quarterly reporting  - standard timeline applies</w:t>
            </w:r>
          </w:p>
        </w:tc>
        <w:tc>
          <w:tcPr>
            <w:tcW w:w="7230" w:type="dxa"/>
            <w:shd w:val="clear" w:color="auto" w:fill="auto"/>
          </w:tcPr>
          <w:p w14:paraId="182D8826" w14:textId="77777777" w:rsidR="00C062C3" w:rsidRPr="00C062C3" w:rsidRDefault="00C062C3" w:rsidP="00C062C3">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C062C3" w:rsidRPr="00C062C3" w14:paraId="0452DDAC"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CE675"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1E960"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20th of the month following the end of the quarter</w:t>
                  </w:r>
                </w:p>
              </w:tc>
            </w:tr>
            <w:tr w:rsidR="00C062C3" w:rsidRPr="00C062C3" w14:paraId="17DEB14D"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EC222"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A8A77"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8-10 working days from receiving reports</w:t>
                  </w:r>
                </w:p>
              </w:tc>
            </w:tr>
            <w:tr w:rsidR="00C062C3" w:rsidRPr="00C062C3" w14:paraId="144E8AFB"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A80B"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9C5E"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5 working days from receiving initial ratings</w:t>
                  </w:r>
                </w:p>
              </w:tc>
            </w:tr>
            <w:tr w:rsidR="00C062C3" w:rsidRPr="00C062C3" w14:paraId="266FD184" w14:textId="77777777" w:rsidTr="008052F3">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687F1"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9EA56" w14:textId="77777777" w:rsidR="00C062C3" w:rsidRPr="00C062C3" w:rsidRDefault="00C062C3" w:rsidP="00C062C3">
                  <w:pPr>
                    <w:ind w:left="205" w:hanging="205"/>
                    <w:rPr>
                      <w:rFonts w:ascii="Calibri" w:hAnsi="Calibri"/>
                      <w:sz w:val="20"/>
                      <w:szCs w:val="20"/>
                    </w:rPr>
                  </w:pPr>
                  <w:r w:rsidRPr="00C062C3">
                    <w:rPr>
                      <w:rFonts w:ascii="Calibri" w:hAnsi="Calibri"/>
                      <w:sz w:val="20"/>
                      <w:szCs w:val="20"/>
                    </w:rPr>
                    <w:t>4-5 working days from receiving DHB feedback</w:t>
                  </w:r>
                </w:p>
              </w:tc>
            </w:tr>
          </w:tbl>
          <w:p w14:paraId="2AC57A7D" w14:textId="77777777" w:rsidR="00C062C3" w:rsidRPr="00C062C3" w:rsidRDefault="00C062C3" w:rsidP="00C062C3">
            <w:pPr>
              <w:shd w:val="clear" w:color="auto" w:fill="FFFFFF"/>
              <w:spacing w:before="60" w:after="60"/>
              <w:jc w:val="both"/>
              <w:rPr>
                <w:rFonts w:ascii="Arial" w:hAnsi="Arial" w:cs="Arial"/>
                <w:i/>
                <w:sz w:val="16"/>
                <w:szCs w:val="16"/>
              </w:rPr>
            </w:pPr>
          </w:p>
        </w:tc>
      </w:tr>
    </w:tbl>
    <w:p w14:paraId="2EED11B7" w14:textId="57CD6083" w:rsidR="00554E3F" w:rsidRPr="00554E3F" w:rsidRDefault="00554E3F" w:rsidP="00554E3F">
      <w:pPr>
        <w:spacing w:before="60" w:after="60"/>
        <w:jc w:val="both"/>
        <w:rPr>
          <w:rFonts w:ascii="Arial" w:hAnsi="Arial" w:cs="Arial"/>
          <w:b/>
          <w:sz w:val="22"/>
          <w:szCs w:val="22"/>
        </w:rPr>
      </w:pPr>
      <w:r w:rsidRPr="00554E3F">
        <w:rPr>
          <w:rFonts w:ascii="Arial" w:hAnsi="Arial" w:cs="Arial"/>
          <w:b/>
          <w:sz w:val="22"/>
          <w:szCs w:val="22"/>
        </w:rPr>
        <w:t xml:space="preserve">Link to outcomes </w:t>
      </w:r>
    </w:p>
    <w:p w14:paraId="2050BFE0" w14:textId="6989CF9D" w:rsidR="006E773E" w:rsidRDefault="00554E3F" w:rsidP="006E773E">
      <w:pPr>
        <w:spacing w:after="120"/>
        <w:contextualSpacing/>
        <w:rPr>
          <w:rFonts w:ascii="Arial" w:hAnsi="Arial" w:cs="Arial"/>
          <w:sz w:val="22"/>
          <w:szCs w:val="22"/>
        </w:rPr>
      </w:pPr>
      <w:r w:rsidRPr="00554E3F">
        <w:rPr>
          <w:rFonts w:ascii="Arial" w:hAnsi="Arial" w:cs="Arial"/>
          <w:sz w:val="22"/>
          <w:szCs w:val="22"/>
        </w:rPr>
        <w:t xml:space="preserve">Delivery against this measure supports the Health Strategy strategic theme of </w:t>
      </w:r>
      <w:proofErr w:type="gramStart"/>
      <w:r w:rsidRPr="00554E3F">
        <w:rPr>
          <w:rFonts w:ascii="Arial" w:hAnsi="Arial" w:cs="Arial"/>
          <w:sz w:val="22"/>
          <w:szCs w:val="22"/>
        </w:rPr>
        <w:t>people-powered</w:t>
      </w:r>
      <w:proofErr w:type="gramEnd"/>
      <w:r w:rsidRPr="00554E3F">
        <w:rPr>
          <w:rFonts w:ascii="Arial" w:hAnsi="Arial" w:cs="Arial"/>
          <w:sz w:val="22"/>
          <w:szCs w:val="22"/>
        </w:rPr>
        <w:t xml:space="preserve">. The health system plays an important role in providing people with the information they need to fully understand issues to do with health and wellness, including how to be healthy, access health services and manage their own health care.  Delivery against this measure also </w:t>
      </w:r>
      <w:r w:rsidR="006E773E" w:rsidRPr="0072302C">
        <w:rPr>
          <w:rFonts w:ascii="Arial" w:hAnsi="Arial" w:cs="Arial"/>
          <w:sz w:val="22"/>
          <w:szCs w:val="22"/>
        </w:rPr>
        <w:t xml:space="preserve">supports the vision for the New Zealand health and disability system of </w:t>
      </w:r>
      <w:proofErr w:type="spellStart"/>
      <w:r w:rsidR="006E773E" w:rsidRPr="0072302C">
        <w:rPr>
          <w:rFonts w:ascii="Arial" w:hAnsi="Arial" w:cs="Arial"/>
          <w:sz w:val="22"/>
          <w:szCs w:val="22"/>
        </w:rPr>
        <w:t>Pae</w:t>
      </w:r>
      <w:proofErr w:type="spellEnd"/>
      <w:r w:rsidR="006E773E" w:rsidRPr="0072302C">
        <w:rPr>
          <w:rFonts w:ascii="Arial" w:hAnsi="Arial" w:cs="Arial"/>
          <w:sz w:val="22"/>
          <w:szCs w:val="22"/>
        </w:rPr>
        <w:t xml:space="preserve"> Ora – healthy futures.</w:t>
      </w:r>
    </w:p>
    <w:p w14:paraId="4B2BE6BF" w14:textId="77777777" w:rsidR="006E773E" w:rsidRPr="0072302C" w:rsidRDefault="006E773E" w:rsidP="006E773E">
      <w:pPr>
        <w:spacing w:after="120"/>
        <w:contextualSpacing/>
        <w:rPr>
          <w:rFonts w:ascii="Arial" w:hAnsi="Arial" w:cs="Arial"/>
          <w:sz w:val="22"/>
          <w:szCs w:val="22"/>
        </w:rPr>
      </w:pPr>
    </w:p>
    <w:p w14:paraId="07D481B5" w14:textId="3F54B65B" w:rsidR="00554E3F" w:rsidRPr="00554E3F" w:rsidRDefault="00554E3F" w:rsidP="00554E3F">
      <w:pPr>
        <w:spacing w:before="60" w:after="60"/>
        <w:jc w:val="both"/>
        <w:rPr>
          <w:rFonts w:ascii="Arial" w:hAnsi="Arial" w:cs="Arial"/>
          <w:sz w:val="22"/>
          <w:szCs w:val="22"/>
        </w:rPr>
      </w:pPr>
      <w:r w:rsidRPr="00554E3F">
        <w:rPr>
          <w:rFonts w:ascii="Arial" w:hAnsi="Arial" w:cs="Arial"/>
          <w:sz w:val="22"/>
          <w:szCs w:val="22"/>
        </w:rPr>
        <w:t xml:space="preserve">The significance of wellness (relapse prevention plans) transition/discharge planning contributing to improved outcomes for people is evidenced in the literature and is a requirement of the Health and Disability Services Standards (NZS 8135:2008).  Most significantly the 2016 OAG mental health audit showed that 4 out 5 of people using mental health services did not have a collaborative plan </w:t>
      </w:r>
      <w:hyperlink r:id="rId19" w:history="1">
        <w:r w:rsidRPr="00554E3F">
          <w:rPr>
            <w:rStyle w:val="Hyperlink"/>
            <w:rFonts w:ascii="Arial" w:hAnsi="Arial" w:cs="Arial"/>
            <w:sz w:val="22"/>
            <w:szCs w:val="22"/>
          </w:rPr>
          <w:t>https://www.oag.govt.nz/2017/mental-health</w:t>
        </w:r>
      </w:hyperlink>
      <w:r w:rsidRPr="00554E3F">
        <w:rPr>
          <w:rFonts w:ascii="Arial" w:hAnsi="Arial" w:cs="Arial"/>
          <w:sz w:val="22"/>
          <w:szCs w:val="22"/>
        </w:rPr>
        <w:t xml:space="preserve"> </w:t>
      </w:r>
    </w:p>
    <w:p w14:paraId="7E80AF8D" w14:textId="77777777" w:rsidR="00554E3F" w:rsidRPr="00554E3F" w:rsidRDefault="00554E3F" w:rsidP="00554E3F">
      <w:pPr>
        <w:spacing w:before="60" w:after="60"/>
        <w:jc w:val="both"/>
        <w:rPr>
          <w:rFonts w:ascii="Arial" w:hAnsi="Arial" w:cs="Arial"/>
          <w:color w:val="000000"/>
          <w:sz w:val="22"/>
          <w:szCs w:val="22"/>
        </w:rPr>
      </w:pPr>
    </w:p>
    <w:p w14:paraId="29DBBA45"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color w:val="000000"/>
          <w:sz w:val="22"/>
          <w:szCs w:val="22"/>
        </w:rPr>
        <w:t xml:space="preserve">The Health Quality and Safety Commission’s MHA quality improvement programme was established in July 2017, to work with consumers, their families and </w:t>
      </w:r>
      <w:proofErr w:type="spellStart"/>
      <w:r w:rsidRPr="00554E3F">
        <w:rPr>
          <w:rFonts w:ascii="Arial" w:hAnsi="Arial" w:cs="Arial"/>
          <w:color w:val="000000"/>
          <w:sz w:val="22"/>
          <w:szCs w:val="22"/>
        </w:rPr>
        <w:t>whānau</w:t>
      </w:r>
      <w:proofErr w:type="spellEnd"/>
      <w:r w:rsidRPr="00554E3F">
        <w:rPr>
          <w:rFonts w:ascii="Arial" w:hAnsi="Arial" w:cs="Arial"/>
          <w:color w:val="000000"/>
          <w:sz w:val="22"/>
          <w:szCs w:val="22"/>
        </w:rPr>
        <w:t xml:space="preserve">, and service providers to improve mental health and addiction services. For more information about the programme visit </w:t>
      </w:r>
      <w:hyperlink r:id="rId20" w:history="1">
        <w:r w:rsidRPr="00554E3F">
          <w:rPr>
            <w:rFonts w:ascii="Arial" w:hAnsi="Arial" w:cs="Arial"/>
            <w:color w:val="0082BF"/>
            <w:sz w:val="22"/>
            <w:szCs w:val="22"/>
            <w:u w:val="single"/>
          </w:rPr>
          <w:t>https://www.hqsc.govt.nz/our-programmes/mental-health-and-addiction-quality-improvement/</w:t>
        </w:r>
      </w:hyperlink>
    </w:p>
    <w:p w14:paraId="6D85C141" w14:textId="77777777" w:rsidR="00554E3F" w:rsidRPr="00554E3F" w:rsidRDefault="00554E3F" w:rsidP="00554E3F">
      <w:pPr>
        <w:autoSpaceDE w:val="0"/>
        <w:autoSpaceDN w:val="0"/>
        <w:adjustRightInd w:val="0"/>
        <w:rPr>
          <w:rFonts w:ascii="Arial" w:hAnsi="Arial" w:cs="Arial"/>
          <w:color w:val="000000"/>
          <w:sz w:val="22"/>
          <w:szCs w:val="22"/>
        </w:rPr>
      </w:pPr>
    </w:p>
    <w:p w14:paraId="3F53D2CC" w14:textId="77777777" w:rsidR="00554E3F" w:rsidRPr="00554E3F" w:rsidRDefault="00554E3F" w:rsidP="00554E3F">
      <w:pPr>
        <w:autoSpaceDE w:val="0"/>
        <w:autoSpaceDN w:val="0"/>
        <w:adjustRightInd w:val="0"/>
        <w:rPr>
          <w:rFonts w:ascii="Arial" w:hAnsi="Arial" w:cs="Arial"/>
          <w:color w:val="000000"/>
          <w:sz w:val="22"/>
          <w:szCs w:val="22"/>
        </w:rPr>
      </w:pPr>
      <w:r w:rsidRPr="00554E3F">
        <w:rPr>
          <w:rFonts w:ascii="Arial" w:hAnsi="Arial" w:cs="Arial"/>
          <w:color w:val="000000"/>
          <w:sz w:val="22"/>
          <w:szCs w:val="22"/>
        </w:rPr>
        <w:t xml:space="preserve">The second initiative agreed with DHBs and being undertaken by the HQSC is, </w:t>
      </w:r>
      <w:r w:rsidRPr="00554E3F">
        <w:rPr>
          <w:rFonts w:ascii="Arial" w:hAnsi="Arial" w:cs="Arial"/>
          <w:i/>
          <w:iCs/>
          <w:color w:val="000000"/>
          <w:sz w:val="22"/>
          <w:szCs w:val="22"/>
        </w:rPr>
        <w:t xml:space="preserve">Improving Service Transitions, and </w:t>
      </w:r>
      <w:r w:rsidRPr="00554E3F">
        <w:rPr>
          <w:rFonts w:ascii="Arial" w:hAnsi="Arial" w:cs="Arial"/>
          <w:color w:val="000000"/>
          <w:sz w:val="22"/>
          <w:szCs w:val="22"/>
        </w:rPr>
        <w:t xml:space="preserve">began in June 2018 to address the current variation of service transitions across the country. </w:t>
      </w:r>
    </w:p>
    <w:p w14:paraId="0DCAC370" w14:textId="77777777" w:rsidR="00554E3F" w:rsidRPr="00554E3F" w:rsidRDefault="00554E3F" w:rsidP="00554E3F">
      <w:pPr>
        <w:autoSpaceDE w:val="0"/>
        <w:autoSpaceDN w:val="0"/>
        <w:adjustRightInd w:val="0"/>
        <w:rPr>
          <w:rFonts w:ascii="Arial" w:hAnsi="Arial" w:cs="Arial"/>
          <w:color w:val="000000"/>
          <w:sz w:val="22"/>
          <w:szCs w:val="22"/>
        </w:rPr>
      </w:pPr>
      <w:r w:rsidRPr="00554E3F">
        <w:rPr>
          <w:rFonts w:ascii="Arial" w:hAnsi="Arial" w:cs="Arial"/>
          <w:color w:val="000000"/>
          <w:sz w:val="22"/>
          <w:szCs w:val="22"/>
        </w:rPr>
        <w:t xml:space="preserve"> Service transitions in the MHA sector are multiple and they are recognised as a potential risk to consumers, and families and </w:t>
      </w:r>
      <w:proofErr w:type="spellStart"/>
      <w:r w:rsidRPr="00554E3F">
        <w:rPr>
          <w:rFonts w:ascii="Arial" w:hAnsi="Arial" w:cs="Arial"/>
          <w:color w:val="000000"/>
          <w:sz w:val="22"/>
          <w:szCs w:val="22"/>
        </w:rPr>
        <w:t>whānau</w:t>
      </w:r>
      <w:proofErr w:type="spellEnd"/>
      <w:r w:rsidRPr="00554E3F">
        <w:rPr>
          <w:rFonts w:ascii="Arial" w:hAnsi="Arial" w:cs="Arial"/>
          <w:color w:val="000000"/>
          <w:sz w:val="22"/>
          <w:szCs w:val="22"/>
        </w:rPr>
        <w:t xml:space="preserve">.  </w:t>
      </w:r>
    </w:p>
    <w:p w14:paraId="36B865AC"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color w:val="000000"/>
          <w:sz w:val="22"/>
          <w:szCs w:val="22"/>
        </w:rPr>
        <w:t>DHBs are now also required to report on an annual target of 95 percent of people having a transition plan at discharge from adult inpatient services, and 95 percent of audited plans meeting the quality standard – this forms a subset of the PP7 (discharges from community MH&amp;A services) reporting.</w:t>
      </w:r>
    </w:p>
    <w:p w14:paraId="5B2143FC" w14:textId="77777777" w:rsidR="00554E3F" w:rsidRPr="00554E3F" w:rsidRDefault="00554E3F" w:rsidP="00554E3F">
      <w:pPr>
        <w:spacing w:before="60" w:after="60"/>
        <w:jc w:val="both"/>
        <w:rPr>
          <w:rFonts w:ascii="Arial" w:hAnsi="Arial" w:cs="Arial"/>
          <w:b/>
        </w:rPr>
      </w:pPr>
    </w:p>
    <w:p w14:paraId="263A05D9" w14:textId="77777777" w:rsidR="00554E3F" w:rsidRPr="00554E3F" w:rsidRDefault="00554E3F" w:rsidP="00554E3F">
      <w:pPr>
        <w:spacing w:before="60" w:after="60"/>
        <w:jc w:val="both"/>
        <w:rPr>
          <w:rFonts w:ascii="Arial" w:hAnsi="Arial" w:cs="Arial"/>
          <w:b/>
          <w:sz w:val="22"/>
          <w:szCs w:val="22"/>
        </w:rPr>
      </w:pPr>
      <w:r w:rsidRPr="00554E3F">
        <w:rPr>
          <w:rFonts w:ascii="Arial" w:hAnsi="Arial" w:cs="Arial"/>
          <w:b/>
          <w:sz w:val="22"/>
          <w:szCs w:val="22"/>
        </w:rPr>
        <w:t>Actions and activities are that have a proven impact on this measure:</w:t>
      </w:r>
    </w:p>
    <w:p w14:paraId="1AFF0D82" w14:textId="77777777" w:rsidR="00554E3F" w:rsidRPr="00554E3F" w:rsidRDefault="00554E3F" w:rsidP="00363573">
      <w:pPr>
        <w:numPr>
          <w:ilvl w:val="0"/>
          <w:numId w:val="28"/>
        </w:numPr>
        <w:spacing w:before="60" w:after="60" w:line="240" w:lineRule="exact"/>
        <w:jc w:val="both"/>
        <w:rPr>
          <w:rFonts w:ascii="Arial" w:hAnsi="Arial" w:cs="Arial"/>
          <w:sz w:val="22"/>
          <w:szCs w:val="22"/>
        </w:rPr>
      </w:pPr>
      <w:r w:rsidRPr="00554E3F">
        <w:rPr>
          <w:rFonts w:ascii="Arial" w:hAnsi="Arial" w:cs="Arial"/>
          <w:sz w:val="22"/>
          <w:szCs w:val="22"/>
        </w:rPr>
        <w:t>Refer to the Ministry of Health website for information on transition (discharge) plans (</w:t>
      </w:r>
      <w:hyperlink r:id="rId21" w:history="1">
        <w:r w:rsidRPr="00554E3F">
          <w:rPr>
            <w:rFonts w:ascii="Arial" w:hAnsi="Arial" w:cs="Arial"/>
            <w:color w:val="0000FF"/>
            <w:sz w:val="22"/>
            <w:szCs w:val="22"/>
            <w:u w:val="single"/>
          </w:rPr>
          <w:t>http://www.health.govt.nz/publication/transition-planning-guidelines-infant-child-and-adolescent-mental-health-alcohol-and-other-drugs</w:t>
        </w:r>
      </w:hyperlink>
      <w:r w:rsidRPr="00554E3F">
        <w:rPr>
          <w:rFonts w:ascii="Arial" w:hAnsi="Arial" w:cs="Arial"/>
          <w:sz w:val="22"/>
          <w:szCs w:val="22"/>
        </w:rPr>
        <w:t>).</w:t>
      </w:r>
    </w:p>
    <w:p w14:paraId="45B5E621" w14:textId="77777777" w:rsidR="00554E3F" w:rsidRPr="00554E3F" w:rsidRDefault="00554E3F" w:rsidP="00363573">
      <w:pPr>
        <w:numPr>
          <w:ilvl w:val="0"/>
          <w:numId w:val="28"/>
        </w:numPr>
        <w:spacing w:before="60" w:after="60" w:line="240" w:lineRule="exact"/>
        <w:jc w:val="both"/>
        <w:rPr>
          <w:rFonts w:ascii="Arial" w:hAnsi="Arial" w:cs="Arial"/>
          <w:sz w:val="22"/>
          <w:szCs w:val="22"/>
        </w:rPr>
      </w:pPr>
      <w:r w:rsidRPr="00554E3F">
        <w:rPr>
          <w:rFonts w:ascii="Arial" w:hAnsi="Arial" w:cs="Arial"/>
          <w:sz w:val="22"/>
          <w:szCs w:val="22"/>
        </w:rPr>
        <w:lastRenderedPageBreak/>
        <w:t xml:space="preserve">Note that guidance for quality transition (discharge) plans </w:t>
      </w:r>
      <w:proofErr w:type="gramStart"/>
      <w:r w:rsidRPr="00554E3F">
        <w:rPr>
          <w:rFonts w:ascii="Arial" w:hAnsi="Arial" w:cs="Arial"/>
          <w:sz w:val="22"/>
          <w:szCs w:val="22"/>
        </w:rPr>
        <w:t>includes:</w:t>
      </w:r>
      <w:proofErr w:type="gramEnd"/>
      <w:r w:rsidRPr="00554E3F">
        <w:rPr>
          <w:rFonts w:ascii="Arial" w:hAnsi="Arial" w:cs="Arial"/>
          <w:sz w:val="22"/>
          <w:szCs w:val="22"/>
        </w:rPr>
        <w:t xml:space="preserve"> collaborative planning; partnership with service users; family/whanau involvement; clear effective and timely communication and the inclusion of wellness strategies.</w:t>
      </w:r>
    </w:p>
    <w:p w14:paraId="6E4A58C7" w14:textId="77777777" w:rsidR="00554E3F" w:rsidRPr="00554E3F" w:rsidRDefault="00554E3F" w:rsidP="00554E3F">
      <w:pPr>
        <w:spacing w:before="60" w:after="60" w:line="240" w:lineRule="exact"/>
        <w:jc w:val="both"/>
        <w:rPr>
          <w:rFonts w:ascii="Arial" w:hAnsi="Arial" w:cs="Arial"/>
          <w:sz w:val="22"/>
          <w:szCs w:val="22"/>
        </w:rPr>
      </w:pPr>
    </w:p>
    <w:p w14:paraId="353CAD80" w14:textId="77777777" w:rsidR="00554E3F" w:rsidRPr="00554E3F" w:rsidRDefault="00554E3F" w:rsidP="00554E3F">
      <w:pPr>
        <w:spacing w:before="60" w:after="60" w:line="240" w:lineRule="exact"/>
        <w:jc w:val="both"/>
        <w:rPr>
          <w:rFonts w:ascii="Arial" w:hAnsi="Arial" w:cs="Arial"/>
          <w:b/>
          <w:sz w:val="22"/>
          <w:szCs w:val="22"/>
        </w:rPr>
      </w:pPr>
      <w:r w:rsidRPr="00554E3F">
        <w:rPr>
          <w:rFonts w:ascii="Arial" w:hAnsi="Arial" w:cs="Arial"/>
          <w:b/>
          <w:sz w:val="22"/>
          <w:szCs w:val="22"/>
        </w:rPr>
        <w:t>Community Services Transition (Discharge) Plan Measures:</w:t>
      </w:r>
    </w:p>
    <w:p w14:paraId="73D8CDDB" w14:textId="77777777" w:rsidR="00554E3F" w:rsidRPr="00554E3F" w:rsidRDefault="00554E3F" w:rsidP="00554E3F">
      <w:pPr>
        <w:spacing w:before="60" w:after="60" w:line="240" w:lineRule="exact"/>
        <w:ind w:left="2127" w:hanging="1418"/>
        <w:jc w:val="both"/>
        <w:rPr>
          <w:rFonts w:ascii="Arial" w:hAnsi="Arial" w:cs="Arial"/>
          <w:sz w:val="22"/>
          <w:szCs w:val="22"/>
        </w:rPr>
      </w:pPr>
      <w:r w:rsidRPr="00554E3F">
        <w:rPr>
          <w:rFonts w:ascii="Arial" w:hAnsi="Arial" w:cs="Arial"/>
          <w:sz w:val="22"/>
          <w:szCs w:val="22"/>
        </w:rPr>
        <w:t>Quantity</w:t>
      </w:r>
      <w:r w:rsidRPr="00554E3F">
        <w:rPr>
          <w:rFonts w:ascii="Arial" w:hAnsi="Arial" w:cs="Arial"/>
          <w:sz w:val="22"/>
          <w:szCs w:val="22"/>
        </w:rPr>
        <w:tab/>
        <w:t>At least 95% of clients discharged from community MH&amp;A services have a</w:t>
      </w:r>
      <w:r w:rsidRPr="00554E3F">
        <w:rPr>
          <w:rFonts w:ascii="Arial" w:hAnsi="Arial" w:cs="Arial"/>
          <w:sz w:val="22"/>
          <w:szCs w:val="22"/>
        </w:rPr>
        <w:tab/>
      </w:r>
      <w:r w:rsidRPr="00554E3F">
        <w:rPr>
          <w:rFonts w:ascii="Arial" w:hAnsi="Arial" w:cs="Arial"/>
          <w:sz w:val="22"/>
          <w:szCs w:val="22"/>
        </w:rPr>
        <w:tab/>
        <w:t>transition (discharge) plan.</w:t>
      </w:r>
    </w:p>
    <w:p w14:paraId="5F5E39E7" w14:textId="77777777" w:rsidR="00554E3F" w:rsidRPr="00554E3F" w:rsidRDefault="00554E3F" w:rsidP="00554E3F">
      <w:pPr>
        <w:spacing w:before="60" w:after="60" w:line="240" w:lineRule="exact"/>
        <w:ind w:left="720"/>
        <w:jc w:val="both"/>
        <w:rPr>
          <w:rFonts w:ascii="Arial" w:hAnsi="Arial" w:cs="Arial"/>
          <w:sz w:val="22"/>
          <w:szCs w:val="22"/>
        </w:rPr>
      </w:pPr>
    </w:p>
    <w:p w14:paraId="3CE029C3" w14:textId="77777777" w:rsidR="00554E3F" w:rsidRPr="00554E3F" w:rsidRDefault="00554E3F" w:rsidP="00554E3F">
      <w:pPr>
        <w:spacing w:before="60" w:after="60" w:line="240" w:lineRule="exact"/>
        <w:ind w:left="2160" w:hanging="1440"/>
        <w:jc w:val="both"/>
        <w:rPr>
          <w:rFonts w:ascii="Arial" w:hAnsi="Arial" w:cs="Arial"/>
          <w:sz w:val="22"/>
          <w:szCs w:val="22"/>
        </w:rPr>
      </w:pPr>
      <w:r w:rsidRPr="00554E3F">
        <w:rPr>
          <w:rFonts w:ascii="Arial" w:hAnsi="Arial" w:cs="Arial"/>
          <w:sz w:val="22"/>
          <w:szCs w:val="22"/>
        </w:rPr>
        <w:t>Quality</w:t>
      </w:r>
      <w:r w:rsidRPr="00554E3F">
        <w:rPr>
          <w:rFonts w:ascii="Arial" w:hAnsi="Arial" w:cs="Arial"/>
          <w:sz w:val="22"/>
          <w:szCs w:val="22"/>
        </w:rPr>
        <w:tab/>
        <w:t>At least 95% of audited files have a transition (discharge) plan of acceptable standard.</w:t>
      </w:r>
      <w:r w:rsidRPr="00554E3F">
        <w:rPr>
          <w:rFonts w:ascii="Arial" w:hAnsi="Arial" w:cs="Arial"/>
          <w:sz w:val="22"/>
          <w:szCs w:val="22"/>
        </w:rPr>
        <w:br/>
        <w:t xml:space="preserve">DHBs will undertake routine audits of client files against accepted good practice criteria for transition (discharge) plans </w:t>
      </w:r>
    </w:p>
    <w:p w14:paraId="7EAEE551" w14:textId="77777777" w:rsidR="00554E3F" w:rsidRPr="00554E3F" w:rsidRDefault="00554E3F" w:rsidP="00554E3F">
      <w:pPr>
        <w:spacing w:before="60" w:after="60"/>
        <w:jc w:val="both"/>
        <w:rPr>
          <w:rFonts w:ascii="Arial" w:hAnsi="Arial" w:cs="Arial"/>
          <w:b/>
          <w:sz w:val="22"/>
          <w:szCs w:val="22"/>
        </w:rPr>
      </w:pPr>
    </w:p>
    <w:p w14:paraId="16A05F92" w14:textId="77777777" w:rsidR="00554E3F" w:rsidRPr="00D10F0D" w:rsidRDefault="00554E3F" w:rsidP="00554E3F">
      <w:pPr>
        <w:spacing w:before="60" w:after="60"/>
        <w:jc w:val="both"/>
        <w:rPr>
          <w:rFonts w:ascii="Arial" w:hAnsi="Arial" w:cs="Arial"/>
        </w:rPr>
      </w:pPr>
      <w:r w:rsidRPr="00D10F0D">
        <w:rPr>
          <w:rFonts w:ascii="Arial" w:hAnsi="Arial" w:cs="Arial"/>
        </w:rPr>
        <w:t>Reporting template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554E3F" w:rsidRPr="00D10F0D" w14:paraId="257C2032" w14:textId="77777777" w:rsidTr="00B429D8">
        <w:trPr>
          <w:cantSplit/>
        </w:trPr>
        <w:tc>
          <w:tcPr>
            <w:tcW w:w="5000" w:type="pct"/>
            <w:gridSpan w:val="3"/>
            <w:tcBorders>
              <w:top w:val="single" w:sz="4" w:space="0" w:color="auto"/>
              <w:left w:val="single" w:sz="4" w:space="0" w:color="auto"/>
              <w:bottom w:val="single" w:sz="4" w:space="0" w:color="auto"/>
              <w:right w:val="single" w:sz="4" w:space="0" w:color="auto"/>
            </w:tcBorders>
          </w:tcPr>
          <w:p w14:paraId="217F235B" w14:textId="77777777" w:rsidR="00554E3F" w:rsidRPr="00D10F0D" w:rsidRDefault="00554E3F" w:rsidP="00B429D8">
            <w:pPr>
              <w:spacing w:before="60" w:after="60"/>
              <w:jc w:val="both"/>
              <w:rPr>
                <w:rFonts w:ascii="Arial" w:hAnsi="Arial" w:cs="Arial"/>
                <w:sz w:val="20"/>
                <w:szCs w:val="20"/>
              </w:rPr>
            </w:pPr>
            <w:r w:rsidRPr="00D10F0D">
              <w:rPr>
                <w:rFonts w:ascii="Arial" w:hAnsi="Arial" w:cs="Arial"/>
                <w:b/>
                <w:sz w:val="20"/>
                <w:szCs w:val="20"/>
                <w:lang w:val="en-AU"/>
              </w:rPr>
              <w:t xml:space="preserve">Percentage of </w:t>
            </w:r>
            <w:r>
              <w:rPr>
                <w:rFonts w:ascii="Arial" w:hAnsi="Arial" w:cs="Arial"/>
                <w:b/>
                <w:sz w:val="20"/>
                <w:szCs w:val="20"/>
                <w:lang w:val="en-AU"/>
              </w:rPr>
              <w:t xml:space="preserve">MH&amp;A </w:t>
            </w:r>
            <w:r w:rsidRPr="00D10F0D">
              <w:rPr>
                <w:rFonts w:ascii="Arial" w:hAnsi="Arial" w:cs="Arial"/>
                <w:b/>
                <w:sz w:val="20"/>
                <w:szCs w:val="20"/>
                <w:lang w:val="en-AU"/>
              </w:rPr>
              <w:t xml:space="preserve">clients </w:t>
            </w:r>
            <w:r>
              <w:rPr>
                <w:rFonts w:ascii="Arial" w:hAnsi="Arial" w:cs="Arial"/>
                <w:b/>
                <w:sz w:val="20"/>
                <w:szCs w:val="20"/>
                <w:lang w:val="en-AU"/>
              </w:rPr>
              <w:t xml:space="preserve">discharged from MH&amp;A community services </w:t>
            </w:r>
            <w:r w:rsidRPr="00D10F0D">
              <w:rPr>
                <w:rFonts w:ascii="Arial" w:hAnsi="Arial" w:cs="Arial"/>
                <w:b/>
                <w:sz w:val="20"/>
                <w:szCs w:val="20"/>
                <w:lang w:val="en-AU"/>
              </w:rPr>
              <w:t xml:space="preserve">with a </w:t>
            </w:r>
            <w:r>
              <w:rPr>
                <w:rFonts w:ascii="Arial" w:hAnsi="Arial" w:cs="Arial"/>
                <w:b/>
                <w:sz w:val="20"/>
                <w:szCs w:val="20"/>
                <w:lang w:val="en-AU"/>
              </w:rPr>
              <w:t xml:space="preserve">transition (discharge) </w:t>
            </w:r>
            <w:r w:rsidRPr="00D10F0D">
              <w:rPr>
                <w:rFonts w:ascii="Arial" w:hAnsi="Arial" w:cs="Arial"/>
                <w:b/>
                <w:sz w:val="20"/>
                <w:szCs w:val="20"/>
                <w:lang w:val="en-AU"/>
              </w:rPr>
              <w:t xml:space="preserve">plan </w:t>
            </w:r>
          </w:p>
        </w:tc>
      </w:tr>
      <w:tr w:rsidR="00554E3F" w:rsidRPr="00D10F0D" w14:paraId="641EF56C"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25EBD23E"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Numerator</w:t>
            </w:r>
          </w:p>
        </w:tc>
        <w:tc>
          <w:tcPr>
            <w:tcW w:w="1621" w:type="pct"/>
            <w:tcBorders>
              <w:top w:val="single" w:sz="4" w:space="0" w:color="auto"/>
              <w:left w:val="single" w:sz="4" w:space="0" w:color="auto"/>
              <w:bottom w:val="single" w:sz="4" w:space="0" w:color="auto"/>
              <w:right w:val="single" w:sz="4" w:space="0" w:color="auto"/>
            </w:tcBorders>
          </w:tcPr>
          <w:p w14:paraId="62ED5137"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Denominator</w:t>
            </w:r>
          </w:p>
        </w:tc>
        <w:tc>
          <w:tcPr>
            <w:tcW w:w="1622" w:type="pct"/>
            <w:tcBorders>
              <w:top w:val="single" w:sz="4" w:space="0" w:color="auto"/>
              <w:left w:val="single" w:sz="4" w:space="0" w:color="auto"/>
              <w:bottom w:val="single" w:sz="4" w:space="0" w:color="auto"/>
              <w:right w:val="single" w:sz="4" w:space="0" w:color="auto"/>
            </w:tcBorders>
          </w:tcPr>
          <w:p w14:paraId="455189C4"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Percentage</w:t>
            </w:r>
          </w:p>
        </w:tc>
      </w:tr>
      <w:tr w:rsidR="00554E3F" w:rsidRPr="00D10F0D" w14:paraId="3155BB27"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12BA2C8B"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MH&amp;A </w:t>
            </w:r>
            <w:r w:rsidRPr="00D10F0D">
              <w:rPr>
                <w:rFonts w:ascii="Arial" w:hAnsi="Arial" w:cs="Arial"/>
                <w:sz w:val="20"/>
                <w:szCs w:val="20"/>
              </w:rPr>
              <w:t>clients</w:t>
            </w:r>
            <w:r>
              <w:rPr>
                <w:rFonts w:ascii="Arial" w:hAnsi="Arial" w:cs="Arial"/>
                <w:sz w:val="20"/>
                <w:szCs w:val="20"/>
              </w:rPr>
              <w:t xml:space="preserve"> discharged</w:t>
            </w:r>
            <w:r w:rsidRPr="00D10F0D">
              <w:rPr>
                <w:rFonts w:ascii="Arial" w:hAnsi="Arial" w:cs="Arial"/>
                <w:sz w:val="20"/>
                <w:szCs w:val="20"/>
              </w:rPr>
              <w:t xml:space="preserve"> </w:t>
            </w:r>
            <w:r>
              <w:rPr>
                <w:rFonts w:ascii="Arial" w:hAnsi="Arial" w:cs="Arial"/>
                <w:sz w:val="20"/>
                <w:szCs w:val="20"/>
              </w:rPr>
              <w:t xml:space="preserve">from the community </w:t>
            </w:r>
            <w:r w:rsidRPr="00D10F0D">
              <w:rPr>
                <w:rFonts w:ascii="Arial" w:hAnsi="Arial" w:cs="Arial"/>
                <w:sz w:val="20"/>
                <w:szCs w:val="20"/>
              </w:rPr>
              <w:t xml:space="preserve">with a transition (discharge) plan </w:t>
            </w:r>
          </w:p>
          <w:p w14:paraId="0B4B9116" w14:textId="77777777" w:rsidR="00554E3F" w:rsidRPr="00D10F0D" w:rsidRDefault="00554E3F" w:rsidP="00B429D8">
            <w:pPr>
              <w:spacing w:before="60" w:after="60"/>
              <w:rPr>
                <w:rFonts w:ascii="Arial" w:hAnsi="Arial" w:cs="Arial"/>
                <w:b/>
                <w:sz w:val="20"/>
                <w:szCs w:val="20"/>
                <w:lang w:val="en-AU"/>
              </w:rPr>
            </w:pPr>
            <w:r w:rsidRPr="00D10F0D">
              <w:rPr>
                <w:rFonts w:ascii="Arial" w:hAnsi="Arial" w:cs="Arial"/>
                <w:sz w:val="20"/>
                <w:szCs w:val="20"/>
              </w:rPr>
              <w:t>(Data Source: DHB)</w:t>
            </w:r>
          </w:p>
        </w:tc>
        <w:tc>
          <w:tcPr>
            <w:tcW w:w="1621" w:type="pct"/>
            <w:tcBorders>
              <w:top w:val="single" w:sz="4" w:space="0" w:color="auto"/>
              <w:left w:val="single" w:sz="4" w:space="0" w:color="auto"/>
              <w:bottom w:val="single" w:sz="4" w:space="0" w:color="auto"/>
              <w:right w:val="single" w:sz="4" w:space="0" w:color="auto"/>
            </w:tcBorders>
          </w:tcPr>
          <w:p w14:paraId="6D09C27F"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Number </w:t>
            </w:r>
            <w:r>
              <w:rPr>
                <w:rFonts w:ascii="Arial" w:hAnsi="Arial" w:cs="Arial"/>
                <w:sz w:val="20"/>
                <w:szCs w:val="20"/>
              </w:rPr>
              <w:t xml:space="preserve">of MH&amp;A </w:t>
            </w:r>
            <w:r w:rsidRPr="00D10F0D">
              <w:rPr>
                <w:rFonts w:ascii="Arial" w:hAnsi="Arial" w:cs="Arial"/>
                <w:sz w:val="20"/>
                <w:szCs w:val="20"/>
              </w:rPr>
              <w:t xml:space="preserve">clients discharged from the community </w:t>
            </w:r>
            <w:r>
              <w:rPr>
                <w:rFonts w:ascii="Arial" w:hAnsi="Arial" w:cs="Arial"/>
                <w:sz w:val="20"/>
                <w:szCs w:val="20"/>
              </w:rPr>
              <w:t>MH&amp;A</w:t>
            </w:r>
            <w:r w:rsidRPr="00D10F0D">
              <w:rPr>
                <w:rFonts w:ascii="Arial" w:hAnsi="Arial" w:cs="Arial"/>
                <w:sz w:val="20"/>
                <w:szCs w:val="20"/>
              </w:rPr>
              <w:t xml:space="preserve"> services </w:t>
            </w:r>
          </w:p>
          <w:p w14:paraId="2A77633F"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(DHB data source DHB)</w:t>
            </w:r>
          </w:p>
        </w:tc>
        <w:tc>
          <w:tcPr>
            <w:tcW w:w="1622" w:type="pct"/>
            <w:tcBorders>
              <w:top w:val="single" w:sz="4" w:space="0" w:color="auto"/>
              <w:left w:val="single" w:sz="4" w:space="0" w:color="auto"/>
              <w:bottom w:val="single" w:sz="4" w:space="0" w:color="auto"/>
              <w:right w:val="single" w:sz="4" w:space="0" w:color="auto"/>
            </w:tcBorders>
          </w:tcPr>
          <w:p w14:paraId="41272AF3"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Percentage of </w:t>
            </w:r>
            <w:r>
              <w:rPr>
                <w:rFonts w:ascii="Arial" w:hAnsi="Arial" w:cs="Arial"/>
                <w:sz w:val="20"/>
                <w:szCs w:val="20"/>
              </w:rPr>
              <w:t xml:space="preserve">MH&amp;A </w:t>
            </w:r>
            <w:r w:rsidRPr="00D10F0D">
              <w:rPr>
                <w:rFonts w:ascii="Arial" w:hAnsi="Arial" w:cs="Arial"/>
                <w:sz w:val="20"/>
                <w:szCs w:val="20"/>
              </w:rPr>
              <w:t>clients</w:t>
            </w:r>
            <w:r>
              <w:rPr>
                <w:rFonts w:ascii="Arial" w:hAnsi="Arial" w:cs="Arial"/>
                <w:sz w:val="20"/>
                <w:szCs w:val="20"/>
              </w:rPr>
              <w:t xml:space="preserve"> discharged</w:t>
            </w:r>
            <w:r w:rsidRPr="00D10F0D">
              <w:rPr>
                <w:rFonts w:ascii="Arial" w:hAnsi="Arial" w:cs="Arial"/>
                <w:sz w:val="20"/>
                <w:szCs w:val="20"/>
              </w:rPr>
              <w:t xml:space="preserve"> </w:t>
            </w:r>
            <w:r>
              <w:rPr>
                <w:rFonts w:ascii="Arial" w:hAnsi="Arial" w:cs="Arial"/>
                <w:sz w:val="20"/>
                <w:szCs w:val="20"/>
              </w:rPr>
              <w:t xml:space="preserve">from the community </w:t>
            </w:r>
            <w:r w:rsidRPr="00D10F0D">
              <w:rPr>
                <w:rFonts w:ascii="Arial" w:hAnsi="Arial" w:cs="Arial"/>
                <w:sz w:val="20"/>
                <w:szCs w:val="20"/>
              </w:rPr>
              <w:t xml:space="preserve">with a transition (discharge) plan </w:t>
            </w:r>
          </w:p>
          <w:p w14:paraId="16A7758F" w14:textId="77777777" w:rsidR="00554E3F" w:rsidRPr="00D10F0D" w:rsidRDefault="00554E3F" w:rsidP="00B429D8">
            <w:pPr>
              <w:spacing w:before="60" w:after="60"/>
              <w:rPr>
                <w:rFonts w:ascii="Arial" w:hAnsi="Arial" w:cs="Arial"/>
                <w:sz w:val="20"/>
                <w:szCs w:val="20"/>
              </w:rPr>
            </w:pPr>
          </w:p>
        </w:tc>
      </w:tr>
      <w:tr w:rsidR="00554E3F" w:rsidRPr="00D10F0D" w14:paraId="788C07BA"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40F99698"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r w:rsidRPr="00D10F0D">
              <w:rPr>
                <w:rFonts w:ascii="Arial" w:hAnsi="Arial" w:cs="Arial"/>
                <w:sz w:val="20"/>
                <w:szCs w:val="20"/>
              </w:rPr>
              <w:t xml:space="preserve">with a transition (discharge) plan </w:t>
            </w:r>
            <w:r>
              <w:rPr>
                <w:rFonts w:ascii="Arial" w:hAnsi="Arial" w:cs="Arial"/>
                <w:sz w:val="20"/>
                <w:szCs w:val="20"/>
              </w:rPr>
              <w:t>of acceptable standard</w:t>
            </w:r>
          </w:p>
          <w:p w14:paraId="42130D60"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 (Data Source: DHB)</w:t>
            </w:r>
          </w:p>
        </w:tc>
        <w:tc>
          <w:tcPr>
            <w:tcW w:w="1621" w:type="pct"/>
            <w:tcBorders>
              <w:top w:val="single" w:sz="4" w:space="0" w:color="auto"/>
              <w:left w:val="single" w:sz="4" w:space="0" w:color="auto"/>
              <w:bottom w:val="single" w:sz="4" w:space="0" w:color="auto"/>
              <w:right w:val="single" w:sz="4" w:space="0" w:color="auto"/>
            </w:tcBorders>
          </w:tcPr>
          <w:p w14:paraId="6FF4F2A4" w14:textId="77777777" w:rsidR="00554E3F"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p>
          <w:p w14:paraId="230D6475" w14:textId="77777777" w:rsidR="00554E3F" w:rsidRPr="00D10F0D" w:rsidDel="004D7AD2" w:rsidRDefault="00554E3F" w:rsidP="00B429D8">
            <w:pPr>
              <w:spacing w:before="60" w:after="60"/>
              <w:rPr>
                <w:rFonts w:ascii="Arial" w:hAnsi="Arial" w:cs="Arial"/>
                <w:sz w:val="20"/>
                <w:szCs w:val="20"/>
              </w:rPr>
            </w:pPr>
            <w:r w:rsidRPr="00D10F0D">
              <w:rPr>
                <w:rFonts w:ascii="Arial" w:hAnsi="Arial" w:cs="Arial"/>
                <w:sz w:val="20"/>
                <w:szCs w:val="20"/>
              </w:rPr>
              <w:t>(Data Source: DHB)</w:t>
            </w:r>
          </w:p>
        </w:tc>
        <w:tc>
          <w:tcPr>
            <w:tcW w:w="1622" w:type="pct"/>
            <w:tcBorders>
              <w:top w:val="single" w:sz="4" w:space="0" w:color="auto"/>
              <w:left w:val="single" w:sz="4" w:space="0" w:color="auto"/>
              <w:bottom w:val="single" w:sz="4" w:space="0" w:color="auto"/>
              <w:right w:val="single" w:sz="4" w:space="0" w:color="auto"/>
            </w:tcBorders>
          </w:tcPr>
          <w:p w14:paraId="53D39F1D"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Percentage with a transition plan of acceptable standard</w:t>
            </w:r>
          </w:p>
        </w:tc>
      </w:tr>
    </w:tbl>
    <w:p w14:paraId="2F1175DD" w14:textId="77777777" w:rsidR="00554E3F" w:rsidRPr="00982055" w:rsidRDefault="00554E3F" w:rsidP="00554E3F">
      <w:pPr>
        <w:spacing w:before="60" w:after="60"/>
        <w:jc w:val="both"/>
        <w:rPr>
          <w:rFonts w:ascii="Arial" w:hAnsi="Arial" w:cs="Arial"/>
        </w:rPr>
      </w:pPr>
    </w:p>
    <w:p w14:paraId="4BE36C89" w14:textId="77777777" w:rsidR="00554E3F" w:rsidRPr="00982055" w:rsidRDefault="00554E3F" w:rsidP="00554E3F">
      <w:pPr>
        <w:spacing w:before="60" w:after="60" w:line="240" w:lineRule="exact"/>
        <w:jc w:val="both"/>
        <w:rPr>
          <w:rFonts w:ascii="Arial" w:hAnsi="Arial" w:cs="Arial"/>
        </w:rPr>
      </w:pPr>
      <w:r w:rsidRPr="00982055">
        <w:rPr>
          <w:rFonts w:ascii="Arial" w:hAnsi="Arial" w:cs="Arial"/>
        </w:rPr>
        <w:t>Inclusions / exclusions</w:t>
      </w:r>
    </w:p>
    <w:p w14:paraId="6EC7A805" w14:textId="77777777" w:rsidR="00554E3F" w:rsidRPr="00EF1D45" w:rsidRDefault="00554E3F" w:rsidP="00C04FF1">
      <w:pPr>
        <w:pStyle w:val="ListParagraph"/>
        <w:numPr>
          <w:ilvl w:val="0"/>
          <w:numId w:val="61"/>
        </w:numPr>
        <w:spacing w:before="60" w:after="60"/>
        <w:jc w:val="both"/>
        <w:rPr>
          <w:rFonts w:ascii="Arial" w:hAnsi="Arial" w:cs="Arial"/>
        </w:rPr>
      </w:pPr>
      <w:r w:rsidRPr="00982055">
        <w:rPr>
          <w:rFonts w:ascii="Arial" w:eastAsiaTheme="minorEastAsia" w:hAnsi="Arial" w:cs="Arial"/>
          <w:sz w:val="22"/>
          <w:szCs w:val="22"/>
          <w:lang w:eastAsia="en-NZ"/>
        </w:rPr>
        <w:t>Exclude referrals</w:t>
      </w:r>
      <w:r w:rsidRPr="003A508D">
        <w:rPr>
          <w:rFonts w:ascii="Arial" w:hAnsi="Arial" w:cs="Arial"/>
          <w:sz w:val="22"/>
          <w:szCs w:val="22"/>
        </w:rPr>
        <w:t xml:space="preserve"> that were not ‘accepted’ (e.g. rejected and cancelled referrals).</w:t>
      </w:r>
    </w:p>
    <w:p w14:paraId="7C85C95D" w14:textId="77777777" w:rsidR="00554E3F" w:rsidRPr="00982055" w:rsidRDefault="00554E3F" w:rsidP="00C04FF1">
      <w:pPr>
        <w:pStyle w:val="ListParagraph"/>
        <w:numPr>
          <w:ilvl w:val="0"/>
          <w:numId w:val="61"/>
        </w:numPr>
        <w:spacing w:before="60" w:after="60"/>
        <w:jc w:val="both"/>
        <w:rPr>
          <w:rFonts w:ascii="Arial" w:hAnsi="Arial" w:cs="Arial"/>
          <w:sz w:val="22"/>
          <w:szCs w:val="22"/>
        </w:rPr>
      </w:pPr>
      <w:r w:rsidRPr="00982055">
        <w:rPr>
          <w:rFonts w:ascii="Arial" w:hAnsi="Arial" w:cs="Arial"/>
          <w:sz w:val="22"/>
          <w:szCs w:val="22"/>
        </w:rPr>
        <w:t>Exclude referrals that have no face-to-face contacts (actual attendances).</w:t>
      </w:r>
    </w:p>
    <w:p w14:paraId="338AF73D" w14:textId="77777777" w:rsidR="00554E3F" w:rsidRPr="00982055" w:rsidRDefault="00554E3F" w:rsidP="00C04FF1">
      <w:pPr>
        <w:pStyle w:val="ListParagraph"/>
        <w:numPr>
          <w:ilvl w:val="0"/>
          <w:numId w:val="61"/>
        </w:numPr>
        <w:spacing w:before="60" w:after="60"/>
        <w:jc w:val="both"/>
        <w:rPr>
          <w:rFonts w:ascii="Arial" w:hAnsi="Arial" w:cs="Arial"/>
          <w:sz w:val="22"/>
          <w:szCs w:val="22"/>
        </w:rPr>
      </w:pPr>
      <w:r w:rsidRPr="00982055">
        <w:rPr>
          <w:rFonts w:ascii="Arial" w:hAnsi="Arial" w:cs="Arial"/>
          <w:sz w:val="22"/>
          <w:szCs w:val="22"/>
        </w:rPr>
        <w:t>PRIMHD referral end codes DD, DG, DM, ID, RI, RO (or their equivalent) can be excluded from the count.</w:t>
      </w:r>
    </w:p>
    <w:p w14:paraId="753B9BC6" w14:textId="77777777" w:rsidR="00554E3F" w:rsidRPr="00982055" w:rsidRDefault="00554E3F" w:rsidP="00C04FF1">
      <w:pPr>
        <w:pStyle w:val="ListParagraph"/>
        <w:numPr>
          <w:ilvl w:val="0"/>
          <w:numId w:val="61"/>
        </w:numPr>
        <w:spacing w:before="60" w:after="60"/>
        <w:jc w:val="both"/>
        <w:rPr>
          <w:rFonts w:ascii="Arial" w:hAnsi="Arial" w:cs="Arial"/>
          <w:sz w:val="22"/>
          <w:szCs w:val="22"/>
        </w:rPr>
      </w:pPr>
      <w:r w:rsidRPr="003A508D">
        <w:rPr>
          <w:rFonts w:ascii="Arial" w:hAnsi="Arial" w:cs="Arial"/>
          <w:sz w:val="22"/>
          <w:szCs w:val="22"/>
        </w:rPr>
        <w:t>Include only those referrals with 3 or more face-to-face attendances (i.e. only those referrals where the client was seen 3 or more times).</w:t>
      </w:r>
    </w:p>
    <w:p w14:paraId="0AD3F91D" w14:textId="77777777" w:rsidR="00554E3F" w:rsidRPr="003A508D" w:rsidRDefault="00554E3F" w:rsidP="00554E3F">
      <w:pPr>
        <w:spacing w:before="60" w:after="60"/>
        <w:ind w:left="1418" w:hanging="709"/>
        <w:jc w:val="both"/>
        <w:rPr>
          <w:rFonts w:ascii="Arial" w:hAnsi="Arial" w:cs="Arial"/>
        </w:rPr>
      </w:pPr>
      <w:r w:rsidRPr="00982055">
        <w:rPr>
          <w:rFonts w:ascii="Arial" w:hAnsi="Arial" w:cs="Arial"/>
        </w:rPr>
        <w:t>•</w:t>
      </w:r>
      <w:r w:rsidRPr="003A508D">
        <w:rPr>
          <w:rFonts w:ascii="Arial" w:hAnsi="Arial" w:cs="Arial"/>
        </w:rPr>
        <w:tab/>
        <w:t>Include in quality audit only those files with a transition (discharge) plan</w:t>
      </w:r>
    </w:p>
    <w:p w14:paraId="01087C85" w14:textId="77777777" w:rsidR="00554E3F" w:rsidRDefault="00554E3F" w:rsidP="00554E3F"/>
    <w:p w14:paraId="3D9DA986" w14:textId="77777777" w:rsidR="00554E3F" w:rsidRPr="00D10F0D" w:rsidRDefault="00554E3F" w:rsidP="00554E3F">
      <w:pPr>
        <w:spacing w:before="60" w:after="60" w:line="240" w:lineRule="exact"/>
        <w:jc w:val="both"/>
        <w:rPr>
          <w:rFonts w:ascii="Arial" w:hAnsi="Arial" w:cs="Arial"/>
          <w:b/>
        </w:rPr>
      </w:pPr>
      <w:r>
        <w:rPr>
          <w:rFonts w:ascii="Arial" w:hAnsi="Arial" w:cs="Arial"/>
          <w:b/>
        </w:rPr>
        <w:t xml:space="preserve">Wellness Plan </w:t>
      </w:r>
      <w:r w:rsidRPr="00D10F0D">
        <w:rPr>
          <w:rFonts w:ascii="Arial" w:hAnsi="Arial" w:cs="Arial"/>
          <w:b/>
        </w:rPr>
        <w:t>Measures:</w:t>
      </w:r>
    </w:p>
    <w:p w14:paraId="647D3DCA" w14:textId="77777777" w:rsidR="00554E3F" w:rsidRPr="00D10F0D" w:rsidRDefault="00554E3F" w:rsidP="00554E3F">
      <w:pPr>
        <w:spacing w:before="60" w:after="60" w:line="240" w:lineRule="exact"/>
        <w:ind w:left="1440" w:hanging="1440"/>
        <w:jc w:val="both"/>
        <w:rPr>
          <w:rFonts w:ascii="Arial" w:hAnsi="Arial" w:cs="Arial"/>
        </w:rPr>
      </w:pPr>
      <w:r w:rsidRPr="00D10F0D">
        <w:rPr>
          <w:rFonts w:ascii="Arial" w:hAnsi="Arial" w:cs="Arial"/>
        </w:rPr>
        <w:t>Quantity</w:t>
      </w:r>
      <w:r w:rsidRPr="00D10F0D">
        <w:rPr>
          <w:rFonts w:ascii="Arial" w:hAnsi="Arial" w:cs="Arial"/>
        </w:rPr>
        <w:tab/>
        <w:t xml:space="preserve">At least 95% of clients </w:t>
      </w:r>
      <w:r>
        <w:rPr>
          <w:rFonts w:ascii="Arial" w:hAnsi="Arial" w:cs="Arial"/>
        </w:rPr>
        <w:t xml:space="preserve">with an open referral to MH&amp;A services of greater than 12 months </w:t>
      </w:r>
      <w:r w:rsidRPr="00D10F0D">
        <w:rPr>
          <w:rFonts w:ascii="Arial" w:hAnsi="Arial" w:cs="Arial"/>
        </w:rPr>
        <w:t>have a</w:t>
      </w:r>
      <w:r>
        <w:rPr>
          <w:rFonts w:ascii="Arial" w:hAnsi="Arial" w:cs="Arial"/>
        </w:rPr>
        <w:t xml:space="preserve"> wellness </w:t>
      </w:r>
      <w:r w:rsidRPr="00D10F0D">
        <w:rPr>
          <w:rFonts w:ascii="Arial" w:hAnsi="Arial" w:cs="Arial"/>
        </w:rPr>
        <w:t>plan.</w:t>
      </w:r>
    </w:p>
    <w:p w14:paraId="33B857F5" w14:textId="77777777" w:rsidR="00554E3F" w:rsidRPr="00D10F0D" w:rsidRDefault="00554E3F" w:rsidP="00554E3F">
      <w:pPr>
        <w:spacing w:before="60" w:after="60" w:line="240" w:lineRule="exact"/>
        <w:jc w:val="both"/>
        <w:rPr>
          <w:rFonts w:ascii="Arial" w:hAnsi="Arial" w:cs="Arial"/>
        </w:rPr>
      </w:pPr>
    </w:p>
    <w:p w14:paraId="42132938" w14:textId="77777777" w:rsidR="00554E3F" w:rsidRDefault="00554E3F" w:rsidP="00554E3F">
      <w:pPr>
        <w:spacing w:before="60" w:after="60" w:line="240" w:lineRule="exact"/>
        <w:ind w:left="1418" w:hanging="1418"/>
        <w:jc w:val="both"/>
        <w:rPr>
          <w:rFonts w:ascii="Arial" w:hAnsi="Arial" w:cs="Arial"/>
        </w:rPr>
      </w:pPr>
      <w:r w:rsidRPr="00D10F0D">
        <w:rPr>
          <w:rFonts w:ascii="Arial" w:hAnsi="Arial" w:cs="Arial"/>
        </w:rPr>
        <w:t>Quality</w:t>
      </w:r>
      <w:r w:rsidRPr="00D10F0D">
        <w:rPr>
          <w:rFonts w:ascii="Arial" w:hAnsi="Arial" w:cs="Arial"/>
        </w:rPr>
        <w:tab/>
      </w:r>
      <w:r w:rsidRPr="00D10F0D">
        <w:rPr>
          <w:rFonts w:ascii="Arial" w:hAnsi="Arial" w:cs="Arial"/>
        </w:rPr>
        <w:tab/>
      </w:r>
      <w:r>
        <w:rPr>
          <w:rFonts w:ascii="Arial" w:hAnsi="Arial" w:cs="Arial"/>
        </w:rPr>
        <w:t xml:space="preserve">At least </w:t>
      </w:r>
      <w:r w:rsidRPr="00D10F0D">
        <w:rPr>
          <w:rFonts w:ascii="Arial" w:hAnsi="Arial" w:cs="Arial"/>
        </w:rPr>
        <w:t xml:space="preserve">95% of audited files </w:t>
      </w:r>
      <w:r>
        <w:rPr>
          <w:rFonts w:ascii="Arial" w:hAnsi="Arial" w:cs="Arial"/>
        </w:rPr>
        <w:t>have a wellness</w:t>
      </w:r>
      <w:r w:rsidRPr="00336C16">
        <w:rPr>
          <w:rFonts w:ascii="Arial" w:hAnsi="Arial" w:cs="Arial"/>
        </w:rPr>
        <w:t xml:space="preserve"> plan of acceptable standard</w:t>
      </w:r>
      <w:r>
        <w:rPr>
          <w:rFonts w:ascii="Arial" w:hAnsi="Arial" w:cs="Arial"/>
        </w:rPr>
        <w:t>.</w:t>
      </w:r>
      <w:r>
        <w:rPr>
          <w:rFonts w:ascii="Arial" w:hAnsi="Arial" w:cs="Arial"/>
        </w:rPr>
        <w:tab/>
      </w:r>
      <w:r>
        <w:rPr>
          <w:rFonts w:ascii="Arial" w:hAnsi="Arial" w:cs="Arial"/>
        </w:rPr>
        <w:tab/>
      </w:r>
      <w:r w:rsidRPr="00D10F0D">
        <w:rPr>
          <w:rFonts w:ascii="Arial" w:hAnsi="Arial" w:cs="Arial"/>
        </w:rPr>
        <w:t xml:space="preserve">DHBs will undertake routine audits of client files against accepted good practice </w:t>
      </w:r>
      <w:r>
        <w:rPr>
          <w:rFonts w:ascii="Arial" w:hAnsi="Arial" w:cs="Arial"/>
        </w:rPr>
        <w:t xml:space="preserve">      </w:t>
      </w:r>
      <w:r w:rsidRPr="00D10F0D">
        <w:rPr>
          <w:rFonts w:ascii="Arial" w:hAnsi="Arial" w:cs="Arial"/>
        </w:rPr>
        <w:t xml:space="preserve">criteria for </w:t>
      </w:r>
      <w:r>
        <w:rPr>
          <w:rFonts w:ascii="Arial" w:hAnsi="Arial" w:cs="Arial"/>
        </w:rPr>
        <w:t>wellness</w:t>
      </w:r>
      <w:r w:rsidRPr="00D10F0D">
        <w:rPr>
          <w:rFonts w:ascii="Arial" w:hAnsi="Arial" w:cs="Arial"/>
        </w:rPr>
        <w:t xml:space="preserve"> p</w:t>
      </w:r>
      <w:r>
        <w:rPr>
          <w:rFonts w:ascii="Arial" w:hAnsi="Arial" w:cs="Arial"/>
        </w:rPr>
        <w:t>lans.</w:t>
      </w:r>
    </w:p>
    <w:p w14:paraId="742133AA" w14:textId="77777777" w:rsidR="00554E3F" w:rsidRDefault="00554E3F" w:rsidP="00554E3F">
      <w:pPr>
        <w:spacing w:before="60" w:after="60"/>
        <w:jc w:val="both"/>
        <w:rPr>
          <w:rFonts w:ascii="Arial" w:hAnsi="Arial" w:cs="Arial"/>
        </w:rPr>
      </w:pPr>
    </w:p>
    <w:p w14:paraId="7DF4EDB2" w14:textId="77777777" w:rsidR="00DF5A66" w:rsidRPr="00FD38D2" w:rsidRDefault="00DF5A66" w:rsidP="00554E3F">
      <w:pPr>
        <w:spacing w:before="60" w:after="60"/>
        <w:jc w:val="both"/>
        <w:rPr>
          <w:rFonts w:ascii="Arial" w:hAnsi="Arial" w:cs="Arial"/>
          <w:b/>
          <w:bCs/>
        </w:rPr>
      </w:pPr>
    </w:p>
    <w:p w14:paraId="372D7419" w14:textId="77777777" w:rsidR="0099715A" w:rsidRDefault="0099715A">
      <w:pPr>
        <w:rPr>
          <w:rFonts w:ascii="Arial" w:hAnsi="Arial" w:cs="Arial"/>
          <w:b/>
          <w:bCs/>
        </w:rPr>
      </w:pPr>
      <w:r>
        <w:rPr>
          <w:rFonts w:ascii="Arial" w:hAnsi="Arial" w:cs="Arial"/>
          <w:b/>
          <w:bCs/>
        </w:rPr>
        <w:br w:type="page"/>
      </w:r>
    </w:p>
    <w:p w14:paraId="38C7F74C" w14:textId="54AE20CE" w:rsidR="00554E3F" w:rsidRPr="00FD38D2" w:rsidRDefault="00554E3F" w:rsidP="00554E3F">
      <w:pPr>
        <w:spacing w:before="60" w:after="60"/>
        <w:jc w:val="both"/>
        <w:rPr>
          <w:rFonts w:ascii="Arial" w:hAnsi="Arial" w:cs="Arial"/>
          <w:b/>
          <w:bCs/>
        </w:rPr>
      </w:pPr>
      <w:r w:rsidRPr="00FD38D2">
        <w:rPr>
          <w:rFonts w:ascii="Arial" w:hAnsi="Arial" w:cs="Arial"/>
          <w:b/>
          <w:bCs/>
        </w:rPr>
        <w:lastRenderedPageBreak/>
        <w:t>Reporting template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554E3F" w:rsidRPr="00D10F0D" w14:paraId="07A74FDF" w14:textId="77777777" w:rsidTr="00B429D8">
        <w:trPr>
          <w:cantSplit/>
        </w:trPr>
        <w:tc>
          <w:tcPr>
            <w:tcW w:w="5000" w:type="pct"/>
            <w:gridSpan w:val="3"/>
            <w:tcBorders>
              <w:top w:val="single" w:sz="4" w:space="0" w:color="auto"/>
              <w:left w:val="single" w:sz="4" w:space="0" w:color="auto"/>
              <w:bottom w:val="single" w:sz="4" w:space="0" w:color="auto"/>
              <w:right w:val="single" w:sz="4" w:space="0" w:color="auto"/>
            </w:tcBorders>
          </w:tcPr>
          <w:p w14:paraId="6A66DFDF" w14:textId="77777777" w:rsidR="00554E3F" w:rsidRPr="00D10F0D" w:rsidRDefault="00554E3F" w:rsidP="00B429D8">
            <w:pPr>
              <w:spacing w:before="60" w:after="60"/>
              <w:jc w:val="both"/>
              <w:rPr>
                <w:rFonts w:ascii="Arial" w:hAnsi="Arial" w:cs="Arial"/>
                <w:sz w:val="20"/>
                <w:szCs w:val="20"/>
              </w:rPr>
            </w:pPr>
            <w:r w:rsidRPr="00D10F0D">
              <w:rPr>
                <w:rFonts w:ascii="Arial" w:hAnsi="Arial" w:cs="Arial"/>
                <w:b/>
                <w:sz w:val="20"/>
                <w:szCs w:val="20"/>
                <w:lang w:val="en-AU"/>
              </w:rPr>
              <w:t xml:space="preserve">Percentage of </w:t>
            </w:r>
            <w:r>
              <w:rPr>
                <w:rFonts w:ascii="Arial" w:hAnsi="Arial" w:cs="Arial"/>
                <w:b/>
                <w:sz w:val="20"/>
                <w:szCs w:val="20"/>
                <w:lang w:val="en-AU"/>
              </w:rPr>
              <w:t xml:space="preserve">MH&amp;A </w:t>
            </w:r>
            <w:r w:rsidRPr="00D10F0D">
              <w:rPr>
                <w:rFonts w:ascii="Arial" w:hAnsi="Arial" w:cs="Arial"/>
                <w:b/>
                <w:sz w:val="20"/>
                <w:szCs w:val="20"/>
                <w:lang w:val="en-AU"/>
              </w:rPr>
              <w:t xml:space="preserve">clients </w:t>
            </w:r>
            <w:r>
              <w:rPr>
                <w:rFonts w:ascii="Arial" w:hAnsi="Arial" w:cs="Arial"/>
                <w:b/>
                <w:sz w:val="20"/>
                <w:szCs w:val="20"/>
                <w:lang w:val="en-AU"/>
              </w:rPr>
              <w:t xml:space="preserve">open to services for greater than 12 months </w:t>
            </w:r>
            <w:r w:rsidRPr="00D10F0D">
              <w:rPr>
                <w:rFonts w:ascii="Arial" w:hAnsi="Arial" w:cs="Arial"/>
                <w:b/>
                <w:sz w:val="20"/>
                <w:szCs w:val="20"/>
                <w:lang w:val="en-AU"/>
              </w:rPr>
              <w:t xml:space="preserve">with a </w:t>
            </w:r>
            <w:r>
              <w:rPr>
                <w:rFonts w:ascii="Arial" w:hAnsi="Arial" w:cs="Arial"/>
                <w:b/>
                <w:sz w:val="20"/>
                <w:szCs w:val="20"/>
                <w:lang w:val="en-AU"/>
              </w:rPr>
              <w:t xml:space="preserve">wellness </w:t>
            </w:r>
            <w:r w:rsidRPr="00D10F0D">
              <w:rPr>
                <w:rFonts w:ascii="Arial" w:hAnsi="Arial" w:cs="Arial"/>
                <w:b/>
                <w:sz w:val="20"/>
                <w:szCs w:val="20"/>
                <w:lang w:val="en-AU"/>
              </w:rPr>
              <w:t xml:space="preserve">plan </w:t>
            </w:r>
          </w:p>
        </w:tc>
      </w:tr>
      <w:tr w:rsidR="00554E3F" w:rsidRPr="00D10F0D" w14:paraId="4B48B228"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38AFDA08"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Numerator</w:t>
            </w:r>
          </w:p>
        </w:tc>
        <w:tc>
          <w:tcPr>
            <w:tcW w:w="1621" w:type="pct"/>
            <w:tcBorders>
              <w:top w:val="single" w:sz="4" w:space="0" w:color="auto"/>
              <w:left w:val="single" w:sz="4" w:space="0" w:color="auto"/>
              <w:bottom w:val="single" w:sz="4" w:space="0" w:color="auto"/>
              <w:right w:val="single" w:sz="4" w:space="0" w:color="auto"/>
            </w:tcBorders>
          </w:tcPr>
          <w:p w14:paraId="4D4C2B57"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Denominator</w:t>
            </w:r>
          </w:p>
        </w:tc>
        <w:tc>
          <w:tcPr>
            <w:tcW w:w="1622" w:type="pct"/>
            <w:tcBorders>
              <w:top w:val="single" w:sz="4" w:space="0" w:color="auto"/>
              <w:left w:val="single" w:sz="4" w:space="0" w:color="auto"/>
              <w:bottom w:val="single" w:sz="4" w:space="0" w:color="auto"/>
              <w:right w:val="single" w:sz="4" w:space="0" w:color="auto"/>
            </w:tcBorders>
          </w:tcPr>
          <w:p w14:paraId="7E27788D"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Percentage</w:t>
            </w:r>
          </w:p>
        </w:tc>
      </w:tr>
      <w:tr w:rsidR="00554E3F" w:rsidRPr="00D10F0D" w14:paraId="16530B53"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3EE788F7"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MH&amp;A </w:t>
            </w:r>
            <w:r w:rsidRPr="00D10F0D">
              <w:rPr>
                <w:rFonts w:ascii="Arial" w:hAnsi="Arial" w:cs="Arial"/>
                <w:sz w:val="20"/>
                <w:szCs w:val="20"/>
              </w:rPr>
              <w:t>clients</w:t>
            </w:r>
            <w:r>
              <w:rPr>
                <w:rFonts w:ascii="Arial" w:hAnsi="Arial" w:cs="Arial"/>
                <w:sz w:val="20"/>
                <w:szCs w:val="20"/>
              </w:rPr>
              <w:t xml:space="preserve"> </w:t>
            </w:r>
            <w:r w:rsidRPr="003A508D">
              <w:rPr>
                <w:rFonts w:ascii="Arial" w:hAnsi="Arial" w:cs="Arial"/>
                <w:sz w:val="20"/>
                <w:szCs w:val="20"/>
              </w:rPr>
              <w:t>open to services for greater than 12 months with a wellness plan</w:t>
            </w:r>
          </w:p>
          <w:p w14:paraId="537E3CCD" w14:textId="77777777" w:rsidR="00554E3F" w:rsidRPr="00D10F0D" w:rsidRDefault="00554E3F" w:rsidP="00B429D8">
            <w:pPr>
              <w:spacing w:before="60" w:after="60"/>
              <w:rPr>
                <w:rFonts w:ascii="Arial" w:hAnsi="Arial" w:cs="Arial"/>
                <w:b/>
                <w:sz w:val="20"/>
                <w:szCs w:val="20"/>
                <w:lang w:val="en-AU"/>
              </w:rPr>
            </w:pPr>
            <w:r w:rsidRPr="00D10F0D">
              <w:rPr>
                <w:rFonts w:ascii="Arial" w:hAnsi="Arial" w:cs="Arial"/>
                <w:sz w:val="20"/>
                <w:szCs w:val="20"/>
              </w:rPr>
              <w:t>(Data Source: DHB)</w:t>
            </w:r>
          </w:p>
        </w:tc>
        <w:tc>
          <w:tcPr>
            <w:tcW w:w="1621" w:type="pct"/>
            <w:tcBorders>
              <w:top w:val="single" w:sz="4" w:space="0" w:color="auto"/>
              <w:left w:val="single" w:sz="4" w:space="0" w:color="auto"/>
              <w:bottom w:val="single" w:sz="4" w:space="0" w:color="auto"/>
              <w:right w:val="single" w:sz="4" w:space="0" w:color="auto"/>
            </w:tcBorders>
          </w:tcPr>
          <w:p w14:paraId="2CEF72D8"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MH&amp;A </w:t>
            </w:r>
            <w:r w:rsidRPr="00D10F0D">
              <w:rPr>
                <w:rFonts w:ascii="Arial" w:hAnsi="Arial" w:cs="Arial"/>
                <w:sz w:val="20"/>
                <w:szCs w:val="20"/>
              </w:rPr>
              <w:t>clients</w:t>
            </w:r>
            <w:r>
              <w:rPr>
                <w:rFonts w:ascii="Arial" w:hAnsi="Arial" w:cs="Arial"/>
                <w:sz w:val="20"/>
                <w:szCs w:val="20"/>
              </w:rPr>
              <w:t xml:space="preserve"> </w:t>
            </w:r>
            <w:r w:rsidRPr="00336C16">
              <w:rPr>
                <w:rFonts w:ascii="Arial" w:hAnsi="Arial" w:cs="Arial"/>
                <w:sz w:val="20"/>
                <w:szCs w:val="20"/>
              </w:rPr>
              <w:t xml:space="preserve">open to services for greater than 12 months </w:t>
            </w:r>
          </w:p>
          <w:p w14:paraId="7915914C"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 (DHB data source DHB)</w:t>
            </w:r>
          </w:p>
        </w:tc>
        <w:tc>
          <w:tcPr>
            <w:tcW w:w="1622" w:type="pct"/>
            <w:tcBorders>
              <w:top w:val="single" w:sz="4" w:space="0" w:color="auto"/>
              <w:left w:val="single" w:sz="4" w:space="0" w:color="auto"/>
              <w:bottom w:val="single" w:sz="4" w:space="0" w:color="auto"/>
              <w:right w:val="single" w:sz="4" w:space="0" w:color="auto"/>
            </w:tcBorders>
          </w:tcPr>
          <w:p w14:paraId="4B73FFBA"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Percentage of </w:t>
            </w:r>
            <w:r>
              <w:rPr>
                <w:rFonts w:ascii="Arial" w:hAnsi="Arial" w:cs="Arial"/>
                <w:sz w:val="20"/>
                <w:szCs w:val="20"/>
              </w:rPr>
              <w:t xml:space="preserve">MH&amp;A </w:t>
            </w:r>
            <w:r w:rsidRPr="00D10F0D">
              <w:rPr>
                <w:rFonts w:ascii="Arial" w:hAnsi="Arial" w:cs="Arial"/>
                <w:sz w:val="20"/>
                <w:szCs w:val="20"/>
              </w:rPr>
              <w:t>clients</w:t>
            </w:r>
            <w:r>
              <w:rPr>
                <w:rFonts w:ascii="Arial" w:hAnsi="Arial" w:cs="Arial"/>
                <w:sz w:val="20"/>
                <w:szCs w:val="20"/>
              </w:rPr>
              <w:t xml:space="preserve"> </w:t>
            </w:r>
            <w:r w:rsidRPr="00336C16">
              <w:rPr>
                <w:rFonts w:ascii="Arial" w:hAnsi="Arial" w:cs="Arial"/>
                <w:sz w:val="20"/>
                <w:szCs w:val="20"/>
              </w:rPr>
              <w:t>open to services for greater than 12 months with a wellness plan</w:t>
            </w:r>
          </w:p>
          <w:p w14:paraId="3C266ACC" w14:textId="77777777" w:rsidR="00554E3F" w:rsidRPr="00D10F0D" w:rsidRDefault="00554E3F" w:rsidP="00B429D8">
            <w:pPr>
              <w:spacing w:before="60" w:after="60"/>
              <w:rPr>
                <w:rFonts w:ascii="Arial" w:hAnsi="Arial" w:cs="Arial"/>
                <w:sz w:val="20"/>
                <w:szCs w:val="20"/>
              </w:rPr>
            </w:pPr>
          </w:p>
          <w:p w14:paraId="28DBE0FD" w14:textId="77777777" w:rsidR="00554E3F" w:rsidRPr="00D10F0D" w:rsidRDefault="00554E3F" w:rsidP="00B429D8">
            <w:pPr>
              <w:spacing w:before="60" w:after="60"/>
              <w:rPr>
                <w:rFonts w:ascii="Arial" w:hAnsi="Arial" w:cs="Arial"/>
                <w:sz w:val="20"/>
                <w:szCs w:val="20"/>
              </w:rPr>
            </w:pPr>
          </w:p>
        </w:tc>
      </w:tr>
      <w:tr w:rsidR="00554E3F" w:rsidRPr="00D10F0D" w14:paraId="3D53B384"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0AE63896"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r w:rsidRPr="00D10F0D">
              <w:rPr>
                <w:rFonts w:ascii="Arial" w:hAnsi="Arial" w:cs="Arial"/>
                <w:sz w:val="20"/>
                <w:szCs w:val="20"/>
              </w:rPr>
              <w:t xml:space="preserve">with a </w:t>
            </w:r>
            <w:r>
              <w:rPr>
                <w:rFonts w:ascii="Arial" w:hAnsi="Arial" w:cs="Arial"/>
                <w:sz w:val="20"/>
                <w:szCs w:val="20"/>
              </w:rPr>
              <w:t>wellness</w:t>
            </w:r>
            <w:r w:rsidRPr="00D10F0D">
              <w:rPr>
                <w:rFonts w:ascii="Arial" w:hAnsi="Arial" w:cs="Arial"/>
                <w:sz w:val="20"/>
                <w:szCs w:val="20"/>
              </w:rPr>
              <w:t xml:space="preserve"> plan </w:t>
            </w:r>
            <w:r>
              <w:rPr>
                <w:rFonts w:ascii="Arial" w:hAnsi="Arial" w:cs="Arial"/>
                <w:sz w:val="20"/>
                <w:szCs w:val="20"/>
              </w:rPr>
              <w:t>of acceptable standard</w:t>
            </w:r>
          </w:p>
          <w:p w14:paraId="3D158645"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 (Data Source: DHB)</w:t>
            </w:r>
          </w:p>
        </w:tc>
        <w:tc>
          <w:tcPr>
            <w:tcW w:w="1621" w:type="pct"/>
            <w:tcBorders>
              <w:top w:val="single" w:sz="4" w:space="0" w:color="auto"/>
              <w:left w:val="single" w:sz="4" w:space="0" w:color="auto"/>
              <w:bottom w:val="single" w:sz="4" w:space="0" w:color="auto"/>
              <w:right w:val="single" w:sz="4" w:space="0" w:color="auto"/>
            </w:tcBorders>
          </w:tcPr>
          <w:p w14:paraId="7DCCCC3F" w14:textId="77777777" w:rsidR="00554E3F"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p>
          <w:p w14:paraId="34C47C28" w14:textId="77777777" w:rsidR="00554E3F" w:rsidRPr="00D10F0D" w:rsidDel="004D7AD2" w:rsidRDefault="00554E3F" w:rsidP="00B429D8">
            <w:pPr>
              <w:spacing w:before="60" w:after="60"/>
              <w:rPr>
                <w:rFonts w:ascii="Arial" w:hAnsi="Arial" w:cs="Arial"/>
                <w:sz w:val="20"/>
                <w:szCs w:val="20"/>
              </w:rPr>
            </w:pPr>
            <w:r w:rsidRPr="00D10F0D">
              <w:rPr>
                <w:rFonts w:ascii="Arial" w:hAnsi="Arial" w:cs="Arial"/>
                <w:sz w:val="20"/>
                <w:szCs w:val="20"/>
              </w:rPr>
              <w:t>(Data Source: DHB)</w:t>
            </w:r>
          </w:p>
        </w:tc>
        <w:tc>
          <w:tcPr>
            <w:tcW w:w="1622" w:type="pct"/>
            <w:tcBorders>
              <w:top w:val="single" w:sz="4" w:space="0" w:color="auto"/>
              <w:left w:val="single" w:sz="4" w:space="0" w:color="auto"/>
              <w:bottom w:val="single" w:sz="4" w:space="0" w:color="auto"/>
              <w:right w:val="single" w:sz="4" w:space="0" w:color="auto"/>
            </w:tcBorders>
          </w:tcPr>
          <w:p w14:paraId="70DBDA54"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Percentage with a </w:t>
            </w:r>
            <w:r>
              <w:rPr>
                <w:rFonts w:ascii="Arial" w:hAnsi="Arial" w:cs="Arial"/>
                <w:sz w:val="20"/>
                <w:szCs w:val="20"/>
              </w:rPr>
              <w:t>wellness</w:t>
            </w:r>
            <w:r w:rsidRPr="00D10F0D">
              <w:rPr>
                <w:rFonts w:ascii="Arial" w:hAnsi="Arial" w:cs="Arial"/>
                <w:sz w:val="20"/>
                <w:szCs w:val="20"/>
              </w:rPr>
              <w:t xml:space="preserve"> plan of acceptable standard</w:t>
            </w:r>
          </w:p>
        </w:tc>
      </w:tr>
    </w:tbl>
    <w:p w14:paraId="4F1A911D" w14:textId="77777777" w:rsidR="00554E3F" w:rsidRDefault="00554E3F" w:rsidP="00554E3F"/>
    <w:p w14:paraId="493DEE49" w14:textId="77777777" w:rsidR="00554E3F" w:rsidRPr="00D10F0D" w:rsidRDefault="00554E3F" w:rsidP="00554E3F">
      <w:pPr>
        <w:spacing w:before="60" w:after="60" w:line="240" w:lineRule="exact"/>
        <w:jc w:val="both"/>
        <w:rPr>
          <w:rFonts w:ascii="Arial" w:hAnsi="Arial" w:cs="Arial"/>
        </w:rPr>
      </w:pPr>
      <w:r>
        <w:rPr>
          <w:rFonts w:ascii="Arial" w:hAnsi="Arial" w:cs="Arial"/>
        </w:rPr>
        <w:t>I</w:t>
      </w:r>
      <w:r w:rsidRPr="00D10F0D">
        <w:rPr>
          <w:rFonts w:ascii="Arial" w:hAnsi="Arial" w:cs="Arial"/>
        </w:rPr>
        <w:t>nclusions / exclusions</w:t>
      </w:r>
    </w:p>
    <w:p w14:paraId="67EB3DCF" w14:textId="77777777" w:rsidR="00554E3F" w:rsidRPr="00EF1D45" w:rsidRDefault="00554E3F" w:rsidP="00C04FF1">
      <w:pPr>
        <w:pStyle w:val="ListParagraph"/>
        <w:numPr>
          <w:ilvl w:val="0"/>
          <w:numId w:val="61"/>
        </w:numPr>
        <w:spacing w:before="60" w:after="60"/>
        <w:jc w:val="both"/>
        <w:rPr>
          <w:rFonts w:ascii="Arial" w:hAnsi="Arial" w:cs="Arial"/>
        </w:rPr>
      </w:pPr>
      <w:r w:rsidRPr="003A508D">
        <w:rPr>
          <w:rFonts w:ascii="Arial" w:hAnsi="Arial" w:cs="Arial"/>
          <w:sz w:val="22"/>
          <w:szCs w:val="22"/>
        </w:rPr>
        <w:t xml:space="preserve">Include all clients open to a DHB or NGO provider whether open to inpatient, </w:t>
      </w:r>
      <w:proofErr w:type="gramStart"/>
      <w:r w:rsidRPr="003A508D">
        <w:rPr>
          <w:rFonts w:ascii="Arial" w:hAnsi="Arial" w:cs="Arial"/>
          <w:sz w:val="22"/>
          <w:szCs w:val="22"/>
        </w:rPr>
        <w:t>community</w:t>
      </w:r>
      <w:proofErr w:type="gramEnd"/>
      <w:r w:rsidRPr="003A508D">
        <w:rPr>
          <w:rFonts w:ascii="Arial" w:hAnsi="Arial" w:cs="Arial"/>
          <w:sz w:val="22"/>
          <w:szCs w:val="22"/>
        </w:rPr>
        <w:t xml:space="preserve"> or multiple services</w:t>
      </w:r>
    </w:p>
    <w:p w14:paraId="46AF1F7E" w14:textId="77777777" w:rsidR="00554E3F" w:rsidRPr="003A508D" w:rsidRDefault="00554E3F" w:rsidP="00C04FF1">
      <w:pPr>
        <w:pStyle w:val="ListParagraph"/>
        <w:numPr>
          <w:ilvl w:val="0"/>
          <w:numId w:val="61"/>
        </w:numPr>
        <w:spacing w:before="60" w:after="60"/>
        <w:jc w:val="both"/>
        <w:rPr>
          <w:rFonts w:ascii="Arial" w:hAnsi="Arial" w:cs="Arial"/>
        </w:rPr>
      </w:pPr>
      <w:r w:rsidRPr="003A508D">
        <w:rPr>
          <w:rFonts w:ascii="Arial" w:hAnsi="Arial" w:cs="Arial"/>
          <w:sz w:val="22"/>
          <w:szCs w:val="22"/>
        </w:rPr>
        <w:t>Include in quality audit only those files with a wellness plan</w:t>
      </w:r>
    </w:p>
    <w:p w14:paraId="5D218BFA" w14:textId="77777777" w:rsidR="00554E3F" w:rsidRDefault="00554E3F" w:rsidP="00554E3F">
      <w:pPr>
        <w:spacing w:before="60" w:after="60" w:line="240" w:lineRule="exact"/>
        <w:jc w:val="both"/>
        <w:rPr>
          <w:rFonts w:ascii="Arial" w:hAnsi="Arial" w:cs="Arial"/>
          <w:b/>
        </w:rPr>
      </w:pPr>
    </w:p>
    <w:p w14:paraId="6B03E191" w14:textId="77777777" w:rsidR="00554E3F" w:rsidRPr="00D10F0D" w:rsidRDefault="00554E3F" w:rsidP="00554E3F">
      <w:pPr>
        <w:spacing w:before="60" w:after="60" w:line="240" w:lineRule="exact"/>
        <w:jc w:val="both"/>
        <w:rPr>
          <w:rFonts w:ascii="Arial" w:hAnsi="Arial" w:cs="Arial"/>
          <w:b/>
        </w:rPr>
      </w:pPr>
      <w:r>
        <w:rPr>
          <w:rFonts w:ascii="Arial" w:hAnsi="Arial" w:cs="Arial"/>
          <w:b/>
        </w:rPr>
        <w:t xml:space="preserve">Inpatient Services Transition (Discharge) Plan </w:t>
      </w:r>
      <w:r w:rsidRPr="00D10F0D">
        <w:rPr>
          <w:rFonts w:ascii="Arial" w:hAnsi="Arial" w:cs="Arial"/>
          <w:b/>
        </w:rPr>
        <w:t>Measures:</w:t>
      </w:r>
    </w:p>
    <w:p w14:paraId="0EF15929" w14:textId="77777777" w:rsidR="00554E3F" w:rsidRDefault="00554E3F" w:rsidP="00554E3F">
      <w:pPr>
        <w:spacing w:before="60" w:after="60"/>
        <w:jc w:val="both"/>
        <w:rPr>
          <w:rFonts w:ascii="Arial" w:hAnsi="Arial" w:cs="Arial"/>
          <w:sz w:val="20"/>
          <w:szCs w:val="20"/>
        </w:rPr>
      </w:pPr>
    </w:p>
    <w:p w14:paraId="5BF63982" w14:textId="77777777" w:rsidR="00554E3F" w:rsidRPr="00D10F0D" w:rsidRDefault="00554E3F" w:rsidP="00554E3F">
      <w:pPr>
        <w:spacing w:before="60" w:after="60" w:line="240" w:lineRule="exact"/>
        <w:jc w:val="both"/>
        <w:rPr>
          <w:rFonts w:ascii="Arial" w:hAnsi="Arial" w:cs="Arial"/>
        </w:rPr>
      </w:pPr>
      <w:r w:rsidRPr="00D10F0D">
        <w:rPr>
          <w:rFonts w:ascii="Arial" w:hAnsi="Arial" w:cs="Arial"/>
        </w:rPr>
        <w:t>Quantity</w:t>
      </w:r>
      <w:r w:rsidRPr="00D10F0D">
        <w:rPr>
          <w:rFonts w:ascii="Arial" w:hAnsi="Arial" w:cs="Arial"/>
        </w:rPr>
        <w:tab/>
        <w:t xml:space="preserve">At least 95% of clients </w:t>
      </w:r>
      <w:r>
        <w:rPr>
          <w:rFonts w:ascii="Arial" w:hAnsi="Arial" w:cs="Arial"/>
        </w:rPr>
        <w:t xml:space="preserve">discharged from adult inpatient MH&amp;A services </w:t>
      </w:r>
      <w:r w:rsidRPr="00D10F0D">
        <w:rPr>
          <w:rFonts w:ascii="Arial" w:hAnsi="Arial" w:cs="Arial"/>
        </w:rPr>
        <w:t>have a</w:t>
      </w:r>
      <w:r>
        <w:rPr>
          <w:rFonts w:ascii="Arial" w:hAnsi="Arial" w:cs="Arial"/>
        </w:rPr>
        <w:tab/>
      </w:r>
      <w:r>
        <w:rPr>
          <w:rFonts w:ascii="Arial" w:hAnsi="Arial" w:cs="Arial"/>
        </w:rPr>
        <w:tab/>
      </w:r>
      <w:r>
        <w:rPr>
          <w:rFonts w:ascii="Arial" w:hAnsi="Arial" w:cs="Arial"/>
        </w:rPr>
        <w:tab/>
        <w:t>t</w:t>
      </w:r>
      <w:r w:rsidRPr="00D10F0D">
        <w:rPr>
          <w:rFonts w:ascii="Arial" w:hAnsi="Arial" w:cs="Arial"/>
        </w:rPr>
        <w:t xml:space="preserve">ransition </w:t>
      </w:r>
      <w:r>
        <w:rPr>
          <w:rFonts w:ascii="Arial" w:hAnsi="Arial" w:cs="Arial"/>
        </w:rPr>
        <w:t xml:space="preserve">(discharge) </w:t>
      </w:r>
      <w:r w:rsidRPr="00D10F0D">
        <w:rPr>
          <w:rFonts w:ascii="Arial" w:hAnsi="Arial" w:cs="Arial"/>
        </w:rPr>
        <w:t>plan.</w:t>
      </w:r>
    </w:p>
    <w:p w14:paraId="1009123C" w14:textId="77777777" w:rsidR="00554E3F" w:rsidRPr="00D10F0D" w:rsidRDefault="00554E3F" w:rsidP="00554E3F">
      <w:pPr>
        <w:spacing w:before="60" w:after="60" w:line="240" w:lineRule="exact"/>
        <w:jc w:val="both"/>
        <w:rPr>
          <w:rFonts w:ascii="Arial" w:hAnsi="Arial" w:cs="Arial"/>
        </w:rPr>
      </w:pPr>
    </w:p>
    <w:p w14:paraId="470D51C0" w14:textId="77777777" w:rsidR="00554E3F" w:rsidRPr="00D10F0D" w:rsidRDefault="00554E3F" w:rsidP="00554E3F">
      <w:pPr>
        <w:spacing w:before="60" w:after="60" w:line="240" w:lineRule="exact"/>
        <w:ind w:left="1418" w:hanging="1418"/>
        <w:jc w:val="both"/>
        <w:rPr>
          <w:rFonts w:ascii="Arial" w:hAnsi="Arial" w:cs="Arial"/>
        </w:rPr>
      </w:pPr>
      <w:r>
        <w:rPr>
          <w:rFonts w:ascii="Arial" w:hAnsi="Arial" w:cs="Arial"/>
        </w:rPr>
        <w:t>Quality</w:t>
      </w:r>
      <w:r>
        <w:rPr>
          <w:rFonts w:ascii="Arial" w:hAnsi="Arial" w:cs="Arial"/>
        </w:rPr>
        <w:tab/>
      </w:r>
      <w:r>
        <w:rPr>
          <w:rFonts w:ascii="Arial" w:hAnsi="Arial" w:cs="Arial"/>
        </w:rPr>
        <w:tab/>
        <w:t xml:space="preserve">At least </w:t>
      </w:r>
      <w:r w:rsidRPr="00D10F0D">
        <w:rPr>
          <w:rFonts w:ascii="Arial" w:hAnsi="Arial" w:cs="Arial"/>
        </w:rPr>
        <w:t xml:space="preserve">95% of audited files </w:t>
      </w:r>
      <w:r>
        <w:rPr>
          <w:rFonts w:ascii="Arial" w:hAnsi="Arial" w:cs="Arial"/>
        </w:rPr>
        <w:t xml:space="preserve">have a </w:t>
      </w:r>
      <w:r w:rsidRPr="00336C16">
        <w:rPr>
          <w:rFonts w:ascii="Arial" w:hAnsi="Arial" w:cs="Arial"/>
        </w:rPr>
        <w:t>transition</w:t>
      </w:r>
      <w:r>
        <w:rPr>
          <w:rFonts w:ascii="Arial" w:hAnsi="Arial" w:cs="Arial"/>
        </w:rPr>
        <w:t xml:space="preserve"> (discharge)</w:t>
      </w:r>
      <w:r w:rsidRPr="00336C16">
        <w:rPr>
          <w:rFonts w:ascii="Arial" w:hAnsi="Arial" w:cs="Arial"/>
        </w:rPr>
        <w:t xml:space="preserve"> plan of acceptable standard</w:t>
      </w:r>
      <w:r>
        <w:rPr>
          <w:rFonts w:ascii="Arial" w:hAnsi="Arial" w:cs="Arial"/>
        </w:rPr>
        <w:t>.</w:t>
      </w:r>
      <w:r>
        <w:rPr>
          <w:rFonts w:ascii="Arial" w:hAnsi="Arial" w:cs="Arial"/>
        </w:rPr>
        <w:br/>
      </w:r>
      <w:r>
        <w:rPr>
          <w:rFonts w:ascii="Arial" w:hAnsi="Arial" w:cs="Arial"/>
        </w:rPr>
        <w:tab/>
      </w:r>
      <w:r w:rsidRPr="00D10F0D">
        <w:rPr>
          <w:rFonts w:ascii="Arial" w:hAnsi="Arial" w:cs="Arial"/>
        </w:rPr>
        <w:t>DHBs will undertake routine audits of client files against accepted good practice criteria for transition</w:t>
      </w:r>
      <w:r>
        <w:rPr>
          <w:rFonts w:ascii="Arial" w:hAnsi="Arial" w:cs="Arial"/>
        </w:rPr>
        <w:t xml:space="preserve"> (discharge)</w:t>
      </w:r>
      <w:r w:rsidRPr="00D10F0D">
        <w:rPr>
          <w:rFonts w:ascii="Arial" w:hAnsi="Arial" w:cs="Arial"/>
        </w:rPr>
        <w:t xml:space="preserve"> plans that have a focus on the inclusion of wellness strategies </w:t>
      </w:r>
    </w:p>
    <w:p w14:paraId="6506174D" w14:textId="77777777" w:rsidR="00554E3F" w:rsidRPr="00D10F0D" w:rsidRDefault="00554E3F" w:rsidP="00554E3F">
      <w:pPr>
        <w:spacing w:before="60" w:after="60" w:line="240" w:lineRule="exact"/>
        <w:ind w:left="1560"/>
        <w:jc w:val="both"/>
        <w:rPr>
          <w:rFonts w:ascii="Arial" w:hAnsi="Arial" w:cs="Arial"/>
        </w:rPr>
      </w:pPr>
    </w:p>
    <w:p w14:paraId="35B8DC09" w14:textId="77777777" w:rsidR="00554E3F" w:rsidRPr="00D10F0D" w:rsidRDefault="00554E3F" w:rsidP="00554E3F">
      <w:pPr>
        <w:spacing w:before="60" w:after="60"/>
        <w:jc w:val="both"/>
        <w:rPr>
          <w:rFonts w:ascii="Arial" w:hAnsi="Arial" w:cs="Arial"/>
        </w:rPr>
      </w:pPr>
      <w:r w:rsidRPr="00D10F0D">
        <w:rPr>
          <w:rFonts w:ascii="Arial" w:hAnsi="Arial" w:cs="Arial"/>
        </w:rPr>
        <w:t>Reporting template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554E3F" w:rsidRPr="00D10F0D" w14:paraId="55373F8B" w14:textId="77777777" w:rsidTr="00B429D8">
        <w:trPr>
          <w:cantSplit/>
        </w:trPr>
        <w:tc>
          <w:tcPr>
            <w:tcW w:w="5000" w:type="pct"/>
            <w:gridSpan w:val="3"/>
            <w:tcBorders>
              <w:top w:val="single" w:sz="4" w:space="0" w:color="auto"/>
              <w:left w:val="single" w:sz="4" w:space="0" w:color="auto"/>
              <w:bottom w:val="single" w:sz="4" w:space="0" w:color="auto"/>
              <w:right w:val="single" w:sz="4" w:space="0" w:color="auto"/>
            </w:tcBorders>
          </w:tcPr>
          <w:p w14:paraId="0FDE10CD" w14:textId="77777777" w:rsidR="00554E3F" w:rsidRPr="00D10F0D" w:rsidRDefault="00554E3F" w:rsidP="00B429D8">
            <w:pPr>
              <w:spacing w:before="60" w:after="60"/>
              <w:jc w:val="both"/>
              <w:rPr>
                <w:rFonts w:ascii="Arial" w:hAnsi="Arial" w:cs="Arial"/>
                <w:sz w:val="20"/>
                <w:szCs w:val="20"/>
              </w:rPr>
            </w:pPr>
            <w:r w:rsidRPr="00D10F0D">
              <w:rPr>
                <w:rFonts w:ascii="Arial" w:hAnsi="Arial" w:cs="Arial"/>
                <w:b/>
                <w:sz w:val="20"/>
                <w:szCs w:val="20"/>
                <w:lang w:val="en-AU"/>
              </w:rPr>
              <w:t xml:space="preserve">Percentage of </w:t>
            </w:r>
            <w:r>
              <w:rPr>
                <w:rFonts w:ascii="Arial" w:hAnsi="Arial" w:cs="Arial"/>
                <w:b/>
                <w:sz w:val="20"/>
                <w:szCs w:val="20"/>
                <w:lang w:val="en-AU"/>
              </w:rPr>
              <w:t xml:space="preserve">MH&amp;A </w:t>
            </w:r>
            <w:r w:rsidRPr="00D10F0D">
              <w:rPr>
                <w:rFonts w:ascii="Arial" w:hAnsi="Arial" w:cs="Arial"/>
                <w:b/>
                <w:sz w:val="20"/>
                <w:szCs w:val="20"/>
                <w:lang w:val="en-AU"/>
              </w:rPr>
              <w:t xml:space="preserve">clients </w:t>
            </w:r>
            <w:r>
              <w:rPr>
                <w:rFonts w:ascii="Arial" w:hAnsi="Arial" w:cs="Arial"/>
                <w:b/>
                <w:sz w:val="20"/>
                <w:szCs w:val="20"/>
                <w:lang w:val="en-AU"/>
              </w:rPr>
              <w:t xml:space="preserve">discharged from MH&amp;A adult inpatient services </w:t>
            </w:r>
            <w:r w:rsidRPr="00D10F0D">
              <w:rPr>
                <w:rFonts w:ascii="Arial" w:hAnsi="Arial" w:cs="Arial"/>
                <w:b/>
                <w:sz w:val="20"/>
                <w:szCs w:val="20"/>
                <w:lang w:val="en-AU"/>
              </w:rPr>
              <w:t xml:space="preserve">with a </w:t>
            </w:r>
            <w:r>
              <w:rPr>
                <w:rFonts w:ascii="Arial" w:hAnsi="Arial" w:cs="Arial"/>
                <w:b/>
                <w:sz w:val="20"/>
                <w:szCs w:val="20"/>
                <w:lang w:val="en-AU"/>
              </w:rPr>
              <w:t xml:space="preserve">transition(discharge) </w:t>
            </w:r>
            <w:r w:rsidRPr="00D10F0D">
              <w:rPr>
                <w:rFonts w:ascii="Arial" w:hAnsi="Arial" w:cs="Arial"/>
                <w:b/>
                <w:sz w:val="20"/>
                <w:szCs w:val="20"/>
                <w:lang w:val="en-AU"/>
              </w:rPr>
              <w:t xml:space="preserve">plan </w:t>
            </w:r>
          </w:p>
        </w:tc>
      </w:tr>
      <w:tr w:rsidR="00554E3F" w:rsidRPr="00D10F0D" w14:paraId="699366CB"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438DA4BE"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Numerator</w:t>
            </w:r>
          </w:p>
        </w:tc>
        <w:tc>
          <w:tcPr>
            <w:tcW w:w="1621" w:type="pct"/>
            <w:tcBorders>
              <w:top w:val="single" w:sz="4" w:space="0" w:color="auto"/>
              <w:left w:val="single" w:sz="4" w:space="0" w:color="auto"/>
              <w:bottom w:val="single" w:sz="4" w:space="0" w:color="auto"/>
              <w:right w:val="single" w:sz="4" w:space="0" w:color="auto"/>
            </w:tcBorders>
          </w:tcPr>
          <w:p w14:paraId="2BF5E06C"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Denominator</w:t>
            </w:r>
          </w:p>
        </w:tc>
        <w:tc>
          <w:tcPr>
            <w:tcW w:w="1622" w:type="pct"/>
            <w:tcBorders>
              <w:top w:val="single" w:sz="4" w:space="0" w:color="auto"/>
              <w:left w:val="single" w:sz="4" w:space="0" w:color="auto"/>
              <w:bottom w:val="single" w:sz="4" w:space="0" w:color="auto"/>
              <w:right w:val="single" w:sz="4" w:space="0" w:color="auto"/>
            </w:tcBorders>
          </w:tcPr>
          <w:p w14:paraId="12AF4915"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Percentage</w:t>
            </w:r>
          </w:p>
        </w:tc>
      </w:tr>
      <w:tr w:rsidR="00554E3F" w:rsidRPr="00D10F0D" w14:paraId="60B15584"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56DB747A"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Number </w:t>
            </w:r>
            <w:r>
              <w:rPr>
                <w:rFonts w:ascii="Arial" w:hAnsi="Arial" w:cs="Arial"/>
                <w:sz w:val="20"/>
                <w:szCs w:val="20"/>
              </w:rPr>
              <w:t xml:space="preserve">of clients </w:t>
            </w:r>
            <w:r w:rsidRPr="00D10F0D">
              <w:rPr>
                <w:rFonts w:ascii="Arial" w:hAnsi="Arial" w:cs="Arial"/>
                <w:sz w:val="20"/>
                <w:szCs w:val="20"/>
              </w:rPr>
              <w:t xml:space="preserve">discharged </w:t>
            </w:r>
            <w:r>
              <w:rPr>
                <w:rFonts w:ascii="Arial" w:hAnsi="Arial" w:cs="Arial"/>
                <w:sz w:val="20"/>
                <w:szCs w:val="20"/>
              </w:rPr>
              <w:t>from MH&amp;A inpatient services</w:t>
            </w:r>
            <w:r w:rsidRPr="00D10F0D">
              <w:rPr>
                <w:rFonts w:ascii="Arial" w:hAnsi="Arial" w:cs="Arial"/>
                <w:sz w:val="20"/>
                <w:szCs w:val="20"/>
              </w:rPr>
              <w:t xml:space="preserve"> with a transition (discharge) plan </w:t>
            </w:r>
          </w:p>
          <w:p w14:paraId="3C105A64" w14:textId="77777777" w:rsidR="00554E3F" w:rsidRPr="00D10F0D" w:rsidRDefault="00554E3F" w:rsidP="00B429D8">
            <w:pPr>
              <w:spacing w:before="60" w:after="60"/>
              <w:rPr>
                <w:rFonts w:ascii="Arial" w:hAnsi="Arial" w:cs="Arial"/>
                <w:b/>
                <w:sz w:val="20"/>
                <w:szCs w:val="20"/>
                <w:lang w:val="en-AU"/>
              </w:rPr>
            </w:pPr>
            <w:r w:rsidRPr="00D10F0D">
              <w:rPr>
                <w:rFonts w:ascii="Arial" w:hAnsi="Arial" w:cs="Arial"/>
                <w:sz w:val="20"/>
                <w:szCs w:val="20"/>
              </w:rPr>
              <w:t>(Data Source: DHB)</w:t>
            </w:r>
          </w:p>
        </w:tc>
        <w:tc>
          <w:tcPr>
            <w:tcW w:w="1621" w:type="pct"/>
            <w:tcBorders>
              <w:top w:val="single" w:sz="4" w:space="0" w:color="auto"/>
              <w:left w:val="single" w:sz="4" w:space="0" w:color="auto"/>
              <w:bottom w:val="single" w:sz="4" w:space="0" w:color="auto"/>
              <w:right w:val="single" w:sz="4" w:space="0" w:color="auto"/>
            </w:tcBorders>
          </w:tcPr>
          <w:p w14:paraId="5A6881A6"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Number </w:t>
            </w:r>
            <w:r>
              <w:rPr>
                <w:rFonts w:ascii="Arial" w:hAnsi="Arial" w:cs="Arial"/>
                <w:sz w:val="20"/>
                <w:szCs w:val="20"/>
              </w:rPr>
              <w:t xml:space="preserve">of clients </w:t>
            </w:r>
            <w:r w:rsidRPr="00D10F0D">
              <w:rPr>
                <w:rFonts w:ascii="Arial" w:hAnsi="Arial" w:cs="Arial"/>
                <w:sz w:val="20"/>
                <w:szCs w:val="20"/>
              </w:rPr>
              <w:t xml:space="preserve">discharged </w:t>
            </w:r>
            <w:r>
              <w:rPr>
                <w:rFonts w:ascii="Arial" w:hAnsi="Arial" w:cs="Arial"/>
                <w:sz w:val="20"/>
                <w:szCs w:val="20"/>
              </w:rPr>
              <w:t>from MH&amp;A inpatient services</w:t>
            </w:r>
            <w:r w:rsidRPr="00D10F0D">
              <w:rPr>
                <w:rFonts w:ascii="Arial" w:hAnsi="Arial" w:cs="Arial"/>
                <w:sz w:val="20"/>
                <w:szCs w:val="20"/>
              </w:rPr>
              <w:t xml:space="preserve"> </w:t>
            </w:r>
          </w:p>
          <w:p w14:paraId="7642968B"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(DHB data source DHB)</w:t>
            </w:r>
          </w:p>
        </w:tc>
        <w:tc>
          <w:tcPr>
            <w:tcW w:w="1622" w:type="pct"/>
            <w:tcBorders>
              <w:top w:val="single" w:sz="4" w:space="0" w:color="auto"/>
              <w:left w:val="single" w:sz="4" w:space="0" w:color="auto"/>
              <w:bottom w:val="single" w:sz="4" w:space="0" w:color="auto"/>
              <w:right w:val="single" w:sz="4" w:space="0" w:color="auto"/>
            </w:tcBorders>
          </w:tcPr>
          <w:p w14:paraId="73963925"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Percentage of </w:t>
            </w:r>
            <w:r>
              <w:rPr>
                <w:rFonts w:ascii="Arial" w:hAnsi="Arial" w:cs="Arial"/>
                <w:sz w:val="20"/>
                <w:szCs w:val="20"/>
              </w:rPr>
              <w:t xml:space="preserve">clients </w:t>
            </w:r>
            <w:r w:rsidRPr="00D10F0D">
              <w:rPr>
                <w:rFonts w:ascii="Arial" w:hAnsi="Arial" w:cs="Arial"/>
                <w:sz w:val="20"/>
                <w:szCs w:val="20"/>
              </w:rPr>
              <w:t xml:space="preserve">discharged </w:t>
            </w:r>
            <w:r>
              <w:rPr>
                <w:rFonts w:ascii="Arial" w:hAnsi="Arial" w:cs="Arial"/>
                <w:sz w:val="20"/>
                <w:szCs w:val="20"/>
              </w:rPr>
              <w:t>from MH&amp;A inpatient services</w:t>
            </w:r>
            <w:r w:rsidRPr="00D10F0D">
              <w:rPr>
                <w:rFonts w:ascii="Arial" w:hAnsi="Arial" w:cs="Arial"/>
                <w:sz w:val="20"/>
                <w:szCs w:val="20"/>
              </w:rPr>
              <w:t xml:space="preserve"> with a transition (discharge) plan </w:t>
            </w:r>
          </w:p>
          <w:p w14:paraId="651B3AF2" w14:textId="77777777" w:rsidR="00554E3F" w:rsidRPr="00D10F0D" w:rsidRDefault="00554E3F" w:rsidP="00B429D8">
            <w:pPr>
              <w:spacing w:before="60" w:after="60"/>
              <w:rPr>
                <w:rFonts w:ascii="Arial" w:hAnsi="Arial" w:cs="Arial"/>
                <w:sz w:val="20"/>
                <w:szCs w:val="20"/>
              </w:rPr>
            </w:pPr>
          </w:p>
        </w:tc>
      </w:tr>
      <w:tr w:rsidR="00554E3F" w:rsidRPr="00D10F0D" w14:paraId="000CCFF2" w14:textId="77777777" w:rsidTr="00B429D8">
        <w:trPr>
          <w:cantSplit/>
        </w:trPr>
        <w:tc>
          <w:tcPr>
            <w:tcW w:w="1757" w:type="pct"/>
            <w:tcBorders>
              <w:top w:val="single" w:sz="4" w:space="0" w:color="auto"/>
              <w:left w:val="single" w:sz="4" w:space="0" w:color="auto"/>
              <w:bottom w:val="single" w:sz="4" w:space="0" w:color="auto"/>
              <w:right w:val="single" w:sz="4" w:space="0" w:color="auto"/>
            </w:tcBorders>
          </w:tcPr>
          <w:p w14:paraId="0E2A8F9C" w14:textId="77777777" w:rsidR="00554E3F" w:rsidRPr="00D10F0D"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r w:rsidRPr="00D10F0D">
              <w:rPr>
                <w:rFonts w:ascii="Arial" w:hAnsi="Arial" w:cs="Arial"/>
                <w:sz w:val="20"/>
                <w:szCs w:val="20"/>
              </w:rPr>
              <w:t xml:space="preserve">with a transition (discharge) plan </w:t>
            </w:r>
            <w:r>
              <w:rPr>
                <w:rFonts w:ascii="Arial" w:hAnsi="Arial" w:cs="Arial"/>
                <w:sz w:val="20"/>
                <w:szCs w:val="20"/>
              </w:rPr>
              <w:t>of acceptable standard</w:t>
            </w:r>
          </w:p>
          <w:p w14:paraId="11D4014E"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 xml:space="preserve"> (Data Source: DHB)</w:t>
            </w:r>
          </w:p>
        </w:tc>
        <w:tc>
          <w:tcPr>
            <w:tcW w:w="1621" w:type="pct"/>
            <w:tcBorders>
              <w:top w:val="single" w:sz="4" w:space="0" w:color="auto"/>
              <w:left w:val="single" w:sz="4" w:space="0" w:color="auto"/>
              <w:bottom w:val="single" w:sz="4" w:space="0" w:color="auto"/>
              <w:right w:val="single" w:sz="4" w:space="0" w:color="auto"/>
            </w:tcBorders>
          </w:tcPr>
          <w:p w14:paraId="0D42D891" w14:textId="77777777" w:rsidR="00554E3F" w:rsidRDefault="00554E3F" w:rsidP="00B429D8">
            <w:pPr>
              <w:spacing w:before="60" w:after="60"/>
              <w:rPr>
                <w:rFonts w:ascii="Arial" w:hAnsi="Arial" w:cs="Arial"/>
                <w:sz w:val="20"/>
                <w:szCs w:val="20"/>
              </w:rPr>
            </w:pPr>
            <w:r>
              <w:rPr>
                <w:rFonts w:ascii="Arial" w:hAnsi="Arial" w:cs="Arial"/>
                <w:sz w:val="20"/>
                <w:szCs w:val="20"/>
              </w:rPr>
              <w:t>N</w:t>
            </w:r>
            <w:r w:rsidRPr="00D10F0D">
              <w:rPr>
                <w:rFonts w:ascii="Arial" w:hAnsi="Arial" w:cs="Arial"/>
                <w:sz w:val="20"/>
                <w:szCs w:val="20"/>
              </w:rPr>
              <w:t xml:space="preserve">umber of </w:t>
            </w:r>
            <w:r>
              <w:rPr>
                <w:rFonts w:ascii="Arial" w:hAnsi="Arial" w:cs="Arial"/>
                <w:sz w:val="20"/>
                <w:szCs w:val="20"/>
              </w:rPr>
              <w:t xml:space="preserve">files audited </w:t>
            </w:r>
          </w:p>
          <w:p w14:paraId="587AF43D" w14:textId="77777777" w:rsidR="00554E3F" w:rsidRPr="00D10F0D" w:rsidDel="004D7AD2" w:rsidRDefault="00554E3F" w:rsidP="00B429D8">
            <w:pPr>
              <w:spacing w:before="60" w:after="60"/>
              <w:rPr>
                <w:rFonts w:ascii="Arial" w:hAnsi="Arial" w:cs="Arial"/>
                <w:sz w:val="20"/>
                <w:szCs w:val="20"/>
              </w:rPr>
            </w:pPr>
            <w:r w:rsidRPr="00D10F0D">
              <w:rPr>
                <w:rFonts w:ascii="Arial" w:hAnsi="Arial" w:cs="Arial"/>
                <w:sz w:val="20"/>
                <w:szCs w:val="20"/>
              </w:rPr>
              <w:t>(Data Source: DHB)</w:t>
            </w:r>
          </w:p>
        </w:tc>
        <w:tc>
          <w:tcPr>
            <w:tcW w:w="1622" w:type="pct"/>
            <w:tcBorders>
              <w:top w:val="single" w:sz="4" w:space="0" w:color="auto"/>
              <w:left w:val="single" w:sz="4" w:space="0" w:color="auto"/>
              <w:bottom w:val="single" w:sz="4" w:space="0" w:color="auto"/>
              <w:right w:val="single" w:sz="4" w:space="0" w:color="auto"/>
            </w:tcBorders>
          </w:tcPr>
          <w:p w14:paraId="7FF89F86" w14:textId="77777777" w:rsidR="00554E3F" w:rsidRPr="00D10F0D" w:rsidRDefault="00554E3F" w:rsidP="00B429D8">
            <w:pPr>
              <w:spacing w:before="60" w:after="60"/>
              <w:rPr>
                <w:rFonts w:ascii="Arial" w:hAnsi="Arial" w:cs="Arial"/>
                <w:sz w:val="20"/>
                <w:szCs w:val="20"/>
              </w:rPr>
            </w:pPr>
            <w:r w:rsidRPr="00D10F0D">
              <w:rPr>
                <w:rFonts w:ascii="Arial" w:hAnsi="Arial" w:cs="Arial"/>
                <w:sz w:val="20"/>
                <w:szCs w:val="20"/>
              </w:rPr>
              <w:t>Percentage with a transition</w:t>
            </w:r>
            <w:r>
              <w:rPr>
                <w:rFonts w:ascii="Arial" w:hAnsi="Arial" w:cs="Arial"/>
                <w:sz w:val="20"/>
                <w:szCs w:val="20"/>
              </w:rPr>
              <w:t xml:space="preserve"> (discharge)</w:t>
            </w:r>
            <w:r w:rsidRPr="00D10F0D">
              <w:rPr>
                <w:rFonts w:ascii="Arial" w:hAnsi="Arial" w:cs="Arial"/>
                <w:sz w:val="20"/>
                <w:szCs w:val="20"/>
              </w:rPr>
              <w:t xml:space="preserve"> plan of acceptable standard</w:t>
            </w:r>
          </w:p>
        </w:tc>
      </w:tr>
    </w:tbl>
    <w:p w14:paraId="06921890" w14:textId="77777777" w:rsidR="00554E3F" w:rsidRDefault="00554E3F" w:rsidP="00554E3F">
      <w:pPr>
        <w:spacing w:before="60" w:after="60" w:line="240" w:lineRule="exact"/>
        <w:jc w:val="both"/>
        <w:rPr>
          <w:rFonts w:ascii="Arial" w:hAnsi="Arial" w:cs="Arial"/>
        </w:rPr>
      </w:pPr>
    </w:p>
    <w:p w14:paraId="2DC4EEC8" w14:textId="77777777" w:rsidR="00554E3F" w:rsidRPr="00D10F0D" w:rsidRDefault="00554E3F" w:rsidP="00554E3F">
      <w:pPr>
        <w:spacing w:before="60" w:after="60" w:line="240" w:lineRule="exact"/>
        <w:jc w:val="both"/>
        <w:rPr>
          <w:rFonts w:ascii="Arial" w:hAnsi="Arial" w:cs="Arial"/>
        </w:rPr>
      </w:pPr>
      <w:r>
        <w:rPr>
          <w:rFonts w:ascii="Arial" w:hAnsi="Arial" w:cs="Arial"/>
        </w:rPr>
        <w:t>I</w:t>
      </w:r>
      <w:r w:rsidRPr="00D10F0D">
        <w:rPr>
          <w:rFonts w:ascii="Arial" w:hAnsi="Arial" w:cs="Arial"/>
        </w:rPr>
        <w:t>nclusions / exclusions</w:t>
      </w:r>
    </w:p>
    <w:p w14:paraId="77094510" w14:textId="77777777" w:rsidR="00554E3F" w:rsidRPr="003A508D" w:rsidRDefault="00554E3F" w:rsidP="00C04FF1">
      <w:pPr>
        <w:pStyle w:val="ListParagraph"/>
        <w:numPr>
          <w:ilvl w:val="0"/>
          <w:numId w:val="61"/>
        </w:numPr>
        <w:spacing w:before="60" w:after="60"/>
        <w:jc w:val="both"/>
        <w:rPr>
          <w:rFonts w:ascii="Arial" w:hAnsi="Arial" w:cs="Arial"/>
          <w:sz w:val="22"/>
          <w:szCs w:val="22"/>
        </w:rPr>
      </w:pPr>
      <w:r w:rsidRPr="003A508D">
        <w:rPr>
          <w:rFonts w:ascii="Arial" w:hAnsi="Arial" w:cs="Arial"/>
          <w:sz w:val="22"/>
          <w:szCs w:val="22"/>
        </w:rPr>
        <w:t>Include all clients discharged from an in-patient service whose inpatient stay is at least overnight.</w:t>
      </w:r>
    </w:p>
    <w:p w14:paraId="39AB7FB5" w14:textId="77777777" w:rsidR="00554E3F" w:rsidRPr="003A508D" w:rsidRDefault="00554E3F" w:rsidP="00C04FF1">
      <w:pPr>
        <w:pStyle w:val="ListParagraph"/>
        <w:numPr>
          <w:ilvl w:val="0"/>
          <w:numId w:val="61"/>
        </w:numPr>
        <w:spacing w:before="60" w:after="60"/>
        <w:jc w:val="both"/>
        <w:rPr>
          <w:rFonts w:ascii="Arial" w:hAnsi="Arial" w:cs="Arial"/>
          <w:sz w:val="22"/>
          <w:szCs w:val="22"/>
        </w:rPr>
      </w:pPr>
      <w:r w:rsidRPr="003A508D">
        <w:rPr>
          <w:rFonts w:ascii="Arial" w:hAnsi="Arial" w:cs="Arial"/>
          <w:sz w:val="22"/>
          <w:szCs w:val="22"/>
        </w:rPr>
        <w:t>Exclude clients that are discharged from an in-patient service temporarily to be admitted to a medical ward or A&amp;E for medical treatment that then return direct to Mental Health inpatient services</w:t>
      </w:r>
    </w:p>
    <w:p w14:paraId="034F1734" w14:textId="77777777" w:rsidR="00554E3F" w:rsidRPr="003A508D" w:rsidRDefault="00554E3F" w:rsidP="00C04FF1">
      <w:pPr>
        <w:pStyle w:val="ListParagraph"/>
        <w:numPr>
          <w:ilvl w:val="0"/>
          <w:numId w:val="61"/>
        </w:numPr>
        <w:spacing w:before="60" w:after="60"/>
        <w:jc w:val="both"/>
        <w:rPr>
          <w:rFonts w:ascii="Arial" w:hAnsi="Arial" w:cs="Arial"/>
          <w:sz w:val="22"/>
          <w:szCs w:val="22"/>
        </w:rPr>
      </w:pPr>
      <w:r w:rsidRPr="003A508D">
        <w:rPr>
          <w:rFonts w:ascii="Arial" w:hAnsi="Arial" w:cs="Arial"/>
          <w:sz w:val="22"/>
          <w:szCs w:val="22"/>
        </w:rPr>
        <w:t>Exclude discharges as a result of death.</w:t>
      </w:r>
    </w:p>
    <w:p w14:paraId="0C39CE35" w14:textId="77777777" w:rsidR="00554E3F" w:rsidRPr="003A508D" w:rsidRDefault="00554E3F" w:rsidP="00C04FF1">
      <w:pPr>
        <w:pStyle w:val="ListParagraph"/>
        <w:numPr>
          <w:ilvl w:val="0"/>
          <w:numId w:val="61"/>
        </w:numPr>
        <w:spacing w:before="60" w:after="60"/>
        <w:jc w:val="both"/>
        <w:rPr>
          <w:rFonts w:ascii="Arial" w:hAnsi="Arial" w:cs="Arial"/>
          <w:sz w:val="22"/>
          <w:szCs w:val="22"/>
        </w:rPr>
      </w:pPr>
      <w:r w:rsidRPr="003A508D">
        <w:rPr>
          <w:rFonts w:ascii="Arial" w:hAnsi="Arial" w:cs="Arial"/>
          <w:sz w:val="22"/>
          <w:szCs w:val="22"/>
        </w:rPr>
        <w:t>Include in quality audit only those files with a discharge (transition) plan</w:t>
      </w:r>
    </w:p>
    <w:p w14:paraId="6DA1588B" w14:textId="77777777" w:rsidR="00554E3F" w:rsidRPr="00D10F0D" w:rsidRDefault="00554E3F" w:rsidP="00554E3F">
      <w:pPr>
        <w:spacing w:before="60" w:after="60"/>
        <w:jc w:val="both"/>
        <w:rPr>
          <w:rFonts w:ascii="Arial" w:hAnsi="Arial" w:cs="Arial"/>
          <w:i/>
        </w:rPr>
      </w:pPr>
      <w:r w:rsidRPr="00D10F0D">
        <w:rPr>
          <w:rFonts w:ascii="Arial" w:hAnsi="Arial" w:cs="Arial"/>
          <w:i/>
        </w:rPr>
        <w:lastRenderedPageBreak/>
        <w:t xml:space="preserve">Note: </w:t>
      </w:r>
      <w:proofErr w:type="gramStart"/>
      <w:r w:rsidRPr="00D10F0D">
        <w:rPr>
          <w:rFonts w:ascii="Arial" w:hAnsi="Arial" w:cs="Arial"/>
          <w:i/>
        </w:rPr>
        <w:t>the</w:t>
      </w:r>
      <w:proofErr w:type="gramEnd"/>
      <w:r w:rsidRPr="00D10F0D">
        <w:rPr>
          <w:rFonts w:ascii="Arial" w:hAnsi="Arial" w:cs="Arial"/>
          <w:i/>
        </w:rPr>
        <w:t xml:space="preserve"> Ministry will compare data sourced from PRIMHD data (Mental Health and Addiction administrative data collection from 20 DHBs and 220 NGOs) with the data provided by the DHB – where this is a discrepancy of more than 10% the DHB will be required to explain this. (Not all DHBs and NGOs are reporting this data to PRIMHD currently as the capability to collect this information was introduced in July 2016).</w:t>
      </w:r>
    </w:p>
    <w:p w14:paraId="61CEC7C0" w14:textId="77777777" w:rsidR="00554E3F" w:rsidRPr="00D10F0D" w:rsidRDefault="00554E3F" w:rsidP="00554E3F">
      <w:pPr>
        <w:spacing w:before="60" w:after="60"/>
        <w:jc w:val="both"/>
        <w:rPr>
          <w:rFonts w:ascii="Arial" w:hAnsi="Arial" w:cs="Arial"/>
        </w:rPr>
      </w:pPr>
    </w:p>
    <w:p w14:paraId="54D2094F" w14:textId="77777777" w:rsidR="00554E3F" w:rsidRPr="00D10F0D" w:rsidRDefault="00554E3F" w:rsidP="00554E3F">
      <w:pPr>
        <w:spacing w:before="60" w:after="60"/>
        <w:jc w:val="both"/>
        <w:rPr>
          <w:rFonts w:ascii="Arial" w:hAnsi="Arial" w:cs="Arial"/>
          <w:b/>
        </w:rPr>
      </w:pPr>
      <w:r w:rsidRPr="00D10F0D">
        <w:rPr>
          <w:rFonts w:ascii="Arial" w:hAnsi="Arial" w:cs="Arial"/>
          <w:b/>
        </w:rPr>
        <w:t>Exception Reports if targets are not met</w:t>
      </w:r>
    </w:p>
    <w:p w14:paraId="18BBFF82" w14:textId="77777777" w:rsidR="00554E3F" w:rsidRPr="00D10F0D" w:rsidRDefault="00554E3F" w:rsidP="00C04FF1">
      <w:pPr>
        <w:numPr>
          <w:ilvl w:val="0"/>
          <w:numId w:val="59"/>
        </w:numPr>
        <w:spacing w:before="60" w:after="60"/>
        <w:contextualSpacing/>
        <w:jc w:val="both"/>
        <w:rPr>
          <w:rFonts w:ascii="Arial" w:hAnsi="Arial" w:cs="Arial"/>
        </w:rPr>
      </w:pPr>
      <w:r>
        <w:rPr>
          <w:rFonts w:ascii="Arial" w:hAnsi="Arial" w:cs="Arial"/>
        </w:rPr>
        <w:t xml:space="preserve">The DHB are </w:t>
      </w:r>
      <w:r w:rsidRPr="00D10F0D">
        <w:rPr>
          <w:rFonts w:ascii="Arial" w:hAnsi="Arial" w:cs="Arial"/>
        </w:rPr>
        <w:t>required to report what actions are being taken if the target of 95% of people with plans is not met.</w:t>
      </w:r>
    </w:p>
    <w:p w14:paraId="7F45CF9A" w14:textId="77777777" w:rsidR="00554E3F" w:rsidRPr="00D10F0D" w:rsidRDefault="00554E3F" w:rsidP="00554E3F">
      <w:pPr>
        <w:spacing w:before="60" w:after="60"/>
        <w:ind w:firstLine="720"/>
        <w:jc w:val="both"/>
        <w:rPr>
          <w:rFonts w:ascii="Arial" w:hAnsi="Arial" w:cs="Arial"/>
        </w:rPr>
      </w:pPr>
    </w:p>
    <w:p w14:paraId="343A3BAF" w14:textId="77777777" w:rsidR="00554E3F" w:rsidRDefault="00554E3F" w:rsidP="00C04FF1">
      <w:pPr>
        <w:numPr>
          <w:ilvl w:val="0"/>
          <w:numId w:val="59"/>
        </w:numPr>
        <w:spacing w:before="60" w:after="60"/>
        <w:contextualSpacing/>
        <w:jc w:val="both"/>
        <w:rPr>
          <w:rFonts w:ascii="Arial" w:hAnsi="Arial" w:cs="Arial"/>
        </w:rPr>
      </w:pPr>
      <w:r w:rsidRPr="00D10F0D">
        <w:rPr>
          <w:rFonts w:ascii="Arial" w:hAnsi="Arial" w:cs="Arial"/>
        </w:rPr>
        <w:t>The DHB will be</w:t>
      </w:r>
      <w:r>
        <w:rPr>
          <w:rFonts w:ascii="Arial" w:hAnsi="Arial" w:cs="Arial"/>
        </w:rPr>
        <w:t xml:space="preserve"> </w:t>
      </w:r>
      <w:r w:rsidRPr="00D10F0D">
        <w:rPr>
          <w:rFonts w:ascii="Arial" w:hAnsi="Arial" w:cs="Arial"/>
        </w:rPr>
        <w:t>required to report what actions are being undertaken if the target of 95% of audited files do not meet accepted good practice</w:t>
      </w:r>
      <w:r>
        <w:rPr>
          <w:rFonts w:ascii="Arial" w:hAnsi="Arial" w:cs="Arial"/>
        </w:rPr>
        <w:t>.</w:t>
      </w:r>
    </w:p>
    <w:p w14:paraId="1518FA77" w14:textId="77777777" w:rsidR="00554E3F" w:rsidRPr="00554E3F" w:rsidRDefault="00554E3F" w:rsidP="00554E3F">
      <w:pPr>
        <w:spacing w:before="60" w:after="60"/>
        <w:jc w:val="both"/>
        <w:rPr>
          <w:rFonts w:ascii="Arial" w:hAnsi="Arial" w:cs="Arial"/>
          <w:b/>
          <w:sz w:val="22"/>
          <w:szCs w:val="22"/>
        </w:rPr>
      </w:pPr>
    </w:p>
    <w:p w14:paraId="7A4D6D96" w14:textId="77777777" w:rsidR="00554E3F" w:rsidRPr="00554E3F" w:rsidRDefault="00554E3F" w:rsidP="00554E3F">
      <w:pPr>
        <w:spacing w:before="60" w:after="60"/>
        <w:jc w:val="both"/>
        <w:rPr>
          <w:rFonts w:ascii="Arial" w:hAnsi="Arial" w:cs="Arial"/>
          <w:b/>
          <w:sz w:val="22"/>
          <w:szCs w:val="22"/>
        </w:rPr>
      </w:pPr>
      <w:r w:rsidRPr="00554E3F">
        <w:rPr>
          <w:rFonts w:ascii="Arial" w:hAnsi="Arial" w:cs="Arial"/>
          <w:b/>
          <w:sz w:val="22"/>
          <w:szCs w:val="22"/>
        </w:rPr>
        <w:t xml:space="preserve">Reporting Period </w:t>
      </w:r>
    </w:p>
    <w:p w14:paraId="077202D7" w14:textId="77777777" w:rsidR="00554E3F" w:rsidRPr="00554E3F" w:rsidRDefault="00554E3F" w:rsidP="00554E3F">
      <w:pPr>
        <w:spacing w:before="60" w:after="60"/>
        <w:jc w:val="both"/>
        <w:rPr>
          <w:rFonts w:ascii="Arial" w:hAnsi="Arial" w:cs="Arial"/>
          <w:b/>
          <w:sz w:val="22"/>
          <w:szCs w:val="22"/>
        </w:rPr>
      </w:pPr>
      <w:r w:rsidRPr="00554E3F">
        <w:rPr>
          <w:rFonts w:ascii="Arial" w:hAnsi="Arial" w:cs="Arial"/>
          <w:sz w:val="22"/>
          <w:szCs w:val="22"/>
        </w:rPr>
        <w:t>(Data is produced one quarter in arrears)</w:t>
      </w:r>
    </w:p>
    <w:p w14:paraId="3BE3A296" w14:textId="77777777" w:rsidR="00554E3F" w:rsidRPr="00554E3F" w:rsidRDefault="00554E3F" w:rsidP="00554E3F">
      <w:pPr>
        <w:spacing w:before="60" w:after="60"/>
        <w:jc w:val="both"/>
        <w:rPr>
          <w:rFonts w:ascii="Arial" w:hAnsi="Arial" w:cs="Arial"/>
          <w:b/>
          <w:i/>
          <w:sz w:val="22"/>
          <w:szCs w:val="22"/>
        </w:rPr>
      </w:pPr>
    </w:p>
    <w:p w14:paraId="26E11BFA"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b/>
          <w:i/>
          <w:sz w:val="22"/>
          <w:szCs w:val="22"/>
        </w:rPr>
        <w:t>Reporting required</w:t>
      </w:r>
      <w:r w:rsidRPr="00554E3F">
        <w:rPr>
          <w:rFonts w:ascii="Arial" w:hAnsi="Arial" w:cs="Arial"/>
          <w:sz w:val="22"/>
          <w:szCs w:val="22"/>
        </w:rPr>
        <w:t xml:space="preserve"> </w:t>
      </w:r>
    </w:p>
    <w:p w14:paraId="24FB043D"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sz w:val="22"/>
          <w:szCs w:val="22"/>
        </w:rPr>
        <w:t>Quantitative Measures: Quarterly, as per the table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962"/>
      </w:tblGrid>
      <w:tr w:rsidR="00554E3F" w:rsidRPr="00554E3F" w14:paraId="0D0137B1"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CDE5766" w14:textId="77777777" w:rsidR="00554E3F" w:rsidRPr="00554E3F" w:rsidRDefault="00554E3F" w:rsidP="00B429D8">
            <w:pPr>
              <w:spacing w:before="60" w:after="60"/>
              <w:jc w:val="both"/>
              <w:rPr>
                <w:rFonts w:ascii="Arial" w:hAnsi="Arial" w:cs="Arial"/>
                <w:b/>
                <w:sz w:val="22"/>
                <w:szCs w:val="22"/>
              </w:rPr>
            </w:pPr>
            <w:r w:rsidRPr="00554E3F">
              <w:rPr>
                <w:rFonts w:ascii="Arial" w:hAnsi="Arial" w:cs="Arial"/>
                <w:b/>
                <w:sz w:val="22"/>
                <w:szCs w:val="22"/>
              </w:rPr>
              <w:t xml:space="preserve">Quarter </w:t>
            </w:r>
          </w:p>
        </w:tc>
        <w:tc>
          <w:tcPr>
            <w:tcW w:w="49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8CBC996" w14:textId="77777777" w:rsidR="00554E3F" w:rsidRPr="00554E3F" w:rsidRDefault="00554E3F" w:rsidP="00B429D8">
            <w:pPr>
              <w:spacing w:before="60" w:after="60"/>
              <w:jc w:val="both"/>
              <w:rPr>
                <w:rFonts w:ascii="Arial" w:hAnsi="Arial" w:cs="Arial"/>
                <w:b/>
                <w:sz w:val="22"/>
                <w:szCs w:val="22"/>
              </w:rPr>
            </w:pPr>
            <w:r w:rsidRPr="00554E3F">
              <w:rPr>
                <w:rFonts w:ascii="Arial" w:hAnsi="Arial" w:cs="Arial"/>
                <w:b/>
                <w:sz w:val="22"/>
                <w:szCs w:val="22"/>
              </w:rPr>
              <w:t>For the time period</w:t>
            </w:r>
          </w:p>
        </w:tc>
      </w:tr>
      <w:tr w:rsidR="00554E3F" w:rsidRPr="00554E3F" w14:paraId="7934B738"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02C23D9F" w14:textId="77777777" w:rsidR="00554E3F" w:rsidRPr="00554E3F" w:rsidRDefault="00554E3F" w:rsidP="00B429D8">
            <w:pPr>
              <w:rPr>
                <w:rFonts w:ascii="Arial" w:hAnsi="Arial" w:cs="Arial"/>
                <w:sz w:val="22"/>
                <w:szCs w:val="22"/>
              </w:rPr>
            </w:pPr>
            <w:r w:rsidRPr="00554E3F">
              <w:rPr>
                <w:rFonts w:ascii="Arial" w:hAnsi="Arial" w:cs="Arial"/>
                <w:sz w:val="22"/>
                <w:szCs w:val="22"/>
              </w:rPr>
              <w:t>Quarter 1 (reported 20 October)</w:t>
            </w:r>
          </w:p>
        </w:tc>
        <w:tc>
          <w:tcPr>
            <w:tcW w:w="4962" w:type="dxa"/>
            <w:tcBorders>
              <w:top w:val="single" w:sz="4" w:space="0" w:color="auto"/>
              <w:left w:val="single" w:sz="4" w:space="0" w:color="auto"/>
              <w:bottom w:val="single" w:sz="4" w:space="0" w:color="auto"/>
              <w:right w:val="single" w:sz="4" w:space="0" w:color="auto"/>
            </w:tcBorders>
            <w:hideMark/>
          </w:tcPr>
          <w:p w14:paraId="70C2B8B4" w14:textId="77777777" w:rsidR="00554E3F" w:rsidRPr="00554E3F" w:rsidRDefault="00554E3F" w:rsidP="00B429D8">
            <w:pPr>
              <w:spacing w:before="60" w:after="60"/>
              <w:jc w:val="both"/>
              <w:rPr>
                <w:rFonts w:ascii="Arial" w:hAnsi="Arial" w:cs="Arial"/>
                <w:sz w:val="22"/>
                <w:szCs w:val="22"/>
              </w:rPr>
            </w:pPr>
            <w:r w:rsidRPr="00554E3F">
              <w:rPr>
                <w:rFonts w:ascii="Arial" w:hAnsi="Arial" w:cs="Arial"/>
                <w:sz w:val="22"/>
                <w:szCs w:val="22"/>
              </w:rPr>
              <w:t xml:space="preserve">Data to cover the </w:t>
            </w:r>
            <w:proofErr w:type="gramStart"/>
            <w:r w:rsidRPr="00554E3F">
              <w:rPr>
                <w:rFonts w:ascii="Arial" w:hAnsi="Arial" w:cs="Arial"/>
                <w:sz w:val="22"/>
                <w:szCs w:val="22"/>
              </w:rPr>
              <w:t>12 month</w:t>
            </w:r>
            <w:proofErr w:type="gramEnd"/>
            <w:r w:rsidRPr="00554E3F">
              <w:rPr>
                <w:rFonts w:ascii="Arial" w:hAnsi="Arial" w:cs="Arial"/>
                <w:sz w:val="22"/>
                <w:szCs w:val="22"/>
              </w:rPr>
              <w:t xml:space="preserve"> period to June</w:t>
            </w:r>
          </w:p>
        </w:tc>
      </w:tr>
      <w:tr w:rsidR="00554E3F" w:rsidRPr="00554E3F" w14:paraId="0DC1A894"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7665CA6A" w14:textId="77777777" w:rsidR="00554E3F" w:rsidRPr="00554E3F" w:rsidRDefault="00554E3F" w:rsidP="00B429D8">
            <w:pPr>
              <w:rPr>
                <w:rFonts w:ascii="Arial" w:hAnsi="Arial" w:cs="Arial"/>
                <w:sz w:val="22"/>
                <w:szCs w:val="22"/>
              </w:rPr>
            </w:pPr>
            <w:r w:rsidRPr="00554E3F">
              <w:rPr>
                <w:rFonts w:ascii="Arial" w:hAnsi="Arial" w:cs="Arial"/>
                <w:sz w:val="22"/>
                <w:szCs w:val="22"/>
              </w:rPr>
              <w:t>Quarter 2 (reported 20 January)</w:t>
            </w:r>
          </w:p>
        </w:tc>
        <w:tc>
          <w:tcPr>
            <w:tcW w:w="4962" w:type="dxa"/>
            <w:tcBorders>
              <w:top w:val="single" w:sz="4" w:space="0" w:color="auto"/>
              <w:left w:val="single" w:sz="4" w:space="0" w:color="auto"/>
              <w:bottom w:val="single" w:sz="4" w:space="0" w:color="auto"/>
              <w:right w:val="single" w:sz="4" w:space="0" w:color="auto"/>
            </w:tcBorders>
            <w:hideMark/>
          </w:tcPr>
          <w:p w14:paraId="3A133414" w14:textId="77777777" w:rsidR="00554E3F" w:rsidRPr="00554E3F" w:rsidRDefault="00554E3F" w:rsidP="00B429D8">
            <w:pPr>
              <w:spacing w:before="60" w:after="60"/>
              <w:jc w:val="both"/>
              <w:rPr>
                <w:rFonts w:ascii="Arial" w:hAnsi="Arial" w:cs="Arial"/>
                <w:sz w:val="22"/>
                <w:szCs w:val="22"/>
                <w:highlight w:val="yellow"/>
              </w:rPr>
            </w:pPr>
            <w:r w:rsidRPr="00554E3F">
              <w:rPr>
                <w:rFonts w:ascii="Arial" w:hAnsi="Arial" w:cs="Arial"/>
                <w:sz w:val="22"/>
                <w:szCs w:val="22"/>
              </w:rPr>
              <w:t xml:space="preserve">Data to cover the </w:t>
            </w:r>
            <w:proofErr w:type="gramStart"/>
            <w:r w:rsidRPr="00554E3F">
              <w:rPr>
                <w:rFonts w:ascii="Arial" w:hAnsi="Arial" w:cs="Arial"/>
                <w:sz w:val="22"/>
                <w:szCs w:val="22"/>
              </w:rPr>
              <w:t>12 month</w:t>
            </w:r>
            <w:proofErr w:type="gramEnd"/>
            <w:r w:rsidRPr="00554E3F">
              <w:rPr>
                <w:rFonts w:ascii="Arial" w:hAnsi="Arial" w:cs="Arial"/>
                <w:sz w:val="22"/>
                <w:szCs w:val="22"/>
              </w:rPr>
              <w:t xml:space="preserve"> period to Sept</w:t>
            </w:r>
          </w:p>
        </w:tc>
      </w:tr>
      <w:tr w:rsidR="00554E3F" w:rsidRPr="00554E3F" w14:paraId="10462D93" w14:textId="77777777" w:rsidTr="00B429D8">
        <w:trPr>
          <w:trHeight w:val="622"/>
          <w:jc w:val="center"/>
        </w:trPr>
        <w:tc>
          <w:tcPr>
            <w:tcW w:w="3828" w:type="dxa"/>
            <w:tcBorders>
              <w:top w:val="single" w:sz="4" w:space="0" w:color="auto"/>
              <w:left w:val="single" w:sz="4" w:space="0" w:color="auto"/>
              <w:bottom w:val="single" w:sz="4" w:space="0" w:color="auto"/>
              <w:right w:val="single" w:sz="4" w:space="0" w:color="auto"/>
            </w:tcBorders>
            <w:hideMark/>
          </w:tcPr>
          <w:p w14:paraId="596CE9EA" w14:textId="77777777" w:rsidR="00554E3F" w:rsidRPr="00554E3F" w:rsidRDefault="00554E3F" w:rsidP="00B429D8">
            <w:pPr>
              <w:rPr>
                <w:rFonts w:ascii="Arial" w:hAnsi="Arial" w:cs="Arial"/>
                <w:sz w:val="22"/>
                <w:szCs w:val="22"/>
              </w:rPr>
            </w:pPr>
            <w:r w:rsidRPr="00554E3F">
              <w:rPr>
                <w:rFonts w:ascii="Arial" w:hAnsi="Arial" w:cs="Arial"/>
                <w:sz w:val="22"/>
                <w:szCs w:val="22"/>
              </w:rPr>
              <w:t>Quarter 3 (reported 20 April)</w:t>
            </w:r>
          </w:p>
        </w:tc>
        <w:tc>
          <w:tcPr>
            <w:tcW w:w="4962" w:type="dxa"/>
            <w:tcBorders>
              <w:top w:val="single" w:sz="4" w:space="0" w:color="auto"/>
              <w:left w:val="single" w:sz="4" w:space="0" w:color="auto"/>
              <w:bottom w:val="single" w:sz="4" w:space="0" w:color="auto"/>
              <w:right w:val="single" w:sz="4" w:space="0" w:color="auto"/>
            </w:tcBorders>
            <w:hideMark/>
          </w:tcPr>
          <w:p w14:paraId="4256A008" w14:textId="77777777" w:rsidR="00554E3F" w:rsidRPr="00554E3F" w:rsidRDefault="00554E3F" w:rsidP="00B429D8">
            <w:pPr>
              <w:spacing w:before="60" w:after="60"/>
              <w:jc w:val="both"/>
              <w:rPr>
                <w:rFonts w:ascii="Arial" w:hAnsi="Arial" w:cs="Arial"/>
                <w:sz w:val="22"/>
                <w:szCs w:val="22"/>
              </w:rPr>
            </w:pPr>
            <w:r w:rsidRPr="00554E3F">
              <w:rPr>
                <w:rFonts w:ascii="Arial" w:hAnsi="Arial" w:cs="Arial"/>
                <w:sz w:val="22"/>
                <w:szCs w:val="22"/>
              </w:rPr>
              <w:t xml:space="preserve">Data to cover the </w:t>
            </w:r>
            <w:proofErr w:type="gramStart"/>
            <w:r w:rsidRPr="00554E3F">
              <w:rPr>
                <w:rFonts w:ascii="Arial" w:hAnsi="Arial" w:cs="Arial"/>
                <w:sz w:val="22"/>
                <w:szCs w:val="22"/>
              </w:rPr>
              <w:t>12 month</w:t>
            </w:r>
            <w:proofErr w:type="gramEnd"/>
            <w:r w:rsidRPr="00554E3F">
              <w:rPr>
                <w:rFonts w:ascii="Arial" w:hAnsi="Arial" w:cs="Arial"/>
                <w:sz w:val="22"/>
                <w:szCs w:val="22"/>
              </w:rPr>
              <w:t xml:space="preserve"> period to Dec</w:t>
            </w:r>
          </w:p>
        </w:tc>
      </w:tr>
      <w:tr w:rsidR="00554E3F" w:rsidRPr="00554E3F" w14:paraId="7435C58F"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6F4F0BA2" w14:textId="77777777" w:rsidR="00554E3F" w:rsidRPr="00554E3F" w:rsidRDefault="00554E3F" w:rsidP="00B429D8">
            <w:pPr>
              <w:rPr>
                <w:rFonts w:ascii="Arial" w:hAnsi="Arial" w:cs="Arial"/>
                <w:sz w:val="22"/>
                <w:szCs w:val="22"/>
              </w:rPr>
            </w:pPr>
            <w:r w:rsidRPr="00554E3F">
              <w:rPr>
                <w:rFonts w:ascii="Arial" w:hAnsi="Arial" w:cs="Arial"/>
                <w:sz w:val="22"/>
                <w:szCs w:val="22"/>
              </w:rPr>
              <w:t>Quarter 4 (reported 20 July)</w:t>
            </w:r>
          </w:p>
        </w:tc>
        <w:tc>
          <w:tcPr>
            <w:tcW w:w="4962" w:type="dxa"/>
            <w:tcBorders>
              <w:top w:val="single" w:sz="4" w:space="0" w:color="auto"/>
              <w:left w:val="single" w:sz="4" w:space="0" w:color="auto"/>
              <w:bottom w:val="single" w:sz="4" w:space="0" w:color="auto"/>
              <w:right w:val="single" w:sz="4" w:space="0" w:color="auto"/>
            </w:tcBorders>
            <w:hideMark/>
          </w:tcPr>
          <w:p w14:paraId="467E3EA3" w14:textId="77777777" w:rsidR="00554E3F" w:rsidRPr="00554E3F" w:rsidRDefault="00554E3F" w:rsidP="00B429D8">
            <w:pPr>
              <w:spacing w:before="60" w:after="60"/>
              <w:jc w:val="both"/>
              <w:rPr>
                <w:rFonts w:ascii="Arial" w:hAnsi="Arial" w:cs="Arial"/>
                <w:sz w:val="22"/>
                <w:szCs w:val="22"/>
                <w:highlight w:val="yellow"/>
              </w:rPr>
            </w:pPr>
            <w:r w:rsidRPr="00554E3F">
              <w:rPr>
                <w:rFonts w:ascii="Arial" w:hAnsi="Arial" w:cs="Arial"/>
                <w:sz w:val="22"/>
                <w:szCs w:val="22"/>
              </w:rPr>
              <w:t xml:space="preserve">Data to cover the </w:t>
            </w:r>
            <w:proofErr w:type="gramStart"/>
            <w:r w:rsidRPr="00554E3F">
              <w:rPr>
                <w:rFonts w:ascii="Arial" w:hAnsi="Arial" w:cs="Arial"/>
                <w:sz w:val="22"/>
                <w:szCs w:val="22"/>
              </w:rPr>
              <w:t>12 month</w:t>
            </w:r>
            <w:proofErr w:type="gramEnd"/>
            <w:r w:rsidRPr="00554E3F">
              <w:rPr>
                <w:rFonts w:ascii="Arial" w:hAnsi="Arial" w:cs="Arial"/>
                <w:sz w:val="22"/>
                <w:szCs w:val="22"/>
              </w:rPr>
              <w:t xml:space="preserve"> period to March</w:t>
            </w:r>
          </w:p>
        </w:tc>
      </w:tr>
    </w:tbl>
    <w:p w14:paraId="4DE8F0B1" w14:textId="77777777" w:rsidR="00554E3F" w:rsidRPr="00554E3F" w:rsidRDefault="00554E3F" w:rsidP="00554E3F">
      <w:pPr>
        <w:spacing w:before="60" w:after="60"/>
        <w:jc w:val="both"/>
        <w:rPr>
          <w:rFonts w:ascii="Arial" w:hAnsi="Arial" w:cs="Arial"/>
          <w:b/>
          <w:sz w:val="22"/>
          <w:szCs w:val="22"/>
        </w:rPr>
      </w:pPr>
    </w:p>
    <w:p w14:paraId="7C6685F2"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sz w:val="22"/>
          <w:szCs w:val="22"/>
        </w:rPr>
        <w:t>Qualitative (Audit) Measures: Quarterly, as per table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962"/>
      </w:tblGrid>
      <w:tr w:rsidR="00554E3F" w:rsidRPr="00554E3F" w14:paraId="21F15078"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42D9858" w14:textId="77777777" w:rsidR="00554E3F" w:rsidRPr="00554E3F" w:rsidRDefault="00554E3F" w:rsidP="00B429D8">
            <w:pPr>
              <w:spacing w:before="60" w:after="60"/>
              <w:jc w:val="both"/>
              <w:rPr>
                <w:rFonts w:ascii="Arial" w:hAnsi="Arial" w:cs="Arial"/>
                <w:b/>
                <w:sz w:val="22"/>
                <w:szCs w:val="22"/>
              </w:rPr>
            </w:pPr>
            <w:r w:rsidRPr="00554E3F">
              <w:rPr>
                <w:rFonts w:ascii="Arial" w:hAnsi="Arial" w:cs="Arial"/>
                <w:b/>
                <w:sz w:val="22"/>
                <w:szCs w:val="22"/>
              </w:rPr>
              <w:t xml:space="preserve">Quarter </w:t>
            </w:r>
          </w:p>
        </w:tc>
        <w:tc>
          <w:tcPr>
            <w:tcW w:w="49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43A0C28" w14:textId="77777777" w:rsidR="00554E3F" w:rsidRPr="00554E3F" w:rsidRDefault="00554E3F" w:rsidP="00B429D8">
            <w:pPr>
              <w:spacing w:before="60" w:after="60"/>
              <w:jc w:val="both"/>
              <w:rPr>
                <w:rFonts w:ascii="Arial" w:hAnsi="Arial" w:cs="Arial"/>
                <w:b/>
                <w:sz w:val="22"/>
                <w:szCs w:val="22"/>
              </w:rPr>
            </w:pPr>
            <w:r w:rsidRPr="00554E3F">
              <w:rPr>
                <w:rFonts w:ascii="Arial" w:hAnsi="Arial" w:cs="Arial"/>
                <w:b/>
                <w:sz w:val="22"/>
                <w:szCs w:val="22"/>
              </w:rPr>
              <w:t>For the time period</w:t>
            </w:r>
          </w:p>
        </w:tc>
      </w:tr>
      <w:tr w:rsidR="00554E3F" w:rsidRPr="00554E3F" w14:paraId="63E3F57E"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41A8E1B0" w14:textId="77777777" w:rsidR="00554E3F" w:rsidRPr="00554E3F" w:rsidRDefault="00554E3F" w:rsidP="00B429D8">
            <w:pPr>
              <w:rPr>
                <w:rFonts w:ascii="Arial" w:hAnsi="Arial" w:cs="Arial"/>
                <w:sz w:val="22"/>
                <w:szCs w:val="22"/>
              </w:rPr>
            </w:pPr>
            <w:r w:rsidRPr="00554E3F">
              <w:rPr>
                <w:rFonts w:ascii="Arial" w:hAnsi="Arial" w:cs="Arial"/>
                <w:sz w:val="22"/>
                <w:szCs w:val="22"/>
              </w:rPr>
              <w:t>Quarter 1 (reported 20 October)</w:t>
            </w:r>
          </w:p>
        </w:tc>
        <w:tc>
          <w:tcPr>
            <w:tcW w:w="4962" w:type="dxa"/>
            <w:tcBorders>
              <w:top w:val="single" w:sz="4" w:space="0" w:color="auto"/>
              <w:left w:val="single" w:sz="4" w:space="0" w:color="auto"/>
              <w:bottom w:val="single" w:sz="4" w:space="0" w:color="auto"/>
              <w:right w:val="single" w:sz="4" w:space="0" w:color="auto"/>
            </w:tcBorders>
            <w:hideMark/>
          </w:tcPr>
          <w:p w14:paraId="06E6EB77" w14:textId="77777777" w:rsidR="00554E3F" w:rsidRPr="00554E3F" w:rsidRDefault="00554E3F" w:rsidP="00B429D8">
            <w:pPr>
              <w:spacing w:before="60" w:after="60"/>
              <w:jc w:val="both"/>
              <w:rPr>
                <w:rFonts w:ascii="Arial" w:hAnsi="Arial" w:cs="Arial"/>
                <w:sz w:val="22"/>
                <w:szCs w:val="22"/>
              </w:rPr>
            </w:pPr>
            <w:r w:rsidRPr="00554E3F">
              <w:rPr>
                <w:rFonts w:ascii="Arial" w:hAnsi="Arial" w:cs="Arial"/>
                <w:sz w:val="22"/>
                <w:szCs w:val="22"/>
              </w:rPr>
              <w:t xml:space="preserve">Data to cover the </w:t>
            </w:r>
            <w:proofErr w:type="gramStart"/>
            <w:r w:rsidRPr="00554E3F">
              <w:rPr>
                <w:rFonts w:ascii="Arial" w:hAnsi="Arial" w:cs="Arial"/>
                <w:sz w:val="22"/>
                <w:szCs w:val="22"/>
              </w:rPr>
              <w:t>3 month</w:t>
            </w:r>
            <w:proofErr w:type="gramEnd"/>
            <w:r w:rsidRPr="00554E3F">
              <w:rPr>
                <w:rFonts w:ascii="Arial" w:hAnsi="Arial" w:cs="Arial"/>
                <w:sz w:val="22"/>
                <w:szCs w:val="22"/>
              </w:rPr>
              <w:t xml:space="preserve"> period to June</w:t>
            </w:r>
          </w:p>
        </w:tc>
      </w:tr>
      <w:tr w:rsidR="00554E3F" w:rsidRPr="00554E3F" w14:paraId="2BAECF72"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3B4DC4A1" w14:textId="77777777" w:rsidR="00554E3F" w:rsidRPr="00554E3F" w:rsidRDefault="00554E3F" w:rsidP="00B429D8">
            <w:pPr>
              <w:rPr>
                <w:rFonts w:ascii="Arial" w:hAnsi="Arial" w:cs="Arial"/>
                <w:sz w:val="22"/>
                <w:szCs w:val="22"/>
              </w:rPr>
            </w:pPr>
            <w:r w:rsidRPr="00554E3F">
              <w:rPr>
                <w:rFonts w:ascii="Arial" w:hAnsi="Arial" w:cs="Arial"/>
                <w:sz w:val="22"/>
                <w:szCs w:val="22"/>
              </w:rPr>
              <w:t>Quarter 2 (reported 20 January)</w:t>
            </w:r>
          </w:p>
        </w:tc>
        <w:tc>
          <w:tcPr>
            <w:tcW w:w="4962" w:type="dxa"/>
            <w:tcBorders>
              <w:top w:val="single" w:sz="4" w:space="0" w:color="auto"/>
              <w:left w:val="single" w:sz="4" w:space="0" w:color="auto"/>
              <w:bottom w:val="single" w:sz="4" w:space="0" w:color="auto"/>
              <w:right w:val="single" w:sz="4" w:space="0" w:color="auto"/>
            </w:tcBorders>
            <w:hideMark/>
          </w:tcPr>
          <w:p w14:paraId="317D36DF" w14:textId="77777777" w:rsidR="00554E3F" w:rsidRPr="00554E3F" w:rsidRDefault="00554E3F" w:rsidP="00B429D8">
            <w:pPr>
              <w:spacing w:before="60" w:after="60"/>
              <w:jc w:val="both"/>
              <w:rPr>
                <w:rFonts w:ascii="Arial" w:hAnsi="Arial" w:cs="Arial"/>
                <w:sz w:val="22"/>
                <w:szCs w:val="22"/>
                <w:highlight w:val="yellow"/>
              </w:rPr>
            </w:pPr>
            <w:r w:rsidRPr="00554E3F">
              <w:rPr>
                <w:rFonts w:ascii="Arial" w:hAnsi="Arial" w:cs="Arial"/>
                <w:sz w:val="22"/>
                <w:szCs w:val="22"/>
              </w:rPr>
              <w:t xml:space="preserve">Data to cover the </w:t>
            </w:r>
            <w:proofErr w:type="gramStart"/>
            <w:r w:rsidRPr="00554E3F">
              <w:rPr>
                <w:rFonts w:ascii="Arial" w:hAnsi="Arial" w:cs="Arial"/>
                <w:sz w:val="22"/>
                <w:szCs w:val="22"/>
              </w:rPr>
              <w:t>3 month</w:t>
            </w:r>
            <w:proofErr w:type="gramEnd"/>
            <w:r w:rsidRPr="00554E3F">
              <w:rPr>
                <w:rFonts w:ascii="Arial" w:hAnsi="Arial" w:cs="Arial"/>
                <w:sz w:val="22"/>
                <w:szCs w:val="22"/>
              </w:rPr>
              <w:t xml:space="preserve"> period to Sept</w:t>
            </w:r>
          </w:p>
        </w:tc>
      </w:tr>
      <w:tr w:rsidR="00554E3F" w:rsidRPr="00554E3F" w14:paraId="2D4AD57E" w14:textId="77777777" w:rsidTr="00B429D8">
        <w:trPr>
          <w:trHeight w:val="622"/>
          <w:jc w:val="center"/>
        </w:trPr>
        <w:tc>
          <w:tcPr>
            <w:tcW w:w="3828" w:type="dxa"/>
            <w:tcBorders>
              <w:top w:val="single" w:sz="4" w:space="0" w:color="auto"/>
              <w:left w:val="single" w:sz="4" w:space="0" w:color="auto"/>
              <w:bottom w:val="single" w:sz="4" w:space="0" w:color="auto"/>
              <w:right w:val="single" w:sz="4" w:space="0" w:color="auto"/>
            </w:tcBorders>
            <w:hideMark/>
          </w:tcPr>
          <w:p w14:paraId="6C59185C" w14:textId="77777777" w:rsidR="00554E3F" w:rsidRPr="00554E3F" w:rsidRDefault="00554E3F" w:rsidP="00B429D8">
            <w:pPr>
              <w:rPr>
                <w:rFonts w:ascii="Arial" w:hAnsi="Arial" w:cs="Arial"/>
                <w:sz w:val="22"/>
                <w:szCs w:val="22"/>
              </w:rPr>
            </w:pPr>
            <w:r w:rsidRPr="00554E3F">
              <w:rPr>
                <w:rFonts w:ascii="Arial" w:hAnsi="Arial" w:cs="Arial"/>
                <w:sz w:val="22"/>
                <w:szCs w:val="22"/>
              </w:rPr>
              <w:t>Quarter 3 (reported 20 April)</w:t>
            </w:r>
          </w:p>
        </w:tc>
        <w:tc>
          <w:tcPr>
            <w:tcW w:w="4962" w:type="dxa"/>
            <w:tcBorders>
              <w:top w:val="single" w:sz="4" w:space="0" w:color="auto"/>
              <w:left w:val="single" w:sz="4" w:space="0" w:color="auto"/>
              <w:bottom w:val="single" w:sz="4" w:space="0" w:color="auto"/>
              <w:right w:val="single" w:sz="4" w:space="0" w:color="auto"/>
            </w:tcBorders>
            <w:hideMark/>
          </w:tcPr>
          <w:p w14:paraId="31087A5B" w14:textId="77777777" w:rsidR="00554E3F" w:rsidRPr="00554E3F" w:rsidRDefault="00554E3F" w:rsidP="00B429D8">
            <w:pPr>
              <w:spacing w:before="60" w:after="60"/>
              <w:jc w:val="both"/>
              <w:rPr>
                <w:rFonts w:ascii="Arial" w:hAnsi="Arial" w:cs="Arial"/>
                <w:sz w:val="22"/>
                <w:szCs w:val="22"/>
              </w:rPr>
            </w:pPr>
            <w:r w:rsidRPr="00554E3F">
              <w:rPr>
                <w:rFonts w:ascii="Arial" w:hAnsi="Arial" w:cs="Arial"/>
                <w:sz w:val="22"/>
                <w:szCs w:val="22"/>
              </w:rPr>
              <w:t xml:space="preserve">Data to cover the </w:t>
            </w:r>
            <w:proofErr w:type="gramStart"/>
            <w:r w:rsidRPr="00554E3F">
              <w:rPr>
                <w:rFonts w:ascii="Arial" w:hAnsi="Arial" w:cs="Arial"/>
                <w:sz w:val="22"/>
                <w:szCs w:val="22"/>
              </w:rPr>
              <w:t>3 month</w:t>
            </w:r>
            <w:proofErr w:type="gramEnd"/>
            <w:r w:rsidRPr="00554E3F">
              <w:rPr>
                <w:rFonts w:ascii="Arial" w:hAnsi="Arial" w:cs="Arial"/>
                <w:sz w:val="22"/>
                <w:szCs w:val="22"/>
              </w:rPr>
              <w:t xml:space="preserve"> period to Dec</w:t>
            </w:r>
          </w:p>
        </w:tc>
      </w:tr>
      <w:tr w:rsidR="00554E3F" w:rsidRPr="00554E3F" w14:paraId="1C1487F0" w14:textId="77777777" w:rsidTr="00B429D8">
        <w:trPr>
          <w:jc w:val="center"/>
        </w:trPr>
        <w:tc>
          <w:tcPr>
            <w:tcW w:w="3828" w:type="dxa"/>
            <w:tcBorders>
              <w:top w:val="single" w:sz="4" w:space="0" w:color="auto"/>
              <w:left w:val="single" w:sz="4" w:space="0" w:color="auto"/>
              <w:bottom w:val="single" w:sz="4" w:space="0" w:color="auto"/>
              <w:right w:val="single" w:sz="4" w:space="0" w:color="auto"/>
            </w:tcBorders>
            <w:hideMark/>
          </w:tcPr>
          <w:p w14:paraId="2AED13D9" w14:textId="77777777" w:rsidR="00554E3F" w:rsidRPr="00554E3F" w:rsidRDefault="00554E3F" w:rsidP="00B429D8">
            <w:pPr>
              <w:rPr>
                <w:rFonts w:ascii="Arial" w:hAnsi="Arial" w:cs="Arial"/>
                <w:sz w:val="22"/>
                <w:szCs w:val="22"/>
              </w:rPr>
            </w:pPr>
            <w:r w:rsidRPr="00554E3F">
              <w:rPr>
                <w:rFonts w:ascii="Arial" w:hAnsi="Arial" w:cs="Arial"/>
                <w:sz w:val="22"/>
                <w:szCs w:val="22"/>
              </w:rPr>
              <w:t>Quarter 4 (reported 20 July)</w:t>
            </w:r>
          </w:p>
        </w:tc>
        <w:tc>
          <w:tcPr>
            <w:tcW w:w="4962" w:type="dxa"/>
            <w:tcBorders>
              <w:top w:val="single" w:sz="4" w:space="0" w:color="auto"/>
              <w:left w:val="single" w:sz="4" w:space="0" w:color="auto"/>
              <w:bottom w:val="single" w:sz="4" w:space="0" w:color="auto"/>
              <w:right w:val="single" w:sz="4" w:space="0" w:color="auto"/>
            </w:tcBorders>
            <w:hideMark/>
          </w:tcPr>
          <w:p w14:paraId="641F33D6" w14:textId="77777777" w:rsidR="00554E3F" w:rsidRPr="00554E3F" w:rsidRDefault="00554E3F" w:rsidP="00B429D8">
            <w:pPr>
              <w:spacing w:before="60" w:after="60"/>
              <w:jc w:val="both"/>
              <w:rPr>
                <w:rFonts w:ascii="Arial" w:hAnsi="Arial" w:cs="Arial"/>
                <w:sz w:val="22"/>
                <w:szCs w:val="22"/>
                <w:highlight w:val="yellow"/>
              </w:rPr>
            </w:pPr>
            <w:r w:rsidRPr="00554E3F">
              <w:rPr>
                <w:rFonts w:ascii="Arial" w:hAnsi="Arial" w:cs="Arial"/>
                <w:sz w:val="22"/>
                <w:szCs w:val="22"/>
              </w:rPr>
              <w:t xml:space="preserve">Data to cover the </w:t>
            </w:r>
            <w:proofErr w:type="gramStart"/>
            <w:r w:rsidRPr="00554E3F">
              <w:rPr>
                <w:rFonts w:ascii="Arial" w:hAnsi="Arial" w:cs="Arial"/>
                <w:sz w:val="22"/>
                <w:szCs w:val="22"/>
              </w:rPr>
              <w:t>3 month</w:t>
            </w:r>
            <w:proofErr w:type="gramEnd"/>
            <w:r w:rsidRPr="00554E3F">
              <w:rPr>
                <w:rFonts w:ascii="Arial" w:hAnsi="Arial" w:cs="Arial"/>
                <w:sz w:val="22"/>
                <w:szCs w:val="22"/>
              </w:rPr>
              <w:t xml:space="preserve"> period to March</w:t>
            </w:r>
          </w:p>
        </w:tc>
      </w:tr>
    </w:tbl>
    <w:p w14:paraId="5AAFCAF1" w14:textId="77777777" w:rsidR="00554E3F" w:rsidRPr="00554E3F" w:rsidRDefault="00554E3F" w:rsidP="00554E3F">
      <w:pPr>
        <w:spacing w:before="60" w:after="60"/>
        <w:jc w:val="both"/>
        <w:rPr>
          <w:rFonts w:ascii="Arial" w:hAnsi="Arial" w:cs="Arial"/>
          <w:b/>
          <w:sz w:val="22"/>
          <w:szCs w:val="22"/>
        </w:rPr>
      </w:pPr>
    </w:p>
    <w:p w14:paraId="250967B4" w14:textId="77777777" w:rsidR="00554E3F" w:rsidRPr="00554E3F" w:rsidRDefault="00554E3F" w:rsidP="00554E3F">
      <w:pPr>
        <w:spacing w:before="60" w:after="60"/>
        <w:jc w:val="both"/>
        <w:rPr>
          <w:rFonts w:ascii="Arial" w:hAnsi="Arial" w:cs="Arial"/>
          <w:b/>
          <w:sz w:val="22"/>
          <w:szCs w:val="22"/>
        </w:rPr>
      </w:pPr>
      <w:r w:rsidRPr="00554E3F">
        <w:rPr>
          <w:rFonts w:ascii="Arial" w:hAnsi="Arial" w:cs="Arial"/>
          <w:b/>
          <w:sz w:val="22"/>
          <w:szCs w:val="22"/>
        </w:rPr>
        <w:t>Expectations</w:t>
      </w:r>
    </w:p>
    <w:p w14:paraId="74DC2A4C" w14:textId="77777777" w:rsidR="00554E3F" w:rsidRPr="00554E3F" w:rsidRDefault="00554E3F" w:rsidP="00554E3F">
      <w:pPr>
        <w:spacing w:before="60" w:after="60"/>
        <w:jc w:val="both"/>
        <w:rPr>
          <w:rFonts w:ascii="Arial" w:hAnsi="Arial" w:cs="Arial"/>
          <w:sz w:val="22"/>
          <w:szCs w:val="22"/>
        </w:rPr>
      </w:pPr>
      <w:r w:rsidRPr="00554E3F">
        <w:rPr>
          <w:rFonts w:ascii="Arial" w:hAnsi="Arial" w:cs="Arial"/>
          <w:sz w:val="22"/>
          <w:szCs w:val="22"/>
        </w:rPr>
        <w:t xml:space="preserve">DHBs are expected to have in place a process that ensures all people have a quality transition or wellness plan.  </w:t>
      </w:r>
    </w:p>
    <w:p w14:paraId="3D4F9182" w14:textId="77777777" w:rsidR="00554E3F" w:rsidRPr="00554E3F" w:rsidRDefault="00554E3F" w:rsidP="00363573">
      <w:pPr>
        <w:numPr>
          <w:ilvl w:val="0"/>
          <w:numId w:val="27"/>
        </w:numPr>
        <w:spacing w:line="276" w:lineRule="auto"/>
        <w:ind w:left="709" w:hanging="357"/>
        <w:jc w:val="both"/>
        <w:rPr>
          <w:rFonts w:ascii="Arial" w:hAnsi="Arial" w:cs="Arial"/>
          <w:sz w:val="22"/>
          <w:szCs w:val="22"/>
        </w:rPr>
      </w:pPr>
      <w:r w:rsidRPr="00554E3F">
        <w:rPr>
          <w:rFonts w:ascii="Arial" w:hAnsi="Arial" w:cs="Arial"/>
          <w:sz w:val="22"/>
          <w:szCs w:val="22"/>
        </w:rPr>
        <w:t xml:space="preserve">It is expected the DHB accurately report the number of people </w:t>
      </w:r>
    </w:p>
    <w:p w14:paraId="308DF148" w14:textId="77777777" w:rsidR="00554E3F" w:rsidRPr="00554E3F" w:rsidRDefault="00554E3F" w:rsidP="00363573">
      <w:pPr>
        <w:numPr>
          <w:ilvl w:val="0"/>
          <w:numId w:val="27"/>
        </w:numPr>
        <w:spacing w:line="276" w:lineRule="auto"/>
        <w:ind w:left="709" w:hanging="357"/>
        <w:jc w:val="both"/>
        <w:rPr>
          <w:rFonts w:ascii="Arial" w:hAnsi="Arial" w:cs="Arial"/>
          <w:sz w:val="22"/>
          <w:szCs w:val="22"/>
        </w:rPr>
      </w:pPr>
      <w:r w:rsidRPr="00554E3F">
        <w:rPr>
          <w:rFonts w:ascii="Arial" w:hAnsi="Arial" w:cs="Arial"/>
          <w:sz w:val="22"/>
          <w:szCs w:val="22"/>
        </w:rPr>
        <w:t xml:space="preserve">It is expected that DHBs can demonstrate a method that ensures all clients have up-to-date quality transition and wellness plans </w:t>
      </w:r>
    </w:p>
    <w:p w14:paraId="506E34D1" w14:textId="77777777" w:rsidR="00554E3F" w:rsidRPr="00554E3F" w:rsidRDefault="00554E3F" w:rsidP="00363573">
      <w:pPr>
        <w:numPr>
          <w:ilvl w:val="0"/>
          <w:numId w:val="27"/>
        </w:numPr>
        <w:spacing w:line="276" w:lineRule="auto"/>
        <w:ind w:left="709" w:hanging="357"/>
        <w:jc w:val="both"/>
        <w:rPr>
          <w:rFonts w:ascii="Arial" w:hAnsi="Arial" w:cs="Arial"/>
          <w:sz w:val="22"/>
          <w:szCs w:val="22"/>
        </w:rPr>
      </w:pPr>
      <w:r w:rsidRPr="00554E3F">
        <w:rPr>
          <w:rFonts w:ascii="Arial" w:hAnsi="Arial" w:cs="Arial"/>
          <w:sz w:val="22"/>
          <w:szCs w:val="22"/>
        </w:rPr>
        <w:t>Where the 95% target has not been met, the DHB is expected to provide commentary/resolution plan on what it is doing to address the performance failure.</w:t>
      </w:r>
    </w:p>
    <w:p w14:paraId="0F7F2E81" w14:textId="672A4A9B" w:rsidR="00C062C3" w:rsidRPr="003F7CAF" w:rsidRDefault="00C062C3" w:rsidP="00554E3F">
      <w:pPr>
        <w:spacing w:line="276" w:lineRule="auto"/>
        <w:ind w:left="1071"/>
        <w:jc w:val="both"/>
        <w:rPr>
          <w:rFonts w:ascii="Arial" w:hAnsi="Arial" w:cs="Arial"/>
          <w:sz w:val="20"/>
          <w:szCs w:val="20"/>
        </w:rPr>
      </w:pPr>
      <w:r w:rsidRPr="003F7CAF">
        <w:rPr>
          <w:rFonts w:ascii="Arial" w:hAnsi="Arial" w:cs="Arial"/>
          <w:sz w:val="20"/>
          <w:szCs w:val="20"/>
        </w:rPr>
        <w:t>.</w:t>
      </w:r>
    </w:p>
    <w:p w14:paraId="1D27BAAC" w14:textId="77777777" w:rsidR="00C062C3" w:rsidRPr="00C062C3" w:rsidRDefault="00C062C3" w:rsidP="00C062C3">
      <w:pPr>
        <w:rPr>
          <w:rFonts w:ascii="Arial" w:hAnsi="Arial" w:cs="Arial"/>
          <w:sz w:val="22"/>
          <w:szCs w:val="22"/>
        </w:rPr>
      </w:pPr>
      <w:r w:rsidRPr="00C062C3">
        <w:rPr>
          <w:rFonts w:ascii="Arial" w:hAnsi="Arial" w:cs="Arial"/>
          <w:sz w:val="22"/>
          <w:szCs w:val="22"/>
        </w:rPr>
        <w:br w:type="page"/>
      </w:r>
    </w:p>
    <w:p w14:paraId="4BA945F0" w14:textId="77777777" w:rsidR="00124DDA" w:rsidRDefault="00124DDA" w:rsidP="00124DDA">
      <w:pPr>
        <w:shd w:val="clear" w:color="auto" w:fill="FFFFFF"/>
        <w:spacing w:before="60" w:after="60"/>
        <w:jc w:val="both"/>
        <w:rPr>
          <w:rFonts w:ascii="Arial" w:hAnsi="Arial" w:cs="Arial"/>
          <w:b/>
          <w:i/>
        </w:rPr>
      </w:pPr>
      <w:bookmarkStart w:id="434" w:name="_Toc368554674"/>
      <w:bookmarkStart w:id="435" w:name="_Toc372633002"/>
      <w:bookmarkStart w:id="436" w:name="_Toc373487925"/>
      <w:bookmarkStart w:id="437" w:name="_Toc374703768"/>
      <w:bookmarkStart w:id="438" w:name="_Toc374704407"/>
      <w:bookmarkStart w:id="439" w:name="_Toc381355175"/>
      <w:bookmarkStart w:id="440" w:name="_Toc386712814"/>
      <w:bookmarkStart w:id="441" w:name="_Toc401310856"/>
      <w:bookmarkStart w:id="442" w:name="_Toc401311020"/>
      <w:bookmarkStart w:id="443" w:name="_Toc406138452"/>
      <w:bookmarkStart w:id="444" w:name="_Toc406142850"/>
      <w:bookmarkStart w:id="445" w:name="_Toc433707239"/>
      <w:bookmarkStart w:id="446" w:name="_Toc433707946"/>
      <w:bookmarkStart w:id="447" w:name="_Toc433708758"/>
      <w:bookmarkStart w:id="448" w:name="_Toc444243264"/>
      <w:bookmarkStart w:id="449" w:name="_Toc448753735"/>
      <w:bookmarkStart w:id="450" w:name="_Toc31818779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Arial" w:hAnsi="Arial" w:cs="Arial"/>
          <w:b/>
          <w:i/>
        </w:rPr>
        <w:lastRenderedPageBreak/>
        <w:t>Outcome priority:  We have improved quality of life</w:t>
      </w:r>
    </w:p>
    <w:p w14:paraId="37ECDAC2" w14:textId="5F56F4F7" w:rsidR="00124DDA" w:rsidRDefault="00124DDA" w:rsidP="00124DDA">
      <w:pPr>
        <w:pStyle w:val="Heading2"/>
        <w:rPr>
          <w:color w:val="548DD4" w:themeColor="text2" w:themeTint="99"/>
          <w:sz w:val="22"/>
          <w:szCs w:val="22"/>
          <w:shd w:val="clear" w:color="auto" w:fill="FFFF00"/>
        </w:rPr>
      </w:pPr>
      <w:bookmarkStart w:id="451" w:name="_Toc9592017"/>
      <w:bookmarkStart w:id="452" w:name="_Toc4588547"/>
      <w:bookmarkStart w:id="453" w:name="_Toc513555921"/>
      <w:bookmarkStart w:id="454" w:name="_Toc491938840"/>
      <w:bookmarkStart w:id="455" w:name="_Toc461709140"/>
      <w:bookmarkStart w:id="456" w:name="_Toc448753695"/>
      <w:bookmarkStart w:id="457" w:name="_Toc444243224"/>
      <w:bookmarkStart w:id="458" w:name="_Toc433708753"/>
      <w:bookmarkStart w:id="459" w:name="_Toc433707941"/>
      <w:bookmarkStart w:id="460" w:name="_Toc433707234"/>
      <w:bookmarkStart w:id="461" w:name="_Toc406142845"/>
      <w:bookmarkStart w:id="462" w:name="_Toc406138447"/>
      <w:bookmarkStart w:id="463" w:name="_Toc401311015"/>
      <w:bookmarkStart w:id="464" w:name="_Toc401310851"/>
      <w:bookmarkStart w:id="465" w:name="_Toc386712808"/>
      <w:bookmarkStart w:id="466" w:name="_Toc381355169"/>
      <w:bookmarkStart w:id="467" w:name="_Toc374704401"/>
      <w:bookmarkStart w:id="468" w:name="_Toc374703762"/>
      <w:bookmarkStart w:id="469" w:name="_Toc373487919"/>
      <w:bookmarkStart w:id="470" w:name="_Toc372632996"/>
      <w:bookmarkStart w:id="471" w:name="_Toc368554668"/>
      <w:r>
        <w:t xml:space="preserve">Improving mental wellbeing MH03: Shorter waits for mental health services for under </w:t>
      </w:r>
      <w:proofErr w:type="gramStart"/>
      <w:r>
        <w:t xml:space="preserve">25-year </w:t>
      </w:r>
      <w:r w:rsidR="00CC66E6">
        <w:t>o</w:t>
      </w:r>
      <w:r>
        <w:t>lds</w:t>
      </w:r>
      <w:proofErr w:type="gramEnd"/>
      <w:r>
        <w:t xml:space="preserve">. </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7512"/>
      </w:tblGrid>
      <w:tr w:rsidR="00124DDA" w14:paraId="1F3C0FFA" w14:textId="77777777" w:rsidTr="0024368A">
        <w:tc>
          <w:tcPr>
            <w:tcW w:w="96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9124C3" w14:textId="77777777" w:rsidR="00124DDA" w:rsidRDefault="00124DDA" w:rsidP="0024368A">
            <w:pPr>
              <w:shd w:val="clear" w:color="auto" w:fill="FFFFFF"/>
              <w:spacing w:before="60" w:after="60"/>
              <w:jc w:val="center"/>
              <w:rPr>
                <w:rFonts w:ascii="Arial" w:hAnsi="Arial" w:cs="Arial"/>
                <w:b/>
                <w:sz w:val="22"/>
                <w:szCs w:val="22"/>
              </w:rPr>
            </w:pPr>
            <w:r>
              <w:rPr>
                <w:rFonts w:ascii="Arial" w:hAnsi="Arial" w:cs="Arial"/>
                <w:b/>
                <w:sz w:val="22"/>
                <w:szCs w:val="22"/>
              </w:rPr>
              <w:t>Summary information</w:t>
            </w:r>
          </w:p>
        </w:tc>
      </w:tr>
      <w:tr w:rsidR="00124DDA" w14:paraId="12A8FF90" w14:textId="77777777" w:rsidTr="0024368A">
        <w:trPr>
          <w:trHeight w:val="493"/>
        </w:trPr>
        <w:tc>
          <w:tcPr>
            <w:tcW w:w="2156" w:type="dxa"/>
            <w:tcBorders>
              <w:top w:val="single" w:sz="4" w:space="0" w:color="auto"/>
              <w:left w:val="single" w:sz="4" w:space="0" w:color="auto"/>
              <w:bottom w:val="single" w:sz="4" w:space="0" w:color="auto"/>
              <w:right w:val="single" w:sz="4" w:space="0" w:color="auto"/>
            </w:tcBorders>
            <w:hideMark/>
          </w:tcPr>
          <w:p w14:paraId="5E3DBA11" w14:textId="77777777" w:rsidR="00124DDA" w:rsidRDefault="00124DDA" w:rsidP="0024368A">
            <w:pPr>
              <w:shd w:val="clear" w:color="auto" w:fill="FFFFFF"/>
              <w:spacing w:before="60" w:after="60"/>
              <w:rPr>
                <w:rFonts w:ascii="Arial" w:hAnsi="Arial" w:cs="Arial"/>
                <w:b/>
                <w:i/>
                <w:sz w:val="20"/>
                <w:szCs w:val="20"/>
              </w:rPr>
            </w:pPr>
            <w:r>
              <w:rPr>
                <w:rFonts w:ascii="Arial" w:hAnsi="Arial" w:cs="Arial"/>
                <w:b/>
                <w:i/>
                <w:sz w:val="20"/>
                <w:szCs w:val="20"/>
              </w:rPr>
              <w:t>Reporting frequency</w:t>
            </w:r>
          </w:p>
        </w:tc>
        <w:tc>
          <w:tcPr>
            <w:tcW w:w="7512" w:type="dxa"/>
            <w:tcBorders>
              <w:top w:val="single" w:sz="4" w:space="0" w:color="auto"/>
              <w:left w:val="single" w:sz="4" w:space="0" w:color="auto"/>
              <w:bottom w:val="single" w:sz="4" w:space="0" w:color="auto"/>
              <w:right w:val="single" w:sz="4" w:space="0" w:color="auto"/>
            </w:tcBorders>
            <w:hideMark/>
          </w:tcPr>
          <w:p w14:paraId="01180CA0" w14:textId="77777777" w:rsidR="00124DDA" w:rsidRDefault="00124DDA" w:rsidP="0024368A">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124DDA" w14:paraId="767E2E00" w14:textId="77777777" w:rsidTr="0024368A">
        <w:tc>
          <w:tcPr>
            <w:tcW w:w="2156" w:type="dxa"/>
            <w:tcBorders>
              <w:top w:val="single" w:sz="4" w:space="0" w:color="auto"/>
              <w:left w:val="single" w:sz="4" w:space="0" w:color="auto"/>
              <w:bottom w:val="single" w:sz="4" w:space="0" w:color="auto"/>
              <w:right w:val="single" w:sz="4" w:space="0" w:color="auto"/>
            </w:tcBorders>
            <w:hideMark/>
          </w:tcPr>
          <w:p w14:paraId="7860FBF2" w14:textId="77777777" w:rsidR="00124DDA" w:rsidRDefault="00124DDA" w:rsidP="0024368A">
            <w:pPr>
              <w:shd w:val="clear" w:color="auto" w:fill="FFFFFF"/>
              <w:spacing w:before="60" w:after="60"/>
              <w:rPr>
                <w:rFonts w:ascii="Arial" w:hAnsi="Arial" w:cs="Arial"/>
                <w:b/>
                <w:i/>
                <w:sz w:val="20"/>
                <w:szCs w:val="20"/>
              </w:rPr>
            </w:pPr>
            <w:r>
              <w:rPr>
                <w:rFonts w:ascii="Arial" w:hAnsi="Arial" w:cs="Arial"/>
                <w:b/>
                <w:i/>
                <w:sz w:val="20"/>
                <w:szCs w:val="20"/>
              </w:rPr>
              <w:t>Source information for reporting provided by:</w:t>
            </w:r>
          </w:p>
        </w:tc>
        <w:tc>
          <w:tcPr>
            <w:tcW w:w="7512" w:type="dxa"/>
            <w:tcBorders>
              <w:top w:val="single" w:sz="4" w:space="0" w:color="auto"/>
              <w:left w:val="single" w:sz="4" w:space="0" w:color="auto"/>
              <w:bottom w:val="single" w:sz="4" w:space="0" w:color="auto"/>
              <w:right w:val="single" w:sz="4" w:space="0" w:color="auto"/>
            </w:tcBorders>
            <w:hideMark/>
          </w:tcPr>
          <w:p w14:paraId="3BAE66F1" w14:textId="77777777" w:rsidR="00124DDA" w:rsidRDefault="00124DDA" w:rsidP="0024368A">
            <w:pPr>
              <w:shd w:val="clear" w:color="auto" w:fill="FFFFFF"/>
              <w:spacing w:before="60" w:after="60"/>
              <w:rPr>
                <w:rFonts w:ascii="Arial" w:hAnsi="Arial" w:cs="Arial"/>
                <w:i/>
                <w:sz w:val="20"/>
                <w:szCs w:val="20"/>
              </w:rPr>
            </w:pPr>
            <w:r>
              <w:rPr>
                <w:rFonts w:ascii="Arial" w:hAnsi="Arial" w:cs="Arial"/>
                <w:i/>
                <w:sz w:val="20"/>
                <w:szCs w:val="20"/>
              </w:rPr>
              <w:t xml:space="preserve">Ministry to provide data via NSFL web site </w:t>
            </w:r>
            <w:hyperlink r:id="rId22" w:history="1">
              <w:r>
                <w:rPr>
                  <w:rStyle w:val="Hyperlink"/>
                  <w:i/>
                  <w:sz w:val="20"/>
                  <w:szCs w:val="20"/>
                </w:rPr>
                <w:t>http://nsfl.health.govt.nz/accountability/performance-and-monitoring</w:t>
              </w:r>
            </w:hyperlink>
            <w:r>
              <w:rPr>
                <w:rFonts w:ascii="Arial" w:hAnsi="Arial" w:cs="Arial"/>
                <w:i/>
                <w:sz w:val="20"/>
                <w:szCs w:val="20"/>
              </w:rPr>
              <w:t xml:space="preserve"> </w:t>
            </w:r>
          </w:p>
          <w:p w14:paraId="2CAFFCB3" w14:textId="77777777" w:rsidR="00124DDA" w:rsidRDefault="00124DDA" w:rsidP="0024368A">
            <w:pPr>
              <w:shd w:val="clear" w:color="auto" w:fill="FFFFFF"/>
              <w:spacing w:before="60" w:after="60"/>
              <w:rPr>
                <w:rFonts w:ascii="Arial" w:hAnsi="Arial" w:cs="Arial"/>
                <w:i/>
                <w:sz w:val="20"/>
                <w:szCs w:val="20"/>
              </w:rPr>
            </w:pPr>
            <w:r>
              <w:rPr>
                <w:rFonts w:ascii="Arial" w:hAnsi="Arial" w:cs="Arial"/>
                <w:i/>
                <w:sz w:val="20"/>
                <w:szCs w:val="20"/>
              </w:rPr>
              <w:t>and the DHB quarterly reporting website</w:t>
            </w:r>
          </w:p>
        </w:tc>
      </w:tr>
      <w:tr w:rsidR="00124DDA" w14:paraId="15E9E1F3" w14:textId="77777777" w:rsidTr="0024368A">
        <w:trPr>
          <w:trHeight w:val="2182"/>
        </w:trPr>
        <w:tc>
          <w:tcPr>
            <w:tcW w:w="2156" w:type="dxa"/>
            <w:tcBorders>
              <w:top w:val="single" w:sz="4" w:space="0" w:color="auto"/>
              <w:left w:val="single" w:sz="4" w:space="0" w:color="auto"/>
              <w:bottom w:val="single" w:sz="4" w:space="0" w:color="auto"/>
              <w:right w:val="single" w:sz="4" w:space="0" w:color="auto"/>
            </w:tcBorders>
            <w:hideMark/>
          </w:tcPr>
          <w:p w14:paraId="61B7A112" w14:textId="77777777" w:rsidR="00124DDA" w:rsidRDefault="00124DDA" w:rsidP="0024368A">
            <w:pPr>
              <w:shd w:val="clear" w:color="auto" w:fill="FFFFFF"/>
              <w:spacing w:before="60" w:after="60"/>
              <w:rPr>
                <w:rFonts w:ascii="Arial" w:hAnsi="Arial" w:cs="Arial"/>
                <w:b/>
                <w:i/>
                <w:sz w:val="20"/>
                <w:szCs w:val="20"/>
              </w:rPr>
            </w:pPr>
            <w:r>
              <w:rPr>
                <w:rFonts w:ascii="Arial" w:hAnsi="Arial" w:cs="Arial"/>
                <w:b/>
                <w:i/>
                <w:sz w:val="20"/>
                <w:szCs w:val="20"/>
              </w:rPr>
              <w:t>Quarterly reporting  - standard timeline applies</w:t>
            </w:r>
          </w:p>
        </w:tc>
        <w:tc>
          <w:tcPr>
            <w:tcW w:w="7512" w:type="dxa"/>
            <w:tcBorders>
              <w:top w:val="single" w:sz="4" w:space="0" w:color="auto"/>
              <w:left w:val="single" w:sz="4" w:space="0" w:color="auto"/>
              <w:bottom w:val="single" w:sz="4" w:space="0" w:color="auto"/>
              <w:right w:val="single" w:sz="4" w:space="0" w:color="auto"/>
            </w:tcBorders>
          </w:tcPr>
          <w:p w14:paraId="5CAB1F1B" w14:textId="77777777" w:rsidR="00124DDA" w:rsidRDefault="00124DDA" w:rsidP="0024368A">
            <w:pPr>
              <w:shd w:val="clear" w:color="auto" w:fill="FFFFFF"/>
              <w:spacing w:before="60" w:after="60"/>
              <w:jc w:val="both"/>
              <w:rPr>
                <w:rFonts w:ascii="Arial" w:hAnsi="Arial" w:cs="Arial"/>
                <w:i/>
                <w:sz w:val="16"/>
                <w:szCs w:val="16"/>
              </w:rPr>
            </w:pPr>
          </w:p>
          <w:tbl>
            <w:tblPr>
              <w:tblW w:w="7110" w:type="dxa"/>
              <w:jc w:val="center"/>
              <w:tblLayout w:type="fixed"/>
              <w:tblLook w:val="04A0" w:firstRow="1" w:lastRow="0" w:firstColumn="1" w:lastColumn="0" w:noHBand="0" w:noVBand="1"/>
            </w:tblPr>
            <w:tblGrid>
              <w:gridCol w:w="3003"/>
              <w:gridCol w:w="4107"/>
            </w:tblGrid>
            <w:tr w:rsidR="00124DDA" w14:paraId="483E0D4C" w14:textId="77777777" w:rsidTr="0024368A">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BD53A68" w14:textId="77777777" w:rsidR="00124DDA" w:rsidRDefault="00124DDA" w:rsidP="0024368A">
                  <w:pPr>
                    <w:ind w:left="205" w:hanging="205"/>
                    <w:rPr>
                      <w:rFonts w:ascii="Calibri" w:hAnsi="Calibri"/>
                      <w:sz w:val="20"/>
                      <w:szCs w:val="20"/>
                    </w:rPr>
                  </w:pPr>
                  <w:r>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E2E7B54" w14:textId="77777777" w:rsidR="00124DDA" w:rsidRDefault="00124DDA" w:rsidP="0024368A">
                  <w:pPr>
                    <w:ind w:left="205" w:hanging="205"/>
                    <w:rPr>
                      <w:rFonts w:ascii="Calibri" w:hAnsi="Calibri"/>
                      <w:sz w:val="20"/>
                      <w:szCs w:val="20"/>
                    </w:rPr>
                  </w:pPr>
                  <w:r>
                    <w:rPr>
                      <w:rFonts w:ascii="Calibri" w:hAnsi="Calibri"/>
                      <w:sz w:val="20"/>
                      <w:szCs w:val="20"/>
                    </w:rPr>
                    <w:t>20th of the month following the end of the quarter</w:t>
                  </w:r>
                </w:p>
              </w:tc>
            </w:tr>
            <w:tr w:rsidR="00124DDA" w14:paraId="490C6F83" w14:textId="77777777" w:rsidTr="0024368A">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0F90F6E7" w14:textId="77777777" w:rsidR="00124DDA" w:rsidRDefault="00124DDA" w:rsidP="0024368A">
                  <w:pPr>
                    <w:ind w:left="205" w:hanging="205"/>
                    <w:rPr>
                      <w:rFonts w:ascii="Calibri" w:hAnsi="Calibri"/>
                      <w:sz w:val="20"/>
                      <w:szCs w:val="20"/>
                    </w:rPr>
                  </w:pPr>
                  <w:r>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75CAAAC" w14:textId="77777777" w:rsidR="00124DDA" w:rsidRDefault="00124DDA" w:rsidP="0024368A">
                  <w:pPr>
                    <w:ind w:left="205" w:hanging="205"/>
                    <w:rPr>
                      <w:rFonts w:ascii="Calibri" w:hAnsi="Calibri"/>
                      <w:sz w:val="20"/>
                      <w:szCs w:val="20"/>
                    </w:rPr>
                  </w:pPr>
                  <w:r>
                    <w:rPr>
                      <w:rFonts w:ascii="Calibri" w:hAnsi="Calibri"/>
                      <w:sz w:val="20"/>
                      <w:szCs w:val="20"/>
                    </w:rPr>
                    <w:t>8-10 working days from receiving reports</w:t>
                  </w:r>
                </w:p>
              </w:tc>
            </w:tr>
            <w:tr w:rsidR="00124DDA" w14:paraId="231C22FC" w14:textId="77777777" w:rsidTr="0024368A">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7D1EC50F" w14:textId="77777777" w:rsidR="00124DDA" w:rsidRDefault="00124DDA" w:rsidP="0024368A">
                  <w:pPr>
                    <w:ind w:left="205" w:hanging="205"/>
                    <w:rPr>
                      <w:rFonts w:ascii="Calibri" w:hAnsi="Calibri"/>
                      <w:sz w:val="20"/>
                      <w:szCs w:val="20"/>
                    </w:rPr>
                  </w:pPr>
                  <w:r>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07AD3CD" w14:textId="77777777" w:rsidR="00124DDA" w:rsidRDefault="00124DDA" w:rsidP="0024368A">
                  <w:pPr>
                    <w:ind w:left="205" w:hanging="205"/>
                    <w:rPr>
                      <w:rFonts w:ascii="Calibri" w:hAnsi="Calibri"/>
                      <w:sz w:val="20"/>
                      <w:szCs w:val="20"/>
                    </w:rPr>
                  </w:pPr>
                  <w:r>
                    <w:rPr>
                      <w:rFonts w:ascii="Calibri" w:hAnsi="Calibri"/>
                      <w:sz w:val="20"/>
                      <w:szCs w:val="20"/>
                    </w:rPr>
                    <w:t>5 working days from receiving initial ratings</w:t>
                  </w:r>
                </w:p>
              </w:tc>
            </w:tr>
            <w:tr w:rsidR="00124DDA" w14:paraId="389B7DBD" w14:textId="77777777" w:rsidTr="0024368A">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0976EA47" w14:textId="77777777" w:rsidR="00124DDA" w:rsidRDefault="00124DDA" w:rsidP="0024368A">
                  <w:pPr>
                    <w:ind w:left="205" w:hanging="205"/>
                    <w:rPr>
                      <w:rFonts w:ascii="Calibri" w:hAnsi="Calibri"/>
                      <w:sz w:val="20"/>
                      <w:szCs w:val="20"/>
                    </w:rPr>
                  </w:pPr>
                  <w:r>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2065945" w14:textId="77777777" w:rsidR="00124DDA" w:rsidRDefault="00124DDA" w:rsidP="0024368A">
                  <w:pPr>
                    <w:ind w:left="205" w:hanging="205"/>
                    <w:rPr>
                      <w:rFonts w:ascii="Calibri" w:hAnsi="Calibri"/>
                      <w:sz w:val="20"/>
                      <w:szCs w:val="20"/>
                    </w:rPr>
                  </w:pPr>
                  <w:r>
                    <w:rPr>
                      <w:rFonts w:ascii="Calibri" w:hAnsi="Calibri"/>
                      <w:sz w:val="20"/>
                      <w:szCs w:val="20"/>
                    </w:rPr>
                    <w:t>4-5 working days from receiving DHB feedback</w:t>
                  </w:r>
                </w:p>
              </w:tc>
            </w:tr>
          </w:tbl>
          <w:p w14:paraId="4033950D" w14:textId="77777777" w:rsidR="00124DDA" w:rsidRDefault="00124DDA" w:rsidP="0024368A">
            <w:pPr>
              <w:shd w:val="clear" w:color="auto" w:fill="FFFFFF"/>
              <w:spacing w:before="60" w:after="60"/>
              <w:jc w:val="both"/>
              <w:rPr>
                <w:rFonts w:ascii="Arial" w:hAnsi="Arial" w:cs="Arial"/>
                <w:i/>
                <w:sz w:val="16"/>
                <w:szCs w:val="16"/>
              </w:rPr>
            </w:pPr>
          </w:p>
        </w:tc>
      </w:tr>
    </w:tbl>
    <w:p w14:paraId="488DF308" w14:textId="77777777" w:rsidR="00124DDA" w:rsidRDefault="00124DDA" w:rsidP="00124DDA">
      <w:pPr>
        <w:pStyle w:val="SubOne"/>
        <w:shd w:val="clear" w:color="auto" w:fill="FFFFFF"/>
        <w:spacing w:before="60" w:after="60"/>
        <w:jc w:val="both"/>
      </w:pPr>
    </w:p>
    <w:p w14:paraId="08B145E3" w14:textId="77777777" w:rsidR="00124DDA" w:rsidRDefault="00124DDA" w:rsidP="00124DDA">
      <w:pPr>
        <w:pStyle w:val="SubOne"/>
        <w:shd w:val="clear" w:color="auto" w:fill="FFFFFF"/>
        <w:spacing w:before="60" w:after="60"/>
        <w:jc w:val="both"/>
        <w:rPr>
          <w:i/>
        </w:rPr>
      </w:pPr>
      <w:r>
        <w:t>Link to outcomes and priority areas</w:t>
      </w:r>
    </w:p>
    <w:p w14:paraId="13D2CFFD" w14:textId="77777777" w:rsidR="00124DDA" w:rsidRDefault="00124DDA" w:rsidP="00124DDA">
      <w:pPr>
        <w:spacing w:after="120" w:line="300" w:lineRule="auto"/>
        <w:rPr>
          <w:rFonts w:ascii="Arial" w:hAnsi="Arial" w:cs="Arial"/>
          <w:sz w:val="22"/>
          <w:szCs w:val="22"/>
        </w:rPr>
      </w:pPr>
      <w:r>
        <w:rPr>
          <w:rFonts w:ascii="Arial" w:hAnsi="Arial" w:cs="Arial"/>
          <w:sz w:val="22"/>
          <w:szCs w:val="22"/>
        </w:rPr>
        <w:t xml:space="preserve">Delivery of this measure supports the vision for the New Zealand health and disability system of </w:t>
      </w:r>
      <w:proofErr w:type="spellStart"/>
      <w:r>
        <w:rPr>
          <w:rFonts w:ascii="Arial" w:hAnsi="Arial" w:cs="Arial"/>
          <w:sz w:val="22"/>
          <w:szCs w:val="22"/>
        </w:rPr>
        <w:t>Pae</w:t>
      </w:r>
      <w:proofErr w:type="spellEnd"/>
      <w:r>
        <w:rPr>
          <w:rFonts w:ascii="Arial" w:hAnsi="Arial" w:cs="Arial"/>
          <w:sz w:val="22"/>
          <w:szCs w:val="22"/>
        </w:rPr>
        <w:t xml:space="preserve"> Ora – healthy futures.</w:t>
      </w:r>
    </w:p>
    <w:p w14:paraId="1981CB12" w14:textId="77777777" w:rsidR="00124DDA" w:rsidRPr="00E92A3B" w:rsidRDefault="00124DDA" w:rsidP="00124DDA">
      <w:pPr>
        <w:shd w:val="clear" w:color="auto" w:fill="FFFFFF"/>
        <w:jc w:val="both"/>
        <w:rPr>
          <w:rFonts w:ascii="Arial" w:hAnsi="Arial" w:cs="Arial"/>
          <w:sz w:val="22"/>
          <w:szCs w:val="22"/>
        </w:rPr>
      </w:pPr>
      <w:r w:rsidRPr="00E92A3B">
        <w:rPr>
          <w:rFonts w:ascii="Arial" w:hAnsi="Arial" w:cs="Arial"/>
          <w:sz w:val="22"/>
          <w:szCs w:val="22"/>
        </w:rPr>
        <w:t xml:space="preserve">By ensuring shorter waits for services DHBs will support Government's priority to ensure everyone who is able is earning, learning, </w:t>
      </w:r>
      <w:proofErr w:type="gramStart"/>
      <w:r w:rsidRPr="00E92A3B">
        <w:rPr>
          <w:rFonts w:ascii="Arial" w:hAnsi="Arial" w:cs="Arial"/>
          <w:sz w:val="22"/>
          <w:szCs w:val="22"/>
        </w:rPr>
        <w:t>caring</w:t>
      </w:r>
      <w:proofErr w:type="gramEnd"/>
      <w:r w:rsidRPr="00E92A3B">
        <w:rPr>
          <w:rFonts w:ascii="Arial" w:hAnsi="Arial" w:cs="Arial"/>
          <w:sz w:val="22"/>
          <w:szCs w:val="22"/>
        </w:rPr>
        <w:t xml:space="preserve"> or volunteering.</w:t>
      </w:r>
    </w:p>
    <w:p w14:paraId="235820D2" w14:textId="77777777" w:rsidR="00124DDA" w:rsidRPr="00E92A3B" w:rsidRDefault="00124DDA" w:rsidP="00124DDA">
      <w:pPr>
        <w:shd w:val="clear" w:color="auto" w:fill="FFFFFF"/>
        <w:jc w:val="both"/>
        <w:rPr>
          <w:rFonts w:ascii="Arial" w:hAnsi="Arial" w:cs="Arial"/>
          <w:sz w:val="22"/>
          <w:szCs w:val="22"/>
          <w:lang w:eastAsia="en-NZ"/>
        </w:rPr>
      </w:pPr>
    </w:p>
    <w:p w14:paraId="06EFE35F" w14:textId="77777777" w:rsidR="00124DDA" w:rsidRPr="00E92A3B" w:rsidRDefault="00124DDA" w:rsidP="00124DDA">
      <w:pPr>
        <w:shd w:val="clear" w:color="auto" w:fill="FFFFFF"/>
        <w:jc w:val="both"/>
        <w:rPr>
          <w:rFonts w:ascii="Arial" w:hAnsi="Arial" w:cs="Arial"/>
          <w:sz w:val="22"/>
          <w:szCs w:val="22"/>
        </w:rPr>
      </w:pPr>
      <w:r w:rsidRPr="00E92A3B">
        <w:rPr>
          <w:rFonts w:ascii="Arial" w:hAnsi="Arial" w:cs="Arial"/>
          <w:sz w:val="22"/>
          <w:szCs w:val="22"/>
          <w:lang w:eastAsia="en-NZ"/>
        </w:rPr>
        <w:t>This indicator supports the health system outcome that those with mental health and addiction concerns have an i</w:t>
      </w:r>
      <w:r w:rsidRPr="00E92A3B">
        <w:rPr>
          <w:rFonts w:ascii="Arial" w:hAnsi="Arial" w:cs="Arial"/>
          <w:sz w:val="22"/>
          <w:szCs w:val="22"/>
        </w:rPr>
        <w:t xml:space="preserve">ndependent/high quality of life. It helps to drive continuity of care through providing uninterrupted care or service across programs, </w:t>
      </w:r>
      <w:proofErr w:type="gramStart"/>
      <w:r w:rsidRPr="00E92A3B">
        <w:rPr>
          <w:rFonts w:ascii="Arial" w:hAnsi="Arial" w:cs="Arial"/>
          <w:sz w:val="22"/>
          <w:szCs w:val="22"/>
        </w:rPr>
        <w:t>practitioners</w:t>
      </w:r>
      <w:proofErr w:type="gramEnd"/>
      <w:r w:rsidRPr="00E92A3B">
        <w:rPr>
          <w:rFonts w:ascii="Arial" w:hAnsi="Arial" w:cs="Arial"/>
          <w:sz w:val="22"/>
          <w:szCs w:val="22"/>
        </w:rPr>
        <w:t xml:space="preserve"> and levels over time. </w:t>
      </w:r>
    </w:p>
    <w:p w14:paraId="3BF26723" w14:textId="77777777" w:rsidR="00124DDA" w:rsidRPr="00E92A3B" w:rsidRDefault="00124DDA" w:rsidP="00124DDA">
      <w:pPr>
        <w:shd w:val="clear" w:color="auto" w:fill="FFFFFF"/>
        <w:spacing w:before="60" w:after="60"/>
        <w:jc w:val="both"/>
        <w:rPr>
          <w:rFonts w:ascii="Arial" w:hAnsi="Arial" w:cs="Arial"/>
          <w:b/>
          <w:sz w:val="22"/>
          <w:szCs w:val="22"/>
        </w:rPr>
      </w:pPr>
    </w:p>
    <w:p w14:paraId="5D6B8952" w14:textId="77777777" w:rsidR="00124DDA" w:rsidRPr="00E92A3B" w:rsidRDefault="00124DDA" w:rsidP="00124DDA">
      <w:pPr>
        <w:shd w:val="clear" w:color="auto" w:fill="FFFFFF"/>
        <w:jc w:val="both"/>
        <w:rPr>
          <w:rFonts w:ascii="Arial" w:hAnsi="Arial" w:cs="Arial"/>
          <w:sz w:val="22"/>
          <w:szCs w:val="22"/>
        </w:rPr>
      </w:pPr>
      <w:r w:rsidRPr="00E92A3B">
        <w:rPr>
          <w:rFonts w:ascii="Arial" w:hAnsi="Arial" w:cs="Arial"/>
          <w:sz w:val="22"/>
          <w:szCs w:val="22"/>
        </w:rPr>
        <w:t xml:space="preserve">Access and shorter waits are very important to patients regardless of the condition.  Child &amp; youth and adult services will need to focus on meeting the needs of young people with their first episode of serious mental health problems as serious mental illness tends to occur before the age of 25.  </w:t>
      </w:r>
    </w:p>
    <w:p w14:paraId="0180064E" w14:textId="77777777" w:rsidR="00124DDA" w:rsidRPr="00E92A3B" w:rsidRDefault="00124DDA" w:rsidP="00124DDA">
      <w:pPr>
        <w:shd w:val="clear" w:color="auto" w:fill="FFFFFF"/>
        <w:jc w:val="both"/>
        <w:rPr>
          <w:rFonts w:ascii="Arial" w:hAnsi="Arial" w:cs="Arial"/>
          <w:sz w:val="22"/>
          <w:szCs w:val="22"/>
        </w:rPr>
      </w:pPr>
    </w:p>
    <w:p w14:paraId="277E86F3" w14:textId="77777777" w:rsidR="00124DDA" w:rsidRPr="00E92A3B" w:rsidRDefault="00124DDA" w:rsidP="00124DDA">
      <w:pPr>
        <w:shd w:val="clear" w:color="auto" w:fill="FFFFFF"/>
        <w:jc w:val="both"/>
        <w:rPr>
          <w:rFonts w:ascii="Arial" w:hAnsi="Arial" w:cs="Arial"/>
          <w:sz w:val="22"/>
          <w:szCs w:val="22"/>
        </w:rPr>
      </w:pPr>
      <w:r w:rsidRPr="00E92A3B">
        <w:rPr>
          <w:rFonts w:ascii="Arial" w:hAnsi="Arial" w:cs="Arial"/>
          <w:sz w:val="22"/>
          <w:szCs w:val="22"/>
          <w:lang w:eastAsia="en-NZ"/>
        </w:rPr>
        <w:t>The waiting time concept is easily understood by the public. Earlier treatment in the progression of illness links to better outcomes as evidenced in international literature. T</w:t>
      </w:r>
      <w:r w:rsidRPr="00E92A3B">
        <w:rPr>
          <w:rFonts w:ascii="Arial" w:hAnsi="Arial" w:cs="Arial"/>
          <w:sz w:val="22"/>
          <w:szCs w:val="22"/>
        </w:rPr>
        <w:t xml:space="preserve">imeliness is also a key quality indicator in calls for improvement to the health care system. </w:t>
      </w:r>
    </w:p>
    <w:p w14:paraId="3C0BDCFD" w14:textId="77777777" w:rsidR="00124DDA" w:rsidRPr="00E92A3B" w:rsidRDefault="00124DDA" w:rsidP="00124DDA">
      <w:pPr>
        <w:shd w:val="clear" w:color="auto" w:fill="FFFFFF"/>
        <w:jc w:val="both"/>
        <w:rPr>
          <w:rFonts w:ascii="Arial" w:hAnsi="Arial" w:cs="Arial"/>
          <w:sz w:val="22"/>
          <w:szCs w:val="22"/>
        </w:rPr>
      </w:pPr>
    </w:p>
    <w:p w14:paraId="2E29AA8B" w14:textId="2E593313" w:rsidR="00124DDA" w:rsidRPr="00E92A3B" w:rsidRDefault="00124DDA" w:rsidP="00124DDA">
      <w:pPr>
        <w:shd w:val="clear" w:color="auto" w:fill="FFFFFF"/>
        <w:spacing w:before="60" w:after="60"/>
        <w:jc w:val="both"/>
        <w:rPr>
          <w:rFonts w:ascii="Arial" w:hAnsi="Arial" w:cs="Arial"/>
          <w:sz w:val="22"/>
          <w:szCs w:val="22"/>
        </w:rPr>
      </w:pPr>
      <w:r w:rsidRPr="00E92A3B">
        <w:rPr>
          <w:rFonts w:ascii="Arial" w:hAnsi="Arial" w:cs="Arial"/>
          <w:sz w:val="22"/>
          <w:szCs w:val="22"/>
        </w:rPr>
        <w:t>This measure replaces the 0-19</w:t>
      </w:r>
      <w:r w:rsidR="00E56E04">
        <w:rPr>
          <w:rFonts w:ascii="Arial" w:hAnsi="Arial" w:cs="Arial"/>
          <w:sz w:val="22"/>
          <w:szCs w:val="22"/>
        </w:rPr>
        <w:t>-</w:t>
      </w:r>
      <w:r w:rsidRPr="00E92A3B">
        <w:rPr>
          <w:rFonts w:ascii="Arial" w:hAnsi="Arial" w:cs="Arial"/>
          <w:sz w:val="22"/>
          <w:szCs w:val="22"/>
        </w:rPr>
        <w:t>year</w:t>
      </w:r>
      <w:r w:rsidR="00E56E04">
        <w:rPr>
          <w:rFonts w:ascii="Arial" w:hAnsi="Arial" w:cs="Arial"/>
          <w:sz w:val="22"/>
          <w:szCs w:val="22"/>
        </w:rPr>
        <w:t>-</w:t>
      </w:r>
      <w:r w:rsidRPr="00E92A3B">
        <w:rPr>
          <w:rFonts w:ascii="Arial" w:hAnsi="Arial" w:cs="Arial"/>
          <w:sz w:val="22"/>
          <w:szCs w:val="22"/>
        </w:rPr>
        <w:t>olds waiting time measure and target of 80% seen in 3 weeks and 95% seen in 8 weeks.  The measure now covers the 0-24-year age group and DHBs are asked to report on their actions as set out below.</w:t>
      </w:r>
    </w:p>
    <w:p w14:paraId="0F806360" w14:textId="77777777" w:rsidR="00124DDA" w:rsidRPr="00E92A3B" w:rsidRDefault="00124DDA" w:rsidP="00124DDA">
      <w:pPr>
        <w:shd w:val="clear" w:color="auto" w:fill="FFFFFF"/>
        <w:spacing w:before="60" w:after="60"/>
        <w:jc w:val="both"/>
        <w:rPr>
          <w:rFonts w:ascii="Arial" w:hAnsi="Arial" w:cs="Arial"/>
          <w:sz w:val="22"/>
          <w:szCs w:val="22"/>
        </w:rPr>
      </w:pPr>
    </w:p>
    <w:p w14:paraId="4B711B49" w14:textId="77777777" w:rsidR="00124DDA" w:rsidRPr="00E92A3B" w:rsidRDefault="00124DDA" w:rsidP="00124DDA">
      <w:pPr>
        <w:shd w:val="clear" w:color="auto" w:fill="FFFFFF"/>
        <w:jc w:val="both"/>
        <w:rPr>
          <w:rFonts w:ascii="Arial" w:hAnsi="Arial" w:cs="Arial"/>
          <w:sz w:val="22"/>
          <w:szCs w:val="22"/>
          <w:lang w:eastAsia="en-NZ"/>
        </w:rPr>
      </w:pPr>
    </w:p>
    <w:p w14:paraId="4D30AF50" w14:textId="77777777" w:rsidR="00124DDA" w:rsidRPr="00E92A3B" w:rsidRDefault="00124DDA" w:rsidP="00124DDA">
      <w:pPr>
        <w:shd w:val="clear" w:color="auto" w:fill="FFFFFF"/>
        <w:spacing w:before="60" w:after="60"/>
        <w:jc w:val="both"/>
        <w:rPr>
          <w:rFonts w:ascii="Arial" w:hAnsi="Arial" w:cs="Arial"/>
          <w:b/>
          <w:sz w:val="22"/>
          <w:szCs w:val="22"/>
        </w:rPr>
      </w:pPr>
      <w:r w:rsidRPr="00E92A3B">
        <w:rPr>
          <w:rFonts w:ascii="Arial" w:hAnsi="Arial" w:cs="Arial"/>
          <w:b/>
          <w:sz w:val="22"/>
          <w:szCs w:val="22"/>
        </w:rPr>
        <w:t>Actions and activities are that have a proven impact on this measure:</w:t>
      </w:r>
    </w:p>
    <w:p w14:paraId="5FC26A33" w14:textId="77777777" w:rsidR="00124DDA" w:rsidRPr="00E92A3B" w:rsidRDefault="00124DDA" w:rsidP="00124DDA">
      <w:pPr>
        <w:shd w:val="clear" w:color="auto" w:fill="FFFFFF"/>
        <w:spacing w:before="60" w:after="60"/>
        <w:jc w:val="both"/>
        <w:rPr>
          <w:rFonts w:ascii="Arial" w:hAnsi="Arial" w:cs="Arial"/>
          <w:b/>
          <w:sz w:val="22"/>
          <w:szCs w:val="22"/>
        </w:rPr>
      </w:pPr>
    </w:p>
    <w:p w14:paraId="40711413" w14:textId="77777777" w:rsidR="00124DDA" w:rsidRPr="00E92A3B" w:rsidRDefault="00124DDA" w:rsidP="00124DDA">
      <w:pPr>
        <w:shd w:val="clear" w:color="auto" w:fill="FFFFFF"/>
        <w:spacing w:before="60" w:after="60"/>
        <w:jc w:val="both"/>
        <w:rPr>
          <w:rFonts w:ascii="Arial" w:hAnsi="Arial" w:cs="Arial"/>
          <w:bCs/>
          <w:sz w:val="22"/>
          <w:szCs w:val="22"/>
        </w:rPr>
      </w:pPr>
      <w:r w:rsidRPr="00E92A3B">
        <w:rPr>
          <w:rFonts w:ascii="Arial" w:hAnsi="Arial" w:cs="Arial"/>
          <w:bCs/>
          <w:sz w:val="22"/>
          <w:szCs w:val="22"/>
        </w:rPr>
        <w:t>This measure will require DHBs to work across the usual age bands services are provided.</w:t>
      </w:r>
    </w:p>
    <w:p w14:paraId="4D1BE5CF" w14:textId="77777777" w:rsidR="00124DDA" w:rsidRPr="00E92A3B" w:rsidRDefault="00124DDA" w:rsidP="00124DDA">
      <w:pPr>
        <w:shd w:val="clear" w:color="auto" w:fill="FFFFFF"/>
        <w:spacing w:before="60" w:after="60"/>
        <w:jc w:val="both"/>
        <w:rPr>
          <w:rFonts w:ascii="Arial" w:hAnsi="Arial" w:cs="Arial"/>
          <w:sz w:val="22"/>
          <w:szCs w:val="22"/>
        </w:rPr>
      </w:pPr>
      <w:r w:rsidRPr="00E92A3B">
        <w:rPr>
          <w:rFonts w:ascii="Arial" w:hAnsi="Arial" w:cs="Arial"/>
          <w:sz w:val="22"/>
          <w:szCs w:val="22"/>
        </w:rPr>
        <w:t xml:space="preserve">Provider arm services may need to modify their triage processes to improve performance on this measure and possibly look to adopting a single point of entry process.  The CAPA model used in children and youth services has been shown to reduce waiting times. For people who do not attend (DNA) scheduled appointments services generally have in place processes for declining the referral after 3 DNA’s.  However, </w:t>
      </w:r>
      <w:r w:rsidRPr="00E92A3B">
        <w:rPr>
          <w:rFonts w:ascii="Arial" w:hAnsi="Arial" w:cs="Arial"/>
          <w:sz w:val="22"/>
          <w:szCs w:val="22"/>
        </w:rPr>
        <w:lastRenderedPageBreak/>
        <w:t xml:space="preserve">services could put in place processes, if they haven’t already, that improve the likelihood of a person attending their appointment e.g. reminder texts.   </w:t>
      </w:r>
    </w:p>
    <w:p w14:paraId="424C05EC" w14:textId="77777777" w:rsidR="00124DDA" w:rsidRPr="00E92A3B" w:rsidRDefault="00124DDA" w:rsidP="00124DDA">
      <w:pPr>
        <w:shd w:val="clear" w:color="auto" w:fill="FFFFFF"/>
        <w:spacing w:before="60" w:after="60"/>
        <w:jc w:val="both"/>
        <w:rPr>
          <w:rFonts w:ascii="Arial" w:hAnsi="Arial" w:cs="Arial"/>
          <w:b/>
          <w:sz w:val="22"/>
          <w:szCs w:val="22"/>
        </w:rPr>
      </w:pPr>
    </w:p>
    <w:p w14:paraId="798C12C3" w14:textId="77777777" w:rsidR="00124DDA" w:rsidRPr="00E92A3B" w:rsidRDefault="00124DDA" w:rsidP="00124DDA">
      <w:pPr>
        <w:shd w:val="clear" w:color="auto" w:fill="FFFFFF"/>
        <w:spacing w:before="60" w:after="60"/>
        <w:jc w:val="both"/>
        <w:rPr>
          <w:rFonts w:ascii="Arial" w:hAnsi="Arial" w:cs="Arial"/>
          <w:b/>
          <w:sz w:val="22"/>
          <w:szCs w:val="22"/>
        </w:rPr>
      </w:pPr>
      <w:proofErr w:type="gramStart"/>
      <w:r w:rsidRPr="00E92A3B">
        <w:rPr>
          <w:rFonts w:ascii="Arial" w:hAnsi="Arial" w:cs="Arial"/>
          <w:b/>
          <w:sz w:val="22"/>
          <w:szCs w:val="22"/>
        </w:rPr>
        <w:t>Deliverables</w:t>
      </w:r>
      <w:proofErr w:type="gramEnd"/>
      <w:r w:rsidRPr="00E92A3B">
        <w:rPr>
          <w:rFonts w:ascii="Arial" w:hAnsi="Arial" w:cs="Arial"/>
          <w:b/>
          <w:sz w:val="22"/>
          <w:szCs w:val="22"/>
        </w:rPr>
        <w:t xml:space="preserve"> definitions</w:t>
      </w:r>
    </w:p>
    <w:p w14:paraId="01311093" w14:textId="77777777" w:rsidR="00124DDA" w:rsidRPr="00E92A3B" w:rsidRDefault="00124DDA" w:rsidP="00124DDA">
      <w:pPr>
        <w:shd w:val="clear" w:color="auto" w:fill="FFFFFF"/>
        <w:spacing w:before="60" w:after="60"/>
        <w:jc w:val="both"/>
        <w:rPr>
          <w:rFonts w:ascii="Arial" w:hAnsi="Arial" w:cs="Arial"/>
          <w:sz w:val="22"/>
          <w:szCs w:val="22"/>
        </w:rPr>
      </w:pPr>
    </w:p>
    <w:tbl>
      <w:tblPr>
        <w:tblpPr w:leftFromText="180" w:rightFromText="180" w:vertAnchor="text" w:horzAnchor="margin" w:tblpY="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7842"/>
      </w:tblGrid>
      <w:tr w:rsidR="00124DDA" w:rsidRPr="00E92A3B" w14:paraId="5E22103D" w14:textId="77777777" w:rsidTr="0024368A">
        <w:trPr>
          <w:trHeight w:val="327"/>
        </w:trPr>
        <w:tc>
          <w:tcPr>
            <w:tcW w:w="1797" w:type="dxa"/>
            <w:shd w:val="clear" w:color="auto" w:fill="D9D9D9"/>
          </w:tcPr>
          <w:p w14:paraId="525599CA" w14:textId="77777777" w:rsidR="00124DDA" w:rsidRPr="00E92A3B" w:rsidRDefault="00124DDA" w:rsidP="0024368A">
            <w:pPr>
              <w:pStyle w:val="BodyText"/>
              <w:spacing w:before="120" w:after="120" w:line="264" w:lineRule="auto"/>
              <w:jc w:val="left"/>
              <w:rPr>
                <w:rFonts w:ascii="Arial" w:eastAsia="Calibri" w:hAnsi="Arial" w:cs="Arial"/>
                <w:b/>
                <w:sz w:val="22"/>
                <w:szCs w:val="22"/>
              </w:rPr>
            </w:pPr>
            <w:r w:rsidRPr="00E92A3B">
              <w:rPr>
                <w:rFonts w:ascii="Arial" w:eastAsia="Calibri" w:hAnsi="Arial" w:cs="Arial"/>
                <w:b/>
                <w:sz w:val="22"/>
                <w:szCs w:val="22"/>
              </w:rPr>
              <w:t>Numerator</w:t>
            </w:r>
          </w:p>
        </w:tc>
        <w:tc>
          <w:tcPr>
            <w:tcW w:w="7842" w:type="dxa"/>
          </w:tcPr>
          <w:p w14:paraId="38F9B1AD" w14:textId="77777777" w:rsidR="00124DDA" w:rsidRPr="00E92A3B" w:rsidRDefault="00124DDA" w:rsidP="0024368A">
            <w:pPr>
              <w:pStyle w:val="Bodycopy"/>
              <w:spacing w:before="120" w:after="120" w:line="264" w:lineRule="auto"/>
              <w:rPr>
                <w:rFonts w:ascii="Arial" w:hAnsi="Arial" w:cs="Arial"/>
                <w:lang w:val="en-NZ" w:eastAsia="en-NZ"/>
              </w:rPr>
            </w:pPr>
            <w:r w:rsidRPr="00E92A3B">
              <w:rPr>
                <w:rFonts w:ascii="Arial" w:hAnsi="Arial" w:cs="Arial"/>
                <w:lang w:val="en-NZ" w:eastAsia="en-NZ"/>
              </w:rPr>
              <w:t>Number of new clients aged under 25 seen within three weeks</w:t>
            </w:r>
          </w:p>
        </w:tc>
      </w:tr>
      <w:tr w:rsidR="00124DDA" w:rsidRPr="00E92A3B" w14:paraId="2E92B4B6" w14:textId="77777777" w:rsidTr="0024368A">
        <w:trPr>
          <w:trHeight w:val="132"/>
        </w:trPr>
        <w:tc>
          <w:tcPr>
            <w:tcW w:w="1797" w:type="dxa"/>
            <w:shd w:val="clear" w:color="auto" w:fill="D9D9D9"/>
          </w:tcPr>
          <w:p w14:paraId="5BD5DE8F" w14:textId="77777777" w:rsidR="00124DDA" w:rsidRPr="00E92A3B" w:rsidRDefault="00124DDA" w:rsidP="0024368A">
            <w:pPr>
              <w:pStyle w:val="NoSpacing"/>
              <w:spacing w:before="120" w:after="120" w:line="264" w:lineRule="auto"/>
              <w:rPr>
                <w:rFonts w:ascii="Arial" w:hAnsi="Arial" w:cs="Arial"/>
                <w:b/>
              </w:rPr>
            </w:pPr>
            <w:r w:rsidRPr="00E92A3B">
              <w:rPr>
                <w:rFonts w:ascii="Arial" w:hAnsi="Arial" w:cs="Arial"/>
                <w:b/>
              </w:rPr>
              <w:t>Denominator</w:t>
            </w:r>
          </w:p>
        </w:tc>
        <w:tc>
          <w:tcPr>
            <w:tcW w:w="7842" w:type="dxa"/>
          </w:tcPr>
          <w:p w14:paraId="36C7EB17" w14:textId="77777777" w:rsidR="00124DDA" w:rsidRPr="00E92A3B" w:rsidRDefault="00124DDA" w:rsidP="0024368A">
            <w:pPr>
              <w:pStyle w:val="BodyText"/>
              <w:spacing w:before="120" w:after="120" w:line="264" w:lineRule="auto"/>
              <w:jc w:val="left"/>
              <w:rPr>
                <w:rFonts w:ascii="Arial" w:hAnsi="Arial" w:cs="Arial"/>
                <w:sz w:val="22"/>
                <w:szCs w:val="22"/>
              </w:rPr>
            </w:pPr>
            <w:r w:rsidRPr="00E92A3B">
              <w:rPr>
                <w:rFonts w:ascii="Arial" w:hAnsi="Arial" w:cs="Arial"/>
                <w:sz w:val="22"/>
                <w:szCs w:val="22"/>
              </w:rPr>
              <w:t>Total new clients aged under 25</w:t>
            </w:r>
          </w:p>
        </w:tc>
      </w:tr>
    </w:tbl>
    <w:p w14:paraId="4D2B7E69" w14:textId="77777777" w:rsidR="00124DDA" w:rsidRPr="00E92A3B" w:rsidRDefault="00124DDA" w:rsidP="00124DDA">
      <w:pPr>
        <w:shd w:val="clear" w:color="auto" w:fill="FFFFFF"/>
        <w:spacing w:before="60" w:after="60"/>
        <w:jc w:val="both"/>
        <w:rPr>
          <w:rFonts w:ascii="Arial" w:hAnsi="Arial" w:cs="Arial"/>
          <w:sz w:val="22"/>
          <w:szCs w:val="22"/>
        </w:rPr>
      </w:pPr>
    </w:p>
    <w:p w14:paraId="3E291517" w14:textId="77777777" w:rsidR="00124DDA" w:rsidRPr="00E92A3B" w:rsidRDefault="00124DDA" w:rsidP="00124DDA">
      <w:pPr>
        <w:shd w:val="clear" w:color="auto" w:fill="FFFFFF"/>
        <w:spacing w:before="60" w:after="60"/>
        <w:jc w:val="both"/>
        <w:rPr>
          <w:rFonts w:ascii="Arial" w:hAnsi="Arial" w:cs="Arial"/>
          <w:sz w:val="22"/>
          <w:szCs w:val="22"/>
        </w:rPr>
      </w:pPr>
    </w:p>
    <w:p w14:paraId="25C30E9A" w14:textId="77777777" w:rsidR="00124DDA" w:rsidRPr="00E92A3B" w:rsidRDefault="00124DDA" w:rsidP="00124DDA">
      <w:pPr>
        <w:shd w:val="clear" w:color="auto" w:fill="FFFFFF"/>
        <w:spacing w:before="60" w:after="60"/>
        <w:jc w:val="both"/>
        <w:rPr>
          <w:rFonts w:ascii="Arial" w:hAnsi="Arial" w:cs="Arial"/>
          <w:sz w:val="22"/>
          <w:szCs w:val="22"/>
        </w:rPr>
      </w:pPr>
    </w:p>
    <w:p w14:paraId="622D725E" w14:textId="77777777" w:rsidR="00124DDA" w:rsidRPr="00E92A3B" w:rsidRDefault="00124DDA" w:rsidP="00124DDA">
      <w:pPr>
        <w:shd w:val="clear" w:color="auto" w:fill="FFFFFF"/>
        <w:spacing w:before="60" w:after="60"/>
        <w:jc w:val="both"/>
        <w:rPr>
          <w:rFonts w:ascii="Arial" w:hAnsi="Arial" w:cs="Arial"/>
          <w:sz w:val="22"/>
          <w:szCs w:val="22"/>
        </w:rPr>
      </w:pPr>
    </w:p>
    <w:p w14:paraId="189D6940" w14:textId="4713EB0F" w:rsidR="00124DDA" w:rsidRPr="00E92A3B" w:rsidRDefault="00124DDA" w:rsidP="00124DDA">
      <w:pPr>
        <w:shd w:val="clear" w:color="auto" w:fill="FFFFFF"/>
        <w:spacing w:before="60" w:after="60"/>
        <w:jc w:val="both"/>
        <w:rPr>
          <w:rFonts w:ascii="Arial" w:hAnsi="Arial" w:cs="Arial"/>
          <w:sz w:val="22"/>
          <w:szCs w:val="22"/>
        </w:rPr>
      </w:pPr>
      <w:r w:rsidRPr="00E92A3B">
        <w:rPr>
          <w:rFonts w:ascii="Arial" w:hAnsi="Arial" w:cs="Arial"/>
          <w:sz w:val="22"/>
          <w:szCs w:val="22"/>
        </w:rPr>
        <w:t>The wait time will be counted from the time the referral is received for a person who has not been seen for at least a year (or not at all) to the time of the first face to face contact with a mental health professional.  Where there are two referrals open for the same client the earliest referral will be counted.</w:t>
      </w:r>
    </w:p>
    <w:p w14:paraId="69DB6D53" w14:textId="77777777" w:rsidR="00124DDA" w:rsidRPr="00E92A3B" w:rsidRDefault="00124DDA" w:rsidP="00124DDA">
      <w:pPr>
        <w:shd w:val="clear" w:color="auto" w:fill="FFFFFF"/>
        <w:spacing w:before="60" w:after="60"/>
        <w:jc w:val="both"/>
        <w:rPr>
          <w:rFonts w:ascii="Arial" w:hAnsi="Arial" w:cs="Arial"/>
          <w:sz w:val="22"/>
          <w:szCs w:val="22"/>
        </w:rPr>
      </w:pPr>
    </w:p>
    <w:p w14:paraId="21FE0862" w14:textId="77777777" w:rsidR="00124DDA" w:rsidRPr="00E92A3B" w:rsidRDefault="00124DDA" w:rsidP="00124DDA">
      <w:pPr>
        <w:shd w:val="clear" w:color="auto" w:fill="FFFFFF"/>
        <w:spacing w:before="60" w:after="60"/>
        <w:rPr>
          <w:rFonts w:ascii="Arial" w:hAnsi="Arial" w:cs="Arial"/>
          <w:sz w:val="22"/>
          <w:szCs w:val="22"/>
        </w:rPr>
      </w:pPr>
      <w:r w:rsidRPr="00E92A3B">
        <w:rPr>
          <w:rFonts w:ascii="Arial" w:hAnsi="Arial" w:cs="Arial"/>
          <w:sz w:val="22"/>
          <w:szCs w:val="22"/>
        </w:rPr>
        <w:t xml:space="preserve">Please refer to </w:t>
      </w:r>
      <w:hyperlink r:id="rId23" w:history="1">
        <w:r w:rsidRPr="00E92A3B">
          <w:rPr>
            <w:rStyle w:val="Hyperlink"/>
            <w:rFonts w:ascii="Arial" w:hAnsi="Arial" w:cs="Arial"/>
            <w:sz w:val="22"/>
            <w:szCs w:val="22"/>
          </w:rPr>
          <w:t>https://www.health.govt.nz/nz-health-statistics/national-collections-and-surveys/collections/primhd-mental-health-data/mental-health-and-addiction-services-data-calculating-waiting-times</w:t>
        </w:r>
      </w:hyperlink>
      <w:r w:rsidRPr="00E92A3B">
        <w:rPr>
          <w:rFonts w:ascii="Arial" w:hAnsi="Arial" w:cs="Arial"/>
          <w:sz w:val="22"/>
          <w:szCs w:val="22"/>
        </w:rPr>
        <w:t xml:space="preserve"> for the specifics on how the wait time is calculated.</w:t>
      </w:r>
    </w:p>
    <w:p w14:paraId="29945B6A" w14:textId="77777777" w:rsidR="00124DDA" w:rsidRPr="00E92A3B" w:rsidRDefault="00124DDA" w:rsidP="00124DDA">
      <w:pPr>
        <w:shd w:val="clear" w:color="auto" w:fill="FFFFFF"/>
        <w:spacing w:before="60" w:after="60"/>
        <w:jc w:val="both"/>
        <w:rPr>
          <w:rFonts w:ascii="Arial" w:hAnsi="Arial" w:cs="Arial"/>
          <w:b/>
          <w:sz w:val="22"/>
          <w:szCs w:val="22"/>
        </w:rPr>
      </w:pPr>
    </w:p>
    <w:p w14:paraId="3B83B3BF" w14:textId="77777777" w:rsidR="00124DDA" w:rsidRPr="00E92A3B" w:rsidRDefault="00124DDA" w:rsidP="00124DDA">
      <w:pPr>
        <w:shd w:val="clear" w:color="auto" w:fill="FFFFFF"/>
        <w:spacing w:before="60" w:after="60"/>
        <w:jc w:val="both"/>
        <w:rPr>
          <w:rFonts w:ascii="Arial" w:hAnsi="Arial" w:cs="Arial"/>
          <w:sz w:val="22"/>
          <w:szCs w:val="22"/>
        </w:rPr>
      </w:pPr>
    </w:p>
    <w:p w14:paraId="46936FBE" w14:textId="77777777" w:rsidR="00124DDA" w:rsidRPr="00E92A3B" w:rsidRDefault="00124DDA" w:rsidP="00124DDA">
      <w:pPr>
        <w:shd w:val="clear" w:color="auto" w:fill="FFFFFF"/>
        <w:spacing w:before="60" w:after="60"/>
        <w:jc w:val="both"/>
        <w:rPr>
          <w:rFonts w:ascii="Arial" w:hAnsi="Arial" w:cs="Arial"/>
          <w:sz w:val="22"/>
          <w:szCs w:val="22"/>
        </w:rPr>
      </w:pPr>
      <w:r w:rsidRPr="00E92A3B">
        <w:rPr>
          <w:rFonts w:ascii="Arial" w:hAnsi="Arial" w:cs="Arial"/>
          <w:sz w:val="22"/>
          <w:szCs w:val="22"/>
        </w:rPr>
        <w:t xml:space="preserve">Provide a narrative on key actions the DHB is implementing to reduce waiting times for under </w:t>
      </w:r>
      <w:proofErr w:type="gramStart"/>
      <w:r w:rsidRPr="00E92A3B">
        <w:rPr>
          <w:rFonts w:ascii="Arial" w:hAnsi="Arial" w:cs="Arial"/>
          <w:sz w:val="22"/>
          <w:szCs w:val="22"/>
        </w:rPr>
        <w:t>25 year olds</w:t>
      </w:r>
      <w:proofErr w:type="gramEnd"/>
      <w:r w:rsidRPr="00E92A3B">
        <w:rPr>
          <w:rFonts w:ascii="Arial" w:hAnsi="Arial" w:cs="Arial"/>
          <w:sz w:val="22"/>
          <w:szCs w:val="22"/>
        </w:rPr>
        <w:t xml:space="preserve"> including:</w:t>
      </w:r>
    </w:p>
    <w:p w14:paraId="21329F32" w14:textId="77777777" w:rsidR="00124DDA" w:rsidRPr="00E92A3B" w:rsidRDefault="00124DDA" w:rsidP="00124DDA">
      <w:pPr>
        <w:shd w:val="clear" w:color="auto" w:fill="FFFFFF"/>
        <w:spacing w:before="60" w:after="60"/>
        <w:jc w:val="both"/>
        <w:rPr>
          <w:rFonts w:ascii="Arial" w:hAnsi="Arial" w:cs="Arial"/>
          <w:sz w:val="22"/>
          <w:szCs w:val="22"/>
        </w:rPr>
      </w:pPr>
    </w:p>
    <w:p w14:paraId="2E120C78" w14:textId="77777777" w:rsidR="00124DDA" w:rsidRPr="00E92A3B" w:rsidRDefault="00124DDA" w:rsidP="00124DDA">
      <w:pPr>
        <w:pStyle w:val="ListParagraph"/>
        <w:numPr>
          <w:ilvl w:val="0"/>
          <w:numId w:val="151"/>
        </w:numPr>
        <w:shd w:val="clear" w:color="auto" w:fill="FFFFFF"/>
        <w:spacing w:before="60" w:after="60"/>
        <w:jc w:val="both"/>
        <w:rPr>
          <w:rFonts w:ascii="Arial" w:hAnsi="Arial" w:cs="Arial"/>
          <w:sz w:val="22"/>
          <w:szCs w:val="22"/>
        </w:rPr>
      </w:pPr>
      <w:r w:rsidRPr="00E92A3B">
        <w:rPr>
          <w:rFonts w:ascii="Arial" w:hAnsi="Arial" w:cs="Arial"/>
          <w:sz w:val="22"/>
          <w:szCs w:val="22"/>
        </w:rPr>
        <w:t xml:space="preserve">What actions are being undertaken to reduce waiting times for young people </w:t>
      </w:r>
    </w:p>
    <w:p w14:paraId="05752021" w14:textId="77777777" w:rsidR="00124DDA" w:rsidRPr="00E92A3B" w:rsidRDefault="00124DDA" w:rsidP="00124DDA">
      <w:pPr>
        <w:pStyle w:val="ListParagraph"/>
        <w:shd w:val="clear" w:color="auto" w:fill="FFFFFF"/>
        <w:spacing w:before="60" w:after="60"/>
        <w:jc w:val="both"/>
        <w:rPr>
          <w:rFonts w:ascii="Arial" w:hAnsi="Arial" w:cs="Arial"/>
          <w:sz w:val="22"/>
          <w:szCs w:val="22"/>
        </w:rPr>
      </w:pPr>
    </w:p>
    <w:p w14:paraId="795E3EDE" w14:textId="77777777" w:rsidR="00124DDA" w:rsidRPr="00E92A3B" w:rsidRDefault="00124DDA" w:rsidP="00124DDA">
      <w:pPr>
        <w:pStyle w:val="ListParagraph"/>
        <w:numPr>
          <w:ilvl w:val="0"/>
          <w:numId w:val="151"/>
        </w:numPr>
        <w:shd w:val="clear" w:color="auto" w:fill="FFFFFF"/>
        <w:spacing w:before="60" w:after="60"/>
        <w:jc w:val="both"/>
        <w:rPr>
          <w:rFonts w:ascii="Arial" w:hAnsi="Arial" w:cs="Arial"/>
          <w:sz w:val="22"/>
          <w:szCs w:val="22"/>
        </w:rPr>
      </w:pPr>
      <w:r w:rsidRPr="00E92A3B">
        <w:rPr>
          <w:rFonts w:ascii="Arial" w:hAnsi="Arial" w:cs="Arial"/>
          <w:sz w:val="22"/>
          <w:szCs w:val="22"/>
        </w:rPr>
        <w:t>How is the DHB working across service boundaries (Adult and Child and Youth) to improve waiting times.</w:t>
      </w:r>
    </w:p>
    <w:p w14:paraId="2F9EC349" w14:textId="77777777" w:rsidR="00124DDA" w:rsidRPr="00E92A3B" w:rsidRDefault="00124DDA" w:rsidP="00124DDA">
      <w:pPr>
        <w:shd w:val="clear" w:color="auto" w:fill="FFFFFF"/>
        <w:spacing w:before="60" w:after="60"/>
        <w:jc w:val="both"/>
        <w:rPr>
          <w:rFonts w:ascii="Arial" w:hAnsi="Arial" w:cs="Arial"/>
          <w:sz w:val="22"/>
          <w:szCs w:val="22"/>
        </w:rPr>
      </w:pPr>
    </w:p>
    <w:p w14:paraId="78B68C13" w14:textId="77777777" w:rsidR="00124DDA" w:rsidRPr="00E92A3B" w:rsidRDefault="00124DDA" w:rsidP="00124DDA">
      <w:pPr>
        <w:pStyle w:val="ListParagraph"/>
        <w:numPr>
          <w:ilvl w:val="0"/>
          <w:numId w:val="151"/>
        </w:numPr>
        <w:shd w:val="clear" w:color="auto" w:fill="FFFFFF"/>
        <w:spacing w:before="60" w:after="60"/>
        <w:jc w:val="both"/>
        <w:rPr>
          <w:rFonts w:ascii="Arial" w:hAnsi="Arial" w:cs="Arial"/>
          <w:sz w:val="22"/>
          <w:szCs w:val="22"/>
        </w:rPr>
      </w:pPr>
      <w:r w:rsidRPr="00E92A3B">
        <w:rPr>
          <w:rFonts w:ascii="Arial" w:hAnsi="Arial" w:cs="Arial"/>
          <w:sz w:val="22"/>
          <w:szCs w:val="22"/>
        </w:rPr>
        <w:t xml:space="preserve">How will the DHB adult services prioritise the needs of </w:t>
      </w:r>
      <w:proofErr w:type="gramStart"/>
      <w:r w:rsidRPr="00E92A3B">
        <w:rPr>
          <w:rFonts w:ascii="Arial" w:hAnsi="Arial" w:cs="Arial"/>
          <w:sz w:val="22"/>
          <w:szCs w:val="22"/>
        </w:rPr>
        <w:t>18-24-year olds</w:t>
      </w:r>
      <w:proofErr w:type="gramEnd"/>
      <w:r w:rsidRPr="00E92A3B">
        <w:rPr>
          <w:rFonts w:ascii="Arial" w:hAnsi="Arial" w:cs="Arial"/>
          <w:sz w:val="22"/>
          <w:szCs w:val="22"/>
        </w:rPr>
        <w:t>?</w:t>
      </w:r>
    </w:p>
    <w:p w14:paraId="0E28BCD3" w14:textId="77777777" w:rsidR="00124DDA" w:rsidRPr="00E92A3B" w:rsidRDefault="00124DDA" w:rsidP="00124DDA">
      <w:pPr>
        <w:pStyle w:val="ListParagraph"/>
        <w:rPr>
          <w:rFonts w:ascii="Arial" w:hAnsi="Arial" w:cs="Arial"/>
          <w:sz w:val="22"/>
          <w:szCs w:val="22"/>
        </w:rPr>
      </w:pPr>
    </w:p>
    <w:p w14:paraId="4BE0B14F" w14:textId="77777777" w:rsidR="00124DDA" w:rsidRPr="00E92A3B" w:rsidRDefault="00124DDA" w:rsidP="00124DDA">
      <w:pPr>
        <w:pStyle w:val="ListParagraph"/>
        <w:numPr>
          <w:ilvl w:val="0"/>
          <w:numId w:val="151"/>
        </w:numPr>
        <w:shd w:val="clear" w:color="auto" w:fill="FFFFFF"/>
        <w:spacing w:before="60" w:after="60"/>
        <w:jc w:val="both"/>
        <w:rPr>
          <w:rFonts w:ascii="Arial" w:hAnsi="Arial" w:cs="Arial"/>
          <w:sz w:val="22"/>
          <w:szCs w:val="22"/>
        </w:rPr>
      </w:pPr>
      <w:r w:rsidRPr="00E92A3B">
        <w:rPr>
          <w:rFonts w:ascii="Arial" w:hAnsi="Arial" w:cs="Arial"/>
          <w:sz w:val="22"/>
          <w:szCs w:val="22"/>
        </w:rPr>
        <w:t>Use a balancing measure to help ensure improving waiting times are not causing unintended consequences (this could be the Mental Health KPI 3</w:t>
      </w:r>
      <w:r w:rsidRPr="00E92A3B">
        <w:rPr>
          <w:rFonts w:ascii="Arial" w:hAnsi="Arial" w:cs="Arial"/>
          <w:sz w:val="22"/>
          <w:szCs w:val="22"/>
          <w:vertAlign w:val="superscript"/>
        </w:rPr>
        <w:t>rd</w:t>
      </w:r>
      <w:r w:rsidRPr="00E92A3B">
        <w:rPr>
          <w:rFonts w:ascii="Arial" w:hAnsi="Arial" w:cs="Arial"/>
          <w:sz w:val="22"/>
          <w:szCs w:val="22"/>
        </w:rPr>
        <w:t xml:space="preserve"> face to face waiting time for </w:t>
      </w:r>
      <w:proofErr w:type="gramStart"/>
      <w:r w:rsidRPr="00E92A3B">
        <w:rPr>
          <w:rFonts w:ascii="Arial" w:hAnsi="Arial" w:cs="Arial"/>
          <w:sz w:val="22"/>
          <w:szCs w:val="22"/>
        </w:rPr>
        <w:t>0-19-year olds</w:t>
      </w:r>
      <w:proofErr w:type="gramEnd"/>
      <w:r w:rsidRPr="00E92A3B">
        <w:rPr>
          <w:rFonts w:ascii="Arial" w:hAnsi="Arial" w:cs="Arial"/>
          <w:sz w:val="22"/>
          <w:szCs w:val="22"/>
        </w:rPr>
        <w:t>)</w:t>
      </w:r>
    </w:p>
    <w:p w14:paraId="05FF088E" w14:textId="77777777" w:rsidR="00124DDA" w:rsidRPr="00E92A3B" w:rsidRDefault="00124DDA" w:rsidP="00124DDA">
      <w:pPr>
        <w:shd w:val="clear" w:color="auto" w:fill="FFFFFF"/>
        <w:spacing w:before="60" w:after="60"/>
        <w:jc w:val="both"/>
        <w:rPr>
          <w:rFonts w:ascii="Arial" w:hAnsi="Arial" w:cs="Arial"/>
          <w:sz w:val="22"/>
          <w:szCs w:val="22"/>
        </w:rPr>
      </w:pPr>
    </w:p>
    <w:p w14:paraId="7FCC0D19" w14:textId="77777777" w:rsidR="00124DDA" w:rsidRPr="00E92A3B" w:rsidRDefault="00124DDA" w:rsidP="00124DDA">
      <w:pPr>
        <w:shd w:val="clear" w:color="auto" w:fill="FFFFFF"/>
        <w:spacing w:before="60" w:after="60"/>
        <w:jc w:val="both"/>
        <w:rPr>
          <w:rFonts w:ascii="Arial" w:hAnsi="Arial" w:cs="Arial"/>
          <w:b/>
          <w:sz w:val="22"/>
          <w:szCs w:val="22"/>
        </w:rPr>
      </w:pPr>
    </w:p>
    <w:p w14:paraId="521F7DAE" w14:textId="77777777" w:rsidR="00124DDA" w:rsidRPr="00E92A3B" w:rsidRDefault="00124DDA" w:rsidP="00124DDA">
      <w:pPr>
        <w:shd w:val="clear" w:color="auto" w:fill="FFFFFF"/>
        <w:spacing w:before="60" w:after="60"/>
        <w:jc w:val="both"/>
        <w:rPr>
          <w:rFonts w:ascii="Arial" w:hAnsi="Arial" w:cs="Arial"/>
          <w:b/>
          <w:sz w:val="22"/>
          <w:szCs w:val="22"/>
        </w:rPr>
      </w:pPr>
    </w:p>
    <w:p w14:paraId="1D2550F5" w14:textId="77777777" w:rsidR="00124DDA" w:rsidRPr="00E92A3B" w:rsidRDefault="00124DDA" w:rsidP="00124DDA">
      <w:pPr>
        <w:shd w:val="clear" w:color="auto" w:fill="FFFFFF"/>
        <w:spacing w:before="60" w:after="60"/>
        <w:jc w:val="both"/>
        <w:rPr>
          <w:rFonts w:ascii="Arial" w:hAnsi="Arial" w:cs="Arial"/>
          <w:sz w:val="22"/>
          <w:szCs w:val="22"/>
        </w:rPr>
      </w:pPr>
      <w:r w:rsidRPr="00E92A3B">
        <w:rPr>
          <w:rFonts w:ascii="Arial" w:hAnsi="Arial" w:cs="Arial"/>
          <w:b/>
          <w:i/>
          <w:sz w:val="22"/>
          <w:szCs w:val="22"/>
        </w:rPr>
        <w:t>Reporting required</w:t>
      </w:r>
      <w:r w:rsidRPr="00E92A3B">
        <w:rPr>
          <w:rFonts w:ascii="Arial" w:hAnsi="Arial" w:cs="Arial"/>
          <w:i/>
          <w:sz w:val="22"/>
          <w:szCs w:val="22"/>
        </w:rPr>
        <w:t>:</w:t>
      </w:r>
      <w:r w:rsidRPr="00E92A3B">
        <w:rPr>
          <w:rFonts w:ascii="Arial" w:hAnsi="Arial" w:cs="Arial"/>
          <w:sz w:val="22"/>
          <w:szCs w:val="22"/>
        </w:rPr>
        <w:t xml:space="preserve"> Quarterly rolling annual reporting, as per the table below:</w:t>
      </w:r>
    </w:p>
    <w:p w14:paraId="3B9F8B30" w14:textId="77777777" w:rsidR="00124DDA" w:rsidRPr="00E92A3B" w:rsidRDefault="00124DDA" w:rsidP="00124DDA">
      <w:pPr>
        <w:shd w:val="clear" w:color="auto" w:fill="FFFFFF"/>
        <w:spacing w:before="60" w:after="60"/>
        <w:jc w:val="both"/>
        <w:rPr>
          <w:rFonts w:ascii="Arial" w:hAnsi="Arial" w:cs="Arial"/>
          <w:sz w:val="22"/>
          <w:szCs w:val="22"/>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124DDA" w:rsidRPr="00E92A3B" w14:paraId="2ED59539" w14:textId="77777777" w:rsidTr="0024368A">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AB9583" w14:textId="77777777" w:rsidR="00124DDA" w:rsidRPr="00E92A3B" w:rsidRDefault="00124DDA" w:rsidP="0024368A">
            <w:pPr>
              <w:shd w:val="clear" w:color="auto" w:fill="FFFFFF"/>
              <w:spacing w:before="60" w:after="60"/>
              <w:jc w:val="both"/>
              <w:rPr>
                <w:rFonts w:ascii="Arial" w:hAnsi="Arial" w:cs="Arial"/>
                <w:b/>
                <w:sz w:val="22"/>
                <w:szCs w:val="22"/>
              </w:rPr>
            </w:pPr>
            <w:r w:rsidRPr="00E92A3B">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B93C411" w14:textId="77777777" w:rsidR="00124DDA" w:rsidRPr="00E92A3B" w:rsidRDefault="00124DDA" w:rsidP="0024368A">
            <w:pPr>
              <w:shd w:val="clear" w:color="auto" w:fill="FFFFFF"/>
              <w:spacing w:before="60" w:after="60"/>
              <w:jc w:val="both"/>
              <w:rPr>
                <w:rFonts w:ascii="Arial" w:hAnsi="Arial" w:cs="Arial"/>
                <w:b/>
                <w:sz w:val="22"/>
                <w:szCs w:val="22"/>
              </w:rPr>
            </w:pPr>
            <w:r w:rsidRPr="00E92A3B">
              <w:rPr>
                <w:rFonts w:ascii="Arial" w:hAnsi="Arial" w:cs="Arial"/>
                <w:b/>
                <w:sz w:val="22"/>
                <w:szCs w:val="22"/>
              </w:rPr>
              <w:t>For the time period</w:t>
            </w:r>
          </w:p>
        </w:tc>
      </w:tr>
      <w:tr w:rsidR="00124DDA" w:rsidRPr="00E92A3B" w14:paraId="6EE450B3" w14:textId="77777777" w:rsidTr="0024368A">
        <w:trPr>
          <w:jc w:val="center"/>
        </w:trPr>
        <w:tc>
          <w:tcPr>
            <w:tcW w:w="1617" w:type="dxa"/>
            <w:tcBorders>
              <w:top w:val="single" w:sz="4" w:space="0" w:color="auto"/>
              <w:left w:val="single" w:sz="4" w:space="0" w:color="auto"/>
              <w:bottom w:val="single" w:sz="4" w:space="0" w:color="auto"/>
              <w:right w:val="single" w:sz="4" w:space="0" w:color="auto"/>
            </w:tcBorders>
            <w:hideMark/>
          </w:tcPr>
          <w:p w14:paraId="52CA6567" w14:textId="77777777" w:rsidR="00124DDA" w:rsidRPr="00E92A3B" w:rsidRDefault="00124DDA" w:rsidP="0024368A">
            <w:pPr>
              <w:shd w:val="clear" w:color="auto" w:fill="FFFFFF"/>
              <w:spacing w:before="60" w:after="60"/>
              <w:jc w:val="both"/>
              <w:rPr>
                <w:rFonts w:ascii="Arial" w:hAnsi="Arial" w:cs="Arial"/>
                <w:sz w:val="22"/>
                <w:szCs w:val="22"/>
              </w:rPr>
            </w:pPr>
            <w:r w:rsidRPr="00E92A3B">
              <w:rPr>
                <w:rFonts w:ascii="Arial" w:hAnsi="Arial" w:cs="Arial"/>
                <w:sz w:val="22"/>
                <w:szCs w:val="22"/>
              </w:rPr>
              <w:t>Quarter 1</w:t>
            </w:r>
          </w:p>
        </w:tc>
        <w:tc>
          <w:tcPr>
            <w:tcW w:w="4323" w:type="dxa"/>
            <w:vMerge w:val="restart"/>
            <w:tcBorders>
              <w:top w:val="single" w:sz="4" w:space="0" w:color="auto"/>
              <w:left w:val="single" w:sz="4" w:space="0" w:color="auto"/>
              <w:bottom w:val="single" w:sz="4" w:space="0" w:color="auto"/>
              <w:right w:val="single" w:sz="4" w:space="0" w:color="auto"/>
            </w:tcBorders>
            <w:vAlign w:val="center"/>
            <w:hideMark/>
          </w:tcPr>
          <w:p w14:paraId="39A0F503" w14:textId="77777777" w:rsidR="00124DDA" w:rsidRPr="00E92A3B" w:rsidRDefault="00124DDA" w:rsidP="0024368A">
            <w:pPr>
              <w:shd w:val="clear" w:color="auto" w:fill="FFFFFF"/>
              <w:spacing w:before="60" w:after="60"/>
              <w:jc w:val="both"/>
              <w:rPr>
                <w:rFonts w:ascii="Arial" w:hAnsi="Arial" w:cs="Arial"/>
                <w:sz w:val="22"/>
                <w:szCs w:val="22"/>
                <w:highlight w:val="yellow"/>
              </w:rPr>
            </w:pPr>
            <w:r w:rsidRPr="00E92A3B">
              <w:rPr>
                <w:rFonts w:ascii="Arial" w:hAnsi="Arial" w:cs="Arial"/>
                <w:sz w:val="22"/>
                <w:szCs w:val="22"/>
                <w:lang w:val="en-GB"/>
              </w:rPr>
              <w:t xml:space="preserve">Rolling annual waiting time data will be provided from PRIMHD (3 months in arrears) </w:t>
            </w:r>
          </w:p>
        </w:tc>
      </w:tr>
      <w:tr w:rsidR="00124DDA" w:rsidRPr="00E92A3B" w14:paraId="3AB9289F" w14:textId="77777777" w:rsidTr="0024368A">
        <w:trPr>
          <w:jc w:val="center"/>
        </w:trPr>
        <w:tc>
          <w:tcPr>
            <w:tcW w:w="1617" w:type="dxa"/>
            <w:tcBorders>
              <w:top w:val="single" w:sz="4" w:space="0" w:color="auto"/>
              <w:left w:val="single" w:sz="4" w:space="0" w:color="auto"/>
              <w:bottom w:val="single" w:sz="4" w:space="0" w:color="auto"/>
              <w:right w:val="single" w:sz="4" w:space="0" w:color="auto"/>
            </w:tcBorders>
            <w:hideMark/>
          </w:tcPr>
          <w:p w14:paraId="47F8D059" w14:textId="77777777" w:rsidR="00124DDA" w:rsidRPr="00E92A3B" w:rsidRDefault="00124DDA" w:rsidP="0024368A">
            <w:pPr>
              <w:shd w:val="clear" w:color="auto" w:fill="FFFFFF"/>
              <w:spacing w:before="60" w:after="60"/>
              <w:jc w:val="both"/>
              <w:rPr>
                <w:rFonts w:ascii="Arial" w:hAnsi="Arial" w:cs="Arial"/>
                <w:sz w:val="22"/>
                <w:szCs w:val="22"/>
              </w:rPr>
            </w:pPr>
            <w:r w:rsidRPr="00E92A3B">
              <w:rPr>
                <w:rFonts w:ascii="Arial" w:hAnsi="Arial" w:cs="Arial"/>
                <w:sz w:val="22"/>
                <w:szCs w:val="22"/>
              </w:rPr>
              <w:t>Quarter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DC0C6" w14:textId="77777777" w:rsidR="00124DDA" w:rsidRPr="00E92A3B" w:rsidRDefault="00124DDA" w:rsidP="0024368A">
            <w:pPr>
              <w:rPr>
                <w:rFonts w:ascii="Arial" w:hAnsi="Arial" w:cs="Arial"/>
                <w:sz w:val="22"/>
                <w:szCs w:val="22"/>
                <w:highlight w:val="yellow"/>
              </w:rPr>
            </w:pPr>
          </w:p>
        </w:tc>
      </w:tr>
      <w:tr w:rsidR="00124DDA" w:rsidRPr="00E92A3B" w14:paraId="74B6A192" w14:textId="77777777" w:rsidTr="0024368A">
        <w:trPr>
          <w:jc w:val="center"/>
        </w:trPr>
        <w:tc>
          <w:tcPr>
            <w:tcW w:w="1617" w:type="dxa"/>
            <w:tcBorders>
              <w:top w:val="single" w:sz="4" w:space="0" w:color="auto"/>
              <w:left w:val="single" w:sz="4" w:space="0" w:color="auto"/>
              <w:bottom w:val="single" w:sz="4" w:space="0" w:color="auto"/>
              <w:right w:val="single" w:sz="4" w:space="0" w:color="auto"/>
            </w:tcBorders>
            <w:hideMark/>
          </w:tcPr>
          <w:p w14:paraId="6C583A8B" w14:textId="77777777" w:rsidR="00124DDA" w:rsidRPr="00E92A3B" w:rsidRDefault="00124DDA" w:rsidP="0024368A">
            <w:pPr>
              <w:shd w:val="clear" w:color="auto" w:fill="FFFFFF"/>
              <w:spacing w:before="60" w:after="60"/>
              <w:jc w:val="both"/>
              <w:rPr>
                <w:rFonts w:ascii="Arial" w:hAnsi="Arial" w:cs="Arial"/>
                <w:sz w:val="22"/>
                <w:szCs w:val="22"/>
              </w:rPr>
            </w:pPr>
            <w:r w:rsidRPr="00E92A3B">
              <w:rPr>
                <w:rFonts w:ascii="Arial" w:hAnsi="Arial" w:cs="Arial"/>
                <w:sz w:val="22"/>
                <w:szCs w:val="22"/>
              </w:rPr>
              <w:t>Quarter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ADE16" w14:textId="77777777" w:rsidR="00124DDA" w:rsidRPr="00E92A3B" w:rsidRDefault="00124DDA" w:rsidP="0024368A">
            <w:pPr>
              <w:rPr>
                <w:rFonts w:ascii="Arial" w:hAnsi="Arial" w:cs="Arial"/>
                <w:sz w:val="22"/>
                <w:szCs w:val="22"/>
                <w:highlight w:val="yellow"/>
              </w:rPr>
            </w:pPr>
          </w:p>
        </w:tc>
      </w:tr>
      <w:tr w:rsidR="00124DDA" w:rsidRPr="00E92A3B" w14:paraId="2571AC25" w14:textId="77777777" w:rsidTr="0024368A">
        <w:trPr>
          <w:jc w:val="center"/>
        </w:trPr>
        <w:tc>
          <w:tcPr>
            <w:tcW w:w="1617" w:type="dxa"/>
            <w:tcBorders>
              <w:top w:val="single" w:sz="4" w:space="0" w:color="auto"/>
              <w:left w:val="single" w:sz="4" w:space="0" w:color="auto"/>
              <w:bottom w:val="single" w:sz="4" w:space="0" w:color="auto"/>
              <w:right w:val="single" w:sz="4" w:space="0" w:color="auto"/>
            </w:tcBorders>
            <w:hideMark/>
          </w:tcPr>
          <w:p w14:paraId="1D6144FE" w14:textId="77777777" w:rsidR="00124DDA" w:rsidRPr="00E92A3B" w:rsidRDefault="00124DDA" w:rsidP="0024368A">
            <w:pPr>
              <w:shd w:val="clear" w:color="auto" w:fill="FFFFFF"/>
              <w:spacing w:before="60" w:after="60"/>
              <w:jc w:val="both"/>
              <w:rPr>
                <w:rFonts w:ascii="Arial" w:hAnsi="Arial" w:cs="Arial"/>
                <w:sz w:val="22"/>
                <w:szCs w:val="22"/>
              </w:rPr>
            </w:pPr>
            <w:r w:rsidRPr="00E92A3B">
              <w:rPr>
                <w:rFonts w:ascii="Arial" w:hAnsi="Arial" w:cs="Arial"/>
                <w:sz w:val="22"/>
                <w:szCs w:val="22"/>
              </w:rPr>
              <w:t>Quarter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08DEE" w14:textId="77777777" w:rsidR="00124DDA" w:rsidRPr="00E92A3B" w:rsidRDefault="00124DDA" w:rsidP="0024368A">
            <w:pPr>
              <w:rPr>
                <w:rFonts w:ascii="Arial" w:hAnsi="Arial" w:cs="Arial"/>
                <w:sz w:val="22"/>
                <w:szCs w:val="22"/>
                <w:highlight w:val="yellow"/>
              </w:rPr>
            </w:pPr>
          </w:p>
        </w:tc>
      </w:tr>
    </w:tbl>
    <w:p w14:paraId="14E5C243" w14:textId="77777777" w:rsidR="00124DDA" w:rsidRPr="00E92A3B" w:rsidRDefault="00124DDA" w:rsidP="00124DDA">
      <w:pPr>
        <w:shd w:val="clear" w:color="auto" w:fill="FFFFFF"/>
        <w:spacing w:before="120" w:after="60"/>
        <w:jc w:val="both"/>
        <w:rPr>
          <w:rFonts w:ascii="Arial" w:hAnsi="Arial" w:cs="Arial"/>
          <w:b/>
          <w:sz w:val="22"/>
          <w:szCs w:val="22"/>
        </w:rPr>
      </w:pPr>
    </w:p>
    <w:p w14:paraId="4D5A4E5E" w14:textId="77777777" w:rsidR="00124DDA" w:rsidRPr="00E92A3B" w:rsidRDefault="00124DDA" w:rsidP="00124DDA">
      <w:pPr>
        <w:shd w:val="clear" w:color="auto" w:fill="FFFFFF"/>
        <w:spacing w:before="120" w:after="60"/>
        <w:jc w:val="both"/>
        <w:rPr>
          <w:rFonts w:ascii="Arial" w:hAnsi="Arial" w:cs="Arial"/>
          <w:b/>
          <w:sz w:val="22"/>
          <w:szCs w:val="22"/>
        </w:rPr>
      </w:pPr>
    </w:p>
    <w:p w14:paraId="2576D2F7" w14:textId="77777777" w:rsidR="00124DDA" w:rsidRPr="00E92A3B" w:rsidRDefault="00124DDA">
      <w:pPr>
        <w:rPr>
          <w:rFonts w:ascii="Arial" w:hAnsi="Arial" w:cs="Arial"/>
          <w:b/>
          <w:sz w:val="22"/>
          <w:szCs w:val="22"/>
        </w:rPr>
      </w:pPr>
      <w:r w:rsidRPr="00E92A3B">
        <w:rPr>
          <w:rFonts w:ascii="Arial" w:hAnsi="Arial" w:cs="Arial"/>
          <w:b/>
          <w:sz w:val="22"/>
          <w:szCs w:val="22"/>
        </w:rPr>
        <w:br w:type="page"/>
      </w:r>
    </w:p>
    <w:p w14:paraId="1C7D57AC" w14:textId="5F7BA506" w:rsidR="00124DDA" w:rsidRDefault="00124DDA" w:rsidP="00124DDA">
      <w:pPr>
        <w:shd w:val="clear" w:color="auto" w:fill="FFFFFF"/>
        <w:spacing w:before="120" w:after="60"/>
        <w:jc w:val="both"/>
        <w:rPr>
          <w:rFonts w:ascii="Arial" w:hAnsi="Arial" w:cs="Arial"/>
          <w:b/>
          <w:sz w:val="22"/>
          <w:szCs w:val="22"/>
        </w:rPr>
      </w:pPr>
      <w:r>
        <w:rPr>
          <w:rFonts w:ascii="Arial" w:hAnsi="Arial" w:cs="Arial"/>
          <w:b/>
          <w:sz w:val="22"/>
          <w:szCs w:val="22"/>
        </w:rPr>
        <w:lastRenderedPageBreak/>
        <w:t>Reporting Template</w:t>
      </w:r>
    </w:p>
    <w:p w14:paraId="0F992E10" w14:textId="77777777" w:rsidR="00124DDA" w:rsidRDefault="00124DDA" w:rsidP="00124DDA">
      <w:pPr>
        <w:shd w:val="clear" w:color="auto" w:fill="FFFFFF"/>
        <w:spacing w:before="120" w:after="60"/>
        <w:jc w:val="both"/>
        <w:rPr>
          <w:rFonts w:ascii="Arial" w:hAnsi="Arial" w:cs="Arial"/>
          <w:b/>
          <w:sz w:val="22"/>
          <w:szCs w:val="22"/>
        </w:rPr>
      </w:pPr>
    </w:p>
    <w:p w14:paraId="0288E7B8" w14:textId="77777777" w:rsidR="00124DDA" w:rsidRDefault="00124DDA" w:rsidP="00124DDA">
      <w:pPr>
        <w:rPr>
          <w:rFonts w:ascii="Arial" w:hAnsi="Arial" w:cs="Arial"/>
          <w:sz w:val="20"/>
          <w:szCs w:val="20"/>
        </w:rPr>
      </w:pPr>
    </w:p>
    <w:tbl>
      <w:tblPr>
        <w:tblW w:w="9400" w:type="dxa"/>
        <w:tblInd w:w="93" w:type="dxa"/>
        <w:tblLook w:val="04A0" w:firstRow="1" w:lastRow="0" w:firstColumn="1" w:lastColumn="0" w:noHBand="0" w:noVBand="1"/>
      </w:tblPr>
      <w:tblGrid>
        <w:gridCol w:w="2596"/>
        <w:gridCol w:w="2126"/>
        <w:gridCol w:w="2126"/>
        <w:gridCol w:w="2552"/>
      </w:tblGrid>
      <w:tr w:rsidR="00124DDA" w14:paraId="54A47068" w14:textId="77777777" w:rsidTr="00CC66E6">
        <w:trPr>
          <w:trHeight w:val="1231"/>
        </w:trPr>
        <w:tc>
          <w:tcPr>
            <w:tcW w:w="2596" w:type="dxa"/>
            <w:tcBorders>
              <w:top w:val="single" w:sz="4" w:space="0" w:color="auto"/>
              <w:left w:val="single" w:sz="4" w:space="0" w:color="auto"/>
              <w:bottom w:val="single" w:sz="4" w:space="0" w:color="auto"/>
              <w:right w:val="single" w:sz="4" w:space="0" w:color="auto"/>
            </w:tcBorders>
            <w:noWrap/>
            <w:vAlign w:val="center"/>
            <w:hideMark/>
          </w:tcPr>
          <w:p w14:paraId="2FF10AB4" w14:textId="77777777" w:rsidR="00124DDA" w:rsidRDefault="00124DDA" w:rsidP="0024368A">
            <w:pPr>
              <w:shd w:val="clear" w:color="auto" w:fill="FFFFFF"/>
              <w:rPr>
                <w:rFonts w:ascii="Arial" w:hAnsi="Arial" w:cs="Arial"/>
                <w:b/>
                <w:bCs/>
                <w:color w:val="000000"/>
                <w:sz w:val="20"/>
                <w:szCs w:val="20"/>
              </w:rPr>
            </w:pPr>
            <w:r>
              <w:rPr>
                <w:rFonts w:ascii="Arial" w:hAnsi="Arial" w:cs="Arial"/>
                <w:b/>
                <w:bCs/>
                <w:color w:val="000000"/>
                <w:sz w:val="20"/>
                <w:szCs w:val="20"/>
              </w:rPr>
              <w:t>Age/ethnicity</w:t>
            </w:r>
          </w:p>
        </w:tc>
        <w:tc>
          <w:tcPr>
            <w:tcW w:w="2126" w:type="dxa"/>
            <w:tcBorders>
              <w:top w:val="single" w:sz="4" w:space="0" w:color="auto"/>
              <w:left w:val="nil"/>
              <w:bottom w:val="single" w:sz="4" w:space="0" w:color="auto"/>
              <w:right w:val="single" w:sz="4" w:space="0" w:color="auto"/>
            </w:tcBorders>
            <w:noWrap/>
            <w:vAlign w:val="center"/>
            <w:hideMark/>
          </w:tcPr>
          <w:p w14:paraId="4D346472" w14:textId="77777777" w:rsidR="00124DDA" w:rsidRPr="00F46FEB" w:rsidRDefault="00124DDA" w:rsidP="0024368A">
            <w:pPr>
              <w:shd w:val="clear" w:color="auto" w:fill="FFFFFF"/>
              <w:rPr>
                <w:rFonts w:ascii="Arial" w:hAnsi="Arial" w:cs="Arial"/>
                <w:b/>
                <w:bCs/>
                <w:color w:val="000000"/>
                <w:sz w:val="20"/>
                <w:szCs w:val="20"/>
              </w:rPr>
            </w:pPr>
            <w:r w:rsidRPr="00F46FEB">
              <w:rPr>
                <w:rFonts w:ascii="Arial" w:hAnsi="Arial" w:cs="Arial"/>
                <w:b/>
                <w:bCs/>
                <w:sz w:val="20"/>
                <w:szCs w:val="20"/>
                <w:lang w:eastAsia="en-NZ"/>
              </w:rPr>
              <w:t>Number of new clients aged under 25 seen within three weeks</w:t>
            </w:r>
            <w:r>
              <w:rPr>
                <w:rFonts w:ascii="Arial" w:hAnsi="Arial" w:cs="Arial"/>
                <w:b/>
                <w:bCs/>
                <w:sz w:val="20"/>
                <w:szCs w:val="20"/>
                <w:lang w:eastAsia="en-NZ"/>
              </w:rPr>
              <w:t xml:space="preserve"> this quarter reporting.</w:t>
            </w:r>
          </w:p>
        </w:tc>
        <w:tc>
          <w:tcPr>
            <w:tcW w:w="2126" w:type="dxa"/>
            <w:tcBorders>
              <w:top w:val="single" w:sz="4" w:space="0" w:color="auto"/>
              <w:left w:val="nil"/>
              <w:bottom w:val="single" w:sz="4" w:space="0" w:color="auto"/>
              <w:right w:val="single" w:sz="4" w:space="0" w:color="auto"/>
            </w:tcBorders>
          </w:tcPr>
          <w:p w14:paraId="6DFE4712" w14:textId="77777777" w:rsidR="00124DDA" w:rsidRPr="00F46FEB" w:rsidRDefault="00124DDA" w:rsidP="0024368A">
            <w:pPr>
              <w:shd w:val="clear" w:color="auto" w:fill="FFFFFF"/>
              <w:rPr>
                <w:rFonts w:ascii="Arial" w:hAnsi="Arial" w:cs="Arial"/>
                <w:b/>
                <w:bCs/>
                <w:color w:val="000000"/>
                <w:sz w:val="20"/>
                <w:szCs w:val="20"/>
              </w:rPr>
            </w:pPr>
            <w:r w:rsidRPr="00F46FEB">
              <w:rPr>
                <w:rFonts w:ascii="Arial" w:hAnsi="Arial" w:cs="Arial"/>
                <w:b/>
                <w:bCs/>
                <w:sz w:val="20"/>
                <w:szCs w:val="20"/>
              </w:rPr>
              <w:t>Total new clients aged under 25</w:t>
            </w:r>
            <w:r>
              <w:rPr>
                <w:rFonts w:ascii="Arial" w:hAnsi="Arial" w:cs="Arial"/>
                <w:b/>
                <w:bCs/>
                <w:sz w:val="20"/>
                <w:szCs w:val="20"/>
              </w:rPr>
              <w:t xml:space="preserve"> this quarter reporting</w:t>
            </w:r>
          </w:p>
        </w:tc>
        <w:tc>
          <w:tcPr>
            <w:tcW w:w="2552" w:type="dxa"/>
            <w:tcBorders>
              <w:top w:val="single" w:sz="4" w:space="0" w:color="auto"/>
              <w:left w:val="nil"/>
              <w:bottom w:val="single" w:sz="4" w:space="0" w:color="auto"/>
              <w:right w:val="single" w:sz="4" w:space="0" w:color="auto"/>
            </w:tcBorders>
          </w:tcPr>
          <w:p w14:paraId="4EF97FB0" w14:textId="77777777" w:rsidR="00124DDA" w:rsidRDefault="00124DDA" w:rsidP="0024368A">
            <w:pPr>
              <w:shd w:val="clear" w:color="auto" w:fill="FFFFFF"/>
              <w:rPr>
                <w:rFonts w:ascii="Arial" w:hAnsi="Arial" w:cs="Arial"/>
                <w:b/>
                <w:bCs/>
                <w:color w:val="000000"/>
                <w:sz w:val="20"/>
                <w:szCs w:val="20"/>
              </w:rPr>
            </w:pPr>
            <w:r>
              <w:rPr>
                <w:rFonts w:ascii="Arial" w:hAnsi="Arial" w:cs="Arial"/>
                <w:b/>
                <w:bCs/>
                <w:color w:val="000000"/>
                <w:sz w:val="20"/>
                <w:szCs w:val="20"/>
              </w:rPr>
              <w:t>Percentage seen within 3 weeks for this quarter reporting period.</w:t>
            </w:r>
          </w:p>
        </w:tc>
      </w:tr>
      <w:tr w:rsidR="00124DDA" w14:paraId="1C9276BA" w14:textId="77777777" w:rsidTr="00CC66E6">
        <w:trPr>
          <w:trHeight w:val="285"/>
        </w:trPr>
        <w:tc>
          <w:tcPr>
            <w:tcW w:w="2596" w:type="dxa"/>
            <w:tcBorders>
              <w:top w:val="single" w:sz="4" w:space="0" w:color="auto"/>
              <w:left w:val="single" w:sz="4" w:space="0" w:color="auto"/>
              <w:bottom w:val="single" w:sz="4" w:space="0" w:color="auto"/>
              <w:right w:val="single" w:sz="4" w:space="0" w:color="auto"/>
            </w:tcBorders>
            <w:noWrap/>
            <w:vAlign w:val="center"/>
            <w:hideMark/>
          </w:tcPr>
          <w:p w14:paraId="43792E15" w14:textId="77777777" w:rsidR="00124DDA" w:rsidRDefault="00124DDA" w:rsidP="0024368A">
            <w:pPr>
              <w:shd w:val="clear" w:color="auto" w:fill="FFFFFF"/>
              <w:rPr>
                <w:rFonts w:ascii="Arial" w:hAnsi="Arial" w:cs="Arial"/>
                <w:color w:val="000000"/>
                <w:sz w:val="20"/>
                <w:szCs w:val="20"/>
              </w:rPr>
            </w:pPr>
            <w:r>
              <w:rPr>
                <w:rFonts w:ascii="Arial" w:hAnsi="Arial" w:cs="Arial"/>
                <w:color w:val="000000"/>
                <w:sz w:val="20"/>
                <w:szCs w:val="20"/>
              </w:rPr>
              <w:t xml:space="preserve">Under </w:t>
            </w:r>
            <w:proofErr w:type="gramStart"/>
            <w:r>
              <w:rPr>
                <w:rFonts w:ascii="Arial" w:hAnsi="Arial" w:cs="Arial"/>
                <w:color w:val="000000"/>
                <w:sz w:val="20"/>
                <w:szCs w:val="20"/>
              </w:rPr>
              <w:t>25-year olds</w:t>
            </w:r>
            <w:proofErr w:type="gramEnd"/>
            <w:r>
              <w:rPr>
                <w:rFonts w:ascii="Arial" w:hAnsi="Arial" w:cs="Arial"/>
                <w:color w:val="000000"/>
                <w:sz w:val="20"/>
                <w:szCs w:val="20"/>
              </w:rPr>
              <w:t xml:space="preserve"> Total</w:t>
            </w:r>
          </w:p>
        </w:tc>
        <w:tc>
          <w:tcPr>
            <w:tcW w:w="2126" w:type="dxa"/>
            <w:tcBorders>
              <w:top w:val="single" w:sz="4" w:space="0" w:color="auto"/>
              <w:left w:val="nil"/>
              <w:bottom w:val="single" w:sz="4" w:space="0" w:color="auto"/>
              <w:right w:val="single" w:sz="4" w:space="0" w:color="auto"/>
            </w:tcBorders>
            <w:noWrap/>
            <w:vAlign w:val="center"/>
            <w:hideMark/>
          </w:tcPr>
          <w:p w14:paraId="1AE9AF7A" w14:textId="77777777" w:rsidR="00124DDA" w:rsidRDefault="00124DDA" w:rsidP="0024368A">
            <w:pPr>
              <w:shd w:val="clear" w:color="auto" w:fill="FFFFFF"/>
              <w:rPr>
                <w:rFonts w:ascii="Arial" w:hAnsi="Arial" w:cs="Arial"/>
                <w:color w:val="000000"/>
                <w:sz w:val="20"/>
                <w:szCs w:val="20"/>
              </w:rPr>
            </w:pPr>
            <w:r>
              <w:rPr>
                <w:rFonts w:ascii="Arial" w:hAnsi="Arial" w:cs="Arial"/>
                <w:color w:val="000000"/>
                <w:sz w:val="20"/>
                <w:szCs w:val="20"/>
              </w:rPr>
              <w:t> </w:t>
            </w:r>
          </w:p>
        </w:tc>
        <w:tc>
          <w:tcPr>
            <w:tcW w:w="2126" w:type="dxa"/>
            <w:tcBorders>
              <w:top w:val="single" w:sz="4" w:space="0" w:color="auto"/>
              <w:left w:val="nil"/>
              <w:bottom w:val="single" w:sz="4" w:space="0" w:color="auto"/>
              <w:right w:val="single" w:sz="4" w:space="0" w:color="auto"/>
            </w:tcBorders>
          </w:tcPr>
          <w:p w14:paraId="11FD989D" w14:textId="77777777" w:rsidR="00124DDA" w:rsidRDefault="00124DDA" w:rsidP="0024368A">
            <w:pPr>
              <w:shd w:val="clear" w:color="auto" w:fill="FFFFFF"/>
              <w:rPr>
                <w:rFonts w:ascii="Arial" w:hAnsi="Arial" w:cs="Arial"/>
                <w:color w:val="000000"/>
                <w:sz w:val="20"/>
                <w:szCs w:val="20"/>
              </w:rPr>
            </w:pPr>
          </w:p>
        </w:tc>
        <w:tc>
          <w:tcPr>
            <w:tcW w:w="2552" w:type="dxa"/>
            <w:tcBorders>
              <w:top w:val="single" w:sz="4" w:space="0" w:color="auto"/>
              <w:left w:val="nil"/>
              <w:bottom w:val="single" w:sz="4" w:space="0" w:color="auto"/>
              <w:right w:val="single" w:sz="4" w:space="0" w:color="auto"/>
            </w:tcBorders>
          </w:tcPr>
          <w:p w14:paraId="48D488D7" w14:textId="77777777" w:rsidR="00124DDA" w:rsidRDefault="00124DDA" w:rsidP="0024368A">
            <w:pPr>
              <w:shd w:val="clear" w:color="auto" w:fill="FFFFFF"/>
              <w:rPr>
                <w:rFonts w:ascii="Arial" w:hAnsi="Arial" w:cs="Arial"/>
                <w:color w:val="000000"/>
                <w:sz w:val="20"/>
                <w:szCs w:val="20"/>
              </w:rPr>
            </w:pPr>
          </w:p>
        </w:tc>
      </w:tr>
      <w:tr w:rsidR="00124DDA" w14:paraId="0DD35512" w14:textId="77777777" w:rsidTr="00CC66E6">
        <w:trPr>
          <w:trHeight w:val="285"/>
        </w:trPr>
        <w:tc>
          <w:tcPr>
            <w:tcW w:w="2596" w:type="dxa"/>
            <w:tcBorders>
              <w:top w:val="single" w:sz="4" w:space="0" w:color="auto"/>
              <w:left w:val="single" w:sz="4" w:space="0" w:color="auto"/>
              <w:bottom w:val="single" w:sz="4" w:space="0" w:color="auto"/>
              <w:right w:val="single" w:sz="4" w:space="0" w:color="auto"/>
            </w:tcBorders>
            <w:noWrap/>
            <w:vAlign w:val="center"/>
          </w:tcPr>
          <w:p w14:paraId="39E17026" w14:textId="77777777" w:rsidR="00124DDA" w:rsidRDefault="00124DDA" w:rsidP="0024368A">
            <w:pPr>
              <w:shd w:val="clear" w:color="auto" w:fill="FFFFFF"/>
              <w:rPr>
                <w:rFonts w:ascii="Arial" w:hAnsi="Arial" w:cs="Arial"/>
                <w:color w:val="000000"/>
                <w:sz w:val="20"/>
                <w:szCs w:val="20"/>
              </w:rPr>
            </w:pPr>
            <w:r>
              <w:rPr>
                <w:rFonts w:ascii="Arial" w:hAnsi="Arial" w:cs="Arial"/>
                <w:color w:val="000000"/>
                <w:sz w:val="20"/>
                <w:szCs w:val="20"/>
              </w:rPr>
              <w:t xml:space="preserve">Under </w:t>
            </w:r>
            <w:proofErr w:type="gramStart"/>
            <w:r>
              <w:rPr>
                <w:rFonts w:ascii="Arial" w:hAnsi="Arial" w:cs="Arial"/>
                <w:color w:val="000000"/>
                <w:sz w:val="20"/>
                <w:szCs w:val="20"/>
              </w:rPr>
              <w:t>25-year olds</w:t>
            </w:r>
            <w:proofErr w:type="gramEnd"/>
            <w:r>
              <w:rPr>
                <w:rFonts w:ascii="Arial" w:hAnsi="Arial" w:cs="Arial"/>
                <w:color w:val="000000"/>
                <w:sz w:val="20"/>
                <w:szCs w:val="20"/>
              </w:rPr>
              <w:t xml:space="preserve"> Māori </w:t>
            </w:r>
          </w:p>
        </w:tc>
        <w:tc>
          <w:tcPr>
            <w:tcW w:w="2126" w:type="dxa"/>
            <w:tcBorders>
              <w:top w:val="single" w:sz="4" w:space="0" w:color="auto"/>
              <w:left w:val="nil"/>
              <w:bottom w:val="single" w:sz="4" w:space="0" w:color="auto"/>
              <w:right w:val="single" w:sz="4" w:space="0" w:color="auto"/>
            </w:tcBorders>
            <w:noWrap/>
            <w:vAlign w:val="center"/>
          </w:tcPr>
          <w:p w14:paraId="18982C96" w14:textId="77777777" w:rsidR="00124DDA" w:rsidRDefault="00124DDA" w:rsidP="0024368A">
            <w:pPr>
              <w:shd w:val="clear" w:color="auto" w:fill="FFFFFF"/>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tcPr>
          <w:p w14:paraId="20F3349C" w14:textId="77777777" w:rsidR="00124DDA" w:rsidRDefault="00124DDA" w:rsidP="0024368A">
            <w:pPr>
              <w:shd w:val="clear" w:color="auto" w:fill="FFFFFF"/>
              <w:rPr>
                <w:rFonts w:ascii="Arial" w:hAnsi="Arial" w:cs="Arial"/>
                <w:color w:val="000000"/>
                <w:sz w:val="20"/>
                <w:szCs w:val="20"/>
              </w:rPr>
            </w:pPr>
          </w:p>
        </w:tc>
        <w:tc>
          <w:tcPr>
            <w:tcW w:w="2552" w:type="dxa"/>
            <w:tcBorders>
              <w:top w:val="single" w:sz="4" w:space="0" w:color="auto"/>
              <w:left w:val="nil"/>
              <w:bottom w:val="single" w:sz="4" w:space="0" w:color="auto"/>
              <w:right w:val="single" w:sz="4" w:space="0" w:color="auto"/>
            </w:tcBorders>
          </w:tcPr>
          <w:p w14:paraId="2D360E67" w14:textId="77777777" w:rsidR="00124DDA" w:rsidRDefault="00124DDA" w:rsidP="0024368A">
            <w:pPr>
              <w:shd w:val="clear" w:color="auto" w:fill="FFFFFF"/>
              <w:rPr>
                <w:rFonts w:ascii="Arial" w:hAnsi="Arial" w:cs="Arial"/>
                <w:color w:val="000000"/>
                <w:sz w:val="20"/>
                <w:szCs w:val="20"/>
              </w:rPr>
            </w:pPr>
          </w:p>
        </w:tc>
      </w:tr>
      <w:tr w:rsidR="00124DDA" w14:paraId="5CCE7BB8" w14:textId="77777777" w:rsidTr="00CC66E6">
        <w:trPr>
          <w:trHeight w:val="285"/>
        </w:trPr>
        <w:tc>
          <w:tcPr>
            <w:tcW w:w="2596" w:type="dxa"/>
            <w:tcBorders>
              <w:top w:val="single" w:sz="4" w:space="0" w:color="auto"/>
              <w:left w:val="single" w:sz="4" w:space="0" w:color="auto"/>
              <w:bottom w:val="single" w:sz="4" w:space="0" w:color="auto"/>
              <w:right w:val="single" w:sz="4" w:space="0" w:color="auto"/>
            </w:tcBorders>
            <w:noWrap/>
            <w:vAlign w:val="center"/>
          </w:tcPr>
          <w:p w14:paraId="7F734A3C" w14:textId="77777777" w:rsidR="00124DDA" w:rsidRDefault="00124DDA" w:rsidP="0024368A">
            <w:pPr>
              <w:shd w:val="clear" w:color="auto" w:fill="FFFFFF"/>
              <w:rPr>
                <w:rFonts w:ascii="Arial" w:hAnsi="Arial" w:cs="Arial"/>
                <w:color w:val="000000"/>
                <w:sz w:val="20"/>
                <w:szCs w:val="20"/>
              </w:rPr>
            </w:pPr>
            <w:r>
              <w:rPr>
                <w:rFonts w:ascii="Arial" w:hAnsi="Arial" w:cs="Arial"/>
                <w:color w:val="000000"/>
                <w:sz w:val="20"/>
                <w:szCs w:val="20"/>
              </w:rPr>
              <w:t xml:space="preserve">Under </w:t>
            </w:r>
            <w:proofErr w:type="gramStart"/>
            <w:r>
              <w:rPr>
                <w:rFonts w:ascii="Arial" w:hAnsi="Arial" w:cs="Arial"/>
                <w:color w:val="000000"/>
                <w:sz w:val="20"/>
                <w:szCs w:val="20"/>
              </w:rPr>
              <w:t>25-year olds</w:t>
            </w:r>
            <w:proofErr w:type="gramEnd"/>
            <w:r>
              <w:rPr>
                <w:rFonts w:ascii="Arial" w:hAnsi="Arial" w:cs="Arial"/>
                <w:color w:val="000000"/>
                <w:sz w:val="20"/>
                <w:szCs w:val="20"/>
              </w:rPr>
              <w:t xml:space="preserve"> Pacific</w:t>
            </w:r>
          </w:p>
        </w:tc>
        <w:tc>
          <w:tcPr>
            <w:tcW w:w="2126" w:type="dxa"/>
            <w:tcBorders>
              <w:top w:val="single" w:sz="4" w:space="0" w:color="auto"/>
              <w:left w:val="nil"/>
              <w:bottom w:val="single" w:sz="4" w:space="0" w:color="auto"/>
              <w:right w:val="single" w:sz="4" w:space="0" w:color="auto"/>
            </w:tcBorders>
            <w:noWrap/>
            <w:vAlign w:val="center"/>
          </w:tcPr>
          <w:p w14:paraId="04F3D091" w14:textId="77777777" w:rsidR="00124DDA" w:rsidRDefault="00124DDA" w:rsidP="0024368A">
            <w:pPr>
              <w:shd w:val="clear" w:color="auto" w:fill="FFFFFF"/>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tcPr>
          <w:p w14:paraId="18950C64" w14:textId="77777777" w:rsidR="00124DDA" w:rsidRDefault="00124DDA" w:rsidP="0024368A">
            <w:pPr>
              <w:shd w:val="clear" w:color="auto" w:fill="FFFFFF"/>
              <w:rPr>
                <w:rFonts w:ascii="Arial" w:hAnsi="Arial" w:cs="Arial"/>
                <w:color w:val="000000"/>
                <w:sz w:val="20"/>
                <w:szCs w:val="20"/>
              </w:rPr>
            </w:pPr>
          </w:p>
        </w:tc>
        <w:tc>
          <w:tcPr>
            <w:tcW w:w="2552" w:type="dxa"/>
            <w:tcBorders>
              <w:top w:val="single" w:sz="4" w:space="0" w:color="auto"/>
              <w:left w:val="nil"/>
              <w:bottom w:val="single" w:sz="4" w:space="0" w:color="auto"/>
              <w:right w:val="single" w:sz="4" w:space="0" w:color="auto"/>
            </w:tcBorders>
          </w:tcPr>
          <w:p w14:paraId="29091745" w14:textId="77777777" w:rsidR="00124DDA" w:rsidRDefault="00124DDA" w:rsidP="0024368A">
            <w:pPr>
              <w:shd w:val="clear" w:color="auto" w:fill="FFFFFF"/>
              <w:rPr>
                <w:rFonts w:ascii="Arial" w:hAnsi="Arial" w:cs="Arial"/>
                <w:color w:val="000000"/>
                <w:sz w:val="20"/>
                <w:szCs w:val="20"/>
              </w:rPr>
            </w:pPr>
          </w:p>
        </w:tc>
      </w:tr>
      <w:tr w:rsidR="00124DDA" w14:paraId="4EFFD0E2" w14:textId="77777777" w:rsidTr="00CC66E6">
        <w:trPr>
          <w:trHeight w:val="285"/>
        </w:trPr>
        <w:tc>
          <w:tcPr>
            <w:tcW w:w="2596" w:type="dxa"/>
            <w:tcBorders>
              <w:top w:val="single" w:sz="4" w:space="0" w:color="auto"/>
              <w:left w:val="single" w:sz="4" w:space="0" w:color="auto"/>
              <w:bottom w:val="single" w:sz="4" w:space="0" w:color="auto"/>
              <w:right w:val="single" w:sz="4" w:space="0" w:color="auto"/>
            </w:tcBorders>
            <w:noWrap/>
            <w:vAlign w:val="center"/>
          </w:tcPr>
          <w:p w14:paraId="786D30E2" w14:textId="77777777" w:rsidR="00124DDA" w:rsidRDefault="00124DDA" w:rsidP="0024368A">
            <w:pPr>
              <w:shd w:val="clear" w:color="auto" w:fill="FFFFFF"/>
              <w:rPr>
                <w:rFonts w:ascii="Arial" w:hAnsi="Arial" w:cs="Arial"/>
                <w:color w:val="000000"/>
                <w:sz w:val="20"/>
                <w:szCs w:val="20"/>
              </w:rPr>
            </w:pPr>
            <w:r>
              <w:rPr>
                <w:rFonts w:ascii="Arial" w:hAnsi="Arial" w:cs="Arial"/>
                <w:color w:val="000000"/>
                <w:sz w:val="20"/>
                <w:szCs w:val="20"/>
              </w:rPr>
              <w:t xml:space="preserve">Under </w:t>
            </w:r>
            <w:proofErr w:type="gramStart"/>
            <w:r>
              <w:rPr>
                <w:rFonts w:ascii="Arial" w:hAnsi="Arial" w:cs="Arial"/>
                <w:color w:val="000000"/>
                <w:sz w:val="20"/>
                <w:szCs w:val="20"/>
              </w:rPr>
              <w:t>25-year olds</w:t>
            </w:r>
            <w:proofErr w:type="gramEnd"/>
            <w:r>
              <w:rPr>
                <w:rFonts w:ascii="Arial" w:hAnsi="Arial" w:cs="Arial"/>
                <w:color w:val="000000"/>
                <w:sz w:val="20"/>
                <w:szCs w:val="20"/>
              </w:rPr>
              <w:t xml:space="preserve"> Other</w:t>
            </w:r>
          </w:p>
        </w:tc>
        <w:tc>
          <w:tcPr>
            <w:tcW w:w="2126" w:type="dxa"/>
            <w:tcBorders>
              <w:top w:val="single" w:sz="4" w:space="0" w:color="auto"/>
              <w:left w:val="nil"/>
              <w:bottom w:val="single" w:sz="4" w:space="0" w:color="auto"/>
              <w:right w:val="single" w:sz="4" w:space="0" w:color="auto"/>
            </w:tcBorders>
            <w:noWrap/>
            <w:vAlign w:val="center"/>
          </w:tcPr>
          <w:p w14:paraId="0FF955A6" w14:textId="77777777" w:rsidR="00124DDA" w:rsidRDefault="00124DDA" w:rsidP="0024368A">
            <w:pPr>
              <w:shd w:val="clear" w:color="auto" w:fill="FFFFFF"/>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tcPr>
          <w:p w14:paraId="6B578B68" w14:textId="77777777" w:rsidR="00124DDA" w:rsidRDefault="00124DDA" w:rsidP="0024368A">
            <w:pPr>
              <w:shd w:val="clear" w:color="auto" w:fill="FFFFFF"/>
              <w:rPr>
                <w:rFonts w:ascii="Arial" w:hAnsi="Arial" w:cs="Arial"/>
                <w:color w:val="000000"/>
                <w:sz w:val="20"/>
                <w:szCs w:val="20"/>
              </w:rPr>
            </w:pPr>
          </w:p>
        </w:tc>
        <w:tc>
          <w:tcPr>
            <w:tcW w:w="2552" w:type="dxa"/>
            <w:tcBorders>
              <w:top w:val="single" w:sz="4" w:space="0" w:color="auto"/>
              <w:left w:val="nil"/>
              <w:bottom w:val="single" w:sz="4" w:space="0" w:color="auto"/>
              <w:right w:val="single" w:sz="4" w:space="0" w:color="auto"/>
            </w:tcBorders>
          </w:tcPr>
          <w:p w14:paraId="188C0746" w14:textId="77777777" w:rsidR="00124DDA" w:rsidRDefault="00124DDA" w:rsidP="0024368A">
            <w:pPr>
              <w:shd w:val="clear" w:color="auto" w:fill="FFFFFF"/>
              <w:rPr>
                <w:rFonts w:ascii="Arial" w:hAnsi="Arial" w:cs="Arial"/>
                <w:color w:val="000000"/>
                <w:sz w:val="20"/>
                <w:szCs w:val="20"/>
              </w:rPr>
            </w:pPr>
          </w:p>
        </w:tc>
      </w:tr>
    </w:tbl>
    <w:p w14:paraId="46FD60BE" w14:textId="77777777" w:rsidR="00124DDA" w:rsidRDefault="00124DDA" w:rsidP="00124DDA">
      <w:pPr>
        <w:shd w:val="clear" w:color="auto" w:fill="FFFFFF"/>
        <w:rPr>
          <w:rFonts w:ascii="Arial" w:hAnsi="Arial" w:cs="Arial"/>
          <w:b/>
          <w:i/>
        </w:rPr>
      </w:pPr>
    </w:p>
    <w:tbl>
      <w:tblPr>
        <w:tblW w:w="9400" w:type="dxa"/>
        <w:tblInd w:w="98" w:type="dxa"/>
        <w:tblLook w:val="04A0" w:firstRow="1" w:lastRow="0" w:firstColumn="1" w:lastColumn="0" w:noHBand="0" w:noVBand="1"/>
      </w:tblPr>
      <w:tblGrid>
        <w:gridCol w:w="3299"/>
        <w:gridCol w:w="6101"/>
      </w:tblGrid>
      <w:tr w:rsidR="00124DDA" w14:paraId="07A8DFE9" w14:textId="77777777" w:rsidTr="0024368A">
        <w:trPr>
          <w:trHeight w:val="285"/>
        </w:trPr>
        <w:tc>
          <w:tcPr>
            <w:tcW w:w="9400" w:type="dxa"/>
            <w:gridSpan w:val="2"/>
            <w:tcBorders>
              <w:top w:val="single" w:sz="4" w:space="0" w:color="auto"/>
              <w:left w:val="single" w:sz="4" w:space="0" w:color="auto"/>
              <w:bottom w:val="single" w:sz="4" w:space="0" w:color="auto"/>
              <w:right w:val="single" w:sz="4" w:space="0" w:color="auto"/>
            </w:tcBorders>
            <w:noWrap/>
            <w:vAlign w:val="center"/>
          </w:tcPr>
          <w:p w14:paraId="01752F6B" w14:textId="77777777" w:rsidR="00124DDA" w:rsidRPr="00640564" w:rsidRDefault="00124DDA" w:rsidP="0024368A">
            <w:pPr>
              <w:shd w:val="clear" w:color="auto" w:fill="FFFFFF"/>
              <w:jc w:val="center"/>
              <w:rPr>
                <w:rFonts w:ascii="Arial" w:hAnsi="Arial" w:cs="Arial"/>
                <w:b/>
                <w:bCs/>
                <w:color w:val="000000"/>
                <w:sz w:val="20"/>
                <w:szCs w:val="20"/>
              </w:rPr>
            </w:pPr>
            <w:r w:rsidRPr="00640564">
              <w:rPr>
                <w:rFonts w:ascii="Arial" w:hAnsi="Arial" w:cs="Arial"/>
                <w:b/>
                <w:bCs/>
                <w:color w:val="000000"/>
                <w:sz w:val="20"/>
                <w:szCs w:val="20"/>
              </w:rPr>
              <w:t>Balancing measure</w:t>
            </w:r>
          </w:p>
        </w:tc>
      </w:tr>
      <w:tr w:rsidR="00124DDA" w14:paraId="4B6C4956" w14:textId="77777777" w:rsidTr="0024368A">
        <w:trPr>
          <w:trHeight w:val="285"/>
        </w:trPr>
        <w:tc>
          <w:tcPr>
            <w:tcW w:w="3299" w:type="dxa"/>
            <w:tcBorders>
              <w:top w:val="single" w:sz="4" w:space="0" w:color="auto"/>
              <w:left w:val="single" w:sz="4" w:space="0" w:color="auto"/>
              <w:bottom w:val="single" w:sz="4" w:space="0" w:color="auto"/>
              <w:right w:val="single" w:sz="4" w:space="0" w:color="auto"/>
            </w:tcBorders>
            <w:noWrap/>
            <w:vAlign w:val="center"/>
          </w:tcPr>
          <w:p w14:paraId="74A29E6C" w14:textId="77777777" w:rsidR="00124DDA" w:rsidRPr="00EF20CB" w:rsidRDefault="00124DDA" w:rsidP="0024368A">
            <w:pPr>
              <w:shd w:val="clear" w:color="auto" w:fill="FFFFFF"/>
              <w:rPr>
                <w:rFonts w:ascii="Arial" w:hAnsi="Arial" w:cs="Arial"/>
                <w:b/>
                <w:bCs/>
                <w:color w:val="000000"/>
                <w:sz w:val="20"/>
                <w:szCs w:val="20"/>
              </w:rPr>
            </w:pPr>
            <w:r w:rsidRPr="00EF20CB">
              <w:rPr>
                <w:rFonts w:ascii="Arial" w:hAnsi="Arial" w:cs="Arial"/>
                <w:b/>
                <w:bCs/>
                <w:color w:val="000000"/>
                <w:sz w:val="20"/>
                <w:szCs w:val="20"/>
              </w:rPr>
              <w:t>Balancing measure e.g.  waiting time to the 3</w:t>
            </w:r>
            <w:r w:rsidRPr="00EF20CB">
              <w:rPr>
                <w:rFonts w:ascii="Arial" w:hAnsi="Arial" w:cs="Arial"/>
                <w:b/>
                <w:bCs/>
                <w:color w:val="000000"/>
                <w:sz w:val="20"/>
                <w:szCs w:val="20"/>
                <w:vertAlign w:val="superscript"/>
              </w:rPr>
              <w:t>rd</w:t>
            </w:r>
            <w:r w:rsidRPr="00EF20CB">
              <w:rPr>
                <w:rFonts w:ascii="Arial" w:hAnsi="Arial" w:cs="Arial"/>
                <w:b/>
                <w:bCs/>
                <w:color w:val="000000"/>
                <w:sz w:val="20"/>
                <w:szCs w:val="20"/>
              </w:rPr>
              <w:t xml:space="preserve"> face to face contact from the C&amp;Y KPI programme</w:t>
            </w:r>
          </w:p>
        </w:tc>
        <w:tc>
          <w:tcPr>
            <w:tcW w:w="6101" w:type="dxa"/>
            <w:tcBorders>
              <w:top w:val="single" w:sz="4" w:space="0" w:color="auto"/>
              <w:left w:val="nil"/>
              <w:bottom w:val="single" w:sz="4" w:space="0" w:color="auto"/>
              <w:right w:val="single" w:sz="4" w:space="0" w:color="auto"/>
            </w:tcBorders>
            <w:vAlign w:val="center"/>
          </w:tcPr>
          <w:p w14:paraId="1DA48418" w14:textId="77777777" w:rsidR="00124DDA" w:rsidRDefault="00124DDA" w:rsidP="0024368A">
            <w:pPr>
              <w:shd w:val="clear" w:color="auto" w:fill="FFFFFF"/>
              <w:rPr>
                <w:rFonts w:ascii="Arial" w:hAnsi="Arial" w:cs="Arial"/>
                <w:color w:val="000000"/>
                <w:sz w:val="20"/>
                <w:szCs w:val="20"/>
              </w:rPr>
            </w:pPr>
            <w:r>
              <w:rPr>
                <w:rFonts w:ascii="Arial" w:hAnsi="Arial" w:cs="Arial"/>
                <w:b/>
                <w:bCs/>
                <w:color w:val="000000"/>
                <w:sz w:val="20"/>
                <w:szCs w:val="20"/>
              </w:rPr>
              <w:t>Measure this quarter e.g., Waiting time to the third face to face contact this quarter.</w:t>
            </w:r>
          </w:p>
        </w:tc>
      </w:tr>
      <w:tr w:rsidR="00124DDA" w14:paraId="396F7889" w14:textId="77777777" w:rsidTr="0024368A">
        <w:trPr>
          <w:trHeight w:val="285"/>
        </w:trPr>
        <w:tc>
          <w:tcPr>
            <w:tcW w:w="3299" w:type="dxa"/>
            <w:tcBorders>
              <w:top w:val="single" w:sz="4" w:space="0" w:color="auto"/>
              <w:left w:val="single" w:sz="4" w:space="0" w:color="auto"/>
              <w:bottom w:val="single" w:sz="4" w:space="0" w:color="auto"/>
              <w:right w:val="single" w:sz="4" w:space="0" w:color="auto"/>
            </w:tcBorders>
            <w:noWrap/>
            <w:vAlign w:val="center"/>
          </w:tcPr>
          <w:p w14:paraId="14464010" w14:textId="77777777" w:rsidR="00124DDA" w:rsidRDefault="00124DDA" w:rsidP="0024368A">
            <w:pPr>
              <w:shd w:val="clear" w:color="auto" w:fill="FFFFFF"/>
              <w:rPr>
                <w:rFonts w:ascii="Arial" w:hAnsi="Arial" w:cs="Arial"/>
                <w:color w:val="000000"/>
                <w:sz w:val="20"/>
                <w:szCs w:val="20"/>
              </w:rPr>
            </w:pPr>
          </w:p>
        </w:tc>
        <w:tc>
          <w:tcPr>
            <w:tcW w:w="6101" w:type="dxa"/>
            <w:tcBorders>
              <w:top w:val="single" w:sz="4" w:space="0" w:color="auto"/>
              <w:left w:val="nil"/>
              <w:bottom w:val="single" w:sz="4" w:space="0" w:color="auto"/>
              <w:right w:val="single" w:sz="4" w:space="0" w:color="auto"/>
            </w:tcBorders>
            <w:vAlign w:val="center"/>
          </w:tcPr>
          <w:p w14:paraId="661454CA" w14:textId="77777777" w:rsidR="00124DDA" w:rsidRDefault="00124DDA" w:rsidP="0024368A">
            <w:pPr>
              <w:shd w:val="clear" w:color="auto" w:fill="FFFFFF"/>
              <w:rPr>
                <w:rFonts w:ascii="Arial" w:hAnsi="Arial" w:cs="Arial"/>
                <w:color w:val="000000"/>
                <w:sz w:val="20"/>
                <w:szCs w:val="20"/>
              </w:rPr>
            </w:pPr>
          </w:p>
          <w:p w14:paraId="3505C551" w14:textId="77777777" w:rsidR="00124DDA" w:rsidRDefault="00124DDA" w:rsidP="0024368A">
            <w:pPr>
              <w:shd w:val="clear" w:color="auto" w:fill="FFFFFF"/>
              <w:rPr>
                <w:rFonts w:ascii="Arial" w:hAnsi="Arial" w:cs="Arial"/>
                <w:color w:val="000000"/>
                <w:sz w:val="20"/>
                <w:szCs w:val="20"/>
              </w:rPr>
            </w:pPr>
            <w:r>
              <w:rPr>
                <w:rFonts w:ascii="Arial" w:hAnsi="Arial" w:cs="Arial"/>
                <w:b/>
                <w:bCs/>
                <w:color w:val="000000"/>
                <w:sz w:val="20"/>
                <w:szCs w:val="20"/>
              </w:rPr>
              <w:t xml:space="preserve"> </w:t>
            </w:r>
          </w:p>
        </w:tc>
      </w:tr>
      <w:tr w:rsidR="00124DDA" w14:paraId="687CCF16" w14:textId="77777777" w:rsidTr="0024368A">
        <w:trPr>
          <w:trHeight w:val="285"/>
        </w:trPr>
        <w:tc>
          <w:tcPr>
            <w:tcW w:w="3299" w:type="dxa"/>
            <w:tcBorders>
              <w:top w:val="single" w:sz="4" w:space="0" w:color="auto"/>
              <w:left w:val="single" w:sz="4" w:space="0" w:color="auto"/>
              <w:bottom w:val="single" w:sz="4" w:space="0" w:color="auto"/>
              <w:right w:val="single" w:sz="4" w:space="0" w:color="auto"/>
            </w:tcBorders>
            <w:noWrap/>
            <w:vAlign w:val="center"/>
          </w:tcPr>
          <w:p w14:paraId="046FFDE2" w14:textId="77777777" w:rsidR="00124DDA" w:rsidRDefault="00124DDA" w:rsidP="0024368A">
            <w:pPr>
              <w:shd w:val="clear" w:color="auto" w:fill="FFFFFF"/>
              <w:rPr>
                <w:rFonts w:ascii="Arial" w:hAnsi="Arial" w:cs="Arial"/>
                <w:color w:val="000000"/>
                <w:sz w:val="20"/>
                <w:szCs w:val="20"/>
              </w:rPr>
            </w:pPr>
          </w:p>
          <w:p w14:paraId="576B7FF9" w14:textId="77777777" w:rsidR="00124DDA" w:rsidRDefault="00124DDA" w:rsidP="0024368A">
            <w:pPr>
              <w:shd w:val="clear" w:color="auto" w:fill="FFFFFF"/>
              <w:rPr>
                <w:rFonts w:ascii="Arial" w:hAnsi="Arial" w:cs="Arial"/>
                <w:color w:val="000000"/>
                <w:sz w:val="20"/>
                <w:szCs w:val="20"/>
              </w:rPr>
            </w:pPr>
          </w:p>
          <w:p w14:paraId="52194820" w14:textId="77777777" w:rsidR="00124DDA" w:rsidRDefault="00124DDA" w:rsidP="0024368A">
            <w:pPr>
              <w:shd w:val="clear" w:color="auto" w:fill="FFFFFF"/>
              <w:rPr>
                <w:rFonts w:ascii="Arial" w:hAnsi="Arial" w:cs="Arial"/>
                <w:color w:val="000000"/>
                <w:sz w:val="20"/>
                <w:szCs w:val="20"/>
              </w:rPr>
            </w:pPr>
          </w:p>
        </w:tc>
        <w:tc>
          <w:tcPr>
            <w:tcW w:w="6101" w:type="dxa"/>
            <w:tcBorders>
              <w:top w:val="single" w:sz="4" w:space="0" w:color="auto"/>
              <w:left w:val="nil"/>
              <w:bottom w:val="single" w:sz="4" w:space="0" w:color="auto"/>
              <w:right w:val="single" w:sz="4" w:space="0" w:color="auto"/>
            </w:tcBorders>
            <w:vAlign w:val="center"/>
          </w:tcPr>
          <w:p w14:paraId="2EF0D735" w14:textId="77777777" w:rsidR="00124DDA" w:rsidRDefault="00124DDA" w:rsidP="0024368A">
            <w:pPr>
              <w:shd w:val="clear" w:color="auto" w:fill="FFFFFF"/>
              <w:rPr>
                <w:rFonts w:ascii="Arial" w:hAnsi="Arial" w:cs="Arial"/>
                <w:b/>
                <w:bCs/>
                <w:color w:val="000000"/>
                <w:sz w:val="20"/>
                <w:szCs w:val="20"/>
              </w:rPr>
            </w:pPr>
          </w:p>
        </w:tc>
      </w:tr>
      <w:tr w:rsidR="00124DDA" w14:paraId="4AFD8A16" w14:textId="77777777" w:rsidTr="0024368A">
        <w:trPr>
          <w:trHeight w:val="285"/>
        </w:trPr>
        <w:tc>
          <w:tcPr>
            <w:tcW w:w="9400" w:type="dxa"/>
            <w:gridSpan w:val="2"/>
            <w:tcBorders>
              <w:top w:val="single" w:sz="4" w:space="0" w:color="auto"/>
              <w:bottom w:val="single" w:sz="4" w:space="0" w:color="auto"/>
            </w:tcBorders>
            <w:noWrap/>
            <w:vAlign w:val="center"/>
          </w:tcPr>
          <w:p w14:paraId="17218019" w14:textId="77777777" w:rsidR="00124DDA" w:rsidRDefault="00124DDA" w:rsidP="0024368A">
            <w:pPr>
              <w:shd w:val="clear" w:color="auto" w:fill="FFFFFF"/>
              <w:rPr>
                <w:rFonts w:ascii="Arial" w:hAnsi="Arial" w:cs="Arial"/>
                <w:color w:val="000000"/>
                <w:sz w:val="20"/>
                <w:szCs w:val="20"/>
              </w:rPr>
            </w:pPr>
          </w:p>
          <w:p w14:paraId="7B3BF148" w14:textId="77777777" w:rsidR="00124DDA" w:rsidRDefault="00124DDA" w:rsidP="0024368A">
            <w:pPr>
              <w:shd w:val="clear" w:color="auto" w:fill="FFFFFF"/>
              <w:rPr>
                <w:rFonts w:ascii="Arial" w:hAnsi="Arial" w:cs="Arial"/>
                <w:color w:val="000000"/>
                <w:sz w:val="20"/>
                <w:szCs w:val="20"/>
              </w:rPr>
            </w:pPr>
          </w:p>
          <w:p w14:paraId="45A44BD2" w14:textId="77777777" w:rsidR="00124DDA" w:rsidRDefault="00124DDA" w:rsidP="0024368A">
            <w:pPr>
              <w:shd w:val="clear" w:color="auto" w:fill="FFFFFF"/>
              <w:rPr>
                <w:rFonts w:ascii="Arial" w:hAnsi="Arial" w:cs="Arial"/>
                <w:color w:val="000000"/>
                <w:sz w:val="20"/>
                <w:szCs w:val="20"/>
              </w:rPr>
            </w:pPr>
          </w:p>
        </w:tc>
      </w:tr>
      <w:tr w:rsidR="00124DDA" w:rsidRPr="002C0FAE" w14:paraId="59D4FB0F" w14:textId="77777777" w:rsidTr="0024368A">
        <w:trPr>
          <w:trHeight w:val="285"/>
        </w:trPr>
        <w:tc>
          <w:tcPr>
            <w:tcW w:w="9400" w:type="dxa"/>
            <w:gridSpan w:val="2"/>
            <w:tcBorders>
              <w:top w:val="single" w:sz="4" w:space="0" w:color="auto"/>
              <w:left w:val="single" w:sz="4" w:space="0" w:color="auto"/>
              <w:bottom w:val="single" w:sz="4" w:space="0" w:color="auto"/>
              <w:right w:val="single" w:sz="4" w:space="0" w:color="auto"/>
            </w:tcBorders>
            <w:noWrap/>
            <w:vAlign w:val="center"/>
          </w:tcPr>
          <w:p w14:paraId="7BA73CD0" w14:textId="77777777" w:rsidR="00124DDA" w:rsidRPr="002C0FAE" w:rsidRDefault="00124DDA" w:rsidP="0024368A">
            <w:pPr>
              <w:shd w:val="clear" w:color="auto" w:fill="FFFFFF"/>
              <w:jc w:val="center"/>
              <w:rPr>
                <w:rFonts w:ascii="Arial" w:hAnsi="Arial" w:cs="Arial"/>
                <w:b/>
                <w:bCs/>
                <w:color w:val="000000"/>
                <w:sz w:val="20"/>
                <w:szCs w:val="20"/>
              </w:rPr>
            </w:pPr>
            <w:r w:rsidRPr="002C0FAE">
              <w:rPr>
                <w:rFonts w:ascii="Arial" w:hAnsi="Arial" w:cs="Arial"/>
                <w:b/>
                <w:bCs/>
                <w:color w:val="000000"/>
                <w:sz w:val="20"/>
                <w:szCs w:val="20"/>
              </w:rPr>
              <w:t>Narrative</w:t>
            </w:r>
          </w:p>
        </w:tc>
      </w:tr>
      <w:tr w:rsidR="00124DDA" w14:paraId="0853C628" w14:textId="77777777" w:rsidTr="0024368A">
        <w:trPr>
          <w:trHeight w:val="875"/>
        </w:trPr>
        <w:tc>
          <w:tcPr>
            <w:tcW w:w="3299" w:type="dxa"/>
            <w:tcBorders>
              <w:top w:val="single" w:sz="4" w:space="0" w:color="auto"/>
              <w:left w:val="single" w:sz="4" w:space="0" w:color="auto"/>
              <w:bottom w:val="single" w:sz="4" w:space="0" w:color="auto"/>
              <w:right w:val="single" w:sz="4" w:space="0" w:color="auto"/>
            </w:tcBorders>
            <w:noWrap/>
            <w:vAlign w:val="center"/>
          </w:tcPr>
          <w:p w14:paraId="5AB06642" w14:textId="77777777" w:rsidR="00124DDA" w:rsidRPr="001A60A3" w:rsidRDefault="00124DDA" w:rsidP="0024368A">
            <w:pPr>
              <w:shd w:val="clear" w:color="auto" w:fill="FFFFFF"/>
              <w:spacing w:before="60" w:after="60"/>
              <w:jc w:val="both"/>
              <w:rPr>
                <w:rFonts w:ascii="Arial" w:hAnsi="Arial" w:cs="Arial"/>
                <w:sz w:val="20"/>
                <w:szCs w:val="20"/>
              </w:rPr>
            </w:pPr>
            <w:r w:rsidRPr="001A60A3">
              <w:rPr>
                <w:rFonts w:ascii="Arial" w:hAnsi="Arial" w:cs="Arial"/>
                <w:sz w:val="20"/>
                <w:szCs w:val="20"/>
              </w:rPr>
              <w:t>What actions are being undertaken to reduce waiting times for young people</w:t>
            </w:r>
            <w:r>
              <w:rPr>
                <w:rFonts w:ascii="Arial" w:hAnsi="Arial" w:cs="Arial"/>
                <w:sz w:val="20"/>
                <w:szCs w:val="20"/>
              </w:rPr>
              <w:t>?</w:t>
            </w:r>
            <w:r w:rsidRPr="001A60A3">
              <w:rPr>
                <w:rFonts w:ascii="Arial" w:hAnsi="Arial" w:cs="Arial"/>
                <w:sz w:val="20"/>
                <w:szCs w:val="20"/>
              </w:rPr>
              <w:t xml:space="preserve"> </w:t>
            </w:r>
          </w:p>
          <w:p w14:paraId="3C4FDCD3" w14:textId="77777777" w:rsidR="00124DDA" w:rsidRPr="00B760AB" w:rsidRDefault="00124DDA" w:rsidP="0024368A">
            <w:pPr>
              <w:shd w:val="clear" w:color="auto" w:fill="FFFFFF"/>
              <w:spacing w:before="60" w:after="60"/>
              <w:jc w:val="both"/>
              <w:rPr>
                <w:rFonts w:ascii="Arial" w:hAnsi="Arial" w:cs="Arial"/>
                <w:sz w:val="20"/>
                <w:szCs w:val="20"/>
              </w:rPr>
            </w:pPr>
          </w:p>
        </w:tc>
        <w:tc>
          <w:tcPr>
            <w:tcW w:w="6101" w:type="dxa"/>
            <w:tcBorders>
              <w:top w:val="single" w:sz="4" w:space="0" w:color="auto"/>
              <w:left w:val="nil"/>
              <w:bottom w:val="single" w:sz="4" w:space="0" w:color="auto"/>
              <w:right w:val="single" w:sz="4" w:space="0" w:color="auto"/>
            </w:tcBorders>
            <w:vAlign w:val="center"/>
          </w:tcPr>
          <w:p w14:paraId="5ED7653D" w14:textId="77777777" w:rsidR="00124DDA" w:rsidRDefault="00124DDA" w:rsidP="0024368A">
            <w:pPr>
              <w:shd w:val="clear" w:color="auto" w:fill="FFFFFF"/>
              <w:rPr>
                <w:rFonts w:ascii="Arial" w:hAnsi="Arial" w:cs="Arial"/>
                <w:color w:val="000000"/>
                <w:sz w:val="20"/>
                <w:szCs w:val="20"/>
              </w:rPr>
            </w:pPr>
          </w:p>
        </w:tc>
      </w:tr>
      <w:tr w:rsidR="00124DDA" w14:paraId="783322B7" w14:textId="77777777" w:rsidTr="0024368A">
        <w:trPr>
          <w:trHeight w:val="875"/>
        </w:trPr>
        <w:tc>
          <w:tcPr>
            <w:tcW w:w="3299" w:type="dxa"/>
            <w:tcBorders>
              <w:top w:val="single" w:sz="4" w:space="0" w:color="auto"/>
              <w:left w:val="single" w:sz="4" w:space="0" w:color="auto"/>
              <w:bottom w:val="single" w:sz="4" w:space="0" w:color="auto"/>
              <w:right w:val="single" w:sz="4" w:space="0" w:color="auto"/>
            </w:tcBorders>
            <w:noWrap/>
            <w:vAlign w:val="center"/>
          </w:tcPr>
          <w:p w14:paraId="10E59CB7" w14:textId="77777777" w:rsidR="00124DDA" w:rsidRPr="00B760AB" w:rsidRDefault="00124DDA" w:rsidP="0024368A">
            <w:pPr>
              <w:shd w:val="clear" w:color="auto" w:fill="FFFFFF"/>
              <w:spacing w:before="60" w:after="60"/>
              <w:jc w:val="both"/>
              <w:rPr>
                <w:rFonts w:ascii="Arial" w:hAnsi="Arial" w:cs="Arial"/>
                <w:sz w:val="20"/>
                <w:szCs w:val="20"/>
              </w:rPr>
            </w:pPr>
            <w:r w:rsidRPr="00B760AB">
              <w:rPr>
                <w:rFonts w:ascii="Arial" w:hAnsi="Arial" w:cs="Arial"/>
                <w:sz w:val="20"/>
                <w:szCs w:val="20"/>
              </w:rPr>
              <w:t>How is the DHB working across service boundaries (Adult and Child and Youth) to improve waiting time</w:t>
            </w:r>
            <w:r>
              <w:rPr>
                <w:rFonts w:ascii="Arial" w:hAnsi="Arial" w:cs="Arial"/>
                <w:sz w:val="20"/>
                <w:szCs w:val="20"/>
              </w:rPr>
              <w:t>s?</w:t>
            </w:r>
          </w:p>
          <w:p w14:paraId="53B9C416" w14:textId="77777777" w:rsidR="00124DDA" w:rsidRDefault="00124DDA" w:rsidP="0024368A">
            <w:pPr>
              <w:shd w:val="clear" w:color="auto" w:fill="FFFFFF"/>
              <w:rPr>
                <w:rFonts w:ascii="Arial" w:hAnsi="Arial" w:cs="Arial"/>
                <w:color w:val="000000"/>
                <w:sz w:val="20"/>
                <w:szCs w:val="20"/>
              </w:rPr>
            </w:pPr>
          </w:p>
        </w:tc>
        <w:tc>
          <w:tcPr>
            <w:tcW w:w="6101" w:type="dxa"/>
            <w:tcBorders>
              <w:top w:val="single" w:sz="4" w:space="0" w:color="auto"/>
              <w:left w:val="nil"/>
              <w:bottom w:val="single" w:sz="4" w:space="0" w:color="auto"/>
              <w:right w:val="single" w:sz="4" w:space="0" w:color="auto"/>
            </w:tcBorders>
            <w:vAlign w:val="center"/>
          </w:tcPr>
          <w:p w14:paraId="18A47542" w14:textId="77777777" w:rsidR="00124DDA" w:rsidRDefault="00124DDA" w:rsidP="0024368A">
            <w:pPr>
              <w:shd w:val="clear" w:color="auto" w:fill="FFFFFF"/>
              <w:rPr>
                <w:rFonts w:ascii="Arial" w:hAnsi="Arial" w:cs="Arial"/>
                <w:color w:val="000000"/>
                <w:sz w:val="20"/>
                <w:szCs w:val="20"/>
              </w:rPr>
            </w:pPr>
          </w:p>
        </w:tc>
      </w:tr>
      <w:tr w:rsidR="00124DDA" w14:paraId="73BB9CFE" w14:textId="77777777" w:rsidTr="0024368A">
        <w:trPr>
          <w:trHeight w:val="1170"/>
        </w:trPr>
        <w:tc>
          <w:tcPr>
            <w:tcW w:w="3299" w:type="dxa"/>
            <w:tcBorders>
              <w:top w:val="single" w:sz="4" w:space="0" w:color="auto"/>
              <w:left w:val="single" w:sz="4" w:space="0" w:color="auto"/>
              <w:bottom w:val="single" w:sz="4" w:space="0" w:color="auto"/>
              <w:right w:val="single" w:sz="4" w:space="0" w:color="auto"/>
            </w:tcBorders>
            <w:noWrap/>
            <w:vAlign w:val="center"/>
          </w:tcPr>
          <w:p w14:paraId="5CC7BA18" w14:textId="77777777" w:rsidR="00124DDA" w:rsidRPr="00B760AB" w:rsidRDefault="00124DDA" w:rsidP="0024368A">
            <w:pPr>
              <w:shd w:val="clear" w:color="auto" w:fill="FFFFFF"/>
              <w:spacing w:before="60" w:after="60"/>
              <w:jc w:val="both"/>
              <w:rPr>
                <w:rFonts w:ascii="Arial" w:hAnsi="Arial" w:cs="Arial"/>
                <w:sz w:val="20"/>
                <w:szCs w:val="20"/>
              </w:rPr>
            </w:pPr>
            <w:r w:rsidRPr="00B760AB">
              <w:rPr>
                <w:rFonts w:ascii="Arial" w:hAnsi="Arial" w:cs="Arial"/>
                <w:sz w:val="20"/>
                <w:szCs w:val="20"/>
              </w:rPr>
              <w:t xml:space="preserve">How </w:t>
            </w:r>
            <w:r>
              <w:rPr>
                <w:rFonts w:ascii="Arial" w:hAnsi="Arial" w:cs="Arial"/>
                <w:sz w:val="20"/>
                <w:szCs w:val="20"/>
              </w:rPr>
              <w:t>are</w:t>
            </w:r>
            <w:r w:rsidRPr="00B760AB">
              <w:rPr>
                <w:rFonts w:ascii="Arial" w:hAnsi="Arial" w:cs="Arial"/>
                <w:sz w:val="20"/>
                <w:szCs w:val="20"/>
              </w:rPr>
              <w:t xml:space="preserve"> the DHB adult services prioritising the needs of </w:t>
            </w:r>
            <w:proofErr w:type="gramStart"/>
            <w:r w:rsidRPr="00B760AB">
              <w:rPr>
                <w:rFonts w:ascii="Arial" w:hAnsi="Arial" w:cs="Arial"/>
                <w:sz w:val="20"/>
                <w:szCs w:val="20"/>
              </w:rPr>
              <w:t>18-24-year olds</w:t>
            </w:r>
            <w:proofErr w:type="gramEnd"/>
            <w:r w:rsidRPr="00B760AB">
              <w:rPr>
                <w:rFonts w:ascii="Arial" w:hAnsi="Arial" w:cs="Arial"/>
                <w:sz w:val="20"/>
                <w:szCs w:val="20"/>
              </w:rPr>
              <w:t>?</w:t>
            </w:r>
          </w:p>
          <w:p w14:paraId="753B0F0B" w14:textId="77777777" w:rsidR="00124DDA" w:rsidRDefault="00124DDA" w:rsidP="0024368A">
            <w:pPr>
              <w:shd w:val="clear" w:color="auto" w:fill="FFFFFF"/>
              <w:rPr>
                <w:rFonts w:ascii="Arial" w:hAnsi="Arial" w:cs="Arial"/>
                <w:color w:val="000000"/>
                <w:sz w:val="20"/>
                <w:szCs w:val="20"/>
              </w:rPr>
            </w:pPr>
          </w:p>
        </w:tc>
        <w:tc>
          <w:tcPr>
            <w:tcW w:w="6101" w:type="dxa"/>
            <w:tcBorders>
              <w:top w:val="single" w:sz="4" w:space="0" w:color="auto"/>
              <w:left w:val="nil"/>
              <w:bottom w:val="single" w:sz="4" w:space="0" w:color="auto"/>
              <w:right w:val="single" w:sz="4" w:space="0" w:color="auto"/>
            </w:tcBorders>
            <w:vAlign w:val="center"/>
          </w:tcPr>
          <w:p w14:paraId="75BD2183" w14:textId="77777777" w:rsidR="00124DDA" w:rsidRDefault="00124DDA" w:rsidP="0024368A">
            <w:pPr>
              <w:shd w:val="clear" w:color="auto" w:fill="FFFFFF"/>
              <w:rPr>
                <w:rFonts w:ascii="Arial" w:hAnsi="Arial" w:cs="Arial"/>
                <w:color w:val="000000"/>
                <w:sz w:val="20"/>
                <w:szCs w:val="20"/>
              </w:rPr>
            </w:pPr>
          </w:p>
        </w:tc>
      </w:tr>
    </w:tbl>
    <w:p w14:paraId="79FA9C86" w14:textId="77777777" w:rsidR="006B78FD" w:rsidRDefault="006B78FD" w:rsidP="00E2735C">
      <w:pPr>
        <w:shd w:val="clear" w:color="auto" w:fill="FFFFFF"/>
        <w:rPr>
          <w:rFonts w:ascii="Arial" w:hAnsi="Arial" w:cs="Arial"/>
          <w:b/>
          <w:i/>
        </w:rPr>
      </w:pPr>
    </w:p>
    <w:p w14:paraId="1E53C11C" w14:textId="77777777" w:rsidR="006B78FD" w:rsidRDefault="006B78FD" w:rsidP="00E2735C">
      <w:pPr>
        <w:shd w:val="clear" w:color="auto" w:fill="FFFFFF"/>
        <w:rPr>
          <w:rFonts w:ascii="Arial" w:hAnsi="Arial" w:cs="Arial"/>
          <w:b/>
          <w:i/>
        </w:rPr>
      </w:pPr>
    </w:p>
    <w:p w14:paraId="2F414818" w14:textId="77777777" w:rsidR="00124DDA" w:rsidRDefault="00124DDA">
      <w:pPr>
        <w:rPr>
          <w:rFonts w:ascii="Arial" w:hAnsi="Arial" w:cs="Arial"/>
          <w:b/>
          <w:i/>
        </w:rPr>
      </w:pPr>
      <w:r>
        <w:rPr>
          <w:rFonts w:ascii="Arial" w:hAnsi="Arial" w:cs="Arial"/>
          <w:b/>
          <w:i/>
        </w:rPr>
        <w:br w:type="page"/>
      </w:r>
    </w:p>
    <w:p w14:paraId="6A3B3AE8" w14:textId="5DE181E6" w:rsidR="00E2735C" w:rsidRPr="007B6F0D" w:rsidRDefault="00E2735C" w:rsidP="00E2735C">
      <w:pPr>
        <w:shd w:val="clear" w:color="auto" w:fill="FFFFFF"/>
        <w:rPr>
          <w:rFonts w:ascii="Arial" w:hAnsi="Arial" w:cs="Arial"/>
          <w:b/>
          <w:i/>
        </w:rPr>
      </w:pPr>
      <w:r>
        <w:rPr>
          <w:rFonts w:ascii="Arial" w:hAnsi="Arial" w:cs="Arial"/>
          <w:b/>
          <w:i/>
        </w:rPr>
        <w:lastRenderedPageBreak/>
        <w:t>Outcome priority</w:t>
      </w:r>
      <w:r w:rsidRPr="007B6F0D">
        <w:rPr>
          <w:rFonts w:ascii="Arial" w:hAnsi="Arial" w:cs="Arial"/>
          <w:b/>
          <w:i/>
        </w:rPr>
        <w:t xml:space="preserve">:  </w:t>
      </w:r>
      <w:r>
        <w:rPr>
          <w:rFonts w:ascii="Arial" w:hAnsi="Arial" w:cs="Arial"/>
          <w:b/>
          <w:i/>
        </w:rPr>
        <w:t>We live longer in good health:</w:t>
      </w:r>
    </w:p>
    <w:p w14:paraId="7D4FC0D3" w14:textId="79C4430E" w:rsidR="00E2735C" w:rsidRDefault="00082D73" w:rsidP="00E2735C">
      <w:pPr>
        <w:pStyle w:val="Heading2"/>
        <w:rPr>
          <w:sz w:val="24"/>
          <w:szCs w:val="24"/>
        </w:rPr>
      </w:pPr>
      <w:bookmarkStart w:id="472" w:name="_Toc4588548"/>
      <w:bookmarkStart w:id="473" w:name="_Toc9592018"/>
      <w:r>
        <w:t>Improving m</w:t>
      </w:r>
      <w:r w:rsidR="00E2735C">
        <w:t xml:space="preserve">ental </w:t>
      </w:r>
      <w:r w:rsidR="003101B5">
        <w:t>wellbeing</w:t>
      </w:r>
      <w:r w:rsidR="00E2735C">
        <w:t xml:space="preserve"> </w:t>
      </w:r>
      <w:bookmarkStart w:id="474" w:name="_Hlk80707872"/>
      <w:r w:rsidR="00E2735C">
        <w:t>MH04:</w:t>
      </w:r>
      <w:r w:rsidR="00E2735C" w:rsidRPr="0060005D">
        <w:t xml:space="preserve">  Mental Health and Addiction Service </w:t>
      </w:r>
      <w:r w:rsidR="00E2735C" w:rsidRPr="008405D0">
        <w:t>Development</w:t>
      </w:r>
      <w:r w:rsidR="00E2735C">
        <w:t xml:space="preserve"> </w:t>
      </w:r>
      <w:bookmarkEnd w:id="472"/>
      <w:bookmarkEnd w:id="47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E2735C" w:rsidRPr="00B44AD8" w14:paraId="075DA15F" w14:textId="77777777" w:rsidTr="009D6F69">
        <w:tc>
          <w:tcPr>
            <w:tcW w:w="10094" w:type="dxa"/>
            <w:gridSpan w:val="2"/>
            <w:shd w:val="clear" w:color="auto" w:fill="D9D9D9"/>
          </w:tcPr>
          <w:bookmarkEnd w:id="474"/>
          <w:p w14:paraId="1FE3F5E9" w14:textId="77777777" w:rsidR="00E2735C" w:rsidRPr="00B44AD8" w:rsidRDefault="00E2735C"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E2735C" w:rsidRPr="00B44AD8" w14:paraId="1CCFF54B" w14:textId="77777777" w:rsidTr="009D6F69">
        <w:tc>
          <w:tcPr>
            <w:tcW w:w="2864" w:type="dxa"/>
            <w:shd w:val="clear" w:color="auto" w:fill="auto"/>
          </w:tcPr>
          <w:p w14:paraId="2E04760E" w14:textId="77777777" w:rsidR="00E2735C" w:rsidRPr="00B44AD8" w:rsidRDefault="00E2735C"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7C31C7EE" w14:textId="77777777" w:rsidR="00E2735C" w:rsidRPr="00B44AD8" w:rsidRDefault="00E2735C"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E2735C" w:rsidRPr="00B44AD8" w14:paraId="1D571AD7" w14:textId="77777777" w:rsidTr="009D6F69">
        <w:trPr>
          <w:trHeight w:val="493"/>
        </w:trPr>
        <w:tc>
          <w:tcPr>
            <w:tcW w:w="2864" w:type="dxa"/>
            <w:shd w:val="clear" w:color="auto" w:fill="auto"/>
          </w:tcPr>
          <w:p w14:paraId="7101ED39" w14:textId="77777777" w:rsidR="00E2735C" w:rsidRPr="00B44AD8" w:rsidRDefault="00E2735C"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71F69FA3" w14:textId="77777777" w:rsidR="00E2735C" w:rsidRPr="00B44AD8" w:rsidRDefault="00E2735C" w:rsidP="009D6F69">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E2735C" w:rsidRPr="00B44AD8" w14:paraId="2B51F52F" w14:textId="77777777" w:rsidTr="009D6F69">
        <w:tc>
          <w:tcPr>
            <w:tcW w:w="2864" w:type="dxa"/>
            <w:shd w:val="clear" w:color="auto" w:fill="auto"/>
          </w:tcPr>
          <w:p w14:paraId="31AD6FDD" w14:textId="77777777" w:rsidR="00E2735C" w:rsidRPr="00B44AD8" w:rsidRDefault="00E2735C"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65A94F3E" w14:textId="77777777" w:rsidR="00E2735C" w:rsidRPr="00B44AD8" w:rsidRDefault="00E2735C" w:rsidP="009D6F69">
            <w:pPr>
              <w:shd w:val="clear" w:color="auto" w:fill="FFFFFF"/>
              <w:spacing w:before="60" w:after="60"/>
              <w:rPr>
                <w:rFonts w:ascii="Arial" w:hAnsi="Arial" w:cs="Arial"/>
                <w:i/>
                <w:sz w:val="20"/>
                <w:szCs w:val="20"/>
              </w:rPr>
            </w:pPr>
            <w:r>
              <w:rPr>
                <w:rFonts w:ascii="Arial" w:hAnsi="Arial" w:cs="Arial"/>
                <w:i/>
                <w:sz w:val="20"/>
                <w:szCs w:val="20"/>
              </w:rPr>
              <w:t xml:space="preserve">DHBs to provide reports as outlined </w:t>
            </w:r>
          </w:p>
        </w:tc>
      </w:tr>
      <w:tr w:rsidR="00E2735C" w:rsidRPr="00B44AD8" w14:paraId="7E6F2F10" w14:textId="77777777" w:rsidTr="009D6F69">
        <w:trPr>
          <w:trHeight w:val="2182"/>
        </w:trPr>
        <w:tc>
          <w:tcPr>
            <w:tcW w:w="2864" w:type="dxa"/>
            <w:shd w:val="clear" w:color="auto" w:fill="auto"/>
          </w:tcPr>
          <w:p w14:paraId="0237E8FD" w14:textId="77777777" w:rsidR="00E2735C" w:rsidRPr="00B44AD8" w:rsidRDefault="00E2735C"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35F1EE61" w14:textId="77777777" w:rsidR="00E2735C" w:rsidRPr="00B44AD8" w:rsidRDefault="00E2735C"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E2735C" w:rsidRPr="00B44AD8" w14:paraId="22ED1F2A"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2C91F"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787E"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E2735C" w:rsidRPr="00B44AD8" w14:paraId="2FDE37C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15A3B"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F90AD"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E2735C" w:rsidRPr="00B44AD8" w14:paraId="6C0FA6BC"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FB672"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720BD"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E2735C" w:rsidRPr="00B44AD8" w14:paraId="598813A5"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5D5A"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624A1" w14:textId="77777777" w:rsidR="00E2735C" w:rsidRPr="00B44AD8" w:rsidRDefault="00E2735C"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54669501" w14:textId="77777777" w:rsidR="00E2735C" w:rsidRPr="00B44AD8" w:rsidRDefault="00E2735C" w:rsidP="009D6F69">
            <w:pPr>
              <w:shd w:val="clear" w:color="auto" w:fill="FFFFFF"/>
              <w:spacing w:before="60" w:after="60"/>
              <w:jc w:val="both"/>
              <w:rPr>
                <w:rFonts w:ascii="Arial" w:hAnsi="Arial" w:cs="Arial"/>
                <w:i/>
                <w:sz w:val="16"/>
                <w:szCs w:val="16"/>
              </w:rPr>
            </w:pPr>
          </w:p>
        </w:tc>
      </w:tr>
    </w:tbl>
    <w:p w14:paraId="0A6D61A4" w14:textId="77777777" w:rsidR="00E2735C" w:rsidRPr="003028EF" w:rsidRDefault="00E2735C" w:rsidP="00E2735C">
      <w:pPr>
        <w:pStyle w:val="SubOne"/>
        <w:shd w:val="clear" w:color="auto" w:fill="FFFFFF"/>
        <w:spacing w:before="60" w:after="60"/>
        <w:jc w:val="both"/>
        <w:rPr>
          <w:i/>
        </w:rPr>
      </w:pPr>
      <w:r w:rsidRPr="005D6BDC">
        <w:t>L</w:t>
      </w:r>
      <w:r>
        <w:t>ink to outcomes and priority areas</w:t>
      </w:r>
    </w:p>
    <w:p w14:paraId="2147888D" w14:textId="77777777" w:rsidR="00E2735C" w:rsidRPr="0072302C" w:rsidRDefault="00E2735C" w:rsidP="00E2735C">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504E56FF" w14:textId="77777777" w:rsidR="00E2735C" w:rsidRPr="00E2286A" w:rsidRDefault="00E2735C" w:rsidP="00E2735C">
      <w:pPr>
        <w:spacing w:before="60" w:after="60"/>
        <w:jc w:val="both"/>
        <w:rPr>
          <w:rFonts w:ascii="Arial" w:hAnsi="Arial" w:cs="Arial"/>
          <w:sz w:val="22"/>
          <w:szCs w:val="22"/>
        </w:rPr>
      </w:pPr>
      <w:r>
        <w:rPr>
          <w:rFonts w:ascii="Arial" w:hAnsi="Arial" w:cs="Arial"/>
        </w:rPr>
        <w:t>By focusing on mental health and addiction service development D</w:t>
      </w:r>
      <w:r w:rsidRPr="00E2286A">
        <w:rPr>
          <w:rFonts w:ascii="Arial" w:hAnsi="Arial" w:cs="Arial"/>
        </w:rPr>
        <w:t>HB</w:t>
      </w:r>
      <w:r>
        <w:rPr>
          <w:rFonts w:ascii="Arial" w:hAnsi="Arial" w:cs="Arial"/>
        </w:rPr>
        <w:t>s</w:t>
      </w:r>
      <w:r w:rsidRPr="00E2286A">
        <w:rPr>
          <w:rFonts w:ascii="Arial" w:hAnsi="Arial" w:cs="Arial"/>
        </w:rPr>
        <w:t xml:space="preserve"> will support Government's priority to ensure everyone who is able is earning, learning, </w:t>
      </w:r>
      <w:proofErr w:type="gramStart"/>
      <w:r w:rsidRPr="00E2286A">
        <w:rPr>
          <w:rFonts w:ascii="Arial" w:hAnsi="Arial" w:cs="Arial"/>
        </w:rPr>
        <w:t>caring</w:t>
      </w:r>
      <w:proofErr w:type="gramEnd"/>
      <w:r w:rsidRPr="00E2286A">
        <w:rPr>
          <w:rFonts w:ascii="Arial" w:hAnsi="Arial" w:cs="Arial"/>
        </w:rPr>
        <w:t xml:space="preserve"> or volunteering and our system outcome that we </w:t>
      </w:r>
      <w:r>
        <w:rPr>
          <w:rFonts w:ascii="Arial" w:hAnsi="Arial" w:cs="Arial"/>
        </w:rPr>
        <w:t>live longer in good health</w:t>
      </w:r>
      <w:r w:rsidRPr="00E2286A">
        <w:rPr>
          <w:rFonts w:ascii="Arial" w:hAnsi="Arial" w:cs="Arial"/>
        </w:rPr>
        <w:t>.</w:t>
      </w:r>
    </w:p>
    <w:p w14:paraId="686C634E" w14:textId="77777777" w:rsidR="00E2735C" w:rsidRPr="000F6D37" w:rsidRDefault="00E2735C" w:rsidP="00E2735C">
      <w:pPr>
        <w:spacing w:before="60" w:after="60"/>
        <w:jc w:val="both"/>
        <w:rPr>
          <w:rFonts w:ascii="Arial" w:hAnsi="Arial" w:cs="Arial"/>
        </w:rPr>
      </w:pPr>
      <w:r w:rsidRPr="000F6D37">
        <w:rPr>
          <w:rFonts w:ascii="Arial" w:hAnsi="Arial" w:cs="Arial"/>
        </w:rPr>
        <w:t>Service development aims to ensure that across the spectrum of primary, specialist treatment and support services access and appropriateness will be enhanced; continuity of care will be strengthened while improving efficiency and sustainability leading to a more independent/high quality of life for people using services.</w:t>
      </w:r>
    </w:p>
    <w:p w14:paraId="212A8C0B" w14:textId="77777777" w:rsidR="00E2735C" w:rsidRPr="0007551D" w:rsidRDefault="00E2735C" w:rsidP="00E2735C">
      <w:pPr>
        <w:spacing w:before="60" w:after="60"/>
        <w:jc w:val="both"/>
        <w:rPr>
          <w:rFonts w:ascii="Arial" w:hAnsi="Arial" w:cs="Arial"/>
          <w:b/>
          <w:sz w:val="22"/>
          <w:szCs w:val="22"/>
        </w:rPr>
      </w:pPr>
    </w:p>
    <w:p w14:paraId="784B3A44" w14:textId="77777777" w:rsidR="00E2735C" w:rsidRPr="0007551D" w:rsidRDefault="00E2735C" w:rsidP="00E2735C">
      <w:pPr>
        <w:pBdr>
          <w:top w:val="single" w:sz="12" w:space="1" w:color="auto"/>
        </w:pBdr>
        <w:spacing w:before="60" w:after="60"/>
        <w:jc w:val="both"/>
        <w:rPr>
          <w:rFonts w:ascii="Arial" w:hAnsi="Arial" w:cs="Arial"/>
          <w:sz w:val="22"/>
          <w:szCs w:val="22"/>
        </w:rPr>
      </w:pPr>
      <w:proofErr w:type="gramStart"/>
      <w:r w:rsidRPr="0007551D">
        <w:rPr>
          <w:rFonts w:ascii="Arial" w:hAnsi="Arial" w:cs="Arial"/>
          <w:b/>
          <w:sz w:val="22"/>
          <w:szCs w:val="22"/>
        </w:rPr>
        <w:t>Deliverables</w:t>
      </w:r>
      <w:proofErr w:type="gramEnd"/>
      <w:r w:rsidRPr="0007551D">
        <w:rPr>
          <w:rFonts w:ascii="Arial" w:hAnsi="Arial" w:cs="Arial"/>
          <w:b/>
          <w:sz w:val="22"/>
          <w:szCs w:val="22"/>
        </w:rPr>
        <w:t xml:space="preserve"> definitions</w:t>
      </w:r>
    </w:p>
    <w:p w14:paraId="79072C59" w14:textId="77777777" w:rsidR="00E2735C" w:rsidRPr="0007551D" w:rsidRDefault="00E2735C" w:rsidP="00E2735C">
      <w:pPr>
        <w:spacing w:before="60" w:after="60"/>
        <w:jc w:val="both"/>
        <w:rPr>
          <w:rFonts w:ascii="Arial" w:hAnsi="Arial" w:cs="Arial"/>
          <w:b/>
          <w:sz w:val="22"/>
          <w:szCs w:val="22"/>
          <w:u w:val="single"/>
        </w:rPr>
      </w:pPr>
      <w:r w:rsidRPr="0007551D">
        <w:rPr>
          <w:rFonts w:ascii="Arial" w:hAnsi="Arial" w:cs="Arial"/>
          <w:b/>
          <w:sz w:val="22"/>
          <w:szCs w:val="22"/>
          <w:u w:val="single"/>
        </w:rPr>
        <w:t xml:space="preserve">Focus area 1: Primary Mental Health </w:t>
      </w:r>
      <w:r w:rsidRPr="0007551D">
        <w:rPr>
          <w:rFonts w:ascii="Arial" w:hAnsi="Arial" w:cs="Arial"/>
          <w:sz w:val="22"/>
          <w:szCs w:val="22"/>
          <w:u w:val="single"/>
        </w:rPr>
        <w:t>(Note - this focus area individually identified on performance dashboard)</w:t>
      </w:r>
    </w:p>
    <w:p w14:paraId="233D5708" w14:textId="77777777" w:rsidR="00E2735C" w:rsidRPr="0007551D" w:rsidRDefault="00E2735C" w:rsidP="00E2735C">
      <w:pPr>
        <w:spacing w:line="264" w:lineRule="auto"/>
        <w:rPr>
          <w:rFonts w:ascii="Arial" w:hAnsi="Arial" w:cs="Arial"/>
          <w:sz w:val="22"/>
          <w:szCs w:val="22"/>
          <w:lang w:eastAsia="en-GB"/>
        </w:rPr>
      </w:pPr>
      <w:r w:rsidRPr="0007551D">
        <w:rPr>
          <w:rFonts w:ascii="Arial" w:hAnsi="Arial" w:cs="Arial"/>
          <w:sz w:val="22"/>
          <w:szCs w:val="22"/>
          <w:lang w:eastAsia="en-GB"/>
        </w:rPr>
        <w:t xml:space="preserve">As part of the implementation of goal six </w:t>
      </w:r>
      <w:r w:rsidRPr="0007551D">
        <w:rPr>
          <w:rFonts w:ascii="Arial" w:hAnsi="Arial" w:cs="Arial"/>
          <w:i/>
          <w:sz w:val="22"/>
          <w:szCs w:val="22"/>
          <w:lang w:eastAsia="en-GB"/>
        </w:rPr>
        <w:t>Delivering increased access for adults with high-prevalence conditions while increasing service integration and effectiveness</w:t>
      </w:r>
      <w:r w:rsidRPr="0007551D">
        <w:rPr>
          <w:rFonts w:ascii="Arial" w:hAnsi="Arial" w:cs="Arial"/>
          <w:sz w:val="22"/>
          <w:szCs w:val="22"/>
          <w:lang w:eastAsia="en-GB"/>
        </w:rPr>
        <w:t xml:space="preserve">, the Ministry monitors access to evidence-informed psychological therapies for mental health and addictions issues in primary care. </w:t>
      </w:r>
    </w:p>
    <w:p w14:paraId="03409BC3" w14:textId="77777777" w:rsidR="00E2735C" w:rsidRPr="0007551D" w:rsidRDefault="00E2735C" w:rsidP="00E2735C">
      <w:pPr>
        <w:spacing w:line="264" w:lineRule="auto"/>
        <w:rPr>
          <w:rFonts w:ascii="Arial" w:hAnsi="Arial" w:cs="Arial"/>
          <w:sz w:val="22"/>
          <w:szCs w:val="22"/>
          <w:lang w:eastAsia="en-GB"/>
        </w:rPr>
      </w:pPr>
    </w:p>
    <w:p w14:paraId="60A430C0" w14:textId="77777777" w:rsidR="00E2735C" w:rsidRPr="0007551D" w:rsidRDefault="00E2735C" w:rsidP="00E2735C">
      <w:pPr>
        <w:autoSpaceDE w:val="0"/>
        <w:autoSpaceDN w:val="0"/>
        <w:adjustRightInd w:val="0"/>
        <w:rPr>
          <w:rFonts w:ascii="Arial" w:hAnsi="Arial" w:cs="Arial"/>
          <w:sz w:val="22"/>
          <w:szCs w:val="22"/>
          <w:lang w:eastAsia="en-GB"/>
        </w:rPr>
      </w:pPr>
      <w:r w:rsidRPr="0007551D">
        <w:rPr>
          <w:rFonts w:ascii="Arial" w:hAnsi="Arial" w:cs="Arial"/>
          <w:sz w:val="22"/>
          <w:szCs w:val="22"/>
          <w:lang w:eastAsia="en-GB"/>
        </w:rPr>
        <w:t xml:space="preserve">Primary mental health and addiction interventions are for people presenting with mild to moderate mental health and addiction problems. In addition to the general primary care response to the needs of people of any age, access to primary mental health interventions </w:t>
      </w:r>
      <w:proofErr w:type="gramStart"/>
      <w:r w:rsidRPr="0007551D">
        <w:rPr>
          <w:rFonts w:ascii="Arial" w:hAnsi="Arial" w:cs="Arial"/>
          <w:sz w:val="22"/>
          <w:szCs w:val="22"/>
          <w:lang w:eastAsia="en-GB"/>
        </w:rPr>
        <w:t>are</w:t>
      </w:r>
      <w:proofErr w:type="gramEnd"/>
      <w:r w:rsidRPr="0007551D">
        <w:rPr>
          <w:rFonts w:ascii="Arial" w:hAnsi="Arial" w:cs="Arial"/>
          <w:sz w:val="22"/>
          <w:szCs w:val="22"/>
          <w:lang w:eastAsia="en-GB"/>
        </w:rPr>
        <w:t xml:space="preserve"> funded for the following specific population groups:</w:t>
      </w:r>
    </w:p>
    <w:p w14:paraId="15EF1656" w14:textId="77777777" w:rsidR="00E2735C" w:rsidRPr="0007551D" w:rsidRDefault="00E2735C" w:rsidP="00C04FF1">
      <w:pPr>
        <w:numPr>
          <w:ilvl w:val="0"/>
          <w:numId w:val="38"/>
        </w:numPr>
        <w:spacing w:before="90" w:after="160" w:line="264" w:lineRule="auto"/>
        <w:contextualSpacing/>
        <w:rPr>
          <w:rFonts w:ascii="Arial" w:hAnsi="Arial" w:cs="Arial"/>
          <w:sz w:val="22"/>
          <w:szCs w:val="22"/>
          <w:lang w:eastAsia="en-GB"/>
        </w:rPr>
      </w:pPr>
      <w:r w:rsidRPr="0007551D">
        <w:rPr>
          <w:rFonts w:ascii="Arial" w:hAnsi="Arial" w:cs="Arial"/>
          <w:color w:val="000000"/>
          <w:sz w:val="22"/>
          <w:szCs w:val="22"/>
        </w:rPr>
        <w:t>The enrolled adult population focused on Maori, Pacific and/or low income. The expected outcome is increased access to psychological and psychosocial interventions for these at-risk groups.</w:t>
      </w:r>
    </w:p>
    <w:p w14:paraId="1038B0E5" w14:textId="77777777" w:rsidR="00E2735C" w:rsidRPr="0007551D" w:rsidRDefault="00E2735C" w:rsidP="00C04FF1">
      <w:pPr>
        <w:numPr>
          <w:ilvl w:val="0"/>
          <w:numId w:val="38"/>
        </w:numPr>
        <w:autoSpaceDE w:val="0"/>
        <w:autoSpaceDN w:val="0"/>
        <w:adjustRightInd w:val="0"/>
        <w:spacing w:after="120" w:line="264" w:lineRule="auto"/>
        <w:contextualSpacing/>
        <w:rPr>
          <w:rFonts w:ascii="Arial" w:hAnsi="Arial" w:cs="Arial"/>
          <w:color w:val="000000"/>
          <w:sz w:val="22"/>
          <w:szCs w:val="22"/>
        </w:rPr>
      </w:pPr>
      <w:r w:rsidRPr="0007551D">
        <w:rPr>
          <w:rFonts w:ascii="Arial" w:hAnsi="Arial" w:cs="Arial"/>
          <w:color w:val="000000"/>
          <w:sz w:val="22"/>
          <w:szCs w:val="22"/>
        </w:rPr>
        <w:t xml:space="preserve">Youth primary mental health services, available to all youth in the </w:t>
      </w:r>
      <w:proofErr w:type="gramStart"/>
      <w:r w:rsidRPr="0007551D">
        <w:rPr>
          <w:rFonts w:ascii="Arial" w:hAnsi="Arial" w:cs="Arial"/>
          <w:color w:val="000000"/>
          <w:sz w:val="22"/>
          <w:szCs w:val="22"/>
        </w:rPr>
        <w:t>12 to 19 year</w:t>
      </w:r>
      <w:proofErr w:type="gramEnd"/>
      <w:r w:rsidRPr="0007551D">
        <w:rPr>
          <w:rFonts w:ascii="Arial" w:hAnsi="Arial" w:cs="Arial"/>
          <w:color w:val="000000"/>
          <w:sz w:val="22"/>
          <w:szCs w:val="22"/>
        </w:rPr>
        <w:t xml:space="preserve"> age group (regardless of PHO enrolment) who require such a service. The expected outcomes are to enable early identification of developing mental health and/or addiction issues and better access to timely and appropriate treatment and follow up.</w:t>
      </w:r>
    </w:p>
    <w:p w14:paraId="69E6F7E3" w14:textId="77777777" w:rsidR="00E2735C" w:rsidRPr="0007551D" w:rsidRDefault="00E2735C" w:rsidP="00E2735C">
      <w:pPr>
        <w:autoSpaceDE w:val="0"/>
        <w:autoSpaceDN w:val="0"/>
        <w:adjustRightInd w:val="0"/>
        <w:rPr>
          <w:rFonts w:ascii="Arial" w:hAnsi="Arial" w:cs="Arial"/>
          <w:b/>
          <w:color w:val="000000"/>
          <w:sz w:val="22"/>
          <w:szCs w:val="22"/>
        </w:rPr>
      </w:pPr>
    </w:p>
    <w:p w14:paraId="5CC0B03B" w14:textId="77777777" w:rsidR="00E2735C" w:rsidRPr="0007551D" w:rsidRDefault="00E2735C" w:rsidP="00E2735C">
      <w:pPr>
        <w:autoSpaceDE w:val="0"/>
        <w:autoSpaceDN w:val="0"/>
        <w:adjustRightInd w:val="0"/>
        <w:rPr>
          <w:rFonts w:ascii="Arial" w:hAnsi="Arial" w:cs="Arial"/>
          <w:b/>
          <w:color w:val="000000"/>
          <w:sz w:val="22"/>
          <w:szCs w:val="22"/>
        </w:rPr>
      </w:pPr>
      <w:r w:rsidRPr="0007551D">
        <w:rPr>
          <w:rFonts w:ascii="Arial" w:hAnsi="Arial" w:cs="Arial"/>
          <w:b/>
          <w:color w:val="000000"/>
          <w:sz w:val="22"/>
          <w:szCs w:val="22"/>
        </w:rPr>
        <w:t>Reporting Period</w:t>
      </w:r>
    </w:p>
    <w:p w14:paraId="6735AF6F" w14:textId="77777777" w:rsidR="00E2735C" w:rsidRPr="0007551D" w:rsidRDefault="00E2735C" w:rsidP="00E2735C">
      <w:pPr>
        <w:jc w:val="both"/>
        <w:rPr>
          <w:rFonts w:ascii="Arial" w:hAnsi="Arial" w:cs="Arial"/>
          <w:sz w:val="22"/>
          <w:szCs w:val="22"/>
        </w:rPr>
      </w:pPr>
      <w:r w:rsidRPr="0007551D">
        <w:rPr>
          <w:rFonts w:ascii="Arial" w:hAnsi="Arial" w:cs="Arial"/>
          <w:sz w:val="22"/>
          <w:szCs w:val="22"/>
        </w:rPr>
        <w:t xml:space="preserve">By the 20th of January, April, </w:t>
      </w:r>
      <w:proofErr w:type="gramStart"/>
      <w:r w:rsidRPr="0007551D">
        <w:rPr>
          <w:rFonts w:ascii="Arial" w:hAnsi="Arial" w:cs="Arial"/>
          <w:sz w:val="22"/>
          <w:szCs w:val="22"/>
        </w:rPr>
        <w:t>July</w:t>
      </w:r>
      <w:proofErr w:type="gramEnd"/>
      <w:r w:rsidRPr="0007551D">
        <w:rPr>
          <w:rFonts w:ascii="Arial" w:hAnsi="Arial" w:cs="Arial"/>
          <w:sz w:val="22"/>
          <w:szCs w:val="22"/>
        </w:rPr>
        <w:t xml:space="preserve"> and October each year using the Ministry quarterly reporting website.</w:t>
      </w:r>
    </w:p>
    <w:p w14:paraId="119813A9" w14:textId="77777777" w:rsidR="00E2735C" w:rsidRPr="0007551D" w:rsidRDefault="00E2735C" w:rsidP="00E2735C">
      <w:pPr>
        <w:jc w:val="both"/>
        <w:rPr>
          <w:rFonts w:ascii="Arial" w:hAnsi="Arial" w:cs="Arial"/>
          <w:b/>
          <w:sz w:val="22"/>
          <w:szCs w:val="22"/>
        </w:rPr>
      </w:pPr>
    </w:p>
    <w:p w14:paraId="1237082C" w14:textId="77777777" w:rsidR="00E2735C" w:rsidRPr="0007551D" w:rsidRDefault="00E2735C" w:rsidP="00E2735C">
      <w:pPr>
        <w:jc w:val="both"/>
        <w:rPr>
          <w:rFonts w:ascii="Arial" w:hAnsi="Arial" w:cs="Arial"/>
          <w:sz w:val="22"/>
          <w:szCs w:val="22"/>
        </w:rPr>
      </w:pPr>
      <w:r w:rsidRPr="0007551D">
        <w:rPr>
          <w:rFonts w:ascii="Arial" w:hAnsi="Arial" w:cs="Arial"/>
          <w:b/>
          <w:sz w:val="22"/>
          <w:szCs w:val="22"/>
        </w:rPr>
        <w:t>Reporting required</w:t>
      </w:r>
      <w:r w:rsidRPr="0007551D">
        <w:rPr>
          <w:rFonts w:ascii="Arial" w:hAnsi="Arial" w:cs="Arial"/>
          <w:sz w:val="22"/>
          <w:szCs w:val="22"/>
        </w:rPr>
        <w:t xml:space="preserve">:             </w:t>
      </w:r>
    </w:p>
    <w:p w14:paraId="6441484A" w14:textId="77777777" w:rsidR="00E2735C" w:rsidRPr="0007551D" w:rsidRDefault="00E2735C" w:rsidP="00E2735C">
      <w:pPr>
        <w:jc w:val="both"/>
        <w:rPr>
          <w:rFonts w:ascii="Arial" w:hAnsi="Arial" w:cs="Arial"/>
          <w:sz w:val="22"/>
          <w:szCs w:val="22"/>
        </w:rPr>
      </w:pPr>
      <w:r w:rsidRPr="0007551D">
        <w:rPr>
          <w:rFonts w:ascii="Arial" w:hAnsi="Arial" w:cs="Arial"/>
          <w:sz w:val="22"/>
          <w:szCs w:val="22"/>
        </w:rPr>
        <w:t>Each quarter, please update the reporting template provided (refer to the DHB quarterly reporting web site and toolkit).</w:t>
      </w:r>
    </w:p>
    <w:p w14:paraId="377F2396" w14:textId="77777777" w:rsidR="00E2735C" w:rsidRPr="0007551D" w:rsidRDefault="00E2735C" w:rsidP="00E2735C">
      <w:pPr>
        <w:autoSpaceDE w:val="0"/>
        <w:autoSpaceDN w:val="0"/>
        <w:adjustRightInd w:val="0"/>
        <w:rPr>
          <w:rFonts w:ascii="Arial" w:hAnsi="Arial" w:cs="Arial"/>
          <w:b/>
          <w:color w:val="000000"/>
          <w:sz w:val="22"/>
          <w:szCs w:val="22"/>
        </w:rPr>
      </w:pPr>
    </w:p>
    <w:p w14:paraId="23851021" w14:textId="77777777" w:rsidR="00E2735C" w:rsidRPr="0007551D" w:rsidRDefault="00E2735C" w:rsidP="00E2735C">
      <w:pPr>
        <w:autoSpaceDE w:val="0"/>
        <w:autoSpaceDN w:val="0"/>
        <w:adjustRightInd w:val="0"/>
        <w:rPr>
          <w:rFonts w:ascii="Arial" w:hAnsi="Arial" w:cs="Arial"/>
          <w:b/>
          <w:color w:val="000000"/>
          <w:sz w:val="22"/>
          <w:szCs w:val="22"/>
        </w:rPr>
      </w:pPr>
      <w:r w:rsidRPr="0007551D">
        <w:rPr>
          <w:rFonts w:ascii="Arial" w:hAnsi="Arial" w:cs="Arial"/>
          <w:b/>
          <w:color w:val="000000"/>
          <w:sz w:val="22"/>
          <w:szCs w:val="22"/>
        </w:rPr>
        <w:t xml:space="preserve">Reporting </w:t>
      </w:r>
    </w:p>
    <w:p w14:paraId="42C88546" w14:textId="77777777" w:rsidR="00E2735C" w:rsidRPr="0007551D" w:rsidRDefault="00E2735C" w:rsidP="00C04FF1">
      <w:pPr>
        <w:numPr>
          <w:ilvl w:val="0"/>
          <w:numId w:val="37"/>
        </w:numPr>
        <w:autoSpaceDE w:val="0"/>
        <w:autoSpaceDN w:val="0"/>
        <w:adjustRightInd w:val="0"/>
        <w:spacing w:after="160" w:line="259" w:lineRule="auto"/>
        <w:contextualSpacing/>
        <w:rPr>
          <w:rFonts w:ascii="Arial" w:hAnsi="Arial" w:cs="Arial"/>
          <w:color w:val="000000"/>
          <w:sz w:val="22"/>
          <w:szCs w:val="22"/>
        </w:rPr>
      </w:pPr>
      <w:r w:rsidRPr="0007551D">
        <w:rPr>
          <w:rFonts w:ascii="Arial" w:hAnsi="Arial" w:cs="Arial"/>
          <w:color w:val="000000"/>
          <w:sz w:val="22"/>
          <w:szCs w:val="22"/>
        </w:rPr>
        <w:t>Provide quarterly reports on the attached template which covers the amount of service delivered including alcohol brief interventions (numbers of adults and youth (12-19) seen by ethnicity and services accessed). Grey boxes are optional but helpful particularly if outcome data is being captured locally.</w:t>
      </w:r>
    </w:p>
    <w:p w14:paraId="21ADAC9E" w14:textId="77777777" w:rsidR="00E2735C" w:rsidRPr="0007551D" w:rsidRDefault="00E2735C" w:rsidP="00C04FF1">
      <w:pPr>
        <w:numPr>
          <w:ilvl w:val="0"/>
          <w:numId w:val="37"/>
        </w:numPr>
        <w:autoSpaceDE w:val="0"/>
        <w:autoSpaceDN w:val="0"/>
        <w:adjustRightInd w:val="0"/>
        <w:spacing w:after="160" w:line="259" w:lineRule="auto"/>
        <w:contextualSpacing/>
        <w:rPr>
          <w:rFonts w:ascii="Arial" w:hAnsi="Arial" w:cs="Arial"/>
          <w:color w:val="000000"/>
          <w:sz w:val="22"/>
          <w:szCs w:val="22"/>
        </w:rPr>
      </w:pPr>
      <w:r w:rsidRPr="0007551D">
        <w:rPr>
          <w:rFonts w:ascii="Arial" w:hAnsi="Arial" w:cs="Arial"/>
          <w:color w:val="000000"/>
          <w:sz w:val="22"/>
          <w:szCs w:val="22"/>
        </w:rPr>
        <w:t>Narrative report on the following:</w:t>
      </w:r>
    </w:p>
    <w:p w14:paraId="1EC3E93D" w14:textId="77777777" w:rsidR="00E2735C" w:rsidRPr="0007551D" w:rsidRDefault="00E2735C" w:rsidP="00C04FF1">
      <w:pPr>
        <w:numPr>
          <w:ilvl w:val="0"/>
          <w:numId w:val="39"/>
        </w:numPr>
        <w:tabs>
          <w:tab w:val="left" w:pos="8280"/>
        </w:tabs>
        <w:overflowPunct w:val="0"/>
        <w:autoSpaceDE w:val="0"/>
        <w:autoSpaceDN w:val="0"/>
        <w:adjustRightInd w:val="0"/>
        <w:spacing w:before="20" w:after="20" w:line="259" w:lineRule="auto"/>
        <w:ind w:right="28"/>
        <w:rPr>
          <w:rFonts w:ascii="Arial" w:hAnsi="Arial" w:cs="Arial"/>
          <w:bCs/>
          <w:sz w:val="22"/>
          <w:szCs w:val="22"/>
        </w:rPr>
      </w:pPr>
      <w:r w:rsidRPr="0007551D">
        <w:rPr>
          <w:rFonts w:ascii="Arial" w:hAnsi="Arial" w:cs="Arial"/>
          <w:bCs/>
          <w:sz w:val="22"/>
          <w:szCs w:val="22"/>
        </w:rPr>
        <w:t xml:space="preserve">Overall assessment of the services delivered and </w:t>
      </w:r>
    </w:p>
    <w:p w14:paraId="5CD799B5" w14:textId="77777777" w:rsidR="00E2735C" w:rsidRPr="0007551D" w:rsidRDefault="00E2735C" w:rsidP="00C04FF1">
      <w:pPr>
        <w:numPr>
          <w:ilvl w:val="0"/>
          <w:numId w:val="39"/>
        </w:numPr>
        <w:tabs>
          <w:tab w:val="left" w:pos="8280"/>
        </w:tabs>
        <w:overflowPunct w:val="0"/>
        <w:autoSpaceDE w:val="0"/>
        <w:autoSpaceDN w:val="0"/>
        <w:adjustRightInd w:val="0"/>
        <w:spacing w:before="20" w:after="20" w:line="259" w:lineRule="auto"/>
        <w:ind w:right="28"/>
        <w:rPr>
          <w:rFonts w:ascii="Arial" w:hAnsi="Arial" w:cs="Arial"/>
          <w:bCs/>
          <w:sz w:val="22"/>
          <w:szCs w:val="22"/>
        </w:rPr>
      </w:pPr>
      <w:r w:rsidRPr="0007551D">
        <w:rPr>
          <w:rFonts w:ascii="Arial" w:hAnsi="Arial" w:cs="Arial"/>
          <w:bCs/>
          <w:sz w:val="22"/>
          <w:szCs w:val="22"/>
        </w:rPr>
        <w:t>Any major achievements/successes</w:t>
      </w:r>
    </w:p>
    <w:p w14:paraId="563098B5" w14:textId="77777777" w:rsidR="00E2735C" w:rsidRPr="0007551D" w:rsidRDefault="00E2735C" w:rsidP="00C04FF1">
      <w:pPr>
        <w:numPr>
          <w:ilvl w:val="0"/>
          <w:numId w:val="39"/>
        </w:numPr>
        <w:tabs>
          <w:tab w:val="left" w:pos="8280"/>
        </w:tabs>
        <w:overflowPunct w:val="0"/>
        <w:autoSpaceDE w:val="0"/>
        <w:autoSpaceDN w:val="0"/>
        <w:adjustRightInd w:val="0"/>
        <w:spacing w:before="20" w:after="20" w:line="259" w:lineRule="auto"/>
        <w:ind w:right="28"/>
        <w:rPr>
          <w:rFonts w:ascii="Arial" w:hAnsi="Arial" w:cs="Arial"/>
          <w:bCs/>
          <w:sz w:val="22"/>
          <w:szCs w:val="22"/>
        </w:rPr>
      </w:pPr>
      <w:r w:rsidRPr="0007551D">
        <w:rPr>
          <w:rFonts w:ascii="Arial" w:hAnsi="Arial" w:cs="Arial"/>
          <w:bCs/>
          <w:sz w:val="22"/>
          <w:szCs w:val="22"/>
        </w:rPr>
        <w:t>Major issues that have affected the achievement of the contracted Services</w:t>
      </w:r>
    </w:p>
    <w:p w14:paraId="215F3D6F" w14:textId="77777777" w:rsidR="00E2735C" w:rsidRPr="0007551D" w:rsidRDefault="00E2735C" w:rsidP="00C04FF1">
      <w:pPr>
        <w:numPr>
          <w:ilvl w:val="0"/>
          <w:numId w:val="39"/>
        </w:numPr>
        <w:tabs>
          <w:tab w:val="left" w:pos="8280"/>
        </w:tabs>
        <w:overflowPunct w:val="0"/>
        <w:autoSpaceDE w:val="0"/>
        <w:autoSpaceDN w:val="0"/>
        <w:adjustRightInd w:val="0"/>
        <w:spacing w:before="20" w:after="160" w:line="259" w:lineRule="auto"/>
        <w:ind w:right="28"/>
        <w:jc w:val="both"/>
        <w:rPr>
          <w:rFonts w:ascii="Arial" w:hAnsi="Arial" w:cs="Arial"/>
          <w:sz w:val="22"/>
          <w:szCs w:val="22"/>
        </w:rPr>
      </w:pPr>
      <w:r w:rsidRPr="0007551D">
        <w:rPr>
          <w:rFonts w:ascii="Arial" w:hAnsi="Arial" w:cs="Arial"/>
          <w:bCs/>
          <w:sz w:val="22"/>
          <w:szCs w:val="22"/>
        </w:rPr>
        <w:t>Whether services have been externally evaluated / reviewed / audited and status of recommendations made.</w:t>
      </w:r>
    </w:p>
    <w:p w14:paraId="5DC49175" w14:textId="77777777" w:rsidR="00E2735C" w:rsidRPr="0007551D" w:rsidRDefault="00E2735C" w:rsidP="00E2735C"/>
    <w:p w14:paraId="2B784815" w14:textId="77777777" w:rsidR="001E42D6" w:rsidRPr="0007551D" w:rsidRDefault="001E42D6" w:rsidP="001E42D6">
      <w:pPr>
        <w:rPr>
          <w:rFonts w:ascii="Arial" w:hAnsi="Arial" w:cs="Arial"/>
          <w:sz w:val="22"/>
          <w:szCs w:val="22"/>
          <w:u w:val="single"/>
        </w:rPr>
      </w:pPr>
      <w:r w:rsidRPr="0007551D">
        <w:rPr>
          <w:rFonts w:ascii="Arial" w:hAnsi="Arial" w:cs="Arial"/>
          <w:b/>
          <w:sz w:val="22"/>
          <w:szCs w:val="22"/>
        </w:rPr>
        <w:t xml:space="preserve">Focus Area 2 District Suicide Prevention and Postvention </w:t>
      </w:r>
    </w:p>
    <w:p w14:paraId="7638C7B6" w14:textId="77777777" w:rsidR="001E42D6" w:rsidRDefault="001E42D6" w:rsidP="001E42D6">
      <w:pPr>
        <w:rPr>
          <w:rFonts w:ascii="Arial" w:hAnsi="Arial" w:cs="Arial"/>
          <w:sz w:val="22"/>
          <w:szCs w:val="22"/>
        </w:rPr>
      </w:pPr>
    </w:p>
    <w:p w14:paraId="7B528015" w14:textId="77777777" w:rsidR="001E42D6" w:rsidRDefault="001E42D6" w:rsidP="001E42D6">
      <w:pPr>
        <w:rPr>
          <w:rFonts w:ascii="Arial" w:hAnsi="Arial" w:cs="Arial"/>
          <w:sz w:val="22"/>
          <w:szCs w:val="22"/>
        </w:rPr>
      </w:pPr>
      <w:r>
        <w:rPr>
          <w:rFonts w:ascii="Arial" w:hAnsi="Arial" w:cs="Arial"/>
          <w:sz w:val="22"/>
          <w:szCs w:val="22"/>
        </w:rPr>
        <w:t xml:space="preserve">All DHBs are expected to provide quarterly </w:t>
      </w:r>
      <w:r w:rsidRPr="00666D9A">
        <w:rPr>
          <w:rFonts w:ascii="Arial" w:hAnsi="Arial" w:cs="Arial"/>
          <w:sz w:val="22"/>
          <w:szCs w:val="22"/>
        </w:rPr>
        <w:t xml:space="preserve">progress against </w:t>
      </w:r>
      <w:r>
        <w:rPr>
          <w:rFonts w:ascii="Arial" w:hAnsi="Arial" w:cs="Arial"/>
          <w:sz w:val="22"/>
          <w:szCs w:val="22"/>
        </w:rPr>
        <w:t xml:space="preserve">their 12-month District </w:t>
      </w:r>
      <w:r w:rsidRPr="00666D9A">
        <w:rPr>
          <w:rFonts w:ascii="Arial" w:hAnsi="Arial" w:cs="Arial"/>
          <w:sz w:val="22"/>
          <w:szCs w:val="22"/>
        </w:rPr>
        <w:t xml:space="preserve">Suicide Prevention </w:t>
      </w:r>
      <w:r>
        <w:rPr>
          <w:rFonts w:ascii="Arial" w:hAnsi="Arial" w:cs="Arial"/>
          <w:sz w:val="22"/>
          <w:szCs w:val="22"/>
        </w:rPr>
        <w:t xml:space="preserve">Action </w:t>
      </w:r>
      <w:r w:rsidRPr="00666D9A">
        <w:rPr>
          <w:rFonts w:ascii="Arial" w:hAnsi="Arial" w:cs="Arial"/>
          <w:sz w:val="22"/>
          <w:szCs w:val="22"/>
        </w:rPr>
        <w:t xml:space="preserve">Plan, along with any highlights or issues. </w:t>
      </w:r>
      <w:r>
        <w:rPr>
          <w:rFonts w:ascii="Arial" w:hAnsi="Arial" w:cs="Arial"/>
          <w:sz w:val="22"/>
          <w:szCs w:val="22"/>
        </w:rPr>
        <w:t xml:space="preserve">Progress reports should include updates on how DHB suicide prevention activities align with and support the implementation of </w:t>
      </w:r>
      <w:proofErr w:type="spellStart"/>
      <w:r>
        <w:rPr>
          <w:rFonts w:ascii="Arial" w:hAnsi="Arial" w:cs="Arial"/>
          <w:i/>
          <w:iCs/>
          <w:sz w:val="22"/>
          <w:szCs w:val="22"/>
        </w:rPr>
        <w:t>He</w:t>
      </w:r>
      <w:proofErr w:type="spellEnd"/>
      <w:r>
        <w:rPr>
          <w:rFonts w:ascii="Arial" w:hAnsi="Arial" w:cs="Arial"/>
          <w:i/>
          <w:iCs/>
          <w:sz w:val="22"/>
          <w:szCs w:val="22"/>
        </w:rPr>
        <w:t xml:space="preserve"> </w:t>
      </w:r>
      <w:proofErr w:type="spellStart"/>
      <w:r>
        <w:rPr>
          <w:rFonts w:ascii="Arial" w:hAnsi="Arial" w:cs="Arial"/>
          <w:i/>
          <w:iCs/>
          <w:sz w:val="22"/>
          <w:szCs w:val="22"/>
        </w:rPr>
        <w:t>Tapu</w:t>
      </w:r>
      <w:proofErr w:type="spellEnd"/>
      <w:r>
        <w:rPr>
          <w:rFonts w:ascii="Arial" w:hAnsi="Arial" w:cs="Arial"/>
          <w:i/>
          <w:iCs/>
          <w:sz w:val="22"/>
          <w:szCs w:val="22"/>
        </w:rPr>
        <w:t xml:space="preserve"> </w:t>
      </w:r>
      <w:proofErr w:type="spellStart"/>
      <w:r>
        <w:rPr>
          <w:rFonts w:ascii="Arial" w:hAnsi="Arial" w:cs="Arial"/>
          <w:i/>
          <w:iCs/>
          <w:sz w:val="22"/>
          <w:szCs w:val="22"/>
        </w:rPr>
        <w:t>te</w:t>
      </w:r>
      <w:proofErr w:type="spellEnd"/>
      <w:r>
        <w:rPr>
          <w:rFonts w:ascii="Arial" w:hAnsi="Arial" w:cs="Arial"/>
          <w:i/>
          <w:iCs/>
          <w:sz w:val="22"/>
          <w:szCs w:val="22"/>
        </w:rPr>
        <w:t xml:space="preserve"> </w:t>
      </w:r>
      <w:proofErr w:type="spellStart"/>
      <w:r>
        <w:rPr>
          <w:rFonts w:ascii="Arial" w:hAnsi="Arial" w:cs="Arial"/>
          <w:i/>
          <w:iCs/>
          <w:sz w:val="22"/>
          <w:szCs w:val="22"/>
        </w:rPr>
        <w:t>Oranga</w:t>
      </w:r>
      <w:proofErr w:type="spellEnd"/>
      <w:r>
        <w:rPr>
          <w:rFonts w:ascii="Arial" w:hAnsi="Arial" w:cs="Arial"/>
          <w:i/>
          <w:iCs/>
          <w:sz w:val="22"/>
          <w:szCs w:val="22"/>
        </w:rPr>
        <w:t xml:space="preserve"> o </w:t>
      </w:r>
      <w:proofErr w:type="spellStart"/>
      <w:r>
        <w:rPr>
          <w:rFonts w:ascii="Arial" w:hAnsi="Arial" w:cs="Arial"/>
          <w:i/>
          <w:iCs/>
          <w:sz w:val="22"/>
          <w:szCs w:val="22"/>
        </w:rPr>
        <w:t>ia</w:t>
      </w:r>
      <w:proofErr w:type="spellEnd"/>
      <w:r>
        <w:rPr>
          <w:rFonts w:ascii="Arial" w:hAnsi="Arial" w:cs="Arial"/>
          <w:i/>
          <w:iCs/>
          <w:sz w:val="22"/>
          <w:szCs w:val="22"/>
        </w:rPr>
        <w:t xml:space="preserve"> </w:t>
      </w:r>
      <w:proofErr w:type="spellStart"/>
      <w:r>
        <w:rPr>
          <w:rFonts w:ascii="Arial" w:hAnsi="Arial" w:cs="Arial"/>
          <w:i/>
          <w:iCs/>
          <w:sz w:val="22"/>
          <w:szCs w:val="22"/>
        </w:rPr>
        <w:t>tangata</w:t>
      </w:r>
      <w:proofErr w:type="spellEnd"/>
      <w:r>
        <w:rPr>
          <w:rFonts w:ascii="Arial" w:hAnsi="Arial" w:cs="Arial"/>
          <w:i/>
          <w:iCs/>
          <w:sz w:val="22"/>
          <w:szCs w:val="22"/>
        </w:rPr>
        <w:t xml:space="preserve">: Suicide Prevention Strategy 2019-2029 and Suicide Prevention Action Plan 2019-2024 for Aotearoa New Zealand </w:t>
      </w:r>
      <w:r>
        <w:rPr>
          <w:rFonts w:ascii="Arial" w:hAnsi="Arial" w:cs="Arial"/>
          <w:sz w:val="22"/>
          <w:szCs w:val="22"/>
        </w:rPr>
        <w:t>(</w:t>
      </w:r>
      <w:r>
        <w:rPr>
          <w:rFonts w:ascii="Arial" w:hAnsi="Arial" w:cs="Arial"/>
          <w:i/>
          <w:iCs/>
          <w:sz w:val="22"/>
          <w:szCs w:val="22"/>
        </w:rPr>
        <w:t xml:space="preserve">He </w:t>
      </w:r>
      <w:proofErr w:type="spellStart"/>
      <w:r>
        <w:rPr>
          <w:rFonts w:ascii="Arial" w:hAnsi="Arial" w:cs="Arial"/>
          <w:i/>
          <w:iCs/>
          <w:sz w:val="22"/>
          <w:szCs w:val="22"/>
        </w:rPr>
        <w:t>Tapu</w:t>
      </w:r>
      <w:proofErr w:type="spellEnd"/>
      <w:r>
        <w:rPr>
          <w:rFonts w:ascii="Arial" w:hAnsi="Arial" w:cs="Arial"/>
          <w:i/>
          <w:iCs/>
          <w:sz w:val="22"/>
          <w:szCs w:val="22"/>
        </w:rPr>
        <w:t xml:space="preserve"> </w:t>
      </w:r>
      <w:proofErr w:type="spellStart"/>
      <w:r>
        <w:rPr>
          <w:rFonts w:ascii="Arial" w:hAnsi="Arial" w:cs="Arial"/>
          <w:i/>
          <w:iCs/>
          <w:sz w:val="22"/>
          <w:szCs w:val="22"/>
        </w:rPr>
        <w:t>te</w:t>
      </w:r>
      <w:proofErr w:type="spellEnd"/>
      <w:r>
        <w:rPr>
          <w:rFonts w:ascii="Arial" w:hAnsi="Arial" w:cs="Arial"/>
          <w:i/>
          <w:iCs/>
          <w:sz w:val="22"/>
          <w:szCs w:val="22"/>
        </w:rPr>
        <w:t xml:space="preserve"> </w:t>
      </w:r>
      <w:proofErr w:type="spellStart"/>
      <w:r>
        <w:rPr>
          <w:rFonts w:ascii="Arial" w:hAnsi="Arial" w:cs="Arial"/>
          <w:i/>
          <w:iCs/>
          <w:sz w:val="22"/>
          <w:szCs w:val="22"/>
        </w:rPr>
        <w:t>Oranga</w:t>
      </w:r>
      <w:proofErr w:type="spellEnd"/>
      <w:r>
        <w:rPr>
          <w:rFonts w:ascii="Arial" w:hAnsi="Arial" w:cs="Arial"/>
          <w:sz w:val="22"/>
          <w:szCs w:val="22"/>
        </w:rPr>
        <w:t xml:space="preserve">)¸ including which items from the action plan of </w:t>
      </w:r>
      <w:r>
        <w:rPr>
          <w:rFonts w:ascii="Arial" w:hAnsi="Arial" w:cs="Arial"/>
          <w:i/>
          <w:iCs/>
          <w:sz w:val="22"/>
          <w:szCs w:val="22"/>
        </w:rPr>
        <w:t xml:space="preserve">He </w:t>
      </w:r>
      <w:proofErr w:type="spellStart"/>
      <w:r>
        <w:rPr>
          <w:rFonts w:ascii="Arial" w:hAnsi="Arial" w:cs="Arial"/>
          <w:i/>
          <w:iCs/>
          <w:sz w:val="22"/>
          <w:szCs w:val="22"/>
        </w:rPr>
        <w:t>Tapu</w:t>
      </w:r>
      <w:proofErr w:type="spellEnd"/>
      <w:r>
        <w:rPr>
          <w:rFonts w:ascii="Arial" w:hAnsi="Arial" w:cs="Arial"/>
          <w:i/>
          <w:iCs/>
          <w:sz w:val="22"/>
          <w:szCs w:val="22"/>
        </w:rPr>
        <w:t xml:space="preserve"> </w:t>
      </w:r>
      <w:proofErr w:type="spellStart"/>
      <w:r>
        <w:rPr>
          <w:rFonts w:ascii="Arial" w:hAnsi="Arial" w:cs="Arial"/>
          <w:i/>
          <w:iCs/>
          <w:sz w:val="22"/>
          <w:szCs w:val="22"/>
        </w:rPr>
        <w:t>te</w:t>
      </w:r>
      <w:proofErr w:type="spellEnd"/>
      <w:r>
        <w:rPr>
          <w:rFonts w:ascii="Arial" w:hAnsi="Arial" w:cs="Arial"/>
          <w:i/>
          <w:iCs/>
          <w:sz w:val="22"/>
          <w:szCs w:val="22"/>
        </w:rPr>
        <w:t xml:space="preserve"> </w:t>
      </w:r>
      <w:proofErr w:type="spellStart"/>
      <w:r>
        <w:rPr>
          <w:rFonts w:ascii="Arial" w:hAnsi="Arial" w:cs="Arial"/>
          <w:i/>
          <w:iCs/>
          <w:sz w:val="22"/>
          <w:szCs w:val="22"/>
        </w:rPr>
        <w:t>Oranga</w:t>
      </w:r>
      <w:proofErr w:type="spellEnd"/>
      <w:r>
        <w:rPr>
          <w:rFonts w:ascii="Arial" w:hAnsi="Arial" w:cs="Arial"/>
          <w:i/>
          <w:iCs/>
          <w:sz w:val="22"/>
          <w:szCs w:val="22"/>
        </w:rPr>
        <w:t xml:space="preserve"> </w:t>
      </w:r>
      <w:r>
        <w:rPr>
          <w:rFonts w:ascii="Arial" w:hAnsi="Arial" w:cs="Arial"/>
          <w:sz w:val="22"/>
          <w:szCs w:val="22"/>
        </w:rPr>
        <w:t xml:space="preserve">have been implemented. </w:t>
      </w:r>
      <w:r w:rsidRPr="00666D9A">
        <w:rPr>
          <w:rFonts w:ascii="Arial" w:hAnsi="Arial" w:cs="Arial"/>
          <w:sz w:val="22"/>
          <w:szCs w:val="22"/>
        </w:rPr>
        <w:t xml:space="preserve">Please also provide specific updates in the areas </w:t>
      </w:r>
      <w:proofErr w:type="gramStart"/>
      <w:r w:rsidRPr="00666D9A">
        <w:rPr>
          <w:rFonts w:ascii="Arial" w:hAnsi="Arial" w:cs="Arial"/>
          <w:sz w:val="22"/>
          <w:szCs w:val="22"/>
        </w:rPr>
        <w:t>of:</w:t>
      </w:r>
      <w:proofErr w:type="gramEnd"/>
      <w:r w:rsidRPr="00666D9A">
        <w:rPr>
          <w:rFonts w:ascii="Arial" w:hAnsi="Arial" w:cs="Arial"/>
          <w:sz w:val="22"/>
          <w:szCs w:val="22"/>
        </w:rPr>
        <w:t xml:space="preserve">  suicide / mental health literacy training or education, community-led development, and mental health and addiction service collaboration.</w:t>
      </w:r>
    </w:p>
    <w:p w14:paraId="2708A648" w14:textId="77777777" w:rsidR="001E42D6" w:rsidRDefault="001E42D6" w:rsidP="001E42D6">
      <w:pPr>
        <w:rPr>
          <w:rFonts w:ascii="Arial" w:hAnsi="Arial" w:cs="Arial"/>
          <w:sz w:val="22"/>
          <w:szCs w:val="22"/>
        </w:rPr>
      </w:pPr>
    </w:p>
    <w:p w14:paraId="11DFED5A" w14:textId="77777777" w:rsidR="001E42D6" w:rsidRPr="00666D9A" w:rsidRDefault="001E42D6" w:rsidP="001E42D6">
      <w:pPr>
        <w:rPr>
          <w:rFonts w:ascii="Arial" w:hAnsi="Arial" w:cs="Arial"/>
          <w:sz w:val="22"/>
          <w:szCs w:val="22"/>
        </w:rPr>
      </w:pPr>
      <w:r w:rsidRPr="00666D9A">
        <w:rPr>
          <w:rFonts w:ascii="Arial" w:hAnsi="Arial" w:cs="Arial"/>
          <w:sz w:val="22"/>
          <w:szCs w:val="22"/>
        </w:rPr>
        <w:t xml:space="preserve">The following templates are offered as suggested formats for reporting on these focus areas: </w:t>
      </w:r>
    </w:p>
    <w:p w14:paraId="56A15D53" w14:textId="77777777" w:rsidR="001E42D6" w:rsidRPr="00666D9A" w:rsidRDefault="001E42D6" w:rsidP="001E42D6">
      <w:pPr>
        <w:rPr>
          <w:rFonts w:ascii="Arial" w:hAnsi="Arial" w:cs="Arial"/>
          <w:sz w:val="22"/>
          <w:szCs w:val="22"/>
        </w:rPr>
      </w:pPr>
    </w:p>
    <w:p w14:paraId="07862BDF" w14:textId="77777777" w:rsidR="001E42D6" w:rsidRPr="00666D9A" w:rsidRDefault="001E42D6" w:rsidP="001E42D6">
      <w:pPr>
        <w:numPr>
          <w:ilvl w:val="0"/>
          <w:numId w:val="64"/>
        </w:numPr>
        <w:rPr>
          <w:rFonts w:ascii="Arial" w:hAnsi="Arial" w:cs="Arial"/>
          <w:b/>
          <w:sz w:val="22"/>
          <w:szCs w:val="22"/>
        </w:rPr>
      </w:pPr>
      <w:r w:rsidRPr="00666D9A">
        <w:rPr>
          <w:rFonts w:ascii="Arial" w:hAnsi="Arial" w:cs="Arial"/>
          <w:b/>
          <w:sz w:val="22"/>
          <w:szCs w:val="22"/>
        </w:rPr>
        <w:t>Training / education evaluation template</w:t>
      </w:r>
    </w:p>
    <w:p w14:paraId="414DC102" w14:textId="77777777" w:rsidR="001E42D6" w:rsidRPr="00666D9A" w:rsidRDefault="001E42D6" w:rsidP="001E42D6">
      <w:pPr>
        <w:rPr>
          <w:rFonts w:ascii="Arial" w:hAnsi="Arial" w:cs="Arial"/>
          <w:sz w:val="22"/>
          <w:szCs w:val="22"/>
        </w:rPr>
      </w:pPr>
      <w:r w:rsidRPr="00666D9A">
        <w:rPr>
          <w:rFonts w:ascii="Arial" w:hAnsi="Arial" w:cs="Arial"/>
          <w:sz w:val="22"/>
          <w:szCs w:val="22"/>
        </w:rPr>
        <w:t xml:space="preserve">An example of a training template which may be provided as part of the quarterly reporting to the Ministry of Health </w:t>
      </w:r>
    </w:p>
    <w:p w14:paraId="5EF25001" w14:textId="77777777" w:rsidR="001E42D6" w:rsidRPr="00666D9A" w:rsidRDefault="001E42D6" w:rsidP="001E42D6">
      <w:pPr>
        <w:rPr>
          <w:rFonts w:ascii="Arial" w:hAnsi="Arial" w:cs="Arial"/>
          <w:sz w:val="22"/>
          <w:szCs w:val="22"/>
        </w:rPr>
      </w:pPr>
    </w:p>
    <w:p w14:paraId="10F40DE2" w14:textId="77777777" w:rsidR="001E42D6" w:rsidRPr="00666D9A" w:rsidRDefault="001E42D6" w:rsidP="001E42D6">
      <w:pPr>
        <w:rPr>
          <w:rFonts w:ascii="Arial" w:hAnsi="Arial" w:cs="Arial"/>
          <w:i/>
          <w:sz w:val="22"/>
          <w:szCs w:val="22"/>
        </w:rPr>
      </w:pPr>
      <w:r w:rsidRPr="00666D9A">
        <w:rPr>
          <w:rFonts w:ascii="Arial" w:hAnsi="Arial" w:cs="Arial"/>
          <w:i/>
          <w:sz w:val="22"/>
          <w:szCs w:val="22"/>
        </w:rPr>
        <w:t>Sample:</w:t>
      </w:r>
    </w:p>
    <w:tbl>
      <w:tblPr>
        <w:tblStyle w:val="TableGrid"/>
        <w:tblW w:w="10632" w:type="dxa"/>
        <w:tblInd w:w="-5" w:type="dxa"/>
        <w:tblLayout w:type="fixed"/>
        <w:tblLook w:val="04A0" w:firstRow="1" w:lastRow="0" w:firstColumn="1" w:lastColumn="0" w:noHBand="0" w:noVBand="1"/>
      </w:tblPr>
      <w:tblGrid>
        <w:gridCol w:w="1701"/>
        <w:gridCol w:w="1310"/>
        <w:gridCol w:w="1332"/>
        <w:gridCol w:w="1186"/>
        <w:gridCol w:w="1984"/>
        <w:gridCol w:w="1134"/>
        <w:gridCol w:w="1985"/>
      </w:tblGrid>
      <w:tr w:rsidR="001E42D6" w:rsidRPr="00666D9A" w14:paraId="10D58736" w14:textId="77777777" w:rsidTr="008C2CFC">
        <w:tc>
          <w:tcPr>
            <w:tcW w:w="1701" w:type="dxa"/>
          </w:tcPr>
          <w:p w14:paraId="7DC55091" w14:textId="77777777" w:rsidR="001E42D6" w:rsidRPr="00666D9A" w:rsidRDefault="001E42D6" w:rsidP="008C2CFC">
            <w:pPr>
              <w:rPr>
                <w:b/>
                <w:sz w:val="22"/>
                <w:szCs w:val="22"/>
              </w:rPr>
            </w:pPr>
            <w:r w:rsidRPr="00666D9A">
              <w:rPr>
                <w:b/>
                <w:sz w:val="22"/>
                <w:szCs w:val="22"/>
              </w:rPr>
              <w:t>Training description</w:t>
            </w:r>
          </w:p>
        </w:tc>
        <w:tc>
          <w:tcPr>
            <w:tcW w:w="1310" w:type="dxa"/>
          </w:tcPr>
          <w:p w14:paraId="15B0D718" w14:textId="77777777" w:rsidR="001E42D6" w:rsidRPr="00666D9A" w:rsidRDefault="001E42D6" w:rsidP="008C2CFC">
            <w:pPr>
              <w:rPr>
                <w:b/>
                <w:sz w:val="22"/>
                <w:szCs w:val="22"/>
              </w:rPr>
            </w:pPr>
            <w:r w:rsidRPr="00666D9A">
              <w:rPr>
                <w:b/>
                <w:sz w:val="22"/>
                <w:szCs w:val="22"/>
              </w:rPr>
              <w:t>Initiated by DHB Y/N</w:t>
            </w:r>
          </w:p>
        </w:tc>
        <w:tc>
          <w:tcPr>
            <w:tcW w:w="1332" w:type="dxa"/>
          </w:tcPr>
          <w:p w14:paraId="3C38767B" w14:textId="77777777" w:rsidR="001E42D6" w:rsidRPr="00666D9A" w:rsidRDefault="001E42D6" w:rsidP="008C2CFC">
            <w:pPr>
              <w:rPr>
                <w:b/>
                <w:sz w:val="22"/>
                <w:szCs w:val="22"/>
              </w:rPr>
            </w:pPr>
            <w:r w:rsidRPr="00666D9A">
              <w:rPr>
                <w:b/>
                <w:sz w:val="22"/>
                <w:szCs w:val="22"/>
              </w:rPr>
              <w:t>Provider</w:t>
            </w:r>
          </w:p>
        </w:tc>
        <w:tc>
          <w:tcPr>
            <w:tcW w:w="1186" w:type="dxa"/>
          </w:tcPr>
          <w:p w14:paraId="5D262074" w14:textId="77777777" w:rsidR="001E42D6" w:rsidRPr="00666D9A" w:rsidRDefault="001E42D6" w:rsidP="008C2CFC">
            <w:pPr>
              <w:rPr>
                <w:b/>
                <w:sz w:val="22"/>
                <w:szCs w:val="22"/>
              </w:rPr>
            </w:pPr>
            <w:r w:rsidRPr="00666D9A">
              <w:rPr>
                <w:b/>
                <w:sz w:val="22"/>
                <w:szCs w:val="22"/>
              </w:rPr>
              <w:t>Number of attendees</w:t>
            </w:r>
          </w:p>
        </w:tc>
        <w:tc>
          <w:tcPr>
            <w:tcW w:w="1984" w:type="dxa"/>
          </w:tcPr>
          <w:p w14:paraId="1AB7DED4" w14:textId="77777777" w:rsidR="001E42D6" w:rsidRPr="00666D9A" w:rsidRDefault="001E42D6" w:rsidP="008C2CFC">
            <w:pPr>
              <w:rPr>
                <w:b/>
                <w:sz w:val="22"/>
                <w:szCs w:val="22"/>
              </w:rPr>
            </w:pPr>
            <w:r>
              <w:rPr>
                <w:b/>
                <w:sz w:val="22"/>
                <w:szCs w:val="22"/>
              </w:rPr>
              <w:t xml:space="preserve">Implementation of </w:t>
            </w:r>
            <w:proofErr w:type="spellStart"/>
            <w:r w:rsidRPr="00B147F1">
              <w:rPr>
                <w:b/>
                <w:i/>
                <w:iCs/>
                <w:sz w:val="22"/>
                <w:szCs w:val="22"/>
              </w:rPr>
              <w:t>He</w:t>
            </w:r>
            <w:proofErr w:type="spellEnd"/>
            <w:r w:rsidRPr="00B147F1">
              <w:rPr>
                <w:b/>
                <w:i/>
                <w:iCs/>
                <w:sz w:val="22"/>
                <w:szCs w:val="22"/>
              </w:rPr>
              <w:t xml:space="preserve"> </w:t>
            </w:r>
            <w:proofErr w:type="spellStart"/>
            <w:r w:rsidRPr="00B147F1">
              <w:rPr>
                <w:b/>
                <w:i/>
                <w:iCs/>
                <w:sz w:val="22"/>
                <w:szCs w:val="22"/>
              </w:rPr>
              <w:t>Tapu</w:t>
            </w:r>
            <w:proofErr w:type="spellEnd"/>
            <w:r w:rsidRPr="00B147F1">
              <w:rPr>
                <w:b/>
                <w:i/>
                <w:iCs/>
                <w:sz w:val="22"/>
                <w:szCs w:val="22"/>
              </w:rPr>
              <w:t xml:space="preserve"> </w:t>
            </w:r>
            <w:proofErr w:type="spellStart"/>
            <w:r w:rsidRPr="00B147F1">
              <w:rPr>
                <w:b/>
                <w:i/>
                <w:iCs/>
                <w:sz w:val="22"/>
                <w:szCs w:val="22"/>
              </w:rPr>
              <w:t>te</w:t>
            </w:r>
            <w:proofErr w:type="spellEnd"/>
            <w:r w:rsidRPr="00B147F1">
              <w:rPr>
                <w:b/>
                <w:i/>
                <w:iCs/>
                <w:sz w:val="22"/>
                <w:szCs w:val="22"/>
              </w:rPr>
              <w:t xml:space="preserve"> </w:t>
            </w:r>
            <w:proofErr w:type="spellStart"/>
            <w:r w:rsidRPr="00B147F1">
              <w:rPr>
                <w:b/>
                <w:i/>
                <w:iCs/>
                <w:sz w:val="22"/>
                <w:szCs w:val="22"/>
              </w:rPr>
              <w:t>Oranga</w:t>
            </w:r>
            <w:proofErr w:type="spellEnd"/>
            <w:r>
              <w:rPr>
                <w:b/>
                <w:sz w:val="22"/>
                <w:szCs w:val="22"/>
              </w:rPr>
              <w:t xml:space="preserve"> (Action area/item)</w:t>
            </w:r>
          </w:p>
        </w:tc>
        <w:tc>
          <w:tcPr>
            <w:tcW w:w="1134" w:type="dxa"/>
          </w:tcPr>
          <w:p w14:paraId="1AEC38F2" w14:textId="77777777" w:rsidR="001E42D6" w:rsidRPr="00666D9A" w:rsidRDefault="001E42D6" w:rsidP="008C2CFC">
            <w:pPr>
              <w:rPr>
                <w:b/>
                <w:sz w:val="22"/>
                <w:szCs w:val="22"/>
              </w:rPr>
            </w:pPr>
            <w:r w:rsidRPr="00666D9A">
              <w:rPr>
                <w:b/>
                <w:sz w:val="22"/>
                <w:szCs w:val="22"/>
              </w:rPr>
              <w:t>Intended audience</w:t>
            </w:r>
          </w:p>
        </w:tc>
        <w:tc>
          <w:tcPr>
            <w:tcW w:w="1985" w:type="dxa"/>
          </w:tcPr>
          <w:p w14:paraId="73514BCA" w14:textId="77777777" w:rsidR="001E42D6" w:rsidRPr="00666D9A" w:rsidRDefault="001E42D6" w:rsidP="008C2CFC">
            <w:pPr>
              <w:rPr>
                <w:b/>
                <w:sz w:val="22"/>
                <w:szCs w:val="22"/>
              </w:rPr>
            </w:pPr>
            <w:r w:rsidRPr="00666D9A">
              <w:rPr>
                <w:b/>
                <w:sz w:val="22"/>
                <w:szCs w:val="22"/>
              </w:rPr>
              <w:t>Outcome/impact</w:t>
            </w:r>
          </w:p>
        </w:tc>
      </w:tr>
      <w:tr w:rsidR="001E42D6" w:rsidRPr="00666D9A" w14:paraId="4DD1E227" w14:textId="77777777" w:rsidTr="008C2CFC">
        <w:tc>
          <w:tcPr>
            <w:tcW w:w="1701" w:type="dxa"/>
          </w:tcPr>
          <w:p w14:paraId="6AB0DBC9" w14:textId="77777777" w:rsidR="001E42D6" w:rsidRPr="00666D9A" w:rsidRDefault="001E42D6" w:rsidP="008C2CFC">
            <w:pPr>
              <w:rPr>
                <w:i/>
                <w:sz w:val="22"/>
                <w:szCs w:val="22"/>
              </w:rPr>
            </w:pPr>
            <w:proofErr w:type="spellStart"/>
            <w:r w:rsidRPr="00666D9A">
              <w:rPr>
                <w:i/>
                <w:sz w:val="22"/>
                <w:szCs w:val="22"/>
              </w:rPr>
              <w:t>LifeKeepers</w:t>
            </w:r>
            <w:proofErr w:type="spellEnd"/>
            <w:r w:rsidRPr="00666D9A">
              <w:rPr>
                <w:i/>
                <w:sz w:val="22"/>
                <w:szCs w:val="22"/>
              </w:rPr>
              <w:t xml:space="preserve"> (Maori)</w:t>
            </w:r>
          </w:p>
          <w:p w14:paraId="1DEC9E90" w14:textId="77777777" w:rsidR="001E42D6" w:rsidRPr="00666D9A" w:rsidRDefault="001E42D6" w:rsidP="008C2CFC">
            <w:pPr>
              <w:rPr>
                <w:i/>
                <w:sz w:val="22"/>
                <w:szCs w:val="22"/>
              </w:rPr>
            </w:pPr>
          </w:p>
        </w:tc>
        <w:tc>
          <w:tcPr>
            <w:tcW w:w="1310" w:type="dxa"/>
          </w:tcPr>
          <w:p w14:paraId="198BCD69" w14:textId="77777777" w:rsidR="001E42D6" w:rsidRPr="00666D9A" w:rsidRDefault="001E42D6" w:rsidP="008C2CFC">
            <w:pPr>
              <w:rPr>
                <w:i/>
                <w:sz w:val="22"/>
                <w:szCs w:val="22"/>
              </w:rPr>
            </w:pPr>
            <w:r w:rsidRPr="00666D9A">
              <w:rPr>
                <w:i/>
                <w:sz w:val="22"/>
                <w:szCs w:val="22"/>
              </w:rPr>
              <w:t xml:space="preserve">Requested by DHB </w:t>
            </w:r>
          </w:p>
        </w:tc>
        <w:tc>
          <w:tcPr>
            <w:tcW w:w="1332" w:type="dxa"/>
          </w:tcPr>
          <w:p w14:paraId="2353F97B" w14:textId="77777777" w:rsidR="001E42D6" w:rsidRPr="00666D9A" w:rsidRDefault="001E42D6" w:rsidP="008C2CFC">
            <w:pPr>
              <w:rPr>
                <w:i/>
                <w:sz w:val="22"/>
                <w:szCs w:val="22"/>
              </w:rPr>
            </w:pPr>
            <w:r w:rsidRPr="00666D9A">
              <w:rPr>
                <w:i/>
                <w:sz w:val="22"/>
                <w:szCs w:val="22"/>
              </w:rPr>
              <w:t xml:space="preserve">Le </w:t>
            </w:r>
            <w:proofErr w:type="spellStart"/>
            <w:r w:rsidRPr="00666D9A">
              <w:rPr>
                <w:i/>
                <w:sz w:val="22"/>
                <w:szCs w:val="22"/>
              </w:rPr>
              <w:t>Va</w:t>
            </w:r>
            <w:proofErr w:type="spellEnd"/>
          </w:p>
        </w:tc>
        <w:tc>
          <w:tcPr>
            <w:tcW w:w="1186" w:type="dxa"/>
          </w:tcPr>
          <w:p w14:paraId="6796B055" w14:textId="77777777" w:rsidR="001E42D6" w:rsidRPr="00666D9A" w:rsidRDefault="001E42D6" w:rsidP="008C2CFC">
            <w:pPr>
              <w:rPr>
                <w:i/>
                <w:sz w:val="22"/>
                <w:szCs w:val="22"/>
              </w:rPr>
            </w:pPr>
            <w:r w:rsidRPr="00666D9A">
              <w:rPr>
                <w:i/>
                <w:sz w:val="22"/>
                <w:szCs w:val="22"/>
              </w:rPr>
              <w:t>25</w:t>
            </w:r>
          </w:p>
        </w:tc>
        <w:tc>
          <w:tcPr>
            <w:tcW w:w="1984" w:type="dxa"/>
          </w:tcPr>
          <w:p w14:paraId="1AF7A61E" w14:textId="77777777" w:rsidR="001E42D6" w:rsidRPr="00666D9A" w:rsidRDefault="001E42D6" w:rsidP="008C2CFC">
            <w:pPr>
              <w:rPr>
                <w:i/>
                <w:sz w:val="22"/>
                <w:szCs w:val="22"/>
              </w:rPr>
            </w:pPr>
            <w:r>
              <w:rPr>
                <w:i/>
                <w:sz w:val="22"/>
                <w:szCs w:val="22"/>
              </w:rPr>
              <w:t>Action area 6 (prevention). Action item: “Support the delivery of suicide prevention education programmes.”</w:t>
            </w:r>
          </w:p>
        </w:tc>
        <w:tc>
          <w:tcPr>
            <w:tcW w:w="1134" w:type="dxa"/>
          </w:tcPr>
          <w:p w14:paraId="29AC7C54" w14:textId="77777777" w:rsidR="001E42D6" w:rsidRPr="00666D9A" w:rsidRDefault="001E42D6" w:rsidP="008C2CFC">
            <w:pPr>
              <w:rPr>
                <w:i/>
                <w:sz w:val="22"/>
                <w:szCs w:val="22"/>
              </w:rPr>
            </w:pPr>
            <w:r w:rsidRPr="00666D9A">
              <w:rPr>
                <w:i/>
                <w:sz w:val="22"/>
                <w:szCs w:val="22"/>
              </w:rPr>
              <w:t xml:space="preserve">Marae based health service </w:t>
            </w:r>
          </w:p>
        </w:tc>
        <w:tc>
          <w:tcPr>
            <w:tcW w:w="1985" w:type="dxa"/>
          </w:tcPr>
          <w:p w14:paraId="592A7B87" w14:textId="77777777" w:rsidR="001E42D6" w:rsidRPr="00666D9A" w:rsidRDefault="001E42D6" w:rsidP="008C2CFC">
            <w:pPr>
              <w:rPr>
                <w:i/>
                <w:sz w:val="22"/>
                <w:szCs w:val="22"/>
              </w:rPr>
            </w:pPr>
            <w:r w:rsidRPr="00666D9A">
              <w:rPr>
                <w:i/>
                <w:sz w:val="22"/>
                <w:szCs w:val="22"/>
              </w:rPr>
              <w:t xml:space="preserve">Support for people seeking primary health services who are experiencing suicidal distress </w:t>
            </w:r>
          </w:p>
        </w:tc>
      </w:tr>
      <w:tr w:rsidR="001E42D6" w:rsidRPr="00666D9A" w14:paraId="49B69C15" w14:textId="77777777" w:rsidTr="008C2CFC">
        <w:tc>
          <w:tcPr>
            <w:tcW w:w="1701" w:type="dxa"/>
          </w:tcPr>
          <w:p w14:paraId="07DDD288" w14:textId="77777777" w:rsidR="001E42D6" w:rsidRPr="00666D9A" w:rsidRDefault="001E42D6" w:rsidP="008C2CFC">
            <w:pPr>
              <w:rPr>
                <w:i/>
                <w:sz w:val="22"/>
                <w:szCs w:val="22"/>
              </w:rPr>
            </w:pPr>
            <w:r w:rsidRPr="00666D9A">
              <w:rPr>
                <w:i/>
                <w:sz w:val="22"/>
                <w:szCs w:val="22"/>
              </w:rPr>
              <w:t>MH101 (Rural)</w:t>
            </w:r>
          </w:p>
        </w:tc>
        <w:tc>
          <w:tcPr>
            <w:tcW w:w="1310" w:type="dxa"/>
          </w:tcPr>
          <w:p w14:paraId="63E24F25" w14:textId="77777777" w:rsidR="001E42D6" w:rsidRPr="00666D9A" w:rsidRDefault="001E42D6" w:rsidP="008C2CFC">
            <w:pPr>
              <w:rPr>
                <w:i/>
                <w:sz w:val="22"/>
                <w:szCs w:val="22"/>
              </w:rPr>
            </w:pPr>
            <w:r w:rsidRPr="00666D9A">
              <w:rPr>
                <w:i/>
                <w:sz w:val="22"/>
                <w:szCs w:val="22"/>
              </w:rPr>
              <w:t>Requested by DHB</w:t>
            </w:r>
          </w:p>
        </w:tc>
        <w:tc>
          <w:tcPr>
            <w:tcW w:w="1332" w:type="dxa"/>
          </w:tcPr>
          <w:p w14:paraId="7C0330EE" w14:textId="77777777" w:rsidR="001E42D6" w:rsidRPr="00666D9A" w:rsidRDefault="001E42D6" w:rsidP="008C2CFC">
            <w:pPr>
              <w:rPr>
                <w:i/>
                <w:sz w:val="22"/>
                <w:szCs w:val="22"/>
              </w:rPr>
            </w:pPr>
            <w:r w:rsidRPr="00666D9A">
              <w:rPr>
                <w:i/>
                <w:sz w:val="22"/>
                <w:szCs w:val="22"/>
              </w:rPr>
              <w:t>Blueprint for Learning</w:t>
            </w:r>
          </w:p>
        </w:tc>
        <w:tc>
          <w:tcPr>
            <w:tcW w:w="1186" w:type="dxa"/>
          </w:tcPr>
          <w:p w14:paraId="21790948" w14:textId="77777777" w:rsidR="001E42D6" w:rsidRPr="00666D9A" w:rsidRDefault="001E42D6" w:rsidP="008C2CFC">
            <w:pPr>
              <w:rPr>
                <w:i/>
                <w:sz w:val="22"/>
                <w:szCs w:val="22"/>
              </w:rPr>
            </w:pPr>
            <w:r w:rsidRPr="00666D9A">
              <w:rPr>
                <w:i/>
                <w:sz w:val="22"/>
                <w:szCs w:val="22"/>
              </w:rPr>
              <w:t>25</w:t>
            </w:r>
          </w:p>
        </w:tc>
        <w:tc>
          <w:tcPr>
            <w:tcW w:w="1984" w:type="dxa"/>
          </w:tcPr>
          <w:p w14:paraId="3B65DB82" w14:textId="77777777" w:rsidR="001E42D6" w:rsidRPr="00666D9A" w:rsidRDefault="001E42D6" w:rsidP="008C2CFC">
            <w:pPr>
              <w:rPr>
                <w:i/>
                <w:sz w:val="22"/>
                <w:szCs w:val="22"/>
              </w:rPr>
            </w:pPr>
            <w:r>
              <w:rPr>
                <w:i/>
                <w:sz w:val="22"/>
                <w:szCs w:val="22"/>
              </w:rPr>
              <w:t xml:space="preserve">Action area 5 (promotion). Action item: “Support the delivery of </w:t>
            </w:r>
            <w:r>
              <w:rPr>
                <w:i/>
                <w:sz w:val="22"/>
                <w:szCs w:val="22"/>
              </w:rPr>
              <w:lastRenderedPageBreak/>
              <w:t>wellbeing programmes by community-based organisations and NGOs with a focus on […] rural communities.”</w:t>
            </w:r>
          </w:p>
        </w:tc>
        <w:tc>
          <w:tcPr>
            <w:tcW w:w="1134" w:type="dxa"/>
          </w:tcPr>
          <w:p w14:paraId="4DA2E796" w14:textId="77777777" w:rsidR="001E42D6" w:rsidRPr="00666D9A" w:rsidRDefault="001E42D6" w:rsidP="008C2CFC">
            <w:pPr>
              <w:rPr>
                <w:i/>
                <w:sz w:val="22"/>
                <w:szCs w:val="22"/>
              </w:rPr>
            </w:pPr>
            <w:r w:rsidRPr="00666D9A">
              <w:rPr>
                <w:i/>
                <w:sz w:val="22"/>
                <w:szCs w:val="22"/>
              </w:rPr>
              <w:lastRenderedPageBreak/>
              <w:t xml:space="preserve">Farmers and rural professionals </w:t>
            </w:r>
          </w:p>
        </w:tc>
        <w:tc>
          <w:tcPr>
            <w:tcW w:w="1985" w:type="dxa"/>
          </w:tcPr>
          <w:p w14:paraId="7D9B4BC4" w14:textId="77777777" w:rsidR="001E42D6" w:rsidRPr="00666D9A" w:rsidRDefault="001E42D6" w:rsidP="008C2CFC">
            <w:pPr>
              <w:rPr>
                <w:i/>
                <w:sz w:val="22"/>
                <w:szCs w:val="22"/>
              </w:rPr>
            </w:pPr>
            <w:r w:rsidRPr="00666D9A">
              <w:rPr>
                <w:i/>
                <w:sz w:val="22"/>
                <w:szCs w:val="22"/>
              </w:rPr>
              <w:t xml:space="preserve">Increasing knowledge and support for farmers </w:t>
            </w:r>
            <w:r w:rsidRPr="00666D9A">
              <w:rPr>
                <w:i/>
                <w:sz w:val="22"/>
                <w:szCs w:val="22"/>
              </w:rPr>
              <w:lastRenderedPageBreak/>
              <w:t xml:space="preserve">impacted by X event </w:t>
            </w:r>
          </w:p>
        </w:tc>
      </w:tr>
      <w:tr w:rsidR="001E42D6" w:rsidRPr="00666D9A" w14:paraId="2DD97651" w14:textId="77777777" w:rsidTr="008C2CFC">
        <w:tc>
          <w:tcPr>
            <w:tcW w:w="1701" w:type="dxa"/>
          </w:tcPr>
          <w:p w14:paraId="7D8EB175" w14:textId="77777777" w:rsidR="001E42D6" w:rsidRPr="00666D9A" w:rsidRDefault="001E42D6" w:rsidP="008C2CFC">
            <w:pPr>
              <w:rPr>
                <w:i/>
                <w:sz w:val="22"/>
                <w:szCs w:val="22"/>
              </w:rPr>
            </w:pPr>
            <w:r w:rsidRPr="00666D9A">
              <w:rPr>
                <w:i/>
                <w:sz w:val="22"/>
                <w:szCs w:val="22"/>
              </w:rPr>
              <w:lastRenderedPageBreak/>
              <w:t>Suicide Assessment training</w:t>
            </w:r>
          </w:p>
        </w:tc>
        <w:tc>
          <w:tcPr>
            <w:tcW w:w="1310" w:type="dxa"/>
          </w:tcPr>
          <w:p w14:paraId="663AE1EB" w14:textId="77777777" w:rsidR="001E42D6" w:rsidRPr="00666D9A" w:rsidRDefault="001E42D6" w:rsidP="008C2CFC">
            <w:pPr>
              <w:rPr>
                <w:i/>
                <w:sz w:val="22"/>
                <w:szCs w:val="22"/>
              </w:rPr>
            </w:pPr>
            <w:r w:rsidRPr="00666D9A">
              <w:rPr>
                <w:i/>
                <w:sz w:val="22"/>
                <w:szCs w:val="22"/>
              </w:rPr>
              <w:t>Requested by NGO staff</w:t>
            </w:r>
          </w:p>
        </w:tc>
        <w:tc>
          <w:tcPr>
            <w:tcW w:w="1332" w:type="dxa"/>
          </w:tcPr>
          <w:p w14:paraId="7BF9DD7E" w14:textId="77777777" w:rsidR="001E42D6" w:rsidRPr="00666D9A" w:rsidRDefault="001E42D6" w:rsidP="008C2CFC">
            <w:pPr>
              <w:rPr>
                <w:i/>
                <w:sz w:val="22"/>
                <w:szCs w:val="22"/>
              </w:rPr>
            </w:pPr>
            <w:r w:rsidRPr="00666D9A">
              <w:rPr>
                <w:i/>
                <w:sz w:val="22"/>
                <w:szCs w:val="22"/>
              </w:rPr>
              <w:t>DHB Mental health team</w:t>
            </w:r>
          </w:p>
        </w:tc>
        <w:tc>
          <w:tcPr>
            <w:tcW w:w="1186" w:type="dxa"/>
          </w:tcPr>
          <w:p w14:paraId="3BB324E8" w14:textId="77777777" w:rsidR="001E42D6" w:rsidRPr="00666D9A" w:rsidRDefault="001E42D6" w:rsidP="008C2CFC">
            <w:pPr>
              <w:rPr>
                <w:i/>
                <w:sz w:val="22"/>
                <w:szCs w:val="22"/>
              </w:rPr>
            </w:pPr>
            <w:r w:rsidRPr="00666D9A">
              <w:rPr>
                <w:i/>
                <w:sz w:val="22"/>
                <w:szCs w:val="22"/>
              </w:rPr>
              <w:t>14</w:t>
            </w:r>
          </w:p>
        </w:tc>
        <w:tc>
          <w:tcPr>
            <w:tcW w:w="1984" w:type="dxa"/>
          </w:tcPr>
          <w:p w14:paraId="629BB51E" w14:textId="77777777" w:rsidR="001E42D6" w:rsidRPr="009216AF" w:rsidRDefault="001E42D6" w:rsidP="008C2CFC">
            <w:pPr>
              <w:rPr>
                <w:i/>
                <w:sz w:val="22"/>
                <w:szCs w:val="22"/>
              </w:rPr>
            </w:pPr>
            <w:r w:rsidRPr="009216AF">
              <w:rPr>
                <w:i/>
                <w:sz w:val="22"/>
                <w:szCs w:val="22"/>
              </w:rPr>
              <w:t>Ac</w:t>
            </w:r>
            <w:r w:rsidRPr="007C7E34">
              <w:rPr>
                <w:i/>
                <w:sz w:val="22"/>
                <w:szCs w:val="22"/>
              </w:rPr>
              <w:t>tion area 7</w:t>
            </w:r>
            <w:r>
              <w:rPr>
                <w:i/>
                <w:sz w:val="22"/>
                <w:szCs w:val="22"/>
              </w:rPr>
              <w:t xml:space="preserve"> </w:t>
            </w:r>
            <w:r w:rsidRPr="007C7E34">
              <w:rPr>
                <w:i/>
                <w:sz w:val="22"/>
                <w:szCs w:val="22"/>
              </w:rPr>
              <w:t xml:space="preserve">(intervention): </w:t>
            </w:r>
            <w:r w:rsidRPr="009216AF">
              <w:rPr>
                <w:i/>
                <w:sz w:val="22"/>
                <w:szCs w:val="22"/>
              </w:rPr>
              <w:t xml:space="preserve">“Supporting frontline staff and community members to undertake suicide prevention training </w:t>
            </w:r>
            <w:r w:rsidRPr="00B147F1">
              <w:rPr>
                <w:i/>
                <w:sz w:val="22"/>
                <w:szCs w:val="22"/>
              </w:rPr>
              <w:t>[…]</w:t>
            </w:r>
            <w:r w:rsidRPr="009216AF">
              <w:rPr>
                <w:i/>
                <w:sz w:val="22"/>
                <w:szCs w:val="22"/>
              </w:rPr>
              <w:t xml:space="preserve"> will help ensure the delivery of quality services.” </w:t>
            </w:r>
          </w:p>
        </w:tc>
        <w:tc>
          <w:tcPr>
            <w:tcW w:w="1134" w:type="dxa"/>
          </w:tcPr>
          <w:p w14:paraId="0A801BC4" w14:textId="77777777" w:rsidR="001E42D6" w:rsidRPr="00666D9A" w:rsidRDefault="001E42D6" w:rsidP="008C2CFC">
            <w:pPr>
              <w:rPr>
                <w:i/>
                <w:sz w:val="22"/>
                <w:szCs w:val="22"/>
              </w:rPr>
            </w:pPr>
            <w:r w:rsidRPr="00666D9A">
              <w:rPr>
                <w:i/>
                <w:sz w:val="22"/>
                <w:szCs w:val="22"/>
              </w:rPr>
              <w:t>Youth One-Stop Shop</w:t>
            </w:r>
          </w:p>
        </w:tc>
        <w:tc>
          <w:tcPr>
            <w:tcW w:w="1985" w:type="dxa"/>
          </w:tcPr>
          <w:p w14:paraId="6FB5D5D6" w14:textId="77777777" w:rsidR="001E42D6" w:rsidRPr="00666D9A" w:rsidRDefault="001E42D6" w:rsidP="008C2CFC">
            <w:pPr>
              <w:rPr>
                <w:i/>
                <w:sz w:val="22"/>
                <w:szCs w:val="22"/>
              </w:rPr>
            </w:pPr>
            <w:r w:rsidRPr="00666D9A">
              <w:rPr>
                <w:i/>
                <w:sz w:val="22"/>
                <w:szCs w:val="22"/>
              </w:rPr>
              <w:t>Support for agency working with vulnerable youth</w:t>
            </w:r>
          </w:p>
        </w:tc>
      </w:tr>
      <w:tr w:rsidR="001E42D6" w:rsidRPr="00666D9A" w14:paraId="493EA386" w14:textId="77777777" w:rsidTr="008C2CFC">
        <w:tc>
          <w:tcPr>
            <w:tcW w:w="1701" w:type="dxa"/>
          </w:tcPr>
          <w:p w14:paraId="0A9CD9C5" w14:textId="77777777" w:rsidR="001E42D6" w:rsidRPr="00666D9A" w:rsidRDefault="001E42D6" w:rsidP="008C2CFC">
            <w:pPr>
              <w:rPr>
                <w:i/>
                <w:sz w:val="22"/>
                <w:szCs w:val="22"/>
              </w:rPr>
            </w:pPr>
            <w:r w:rsidRPr="00666D9A">
              <w:rPr>
                <w:i/>
                <w:sz w:val="22"/>
                <w:szCs w:val="22"/>
              </w:rPr>
              <w:t xml:space="preserve">Suicide prevention presentation </w:t>
            </w:r>
          </w:p>
        </w:tc>
        <w:tc>
          <w:tcPr>
            <w:tcW w:w="1310" w:type="dxa"/>
          </w:tcPr>
          <w:p w14:paraId="3E5B13F6" w14:textId="77777777" w:rsidR="001E42D6" w:rsidRPr="00666D9A" w:rsidRDefault="001E42D6" w:rsidP="008C2CFC">
            <w:pPr>
              <w:rPr>
                <w:i/>
                <w:sz w:val="22"/>
                <w:szCs w:val="22"/>
              </w:rPr>
            </w:pPr>
            <w:r w:rsidRPr="00666D9A">
              <w:rPr>
                <w:i/>
                <w:sz w:val="22"/>
                <w:szCs w:val="22"/>
              </w:rPr>
              <w:t>Requested by Aged Concern</w:t>
            </w:r>
          </w:p>
        </w:tc>
        <w:tc>
          <w:tcPr>
            <w:tcW w:w="1332" w:type="dxa"/>
          </w:tcPr>
          <w:p w14:paraId="4719A373" w14:textId="77777777" w:rsidR="001E42D6" w:rsidRPr="00666D9A" w:rsidRDefault="001E42D6" w:rsidP="008C2CFC">
            <w:pPr>
              <w:rPr>
                <w:i/>
                <w:sz w:val="22"/>
                <w:szCs w:val="22"/>
              </w:rPr>
            </w:pPr>
            <w:r w:rsidRPr="00666D9A">
              <w:rPr>
                <w:i/>
                <w:sz w:val="22"/>
                <w:szCs w:val="22"/>
              </w:rPr>
              <w:t xml:space="preserve">DHB SPC </w:t>
            </w:r>
          </w:p>
        </w:tc>
        <w:tc>
          <w:tcPr>
            <w:tcW w:w="1186" w:type="dxa"/>
          </w:tcPr>
          <w:p w14:paraId="3DA05FE0" w14:textId="77777777" w:rsidR="001E42D6" w:rsidRPr="00666D9A" w:rsidRDefault="001E42D6" w:rsidP="008C2CFC">
            <w:pPr>
              <w:rPr>
                <w:i/>
                <w:sz w:val="22"/>
                <w:szCs w:val="22"/>
              </w:rPr>
            </w:pPr>
            <w:r w:rsidRPr="00666D9A">
              <w:rPr>
                <w:i/>
                <w:sz w:val="22"/>
                <w:szCs w:val="22"/>
              </w:rPr>
              <w:t>30</w:t>
            </w:r>
          </w:p>
        </w:tc>
        <w:tc>
          <w:tcPr>
            <w:tcW w:w="1984" w:type="dxa"/>
          </w:tcPr>
          <w:p w14:paraId="4C8AD9D5" w14:textId="77777777" w:rsidR="001E42D6" w:rsidRPr="00666D9A" w:rsidRDefault="001E42D6" w:rsidP="008C2CFC">
            <w:pPr>
              <w:rPr>
                <w:i/>
                <w:sz w:val="22"/>
                <w:szCs w:val="22"/>
              </w:rPr>
            </w:pPr>
            <w:r>
              <w:rPr>
                <w:i/>
                <w:sz w:val="22"/>
                <w:szCs w:val="22"/>
              </w:rPr>
              <w:t xml:space="preserve">Action area 6 (prevention). Action item: “Support the delivery of suicide prevention education programmes.” </w:t>
            </w:r>
          </w:p>
        </w:tc>
        <w:tc>
          <w:tcPr>
            <w:tcW w:w="1134" w:type="dxa"/>
          </w:tcPr>
          <w:p w14:paraId="05D3A8D5" w14:textId="77777777" w:rsidR="001E42D6" w:rsidRPr="00666D9A" w:rsidRDefault="001E42D6" w:rsidP="008C2CFC">
            <w:pPr>
              <w:rPr>
                <w:i/>
                <w:sz w:val="22"/>
                <w:szCs w:val="22"/>
              </w:rPr>
            </w:pPr>
            <w:r w:rsidRPr="00666D9A">
              <w:rPr>
                <w:i/>
                <w:sz w:val="22"/>
                <w:szCs w:val="22"/>
              </w:rPr>
              <w:t>Aged Concern Volunteers</w:t>
            </w:r>
          </w:p>
        </w:tc>
        <w:tc>
          <w:tcPr>
            <w:tcW w:w="1985" w:type="dxa"/>
          </w:tcPr>
          <w:p w14:paraId="2400AECD" w14:textId="77777777" w:rsidR="001E42D6" w:rsidRPr="00666D9A" w:rsidRDefault="001E42D6" w:rsidP="008C2CFC">
            <w:pPr>
              <w:rPr>
                <w:i/>
                <w:sz w:val="22"/>
                <w:szCs w:val="22"/>
              </w:rPr>
            </w:pPr>
            <w:r w:rsidRPr="00666D9A">
              <w:rPr>
                <w:i/>
                <w:sz w:val="22"/>
                <w:szCs w:val="22"/>
              </w:rPr>
              <w:t xml:space="preserve">Education for staff and volunteers supporting the elderly </w:t>
            </w:r>
          </w:p>
        </w:tc>
      </w:tr>
    </w:tbl>
    <w:p w14:paraId="0314163D" w14:textId="77777777" w:rsidR="001E42D6" w:rsidRPr="00666D9A" w:rsidRDefault="001E42D6" w:rsidP="001E42D6">
      <w:pPr>
        <w:rPr>
          <w:rFonts w:ascii="Arial" w:hAnsi="Arial" w:cs="Arial"/>
          <w:b/>
          <w:sz w:val="22"/>
          <w:szCs w:val="22"/>
        </w:rPr>
      </w:pPr>
    </w:p>
    <w:p w14:paraId="34A5CB5F" w14:textId="77777777" w:rsidR="001E42D6" w:rsidRPr="00666D9A" w:rsidRDefault="001E42D6" w:rsidP="001E42D6">
      <w:pPr>
        <w:rPr>
          <w:rFonts w:ascii="Arial" w:hAnsi="Arial" w:cs="Arial"/>
          <w:b/>
          <w:sz w:val="22"/>
          <w:szCs w:val="22"/>
        </w:rPr>
      </w:pPr>
    </w:p>
    <w:p w14:paraId="5777D19B" w14:textId="77777777" w:rsidR="001E42D6" w:rsidRPr="00666D9A" w:rsidRDefault="001E42D6" w:rsidP="001E42D6">
      <w:pPr>
        <w:numPr>
          <w:ilvl w:val="0"/>
          <w:numId w:val="64"/>
        </w:numPr>
        <w:rPr>
          <w:rFonts w:ascii="Arial" w:hAnsi="Arial" w:cs="Arial"/>
          <w:b/>
          <w:sz w:val="22"/>
          <w:szCs w:val="22"/>
        </w:rPr>
      </w:pPr>
      <w:r w:rsidRPr="00666D9A">
        <w:rPr>
          <w:rFonts w:ascii="Arial" w:hAnsi="Arial" w:cs="Arial"/>
          <w:b/>
          <w:sz w:val="22"/>
          <w:szCs w:val="22"/>
        </w:rPr>
        <w:t xml:space="preserve"> Community initiatives evaluation template</w:t>
      </w:r>
    </w:p>
    <w:p w14:paraId="2AB10CD7" w14:textId="77777777" w:rsidR="001E42D6" w:rsidRPr="00666D9A" w:rsidRDefault="001E42D6" w:rsidP="001E42D6">
      <w:pPr>
        <w:rPr>
          <w:rFonts w:ascii="Arial" w:hAnsi="Arial" w:cs="Arial"/>
          <w:i/>
          <w:sz w:val="22"/>
          <w:szCs w:val="22"/>
        </w:rPr>
      </w:pPr>
    </w:p>
    <w:p w14:paraId="65464C4D" w14:textId="77777777" w:rsidR="001E42D6" w:rsidRPr="00666D9A" w:rsidRDefault="001E42D6" w:rsidP="001E42D6">
      <w:pPr>
        <w:rPr>
          <w:rFonts w:ascii="Arial" w:hAnsi="Arial" w:cs="Arial"/>
          <w:i/>
          <w:sz w:val="22"/>
          <w:szCs w:val="22"/>
        </w:rPr>
      </w:pPr>
      <w:r w:rsidRPr="00666D9A">
        <w:rPr>
          <w:rFonts w:ascii="Arial" w:hAnsi="Arial" w:cs="Arial"/>
          <w:i/>
          <w:sz w:val="22"/>
          <w:szCs w:val="22"/>
        </w:rPr>
        <w:t xml:space="preserve">Sample: </w:t>
      </w:r>
    </w:p>
    <w:tbl>
      <w:tblPr>
        <w:tblStyle w:val="TableGrid"/>
        <w:tblW w:w="10632" w:type="dxa"/>
        <w:tblInd w:w="-5" w:type="dxa"/>
        <w:tblLayout w:type="fixed"/>
        <w:tblLook w:val="04A0" w:firstRow="1" w:lastRow="0" w:firstColumn="1" w:lastColumn="0" w:noHBand="0" w:noVBand="1"/>
      </w:tblPr>
      <w:tblGrid>
        <w:gridCol w:w="1700"/>
        <w:gridCol w:w="1276"/>
        <w:gridCol w:w="1418"/>
        <w:gridCol w:w="1134"/>
        <w:gridCol w:w="1985"/>
        <w:gridCol w:w="1134"/>
        <w:gridCol w:w="1985"/>
      </w:tblGrid>
      <w:tr w:rsidR="001E42D6" w:rsidRPr="00666D9A" w14:paraId="227A62A9" w14:textId="77777777" w:rsidTr="008C2CFC">
        <w:tc>
          <w:tcPr>
            <w:tcW w:w="1700" w:type="dxa"/>
          </w:tcPr>
          <w:p w14:paraId="54EA08A7" w14:textId="77777777" w:rsidR="001E42D6" w:rsidRPr="00666D9A" w:rsidRDefault="001E42D6" w:rsidP="008C2CFC">
            <w:pPr>
              <w:rPr>
                <w:b/>
                <w:sz w:val="22"/>
                <w:szCs w:val="22"/>
              </w:rPr>
            </w:pPr>
            <w:r w:rsidRPr="00666D9A">
              <w:rPr>
                <w:b/>
                <w:sz w:val="22"/>
                <w:szCs w:val="22"/>
              </w:rPr>
              <w:t>Event description</w:t>
            </w:r>
          </w:p>
        </w:tc>
        <w:tc>
          <w:tcPr>
            <w:tcW w:w="1276" w:type="dxa"/>
          </w:tcPr>
          <w:p w14:paraId="315AD0FA" w14:textId="77777777" w:rsidR="001E42D6" w:rsidRPr="00666D9A" w:rsidRDefault="001E42D6" w:rsidP="008C2CFC">
            <w:pPr>
              <w:rPr>
                <w:b/>
                <w:sz w:val="22"/>
                <w:szCs w:val="22"/>
              </w:rPr>
            </w:pPr>
            <w:r w:rsidRPr="00666D9A">
              <w:rPr>
                <w:b/>
                <w:sz w:val="22"/>
                <w:szCs w:val="22"/>
              </w:rPr>
              <w:t>Initiated by DHB</w:t>
            </w:r>
          </w:p>
          <w:p w14:paraId="040FC64A" w14:textId="77777777" w:rsidR="001E42D6" w:rsidRPr="00666D9A" w:rsidRDefault="001E42D6" w:rsidP="008C2CFC">
            <w:pPr>
              <w:rPr>
                <w:b/>
                <w:sz w:val="22"/>
                <w:szCs w:val="22"/>
              </w:rPr>
            </w:pPr>
            <w:r w:rsidRPr="00666D9A">
              <w:rPr>
                <w:b/>
                <w:sz w:val="22"/>
                <w:szCs w:val="22"/>
              </w:rPr>
              <w:t>Y/N</w:t>
            </w:r>
          </w:p>
        </w:tc>
        <w:tc>
          <w:tcPr>
            <w:tcW w:w="1418" w:type="dxa"/>
          </w:tcPr>
          <w:p w14:paraId="6C36B296" w14:textId="77777777" w:rsidR="001E42D6" w:rsidRPr="00666D9A" w:rsidRDefault="001E42D6" w:rsidP="008C2CFC">
            <w:pPr>
              <w:rPr>
                <w:b/>
                <w:sz w:val="22"/>
                <w:szCs w:val="22"/>
              </w:rPr>
            </w:pPr>
            <w:r w:rsidRPr="00666D9A">
              <w:rPr>
                <w:b/>
                <w:sz w:val="22"/>
                <w:szCs w:val="22"/>
              </w:rPr>
              <w:t>Supported by DHB Y/N</w:t>
            </w:r>
          </w:p>
        </w:tc>
        <w:tc>
          <w:tcPr>
            <w:tcW w:w="1134" w:type="dxa"/>
          </w:tcPr>
          <w:p w14:paraId="096E1D0E" w14:textId="77777777" w:rsidR="001E42D6" w:rsidRPr="00666D9A" w:rsidRDefault="001E42D6" w:rsidP="008C2CFC">
            <w:pPr>
              <w:rPr>
                <w:b/>
                <w:sz w:val="22"/>
                <w:szCs w:val="22"/>
              </w:rPr>
            </w:pPr>
            <w:r w:rsidRPr="00666D9A">
              <w:rPr>
                <w:b/>
                <w:sz w:val="22"/>
                <w:szCs w:val="22"/>
              </w:rPr>
              <w:t>Number of attendees</w:t>
            </w:r>
          </w:p>
        </w:tc>
        <w:tc>
          <w:tcPr>
            <w:tcW w:w="1985" w:type="dxa"/>
          </w:tcPr>
          <w:p w14:paraId="605D5F9A" w14:textId="77777777" w:rsidR="001E42D6" w:rsidRPr="00666D9A" w:rsidRDefault="001E42D6" w:rsidP="008C2CFC">
            <w:pPr>
              <w:rPr>
                <w:b/>
                <w:sz w:val="22"/>
                <w:szCs w:val="22"/>
              </w:rPr>
            </w:pPr>
            <w:r>
              <w:rPr>
                <w:b/>
                <w:sz w:val="22"/>
                <w:szCs w:val="22"/>
              </w:rPr>
              <w:t xml:space="preserve">Implementation of </w:t>
            </w:r>
            <w:proofErr w:type="spellStart"/>
            <w:r w:rsidRPr="00B147F1">
              <w:rPr>
                <w:b/>
                <w:i/>
                <w:iCs/>
                <w:sz w:val="22"/>
                <w:szCs w:val="22"/>
              </w:rPr>
              <w:t>He</w:t>
            </w:r>
            <w:proofErr w:type="spellEnd"/>
            <w:r w:rsidRPr="00B147F1">
              <w:rPr>
                <w:b/>
                <w:i/>
                <w:iCs/>
                <w:sz w:val="22"/>
                <w:szCs w:val="22"/>
              </w:rPr>
              <w:t xml:space="preserve"> </w:t>
            </w:r>
            <w:proofErr w:type="spellStart"/>
            <w:r w:rsidRPr="00B147F1">
              <w:rPr>
                <w:b/>
                <w:i/>
                <w:iCs/>
                <w:sz w:val="22"/>
                <w:szCs w:val="22"/>
              </w:rPr>
              <w:t>Tapu</w:t>
            </w:r>
            <w:proofErr w:type="spellEnd"/>
            <w:r w:rsidRPr="00B147F1">
              <w:rPr>
                <w:b/>
                <w:i/>
                <w:iCs/>
                <w:sz w:val="22"/>
                <w:szCs w:val="22"/>
              </w:rPr>
              <w:t xml:space="preserve"> </w:t>
            </w:r>
            <w:proofErr w:type="spellStart"/>
            <w:r w:rsidRPr="00B147F1">
              <w:rPr>
                <w:b/>
                <w:i/>
                <w:iCs/>
                <w:sz w:val="22"/>
                <w:szCs w:val="22"/>
              </w:rPr>
              <w:t>te</w:t>
            </w:r>
            <w:proofErr w:type="spellEnd"/>
            <w:r w:rsidRPr="00B147F1">
              <w:rPr>
                <w:b/>
                <w:i/>
                <w:iCs/>
                <w:sz w:val="22"/>
                <w:szCs w:val="22"/>
              </w:rPr>
              <w:t xml:space="preserve"> </w:t>
            </w:r>
            <w:proofErr w:type="spellStart"/>
            <w:r w:rsidRPr="00B147F1">
              <w:rPr>
                <w:b/>
                <w:i/>
                <w:iCs/>
                <w:sz w:val="22"/>
                <w:szCs w:val="22"/>
              </w:rPr>
              <w:t>Oranga</w:t>
            </w:r>
            <w:proofErr w:type="spellEnd"/>
            <w:r>
              <w:rPr>
                <w:b/>
                <w:sz w:val="22"/>
                <w:szCs w:val="22"/>
              </w:rPr>
              <w:t xml:space="preserve"> (Action area/item)</w:t>
            </w:r>
          </w:p>
        </w:tc>
        <w:tc>
          <w:tcPr>
            <w:tcW w:w="1134" w:type="dxa"/>
          </w:tcPr>
          <w:p w14:paraId="792975A7" w14:textId="77777777" w:rsidR="001E42D6" w:rsidRPr="00666D9A" w:rsidRDefault="001E42D6" w:rsidP="008C2CFC">
            <w:pPr>
              <w:rPr>
                <w:b/>
                <w:sz w:val="22"/>
                <w:szCs w:val="22"/>
              </w:rPr>
            </w:pPr>
            <w:r w:rsidRPr="00666D9A">
              <w:rPr>
                <w:b/>
                <w:sz w:val="22"/>
                <w:szCs w:val="22"/>
              </w:rPr>
              <w:t>Outcome /impact</w:t>
            </w:r>
          </w:p>
        </w:tc>
        <w:tc>
          <w:tcPr>
            <w:tcW w:w="1985" w:type="dxa"/>
          </w:tcPr>
          <w:p w14:paraId="46937849" w14:textId="77777777" w:rsidR="001E42D6" w:rsidRPr="00666D9A" w:rsidRDefault="001E42D6" w:rsidP="008C2CFC">
            <w:pPr>
              <w:rPr>
                <w:b/>
                <w:sz w:val="22"/>
                <w:szCs w:val="22"/>
              </w:rPr>
            </w:pPr>
            <w:r w:rsidRPr="00666D9A">
              <w:rPr>
                <w:b/>
                <w:sz w:val="22"/>
                <w:szCs w:val="22"/>
              </w:rPr>
              <w:t>Approach to safety</w:t>
            </w:r>
          </w:p>
        </w:tc>
      </w:tr>
      <w:tr w:rsidR="001E42D6" w:rsidRPr="00666D9A" w14:paraId="176FE2F1" w14:textId="77777777" w:rsidTr="008C2CFC">
        <w:tc>
          <w:tcPr>
            <w:tcW w:w="1700" w:type="dxa"/>
          </w:tcPr>
          <w:p w14:paraId="4C27B493" w14:textId="77777777" w:rsidR="001E42D6" w:rsidRPr="00666D9A" w:rsidRDefault="001E42D6" w:rsidP="008C2CFC">
            <w:pPr>
              <w:rPr>
                <w:i/>
                <w:sz w:val="22"/>
                <w:szCs w:val="22"/>
              </w:rPr>
            </w:pPr>
            <w:proofErr w:type="spellStart"/>
            <w:r w:rsidRPr="00666D9A">
              <w:rPr>
                <w:i/>
                <w:sz w:val="22"/>
                <w:szCs w:val="22"/>
              </w:rPr>
              <w:t>Hokianga</w:t>
            </w:r>
            <w:proofErr w:type="spellEnd"/>
            <w:r w:rsidRPr="00666D9A">
              <w:rPr>
                <w:i/>
                <w:sz w:val="22"/>
                <w:szCs w:val="22"/>
              </w:rPr>
              <w:t xml:space="preserve"> Suicide Prevention Hikoi</w:t>
            </w:r>
          </w:p>
        </w:tc>
        <w:tc>
          <w:tcPr>
            <w:tcW w:w="1276" w:type="dxa"/>
          </w:tcPr>
          <w:p w14:paraId="2A475AAC" w14:textId="77777777" w:rsidR="001E42D6" w:rsidRPr="00666D9A" w:rsidRDefault="001E42D6" w:rsidP="008C2CFC">
            <w:pPr>
              <w:rPr>
                <w:i/>
                <w:sz w:val="22"/>
                <w:szCs w:val="22"/>
              </w:rPr>
            </w:pPr>
            <w:r w:rsidRPr="00666D9A">
              <w:rPr>
                <w:i/>
                <w:sz w:val="22"/>
                <w:szCs w:val="22"/>
              </w:rPr>
              <w:t>Yes</w:t>
            </w:r>
          </w:p>
        </w:tc>
        <w:tc>
          <w:tcPr>
            <w:tcW w:w="1418" w:type="dxa"/>
          </w:tcPr>
          <w:p w14:paraId="0E6E4836" w14:textId="77777777" w:rsidR="001E42D6" w:rsidRPr="00666D9A" w:rsidRDefault="001E42D6" w:rsidP="008C2CFC">
            <w:pPr>
              <w:rPr>
                <w:i/>
                <w:sz w:val="22"/>
                <w:szCs w:val="22"/>
              </w:rPr>
            </w:pPr>
            <w:r w:rsidRPr="00666D9A">
              <w:rPr>
                <w:i/>
                <w:sz w:val="22"/>
                <w:szCs w:val="22"/>
              </w:rPr>
              <w:t>Yes, attended by SPC and CAMHs Clinicians</w:t>
            </w:r>
          </w:p>
        </w:tc>
        <w:tc>
          <w:tcPr>
            <w:tcW w:w="1134" w:type="dxa"/>
          </w:tcPr>
          <w:p w14:paraId="37D4FD49" w14:textId="77777777" w:rsidR="001E42D6" w:rsidRPr="00666D9A" w:rsidRDefault="001E42D6" w:rsidP="008C2CFC">
            <w:pPr>
              <w:rPr>
                <w:i/>
                <w:sz w:val="22"/>
                <w:szCs w:val="22"/>
              </w:rPr>
            </w:pPr>
            <w:r w:rsidRPr="00666D9A">
              <w:rPr>
                <w:i/>
                <w:sz w:val="22"/>
                <w:szCs w:val="22"/>
              </w:rPr>
              <w:t>120</w:t>
            </w:r>
          </w:p>
        </w:tc>
        <w:tc>
          <w:tcPr>
            <w:tcW w:w="1985" w:type="dxa"/>
          </w:tcPr>
          <w:p w14:paraId="01059FCE" w14:textId="77777777" w:rsidR="001E42D6" w:rsidRPr="00666D9A" w:rsidRDefault="001E42D6" w:rsidP="008C2CFC">
            <w:pPr>
              <w:rPr>
                <w:i/>
                <w:sz w:val="22"/>
                <w:szCs w:val="22"/>
              </w:rPr>
            </w:pPr>
            <w:r>
              <w:rPr>
                <w:i/>
                <w:sz w:val="22"/>
                <w:szCs w:val="22"/>
              </w:rPr>
              <w:t>Action area 5 (promotion). Action item: “Support the delivery of wellbeing, mental health and addiction literacy programmes.”</w:t>
            </w:r>
          </w:p>
        </w:tc>
        <w:tc>
          <w:tcPr>
            <w:tcW w:w="1134" w:type="dxa"/>
          </w:tcPr>
          <w:p w14:paraId="4FD063D9" w14:textId="77777777" w:rsidR="001E42D6" w:rsidRPr="00666D9A" w:rsidRDefault="001E42D6" w:rsidP="008C2CFC">
            <w:pPr>
              <w:rPr>
                <w:i/>
                <w:sz w:val="22"/>
                <w:szCs w:val="22"/>
              </w:rPr>
            </w:pPr>
            <w:r w:rsidRPr="00666D9A">
              <w:rPr>
                <w:i/>
                <w:sz w:val="22"/>
                <w:szCs w:val="22"/>
              </w:rPr>
              <w:t xml:space="preserve">Raise community awareness of suicide </w:t>
            </w:r>
          </w:p>
        </w:tc>
        <w:tc>
          <w:tcPr>
            <w:tcW w:w="1985" w:type="dxa"/>
          </w:tcPr>
          <w:p w14:paraId="089356A6" w14:textId="77777777" w:rsidR="001E42D6" w:rsidRPr="00666D9A" w:rsidRDefault="001E42D6" w:rsidP="008C2CFC">
            <w:pPr>
              <w:rPr>
                <w:i/>
                <w:sz w:val="22"/>
                <w:szCs w:val="22"/>
              </w:rPr>
            </w:pPr>
            <w:r w:rsidRPr="00666D9A">
              <w:rPr>
                <w:i/>
                <w:sz w:val="22"/>
                <w:szCs w:val="22"/>
              </w:rPr>
              <w:t>Event overseen by SPC; focus on positive mental health; provided information and resources to community</w:t>
            </w:r>
          </w:p>
        </w:tc>
      </w:tr>
      <w:tr w:rsidR="001E42D6" w:rsidRPr="00666D9A" w14:paraId="760002E8" w14:textId="77777777" w:rsidTr="008C2CFC">
        <w:tc>
          <w:tcPr>
            <w:tcW w:w="1700" w:type="dxa"/>
          </w:tcPr>
          <w:p w14:paraId="3A61F9B7" w14:textId="77777777" w:rsidR="001E42D6" w:rsidRPr="00666D9A" w:rsidRDefault="001E42D6" w:rsidP="008C2CFC">
            <w:pPr>
              <w:rPr>
                <w:i/>
                <w:sz w:val="22"/>
                <w:szCs w:val="22"/>
              </w:rPr>
            </w:pPr>
            <w:r w:rsidRPr="00666D9A">
              <w:rPr>
                <w:i/>
                <w:sz w:val="22"/>
                <w:szCs w:val="22"/>
              </w:rPr>
              <w:t xml:space="preserve">World Mental Health Day expo </w:t>
            </w:r>
          </w:p>
        </w:tc>
        <w:tc>
          <w:tcPr>
            <w:tcW w:w="1276" w:type="dxa"/>
          </w:tcPr>
          <w:p w14:paraId="5BB5A3DE" w14:textId="77777777" w:rsidR="001E42D6" w:rsidRPr="00666D9A" w:rsidRDefault="001E42D6" w:rsidP="008C2CFC">
            <w:pPr>
              <w:rPr>
                <w:i/>
                <w:sz w:val="22"/>
                <w:szCs w:val="22"/>
              </w:rPr>
            </w:pPr>
            <w:r w:rsidRPr="00666D9A">
              <w:rPr>
                <w:i/>
                <w:sz w:val="22"/>
                <w:szCs w:val="22"/>
              </w:rPr>
              <w:t>Initiated by NGO X</w:t>
            </w:r>
          </w:p>
        </w:tc>
        <w:tc>
          <w:tcPr>
            <w:tcW w:w="1418" w:type="dxa"/>
          </w:tcPr>
          <w:p w14:paraId="625C52F0" w14:textId="77777777" w:rsidR="001E42D6" w:rsidRPr="00666D9A" w:rsidRDefault="001E42D6" w:rsidP="008C2CFC">
            <w:pPr>
              <w:rPr>
                <w:i/>
                <w:sz w:val="22"/>
                <w:szCs w:val="22"/>
              </w:rPr>
            </w:pPr>
            <w:r w:rsidRPr="00666D9A">
              <w:rPr>
                <w:i/>
                <w:sz w:val="22"/>
                <w:szCs w:val="22"/>
              </w:rPr>
              <w:t>Attended by SPC and Public health staff</w:t>
            </w:r>
          </w:p>
        </w:tc>
        <w:tc>
          <w:tcPr>
            <w:tcW w:w="1134" w:type="dxa"/>
          </w:tcPr>
          <w:p w14:paraId="0AE6B27C" w14:textId="77777777" w:rsidR="001E42D6" w:rsidRPr="00666D9A" w:rsidRDefault="001E42D6" w:rsidP="008C2CFC">
            <w:pPr>
              <w:rPr>
                <w:i/>
                <w:sz w:val="22"/>
                <w:szCs w:val="22"/>
              </w:rPr>
            </w:pPr>
            <w:r w:rsidRPr="00666D9A">
              <w:rPr>
                <w:i/>
                <w:sz w:val="22"/>
                <w:szCs w:val="22"/>
              </w:rPr>
              <w:t>50</w:t>
            </w:r>
          </w:p>
        </w:tc>
        <w:tc>
          <w:tcPr>
            <w:tcW w:w="1985" w:type="dxa"/>
          </w:tcPr>
          <w:p w14:paraId="4F59E4BC" w14:textId="77777777" w:rsidR="001E42D6" w:rsidRPr="00666D9A" w:rsidRDefault="001E42D6" w:rsidP="008C2CFC">
            <w:pPr>
              <w:rPr>
                <w:i/>
                <w:sz w:val="22"/>
                <w:szCs w:val="22"/>
              </w:rPr>
            </w:pPr>
            <w:r>
              <w:rPr>
                <w:i/>
                <w:sz w:val="22"/>
                <w:szCs w:val="22"/>
              </w:rPr>
              <w:t xml:space="preserve">Action area 5 (promotion). Action item: “Support the delivery of wellbeing, mental health and addiction literacy programmes.” </w:t>
            </w:r>
          </w:p>
        </w:tc>
        <w:tc>
          <w:tcPr>
            <w:tcW w:w="1134" w:type="dxa"/>
          </w:tcPr>
          <w:p w14:paraId="46A8E826" w14:textId="77777777" w:rsidR="001E42D6" w:rsidRPr="00666D9A" w:rsidRDefault="001E42D6" w:rsidP="008C2CFC">
            <w:pPr>
              <w:rPr>
                <w:i/>
                <w:sz w:val="22"/>
                <w:szCs w:val="22"/>
              </w:rPr>
            </w:pPr>
            <w:r w:rsidRPr="00666D9A">
              <w:rPr>
                <w:i/>
                <w:sz w:val="22"/>
                <w:szCs w:val="22"/>
              </w:rPr>
              <w:t>Mental Health promotion for community</w:t>
            </w:r>
          </w:p>
        </w:tc>
        <w:tc>
          <w:tcPr>
            <w:tcW w:w="1985" w:type="dxa"/>
          </w:tcPr>
          <w:p w14:paraId="58DECA34" w14:textId="77777777" w:rsidR="001E42D6" w:rsidRPr="00666D9A" w:rsidRDefault="001E42D6" w:rsidP="008C2CFC">
            <w:pPr>
              <w:rPr>
                <w:i/>
                <w:sz w:val="22"/>
                <w:szCs w:val="22"/>
              </w:rPr>
            </w:pPr>
            <w:r w:rsidRPr="00666D9A">
              <w:rPr>
                <w:i/>
                <w:sz w:val="22"/>
                <w:szCs w:val="22"/>
              </w:rPr>
              <w:t>Event organised in collaboration with SPC; focus on positive mental health; provided information and resources to community</w:t>
            </w:r>
          </w:p>
        </w:tc>
      </w:tr>
    </w:tbl>
    <w:p w14:paraId="564D2067" w14:textId="77777777" w:rsidR="00E2735C" w:rsidRDefault="00E2735C" w:rsidP="00E2735C">
      <w:pPr>
        <w:rPr>
          <w:rFonts w:ascii="Arial" w:hAnsi="Arial" w:cs="Arial"/>
          <w:sz w:val="22"/>
          <w:szCs w:val="22"/>
        </w:rPr>
      </w:pPr>
    </w:p>
    <w:p w14:paraId="67E0F159" w14:textId="77777777" w:rsidR="00E2735C" w:rsidRPr="0007551D" w:rsidRDefault="00E2735C" w:rsidP="00E2735C">
      <w:pPr>
        <w:rPr>
          <w:rFonts w:ascii="Arial" w:hAnsi="Arial" w:cs="Arial"/>
          <w:b/>
          <w:sz w:val="22"/>
          <w:szCs w:val="22"/>
        </w:rPr>
      </w:pPr>
    </w:p>
    <w:p w14:paraId="3B97CCAF" w14:textId="77777777" w:rsidR="00E2735C" w:rsidRPr="0007551D" w:rsidRDefault="00E2735C" w:rsidP="00E2735C">
      <w:pPr>
        <w:rPr>
          <w:rFonts w:ascii="Arial" w:hAnsi="Arial" w:cs="Arial"/>
          <w:b/>
          <w:sz w:val="22"/>
          <w:szCs w:val="22"/>
        </w:rPr>
      </w:pPr>
      <w:r w:rsidRPr="0007551D">
        <w:rPr>
          <w:rFonts w:ascii="Arial" w:hAnsi="Arial" w:cs="Arial"/>
          <w:b/>
          <w:sz w:val="22"/>
          <w:szCs w:val="22"/>
        </w:rPr>
        <w:t>Focus Area 3 Improving crisis response services</w:t>
      </w:r>
    </w:p>
    <w:p w14:paraId="499417E3" w14:textId="77777777" w:rsidR="00E2735C" w:rsidRPr="0007551D" w:rsidRDefault="00E2735C" w:rsidP="00E2735C">
      <w:pPr>
        <w:rPr>
          <w:rFonts w:ascii="Arial" w:hAnsi="Arial" w:cs="Arial"/>
          <w:b/>
        </w:rPr>
      </w:pPr>
    </w:p>
    <w:p w14:paraId="51652FCA" w14:textId="77777777" w:rsidR="00E2735C" w:rsidRPr="0007551D" w:rsidRDefault="00E2735C" w:rsidP="00E2735C">
      <w:pPr>
        <w:rPr>
          <w:rFonts w:ascii="Arial" w:hAnsi="Arial" w:cs="Arial"/>
          <w:sz w:val="22"/>
          <w:szCs w:val="22"/>
        </w:rPr>
      </w:pPr>
      <w:r w:rsidRPr="0007551D">
        <w:rPr>
          <w:rFonts w:ascii="Arial" w:hAnsi="Arial" w:cs="Arial"/>
          <w:sz w:val="22"/>
          <w:szCs w:val="22"/>
        </w:rPr>
        <w:lastRenderedPageBreak/>
        <w:t>Reducing the demand on police for crisis support of known clients is an important interagency goal. There is a significant range in the rate of known clients referred by police crisis services. Please provide actions that have been undertaken to reduce the rate of known clients being referred by police to crisis teams and what difference have the above actions made to police referrals.</w:t>
      </w:r>
    </w:p>
    <w:p w14:paraId="31E7276F" w14:textId="77777777" w:rsidR="00E2735C" w:rsidRDefault="00E2735C" w:rsidP="00E2735C">
      <w:pPr>
        <w:rPr>
          <w:rFonts w:ascii="Arial" w:hAnsi="Arial" w:cs="Arial"/>
          <w:b/>
        </w:rPr>
      </w:pPr>
    </w:p>
    <w:p w14:paraId="0BE09901" w14:textId="77777777" w:rsidR="00E2735C" w:rsidRDefault="00E2735C" w:rsidP="00E2735C">
      <w:pPr>
        <w:rPr>
          <w:rFonts w:ascii="Arial" w:hAnsi="Arial" w:cs="Arial"/>
          <w:b/>
        </w:rPr>
      </w:pPr>
    </w:p>
    <w:p w14:paraId="425A805F" w14:textId="77777777" w:rsidR="00E2735C" w:rsidRPr="0007551D" w:rsidRDefault="00E2735C" w:rsidP="00E2735C">
      <w:pPr>
        <w:rPr>
          <w:rFonts w:ascii="Arial" w:hAnsi="Arial" w:cs="Arial"/>
          <w:b/>
        </w:rPr>
      </w:pPr>
    </w:p>
    <w:p w14:paraId="24FBA184" w14:textId="77777777" w:rsidR="00E2735C" w:rsidRPr="0007551D" w:rsidRDefault="00E2735C" w:rsidP="00E2735C">
      <w:pPr>
        <w:rPr>
          <w:rFonts w:ascii="Arial" w:hAnsi="Arial" w:cs="Arial"/>
          <w:b/>
          <w:sz w:val="22"/>
          <w:szCs w:val="22"/>
        </w:rPr>
      </w:pPr>
      <w:r w:rsidRPr="0007551D">
        <w:rPr>
          <w:rFonts w:ascii="Arial" w:hAnsi="Arial" w:cs="Arial"/>
          <w:b/>
        </w:rPr>
        <w:t xml:space="preserve"> </w:t>
      </w:r>
      <w:r w:rsidRPr="0007551D">
        <w:rPr>
          <w:rFonts w:ascii="Arial" w:hAnsi="Arial" w:cs="Arial"/>
          <w:b/>
          <w:sz w:val="22"/>
          <w:szCs w:val="22"/>
        </w:rPr>
        <w:t xml:space="preserve">Focus Area 4 Improve outcomes for children </w:t>
      </w:r>
    </w:p>
    <w:p w14:paraId="64701918" w14:textId="77777777" w:rsidR="00E2735C" w:rsidRPr="0007551D" w:rsidRDefault="00E2735C" w:rsidP="00E2735C">
      <w:pPr>
        <w:rPr>
          <w:rFonts w:ascii="Arial" w:hAnsi="Arial" w:cs="Arial"/>
          <w:sz w:val="22"/>
          <w:szCs w:val="22"/>
        </w:rPr>
      </w:pPr>
    </w:p>
    <w:p w14:paraId="3B7FAD3F" w14:textId="77777777" w:rsidR="00E2735C" w:rsidRPr="0007551D" w:rsidRDefault="00E2735C" w:rsidP="00E2735C">
      <w:pPr>
        <w:rPr>
          <w:rFonts w:ascii="Arial" w:hAnsi="Arial" w:cs="Arial"/>
          <w:sz w:val="22"/>
          <w:szCs w:val="22"/>
        </w:rPr>
      </w:pPr>
      <w:r w:rsidRPr="0007551D">
        <w:rPr>
          <w:rFonts w:ascii="Arial" w:hAnsi="Arial" w:cs="Arial"/>
          <w:sz w:val="22"/>
          <w:szCs w:val="22"/>
        </w:rPr>
        <w:t>Please report on progress against actions being taken to implement the Supporting Parents Health Children (COPMIA) Guidelines.  Please also report on progress against actions identified in the annual plan for improving outcomes for children.</w:t>
      </w:r>
    </w:p>
    <w:p w14:paraId="2C262992" w14:textId="77777777" w:rsidR="00E2735C" w:rsidRPr="0007551D" w:rsidRDefault="00E2735C" w:rsidP="00E2735C">
      <w:pPr>
        <w:rPr>
          <w:rFonts w:ascii="Arial" w:hAnsi="Arial" w:cs="Arial"/>
          <w:sz w:val="22"/>
          <w:szCs w:val="22"/>
        </w:rPr>
      </w:pPr>
    </w:p>
    <w:p w14:paraId="4F159E27" w14:textId="77777777" w:rsidR="00E2735C" w:rsidRPr="0007551D" w:rsidRDefault="00E2735C" w:rsidP="00E2735C">
      <w:pPr>
        <w:rPr>
          <w:rFonts w:ascii="Arial" w:hAnsi="Arial" w:cs="Arial"/>
          <w:sz w:val="22"/>
          <w:szCs w:val="22"/>
        </w:rPr>
      </w:pPr>
      <w:r w:rsidRPr="0007551D">
        <w:rPr>
          <w:rFonts w:ascii="Arial" w:hAnsi="Arial" w:cs="Arial"/>
          <w:b/>
          <w:sz w:val="22"/>
          <w:szCs w:val="22"/>
        </w:rPr>
        <w:t>Focus area 5</w:t>
      </w:r>
      <w:r w:rsidRPr="0007551D">
        <w:rPr>
          <w:rFonts w:ascii="Arial" w:hAnsi="Arial" w:cs="Arial"/>
          <w:sz w:val="22"/>
          <w:szCs w:val="22"/>
        </w:rPr>
        <w:t xml:space="preserve"> </w:t>
      </w:r>
      <w:r w:rsidRPr="0007551D">
        <w:rPr>
          <w:rFonts w:ascii="Arial" w:hAnsi="Arial" w:cs="Arial"/>
          <w:b/>
          <w:sz w:val="22"/>
          <w:szCs w:val="22"/>
        </w:rPr>
        <w:t>improving employment and physical health needs of people with low prevalence conditions:</w:t>
      </w:r>
    </w:p>
    <w:p w14:paraId="0B612F63" w14:textId="77777777" w:rsidR="00E2735C" w:rsidRPr="0007551D" w:rsidRDefault="00E2735C" w:rsidP="00E2735C">
      <w:pPr>
        <w:rPr>
          <w:rFonts w:ascii="Arial" w:hAnsi="Arial" w:cs="Arial"/>
          <w:sz w:val="22"/>
          <w:szCs w:val="22"/>
        </w:rPr>
      </w:pPr>
    </w:p>
    <w:p w14:paraId="2A63AE0D" w14:textId="77777777" w:rsidR="00E2735C" w:rsidRPr="0007551D" w:rsidRDefault="00E2735C" w:rsidP="00E2735C">
      <w:pPr>
        <w:spacing w:before="60" w:after="60"/>
        <w:jc w:val="both"/>
        <w:rPr>
          <w:rFonts w:ascii="Arial" w:hAnsi="Arial" w:cs="Arial"/>
          <w:sz w:val="22"/>
          <w:szCs w:val="22"/>
        </w:rPr>
      </w:pPr>
      <w:r w:rsidRPr="0007551D">
        <w:rPr>
          <w:rFonts w:ascii="Arial" w:hAnsi="Arial" w:cs="Arial"/>
          <w:sz w:val="22"/>
          <w:szCs w:val="22"/>
        </w:rPr>
        <w:t>Please provide a progress report on actions identified in the annual plan for improving the physical and employment outcomes of people with low prevalence conditions.</w:t>
      </w:r>
    </w:p>
    <w:p w14:paraId="4B2547D6" w14:textId="17DE7971" w:rsidR="00D40DF2" w:rsidRPr="0021406B" w:rsidRDefault="00E2735C" w:rsidP="00D40DF2">
      <w:pPr>
        <w:spacing w:before="60" w:after="120"/>
        <w:jc w:val="both"/>
        <w:rPr>
          <w:rFonts w:ascii="Arial" w:hAnsi="Arial" w:cs="Arial"/>
          <w:b/>
          <w:i/>
        </w:rPr>
      </w:pPr>
      <w:r>
        <w:rPr>
          <w:rFonts w:ascii="Arial" w:hAnsi="Arial" w:cs="Arial"/>
          <w:b/>
          <w:i/>
        </w:rPr>
        <w:br w:type="page"/>
      </w:r>
      <w:r w:rsidR="00D40DF2">
        <w:rPr>
          <w:rFonts w:ascii="Arial" w:hAnsi="Arial" w:cs="Arial"/>
          <w:b/>
          <w:i/>
        </w:rPr>
        <w:lastRenderedPageBreak/>
        <w:t>Outcome priority</w:t>
      </w:r>
      <w:r w:rsidR="00D40DF2" w:rsidRPr="0021406B">
        <w:rPr>
          <w:rFonts w:ascii="Arial" w:hAnsi="Arial" w:cs="Arial"/>
          <w:b/>
          <w:i/>
        </w:rPr>
        <w:t xml:space="preserve">:  </w:t>
      </w:r>
      <w:r w:rsidR="00D40DF2">
        <w:rPr>
          <w:rFonts w:ascii="Arial" w:hAnsi="Arial" w:cs="Arial"/>
          <w:b/>
          <w:i/>
        </w:rPr>
        <w:t>We have equity for M</w:t>
      </w:r>
      <w:r w:rsidR="00824E69" w:rsidRPr="00824E69">
        <w:rPr>
          <w:rFonts w:ascii="Arial" w:hAnsi="Arial" w:cs="Arial"/>
          <w:b/>
          <w:i/>
        </w:rPr>
        <w:t>ā</w:t>
      </w:r>
      <w:r w:rsidR="00D40DF2">
        <w:rPr>
          <w:rFonts w:ascii="Arial" w:hAnsi="Arial" w:cs="Arial"/>
          <w:b/>
          <w:i/>
        </w:rPr>
        <w:t>ori and other groups</w:t>
      </w:r>
      <w:r w:rsidR="00D40DF2" w:rsidRPr="0021406B">
        <w:rPr>
          <w:rFonts w:ascii="Arial" w:hAnsi="Arial" w:cs="Arial"/>
          <w:b/>
          <w:i/>
        </w:rPr>
        <w:t xml:space="preserve"> </w:t>
      </w:r>
    </w:p>
    <w:p w14:paraId="7041C1D1" w14:textId="307C7173" w:rsidR="00D40DF2" w:rsidRDefault="00082D73" w:rsidP="00D40DF2">
      <w:pPr>
        <w:pStyle w:val="Heading1"/>
        <w:shd w:val="clear" w:color="auto" w:fill="FFFFFF" w:themeFill="background1"/>
        <w:spacing w:before="60"/>
        <w:jc w:val="both"/>
        <w:rPr>
          <w:i/>
          <w:sz w:val="28"/>
          <w:szCs w:val="28"/>
        </w:rPr>
      </w:pPr>
      <w:bookmarkStart w:id="475" w:name="_Toc4588549"/>
      <w:bookmarkStart w:id="476" w:name="_Toc9592019"/>
      <w:r>
        <w:rPr>
          <w:i/>
          <w:sz w:val="28"/>
          <w:szCs w:val="28"/>
        </w:rPr>
        <w:t>Improving m</w:t>
      </w:r>
      <w:r w:rsidR="00D40DF2">
        <w:rPr>
          <w:i/>
          <w:sz w:val="28"/>
          <w:szCs w:val="28"/>
        </w:rPr>
        <w:t xml:space="preserve">ental </w:t>
      </w:r>
      <w:r w:rsidR="003101B5">
        <w:rPr>
          <w:i/>
          <w:sz w:val="28"/>
          <w:szCs w:val="28"/>
        </w:rPr>
        <w:t>wellbeing</w:t>
      </w:r>
      <w:r w:rsidR="00D40DF2">
        <w:rPr>
          <w:i/>
          <w:sz w:val="28"/>
          <w:szCs w:val="28"/>
        </w:rPr>
        <w:t xml:space="preserve"> MH05: </w:t>
      </w:r>
      <w:r w:rsidR="00D40DF2" w:rsidRPr="00B1095B">
        <w:rPr>
          <w:i/>
          <w:sz w:val="28"/>
          <w:szCs w:val="28"/>
        </w:rPr>
        <w:t>R</w:t>
      </w:r>
      <w:r w:rsidR="00D40DF2">
        <w:rPr>
          <w:i/>
          <w:sz w:val="28"/>
          <w:szCs w:val="28"/>
        </w:rPr>
        <w:t>educe the rate of Māori under the Mental H</w:t>
      </w:r>
      <w:r w:rsidR="00D40DF2" w:rsidRPr="00B1095B">
        <w:rPr>
          <w:i/>
          <w:sz w:val="28"/>
          <w:szCs w:val="28"/>
        </w:rPr>
        <w:t>ealth Act: section 29 community treatment orders</w:t>
      </w:r>
      <w:bookmarkEnd w:id="475"/>
      <w:bookmarkEnd w:id="476"/>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209"/>
        <w:gridCol w:w="1021"/>
      </w:tblGrid>
      <w:tr w:rsidR="00D40DF2" w:rsidRPr="00B44AD8" w14:paraId="66789CE9" w14:textId="77777777" w:rsidTr="009D6F69">
        <w:tc>
          <w:tcPr>
            <w:tcW w:w="10094" w:type="dxa"/>
            <w:gridSpan w:val="3"/>
            <w:shd w:val="clear" w:color="auto" w:fill="D9D9D9"/>
          </w:tcPr>
          <w:p w14:paraId="2DCE82B1" w14:textId="090041D5" w:rsidR="00D40DF2" w:rsidRPr="00B44AD8" w:rsidRDefault="00D169EA" w:rsidP="009D6F69">
            <w:pPr>
              <w:shd w:val="clear" w:color="auto" w:fill="FFFFFF"/>
              <w:spacing w:before="60" w:after="60"/>
              <w:jc w:val="center"/>
              <w:rPr>
                <w:rFonts w:ascii="Arial" w:hAnsi="Arial" w:cs="Arial"/>
                <w:b/>
                <w:sz w:val="22"/>
                <w:szCs w:val="22"/>
              </w:rPr>
            </w:pPr>
            <w:r w:rsidRPr="006B78FD">
              <w:rPr>
                <w:rFonts w:ascii="Arial" w:hAnsi="Arial" w:cs="Arial"/>
                <w:i/>
              </w:rPr>
              <w:t xml:space="preserve"> </w:t>
            </w:r>
            <w:r w:rsidR="00D40DF2" w:rsidRPr="00B44AD8">
              <w:rPr>
                <w:rFonts w:ascii="Arial" w:hAnsi="Arial" w:cs="Arial"/>
                <w:b/>
                <w:sz w:val="22"/>
                <w:szCs w:val="22"/>
              </w:rPr>
              <w:t>Summary information</w:t>
            </w:r>
          </w:p>
        </w:tc>
      </w:tr>
      <w:tr w:rsidR="00D40DF2" w:rsidRPr="00B44AD8" w14:paraId="44A7F5CE" w14:textId="77777777" w:rsidTr="009D6F69">
        <w:tc>
          <w:tcPr>
            <w:tcW w:w="2864" w:type="dxa"/>
            <w:shd w:val="clear" w:color="auto" w:fill="auto"/>
          </w:tcPr>
          <w:p w14:paraId="3C2883F7" w14:textId="77777777" w:rsidR="00D40DF2" w:rsidRPr="00B44AD8" w:rsidRDefault="00D40DF2"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gridSpan w:val="2"/>
            <w:shd w:val="clear" w:color="auto" w:fill="auto"/>
          </w:tcPr>
          <w:p w14:paraId="795B7517" w14:textId="77777777" w:rsidR="00D40DF2" w:rsidRPr="00B44AD8" w:rsidRDefault="00D40DF2"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D40DF2" w:rsidRPr="00B44AD8" w14:paraId="27D1855E" w14:textId="77777777" w:rsidTr="009D6F69">
        <w:trPr>
          <w:trHeight w:val="493"/>
        </w:trPr>
        <w:tc>
          <w:tcPr>
            <w:tcW w:w="2864" w:type="dxa"/>
            <w:shd w:val="clear" w:color="auto" w:fill="auto"/>
          </w:tcPr>
          <w:p w14:paraId="7A8DC2D0" w14:textId="77777777" w:rsidR="00D40DF2" w:rsidRPr="00B44AD8" w:rsidRDefault="00D40DF2"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gridSpan w:val="2"/>
            <w:shd w:val="clear" w:color="auto" w:fill="auto"/>
          </w:tcPr>
          <w:p w14:paraId="2B77A3BE" w14:textId="77777777" w:rsidR="00D40DF2" w:rsidRPr="00B44AD8" w:rsidRDefault="00D40DF2" w:rsidP="009D6F69">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D40DF2" w:rsidRPr="00B44AD8" w14:paraId="74D53437" w14:textId="77777777" w:rsidTr="009D6F69">
        <w:tc>
          <w:tcPr>
            <w:tcW w:w="2864" w:type="dxa"/>
            <w:shd w:val="clear" w:color="auto" w:fill="auto"/>
          </w:tcPr>
          <w:p w14:paraId="2BF63CB8" w14:textId="77777777" w:rsidR="00D40DF2" w:rsidRPr="00B44AD8" w:rsidRDefault="00D40DF2"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gridSpan w:val="2"/>
            <w:shd w:val="clear" w:color="auto" w:fill="auto"/>
          </w:tcPr>
          <w:p w14:paraId="208422F5" w14:textId="77777777" w:rsidR="00D40DF2" w:rsidRDefault="00D40DF2" w:rsidP="009D6F69">
            <w:pPr>
              <w:shd w:val="clear" w:color="auto" w:fill="FFFFFF"/>
              <w:spacing w:before="60" w:after="60"/>
              <w:rPr>
                <w:rFonts w:ascii="Arial" w:hAnsi="Arial" w:cs="Arial"/>
                <w:i/>
                <w:sz w:val="20"/>
                <w:szCs w:val="20"/>
              </w:rPr>
            </w:pPr>
            <w:r w:rsidRPr="009143BF">
              <w:rPr>
                <w:rFonts w:ascii="Arial" w:hAnsi="Arial" w:cs="Arial"/>
                <w:i/>
                <w:sz w:val="20"/>
                <w:szCs w:val="20"/>
              </w:rPr>
              <w:t>Data is sourced from PRIMHD database</w:t>
            </w:r>
          </w:p>
          <w:p w14:paraId="083DC8C1" w14:textId="77777777" w:rsidR="00D40DF2" w:rsidRPr="00B44AD8" w:rsidRDefault="00D40DF2" w:rsidP="009D6F69">
            <w:pPr>
              <w:shd w:val="clear" w:color="auto" w:fill="FFFFFF"/>
              <w:spacing w:before="60" w:after="60"/>
              <w:rPr>
                <w:rFonts w:ascii="Arial" w:hAnsi="Arial" w:cs="Arial"/>
                <w:i/>
                <w:sz w:val="20"/>
                <w:szCs w:val="20"/>
              </w:rPr>
            </w:pPr>
            <w:r w:rsidRPr="00B44AD8">
              <w:rPr>
                <w:rFonts w:ascii="Arial" w:hAnsi="Arial" w:cs="Arial"/>
                <w:i/>
                <w:sz w:val="20"/>
                <w:szCs w:val="20"/>
              </w:rPr>
              <w:t xml:space="preserve">Ministry to provide data via NSFL web site </w:t>
            </w:r>
            <w:hyperlink r:id="rId24" w:history="1">
              <w:r w:rsidRPr="00B44AD8">
                <w:rPr>
                  <w:rFonts w:ascii="Arial" w:hAnsi="Arial" w:cs="Arial"/>
                  <w:i/>
                  <w:color w:val="0000FF"/>
                  <w:sz w:val="20"/>
                  <w:szCs w:val="20"/>
                  <w:u w:val="single"/>
                </w:rPr>
                <w:t>http://nsfl.health.govt.nz/accountability/performance-and-monitoring</w:t>
              </w:r>
            </w:hyperlink>
            <w:r w:rsidRPr="00B44AD8">
              <w:rPr>
                <w:rFonts w:ascii="Arial" w:hAnsi="Arial" w:cs="Arial"/>
                <w:i/>
                <w:sz w:val="20"/>
                <w:szCs w:val="20"/>
              </w:rPr>
              <w:t xml:space="preserve"> </w:t>
            </w:r>
          </w:p>
          <w:p w14:paraId="454B4CFC" w14:textId="77777777" w:rsidR="00D40DF2" w:rsidRPr="00B44AD8" w:rsidRDefault="00D40DF2" w:rsidP="009D6F69">
            <w:pPr>
              <w:shd w:val="clear" w:color="auto" w:fill="FFFFFF"/>
              <w:spacing w:before="60" w:after="60"/>
              <w:rPr>
                <w:rFonts w:ascii="Arial" w:hAnsi="Arial" w:cs="Arial"/>
                <w:i/>
                <w:sz w:val="20"/>
                <w:szCs w:val="20"/>
              </w:rPr>
            </w:pPr>
            <w:r w:rsidRPr="00B44AD8">
              <w:rPr>
                <w:rFonts w:ascii="Arial" w:hAnsi="Arial" w:cs="Arial"/>
                <w:i/>
                <w:sz w:val="20"/>
                <w:szCs w:val="20"/>
              </w:rPr>
              <w:t>and the DHB quarterly reporting website</w:t>
            </w:r>
          </w:p>
        </w:tc>
      </w:tr>
      <w:tr w:rsidR="00D40DF2" w:rsidRPr="00B44AD8" w14:paraId="26BFF8F8" w14:textId="77777777" w:rsidTr="009D6F69">
        <w:trPr>
          <w:trHeight w:val="2182"/>
        </w:trPr>
        <w:tc>
          <w:tcPr>
            <w:tcW w:w="2864" w:type="dxa"/>
            <w:shd w:val="clear" w:color="auto" w:fill="auto"/>
          </w:tcPr>
          <w:p w14:paraId="32410590" w14:textId="77777777" w:rsidR="00D40DF2" w:rsidRPr="00B44AD8" w:rsidRDefault="00D40DF2"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gridSpan w:val="2"/>
            <w:shd w:val="clear" w:color="auto" w:fill="auto"/>
          </w:tcPr>
          <w:p w14:paraId="037F283A" w14:textId="77777777" w:rsidR="00D40DF2" w:rsidRPr="00B44AD8" w:rsidRDefault="00D40DF2"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D40DF2" w:rsidRPr="00B44AD8" w14:paraId="40ED1151"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F46A"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B5AF4"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D40DF2" w:rsidRPr="00B44AD8" w14:paraId="2B0533CB"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1FA0"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016BD"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D40DF2" w:rsidRPr="00B44AD8" w14:paraId="56F1E93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B224"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EB5D2"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D40DF2" w:rsidRPr="00B44AD8" w14:paraId="63A3300C"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DDE75"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BF216" w14:textId="77777777" w:rsidR="00D40DF2" w:rsidRPr="00B44AD8" w:rsidRDefault="00D40DF2"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06773885" w14:textId="77777777" w:rsidR="00D40DF2" w:rsidRPr="00B44AD8" w:rsidRDefault="00D40DF2" w:rsidP="009D6F69">
            <w:pPr>
              <w:shd w:val="clear" w:color="auto" w:fill="FFFFFF"/>
              <w:spacing w:before="60" w:after="60"/>
              <w:jc w:val="both"/>
              <w:rPr>
                <w:rFonts w:ascii="Arial" w:hAnsi="Arial" w:cs="Arial"/>
                <w:i/>
                <w:sz w:val="16"/>
                <w:szCs w:val="16"/>
              </w:rPr>
            </w:pPr>
          </w:p>
        </w:tc>
      </w:tr>
      <w:tr w:rsidR="00D40DF2" w:rsidRPr="004635F4" w14:paraId="551D4255" w14:textId="77777777" w:rsidTr="009D6F69">
        <w:tc>
          <w:tcPr>
            <w:tcW w:w="9073" w:type="dxa"/>
            <w:gridSpan w:val="2"/>
            <w:tcBorders>
              <w:right w:val="nil"/>
            </w:tcBorders>
          </w:tcPr>
          <w:p w14:paraId="2DBF13D8" w14:textId="77777777" w:rsidR="00D40DF2" w:rsidRPr="00617868" w:rsidRDefault="00D40DF2" w:rsidP="009D6F69">
            <w:pPr>
              <w:shd w:val="clear" w:color="auto" w:fill="FFFFFF"/>
              <w:spacing w:before="60" w:after="60"/>
              <w:jc w:val="both"/>
              <w:rPr>
                <w:rFonts w:ascii="Arial" w:hAnsi="Arial" w:cs="Arial"/>
                <w:sz w:val="18"/>
                <w:szCs w:val="18"/>
              </w:rPr>
            </w:pPr>
            <w:r w:rsidRPr="00617868">
              <w:rPr>
                <w:rFonts w:ascii="Arial" w:hAnsi="Arial" w:cs="Arial"/>
                <w:b/>
                <w:i/>
                <w:sz w:val="18"/>
                <w:szCs w:val="18"/>
              </w:rPr>
              <w:t>Linkages:</w:t>
            </w:r>
            <w:r w:rsidRPr="00617868">
              <w:rPr>
                <w:rFonts w:ascii="Arial" w:hAnsi="Arial" w:cs="Arial"/>
                <w:sz w:val="18"/>
                <w:szCs w:val="18"/>
              </w:rPr>
              <w:t xml:space="preserve"> </w:t>
            </w:r>
            <w:r w:rsidRPr="00E02C6B">
              <w:rPr>
                <w:rFonts w:ascii="Arial" w:hAnsi="Arial" w:cs="Arial"/>
                <w:sz w:val="18"/>
                <w:szCs w:val="18"/>
              </w:rPr>
              <w:t xml:space="preserve">This measure also links to measure SI5: Delivery of </w:t>
            </w:r>
            <w:proofErr w:type="spellStart"/>
            <w:r w:rsidRPr="00E02C6B">
              <w:rPr>
                <w:rFonts w:ascii="Arial" w:hAnsi="Arial" w:cs="Arial"/>
                <w:sz w:val="18"/>
                <w:szCs w:val="18"/>
              </w:rPr>
              <w:t>Whānau</w:t>
            </w:r>
            <w:proofErr w:type="spellEnd"/>
            <w:r w:rsidRPr="00E02C6B">
              <w:rPr>
                <w:rFonts w:ascii="Arial" w:hAnsi="Arial" w:cs="Arial"/>
                <w:sz w:val="18"/>
                <w:szCs w:val="18"/>
              </w:rPr>
              <w:t xml:space="preserve"> Ora</w:t>
            </w:r>
            <w:r w:rsidRPr="00E02C6B">
              <w:rPr>
                <w:rFonts w:ascii="Arial" w:hAnsi="Arial" w:cs="Arial"/>
                <w:sz w:val="18"/>
                <w:szCs w:val="18"/>
              </w:rPr>
              <w:tab/>
            </w:r>
          </w:p>
        </w:tc>
        <w:tc>
          <w:tcPr>
            <w:tcW w:w="1021" w:type="dxa"/>
            <w:tcBorders>
              <w:left w:val="nil"/>
            </w:tcBorders>
            <w:vAlign w:val="center"/>
          </w:tcPr>
          <w:p w14:paraId="1668FF77" w14:textId="77777777" w:rsidR="00D40DF2" w:rsidRPr="00617868" w:rsidRDefault="00D40DF2" w:rsidP="009D6F69">
            <w:pPr>
              <w:shd w:val="clear" w:color="auto" w:fill="FFFFFF"/>
              <w:spacing w:before="60" w:after="60"/>
              <w:jc w:val="center"/>
              <w:rPr>
                <w:rFonts w:ascii="Arial" w:hAnsi="Arial" w:cs="Arial"/>
                <w:i/>
                <w:sz w:val="18"/>
                <w:szCs w:val="18"/>
              </w:rPr>
            </w:pPr>
          </w:p>
        </w:tc>
      </w:tr>
    </w:tbl>
    <w:p w14:paraId="5E86A95E" w14:textId="77777777" w:rsidR="00D40DF2" w:rsidRPr="003028EF" w:rsidRDefault="00D40DF2" w:rsidP="00D40DF2">
      <w:pPr>
        <w:pStyle w:val="SubOne"/>
        <w:shd w:val="clear" w:color="auto" w:fill="FFFFFF"/>
        <w:spacing w:before="60" w:after="60"/>
        <w:jc w:val="both"/>
        <w:rPr>
          <w:i/>
        </w:rPr>
      </w:pPr>
      <w:r w:rsidRPr="005D6BDC">
        <w:t>L</w:t>
      </w:r>
      <w:r>
        <w:t>ink to outcomes and priority areas</w:t>
      </w:r>
    </w:p>
    <w:p w14:paraId="6F1C69F7" w14:textId="77777777" w:rsidR="00D40DF2" w:rsidRPr="0072302C" w:rsidRDefault="00D40DF2" w:rsidP="00D40DF2">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301A1B5F" w14:textId="77777777" w:rsidR="00D40DF2" w:rsidRPr="002F6098" w:rsidRDefault="00D40DF2" w:rsidP="00D40DF2">
      <w:pPr>
        <w:shd w:val="clear" w:color="auto" w:fill="FFFFFF"/>
        <w:spacing w:before="60" w:after="60"/>
        <w:jc w:val="both"/>
        <w:rPr>
          <w:rFonts w:ascii="Arial" w:hAnsi="Arial" w:cs="Arial"/>
          <w:sz w:val="22"/>
          <w:szCs w:val="22"/>
        </w:rPr>
      </w:pPr>
      <w:r w:rsidRPr="002F6098">
        <w:rPr>
          <w:rFonts w:ascii="Arial" w:hAnsi="Arial" w:cs="Arial"/>
          <w:sz w:val="22"/>
          <w:szCs w:val="22"/>
        </w:rPr>
        <w:t xml:space="preserve">By </w:t>
      </w:r>
      <w:r>
        <w:rPr>
          <w:rFonts w:ascii="Arial" w:hAnsi="Arial" w:cs="Arial"/>
          <w:sz w:val="22"/>
          <w:szCs w:val="22"/>
        </w:rPr>
        <w:t xml:space="preserve">delivering on this indicator </w:t>
      </w:r>
      <w:r w:rsidRPr="002F6098">
        <w:rPr>
          <w:rFonts w:ascii="Arial" w:hAnsi="Arial" w:cs="Arial"/>
          <w:sz w:val="22"/>
          <w:szCs w:val="22"/>
        </w:rPr>
        <w:t>DHB</w:t>
      </w:r>
      <w:r>
        <w:rPr>
          <w:rFonts w:ascii="Arial" w:hAnsi="Arial" w:cs="Arial"/>
          <w:sz w:val="22"/>
          <w:szCs w:val="22"/>
        </w:rPr>
        <w:t>s</w:t>
      </w:r>
      <w:r w:rsidRPr="002F6098">
        <w:rPr>
          <w:rFonts w:ascii="Arial" w:hAnsi="Arial" w:cs="Arial"/>
          <w:sz w:val="22"/>
          <w:szCs w:val="22"/>
        </w:rPr>
        <w:t xml:space="preserve"> will support Government's priority to ensure everyone who is able is earning, learning, </w:t>
      </w:r>
      <w:proofErr w:type="gramStart"/>
      <w:r w:rsidRPr="002F6098">
        <w:rPr>
          <w:rFonts w:ascii="Arial" w:hAnsi="Arial" w:cs="Arial"/>
          <w:sz w:val="22"/>
          <w:szCs w:val="22"/>
        </w:rPr>
        <w:t>caring</w:t>
      </w:r>
      <w:proofErr w:type="gramEnd"/>
      <w:r w:rsidRPr="002F6098">
        <w:rPr>
          <w:rFonts w:ascii="Arial" w:hAnsi="Arial" w:cs="Arial"/>
          <w:sz w:val="22"/>
          <w:szCs w:val="22"/>
        </w:rPr>
        <w:t xml:space="preserve"> or volunteering and our system outcome that we</w:t>
      </w:r>
    </w:p>
    <w:p w14:paraId="7498E20D" w14:textId="77777777" w:rsidR="00D40DF2" w:rsidRDefault="00D40DF2" w:rsidP="00D40DF2">
      <w:pPr>
        <w:shd w:val="clear" w:color="auto" w:fill="FFFFFF"/>
        <w:spacing w:before="60" w:after="60"/>
        <w:jc w:val="both"/>
        <w:rPr>
          <w:rFonts w:ascii="Arial" w:hAnsi="Arial" w:cs="Arial"/>
          <w:sz w:val="22"/>
          <w:szCs w:val="22"/>
        </w:rPr>
      </w:pPr>
      <w:r>
        <w:rPr>
          <w:rFonts w:ascii="Arial" w:hAnsi="Arial" w:cs="Arial"/>
          <w:sz w:val="22"/>
          <w:szCs w:val="22"/>
          <w:lang w:eastAsia="en-NZ"/>
        </w:rPr>
        <w:t>This indicator supports an i</w:t>
      </w:r>
      <w:r>
        <w:rPr>
          <w:rFonts w:ascii="Arial" w:hAnsi="Arial" w:cs="Arial"/>
          <w:sz w:val="22"/>
          <w:szCs w:val="22"/>
        </w:rPr>
        <w:t>ndependent/high quality of life</w:t>
      </w:r>
      <w:r>
        <w:rPr>
          <w:rFonts w:ascii="Arial" w:hAnsi="Arial" w:cs="Arial"/>
          <w:sz w:val="22"/>
          <w:szCs w:val="22"/>
          <w:lang w:eastAsia="en-NZ"/>
        </w:rPr>
        <w:t xml:space="preserve"> for those </w:t>
      </w:r>
      <w:r>
        <w:rPr>
          <w:rFonts w:ascii="Arial" w:hAnsi="Arial" w:cs="Arial"/>
          <w:sz w:val="22"/>
          <w:szCs w:val="22"/>
        </w:rPr>
        <w:t xml:space="preserve">Maori under compulsory community treatment.  It aims to ensure that services for </w:t>
      </w:r>
      <w:proofErr w:type="spellStart"/>
      <w:r>
        <w:rPr>
          <w:rFonts w:ascii="Arial" w:hAnsi="Arial" w:cs="Arial"/>
          <w:sz w:val="22"/>
          <w:szCs w:val="22"/>
        </w:rPr>
        <w:t>tangata</w:t>
      </w:r>
      <w:proofErr w:type="spellEnd"/>
      <w:r>
        <w:rPr>
          <w:rFonts w:ascii="Arial" w:hAnsi="Arial" w:cs="Arial"/>
          <w:sz w:val="22"/>
          <w:szCs w:val="22"/>
        </w:rPr>
        <w:t xml:space="preserve"> </w:t>
      </w:r>
      <w:proofErr w:type="spellStart"/>
      <w:r>
        <w:rPr>
          <w:rFonts w:ascii="Arial" w:hAnsi="Arial" w:cs="Arial"/>
          <w:sz w:val="22"/>
          <w:szCs w:val="22"/>
        </w:rPr>
        <w:t>whia</w:t>
      </w:r>
      <w:proofErr w:type="spellEnd"/>
      <w:r>
        <w:rPr>
          <w:rFonts w:ascii="Arial" w:hAnsi="Arial" w:cs="Arial"/>
          <w:sz w:val="22"/>
          <w:szCs w:val="22"/>
        </w:rPr>
        <w:t xml:space="preserve"> </w:t>
      </w:r>
      <w:proofErr w:type="spellStart"/>
      <w:r>
        <w:rPr>
          <w:rFonts w:ascii="Arial" w:hAnsi="Arial" w:cs="Arial"/>
          <w:sz w:val="22"/>
          <w:szCs w:val="22"/>
        </w:rPr>
        <w:t>ora</w:t>
      </w:r>
      <w:proofErr w:type="spellEnd"/>
      <w:r>
        <w:rPr>
          <w:rFonts w:ascii="Arial" w:hAnsi="Arial" w:cs="Arial"/>
          <w:sz w:val="22"/>
          <w:szCs w:val="22"/>
        </w:rPr>
        <w:t xml:space="preserve"> are appropriate by being person centred, </w:t>
      </w:r>
      <w:r w:rsidRPr="00AC3553">
        <w:rPr>
          <w:rFonts w:ascii="Arial" w:hAnsi="Arial" w:cs="Arial"/>
          <w:sz w:val="22"/>
          <w:szCs w:val="22"/>
        </w:rPr>
        <w:t>cul</w:t>
      </w:r>
      <w:r>
        <w:rPr>
          <w:rFonts w:ascii="Arial" w:hAnsi="Arial" w:cs="Arial"/>
          <w:sz w:val="22"/>
          <w:szCs w:val="22"/>
        </w:rPr>
        <w:t xml:space="preserve">turally appropriate and safe by </w:t>
      </w:r>
      <w:r w:rsidRPr="00AC3553">
        <w:rPr>
          <w:rFonts w:ascii="Arial" w:hAnsi="Arial" w:cs="Arial"/>
          <w:sz w:val="22"/>
          <w:szCs w:val="22"/>
        </w:rPr>
        <w:t xml:space="preserve">avoidance or reduction of </w:t>
      </w:r>
      <w:r>
        <w:rPr>
          <w:rFonts w:ascii="Arial" w:hAnsi="Arial" w:cs="Arial"/>
          <w:sz w:val="22"/>
          <w:szCs w:val="22"/>
        </w:rPr>
        <w:t xml:space="preserve">potential harm from health care.  </w:t>
      </w:r>
    </w:p>
    <w:p w14:paraId="2825050F" w14:textId="77777777" w:rsidR="00D40DF2" w:rsidRDefault="00D40DF2" w:rsidP="00D40DF2">
      <w:pPr>
        <w:shd w:val="clear" w:color="auto" w:fill="FFFFFF"/>
        <w:spacing w:before="60" w:after="60"/>
        <w:jc w:val="both"/>
        <w:rPr>
          <w:rFonts w:ascii="Arial" w:hAnsi="Arial" w:cs="Arial"/>
          <w:sz w:val="22"/>
          <w:szCs w:val="22"/>
        </w:rPr>
      </w:pPr>
    </w:p>
    <w:p w14:paraId="2F3FDF80" w14:textId="77777777" w:rsidR="00D40DF2" w:rsidRPr="000E604F" w:rsidRDefault="00D40DF2" w:rsidP="00D40DF2">
      <w:pPr>
        <w:shd w:val="clear" w:color="auto" w:fill="FFFFFF"/>
        <w:spacing w:before="60" w:after="60"/>
        <w:jc w:val="both"/>
        <w:rPr>
          <w:rFonts w:ascii="Arial" w:hAnsi="Arial" w:cs="Arial"/>
          <w:b/>
          <w:sz w:val="22"/>
          <w:szCs w:val="22"/>
        </w:rPr>
      </w:pPr>
      <w:r w:rsidRPr="000E604F">
        <w:rPr>
          <w:rFonts w:ascii="Arial" w:hAnsi="Arial" w:cs="Arial"/>
          <w:b/>
          <w:sz w:val="22"/>
          <w:szCs w:val="22"/>
        </w:rPr>
        <w:t>Actions and activities are that have a proven impact on this measure:</w:t>
      </w:r>
    </w:p>
    <w:p w14:paraId="406DFD2E"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sz w:val="22"/>
          <w:szCs w:val="22"/>
        </w:rPr>
        <w:t xml:space="preserve">Activities/actions to support performance improvement on this measure include ensuring clinical reviews are completed in timely way and Kaupapa Maori services are more involved in the </w:t>
      </w:r>
      <w:proofErr w:type="gramStart"/>
      <w:r w:rsidRPr="000E604F">
        <w:rPr>
          <w:rFonts w:ascii="Arial" w:hAnsi="Arial" w:cs="Arial"/>
          <w:sz w:val="22"/>
          <w:szCs w:val="22"/>
        </w:rPr>
        <w:t>persons</w:t>
      </w:r>
      <w:proofErr w:type="gramEnd"/>
      <w:r w:rsidRPr="000E604F">
        <w:rPr>
          <w:rFonts w:ascii="Arial" w:hAnsi="Arial" w:cs="Arial"/>
          <w:sz w:val="22"/>
          <w:szCs w:val="22"/>
        </w:rPr>
        <w:t xml:space="preserve"> care</w:t>
      </w:r>
    </w:p>
    <w:p w14:paraId="569692B8" w14:textId="77777777" w:rsidR="00D40DF2" w:rsidRPr="000E604F" w:rsidRDefault="00D40DF2" w:rsidP="00D40DF2">
      <w:pPr>
        <w:shd w:val="clear" w:color="auto" w:fill="FFFFFF"/>
        <w:spacing w:before="60" w:after="60"/>
        <w:jc w:val="both"/>
        <w:rPr>
          <w:rFonts w:ascii="Arial" w:hAnsi="Arial" w:cs="Arial"/>
          <w:b/>
          <w:sz w:val="22"/>
          <w:szCs w:val="22"/>
        </w:rPr>
      </w:pPr>
    </w:p>
    <w:p w14:paraId="698781D8" w14:textId="77777777" w:rsidR="00D40DF2" w:rsidRPr="000E604F" w:rsidRDefault="00D40DF2" w:rsidP="00D40DF2">
      <w:pPr>
        <w:shd w:val="clear" w:color="auto" w:fill="FFFFFF"/>
        <w:spacing w:before="60" w:after="60"/>
        <w:jc w:val="both"/>
        <w:rPr>
          <w:rFonts w:ascii="Arial" w:hAnsi="Arial" w:cs="Arial"/>
          <w:b/>
          <w:sz w:val="22"/>
          <w:szCs w:val="22"/>
        </w:rPr>
      </w:pPr>
      <w:proofErr w:type="gramStart"/>
      <w:r w:rsidRPr="000E604F">
        <w:rPr>
          <w:rFonts w:ascii="Arial" w:hAnsi="Arial" w:cs="Arial"/>
          <w:b/>
          <w:sz w:val="22"/>
          <w:szCs w:val="22"/>
        </w:rPr>
        <w:t>Deliverables</w:t>
      </w:r>
      <w:proofErr w:type="gramEnd"/>
      <w:r w:rsidRPr="000E604F">
        <w:rPr>
          <w:rFonts w:ascii="Arial" w:hAnsi="Arial" w:cs="Arial"/>
          <w:b/>
          <w:sz w:val="22"/>
          <w:szCs w:val="22"/>
        </w:rPr>
        <w:t xml:space="preserve"> definitions</w:t>
      </w:r>
    </w:p>
    <w:p w14:paraId="0E8D35FB" w14:textId="77777777" w:rsidR="00D40DF2" w:rsidRPr="000E604F" w:rsidRDefault="00D40DF2" w:rsidP="00D40DF2">
      <w:pPr>
        <w:spacing w:before="60" w:after="60"/>
        <w:jc w:val="both"/>
        <w:rPr>
          <w:rFonts w:ascii="Arial" w:hAnsi="Arial" w:cs="Arial"/>
          <w:sz w:val="22"/>
          <w:szCs w:val="22"/>
        </w:rPr>
      </w:pPr>
      <w:r w:rsidRPr="000E604F">
        <w:rPr>
          <w:rFonts w:ascii="Arial" w:hAnsi="Arial" w:cs="Arial"/>
          <w:sz w:val="22"/>
          <w:szCs w:val="22"/>
        </w:rPr>
        <w:t xml:space="preserve">Data is sourced from PRIMHD and Statistics New Zealand population statistics. Baseline data and information can be found on the NSFL website.  Current performance reports will be provided by the Ministry ahead of the reporting period via the quarterly reporting database and the nationwide service framework web site.  </w:t>
      </w:r>
    </w:p>
    <w:p w14:paraId="5A5C90FC" w14:textId="77777777" w:rsidR="00D40DF2" w:rsidRPr="000E604F" w:rsidRDefault="00D40DF2" w:rsidP="00D40DF2">
      <w:pPr>
        <w:spacing w:before="60" w:after="60"/>
        <w:jc w:val="both"/>
        <w:rPr>
          <w:rFonts w:ascii="Arial" w:hAnsi="Arial" w:cs="Arial"/>
          <w:sz w:val="22"/>
          <w:szCs w:val="22"/>
        </w:rPr>
      </w:pPr>
    </w:p>
    <w:p w14:paraId="2C32F33B" w14:textId="77777777" w:rsidR="00D40DF2" w:rsidRPr="000E604F" w:rsidRDefault="00D40DF2" w:rsidP="00D40DF2">
      <w:pPr>
        <w:spacing w:before="60" w:after="60"/>
        <w:jc w:val="both"/>
        <w:rPr>
          <w:rFonts w:ascii="Arial" w:hAnsi="Arial" w:cs="Arial"/>
          <w:sz w:val="22"/>
          <w:szCs w:val="22"/>
        </w:rPr>
      </w:pPr>
      <w:r w:rsidRPr="000E604F">
        <w:rPr>
          <w:rFonts w:ascii="Arial" w:hAnsi="Arial" w:cs="Arial"/>
          <w:sz w:val="22"/>
          <w:szCs w:val="22"/>
        </w:rPr>
        <w:t>DHBs are required to reduce the rate of Maori under s29 of the Mental Health Act by at least 10% by the end of the reporting year</w:t>
      </w:r>
    </w:p>
    <w:p w14:paraId="39A9F68D" w14:textId="77777777" w:rsidR="00D40DF2" w:rsidRPr="000E604F" w:rsidRDefault="00D40DF2" w:rsidP="00D40DF2">
      <w:pPr>
        <w:shd w:val="clear" w:color="auto" w:fill="FFFFFF"/>
        <w:spacing w:before="60" w:after="60"/>
        <w:jc w:val="both"/>
        <w:rPr>
          <w:rFonts w:ascii="Arial" w:hAnsi="Arial" w:cs="Arial"/>
          <w:sz w:val="22"/>
          <w:szCs w:val="22"/>
        </w:rPr>
      </w:pPr>
    </w:p>
    <w:p w14:paraId="69EF0A4F" w14:textId="77777777" w:rsidR="004D05BD" w:rsidRDefault="004D05BD" w:rsidP="00D40DF2">
      <w:pPr>
        <w:shd w:val="clear" w:color="auto" w:fill="FFFFFF"/>
        <w:spacing w:before="60" w:after="60"/>
        <w:jc w:val="both"/>
        <w:rPr>
          <w:rFonts w:ascii="Arial" w:hAnsi="Arial" w:cs="Arial"/>
          <w:b/>
          <w:i/>
          <w:sz w:val="22"/>
          <w:szCs w:val="22"/>
        </w:rPr>
      </w:pPr>
    </w:p>
    <w:p w14:paraId="48644A13"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b/>
          <w:i/>
          <w:sz w:val="22"/>
          <w:szCs w:val="22"/>
        </w:rPr>
        <w:t>Numerator:</w:t>
      </w:r>
      <w:r w:rsidRPr="000E604F">
        <w:rPr>
          <w:rFonts w:ascii="Arial" w:hAnsi="Arial" w:cs="Arial"/>
          <w:sz w:val="22"/>
          <w:szCs w:val="22"/>
        </w:rPr>
        <w:t xml:space="preserve"> </w:t>
      </w:r>
    </w:p>
    <w:p w14:paraId="4A7AA659" w14:textId="77777777" w:rsidR="00D40DF2" w:rsidRPr="000E604F" w:rsidRDefault="00D40DF2" w:rsidP="00D40DF2">
      <w:pPr>
        <w:shd w:val="clear" w:color="auto" w:fill="FFFFFF"/>
        <w:spacing w:before="60" w:after="60"/>
        <w:rPr>
          <w:rFonts w:ascii="Arial" w:hAnsi="Arial" w:cs="Arial"/>
          <w:sz w:val="22"/>
          <w:szCs w:val="22"/>
        </w:rPr>
      </w:pPr>
      <w:r w:rsidRPr="000E604F">
        <w:rPr>
          <w:rFonts w:ascii="Arial" w:hAnsi="Arial" w:cs="Arial"/>
          <w:sz w:val="22"/>
          <w:szCs w:val="22"/>
        </w:rPr>
        <w:t>(Data source: PRIMHD)</w:t>
      </w:r>
    </w:p>
    <w:p w14:paraId="5E4C904D"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sz w:val="22"/>
          <w:szCs w:val="22"/>
        </w:rPr>
        <w:t>The number of Maori under community treatment orders s29 of the Mental Health Act</w:t>
      </w:r>
    </w:p>
    <w:p w14:paraId="3A48D05C" w14:textId="77777777" w:rsidR="00D40DF2" w:rsidRPr="000E604F" w:rsidRDefault="00D40DF2" w:rsidP="00D40DF2">
      <w:pPr>
        <w:shd w:val="clear" w:color="auto" w:fill="FFFFFF"/>
        <w:spacing w:before="60"/>
        <w:jc w:val="both"/>
        <w:rPr>
          <w:rFonts w:ascii="Arial" w:hAnsi="Arial" w:cs="Arial"/>
          <w:b/>
          <w:i/>
          <w:sz w:val="22"/>
          <w:szCs w:val="22"/>
        </w:rPr>
      </w:pPr>
    </w:p>
    <w:p w14:paraId="166E32F7"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b/>
          <w:i/>
          <w:sz w:val="22"/>
          <w:szCs w:val="22"/>
        </w:rPr>
        <w:t>Denominator:</w:t>
      </w:r>
      <w:r w:rsidRPr="000E604F">
        <w:rPr>
          <w:rFonts w:ascii="Arial" w:hAnsi="Arial" w:cs="Arial"/>
          <w:sz w:val="22"/>
          <w:szCs w:val="22"/>
        </w:rPr>
        <w:t xml:space="preserve"> </w:t>
      </w:r>
    </w:p>
    <w:p w14:paraId="1CA5E388" w14:textId="77777777" w:rsidR="00D40DF2" w:rsidRPr="000E604F" w:rsidRDefault="00D40DF2" w:rsidP="00D40DF2">
      <w:pPr>
        <w:shd w:val="clear" w:color="auto" w:fill="FFFFFF"/>
        <w:spacing w:before="60" w:after="60"/>
        <w:rPr>
          <w:rFonts w:ascii="Arial" w:hAnsi="Arial" w:cs="Arial"/>
          <w:sz w:val="22"/>
          <w:szCs w:val="22"/>
        </w:rPr>
      </w:pPr>
      <w:r w:rsidRPr="000E604F">
        <w:rPr>
          <w:rFonts w:ascii="Arial" w:hAnsi="Arial" w:cs="Arial"/>
          <w:sz w:val="22"/>
          <w:szCs w:val="22"/>
        </w:rPr>
        <w:t>Data source: Statistics New Zealand population statistic</w:t>
      </w:r>
    </w:p>
    <w:p w14:paraId="23169BEB" w14:textId="77777777" w:rsidR="00D40DF2" w:rsidRPr="000E604F" w:rsidRDefault="00D40DF2" w:rsidP="00D40DF2">
      <w:pPr>
        <w:shd w:val="clear" w:color="auto" w:fill="FFFFFF"/>
        <w:spacing w:before="60" w:after="60"/>
        <w:rPr>
          <w:rFonts w:ascii="Arial" w:hAnsi="Arial" w:cs="Arial"/>
          <w:sz w:val="22"/>
          <w:szCs w:val="22"/>
        </w:rPr>
      </w:pPr>
    </w:p>
    <w:p w14:paraId="35685319"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sz w:val="22"/>
          <w:szCs w:val="22"/>
        </w:rPr>
        <w:t xml:space="preserve">A qualitative report is required that identifies progress on actions to reduce Maori under compulsory treatment orders identified in the annual plan. </w:t>
      </w:r>
    </w:p>
    <w:p w14:paraId="7E48BFEB" w14:textId="77777777" w:rsidR="00D40DF2" w:rsidRPr="000E604F" w:rsidRDefault="00D40DF2" w:rsidP="00D40DF2">
      <w:pPr>
        <w:shd w:val="clear" w:color="auto" w:fill="FFFFFF"/>
        <w:spacing w:before="60"/>
        <w:jc w:val="both"/>
        <w:rPr>
          <w:rFonts w:ascii="Arial" w:hAnsi="Arial" w:cs="Arial"/>
          <w:sz w:val="22"/>
          <w:szCs w:val="22"/>
        </w:rPr>
      </w:pPr>
    </w:p>
    <w:p w14:paraId="47F79268" w14:textId="77777777" w:rsidR="00D40DF2" w:rsidRPr="000E604F" w:rsidRDefault="00D40DF2" w:rsidP="00D40DF2">
      <w:pPr>
        <w:shd w:val="clear" w:color="auto" w:fill="FFFFFF"/>
        <w:spacing w:before="60" w:after="60"/>
        <w:jc w:val="both"/>
        <w:rPr>
          <w:rFonts w:ascii="Arial" w:hAnsi="Arial" w:cs="Arial"/>
          <w:b/>
          <w:sz w:val="22"/>
          <w:szCs w:val="22"/>
        </w:rPr>
      </w:pPr>
      <w:r w:rsidRPr="000E604F">
        <w:rPr>
          <w:rFonts w:ascii="Arial" w:hAnsi="Arial" w:cs="Arial"/>
          <w:b/>
          <w:sz w:val="22"/>
          <w:szCs w:val="22"/>
        </w:rPr>
        <w:t xml:space="preserve">Reporting Period </w:t>
      </w:r>
    </w:p>
    <w:p w14:paraId="7FB87951" w14:textId="77777777" w:rsidR="00D40DF2" w:rsidRPr="000E604F" w:rsidRDefault="00D40DF2" w:rsidP="00D40DF2">
      <w:pPr>
        <w:shd w:val="clear" w:color="auto" w:fill="FFFFFF"/>
        <w:spacing w:before="60" w:after="60"/>
        <w:jc w:val="both"/>
        <w:rPr>
          <w:rFonts w:ascii="Arial" w:hAnsi="Arial" w:cs="Arial"/>
          <w:sz w:val="22"/>
          <w:szCs w:val="22"/>
        </w:rPr>
      </w:pPr>
      <w:r w:rsidRPr="000E604F">
        <w:rPr>
          <w:rFonts w:ascii="Arial" w:hAnsi="Arial" w:cs="Arial"/>
          <w:b/>
          <w:i/>
          <w:sz w:val="22"/>
          <w:szCs w:val="22"/>
        </w:rPr>
        <w:t>Reporting required</w:t>
      </w:r>
      <w:r w:rsidRPr="000E604F">
        <w:rPr>
          <w:rFonts w:ascii="Arial" w:hAnsi="Arial" w:cs="Arial"/>
          <w:i/>
          <w:sz w:val="22"/>
          <w:szCs w:val="22"/>
        </w:rPr>
        <w:t>:</w:t>
      </w:r>
      <w:r w:rsidRPr="000E604F">
        <w:rPr>
          <w:rFonts w:ascii="Arial" w:hAnsi="Arial" w:cs="Arial"/>
          <w:sz w:val="22"/>
          <w:szCs w:val="22"/>
        </w:rPr>
        <w:t xml:space="preserve"> </w:t>
      </w:r>
    </w:p>
    <w:tbl>
      <w:tblPr>
        <w:tblW w:w="6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3"/>
        <w:gridCol w:w="4323"/>
      </w:tblGrid>
      <w:tr w:rsidR="00D40DF2" w:rsidRPr="000E604F" w14:paraId="18AD52A3" w14:textId="77777777" w:rsidTr="009D6F69">
        <w:trPr>
          <w:jc w:val="center"/>
        </w:trPr>
        <w:tc>
          <w:tcPr>
            <w:tcW w:w="247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131AF3" w14:textId="77777777" w:rsidR="00D40DF2" w:rsidRPr="000E604F" w:rsidRDefault="00D40DF2" w:rsidP="009D6F69">
            <w:pPr>
              <w:spacing w:before="60" w:after="60"/>
              <w:jc w:val="both"/>
              <w:rPr>
                <w:rFonts w:ascii="Arial" w:hAnsi="Arial" w:cs="Arial"/>
                <w:b/>
                <w:sz w:val="22"/>
                <w:szCs w:val="22"/>
              </w:rPr>
            </w:pPr>
            <w:r w:rsidRPr="000E604F">
              <w:rPr>
                <w:rFonts w:ascii="Arial" w:hAnsi="Arial" w:cs="Arial"/>
                <w:b/>
                <w:sz w:val="22"/>
                <w:szCs w:val="22"/>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EFDC64C" w14:textId="77777777" w:rsidR="00D40DF2" w:rsidRPr="000E604F" w:rsidRDefault="00D40DF2" w:rsidP="009D6F69">
            <w:pPr>
              <w:spacing w:before="60" w:after="60"/>
              <w:jc w:val="both"/>
              <w:rPr>
                <w:rFonts w:ascii="Arial" w:hAnsi="Arial" w:cs="Arial"/>
                <w:b/>
                <w:sz w:val="22"/>
                <w:szCs w:val="22"/>
              </w:rPr>
            </w:pPr>
            <w:r w:rsidRPr="000E604F">
              <w:rPr>
                <w:rFonts w:ascii="Arial" w:hAnsi="Arial" w:cs="Arial"/>
                <w:b/>
                <w:sz w:val="22"/>
                <w:szCs w:val="22"/>
              </w:rPr>
              <w:t>For the time period</w:t>
            </w:r>
          </w:p>
        </w:tc>
      </w:tr>
      <w:tr w:rsidR="00D40DF2" w:rsidRPr="000E604F" w14:paraId="68BE9AAC" w14:textId="77777777" w:rsidTr="009D6F69">
        <w:trPr>
          <w:jc w:val="center"/>
        </w:trPr>
        <w:tc>
          <w:tcPr>
            <w:tcW w:w="2473" w:type="dxa"/>
            <w:tcBorders>
              <w:top w:val="single" w:sz="4" w:space="0" w:color="auto"/>
              <w:left w:val="single" w:sz="4" w:space="0" w:color="auto"/>
              <w:bottom w:val="single" w:sz="4" w:space="0" w:color="auto"/>
              <w:right w:val="single" w:sz="4" w:space="0" w:color="auto"/>
            </w:tcBorders>
            <w:hideMark/>
          </w:tcPr>
          <w:p w14:paraId="4C4808F6" w14:textId="77777777"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Quarter 1 (reported 20 October)</w:t>
            </w:r>
          </w:p>
        </w:tc>
        <w:tc>
          <w:tcPr>
            <w:tcW w:w="4323" w:type="dxa"/>
            <w:tcBorders>
              <w:top w:val="single" w:sz="4" w:space="0" w:color="auto"/>
              <w:left w:val="single" w:sz="4" w:space="0" w:color="auto"/>
              <w:bottom w:val="single" w:sz="4" w:space="0" w:color="auto"/>
              <w:right w:val="single" w:sz="4" w:space="0" w:color="auto"/>
            </w:tcBorders>
            <w:hideMark/>
          </w:tcPr>
          <w:p w14:paraId="028CA5BB" w14:textId="4BC01BC0"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 xml:space="preserve">Data to cover the </w:t>
            </w:r>
            <w:r w:rsidR="002F4E71">
              <w:rPr>
                <w:rFonts w:ascii="Arial" w:hAnsi="Arial" w:cs="Arial"/>
                <w:sz w:val="22"/>
                <w:szCs w:val="22"/>
              </w:rPr>
              <w:t>12</w:t>
            </w:r>
            <w:r w:rsidR="00A97896">
              <w:rPr>
                <w:rFonts w:ascii="Arial" w:hAnsi="Arial" w:cs="Arial"/>
                <w:sz w:val="22"/>
                <w:szCs w:val="22"/>
              </w:rPr>
              <w:t xml:space="preserve">-month period to </w:t>
            </w:r>
            <w:r w:rsidRPr="000E604F">
              <w:rPr>
                <w:rFonts w:ascii="Arial" w:hAnsi="Arial" w:cs="Arial"/>
                <w:sz w:val="22"/>
                <w:szCs w:val="22"/>
              </w:rPr>
              <w:t xml:space="preserve"> June</w:t>
            </w:r>
          </w:p>
        </w:tc>
      </w:tr>
      <w:tr w:rsidR="00D40DF2" w:rsidRPr="000E604F" w14:paraId="066C4585" w14:textId="77777777" w:rsidTr="009D6F69">
        <w:trPr>
          <w:jc w:val="center"/>
        </w:trPr>
        <w:tc>
          <w:tcPr>
            <w:tcW w:w="2473" w:type="dxa"/>
            <w:tcBorders>
              <w:top w:val="single" w:sz="4" w:space="0" w:color="auto"/>
              <w:left w:val="single" w:sz="4" w:space="0" w:color="auto"/>
              <w:bottom w:val="single" w:sz="4" w:space="0" w:color="auto"/>
              <w:right w:val="single" w:sz="4" w:space="0" w:color="auto"/>
            </w:tcBorders>
            <w:hideMark/>
          </w:tcPr>
          <w:p w14:paraId="7340AAF9" w14:textId="77777777"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Quarter 2 (reported 20 January)</w:t>
            </w:r>
          </w:p>
        </w:tc>
        <w:tc>
          <w:tcPr>
            <w:tcW w:w="4323" w:type="dxa"/>
            <w:tcBorders>
              <w:top w:val="single" w:sz="4" w:space="0" w:color="auto"/>
              <w:left w:val="single" w:sz="4" w:space="0" w:color="auto"/>
              <w:bottom w:val="single" w:sz="4" w:space="0" w:color="auto"/>
              <w:right w:val="single" w:sz="4" w:space="0" w:color="auto"/>
            </w:tcBorders>
          </w:tcPr>
          <w:p w14:paraId="12EC1848" w14:textId="319C5A4F" w:rsidR="00D40DF2" w:rsidRPr="000E604F" w:rsidRDefault="00D40DF2" w:rsidP="009D6F69">
            <w:pPr>
              <w:spacing w:before="60" w:after="60"/>
              <w:jc w:val="both"/>
              <w:rPr>
                <w:rFonts w:ascii="Arial" w:hAnsi="Arial" w:cs="Arial"/>
                <w:sz w:val="22"/>
                <w:szCs w:val="22"/>
                <w:highlight w:val="yellow"/>
              </w:rPr>
            </w:pPr>
            <w:r w:rsidRPr="000E604F">
              <w:rPr>
                <w:rFonts w:ascii="Arial" w:hAnsi="Arial" w:cs="Arial"/>
                <w:sz w:val="22"/>
                <w:szCs w:val="22"/>
              </w:rPr>
              <w:t xml:space="preserve">Data to cover the </w:t>
            </w:r>
            <w:proofErr w:type="gramStart"/>
            <w:r w:rsidR="00A97896">
              <w:rPr>
                <w:rFonts w:ascii="Arial" w:hAnsi="Arial" w:cs="Arial"/>
                <w:sz w:val="22"/>
                <w:szCs w:val="22"/>
              </w:rPr>
              <w:t>12 month</w:t>
            </w:r>
            <w:proofErr w:type="gramEnd"/>
            <w:r w:rsidR="00A97896">
              <w:rPr>
                <w:rFonts w:ascii="Arial" w:hAnsi="Arial" w:cs="Arial"/>
                <w:sz w:val="22"/>
                <w:szCs w:val="22"/>
              </w:rPr>
              <w:t xml:space="preserve"> </w:t>
            </w:r>
            <w:r w:rsidRPr="000E604F">
              <w:rPr>
                <w:rFonts w:ascii="Arial" w:hAnsi="Arial" w:cs="Arial"/>
                <w:sz w:val="22"/>
                <w:szCs w:val="22"/>
              </w:rPr>
              <w:t>period to Sept</w:t>
            </w:r>
          </w:p>
        </w:tc>
      </w:tr>
      <w:tr w:rsidR="00D40DF2" w:rsidRPr="000E604F" w14:paraId="07E942C2" w14:textId="77777777" w:rsidTr="009D6F69">
        <w:trPr>
          <w:trHeight w:val="309"/>
          <w:jc w:val="center"/>
        </w:trPr>
        <w:tc>
          <w:tcPr>
            <w:tcW w:w="2473" w:type="dxa"/>
            <w:tcBorders>
              <w:top w:val="single" w:sz="4" w:space="0" w:color="auto"/>
              <w:left w:val="single" w:sz="4" w:space="0" w:color="auto"/>
              <w:bottom w:val="single" w:sz="4" w:space="0" w:color="auto"/>
              <w:right w:val="single" w:sz="4" w:space="0" w:color="auto"/>
            </w:tcBorders>
            <w:hideMark/>
          </w:tcPr>
          <w:p w14:paraId="02B3BE1C" w14:textId="77777777"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Quarter 3 (reported 20 April)</w:t>
            </w:r>
          </w:p>
        </w:tc>
        <w:tc>
          <w:tcPr>
            <w:tcW w:w="4323" w:type="dxa"/>
            <w:tcBorders>
              <w:top w:val="single" w:sz="4" w:space="0" w:color="auto"/>
              <w:left w:val="single" w:sz="4" w:space="0" w:color="auto"/>
              <w:bottom w:val="single" w:sz="4" w:space="0" w:color="auto"/>
              <w:right w:val="single" w:sz="4" w:space="0" w:color="auto"/>
            </w:tcBorders>
          </w:tcPr>
          <w:p w14:paraId="4490F3E4" w14:textId="7474479A"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 xml:space="preserve">Data to cover the </w:t>
            </w:r>
            <w:proofErr w:type="gramStart"/>
            <w:r w:rsidR="00A97896">
              <w:rPr>
                <w:rFonts w:ascii="Arial" w:hAnsi="Arial" w:cs="Arial"/>
                <w:sz w:val="22"/>
                <w:szCs w:val="22"/>
              </w:rPr>
              <w:t>12 month</w:t>
            </w:r>
            <w:proofErr w:type="gramEnd"/>
            <w:r w:rsidR="00A97896">
              <w:rPr>
                <w:rFonts w:ascii="Arial" w:hAnsi="Arial" w:cs="Arial"/>
                <w:sz w:val="22"/>
                <w:szCs w:val="22"/>
              </w:rPr>
              <w:t xml:space="preserve"> period </w:t>
            </w:r>
            <w:r w:rsidRPr="000E604F">
              <w:rPr>
                <w:rFonts w:ascii="Arial" w:hAnsi="Arial" w:cs="Arial"/>
                <w:sz w:val="22"/>
                <w:szCs w:val="22"/>
              </w:rPr>
              <w:t>to Dec</w:t>
            </w:r>
          </w:p>
        </w:tc>
      </w:tr>
      <w:tr w:rsidR="00D40DF2" w:rsidRPr="000E604F" w14:paraId="58C2023E" w14:textId="77777777" w:rsidTr="009D6F69">
        <w:trPr>
          <w:jc w:val="center"/>
        </w:trPr>
        <w:tc>
          <w:tcPr>
            <w:tcW w:w="2473" w:type="dxa"/>
            <w:tcBorders>
              <w:top w:val="single" w:sz="4" w:space="0" w:color="auto"/>
              <w:left w:val="single" w:sz="4" w:space="0" w:color="auto"/>
              <w:bottom w:val="single" w:sz="4" w:space="0" w:color="auto"/>
              <w:right w:val="single" w:sz="4" w:space="0" w:color="auto"/>
            </w:tcBorders>
            <w:hideMark/>
          </w:tcPr>
          <w:p w14:paraId="1AB2B730" w14:textId="77777777" w:rsidR="00D40DF2" w:rsidRPr="000E604F" w:rsidRDefault="00D40DF2" w:rsidP="009D6F69">
            <w:pPr>
              <w:spacing w:before="60" w:after="60"/>
              <w:jc w:val="both"/>
              <w:rPr>
                <w:rFonts w:ascii="Arial" w:hAnsi="Arial" w:cs="Arial"/>
                <w:sz w:val="22"/>
                <w:szCs w:val="22"/>
              </w:rPr>
            </w:pPr>
            <w:r w:rsidRPr="000E604F">
              <w:rPr>
                <w:rFonts w:ascii="Arial" w:hAnsi="Arial" w:cs="Arial"/>
                <w:sz w:val="22"/>
                <w:szCs w:val="22"/>
              </w:rPr>
              <w:t>Quarter 4 (reported 20 July)</w:t>
            </w:r>
          </w:p>
        </w:tc>
        <w:tc>
          <w:tcPr>
            <w:tcW w:w="4323" w:type="dxa"/>
            <w:tcBorders>
              <w:top w:val="single" w:sz="4" w:space="0" w:color="auto"/>
              <w:left w:val="single" w:sz="4" w:space="0" w:color="auto"/>
              <w:bottom w:val="single" w:sz="4" w:space="0" w:color="auto"/>
              <w:right w:val="single" w:sz="4" w:space="0" w:color="auto"/>
            </w:tcBorders>
          </w:tcPr>
          <w:p w14:paraId="552A7471" w14:textId="1B418A44" w:rsidR="00D40DF2" w:rsidRPr="000E604F" w:rsidRDefault="00D40DF2" w:rsidP="009D6F69">
            <w:pPr>
              <w:spacing w:before="60" w:after="60"/>
              <w:jc w:val="both"/>
              <w:rPr>
                <w:rFonts w:ascii="Arial" w:hAnsi="Arial" w:cs="Arial"/>
                <w:sz w:val="22"/>
                <w:szCs w:val="22"/>
                <w:highlight w:val="yellow"/>
              </w:rPr>
            </w:pPr>
            <w:r w:rsidRPr="000E604F">
              <w:rPr>
                <w:rFonts w:ascii="Arial" w:hAnsi="Arial" w:cs="Arial"/>
                <w:sz w:val="22"/>
                <w:szCs w:val="22"/>
              </w:rPr>
              <w:t xml:space="preserve">Data to cover the </w:t>
            </w:r>
            <w:proofErr w:type="gramStart"/>
            <w:r w:rsidR="00AD1057">
              <w:rPr>
                <w:rFonts w:ascii="Arial" w:hAnsi="Arial" w:cs="Arial"/>
                <w:sz w:val="22"/>
                <w:szCs w:val="22"/>
              </w:rPr>
              <w:t>12 month</w:t>
            </w:r>
            <w:proofErr w:type="gramEnd"/>
            <w:r w:rsidR="00AD1057">
              <w:rPr>
                <w:rFonts w:ascii="Arial" w:hAnsi="Arial" w:cs="Arial"/>
                <w:sz w:val="22"/>
                <w:szCs w:val="22"/>
              </w:rPr>
              <w:t xml:space="preserve"> period </w:t>
            </w:r>
            <w:r w:rsidRPr="000E604F">
              <w:rPr>
                <w:rFonts w:ascii="Arial" w:hAnsi="Arial" w:cs="Arial"/>
                <w:sz w:val="22"/>
                <w:szCs w:val="22"/>
              </w:rPr>
              <w:t>to March</w:t>
            </w:r>
          </w:p>
        </w:tc>
      </w:tr>
    </w:tbl>
    <w:p w14:paraId="25DCF3A5" w14:textId="77777777" w:rsidR="00D40DF2" w:rsidRDefault="00D40DF2" w:rsidP="00D40DF2">
      <w:pPr>
        <w:rPr>
          <w:i/>
        </w:rPr>
      </w:pPr>
    </w:p>
    <w:p w14:paraId="287BC2BB" w14:textId="77777777" w:rsidR="00D40DF2" w:rsidRPr="00083CCA" w:rsidRDefault="00D40DF2" w:rsidP="00D40DF2">
      <w:pPr>
        <w:rPr>
          <w:i/>
        </w:rPr>
      </w:pPr>
    </w:p>
    <w:p w14:paraId="2EEA45D8" w14:textId="77777777" w:rsidR="00D40DF2" w:rsidRDefault="00D40DF2" w:rsidP="00D40DF2">
      <w:pPr>
        <w:rPr>
          <w:rFonts w:ascii="Arial" w:hAnsi="Arial" w:cs="Arial"/>
          <w:b/>
          <w:i/>
        </w:rPr>
      </w:pPr>
    </w:p>
    <w:p w14:paraId="6C863500" w14:textId="77777777" w:rsidR="00D40DF2" w:rsidRDefault="00D40DF2" w:rsidP="00D40DF2">
      <w:pPr>
        <w:rPr>
          <w:rFonts w:ascii="Arial" w:hAnsi="Arial" w:cs="Arial"/>
          <w:b/>
          <w:i/>
        </w:rPr>
      </w:pPr>
      <w:r>
        <w:rPr>
          <w:rFonts w:ascii="Arial" w:hAnsi="Arial" w:cs="Arial"/>
          <w:b/>
          <w:i/>
        </w:rPr>
        <w:br w:type="page"/>
      </w:r>
    </w:p>
    <w:p w14:paraId="121A8F4F" w14:textId="77777777" w:rsidR="00C42F55" w:rsidRPr="003060FE" w:rsidRDefault="00C42F55" w:rsidP="00C42F55">
      <w:pPr>
        <w:keepNext/>
        <w:spacing w:before="240" w:after="60"/>
        <w:outlineLvl w:val="0"/>
        <w:rPr>
          <w:rFonts w:ascii="Arial" w:hAnsi="Arial" w:cs="Arial"/>
          <w:b/>
          <w:i/>
        </w:rPr>
      </w:pPr>
      <w:bookmarkStart w:id="477" w:name="_Toc4588551"/>
      <w:bookmarkStart w:id="478" w:name="_Toc4588694"/>
      <w:bookmarkStart w:id="479" w:name="_Toc9592020"/>
      <w:r>
        <w:rPr>
          <w:rFonts w:ascii="Arial" w:hAnsi="Arial" w:cs="Arial"/>
          <w:b/>
          <w:i/>
        </w:rPr>
        <w:lastRenderedPageBreak/>
        <w:t>Outcome priority</w:t>
      </w:r>
      <w:r w:rsidRPr="003060FE">
        <w:rPr>
          <w:rFonts w:ascii="Arial" w:hAnsi="Arial" w:cs="Arial"/>
          <w:b/>
          <w:i/>
        </w:rPr>
        <w:t xml:space="preserve">: </w:t>
      </w:r>
      <w:r>
        <w:rPr>
          <w:rFonts w:ascii="Arial" w:hAnsi="Arial" w:cs="Arial"/>
          <w:b/>
          <w:i/>
        </w:rPr>
        <w:t>We live longer in good health</w:t>
      </w:r>
      <w:bookmarkEnd w:id="477"/>
      <w:bookmarkEnd w:id="478"/>
      <w:bookmarkEnd w:id="479"/>
      <w:r w:rsidRPr="003060FE">
        <w:rPr>
          <w:rFonts w:ascii="Arial" w:hAnsi="Arial" w:cs="Arial"/>
          <w:b/>
          <w:i/>
        </w:rPr>
        <w:t xml:space="preserve"> </w:t>
      </w:r>
    </w:p>
    <w:p w14:paraId="1FF87589" w14:textId="2A21524A" w:rsidR="00C42F55" w:rsidRDefault="00082D73" w:rsidP="00C42F55">
      <w:pPr>
        <w:pStyle w:val="Heading2"/>
      </w:pPr>
      <w:bookmarkStart w:id="480" w:name="_Toc4588552"/>
      <w:bookmarkStart w:id="481" w:name="_Toc9592021"/>
      <w:r>
        <w:t>Improving m</w:t>
      </w:r>
      <w:r w:rsidR="00C42F55">
        <w:t>ental wellbeing MH06</w:t>
      </w:r>
      <w:r w:rsidR="00C42F55" w:rsidRPr="003060FE">
        <w:t>: Mental health output Delivery against Plan</w:t>
      </w:r>
      <w:bookmarkEnd w:id="480"/>
      <w:bookmarkEnd w:id="481"/>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C42F55" w:rsidRPr="00B44AD8" w14:paraId="0F81E0CD" w14:textId="77777777" w:rsidTr="009D6F69">
        <w:tc>
          <w:tcPr>
            <w:tcW w:w="10094" w:type="dxa"/>
            <w:gridSpan w:val="2"/>
            <w:shd w:val="clear" w:color="auto" w:fill="D9D9D9"/>
          </w:tcPr>
          <w:p w14:paraId="39DDDD5C" w14:textId="77777777" w:rsidR="00C42F55" w:rsidRPr="00B44AD8" w:rsidRDefault="00C42F55"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C42F55" w:rsidRPr="00B44AD8" w14:paraId="0AE841E4" w14:textId="77777777" w:rsidTr="009D6F69">
        <w:tc>
          <w:tcPr>
            <w:tcW w:w="2864" w:type="dxa"/>
            <w:shd w:val="clear" w:color="auto" w:fill="auto"/>
          </w:tcPr>
          <w:p w14:paraId="0499CBCD" w14:textId="77777777" w:rsidR="00C42F55" w:rsidRPr="00B44AD8" w:rsidRDefault="00C42F55"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1B2C3B36" w14:textId="77777777" w:rsidR="00C42F55" w:rsidRPr="00B44AD8" w:rsidRDefault="00C42F55"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r>
              <w:rPr>
                <w:rFonts w:ascii="Arial" w:hAnsi="Arial" w:cs="Arial"/>
                <w:sz w:val="20"/>
                <w:szCs w:val="20"/>
              </w:rPr>
              <w:t xml:space="preserve"> ( production plan)</w:t>
            </w:r>
          </w:p>
        </w:tc>
      </w:tr>
      <w:tr w:rsidR="00C42F55" w:rsidRPr="00B44AD8" w14:paraId="52E1B328" w14:textId="77777777" w:rsidTr="009D6F69">
        <w:trPr>
          <w:trHeight w:val="493"/>
        </w:trPr>
        <w:tc>
          <w:tcPr>
            <w:tcW w:w="2864" w:type="dxa"/>
            <w:shd w:val="clear" w:color="auto" w:fill="auto"/>
          </w:tcPr>
          <w:p w14:paraId="0B346EF2" w14:textId="77777777" w:rsidR="00C42F55" w:rsidRPr="00B44AD8" w:rsidRDefault="00C42F55"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7590E658" w14:textId="77777777" w:rsidR="00C42F55" w:rsidRPr="00B44AD8" w:rsidRDefault="00C42F55" w:rsidP="009D6F69">
            <w:pPr>
              <w:shd w:val="clear" w:color="auto" w:fill="FFFFFF"/>
              <w:spacing w:before="60" w:after="60"/>
              <w:jc w:val="both"/>
              <w:rPr>
                <w:rFonts w:ascii="Arial" w:hAnsi="Arial" w:cs="Arial"/>
                <w:sz w:val="20"/>
                <w:szCs w:val="20"/>
              </w:rPr>
            </w:pPr>
            <w:r>
              <w:rPr>
                <w:rFonts w:ascii="Arial" w:hAnsi="Arial" w:cs="Arial"/>
                <w:sz w:val="20"/>
                <w:szCs w:val="20"/>
              </w:rPr>
              <w:t xml:space="preserve">Quarterly </w:t>
            </w:r>
          </w:p>
        </w:tc>
      </w:tr>
      <w:tr w:rsidR="00C42F55" w:rsidRPr="00B44AD8" w14:paraId="4B489974" w14:textId="77777777" w:rsidTr="009D6F69">
        <w:tc>
          <w:tcPr>
            <w:tcW w:w="2864" w:type="dxa"/>
            <w:shd w:val="clear" w:color="auto" w:fill="auto"/>
          </w:tcPr>
          <w:p w14:paraId="37A2E2AB" w14:textId="77777777" w:rsidR="00C42F55" w:rsidRPr="00B44AD8" w:rsidRDefault="00C42F55"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7EDE8B7D" w14:textId="77777777" w:rsidR="00C42F55" w:rsidRPr="00B44AD8" w:rsidRDefault="00C42F55" w:rsidP="009D6F69">
            <w:pPr>
              <w:shd w:val="clear" w:color="auto" w:fill="FFFFFF"/>
              <w:spacing w:before="60" w:after="60"/>
              <w:rPr>
                <w:rFonts w:ascii="Arial" w:hAnsi="Arial" w:cs="Arial"/>
                <w:i/>
                <w:sz w:val="20"/>
                <w:szCs w:val="20"/>
              </w:rPr>
            </w:pPr>
            <w:r w:rsidRPr="00B44AD8">
              <w:rPr>
                <w:rFonts w:ascii="Arial" w:hAnsi="Arial" w:cs="Arial"/>
                <w:i/>
                <w:sz w:val="20"/>
                <w:szCs w:val="20"/>
              </w:rPr>
              <w:t xml:space="preserve">Ministry to provide data </w:t>
            </w:r>
          </w:p>
          <w:p w14:paraId="3A9A44A7" w14:textId="77777777" w:rsidR="00C42F55" w:rsidRPr="00B44AD8" w:rsidRDefault="00C42F55" w:rsidP="009D6F69">
            <w:pPr>
              <w:shd w:val="clear" w:color="auto" w:fill="FFFFFF"/>
              <w:spacing w:before="60" w:after="60"/>
              <w:rPr>
                <w:rFonts w:ascii="Arial" w:hAnsi="Arial" w:cs="Arial"/>
                <w:i/>
                <w:sz w:val="20"/>
                <w:szCs w:val="20"/>
              </w:rPr>
            </w:pPr>
          </w:p>
        </w:tc>
      </w:tr>
      <w:tr w:rsidR="00C42F55" w:rsidRPr="00B44AD8" w14:paraId="5A6D3B6E" w14:textId="77777777" w:rsidTr="009D6F69">
        <w:trPr>
          <w:trHeight w:val="2182"/>
        </w:trPr>
        <w:tc>
          <w:tcPr>
            <w:tcW w:w="2864" w:type="dxa"/>
            <w:shd w:val="clear" w:color="auto" w:fill="auto"/>
          </w:tcPr>
          <w:p w14:paraId="3B33C85D" w14:textId="77777777" w:rsidR="00C42F55" w:rsidRPr="00B44AD8" w:rsidRDefault="00C42F55"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4C9A6DBA" w14:textId="77777777" w:rsidR="00C42F55" w:rsidRPr="00B44AD8" w:rsidRDefault="00C42F55"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C42F55" w:rsidRPr="00B44AD8" w14:paraId="7956292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5F85"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D6130"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C42F55" w:rsidRPr="00B44AD8" w14:paraId="2CE0A4DF"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B322"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1A9B"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C42F55" w:rsidRPr="00B44AD8" w14:paraId="40E7FD7A"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1BC74"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785E2"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C42F55" w:rsidRPr="00B44AD8" w14:paraId="13B8C149"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40B03"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35D4" w14:textId="77777777" w:rsidR="00C42F55" w:rsidRPr="00B44AD8" w:rsidRDefault="00C42F55"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31DBDAFF" w14:textId="77777777" w:rsidR="00C42F55" w:rsidRPr="00B44AD8" w:rsidRDefault="00C42F55" w:rsidP="009D6F69">
            <w:pPr>
              <w:shd w:val="clear" w:color="auto" w:fill="FFFFFF"/>
              <w:spacing w:before="60" w:after="60"/>
              <w:jc w:val="both"/>
              <w:rPr>
                <w:rFonts w:ascii="Arial" w:hAnsi="Arial" w:cs="Arial"/>
                <w:i/>
                <w:sz w:val="16"/>
                <w:szCs w:val="16"/>
              </w:rPr>
            </w:pPr>
          </w:p>
        </w:tc>
      </w:tr>
    </w:tbl>
    <w:p w14:paraId="2B8DE026" w14:textId="77777777" w:rsidR="00C42F55" w:rsidRPr="003028EF" w:rsidRDefault="00C42F55" w:rsidP="00C42F55">
      <w:pPr>
        <w:pStyle w:val="SubOne"/>
        <w:shd w:val="clear" w:color="auto" w:fill="FFFFFF"/>
        <w:spacing w:before="60" w:after="60"/>
        <w:jc w:val="both"/>
        <w:rPr>
          <w:i/>
        </w:rPr>
      </w:pPr>
      <w:r w:rsidRPr="005D6BDC">
        <w:t>L</w:t>
      </w:r>
      <w:r>
        <w:t>ink to outcomes and priority areas</w:t>
      </w:r>
    </w:p>
    <w:p w14:paraId="7CDCEEF0" w14:textId="77777777" w:rsidR="00C42F55" w:rsidRPr="0072302C" w:rsidRDefault="00C42F55" w:rsidP="00C42F55">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42C764EC" w14:textId="77777777" w:rsidR="00C42F55" w:rsidRDefault="00C42F55" w:rsidP="00C42F55">
      <w:pPr>
        <w:spacing w:before="60" w:after="60"/>
        <w:jc w:val="both"/>
        <w:rPr>
          <w:rFonts w:ascii="Arial" w:hAnsi="Arial" w:cs="Arial"/>
          <w:sz w:val="20"/>
          <w:szCs w:val="20"/>
        </w:rPr>
      </w:pPr>
      <w:r>
        <w:rPr>
          <w:rFonts w:ascii="Arial" w:hAnsi="Arial" w:cs="Arial"/>
          <w:sz w:val="22"/>
          <w:szCs w:val="22"/>
        </w:rPr>
        <w:t xml:space="preserve">Strong production planning supports a strong system that will </w:t>
      </w:r>
      <w:r w:rsidRPr="00203550">
        <w:rPr>
          <w:rFonts w:ascii="Arial" w:hAnsi="Arial" w:cs="Arial"/>
          <w:sz w:val="22"/>
          <w:szCs w:val="22"/>
        </w:rPr>
        <w:t xml:space="preserve">in turn help to deliver Government's priority to ensure everyone who is able is earning, learning, </w:t>
      </w:r>
      <w:proofErr w:type="gramStart"/>
      <w:r w:rsidRPr="00203550">
        <w:rPr>
          <w:rFonts w:ascii="Arial" w:hAnsi="Arial" w:cs="Arial"/>
          <w:sz w:val="22"/>
          <w:szCs w:val="22"/>
        </w:rPr>
        <w:t>caring</w:t>
      </w:r>
      <w:proofErr w:type="gramEnd"/>
      <w:r w:rsidRPr="00203550">
        <w:rPr>
          <w:rFonts w:ascii="Arial" w:hAnsi="Arial" w:cs="Arial"/>
          <w:sz w:val="22"/>
          <w:szCs w:val="22"/>
        </w:rPr>
        <w:t xml:space="preserve"> or volunteering and our system outcome that we</w:t>
      </w:r>
      <w:r w:rsidRPr="00203550">
        <w:rPr>
          <w:rFonts w:ascii="Arial" w:hAnsi="Arial" w:cs="Arial"/>
          <w:sz w:val="22"/>
          <w:szCs w:val="22"/>
          <w:lang w:val="en-US"/>
        </w:rPr>
        <w:t xml:space="preserve"> live longer in good health</w:t>
      </w:r>
      <w:r>
        <w:rPr>
          <w:rFonts w:ascii="Arial" w:hAnsi="Arial" w:cs="Arial"/>
          <w:sz w:val="22"/>
          <w:szCs w:val="22"/>
          <w:lang w:val="en-US"/>
        </w:rPr>
        <w:t>.</w:t>
      </w:r>
      <w:r w:rsidRPr="00BE3131">
        <w:rPr>
          <w:rFonts w:ascii="Arial" w:hAnsi="Arial" w:cs="Arial"/>
          <w:sz w:val="20"/>
          <w:szCs w:val="20"/>
        </w:rPr>
        <w:t xml:space="preserve"> </w:t>
      </w:r>
    </w:p>
    <w:p w14:paraId="767795C3" w14:textId="77777777" w:rsidR="00C42F55" w:rsidRPr="005B1DEF" w:rsidRDefault="00C42F55" w:rsidP="00C42F55">
      <w:pPr>
        <w:shd w:val="clear" w:color="auto" w:fill="FFFFFF"/>
        <w:spacing w:before="60" w:after="60"/>
        <w:jc w:val="both"/>
        <w:rPr>
          <w:rFonts w:ascii="Arial" w:hAnsi="Arial" w:cs="Arial"/>
          <w:sz w:val="22"/>
          <w:szCs w:val="22"/>
        </w:rPr>
      </w:pPr>
      <w:r w:rsidRPr="006973AD">
        <w:rPr>
          <w:rFonts w:ascii="Arial" w:hAnsi="Arial" w:cs="Arial"/>
          <w:sz w:val="22"/>
          <w:szCs w:val="22"/>
        </w:rPr>
        <w:t>To help ensure efficient and sustainable mental health and addiction services</w:t>
      </w:r>
      <w:r>
        <w:rPr>
          <w:rFonts w:ascii="Arial" w:hAnsi="Arial" w:cs="Arial"/>
          <w:sz w:val="22"/>
          <w:szCs w:val="22"/>
        </w:rPr>
        <w:t xml:space="preserve"> each</w:t>
      </w:r>
      <w:r w:rsidRPr="005B1DEF">
        <w:rPr>
          <w:rFonts w:ascii="Arial" w:hAnsi="Arial" w:cs="Arial"/>
          <w:sz w:val="22"/>
          <w:szCs w:val="22"/>
        </w:rPr>
        <w:t xml:space="preserve"> DHB must monitor, </w:t>
      </w:r>
      <w:proofErr w:type="gramStart"/>
      <w:r w:rsidRPr="005B1DEF">
        <w:rPr>
          <w:rFonts w:ascii="Arial" w:hAnsi="Arial" w:cs="Arial"/>
          <w:sz w:val="22"/>
          <w:szCs w:val="22"/>
        </w:rPr>
        <w:t>evaluate</w:t>
      </w:r>
      <w:proofErr w:type="gramEnd"/>
      <w:r w:rsidRPr="005B1DEF">
        <w:rPr>
          <w:rFonts w:ascii="Arial" w:hAnsi="Arial" w:cs="Arial"/>
          <w:sz w:val="22"/>
          <w:szCs w:val="22"/>
        </w:rPr>
        <w:t xml:space="preserve"> and report on the delivery of Mental Health Services set out in its Annual Plan Production Plan.</w:t>
      </w:r>
    </w:p>
    <w:p w14:paraId="32D1EB93" w14:textId="77777777" w:rsidR="00C42F55" w:rsidRDefault="00C42F55" w:rsidP="00C42F55">
      <w:pPr>
        <w:shd w:val="clear" w:color="auto" w:fill="FFFFFF"/>
        <w:spacing w:before="60" w:after="60"/>
        <w:jc w:val="both"/>
        <w:rPr>
          <w:rFonts w:ascii="Arial" w:hAnsi="Arial" w:cs="Arial"/>
          <w:b/>
          <w:sz w:val="22"/>
          <w:szCs w:val="22"/>
        </w:rPr>
      </w:pPr>
    </w:p>
    <w:p w14:paraId="3A4728CA" w14:textId="77777777" w:rsidR="00C42F55" w:rsidRPr="005B1DEF" w:rsidRDefault="00C42F55" w:rsidP="00C42F55">
      <w:pPr>
        <w:shd w:val="clear" w:color="auto" w:fill="FFFFFF"/>
        <w:spacing w:before="60" w:after="60"/>
        <w:jc w:val="both"/>
        <w:rPr>
          <w:rFonts w:ascii="Arial" w:hAnsi="Arial" w:cs="Arial"/>
          <w:b/>
          <w:sz w:val="22"/>
          <w:szCs w:val="22"/>
        </w:rPr>
      </w:pPr>
      <w:proofErr w:type="gramStart"/>
      <w:r w:rsidRPr="005B1DEF">
        <w:rPr>
          <w:rFonts w:ascii="Arial" w:hAnsi="Arial" w:cs="Arial"/>
          <w:b/>
          <w:sz w:val="22"/>
          <w:szCs w:val="22"/>
        </w:rPr>
        <w:t>Deliverables</w:t>
      </w:r>
      <w:proofErr w:type="gramEnd"/>
      <w:r w:rsidRPr="005B1DEF">
        <w:rPr>
          <w:rFonts w:ascii="Arial" w:hAnsi="Arial" w:cs="Arial"/>
          <w:b/>
          <w:sz w:val="22"/>
          <w:szCs w:val="22"/>
        </w:rPr>
        <w:t xml:space="preserve"> definitions</w:t>
      </w:r>
    </w:p>
    <w:p w14:paraId="56F4A4AC" w14:textId="77777777" w:rsidR="00C42F55" w:rsidRPr="005B1DEF" w:rsidRDefault="00C42F55" w:rsidP="00C42F55">
      <w:pPr>
        <w:shd w:val="clear" w:color="auto" w:fill="FFFFFF"/>
        <w:spacing w:before="60" w:after="60"/>
        <w:jc w:val="both"/>
        <w:rPr>
          <w:rFonts w:ascii="Arial" w:hAnsi="Arial" w:cs="Arial"/>
          <w:b/>
          <w:sz w:val="22"/>
          <w:szCs w:val="22"/>
        </w:rPr>
      </w:pPr>
    </w:p>
    <w:p w14:paraId="025E4BC8" w14:textId="77777777" w:rsidR="00C42F55" w:rsidRPr="005B1DEF" w:rsidRDefault="00C42F55" w:rsidP="00C42F55">
      <w:pPr>
        <w:shd w:val="clear" w:color="auto" w:fill="FFFFFF"/>
        <w:spacing w:before="60" w:after="60"/>
        <w:jc w:val="both"/>
        <w:rPr>
          <w:rFonts w:ascii="Arial" w:hAnsi="Arial" w:cs="Arial"/>
          <w:b/>
          <w:sz w:val="22"/>
          <w:szCs w:val="22"/>
        </w:rPr>
      </w:pPr>
      <w:r w:rsidRPr="005B1DEF">
        <w:rPr>
          <w:rFonts w:ascii="Arial" w:hAnsi="Arial" w:cs="Arial"/>
          <w:b/>
          <w:sz w:val="22"/>
          <w:szCs w:val="22"/>
        </w:rPr>
        <w:t>Description</w:t>
      </w:r>
    </w:p>
    <w:p w14:paraId="768DDD58" w14:textId="77777777" w:rsidR="00C42F55" w:rsidRPr="005B1DEF" w:rsidRDefault="00C42F55" w:rsidP="00C42F55">
      <w:pPr>
        <w:shd w:val="clear" w:color="auto" w:fill="FFFFFF"/>
        <w:spacing w:before="60" w:after="60"/>
        <w:jc w:val="both"/>
        <w:rPr>
          <w:rFonts w:ascii="Arial" w:hAnsi="Arial" w:cs="Arial"/>
          <w:sz w:val="22"/>
          <w:szCs w:val="22"/>
        </w:rPr>
      </w:pPr>
      <w:r w:rsidRPr="005B1DEF">
        <w:rPr>
          <w:rFonts w:ascii="Arial" w:hAnsi="Arial" w:cs="Arial"/>
          <w:sz w:val="22"/>
          <w:szCs w:val="22"/>
        </w:rPr>
        <w:t xml:space="preserve">Each DHB must monitor, </w:t>
      </w:r>
      <w:proofErr w:type="gramStart"/>
      <w:r w:rsidRPr="005B1DEF">
        <w:rPr>
          <w:rFonts w:ascii="Arial" w:hAnsi="Arial" w:cs="Arial"/>
          <w:sz w:val="22"/>
          <w:szCs w:val="22"/>
        </w:rPr>
        <w:t>evaluate</w:t>
      </w:r>
      <w:proofErr w:type="gramEnd"/>
      <w:r w:rsidRPr="005B1DEF">
        <w:rPr>
          <w:rFonts w:ascii="Arial" w:hAnsi="Arial" w:cs="Arial"/>
          <w:sz w:val="22"/>
          <w:szCs w:val="22"/>
        </w:rPr>
        <w:t xml:space="preserve"> and report on the delivery of Mental Health Services set out in its Annual Plan Production Plan.</w:t>
      </w:r>
    </w:p>
    <w:p w14:paraId="3B7160D3" w14:textId="77777777" w:rsidR="00C42F55" w:rsidRPr="005B1DEF" w:rsidRDefault="00C42F55" w:rsidP="00C42F55">
      <w:pPr>
        <w:shd w:val="clear" w:color="auto" w:fill="FFFFFF"/>
        <w:spacing w:before="60" w:after="60"/>
        <w:jc w:val="both"/>
        <w:rPr>
          <w:rFonts w:ascii="Arial" w:hAnsi="Arial" w:cs="Arial"/>
          <w:sz w:val="22"/>
          <w:szCs w:val="22"/>
        </w:rPr>
      </w:pPr>
    </w:p>
    <w:p w14:paraId="079C3FC5" w14:textId="77777777" w:rsidR="00C42F55" w:rsidRPr="005B1DEF" w:rsidRDefault="00C42F55" w:rsidP="00C42F55">
      <w:pPr>
        <w:shd w:val="clear" w:color="auto" w:fill="FFFFFF"/>
        <w:spacing w:before="60" w:after="60"/>
        <w:jc w:val="both"/>
        <w:rPr>
          <w:rFonts w:ascii="Arial" w:hAnsi="Arial" w:cs="Arial"/>
          <w:sz w:val="22"/>
          <w:szCs w:val="22"/>
        </w:rPr>
      </w:pPr>
      <w:r w:rsidRPr="005B1DEF">
        <w:rPr>
          <w:rFonts w:ascii="Arial" w:hAnsi="Arial" w:cs="Arial"/>
          <w:sz w:val="22"/>
          <w:szCs w:val="22"/>
        </w:rPr>
        <w:t xml:space="preserve">For Mental Health Services provided by the DHB’s provider arm, the DHB must complete the Mental Health Volumes Reporting template.  This will be provided by the Ministry, and included with the main quarterly reporting template. </w:t>
      </w:r>
    </w:p>
    <w:p w14:paraId="10471620" w14:textId="77777777" w:rsidR="00C42F55" w:rsidRPr="005B1DEF" w:rsidRDefault="00C42F55" w:rsidP="00C42F55">
      <w:pPr>
        <w:shd w:val="clear" w:color="auto" w:fill="FFFFFF"/>
        <w:spacing w:before="60" w:after="60"/>
        <w:jc w:val="both"/>
        <w:rPr>
          <w:rFonts w:ascii="Arial" w:hAnsi="Arial" w:cs="Arial"/>
          <w:b/>
          <w:sz w:val="22"/>
          <w:szCs w:val="22"/>
        </w:rPr>
      </w:pPr>
    </w:p>
    <w:p w14:paraId="12288DE3" w14:textId="77777777" w:rsidR="00C42F55" w:rsidRPr="005B1DEF" w:rsidRDefault="00C42F55" w:rsidP="00C42F55">
      <w:pPr>
        <w:shd w:val="clear" w:color="auto" w:fill="FFFFFF"/>
        <w:spacing w:before="60" w:after="60"/>
        <w:jc w:val="both"/>
        <w:rPr>
          <w:rFonts w:ascii="Arial" w:hAnsi="Arial" w:cs="Arial"/>
          <w:b/>
          <w:sz w:val="22"/>
          <w:szCs w:val="22"/>
        </w:rPr>
      </w:pPr>
      <w:r w:rsidRPr="005B1DEF">
        <w:rPr>
          <w:rFonts w:ascii="Arial" w:hAnsi="Arial" w:cs="Arial"/>
          <w:b/>
          <w:sz w:val="22"/>
          <w:szCs w:val="22"/>
        </w:rPr>
        <w:t>Reporting Period</w:t>
      </w:r>
    </w:p>
    <w:p w14:paraId="38D80326" w14:textId="77777777" w:rsidR="00C42F55" w:rsidRPr="005B1DEF" w:rsidRDefault="00C42F55" w:rsidP="00C42F55">
      <w:pPr>
        <w:shd w:val="clear" w:color="auto" w:fill="FFFFFF"/>
        <w:spacing w:before="60" w:after="60"/>
        <w:jc w:val="both"/>
        <w:rPr>
          <w:rFonts w:ascii="Arial" w:hAnsi="Arial" w:cs="Arial"/>
          <w:sz w:val="22"/>
          <w:szCs w:val="22"/>
        </w:rPr>
      </w:pPr>
      <w:r w:rsidRPr="005B1DEF">
        <w:rPr>
          <w:rFonts w:ascii="Arial" w:hAnsi="Arial" w:cs="Arial"/>
          <w:sz w:val="22"/>
          <w:szCs w:val="22"/>
        </w:rPr>
        <w:t xml:space="preserve">Reported quarterly.  </w:t>
      </w:r>
    </w:p>
    <w:p w14:paraId="51FD9FCC" w14:textId="77777777" w:rsidR="00C42F55" w:rsidRPr="005B1DEF" w:rsidRDefault="00C42F55" w:rsidP="00C42F55">
      <w:pPr>
        <w:shd w:val="clear" w:color="auto" w:fill="FFFFFF"/>
        <w:spacing w:before="60" w:after="60"/>
        <w:jc w:val="both"/>
        <w:rPr>
          <w:sz w:val="22"/>
          <w:szCs w:val="22"/>
        </w:rPr>
      </w:pPr>
    </w:p>
    <w:p w14:paraId="09E82A88" w14:textId="77777777" w:rsidR="00C42F55" w:rsidRPr="005B1DEF" w:rsidRDefault="00C42F55" w:rsidP="00C42F55">
      <w:pPr>
        <w:shd w:val="clear" w:color="auto" w:fill="FFFFFF"/>
        <w:spacing w:before="60" w:after="60"/>
        <w:jc w:val="both"/>
        <w:rPr>
          <w:rFonts w:ascii="Arial" w:hAnsi="Arial" w:cs="Arial"/>
          <w:b/>
          <w:sz w:val="22"/>
          <w:szCs w:val="22"/>
        </w:rPr>
      </w:pPr>
      <w:r w:rsidRPr="005B1DEF">
        <w:rPr>
          <w:rFonts w:ascii="Arial" w:hAnsi="Arial" w:cs="Arial"/>
          <w:b/>
          <w:sz w:val="22"/>
          <w:szCs w:val="22"/>
        </w:rPr>
        <w:t>Expectations</w:t>
      </w:r>
    </w:p>
    <w:p w14:paraId="2AB45995" w14:textId="77777777" w:rsidR="00C42F55" w:rsidRPr="005B1DEF" w:rsidRDefault="00C42F55" w:rsidP="00C42F55">
      <w:pPr>
        <w:shd w:val="clear" w:color="auto" w:fill="FFFFFF"/>
        <w:spacing w:before="60" w:after="60"/>
        <w:jc w:val="both"/>
        <w:rPr>
          <w:rFonts w:ascii="Arial" w:hAnsi="Arial" w:cs="Arial"/>
          <w:sz w:val="22"/>
          <w:szCs w:val="22"/>
        </w:rPr>
      </w:pPr>
      <w:r w:rsidRPr="005B1DEF">
        <w:rPr>
          <w:rFonts w:ascii="Arial" w:hAnsi="Arial" w:cs="Arial"/>
          <w:sz w:val="22"/>
          <w:szCs w:val="22"/>
        </w:rPr>
        <w:t>The following achievement scale will be applied: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03"/>
      </w:tblGrid>
      <w:tr w:rsidR="00C42F55" w:rsidRPr="005B1DEF" w14:paraId="3A94C550" w14:textId="77777777" w:rsidTr="009D6F69">
        <w:tc>
          <w:tcPr>
            <w:tcW w:w="234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691E" w14:textId="77777777" w:rsidR="00C42F55" w:rsidRPr="005B1DEF" w:rsidRDefault="00C42F55" w:rsidP="009D6F69">
            <w:pPr>
              <w:shd w:val="clear" w:color="auto" w:fill="FFFFFF"/>
              <w:spacing w:before="60" w:after="60"/>
              <w:jc w:val="both"/>
              <w:rPr>
                <w:rFonts w:ascii="Arial" w:hAnsi="Arial" w:cs="Arial"/>
                <w:b/>
                <w:sz w:val="22"/>
                <w:szCs w:val="22"/>
              </w:rPr>
            </w:pPr>
            <w:r w:rsidRPr="005B1DEF">
              <w:rPr>
                <w:rFonts w:ascii="Arial" w:hAnsi="Arial" w:cs="Arial"/>
                <w:b/>
                <w:sz w:val="22"/>
                <w:szCs w:val="22"/>
              </w:rPr>
              <w:t xml:space="preserve">Rating: </w:t>
            </w:r>
          </w:p>
        </w:tc>
        <w:tc>
          <w:tcPr>
            <w:tcW w:w="69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168262" w14:textId="77777777" w:rsidR="00C42F55" w:rsidRPr="005B1DEF" w:rsidRDefault="00C42F55" w:rsidP="009D6F69">
            <w:pPr>
              <w:shd w:val="clear" w:color="auto" w:fill="FFFFFF"/>
              <w:spacing w:before="60" w:after="60"/>
              <w:jc w:val="both"/>
              <w:rPr>
                <w:rFonts w:ascii="Arial" w:hAnsi="Arial" w:cs="Arial"/>
                <w:b/>
                <w:sz w:val="22"/>
                <w:szCs w:val="22"/>
              </w:rPr>
            </w:pPr>
            <w:r w:rsidRPr="005B1DEF">
              <w:rPr>
                <w:rFonts w:ascii="Arial" w:hAnsi="Arial" w:cs="Arial"/>
                <w:b/>
                <w:sz w:val="22"/>
                <w:szCs w:val="22"/>
              </w:rPr>
              <w:t>Definition</w:t>
            </w:r>
          </w:p>
        </w:tc>
      </w:tr>
      <w:tr w:rsidR="00C42F55" w:rsidRPr="005B1DEF" w14:paraId="52C0BC70" w14:textId="77777777" w:rsidTr="009D6F69">
        <w:tc>
          <w:tcPr>
            <w:tcW w:w="2340" w:type="dxa"/>
            <w:tcBorders>
              <w:top w:val="single" w:sz="4" w:space="0" w:color="auto"/>
              <w:left w:val="single" w:sz="4" w:space="0" w:color="auto"/>
              <w:bottom w:val="single" w:sz="4" w:space="0" w:color="auto"/>
              <w:right w:val="single" w:sz="4" w:space="0" w:color="auto"/>
            </w:tcBorders>
            <w:hideMark/>
          </w:tcPr>
          <w:p w14:paraId="7862747D"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Achieved</w:t>
            </w:r>
          </w:p>
        </w:tc>
        <w:tc>
          <w:tcPr>
            <w:tcW w:w="6903" w:type="dxa"/>
            <w:tcBorders>
              <w:top w:val="single" w:sz="4" w:space="0" w:color="auto"/>
              <w:left w:val="single" w:sz="4" w:space="0" w:color="auto"/>
              <w:bottom w:val="single" w:sz="4" w:space="0" w:color="auto"/>
              <w:right w:val="single" w:sz="4" w:space="0" w:color="auto"/>
            </w:tcBorders>
            <w:hideMark/>
          </w:tcPr>
          <w:p w14:paraId="741BC4DC"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Volume delivery for specialist Mental Health and Addiction  services is within:</w:t>
            </w:r>
          </w:p>
          <w:p w14:paraId="685C2A06"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lastRenderedPageBreak/>
              <w:t xml:space="preserve">a) five percent  variance (+/-) of planned volumes for services measured by FTE, </w:t>
            </w:r>
          </w:p>
          <w:p w14:paraId="32C51CFE"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b) five percent variance (+/-) of a clinically safe occupancy rate of 85% for inpatient services measured by available bed day, and</w:t>
            </w:r>
          </w:p>
          <w:p w14:paraId="4EF61CEE"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c) actual expenditure on the delivery of programmes or places is within 5%  (+/-) of the year-to-date plan.</w:t>
            </w:r>
          </w:p>
        </w:tc>
      </w:tr>
      <w:tr w:rsidR="00C42F55" w:rsidRPr="005B1DEF" w14:paraId="7F6E95F3" w14:textId="77777777" w:rsidTr="009D6F69">
        <w:tc>
          <w:tcPr>
            <w:tcW w:w="2340" w:type="dxa"/>
            <w:tcBorders>
              <w:top w:val="single" w:sz="4" w:space="0" w:color="auto"/>
              <w:left w:val="single" w:sz="4" w:space="0" w:color="auto"/>
              <w:bottom w:val="single" w:sz="4" w:space="0" w:color="auto"/>
              <w:right w:val="single" w:sz="4" w:space="0" w:color="auto"/>
            </w:tcBorders>
            <w:hideMark/>
          </w:tcPr>
          <w:p w14:paraId="4709F6B2"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lastRenderedPageBreak/>
              <w:t>Partial Achievement</w:t>
            </w:r>
          </w:p>
        </w:tc>
        <w:tc>
          <w:tcPr>
            <w:tcW w:w="6903" w:type="dxa"/>
            <w:tcBorders>
              <w:top w:val="single" w:sz="4" w:space="0" w:color="auto"/>
              <w:left w:val="single" w:sz="4" w:space="0" w:color="auto"/>
              <w:bottom w:val="single" w:sz="4" w:space="0" w:color="auto"/>
              <w:right w:val="single" w:sz="4" w:space="0" w:color="auto"/>
            </w:tcBorders>
            <w:hideMark/>
          </w:tcPr>
          <w:p w14:paraId="6449D49E"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Volume delivery is outside the bounds for an ‘Achieved’ rating and the accompanying exception reporting is satisfactory.</w:t>
            </w:r>
          </w:p>
        </w:tc>
      </w:tr>
      <w:tr w:rsidR="00C42F55" w:rsidRPr="005B1DEF" w14:paraId="270848A9" w14:textId="77777777" w:rsidTr="009D6F69">
        <w:tc>
          <w:tcPr>
            <w:tcW w:w="2340" w:type="dxa"/>
            <w:tcBorders>
              <w:top w:val="single" w:sz="4" w:space="0" w:color="auto"/>
              <w:left w:val="single" w:sz="4" w:space="0" w:color="auto"/>
              <w:bottom w:val="single" w:sz="4" w:space="0" w:color="auto"/>
              <w:right w:val="single" w:sz="4" w:space="0" w:color="auto"/>
            </w:tcBorders>
            <w:hideMark/>
          </w:tcPr>
          <w:p w14:paraId="507B8256"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Not Achieved</w:t>
            </w:r>
          </w:p>
        </w:tc>
        <w:tc>
          <w:tcPr>
            <w:tcW w:w="6903" w:type="dxa"/>
            <w:tcBorders>
              <w:top w:val="single" w:sz="4" w:space="0" w:color="auto"/>
              <w:left w:val="single" w:sz="4" w:space="0" w:color="auto"/>
              <w:bottom w:val="single" w:sz="4" w:space="0" w:color="auto"/>
              <w:right w:val="single" w:sz="4" w:space="0" w:color="auto"/>
            </w:tcBorders>
            <w:hideMark/>
          </w:tcPr>
          <w:p w14:paraId="2D440F36" w14:textId="77777777" w:rsidR="00C42F55" w:rsidRPr="005B1DEF" w:rsidRDefault="00C42F55" w:rsidP="009D6F69">
            <w:pPr>
              <w:shd w:val="clear" w:color="auto" w:fill="FFFFFF"/>
              <w:spacing w:before="60" w:after="60"/>
              <w:jc w:val="both"/>
              <w:rPr>
                <w:rFonts w:ascii="Arial" w:hAnsi="Arial" w:cs="Arial"/>
                <w:sz w:val="22"/>
                <w:szCs w:val="22"/>
              </w:rPr>
            </w:pPr>
            <w:r w:rsidRPr="005B1DEF">
              <w:rPr>
                <w:rFonts w:ascii="Arial" w:hAnsi="Arial" w:cs="Arial"/>
                <w:sz w:val="22"/>
                <w:szCs w:val="22"/>
              </w:rPr>
              <w:t>Volume delivery is outside the bounds for an ‘Achieved’ rating and the accompanying exception reporting is not satisfactory.</w:t>
            </w:r>
          </w:p>
        </w:tc>
      </w:tr>
    </w:tbl>
    <w:p w14:paraId="311F100D" w14:textId="77777777" w:rsidR="00E7643F" w:rsidRDefault="00E7643F" w:rsidP="00E2735C">
      <w:pPr>
        <w:rPr>
          <w:rFonts w:ascii="Arial" w:hAnsi="Arial" w:cs="Arial"/>
          <w:b/>
          <w:i/>
        </w:rPr>
      </w:pPr>
    </w:p>
    <w:p w14:paraId="453E1EC9" w14:textId="3C6C6ACF" w:rsidR="003B3CCD" w:rsidRPr="00445E1D" w:rsidRDefault="00EF1FA7" w:rsidP="003B3CCD">
      <w:pPr>
        <w:pStyle w:val="Heading2"/>
        <w:rPr>
          <w:sz w:val="24"/>
          <w:szCs w:val="24"/>
        </w:rPr>
      </w:pPr>
      <w:r>
        <w:rPr>
          <w:b w:val="0"/>
          <w:i w:val="0"/>
        </w:rPr>
        <w:br w:type="page"/>
      </w:r>
    </w:p>
    <w:p w14:paraId="1B7CDD4C" w14:textId="77777777" w:rsidR="00723D33" w:rsidRDefault="00723D33" w:rsidP="00723D33"/>
    <w:p w14:paraId="170CF617" w14:textId="77777777" w:rsidR="00EF6598" w:rsidRDefault="00EF6598" w:rsidP="00EF6598">
      <w:pPr>
        <w:shd w:val="clear" w:color="auto" w:fill="FFFFFF"/>
        <w:spacing w:before="60" w:after="60"/>
        <w:jc w:val="both"/>
        <w:rPr>
          <w:rFonts w:ascii="Arial" w:hAnsi="Arial" w:cs="Arial"/>
          <w:b/>
          <w:i/>
        </w:rPr>
      </w:pPr>
      <w:r>
        <w:rPr>
          <w:rFonts w:ascii="Arial" w:hAnsi="Arial" w:cs="Arial"/>
          <w:b/>
          <w:i/>
        </w:rPr>
        <w:t>Outcome priority:  We have improved quality of life</w:t>
      </w:r>
    </w:p>
    <w:p w14:paraId="6749884A" w14:textId="77777777" w:rsidR="00EF6598" w:rsidRDefault="00EF6598" w:rsidP="00EF6598">
      <w:pPr>
        <w:keepNext/>
        <w:spacing w:before="240" w:after="60"/>
        <w:outlineLvl w:val="1"/>
        <w:rPr>
          <w:rFonts w:ascii="Arial" w:hAnsi="Arial" w:cs="Arial"/>
          <w:b/>
          <w:bCs/>
          <w:i/>
          <w:iCs/>
          <w:sz w:val="28"/>
          <w:szCs w:val="28"/>
        </w:rPr>
      </w:pPr>
      <w:r>
        <w:rPr>
          <w:rFonts w:ascii="Arial" w:hAnsi="Arial" w:cs="Arial"/>
          <w:b/>
          <w:bCs/>
          <w:i/>
          <w:iCs/>
          <w:sz w:val="28"/>
          <w:szCs w:val="28"/>
        </w:rPr>
        <w:t xml:space="preserve">Improving mental wellbeing </w:t>
      </w:r>
      <w:r w:rsidRPr="006F7ACC">
        <w:rPr>
          <w:rFonts w:ascii="Arial" w:hAnsi="Arial" w:cs="Arial"/>
          <w:b/>
          <w:bCs/>
          <w:i/>
          <w:iCs/>
          <w:sz w:val="28"/>
          <w:szCs w:val="28"/>
        </w:rPr>
        <w:t xml:space="preserve">MH07: </w:t>
      </w:r>
      <w:r>
        <w:rPr>
          <w:rFonts w:ascii="Arial" w:hAnsi="Arial" w:cs="Arial"/>
          <w:b/>
          <w:bCs/>
          <w:i/>
          <w:iCs/>
          <w:sz w:val="28"/>
          <w:szCs w:val="28"/>
        </w:rPr>
        <w:t xml:space="preserve">Improving mental health services by improving inpatient </w:t>
      </w:r>
      <w:bookmarkStart w:id="482" w:name="_Hlk50712173"/>
      <w:r>
        <w:rPr>
          <w:rFonts w:ascii="Arial" w:hAnsi="Arial" w:cs="Arial"/>
          <w:b/>
          <w:bCs/>
          <w:i/>
          <w:iCs/>
          <w:sz w:val="28"/>
          <w:szCs w:val="28"/>
        </w:rPr>
        <w:t xml:space="preserve">post discharge follow-up rates </w:t>
      </w:r>
      <w:bookmarkEnd w:id="482"/>
    </w:p>
    <w:p w14:paraId="0AFE5C5C" w14:textId="77777777" w:rsidR="00EF6598" w:rsidRDefault="00EF6598" w:rsidP="00EF6598">
      <w:pPr>
        <w:keepNext/>
        <w:spacing w:before="240" w:after="60"/>
        <w:outlineLvl w:val="1"/>
        <w:rPr>
          <w:rFonts w:ascii="Arial" w:hAnsi="Arial" w:cs="Arial"/>
          <w:bCs/>
          <w:i/>
          <w:iCs/>
          <w:sz w:val="20"/>
          <w:szCs w:val="20"/>
        </w:rPr>
      </w:pP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1"/>
      </w:tblGrid>
      <w:tr w:rsidR="00EF6598" w14:paraId="72656AE3" w14:textId="77777777" w:rsidTr="00AF0F9D">
        <w:tc>
          <w:tcPr>
            <w:tcW w:w="1009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B29EC91" w14:textId="77777777" w:rsidR="00EF6598" w:rsidRDefault="00EF6598" w:rsidP="00AF0F9D">
            <w:pPr>
              <w:shd w:val="clear" w:color="auto" w:fill="FFFFFF"/>
              <w:spacing w:before="60" w:after="60"/>
              <w:jc w:val="center"/>
              <w:rPr>
                <w:rFonts w:ascii="Arial" w:hAnsi="Arial" w:cs="Arial"/>
                <w:b/>
                <w:sz w:val="22"/>
                <w:szCs w:val="22"/>
              </w:rPr>
            </w:pPr>
            <w:r>
              <w:rPr>
                <w:rFonts w:ascii="Arial" w:hAnsi="Arial" w:cs="Arial"/>
                <w:b/>
                <w:sz w:val="22"/>
                <w:szCs w:val="22"/>
              </w:rPr>
              <w:t>Summary information</w:t>
            </w:r>
          </w:p>
        </w:tc>
      </w:tr>
      <w:tr w:rsidR="00EF6598" w14:paraId="4ECEF54B" w14:textId="77777777" w:rsidTr="00AF0F9D">
        <w:tc>
          <w:tcPr>
            <w:tcW w:w="2864" w:type="dxa"/>
            <w:tcBorders>
              <w:top w:val="single" w:sz="4" w:space="0" w:color="auto"/>
              <w:left w:val="single" w:sz="4" w:space="0" w:color="auto"/>
              <w:bottom w:val="single" w:sz="4" w:space="0" w:color="auto"/>
              <w:right w:val="single" w:sz="4" w:space="0" w:color="auto"/>
            </w:tcBorders>
            <w:hideMark/>
          </w:tcPr>
          <w:p w14:paraId="37C27C1A" w14:textId="77777777" w:rsidR="00EF6598" w:rsidRDefault="00EF6598" w:rsidP="00AF0F9D">
            <w:pPr>
              <w:shd w:val="clear" w:color="auto" w:fill="FFFFFF"/>
              <w:spacing w:before="60" w:after="60"/>
              <w:rPr>
                <w:rFonts w:ascii="Arial" w:hAnsi="Arial" w:cs="Arial"/>
                <w:b/>
                <w:i/>
                <w:sz w:val="20"/>
                <w:szCs w:val="20"/>
              </w:rPr>
            </w:pPr>
            <w:bookmarkStart w:id="483" w:name="_Hlk37919178"/>
            <w:r>
              <w:rPr>
                <w:rFonts w:ascii="Arial" w:hAnsi="Arial" w:cs="Arial"/>
                <w:b/>
                <w:i/>
                <w:sz w:val="20"/>
                <w:szCs w:val="20"/>
              </w:rPr>
              <w:t>Target/performance expectation</w:t>
            </w:r>
          </w:p>
        </w:tc>
        <w:tc>
          <w:tcPr>
            <w:tcW w:w="7231" w:type="dxa"/>
            <w:tcBorders>
              <w:top w:val="single" w:sz="4" w:space="0" w:color="auto"/>
              <w:left w:val="single" w:sz="4" w:space="0" w:color="auto"/>
              <w:bottom w:val="single" w:sz="4" w:space="0" w:color="auto"/>
              <w:right w:val="single" w:sz="4" w:space="0" w:color="auto"/>
            </w:tcBorders>
            <w:hideMark/>
          </w:tcPr>
          <w:p w14:paraId="3B1FD22E" w14:textId="77777777" w:rsidR="00EF6598" w:rsidRPr="00916353" w:rsidRDefault="00EF6598" w:rsidP="00AF0F9D">
            <w:pPr>
              <w:spacing w:before="60" w:after="60" w:line="240" w:lineRule="exact"/>
              <w:jc w:val="both"/>
              <w:rPr>
                <w:rFonts w:ascii="Arial" w:hAnsi="Arial" w:cs="Arial"/>
                <w:sz w:val="20"/>
                <w:szCs w:val="20"/>
              </w:rPr>
            </w:pPr>
            <w:r>
              <w:rPr>
                <w:rFonts w:ascii="Arial" w:hAnsi="Arial" w:cs="Arial"/>
                <w:sz w:val="20"/>
                <w:szCs w:val="20"/>
              </w:rPr>
              <w:t xml:space="preserve"> Agreed in Annual Plans</w:t>
            </w:r>
          </w:p>
        </w:tc>
      </w:tr>
      <w:bookmarkEnd w:id="483"/>
      <w:tr w:rsidR="00EF6598" w14:paraId="77810A3D" w14:textId="77777777" w:rsidTr="00AF0F9D">
        <w:trPr>
          <w:trHeight w:val="493"/>
        </w:trPr>
        <w:tc>
          <w:tcPr>
            <w:tcW w:w="2864" w:type="dxa"/>
            <w:tcBorders>
              <w:top w:val="single" w:sz="4" w:space="0" w:color="auto"/>
              <w:left w:val="single" w:sz="4" w:space="0" w:color="auto"/>
              <w:bottom w:val="single" w:sz="4" w:space="0" w:color="auto"/>
              <w:right w:val="single" w:sz="4" w:space="0" w:color="auto"/>
            </w:tcBorders>
            <w:hideMark/>
          </w:tcPr>
          <w:p w14:paraId="74A51C21" w14:textId="77777777" w:rsidR="00EF6598" w:rsidRDefault="00EF6598" w:rsidP="00AF0F9D">
            <w:pPr>
              <w:shd w:val="clear" w:color="auto" w:fill="FFFFFF"/>
              <w:spacing w:before="60" w:after="60"/>
              <w:rPr>
                <w:rFonts w:ascii="Arial" w:hAnsi="Arial" w:cs="Arial"/>
                <w:b/>
                <w:i/>
                <w:sz w:val="20"/>
                <w:szCs w:val="20"/>
              </w:rPr>
            </w:pPr>
            <w:r>
              <w:rPr>
                <w:rFonts w:ascii="Arial" w:hAnsi="Arial" w:cs="Arial"/>
                <w:b/>
                <w:i/>
                <w:sz w:val="20"/>
                <w:szCs w:val="20"/>
              </w:rPr>
              <w:t>Reporting frequency</w:t>
            </w:r>
          </w:p>
        </w:tc>
        <w:tc>
          <w:tcPr>
            <w:tcW w:w="7231" w:type="dxa"/>
            <w:tcBorders>
              <w:top w:val="single" w:sz="4" w:space="0" w:color="auto"/>
              <w:left w:val="single" w:sz="4" w:space="0" w:color="auto"/>
              <w:bottom w:val="single" w:sz="4" w:space="0" w:color="auto"/>
              <w:right w:val="single" w:sz="4" w:space="0" w:color="auto"/>
            </w:tcBorders>
            <w:hideMark/>
          </w:tcPr>
          <w:p w14:paraId="7D350EAD" w14:textId="77777777" w:rsidR="00EF6598" w:rsidRDefault="00EF6598" w:rsidP="00AF0F9D">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EF6598" w14:paraId="40B2D015" w14:textId="77777777" w:rsidTr="00AF0F9D">
        <w:tc>
          <w:tcPr>
            <w:tcW w:w="2864" w:type="dxa"/>
            <w:tcBorders>
              <w:top w:val="single" w:sz="4" w:space="0" w:color="auto"/>
              <w:left w:val="single" w:sz="4" w:space="0" w:color="auto"/>
              <w:bottom w:val="single" w:sz="4" w:space="0" w:color="auto"/>
              <w:right w:val="single" w:sz="4" w:space="0" w:color="auto"/>
            </w:tcBorders>
            <w:hideMark/>
          </w:tcPr>
          <w:p w14:paraId="2C72CF0E" w14:textId="77777777" w:rsidR="00EF6598" w:rsidRDefault="00EF6598" w:rsidP="00AF0F9D">
            <w:pPr>
              <w:shd w:val="clear" w:color="auto" w:fill="FFFFFF"/>
              <w:spacing w:before="60" w:after="60"/>
              <w:rPr>
                <w:rFonts w:ascii="Arial" w:hAnsi="Arial" w:cs="Arial"/>
                <w:b/>
                <w:i/>
                <w:sz w:val="20"/>
                <w:szCs w:val="20"/>
              </w:rPr>
            </w:pPr>
            <w:bookmarkStart w:id="484" w:name="_Hlk50711920"/>
            <w:r>
              <w:rPr>
                <w:rFonts w:ascii="Arial" w:hAnsi="Arial" w:cs="Arial"/>
                <w:b/>
                <w:i/>
                <w:sz w:val="20"/>
                <w:szCs w:val="20"/>
              </w:rPr>
              <w:t>Source information for reporting provided by:</w:t>
            </w:r>
          </w:p>
        </w:tc>
        <w:tc>
          <w:tcPr>
            <w:tcW w:w="7231" w:type="dxa"/>
            <w:tcBorders>
              <w:top w:val="single" w:sz="4" w:space="0" w:color="auto"/>
              <w:left w:val="single" w:sz="4" w:space="0" w:color="auto"/>
              <w:bottom w:val="single" w:sz="4" w:space="0" w:color="auto"/>
              <w:right w:val="single" w:sz="4" w:space="0" w:color="auto"/>
            </w:tcBorders>
            <w:hideMark/>
          </w:tcPr>
          <w:p w14:paraId="4B7E2088" w14:textId="77777777" w:rsidR="00EF6598" w:rsidRDefault="00EF6598" w:rsidP="00AF0F9D">
            <w:pPr>
              <w:shd w:val="clear" w:color="auto" w:fill="FFFFFF"/>
              <w:spacing w:before="60" w:after="60"/>
              <w:rPr>
                <w:rFonts w:ascii="Arial" w:hAnsi="Arial" w:cs="Arial"/>
                <w:i/>
                <w:sz w:val="20"/>
                <w:szCs w:val="20"/>
              </w:rPr>
            </w:pPr>
            <w:r>
              <w:rPr>
                <w:rFonts w:ascii="Arial" w:hAnsi="Arial" w:cs="Arial"/>
                <w:i/>
                <w:sz w:val="20"/>
                <w:szCs w:val="20"/>
              </w:rPr>
              <w:t>DHBs to supply data sourced from the KPI programme</w:t>
            </w:r>
          </w:p>
        </w:tc>
      </w:tr>
      <w:bookmarkEnd w:id="484"/>
      <w:tr w:rsidR="00EF6598" w14:paraId="6FCD4B12" w14:textId="77777777" w:rsidTr="00AF0F9D">
        <w:trPr>
          <w:trHeight w:val="2182"/>
        </w:trPr>
        <w:tc>
          <w:tcPr>
            <w:tcW w:w="2864" w:type="dxa"/>
            <w:tcBorders>
              <w:top w:val="single" w:sz="4" w:space="0" w:color="auto"/>
              <w:left w:val="single" w:sz="4" w:space="0" w:color="auto"/>
              <w:bottom w:val="single" w:sz="4" w:space="0" w:color="auto"/>
              <w:right w:val="single" w:sz="4" w:space="0" w:color="auto"/>
            </w:tcBorders>
            <w:hideMark/>
          </w:tcPr>
          <w:p w14:paraId="26E584D4" w14:textId="77777777" w:rsidR="00EF6598" w:rsidRDefault="00EF6598" w:rsidP="00AF0F9D">
            <w:pPr>
              <w:shd w:val="clear" w:color="auto" w:fill="FFFFFF"/>
              <w:spacing w:before="60" w:after="60"/>
              <w:rPr>
                <w:rFonts w:ascii="Arial" w:hAnsi="Arial" w:cs="Arial"/>
                <w:b/>
                <w:i/>
                <w:sz w:val="20"/>
                <w:szCs w:val="20"/>
              </w:rPr>
            </w:pPr>
            <w:r>
              <w:rPr>
                <w:rFonts w:ascii="Arial" w:hAnsi="Arial" w:cs="Arial"/>
                <w:b/>
                <w:i/>
                <w:sz w:val="20"/>
                <w:szCs w:val="20"/>
              </w:rPr>
              <w:t>Quarterly reporting - standard timeline applies</w:t>
            </w:r>
          </w:p>
        </w:tc>
        <w:tc>
          <w:tcPr>
            <w:tcW w:w="7231" w:type="dxa"/>
            <w:tcBorders>
              <w:top w:val="single" w:sz="4" w:space="0" w:color="auto"/>
              <w:left w:val="single" w:sz="4" w:space="0" w:color="auto"/>
              <w:bottom w:val="single" w:sz="4" w:space="0" w:color="auto"/>
              <w:right w:val="single" w:sz="4" w:space="0" w:color="auto"/>
            </w:tcBorders>
          </w:tcPr>
          <w:p w14:paraId="4E2592A1" w14:textId="77777777" w:rsidR="00EF6598" w:rsidRDefault="00EF6598" w:rsidP="00AF0F9D">
            <w:pPr>
              <w:shd w:val="clear" w:color="auto" w:fill="FFFFFF"/>
              <w:spacing w:before="60" w:after="60"/>
              <w:jc w:val="both"/>
              <w:rPr>
                <w:rFonts w:ascii="Arial" w:hAnsi="Arial" w:cs="Arial"/>
                <w:i/>
                <w:sz w:val="16"/>
                <w:szCs w:val="16"/>
              </w:rPr>
            </w:pPr>
          </w:p>
          <w:tbl>
            <w:tblPr>
              <w:tblW w:w="7110" w:type="dxa"/>
              <w:jc w:val="center"/>
              <w:tblLayout w:type="fixed"/>
              <w:tblLook w:val="04A0" w:firstRow="1" w:lastRow="0" w:firstColumn="1" w:lastColumn="0" w:noHBand="0" w:noVBand="1"/>
            </w:tblPr>
            <w:tblGrid>
              <w:gridCol w:w="3003"/>
              <w:gridCol w:w="4107"/>
            </w:tblGrid>
            <w:tr w:rsidR="00EF6598" w14:paraId="7C404144" w14:textId="77777777" w:rsidTr="00AF0F9D">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12770D9F" w14:textId="77777777" w:rsidR="00EF6598" w:rsidRDefault="00EF6598" w:rsidP="00AF0F9D">
                  <w:pPr>
                    <w:ind w:left="205" w:hanging="205"/>
                    <w:rPr>
                      <w:rFonts w:ascii="Calibri" w:hAnsi="Calibri"/>
                      <w:sz w:val="20"/>
                      <w:szCs w:val="20"/>
                    </w:rPr>
                  </w:pPr>
                  <w:r>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C524C26" w14:textId="77777777" w:rsidR="00EF6598" w:rsidRDefault="00EF6598" w:rsidP="00AF0F9D">
                  <w:pPr>
                    <w:ind w:left="205" w:hanging="205"/>
                    <w:rPr>
                      <w:rFonts w:ascii="Calibri" w:hAnsi="Calibri"/>
                      <w:sz w:val="20"/>
                      <w:szCs w:val="20"/>
                    </w:rPr>
                  </w:pPr>
                  <w:r>
                    <w:rPr>
                      <w:rFonts w:ascii="Calibri" w:hAnsi="Calibri"/>
                      <w:sz w:val="20"/>
                      <w:szCs w:val="20"/>
                    </w:rPr>
                    <w:t>20th of the month following the end of the quarter</w:t>
                  </w:r>
                </w:p>
              </w:tc>
            </w:tr>
            <w:tr w:rsidR="00EF6598" w14:paraId="21A258EF" w14:textId="77777777" w:rsidTr="00AF0F9D">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4814CA75" w14:textId="77777777" w:rsidR="00EF6598" w:rsidRDefault="00EF6598" w:rsidP="00AF0F9D">
                  <w:pPr>
                    <w:ind w:left="205" w:hanging="205"/>
                    <w:rPr>
                      <w:rFonts w:ascii="Calibri" w:hAnsi="Calibri"/>
                      <w:sz w:val="20"/>
                      <w:szCs w:val="20"/>
                    </w:rPr>
                  </w:pPr>
                  <w:r>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0A7D4FA" w14:textId="77777777" w:rsidR="00EF6598" w:rsidRDefault="00EF6598" w:rsidP="00AF0F9D">
                  <w:pPr>
                    <w:ind w:left="205" w:hanging="205"/>
                    <w:rPr>
                      <w:rFonts w:ascii="Calibri" w:hAnsi="Calibri"/>
                      <w:sz w:val="20"/>
                      <w:szCs w:val="20"/>
                    </w:rPr>
                  </w:pPr>
                  <w:r>
                    <w:rPr>
                      <w:rFonts w:ascii="Calibri" w:hAnsi="Calibri"/>
                      <w:sz w:val="20"/>
                      <w:szCs w:val="20"/>
                    </w:rPr>
                    <w:t>8-10 working days from receiving reports</w:t>
                  </w:r>
                </w:p>
              </w:tc>
            </w:tr>
            <w:tr w:rsidR="00EF6598" w14:paraId="3FC5C69C" w14:textId="77777777" w:rsidTr="00AF0F9D">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6C3A81B1" w14:textId="77777777" w:rsidR="00EF6598" w:rsidRDefault="00EF6598" w:rsidP="00AF0F9D">
                  <w:pPr>
                    <w:ind w:left="205" w:hanging="205"/>
                    <w:rPr>
                      <w:rFonts w:ascii="Calibri" w:hAnsi="Calibri"/>
                      <w:sz w:val="20"/>
                      <w:szCs w:val="20"/>
                    </w:rPr>
                  </w:pPr>
                  <w:r>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B8E5E56" w14:textId="77777777" w:rsidR="00EF6598" w:rsidRDefault="00EF6598" w:rsidP="00AF0F9D">
                  <w:pPr>
                    <w:ind w:left="205" w:hanging="205"/>
                    <w:rPr>
                      <w:rFonts w:ascii="Calibri" w:hAnsi="Calibri"/>
                      <w:sz w:val="20"/>
                      <w:szCs w:val="20"/>
                    </w:rPr>
                  </w:pPr>
                  <w:r>
                    <w:rPr>
                      <w:rFonts w:ascii="Calibri" w:hAnsi="Calibri"/>
                      <w:sz w:val="20"/>
                      <w:szCs w:val="20"/>
                    </w:rPr>
                    <w:t>5 working days from receiving initial ratings</w:t>
                  </w:r>
                </w:p>
              </w:tc>
            </w:tr>
            <w:tr w:rsidR="00EF6598" w14:paraId="6F7B05F5" w14:textId="77777777" w:rsidTr="00AF0F9D">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1611F72" w14:textId="77777777" w:rsidR="00EF6598" w:rsidRDefault="00EF6598" w:rsidP="00AF0F9D">
                  <w:pPr>
                    <w:ind w:left="205" w:hanging="205"/>
                    <w:rPr>
                      <w:rFonts w:ascii="Calibri" w:hAnsi="Calibri"/>
                      <w:sz w:val="20"/>
                      <w:szCs w:val="20"/>
                    </w:rPr>
                  </w:pPr>
                  <w:r>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6002AE9" w14:textId="77777777" w:rsidR="00EF6598" w:rsidRDefault="00EF6598" w:rsidP="00AF0F9D">
                  <w:pPr>
                    <w:ind w:left="205" w:hanging="205"/>
                    <w:rPr>
                      <w:rFonts w:ascii="Calibri" w:hAnsi="Calibri"/>
                      <w:sz w:val="20"/>
                      <w:szCs w:val="20"/>
                    </w:rPr>
                  </w:pPr>
                  <w:r>
                    <w:rPr>
                      <w:rFonts w:ascii="Calibri" w:hAnsi="Calibri"/>
                      <w:sz w:val="20"/>
                      <w:szCs w:val="20"/>
                    </w:rPr>
                    <w:t>4-5 working days from receiving DHB feedback</w:t>
                  </w:r>
                </w:p>
              </w:tc>
            </w:tr>
          </w:tbl>
          <w:p w14:paraId="5DA0759F" w14:textId="77777777" w:rsidR="00EF6598" w:rsidRPr="00056C80" w:rsidRDefault="00EF6598" w:rsidP="00AF0F9D">
            <w:pPr>
              <w:shd w:val="clear" w:color="auto" w:fill="FFFFFF"/>
              <w:spacing w:before="60" w:after="60"/>
              <w:jc w:val="both"/>
              <w:rPr>
                <w:rFonts w:ascii="Arial" w:hAnsi="Arial" w:cs="Arial"/>
                <w:i/>
                <w:sz w:val="20"/>
                <w:szCs w:val="20"/>
              </w:rPr>
            </w:pPr>
          </w:p>
        </w:tc>
      </w:tr>
    </w:tbl>
    <w:p w14:paraId="31C5EA79" w14:textId="77777777" w:rsidR="00EF6598" w:rsidRDefault="00EF6598" w:rsidP="00EF6598">
      <w:pPr>
        <w:spacing w:before="60" w:after="60"/>
        <w:jc w:val="both"/>
        <w:rPr>
          <w:rFonts w:ascii="Arial" w:hAnsi="Arial" w:cs="Arial"/>
          <w:b/>
          <w:sz w:val="22"/>
          <w:szCs w:val="22"/>
        </w:rPr>
      </w:pPr>
      <w:r>
        <w:rPr>
          <w:rFonts w:ascii="Arial" w:hAnsi="Arial" w:cs="Arial"/>
          <w:b/>
          <w:sz w:val="22"/>
          <w:szCs w:val="22"/>
        </w:rPr>
        <w:t xml:space="preserve">Link to outcomes </w:t>
      </w:r>
    </w:p>
    <w:p w14:paraId="10C10465" w14:textId="77777777" w:rsidR="00EF6598" w:rsidRDefault="00EF6598" w:rsidP="00EF6598">
      <w:pPr>
        <w:spacing w:after="120"/>
        <w:contextualSpacing/>
        <w:rPr>
          <w:rFonts w:ascii="Arial" w:hAnsi="Arial" w:cs="Arial"/>
          <w:sz w:val="22"/>
          <w:szCs w:val="22"/>
        </w:rPr>
      </w:pPr>
    </w:p>
    <w:p w14:paraId="57D24166" w14:textId="77777777" w:rsidR="00EF6598" w:rsidRPr="00056C80" w:rsidRDefault="00EF6598" w:rsidP="00EF6598">
      <w:pPr>
        <w:spacing w:after="120" w:line="300" w:lineRule="auto"/>
        <w:rPr>
          <w:rFonts w:ascii="Arial" w:hAnsi="Arial" w:cs="Arial"/>
          <w:sz w:val="22"/>
          <w:szCs w:val="22"/>
        </w:rPr>
      </w:pPr>
      <w:r w:rsidRPr="00056C80">
        <w:rPr>
          <w:rFonts w:ascii="Arial" w:hAnsi="Arial" w:cs="Arial"/>
          <w:sz w:val="22"/>
          <w:szCs w:val="22"/>
        </w:rPr>
        <w:t xml:space="preserve">Delivery of this measure supports the vision for the New Zealand health and disability system of </w:t>
      </w:r>
      <w:proofErr w:type="spellStart"/>
      <w:r w:rsidRPr="00056C80">
        <w:rPr>
          <w:rFonts w:ascii="Arial" w:hAnsi="Arial" w:cs="Arial"/>
          <w:sz w:val="22"/>
          <w:szCs w:val="22"/>
        </w:rPr>
        <w:t>Pae</w:t>
      </w:r>
      <w:proofErr w:type="spellEnd"/>
      <w:r w:rsidRPr="00056C80">
        <w:rPr>
          <w:rFonts w:ascii="Arial" w:hAnsi="Arial" w:cs="Arial"/>
          <w:sz w:val="22"/>
          <w:szCs w:val="22"/>
        </w:rPr>
        <w:t xml:space="preserve"> Ora – healthy futures.</w:t>
      </w:r>
    </w:p>
    <w:p w14:paraId="3823D46D" w14:textId="77777777" w:rsidR="00EF6598" w:rsidRDefault="00EF6598" w:rsidP="00EF6598">
      <w:pPr>
        <w:shd w:val="clear" w:color="auto" w:fill="FFFFFF"/>
        <w:jc w:val="both"/>
        <w:rPr>
          <w:rFonts w:ascii="Arial" w:hAnsi="Arial" w:cs="Arial"/>
          <w:sz w:val="22"/>
          <w:szCs w:val="22"/>
        </w:rPr>
      </w:pPr>
      <w:r w:rsidRPr="00056C80">
        <w:rPr>
          <w:rFonts w:ascii="Arial" w:hAnsi="Arial" w:cs="Arial"/>
          <w:sz w:val="22"/>
          <w:szCs w:val="22"/>
          <w:lang w:eastAsia="en-NZ"/>
        </w:rPr>
        <w:t>This indicator supports the health system outcome that those with mental health and addiction concerns have an i</w:t>
      </w:r>
      <w:r w:rsidRPr="00056C80">
        <w:rPr>
          <w:rFonts w:ascii="Arial" w:hAnsi="Arial" w:cs="Arial"/>
          <w:sz w:val="22"/>
          <w:szCs w:val="22"/>
        </w:rPr>
        <w:t xml:space="preserve">ndependent/high quality of life. It helps to drive continuity of care through providing uninterrupted care or service across programs, </w:t>
      </w:r>
      <w:proofErr w:type="gramStart"/>
      <w:r w:rsidRPr="00056C80">
        <w:rPr>
          <w:rFonts w:ascii="Arial" w:hAnsi="Arial" w:cs="Arial"/>
          <w:sz w:val="22"/>
          <w:szCs w:val="22"/>
        </w:rPr>
        <w:t>practitioners</w:t>
      </w:r>
      <w:proofErr w:type="gramEnd"/>
      <w:r w:rsidRPr="00056C80">
        <w:rPr>
          <w:rFonts w:ascii="Arial" w:hAnsi="Arial" w:cs="Arial"/>
          <w:sz w:val="22"/>
          <w:szCs w:val="22"/>
        </w:rPr>
        <w:t xml:space="preserve"> and levels over time. </w:t>
      </w:r>
    </w:p>
    <w:p w14:paraId="5199226D" w14:textId="77777777" w:rsidR="00EF6598" w:rsidRDefault="00EF6598" w:rsidP="00EF6598">
      <w:pPr>
        <w:shd w:val="clear" w:color="auto" w:fill="FFFFFF"/>
        <w:jc w:val="both"/>
        <w:rPr>
          <w:rFonts w:ascii="Arial" w:hAnsi="Arial" w:cs="Arial"/>
          <w:sz w:val="22"/>
          <w:szCs w:val="22"/>
        </w:rPr>
      </w:pPr>
    </w:p>
    <w:p w14:paraId="7ACA9EB7" w14:textId="77777777" w:rsidR="00EF6598" w:rsidRDefault="00EF6598" w:rsidP="00EF6598">
      <w:pPr>
        <w:spacing w:after="120"/>
        <w:contextualSpacing/>
        <w:rPr>
          <w:rFonts w:ascii="Arial" w:hAnsi="Arial" w:cs="Arial"/>
          <w:b/>
          <w:sz w:val="22"/>
          <w:szCs w:val="22"/>
        </w:rPr>
      </w:pPr>
      <w:r w:rsidRPr="00D3071D">
        <w:rPr>
          <w:rFonts w:ascii="Arial" w:hAnsi="Arial" w:cs="Arial"/>
          <w:b/>
          <w:sz w:val="22"/>
          <w:szCs w:val="22"/>
        </w:rPr>
        <w:t>Indicator rationale</w:t>
      </w:r>
    </w:p>
    <w:p w14:paraId="4A37BAA1" w14:textId="77777777" w:rsidR="00EF6598" w:rsidRPr="00D3071D" w:rsidRDefault="00EF6598" w:rsidP="00EF6598">
      <w:pPr>
        <w:spacing w:after="120"/>
        <w:contextualSpacing/>
        <w:rPr>
          <w:rFonts w:ascii="Arial" w:hAnsi="Arial" w:cs="Arial"/>
          <w:b/>
          <w:sz w:val="22"/>
          <w:szCs w:val="22"/>
        </w:rPr>
      </w:pPr>
    </w:p>
    <w:p w14:paraId="56FF9EE9" w14:textId="77777777" w:rsidR="00EF6598" w:rsidRPr="00056C80" w:rsidRDefault="00EF6598" w:rsidP="00EF6598">
      <w:pPr>
        <w:spacing w:after="120"/>
        <w:contextualSpacing/>
        <w:rPr>
          <w:rFonts w:ascii="Arial" w:hAnsi="Arial" w:cs="Arial"/>
          <w:sz w:val="22"/>
          <w:szCs w:val="22"/>
        </w:rPr>
      </w:pPr>
      <w:r w:rsidRPr="00056C80">
        <w:rPr>
          <w:rFonts w:ascii="Arial" w:hAnsi="Arial" w:cs="Arial"/>
          <w:sz w:val="22"/>
          <w:szCs w:val="22"/>
        </w:rPr>
        <w:t>A responsive community support system for persons who have experienced an acute psychiatric episode requiring hospitali</w:t>
      </w:r>
      <w:r>
        <w:rPr>
          <w:rFonts w:ascii="Arial" w:hAnsi="Arial" w:cs="Arial"/>
          <w:sz w:val="22"/>
          <w:szCs w:val="22"/>
        </w:rPr>
        <w:t>s</w:t>
      </w:r>
      <w:r w:rsidRPr="00056C80">
        <w:rPr>
          <w:rFonts w:ascii="Arial" w:hAnsi="Arial" w:cs="Arial"/>
          <w:sz w:val="22"/>
          <w:szCs w:val="22"/>
        </w:rPr>
        <w:t>ation is essential to maintain clinical and functional stability and to minimi</w:t>
      </w:r>
      <w:r>
        <w:rPr>
          <w:rFonts w:ascii="Arial" w:hAnsi="Arial" w:cs="Arial"/>
          <w:sz w:val="22"/>
          <w:szCs w:val="22"/>
        </w:rPr>
        <w:t>s</w:t>
      </w:r>
      <w:r w:rsidRPr="00056C80">
        <w:rPr>
          <w:rFonts w:ascii="Arial" w:hAnsi="Arial" w:cs="Arial"/>
          <w:sz w:val="22"/>
          <w:szCs w:val="22"/>
        </w:rPr>
        <w:t xml:space="preserve">e the need for hospital readmission. Service users leaving hospital after a psychiatric admission with a </w:t>
      </w:r>
      <w:proofErr w:type="gramStart"/>
      <w:r w:rsidRPr="00056C80">
        <w:rPr>
          <w:rFonts w:ascii="Arial" w:hAnsi="Arial" w:cs="Arial"/>
          <w:sz w:val="22"/>
          <w:szCs w:val="22"/>
        </w:rPr>
        <w:t>formal discharge plan involving linkages</w:t>
      </w:r>
      <w:proofErr w:type="gramEnd"/>
      <w:r w:rsidRPr="00056C80">
        <w:rPr>
          <w:rFonts w:ascii="Arial" w:hAnsi="Arial" w:cs="Arial"/>
          <w:sz w:val="22"/>
          <w:szCs w:val="22"/>
        </w:rPr>
        <w:t xml:space="preserve"> with community services and supports, are less likely to need early readmission. Research indicates that service users have increased vulnerability immediately following discharge, including higher risk for suicide</w:t>
      </w:r>
      <w:r>
        <w:rPr>
          <w:rFonts w:ascii="Arial" w:hAnsi="Arial" w:cs="Arial"/>
          <w:sz w:val="22"/>
          <w:szCs w:val="22"/>
        </w:rPr>
        <w:t>.</w:t>
      </w:r>
    </w:p>
    <w:p w14:paraId="2780241E" w14:textId="77777777" w:rsidR="00EF6598" w:rsidRDefault="00EF6598" w:rsidP="00EF6598">
      <w:pPr>
        <w:spacing w:after="120"/>
        <w:contextualSpacing/>
        <w:rPr>
          <w:rFonts w:ascii="Arial" w:hAnsi="Arial" w:cs="Arial"/>
          <w:b/>
          <w:sz w:val="22"/>
          <w:szCs w:val="22"/>
        </w:rPr>
      </w:pPr>
    </w:p>
    <w:p w14:paraId="79F653B5" w14:textId="77777777" w:rsidR="00EF6598" w:rsidRPr="00D3071D" w:rsidRDefault="00EF6598" w:rsidP="00EF6598">
      <w:pPr>
        <w:spacing w:after="120"/>
        <w:contextualSpacing/>
        <w:rPr>
          <w:rFonts w:ascii="Arial" w:hAnsi="Arial" w:cs="Arial"/>
          <w:b/>
          <w:sz w:val="22"/>
          <w:szCs w:val="22"/>
        </w:rPr>
      </w:pPr>
      <w:r w:rsidRPr="00D3071D">
        <w:rPr>
          <w:rFonts w:ascii="Arial" w:hAnsi="Arial" w:cs="Arial"/>
          <w:b/>
          <w:sz w:val="22"/>
          <w:szCs w:val="22"/>
        </w:rPr>
        <w:t>Post discharge community care</w:t>
      </w:r>
    </w:p>
    <w:p w14:paraId="79F64B86" w14:textId="77777777" w:rsidR="00EF6598" w:rsidRDefault="00EF6598" w:rsidP="00EF6598">
      <w:pPr>
        <w:spacing w:after="120"/>
        <w:contextualSpacing/>
        <w:rPr>
          <w:rFonts w:ascii="Arial" w:hAnsi="Arial" w:cs="Arial"/>
          <w:sz w:val="22"/>
          <w:szCs w:val="22"/>
        </w:rPr>
      </w:pPr>
    </w:p>
    <w:p w14:paraId="78BC4EC9" w14:textId="77777777" w:rsidR="00EF6598" w:rsidRPr="003D3334" w:rsidRDefault="00EF6598" w:rsidP="00EF6598">
      <w:pPr>
        <w:spacing w:after="120"/>
        <w:contextualSpacing/>
        <w:rPr>
          <w:rFonts w:ascii="Arial" w:hAnsi="Arial" w:cs="Arial"/>
          <w:sz w:val="22"/>
          <w:szCs w:val="22"/>
        </w:rPr>
      </w:pPr>
      <w:r w:rsidRPr="003D3334">
        <w:rPr>
          <w:rFonts w:ascii="Arial" w:hAnsi="Arial" w:cs="Arial"/>
          <w:sz w:val="22"/>
          <w:szCs w:val="22"/>
        </w:rPr>
        <w:t>Percentage of overnight discharges from the mental health and addiction service organisation’s inpatient unit(s) for which a community service contact was recorded in the seven days immediately following that discharge.</w:t>
      </w:r>
    </w:p>
    <w:p w14:paraId="6B275FA4" w14:textId="77777777" w:rsidR="00EF6598" w:rsidRPr="00815208" w:rsidRDefault="00EF6598" w:rsidP="00EF6598">
      <w:pPr>
        <w:spacing w:after="120"/>
        <w:contextualSpacing/>
        <w:rPr>
          <w:rFonts w:ascii="Arial" w:hAnsi="Arial" w:cs="Arial"/>
          <w:sz w:val="22"/>
          <w:szCs w:val="22"/>
        </w:rPr>
      </w:pPr>
    </w:p>
    <w:p w14:paraId="608D02B3" w14:textId="77777777" w:rsidR="00EF6598" w:rsidRDefault="00EF6598" w:rsidP="00EF6598">
      <w:pPr>
        <w:spacing w:after="120"/>
        <w:contextualSpacing/>
        <w:rPr>
          <w:rFonts w:ascii="Arial" w:hAnsi="Arial" w:cs="Arial"/>
          <w:b/>
          <w:sz w:val="22"/>
          <w:szCs w:val="22"/>
        </w:rPr>
      </w:pPr>
      <w:r w:rsidRPr="0024076A">
        <w:rPr>
          <w:rFonts w:ascii="Arial" w:hAnsi="Arial" w:cs="Arial"/>
          <w:b/>
          <w:sz w:val="22"/>
          <w:szCs w:val="22"/>
        </w:rPr>
        <w:t>Numerator</w:t>
      </w:r>
    </w:p>
    <w:p w14:paraId="1CAD6B11" w14:textId="77777777" w:rsidR="00EF6598" w:rsidRPr="00D6798E" w:rsidRDefault="00EF6598" w:rsidP="00EF6598">
      <w:pPr>
        <w:pStyle w:val="NoSpacing"/>
        <w:rPr>
          <w:rFonts w:ascii="Arial" w:hAnsi="Arial" w:cs="Arial"/>
        </w:rPr>
      </w:pPr>
      <w:r w:rsidRPr="00D6798E">
        <w:rPr>
          <w:rFonts w:ascii="Arial" w:hAnsi="Arial" w:cs="Arial"/>
          <w:lang w:eastAsia="en-NZ"/>
        </w:rPr>
        <w:t>Count of acute inpatient discharges where a follow up community contact (for the same person) exists, where:</w:t>
      </w:r>
    </w:p>
    <w:p w14:paraId="43F11D14" w14:textId="77777777" w:rsidR="00EF6598" w:rsidRPr="00D6798E" w:rsidRDefault="00EF6598" w:rsidP="00EF6598">
      <w:pPr>
        <w:pStyle w:val="NoSpacing"/>
        <w:rPr>
          <w:rFonts w:ascii="Arial" w:hAnsi="Arial" w:cs="Arial"/>
        </w:rPr>
      </w:pPr>
      <w:r w:rsidRPr="00D6798E">
        <w:rPr>
          <w:rFonts w:ascii="Arial" w:hAnsi="Arial" w:cs="Arial"/>
          <w:lang w:eastAsia="en-NZ"/>
        </w:rPr>
        <w:t xml:space="preserve">Community follow-up </w:t>
      </w:r>
      <w:proofErr w:type="spellStart"/>
      <w:r w:rsidRPr="00D6798E">
        <w:rPr>
          <w:rFonts w:ascii="Arial" w:hAnsi="Arial" w:cs="Arial"/>
          <w:lang w:eastAsia="en-NZ"/>
        </w:rPr>
        <w:t>ActivityStartDate</w:t>
      </w:r>
      <w:proofErr w:type="spellEnd"/>
      <w:r w:rsidRPr="00D6798E">
        <w:rPr>
          <w:rFonts w:ascii="Arial" w:hAnsi="Arial" w:cs="Arial"/>
          <w:lang w:eastAsia="en-NZ"/>
        </w:rPr>
        <w:t xml:space="preserve"> is between 1 and 7 days after acute </w:t>
      </w:r>
      <w:proofErr w:type="spellStart"/>
      <w:r w:rsidRPr="00D6798E">
        <w:rPr>
          <w:rFonts w:ascii="Arial" w:hAnsi="Arial" w:cs="Arial"/>
          <w:lang w:eastAsia="en-NZ"/>
        </w:rPr>
        <w:t>InpatientDischargeDate</w:t>
      </w:r>
      <w:proofErr w:type="spellEnd"/>
    </w:p>
    <w:p w14:paraId="13F5610F" w14:textId="77777777" w:rsidR="00EF6598" w:rsidRPr="00D6798E" w:rsidRDefault="00EF6598" w:rsidP="00EF6598">
      <w:pPr>
        <w:pStyle w:val="NoSpacing"/>
        <w:rPr>
          <w:rFonts w:ascii="Arial" w:hAnsi="Arial" w:cs="Arial"/>
        </w:rPr>
      </w:pPr>
      <w:proofErr w:type="spellStart"/>
      <w:r w:rsidRPr="00D6798E">
        <w:rPr>
          <w:rFonts w:ascii="Arial" w:hAnsi="Arial" w:cs="Arial"/>
          <w:lang w:eastAsia="en-NZ"/>
        </w:rPr>
        <w:t>ActivityStartDate</w:t>
      </w:r>
      <w:proofErr w:type="spellEnd"/>
      <w:r w:rsidRPr="00D6798E">
        <w:rPr>
          <w:rFonts w:ascii="Arial" w:hAnsi="Arial" w:cs="Arial"/>
          <w:lang w:eastAsia="en-NZ"/>
        </w:rPr>
        <w:t xml:space="preserve"> &gt;= </w:t>
      </w:r>
      <w:proofErr w:type="spellStart"/>
      <w:proofErr w:type="gramStart"/>
      <w:r w:rsidRPr="00D6798E">
        <w:rPr>
          <w:rFonts w:ascii="Arial" w:hAnsi="Arial" w:cs="Arial"/>
          <w:lang w:eastAsia="en-NZ"/>
        </w:rPr>
        <w:t>dateadd</w:t>
      </w:r>
      <w:proofErr w:type="spellEnd"/>
      <w:r w:rsidRPr="00D6798E">
        <w:rPr>
          <w:rFonts w:ascii="Arial" w:hAnsi="Arial" w:cs="Arial"/>
          <w:lang w:eastAsia="en-NZ"/>
        </w:rPr>
        <w:t>(</w:t>
      </w:r>
      <w:proofErr w:type="gramEnd"/>
      <w:r w:rsidRPr="00D6798E">
        <w:rPr>
          <w:rFonts w:ascii="Arial" w:hAnsi="Arial" w:cs="Arial"/>
          <w:lang w:eastAsia="en-NZ"/>
        </w:rPr>
        <w:t xml:space="preserve">1, day, </w:t>
      </w:r>
      <w:proofErr w:type="spellStart"/>
      <w:r w:rsidRPr="00D6798E">
        <w:rPr>
          <w:rFonts w:ascii="Arial" w:hAnsi="Arial" w:cs="Arial"/>
          <w:lang w:eastAsia="en-NZ"/>
        </w:rPr>
        <w:t>InpatientDischargeDate</w:t>
      </w:r>
      <w:proofErr w:type="spellEnd"/>
      <w:r w:rsidRPr="00D6798E">
        <w:rPr>
          <w:rFonts w:ascii="Arial" w:hAnsi="Arial" w:cs="Arial"/>
          <w:lang w:eastAsia="en-NZ"/>
        </w:rPr>
        <w:t>)</w:t>
      </w:r>
    </w:p>
    <w:p w14:paraId="4799394A" w14:textId="77777777" w:rsidR="00EF6598" w:rsidRPr="00D6798E" w:rsidRDefault="00EF6598" w:rsidP="00EF6598">
      <w:pPr>
        <w:pStyle w:val="NoSpacing"/>
      </w:pPr>
      <w:proofErr w:type="spellStart"/>
      <w:r w:rsidRPr="00D6798E">
        <w:rPr>
          <w:rFonts w:ascii="Arial" w:hAnsi="Arial" w:cs="Arial"/>
          <w:lang w:eastAsia="en-NZ"/>
        </w:rPr>
        <w:t>ActivityStartDate</w:t>
      </w:r>
      <w:proofErr w:type="spellEnd"/>
      <w:r w:rsidRPr="00D6798E">
        <w:rPr>
          <w:rFonts w:ascii="Arial" w:hAnsi="Arial" w:cs="Arial"/>
          <w:lang w:eastAsia="en-NZ"/>
        </w:rPr>
        <w:t xml:space="preserve"> &lt; </w:t>
      </w:r>
      <w:proofErr w:type="spellStart"/>
      <w:proofErr w:type="gramStart"/>
      <w:r w:rsidRPr="00D6798E">
        <w:rPr>
          <w:rFonts w:ascii="Arial" w:hAnsi="Arial" w:cs="Arial"/>
          <w:lang w:eastAsia="en-NZ"/>
        </w:rPr>
        <w:t>dateadd</w:t>
      </w:r>
      <w:proofErr w:type="spellEnd"/>
      <w:r w:rsidRPr="00D6798E">
        <w:rPr>
          <w:rFonts w:ascii="Arial" w:hAnsi="Arial" w:cs="Arial"/>
          <w:lang w:eastAsia="en-NZ"/>
        </w:rPr>
        <w:t>(</w:t>
      </w:r>
      <w:proofErr w:type="gramEnd"/>
      <w:r w:rsidRPr="00D6798E">
        <w:rPr>
          <w:rFonts w:ascii="Arial" w:hAnsi="Arial" w:cs="Arial"/>
          <w:lang w:eastAsia="en-NZ"/>
        </w:rPr>
        <w:t xml:space="preserve">8, day, </w:t>
      </w:r>
      <w:proofErr w:type="spellStart"/>
      <w:r w:rsidRPr="00D6798E">
        <w:rPr>
          <w:rFonts w:ascii="Arial" w:hAnsi="Arial" w:cs="Arial"/>
          <w:lang w:eastAsia="en-NZ"/>
        </w:rPr>
        <w:t>InpatientDischargeDate</w:t>
      </w:r>
      <w:proofErr w:type="spellEnd"/>
      <w:r w:rsidRPr="00D6798E">
        <w:rPr>
          <w:lang w:eastAsia="en-NZ"/>
        </w:rPr>
        <w:t>)</w:t>
      </w:r>
    </w:p>
    <w:p w14:paraId="5C37B89A" w14:textId="77777777" w:rsidR="00EF6598" w:rsidRPr="00D6798E" w:rsidRDefault="00EF6598" w:rsidP="00EF6598">
      <w:pPr>
        <w:spacing w:after="120"/>
        <w:contextualSpacing/>
        <w:rPr>
          <w:rFonts w:ascii="Arial" w:hAnsi="Arial" w:cs="Arial"/>
          <w:sz w:val="22"/>
          <w:szCs w:val="22"/>
        </w:rPr>
      </w:pPr>
    </w:p>
    <w:p w14:paraId="60B1DB49" w14:textId="77777777" w:rsidR="00EF6598" w:rsidRPr="00D6798E" w:rsidRDefault="00EF6598" w:rsidP="00EF6598">
      <w:pPr>
        <w:spacing w:before="60" w:after="60"/>
        <w:jc w:val="both"/>
        <w:rPr>
          <w:rFonts w:ascii="Arial" w:hAnsi="Arial" w:cs="Arial"/>
          <w:b/>
          <w:sz w:val="22"/>
          <w:szCs w:val="22"/>
        </w:rPr>
      </w:pPr>
      <w:r w:rsidRPr="00281007">
        <w:rPr>
          <w:rFonts w:ascii="Arial" w:hAnsi="Arial" w:cs="Arial"/>
          <w:b/>
          <w:sz w:val="22"/>
          <w:szCs w:val="22"/>
        </w:rPr>
        <w:t>Denominator</w:t>
      </w:r>
    </w:p>
    <w:p w14:paraId="22367C94" w14:textId="77777777" w:rsidR="00EF6598" w:rsidRPr="00D6798E" w:rsidRDefault="00EF6598" w:rsidP="00EF6598">
      <w:pPr>
        <w:shd w:val="clear" w:color="auto" w:fill="FFFFFF"/>
        <w:spacing w:after="100" w:afterAutospacing="1" w:line="384" w:lineRule="atLeast"/>
        <w:rPr>
          <w:sz w:val="22"/>
          <w:szCs w:val="22"/>
        </w:rPr>
      </w:pPr>
      <w:r w:rsidRPr="00D6798E">
        <w:rPr>
          <w:rFonts w:ascii="Arial" w:hAnsi="Arial" w:cs="Arial"/>
          <w:color w:val="231F20"/>
          <w:sz w:val="22"/>
          <w:szCs w:val="22"/>
          <w:lang w:eastAsia="en-NZ"/>
        </w:rPr>
        <w:t>Count of acute inpatient discharges</w:t>
      </w:r>
    </w:p>
    <w:p w14:paraId="1F55F350" w14:textId="77777777" w:rsidR="00EF6598" w:rsidRDefault="00EF6598" w:rsidP="00EF6598">
      <w:pPr>
        <w:spacing w:before="60" w:after="60"/>
        <w:jc w:val="both"/>
        <w:rPr>
          <w:rFonts w:ascii="Arial" w:hAnsi="Arial" w:cs="Arial"/>
          <w:b/>
          <w:sz w:val="22"/>
          <w:szCs w:val="22"/>
        </w:rPr>
      </w:pPr>
    </w:p>
    <w:p w14:paraId="3F640AB8" w14:textId="77777777" w:rsidR="00EF6598" w:rsidRPr="00977F40" w:rsidRDefault="00EF6598" w:rsidP="00EF6598">
      <w:pPr>
        <w:spacing w:before="60" w:after="60"/>
        <w:jc w:val="both"/>
        <w:rPr>
          <w:rFonts w:ascii="Arial" w:hAnsi="Arial" w:cs="Arial"/>
          <w:sz w:val="22"/>
          <w:szCs w:val="22"/>
        </w:rPr>
      </w:pPr>
      <w:r>
        <w:rPr>
          <w:rFonts w:ascii="Arial" w:hAnsi="Arial" w:cs="Arial"/>
          <w:b/>
          <w:sz w:val="22"/>
          <w:szCs w:val="22"/>
        </w:rPr>
        <w:t xml:space="preserve">Please note: </w:t>
      </w:r>
      <w:r w:rsidRPr="00977F40">
        <w:rPr>
          <w:rFonts w:ascii="Arial" w:hAnsi="Arial" w:cs="Arial"/>
          <w:sz w:val="22"/>
          <w:szCs w:val="22"/>
        </w:rPr>
        <w:t>this performance measure uses the same definitions as the adult KPI programme for 7-day follow-up post discharge.</w:t>
      </w:r>
    </w:p>
    <w:p w14:paraId="7BFC19B2" w14:textId="77777777" w:rsidR="00EF6598" w:rsidRDefault="00EF6598" w:rsidP="00EF6598">
      <w:pPr>
        <w:spacing w:before="60" w:after="60"/>
        <w:jc w:val="both"/>
        <w:rPr>
          <w:rFonts w:ascii="Arial" w:hAnsi="Arial" w:cs="Arial"/>
          <w:b/>
          <w:sz w:val="22"/>
          <w:szCs w:val="22"/>
        </w:rPr>
      </w:pPr>
    </w:p>
    <w:p w14:paraId="1172AE3D" w14:textId="77777777" w:rsidR="00EF6598" w:rsidRDefault="00EF6598" w:rsidP="00EF6598">
      <w:pPr>
        <w:spacing w:before="60" w:after="60"/>
        <w:jc w:val="both"/>
        <w:rPr>
          <w:rFonts w:ascii="Arial" w:hAnsi="Arial" w:cs="Arial"/>
          <w:b/>
          <w:sz w:val="22"/>
          <w:szCs w:val="22"/>
        </w:rPr>
      </w:pPr>
      <w:r>
        <w:rPr>
          <w:rFonts w:ascii="Arial" w:hAnsi="Arial" w:cs="Arial"/>
          <w:b/>
          <w:sz w:val="22"/>
          <w:szCs w:val="22"/>
        </w:rPr>
        <w:t>MH02 Linkage</w:t>
      </w:r>
    </w:p>
    <w:p w14:paraId="77931547" w14:textId="77777777" w:rsidR="00EF6598" w:rsidRDefault="00EF6598" w:rsidP="00EF6598">
      <w:pPr>
        <w:spacing w:before="60" w:after="60"/>
        <w:jc w:val="both"/>
        <w:rPr>
          <w:rFonts w:ascii="Arial" w:hAnsi="Arial" w:cs="Arial"/>
          <w:b/>
          <w:sz w:val="22"/>
          <w:szCs w:val="22"/>
        </w:rPr>
      </w:pPr>
    </w:p>
    <w:p w14:paraId="60A42AB2" w14:textId="77777777" w:rsidR="00EF6598" w:rsidRDefault="00EF6598" w:rsidP="00EF6598">
      <w:pPr>
        <w:spacing w:before="60" w:after="60"/>
        <w:ind w:left="720"/>
        <w:jc w:val="both"/>
        <w:rPr>
          <w:rFonts w:ascii="Arial" w:hAnsi="Arial" w:cs="Arial"/>
          <w:sz w:val="22"/>
          <w:szCs w:val="22"/>
        </w:rPr>
      </w:pPr>
      <w:r>
        <w:rPr>
          <w:rFonts w:ascii="Arial" w:hAnsi="Arial" w:cs="Arial"/>
          <w:sz w:val="22"/>
          <w:szCs w:val="22"/>
        </w:rPr>
        <w:t xml:space="preserve">This measure links to </w:t>
      </w:r>
      <w:r w:rsidRPr="00814191">
        <w:rPr>
          <w:rFonts w:ascii="Arial" w:hAnsi="Arial" w:cs="Arial"/>
          <w:sz w:val="22"/>
          <w:szCs w:val="22"/>
        </w:rPr>
        <w:t>MH02: Improving mental health services using wellness and transition (discharge) planning</w:t>
      </w:r>
      <w:r>
        <w:rPr>
          <w:rFonts w:ascii="Arial" w:hAnsi="Arial" w:cs="Arial"/>
          <w:sz w:val="22"/>
          <w:szCs w:val="22"/>
        </w:rPr>
        <w:t xml:space="preserve">.  </w:t>
      </w:r>
    </w:p>
    <w:p w14:paraId="1506C9B4" w14:textId="77777777" w:rsidR="00EF6598" w:rsidRDefault="00EF6598" w:rsidP="00EF6598">
      <w:pPr>
        <w:shd w:val="clear" w:color="auto" w:fill="FFFFFF"/>
        <w:spacing w:before="60" w:after="60"/>
        <w:jc w:val="both"/>
        <w:rPr>
          <w:rFonts w:ascii="Arial" w:hAnsi="Arial" w:cs="Arial"/>
          <w:b/>
          <w:sz w:val="20"/>
          <w:szCs w:val="20"/>
        </w:rPr>
      </w:pPr>
    </w:p>
    <w:p w14:paraId="4074CC77" w14:textId="77777777" w:rsidR="00EF6598" w:rsidRDefault="00EF6598" w:rsidP="00EF6598">
      <w:pPr>
        <w:shd w:val="clear" w:color="auto" w:fill="FFFFFF"/>
        <w:spacing w:before="60" w:after="60"/>
        <w:jc w:val="both"/>
        <w:rPr>
          <w:rFonts w:ascii="Arial" w:hAnsi="Arial" w:cs="Arial"/>
          <w:b/>
          <w:sz w:val="20"/>
          <w:szCs w:val="20"/>
        </w:rPr>
      </w:pPr>
    </w:p>
    <w:p w14:paraId="5BD4D569" w14:textId="77777777" w:rsidR="00EF6598" w:rsidRPr="005A67EE" w:rsidRDefault="00EF6598" w:rsidP="00EF6598">
      <w:pPr>
        <w:shd w:val="clear" w:color="auto" w:fill="FFFFFF"/>
        <w:spacing w:before="60" w:after="60"/>
        <w:jc w:val="both"/>
        <w:rPr>
          <w:rFonts w:ascii="Arial" w:hAnsi="Arial" w:cs="Arial"/>
          <w:b/>
          <w:sz w:val="22"/>
          <w:szCs w:val="22"/>
        </w:rPr>
      </w:pPr>
      <w:r w:rsidRPr="005A67EE">
        <w:rPr>
          <w:rFonts w:ascii="Arial" w:hAnsi="Arial" w:cs="Arial"/>
          <w:b/>
          <w:sz w:val="22"/>
          <w:szCs w:val="22"/>
        </w:rPr>
        <w:t>Actions and activities that have a proven impact on this measure:</w:t>
      </w:r>
    </w:p>
    <w:p w14:paraId="0F0BF15E" w14:textId="77777777" w:rsidR="00EF6598" w:rsidRDefault="00EF6598" w:rsidP="00EF6598">
      <w:pPr>
        <w:autoSpaceDE w:val="0"/>
        <w:autoSpaceDN w:val="0"/>
        <w:adjustRightInd w:val="0"/>
        <w:rPr>
          <w:rFonts w:ascii="Arial" w:hAnsi="Arial" w:cs="Arial"/>
          <w:color w:val="000000"/>
          <w:sz w:val="22"/>
          <w:szCs w:val="22"/>
        </w:rPr>
      </w:pPr>
    </w:p>
    <w:p w14:paraId="58375CEB" w14:textId="77777777" w:rsidR="00EF6598" w:rsidRDefault="00EF6598" w:rsidP="00EF6598">
      <w:pPr>
        <w:pStyle w:val="ListParagraph"/>
        <w:numPr>
          <w:ilvl w:val="0"/>
          <w:numId w:val="138"/>
        </w:numPr>
        <w:autoSpaceDE w:val="0"/>
        <w:autoSpaceDN w:val="0"/>
        <w:adjustRightInd w:val="0"/>
        <w:rPr>
          <w:rFonts w:ascii="Arial" w:hAnsi="Arial" w:cs="Arial"/>
          <w:color w:val="000000"/>
          <w:sz w:val="22"/>
          <w:szCs w:val="22"/>
        </w:rPr>
      </w:pPr>
      <w:r w:rsidRPr="008F68CC">
        <w:rPr>
          <w:rFonts w:ascii="Arial" w:hAnsi="Arial" w:cs="Arial"/>
          <w:color w:val="000000"/>
          <w:sz w:val="22"/>
          <w:szCs w:val="22"/>
        </w:rPr>
        <w:t>having executive leadership overseeing the process</w:t>
      </w:r>
    </w:p>
    <w:p w14:paraId="5EF47EEF" w14:textId="77777777" w:rsidR="00EF6598" w:rsidRPr="008F68CC" w:rsidRDefault="00EF6598" w:rsidP="00EF6598">
      <w:pPr>
        <w:pStyle w:val="ListParagraph"/>
        <w:numPr>
          <w:ilvl w:val="0"/>
          <w:numId w:val="138"/>
        </w:numPr>
        <w:autoSpaceDE w:val="0"/>
        <w:autoSpaceDN w:val="0"/>
        <w:adjustRightInd w:val="0"/>
        <w:rPr>
          <w:rFonts w:ascii="Arial" w:hAnsi="Arial" w:cs="Arial"/>
          <w:color w:val="000000"/>
          <w:sz w:val="22"/>
          <w:szCs w:val="22"/>
        </w:rPr>
      </w:pPr>
      <w:r w:rsidRPr="008F68CC">
        <w:rPr>
          <w:rFonts w:ascii="Arial" w:hAnsi="Arial" w:cs="Arial"/>
          <w:sz w:val="22"/>
          <w:szCs w:val="22"/>
        </w:rPr>
        <w:t xml:space="preserve">the right people </w:t>
      </w:r>
      <w:r>
        <w:rPr>
          <w:rFonts w:ascii="Arial" w:hAnsi="Arial" w:cs="Arial"/>
          <w:sz w:val="22"/>
          <w:szCs w:val="22"/>
        </w:rPr>
        <w:t>monitoring performance and scrutinising</w:t>
      </w:r>
      <w:r w:rsidRPr="008F68CC">
        <w:rPr>
          <w:rFonts w:ascii="Arial" w:hAnsi="Arial" w:cs="Arial"/>
          <w:sz w:val="22"/>
          <w:szCs w:val="22"/>
        </w:rPr>
        <w:t xml:space="preserve"> why individual cases were not followed up within 7 days</w:t>
      </w:r>
    </w:p>
    <w:p w14:paraId="64B66F50" w14:textId="77777777" w:rsidR="00EF6598" w:rsidRPr="008F68CC" w:rsidRDefault="00EF6598" w:rsidP="00EF6598">
      <w:pPr>
        <w:pStyle w:val="ListParagraph"/>
        <w:numPr>
          <w:ilvl w:val="0"/>
          <w:numId w:val="138"/>
        </w:numPr>
        <w:autoSpaceDE w:val="0"/>
        <w:autoSpaceDN w:val="0"/>
        <w:adjustRightInd w:val="0"/>
        <w:rPr>
          <w:rFonts w:ascii="Arial" w:hAnsi="Arial" w:cs="Arial"/>
          <w:color w:val="000000"/>
          <w:sz w:val="22"/>
          <w:szCs w:val="22"/>
        </w:rPr>
      </w:pPr>
      <w:r>
        <w:rPr>
          <w:rFonts w:ascii="Arial" w:hAnsi="Arial" w:cs="Arial"/>
          <w:sz w:val="22"/>
          <w:szCs w:val="22"/>
        </w:rPr>
        <w:t xml:space="preserve">Proactive </w:t>
      </w:r>
      <w:r w:rsidRPr="008F68CC">
        <w:rPr>
          <w:rFonts w:ascii="Arial" w:hAnsi="Arial" w:cs="Arial"/>
          <w:sz w:val="22"/>
          <w:szCs w:val="22"/>
        </w:rPr>
        <w:t>NGO partner</w:t>
      </w:r>
      <w:r>
        <w:rPr>
          <w:rFonts w:ascii="Arial" w:hAnsi="Arial" w:cs="Arial"/>
          <w:sz w:val="22"/>
          <w:szCs w:val="22"/>
        </w:rPr>
        <w:t>s</w:t>
      </w:r>
      <w:r w:rsidRPr="008F68CC">
        <w:rPr>
          <w:rFonts w:ascii="Arial" w:hAnsi="Arial" w:cs="Arial"/>
          <w:sz w:val="22"/>
          <w:szCs w:val="22"/>
        </w:rPr>
        <w:t xml:space="preserve"> and </w:t>
      </w:r>
      <w:r>
        <w:rPr>
          <w:rFonts w:ascii="Arial" w:hAnsi="Arial" w:cs="Arial"/>
          <w:sz w:val="22"/>
          <w:szCs w:val="22"/>
        </w:rPr>
        <w:t>provider arm services need to support their engagement and</w:t>
      </w:r>
      <w:r w:rsidRPr="008F68CC">
        <w:rPr>
          <w:rFonts w:ascii="Arial" w:hAnsi="Arial" w:cs="Arial"/>
          <w:sz w:val="22"/>
          <w:szCs w:val="22"/>
        </w:rPr>
        <w:t xml:space="preserve"> activity</w:t>
      </w:r>
    </w:p>
    <w:p w14:paraId="45D93DC2" w14:textId="77777777" w:rsidR="00EF6598" w:rsidRPr="008F68CC" w:rsidRDefault="00EF6598" w:rsidP="00EF6598">
      <w:pPr>
        <w:pStyle w:val="ListParagraph"/>
        <w:numPr>
          <w:ilvl w:val="0"/>
          <w:numId w:val="138"/>
        </w:numPr>
        <w:autoSpaceDE w:val="0"/>
        <w:autoSpaceDN w:val="0"/>
        <w:adjustRightInd w:val="0"/>
        <w:rPr>
          <w:rFonts w:ascii="Arial" w:hAnsi="Arial" w:cs="Arial"/>
          <w:color w:val="000000"/>
          <w:sz w:val="22"/>
          <w:szCs w:val="22"/>
        </w:rPr>
      </w:pPr>
      <w:r w:rsidRPr="008F68CC">
        <w:rPr>
          <w:rFonts w:ascii="Arial" w:hAnsi="Arial" w:cs="Arial"/>
          <w:sz w:val="22"/>
          <w:szCs w:val="22"/>
        </w:rPr>
        <w:t>being open to sharing information and support</w:t>
      </w:r>
      <w:r>
        <w:rPr>
          <w:rFonts w:ascii="Arial" w:hAnsi="Arial" w:cs="Arial"/>
          <w:sz w:val="22"/>
          <w:szCs w:val="22"/>
        </w:rPr>
        <w:t xml:space="preserve"> </w:t>
      </w:r>
      <w:r w:rsidRPr="008F68CC">
        <w:rPr>
          <w:rFonts w:ascii="Arial" w:hAnsi="Arial" w:cs="Arial"/>
          <w:sz w:val="22"/>
          <w:szCs w:val="22"/>
        </w:rPr>
        <w:t>transparency</w:t>
      </w:r>
      <w:r w:rsidRPr="008F68CC">
        <w:rPr>
          <w:rFonts w:ascii="Arial" w:hAnsi="Arial" w:cs="Arial"/>
          <w:sz w:val="22"/>
          <w:szCs w:val="22"/>
        </w:rPr>
        <w:tab/>
      </w:r>
    </w:p>
    <w:p w14:paraId="3A231252" w14:textId="77777777" w:rsidR="00EF6598" w:rsidRDefault="00EF6598" w:rsidP="00EF6598">
      <w:pPr>
        <w:spacing w:before="60" w:after="60"/>
        <w:jc w:val="both"/>
        <w:rPr>
          <w:rFonts w:ascii="Arial" w:hAnsi="Arial" w:cs="Arial"/>
          <w:b/>
        </w:rPr>
      </w:pPr>
    </w:p>
    <w:p w14:paraId="6E829B45" w14:textId="77777777" w:rsidR="00EF6598" w:rsidRPr="00056C80" w:rsidRDefault="00EF6598" w:rsidP="00EF6598">
      <w:pPr>
        <w:spacing w:before="60" w:after="60"/>
        <w:jc w:val="both"/>
        <w:rPr>
          <w:rFonts w:ascii="Arial" w:hAnsi="Arial" w:cs="Arial"/>
          <w:b/>
        </w:rPr>
      </w:pPr>
      <w:r w:rsidRPr="00056C80">
        <w:rPr>
          <w:rFonts w:ascii="Arial" w:hAnsi="Arial" w:cs="Arial"/>
          <w:b/>
        </w:rPr>
        <w:t xml:space="preserve">Data Reporting template </w:t>
      </w:r>
    </w:p>
    <w:p w14:paraId="238B8AD9" w14:textId="77777777" w:rsidR="00EF6598" w:rsidRDefault="00EF6598" w:rsidP="00EF6598">
      <w:pPr>
        <w:spacing w:before="60" w:after="60" w:line="240" w:lineRule="exact"/>
        <w:jc w:val="both"/>
        <w:rPr>
          <w:rFonts w:ascii="Arial" w:hAnsi="Arial" w:cs="Arial"/>
          <w:b/>
        </w:rPr>
      </w:pPr>
    </w:p>
    <w:p w14:paraId="3B5A6626" w14:textId="77777777" w:rsidR="00EF6598" w:rsidRDefault="00EF6598" w:rsidP="00EF6598">
      <w:pPr>
        <w:spacing w:before="60" w:after="60" w:line="240" w:lineRule="exact"/>
        <w:jc w:val="both"/>
        <w:rPr>
          <w:rFonts w:ascii="Arial" w:hAnsi="Arial" w:cs="Arial"/>
          <w:b/>
        </w:rPr>
      </w:pPr>
      <w:r w:rsidRPr="00056C80">
        <w:rPr>
          <w:rFonts w:ascii="Arial" w:hAnsi="Arial" w:cs="Arial"/>
        </w:rPr>
        <w:t xml:space="preserve">Inpatient </w:t>
      </w:r>
      <w:r>
        <w:rPr>
          <w:rFonts w:ascii="Arial" w:hAnsi="Arial" w:cs="Arial"/>
        </w:rPr>
        <w:t>7</w:t>
      </w:r>
      <w:r w:rsidRPr="00056C80">
        <w:rPr>
          <w:rFonts w:ascii="Arial" w:hAnsi="Arial" w:cs="Arial"/>
        </w:rPr>
        <w:t>-day follow</w:t>
      </w:r>
      <w:r>
        <w:rPr>
          <w:rFonts w:ascii="Arial" w:hAnsi="Arial" w:cs="Arial"/>
        </w:rPr>
        <w:t>-</w:t>
      </w:r>
      <w:r w:rsidRPr="00056C80">
        <w:rPr>
          <w:rFonts w:ascii="Arial" w:hAnsi="Arial" w:cs="Arial"/>
        </w:rPr>
        <w:t>up post discharge measure</w:t>
      </w:r>
    </w:p>
    <w:p w14:paraId="160D85F1" w14:textId="77777777" w:rsidR="00EF6598" w:rsidRPr="004867EF" w:rsidRDefault="00EF6598" w:rsidP="00EF6598">
      <w:pPr>
        <w:shd w:val="clear" w:color="auto" w:fill="FFFFFF"/>
        <w:spacing w:before="60" w:after="60"/>
        <w:jc w:val="both"/>
        <w:rPr>
          <w:rFonts w:ascii="Arial" w:hAnsi="Arial" w:cs="Arial"/>
          <w:i/>
        </w:rPr>
      </w:pPr>
      <w:r w:rsidRPr="004867EF">
        <w:rPr>
          <w:rFonts w:ascii="Arial" w:hAnsi="Arial" w:cs="Arial"/>
          <w:i/>
        </w:rPr>
        <w:t>DHBs to supply data via the templates below – data to be sourced from th</w:t>
      </w:r>
      <w:r>
        <w:rPr>
          <w:rFonts w:ascii="Arial" w:hAnsi="Arial" w:cs="Arial"/>
          <w:i/>
        </w:rPr>
        <w:t>e</w:t>
      </w:r>
      <w:r w:rsidRPr="004867EF">
        <w:rPr>
          <w:rFonts w:ascii="Arial" w:hAnsi="Arial" w:cs="Arial"/>
          <w:i/>
        </w:rPr>
        <w:t xml:space="preserve"> KPI programme</w:t>
      </w:r>
    </w:p>
    <w:p w14:paraId="1FD822A1" w14:textId="77777777" w:rsidR="00EF6598" w:rsidRDefault="00EF6598" w:rsidP="00EF6598">
      <w:pPr>
        <w:spacing w:before="60" w:after="60" w:line="240" w:lineRule="exact"/>
        <w:jc w:val="both"/>
        <w:rPr>
          <w:rFonts w:ascii="Arial" w:hAnsi="Arial" w:cs="Arial"/>
          <w:sz w:val="20"/>
          <w:szCs w:val="20"/>
        </w:rPr>
      </w:pPr>
    </w:p>
    <w:p w14:paraId="41B5372E" w14:textId="77777777" w:rsidR="00EF6598" w:rsidRDefault="00EF6598" w:rsidP="00EF6598">
      <w:pPr>
        <w:spacing w:before="60" w:after="60"/>
        <w:jc w:val="both"/>
        <w:rPr>
          <w:rFonts w:ascii="Arial" w:hAnsi="Arial" w:cs="Arial"/>
        </w:rPr>
      </w:pPr>
      <w:r>
        <w:rPr>
          <w:rFonts w:ascii="Arial" w:hAnsi="Arial" w:cs="Arial"/>
        </w:rPr>
        <w:t>Reporting template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EF6598" w:rsidRPr="00C86521" w14:paraId="4A22DF5C" w14:textId="77777777" w:rsidTr="00AF0F9D">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6012BE7E" w14:textId="77777777" w:rsidR="00EF6598" w:rsidRPr="00C86521" w:rsidRDefault="00EF6598" w:rsidP="00AF0F9D">
            <w:pPr>
              <w:spacing w:before="60" w:after="60"/>
              <w:jc w:val="both"/>
              <w:rPr>
                <w:rFonts w:ascii="Arial" w:hAnsi="Arial" w:cs="Arial"/>
                <w:sz w:val="20"/>
                <w:szCs w:val="20"/>
              </w:rPr>
            </w:pPr>
            <w:bookmarkStart w:id="485" w:name="_Hlk35854321"/>
            <w:r w:rsidRPr="00C86521">
              <w:rPr>
                <w:rFonts w:ascii="Arial" w:hAnsi="Arial" w:cs="Arial"/>
                <w:b/>
                <w:sz w:val="20"/>
                <w:szCs w:val="20"/>
                <w:lang w:val="en-AU"/>
              </w:rPr>
              <w:t>Percentage of MH&amp;A Total clients discharged from MH&amp;A adult inpatient services that are followed up within 7 days.</w:t>
            </w:r>
          </w:p>
        </w:tc>
      </w:tr>
      <w:tr w:rsidR="00EF6598" w:rsidRPr="00C86521" w14:paraId="2428885E" w14:textId="77777777" w:rsidTr="00AF0F9D">
        <w:trPr>
          <w:cantSplit/>
        </w:trPr>
        <w:tc>
          <w:tcPr>
            <w:tcW w:w="1757" w:type="pct"/>
            <w:tcBorders>
              <w:top w:val="single" w:sz="4" w:space="0" w:color="auto"/>
              <w:left w:val="single" w:sz="4" w:space="0" w:color="auto"/>
              <w:bottom w:val="single" w:sz="4" w:space="0" w:color="auto"/>
              <w:right w:val="single" w:sz="4" w:space="0" w:color="auto"/>
            </w:tcBorders>
          </w:tcPr>
          <w:p w14:paraId="36DFA25E" w14:textId="77777777" w:rsidR="00EF6598" w:rsidRPr="00C86521" w:rsidRDefault="00EF6598" w:rsidP="00AF0F9D">
            <w:pPr>
              <w:spacing w:before="60" w:after="60"/>
              <w:rPr>
                <w:rFonts w:ascii="Arial" w:hAnsi="Arial" w:cs="Arial"/>
                <w:sz w:val="20"/>
                <w:szCs w:val="20"/>
              </w:rPr>
            </w:pPr>
          </w:p>
        </w:tc>
        <w:tc>
          <w:tcPr>
            <w:tcW w:w="1621" w:type="pct"/>
            <w:tcBorders>
              <w:top w:val="single" w:sz="4" w:space="0" w:color="auto"/>
              <w:left w:val="single" w:sz="4" w:space="0" w:color="auto"/>
              <w:bottom w:val="single" w:sz="4" w:space="0" w:color="auto"/>
              <w:right w:val="single" w:sz="4" w:space="0" w:color="auto"/>
            </w:tcBorders>
            <w:hideMark/>
          </w:tcPr>
          <w:p w14:paraId="3C64B0BD" w14:textId="77777777" w:rsidR="00EF6598" w:rsidRPr="00C86521" w:rsidRDefault="00EF6598" w:rsidP="00AF0F9D">
            <w:pPr>
              <w:spacing w:before="60" w:after="60"/>
              <w:rPr>
                <w:rFonts w:ascii="Arial" w:hAnsi="Arial" w:cs="Arial"/>
                <w:sz w:val="20"/>
                <w:szCs w:val="20"/>
              </w:rPr>
            </w:pPr>
          </w:p>
        </w:tc>
        <w:tc>
          <w:tcPr>
            <w:tcW w:w="1622" w:type="pct"/>
            <w:tcBorders>
              <w:top w:val="single" w:sz="4" w:space="0" w:color="auto"/>
              <w:left w:val="single" w:sz="4" w:space="0" w:color="auto"/>
              <w:bottom w:val="single" w:sz="4" w:space="0" w:color="auto"/>
              <w:right w:val="single" w:sz="4" w:space="0" w:color="auto"/>
            </w:tcBorders>
          </w:tcPr>
          <w:p w14:paraId="7DDD0C29" w14:textId="77777777" w:rsidR="00EF6598" w:rsidRPr="00C86521" w:rsidRDefault="00EF6598" w:rsidP="00AF0F9D">
            <w:pPr>
              <w:spacing w:before="60" w:after="60"/>
              <w:rPr>
                <w:rFonts w:ascii="Arial" w:hAnsi="Arial" w:cs="Arial"/>
                <w:sz w:val="20"/>
                <w:szCs w:val="20"/>
              </w:rPr>
            </w:pPr>
          </w:p>
        </w:tc>
      </w:tr>
      <w:tr w:rsidR="00EF6598" w:rsidRPr="00C86521" w14:paraId="3D85C2BF" w14:textId="77777777" w:rsidTr="00AF0F9D">
        <w:trPr>
          <w:cantSplit/>
        </w:trPr>
        <w:tc>
          <w:tcPr>
            <w:tcW w:w="1757" w:type="pct"/>
            <w:tcBorders>
              <w:top w:val="single" w:sz="4" w:space="0" w:color="auto"/>
              <w:left w:val="single" w:sz="4" w:space="0" w:color="auto"/>
              <w:bottom w:val="single" w:sz="4" w:space="0" w:color="auto"/>
              <w:right w:val="single" w:sz="4" w:space="0" w:color="auto"/>
            </w:tcBorders>
            <w:hideMark/>
          </w:tcPr>
          <w:p w14:paraId="42044136" w14:textId="77777777" w:rsidR="00EF6598" w:rsidRDefault="00EF6598" w:rsidP="00AF0F9D">
            <w:pPr>
              <w:spacing w:before="60" w:after="60"/>
              <w:rPr>
                <w:rFonts w:ascii="Arial" w:hAnsi="Arial" w:cs="Arial"/>
                <w:sz w:val="20"/>
                <w:szCs w:val="20"/>
              </w:rPr>
            </w:pPr>
            <w:r>
              <w:rPr>
                <w:rFonts w:ascii="Arial" w:hAnsi="Arial" w:cs="Arial"/>
                <w:sz w:val="20"/>
                <w:szCs w:val="20"/>
              </w:rPr>
              <w:t>Numerator defined as above.</w:t>
            </w:r>
          </w:p>
          <w:p w14:paraId="38467DE6" w14:textId="77777777" w:rsidR="00EF6598" w:rsidRPr="00D6798E" w:rsidRDefault="00EF6598" w:rsidP="00AF0F9D">
            <w:pPr>
              <w:spacing w:before="60" w:after="60"/>
              <w:rPr>
                <w:rFonts w:ascii="Arial" w:hAnsi="Arial" w:cs="Arial"/>
                <w:b/>
                <w:sz w:val="20"/>
                <w:szCs w:val="20"/>
                <w:lang w:val="en-AU"/>
              </w:rPr>
            </w:pPr>
            <w:r w:rsidRPr="00D6798E">
              <w:rPr>
                <w:rFonts w:ascii="Arial" w:hAnsi="Arial" w:cs="Arial"/>
                <w:sz w:val="20"/>
                <w:szCs w:val="20"/>
              </w:rPr>
              <w:t>(Data Source: PRIMHD/KPI)</w:t>
            </w:r>
          </w:p>
        </w:tc>
        <w:tc>
          <w:tcPr>
            <w:tcW w:w="1621" w:type="pct"/>
            <w:tcBorders>
              <w:top w:val="single" w:sz="4" w:space="0" w:color="auto"/>
              <w:left w:val="single" w:sz="4" w:space="0" w:color="auto"/>
              <w:bottom w:val="single" w:sz="4" w:space="0" w:color="auto"/>
              <w:right w:val="single" w:sz="4" w:space="0" w:color="auto"/>
            </w:tcBorders>
            <w:hideMark/>
          </w:tcPr>
          <w:p w14:paraId="0358ACC3" w14:textId="77777777" w:rsidR="00EF6598" w:rsidRPr="00BA7E5A" w:rsidRDefault="00EF6598" w:rsidP="00AF0F9D">
            <w:pPr>
              <w:shd w:val="clear" w:color="auto" w:fill="FFFFFF"/>
              <w:spacing w:after="100" w:afterAutospacing="1" w:line="384" w:lineRule="atLeast"/>
              <w:rPr>
                <w:sz w:val="20"/>
                <w:szCs w:val="20"/>
              </w:rPr>
            </w:pPr>
            <w:r w:rsidRPr="00D6798E">
              <w:rPr>
                <w:rFonts w:ascii="Arial" w:hAnsi="Arial" w:cs="Arial"/>
                <w:color w:val="231F20"/>
                <w:sz w:val="20"/>
                <w:szCs w:val="20"/>
                <w:lang w:eastAsia="en-NZ"/>
              </w:rPr>
              <w:t>Count of acute inpatient discharges</w:t>
            </w:r>
            <w:r>
              <w:rPr>
                <w:color w:val="231F20"/>
                <w:sz w:val="20"/>
                <w:szCs w:val="20"/>
                <w:lang w:eastAsia="en-NZ"/>
              </w:rPr>
              <w:t xml:space="preserve"> </w:t>
            </w:r>
            <w:r w:rsidRPr="00D6798E">
              <w:rPr>
                <w:rFonts w:ascii="Arial" w:hAnsi="Arial" w:cs="Arial"/>
                <w:sz w:val="20"/>
                <w:szCs w:val="20"/>
              </w:rPr>
              <w:t>(Data Source: PRIMHD/KPI)</w:t>
            </w:r>
          </w:p>
        </w:tc>
        <w:tc>
          <w:tcPr>
            <w:tcW w:w="1622" w:type="pct"/>
            <w:tcBorders>
              <w:top w:val="single" w:sz="4" w:space="0" w:color="auto"/>
              <w:left w:val="single" w:sz="4" w:space="0" w:color="auto"/>
              <w:bottom w:val="single" w:sz="4" w:space="0" w:color="auto"/>
              <w:right w:val="single" w:sz="4" w:space="0" w:color="auto"/>
            </w:tcBorders>
          </w:tcPr>
          <w:p w14:paraId="7BE85DE6" w14:textId="77777777" w:rsidR="00EF6598" w:rsidRPr="00C86521" w:rsidRDefault="00EF6598" w:rsidP="00AF0F9D">
            <w:pPr>
              <w:spacing w:before="60" w:after="60"/>
              <w:rPr>
                <w:rFonts w:ascii="Arial" w:hAnsi="Arial" w:cs="Arial"/>
                <w:sz w:val="20"/>
                <w:szCs w:val="20"/>
              </w:rPr>
            </w:pPr>
            <w:r w:rsidRPr="00C86521">
              <w:rPr>
                <w:rFonts w:ascii="Arial" w:hAnsi="Arial" w:cs="Arial"/>
                <w:sz w:val="20"/>
                <w:szCs w:val="20"/>
              </w:rPr>
              <w:t>Percentage of clients follow up within 7days</w:t>
            </w:r>
          </w:p>
          <w:p w14:paraId="1C672F14" w14:textId="77777777" w:rsidR="00EF6598" w:rsidRPr="00C86521" w:rsidRDefault="00EF6598" w:rsidP="00AF0F9D">
            <w:pPr>
              <w:spacing w:before="60" w:after="60"/>
              <w:rPr>
                <w:rFonts w:ascii="Arial" w:hAnsi="Arial" w:cs="Arial"/>
                <w:sz w:val="20"/>
                <w:szCs w:val="20"/>
              </w:rPr>
            </w:pPr>
          </w:p>
        </w:tc>
      </w:tr>
      <w:bookmarkEnd w:id="485"/>
    </w:tbl>
    <w:p w14:paraId="4F8CE0DE" w14:textId="77777777" w:rsidR="00EF6598" w:rsidRPr="00C86521" w:rsidRDefault="00EF6598" w:rsidP="00EF6598">
      <w:pPr>
        <w:spacing w:before="60" w:after="60" w:line="240" w:lineRule="exact"/>
        <w:jc w:val="both"/>
        <w:rPr>
          <w:rFonts w:ascii="Arial" w:hAnsi="Arial" w:cs="Arial"/>
        </w:rPr>
      </w:pPr>
    </w:p>
    <w:p w14:paraId="6A9B896D" w14:textId="77777777" w:rsidR="00EF6598" w:rsidRPr="00C86521" w:rsidRDefault="00EF6598" w:rsidP="00EF6598">
      <w:pPr>
        <w:spacing w:before="60" w:after="60"/>
        <w:jc w:val="both"/>
        <w:rPr>
          <w:rFonts w:ascii="Arial" w:hAnsi="Arial" w:cs="Arial"/>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EF6598" w:rsidRPr="00C86521" w14:paraId="0AB88A0F" w14:textId="77777777" w:rsidTr="00AF0F9D">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6BF40033" w14:textId="77777777" w:rsidR="00EF6598" w:rsidRPr="00C86521" w:rsidRDefault="00EF6598" w:rsidP="00AF0F9D">
            <w:pPr>
              <w:spacing w:before="60" w:after="60"/>
              <w:jc w:val="both"/>
              <w:rPr>
                <w:rFonts w:ascii="Arial" w:hAnsi="Arial" w:cs="Arial"/>
                <w:sz w:val="20"/>
                <w:szCs w:val="20"/>
              </w:rPr>
            </w:pPr>
            <w:r w:rsidRPr="00C86521">
              <w:rPr>
                <w:rFonts w:ascii="Arial" w:hAnsi="Arial" w:cs="Arial"/>
                <w:b/>
                <w:sz w:val="20"/>
                <w:szCs w:val="20"/>
                <w:lang w:val="en-AU"/>
              </w:rPr>
              <w:t>Percentage of MH&amp;A Maori clients discharged from MH&amp;A adult inpatient services that are followed up within 7 days.</w:t>
            </w:r>
          </w:p>
        </w:tc>
      </w:tr>
      <w:tr w:rsidR="00EF6598" w:rsidRPr="00C86521" w14:paraId="73DAD934" w14:textId="77777777" w:rsidTr="00AF0F9D">
        <w:trPr>
          <w:cantSplit/>
        </w:trPr>
        <w:tc>
          <w:tcPr>
            <w:tcW w:w="1757" w:type="pct"/>
            <w:tcBorders>
              <w:top w:val="single" w:sz="4" w:space="0" w:color="auto"/>
              <w:left w:val="single" w:sz="4" w:space="0" w:color="auto"/>
              <w:bottom w:val="single" w:sz="4" w:space="0" w:color="auto"/>
              <w:right w:val="single" w:sz="4" w:space="0" w:color="auto"/>
            </w:tcBorders>
            <w:hideMark/>
          </w:tcPr>
          <w:p w14:paraId="649519B8" w14:textId="77777777" w:rsidR="00EF6598" w:rsidRPr="00C86521" w:rsidRDefault="00EF6598" w:rsidP="00AF0F9D">
            <w:pPr>
              <w:spacing w:before="60" w:after="60"/>
              <w:rPr>
                <w:rFonts w:ascii="Arial" w:hAnsi="Arial" w:cs="Arial"/>
                <w:sz w:val="20"/>
                <w:szCs w:val="20"/>
              </w:rPr>
            </w:pPr>
          </w:p>
        </w:tc>
        <w:tc>
          <w:tcPr>
            <w:tcW w:w="1621" w:type="pct"/>
            <w:tcBorders>
              <w:top w:val="single" w:sz="4" w:space="0" w:color="auto"/>
              <w:left w:val="single" w:sz="4" w:space="0" w:color="auto"/>
              <w:bottom w:val="single" w:sz="4" w:space="0" w:color="auto"/>
              <w:right w:val="single" w:sz="4" w:space="0" w:color="auto"/>
            </w:tcBorders>
            <w:hideMark/>
          </w:tcPr>
          <w:p w14:paraId="4708917E" w14:textId="77777777" w:rsidR="00EF6598" w:rsidRPr="00C86521" w:rsidRDefault="00EF6598" w:rsidP="00AF0F9D">
            <w:pPr>
              <w:spacing w:before="60" w:after="60"/>
              <w:rPr>
                <w:rFonts w:ascii="Arial" w:hAnsi="Arial" w:cs="Arial"/>
                <w:sz w:val="20"/>
                <w:szCs w:val="20"/>
              </w:rPr>
            </w:pPr>
          </w:p>
        </w:tc>
        <w:tc>
          <w:tcPr>
            <w:tcW w:w="1622" w:type="pct"/>
            <w:tcBorders>
              <w:top w:val="single" w:sz="4" w:space="0" w:color="auto"/>
              <w:left w:val="single" w:sz="4" w:space="0" w:color="auto"/>
              <w:bottom w:val="single" w:sz="4" w:space="0" w:color="auto"/>
              <w:right w:val="single" w:sz="4" w:space="0" w:color="auto"/>
            </w:tcBorders>
            <w:hideMark/>
          </w:tcPr>
          <w:p w14:paraId="2EC26CF6" w14:textId="77777777" w:rsidR="00EF6598" w:rsidRPr="00C86521" w:rsidRDefault="00EF6598" w:rsidP="00AF0F9D">
            <w:pPr>
              <w:spacing w:before="60" w:after="60"/>
              <w:rPr>
                <w:rFonts w:ascii="Arial" w:hAnsi="Arial" w:cs="Arial"/>
                <w:sz w:val="20"/>
                <w:szCs w:val="20"/>
              </w:rPr>
            </w:pPr>
          </w:p>
        </w:tc>
      </w:tr>
      <w:tr w:rsidR="00EF6598" w:rsidRPr="00C86521" w14:paraId="06660DFB" w14:textId="77777777" w:rsidTr="00AF0F9D">
        <w:trPr>
          <w:cantSplit/>
        </w:trPr>
        <w:tc>
          <w:tcPr>
            <w:tcW w:w="1757" w:type="pct"/>
            <w:tcBorders>
              <w:top w:val="single" w:sz="4" w:space="0" w:color="auto"/>
              <w:left w:val="single" w:sz="4" w:space="0" w:color="auto"/>
              <w:bottom w:val="single" w:sz="4" w:space="0" w:color="auto"/>
              <w:right w:val="single" w:sz="4" w:space="0" w:color="auto"/>
            </w:tcBorders>
            <w:hideMark/>
          </w:tcPr>
          <w:p w14:paraId="2DCB96CE" w14:textId="77777777" w:rsidR="00EF6598" w:rsidRDefault="00EF6598" w:rsidP="00AF0F9D">
            <w:pPr>
              <w:spacing w:before="60" w:after="60"/>
              <w:rPr>
                <w:rFonts w:ascii="Arial" w:hAnsi="Arial" w:cs="Arial"/>
                <w:sz w:val="20"/>
                <w:szCs w:val="20"/>
              </w:rPr>
            </w:pPr>
            <w:r>
              <w:rPr>
                <w:rFonts w:ascii="Arial" w:hAnsi="Arial" w:cs="Arial"/>
                <w:sz w:val="20"/>
                <w:szCs w:val="20"/>
              </w:rPr>
              <w:t>Numerator defined as above.</w:t>
            </w:r>
          </w:p>
          <w:p w14:paraId="76651A80" w14:textId="77777777" w:rsidR="00EF6598" w:rsidRPr="00C86521" w:rsidRDefault="00EF6598" w:rsidP="00AF0F9D">
            <w:pPr>
              <w:spacing w:before="60" w:after="60"/>
              <w:rPr>
                <w:rFonts w:ascii="Arial" w:hAnsi="Arial" w:cs="Arial"/>
                <w:b/>
                <w:sz w:val="20"/>
                <w:szCs w:val="20"/>
                <w:lang w:val="en-AU"/>
              </w:rPr>
            </w:pPr>
            <w:r w:rsidRPr="00D6798E">
              <w:rPr>
                <w:rFonts w:ascii="Arial" w:hAnsi="Arial" w:cs="Arial"/>
                <w:sz w:val="20"/>
                <w:szCs w:val="20"/>
              </w:rPr>
              <w:t>(Data Source: PRIMHD/KPI)</w:t>
            </w:r>
            <w:r w:rsidRPr="00C86521">
              <w:rPr>
                <w:rFonts w:ascii="Arial" w:hAnsi="Arial" w:cs="Arial"/>
                <w:sz w:val="20"/>
                <w:szCs w:val="20"/>
              </w:rPr>
              <w:t xml:space="preserve"> (Data Source: PRIMHD/KPI)</w:t>
            </w:r>
          </w:p>
        </w:tc>
        <w:tc>
          <w:tcPr>
            <w:tcW w:w="1621" w:type="pct"/>
            <w:tcBorders>
              <w:top w:val="single" w:sz="4" w:space="0" w:color="auto"/>
              <w:left w:val="single" w:sz="4" w:space="0" w:color="auto"/>
              <w:bottom w:val="single" w:sz="4" w:space="0" w:color="auto"/>
              <w:right w:val="single" w:sz="4" w:space="0" w:color="auto"/>
            </w:tcBorders>
            <w:hideMark/>
          </w:tcPr>
          <w:p w14:paraId="1FB68D26" w14:textId="77777777" w:rsidR="00EF6598" w:rsidRPr="00C86521" w:rsidRDefault="00EF6598" w:rsidP="00AF0F9D">
            <w:pPr>
              <w:spacing w:before="60" w:after="60"/>
              <w:rPr>
                <w:rFonts w:ascii="Arial" w:hAnsi="Arial" w:cs="Arial"/>
                <w:sz w:val="20"/>
                <w:szCs w:val="20"/>
              </w:rPr>
            </w:pPr>
            <w:r w:rsidRPr="00D6798E">
              <w:rPr>
                <w:rFonts w:ascii="Arial" w:hAnsi="Arial" w:cs="Arial"/>
                <w:color w:val="231F20"/>
                <w:sz w:val="20"/>
                <w:szCs w:val="20"/>
                <w:lang w:eastAsia="en-NZ"/>
              </w:rPr>
              <w:t>Count of acute inpatient discharges</w:t>
            </w:r>
            <w:r>
              <w:rPr>
                <w:color w:val="231F20"/>
                <w:sz w:val="20"/>
                <w:szCs w:val="20"/>
                <w:lang w:eastAsia="en-NZ"/>
              </w:rPr>
              <w:t xml:space="preserve"> </w:t>
            </w:r>
            <w:r w:rsidRPr="00D6798E">
              <w:rPr>
                <w:rFonts w:ascii="Arial" w:hAnsi="Arial" w:cs="Arial"/>
                <w:sz w:val="20"/>
                <w:szCs w:val="20"/>
              </w:rPr>
              <w:t>(Data Source: PRIMHD/KPI)</w:t>
            </w:r>
          </w:p>
        </w:tc>
        <w:tc>
          <w:tcPr>
            <w:tcW w:w="1622" w:type="pct"/>
            <w:tcBorders>
              <w:top w:val="single" w:sz="4" w:space="0" w:color="auto"/>
              <w:left w:val="single" w:sz="4" w:space="0" w:color="auto"/>
              <w:bottom w:val="single" w:sz="4" w:space="0" w:color="auto"/>
              <w:right w:val="single" w:sz="4" w:space="0" w:color="auto"/>
            </w:tcBorders>
          </w:tcPr>
          <w:p w14:paraId="3951ACF8" w14:textId="77777777" w:rsidR="00EF6598" w:rsidRPr="00C86521" w:rsidRDefault="00EF6598" w:rsidP="00AF0F9D">
            <w:pPr>
              <w:spacing w:before="60" w:after="60"/>
              <w:rPr>
                <w:rFonts w:ascii="Arial" w:hAnsi="Arial" w:cs="Arial"/>
                <w:sz w:val="20"/>
                <w:szCs w:val="20"/>
              </w:rPr>
            </w:pPr>
            <w:r w:rsidRPr="00C86521">
              <w:rPr>
                <w:rFonts w:ascii="Arial" w:hAnsi="Arial" w:cs="Arial"/>
                <w:sz w:val="20"/>
                <w:szCs w:val="20"/>
              </w:rPr>
              <w:t>Percentage of clients follow up within 7days</w:t>
            </w:r>
          </w:p>
          <w:p w14:paraId="0D65687C" w14:textId="77777777" w:rsidR="00EF6598" w:rsidRPr="00C86521" w:rsidRDefault="00EF6598" w:rsidP="00AF0F9D">
            <w:pPr>
              <w:spacing w:before="60" w:after="60"/>
              <w:rPr>
                <w:rFonts w:ascii="Arial" w:hAnsi="Arial" w:cs="Arial"/>
                <w:sz w:val="20"/>
                <w:szCs w:val="20"/>
              </w:rPr>
            </w:pPr>
          </w:p>
        </w:tc>
      </w:tr>
    </w:tbl>
    <w:p w14:paraId="1432FAC0" w14:textId="77777777" w:rsidR="00EF6598" w:rsidRPr="00C86521" w:rsidRDefault="00EF6598" w:rsidP="00EF6598">
      <w:pPr>
        <w:spacing w:before="60" w:after="60"/>
        <w:jc w:val="both"/>
        <w:rPr>
          <w:rFonts w:ascii="Arial" w:hAnsi="Arial" w:cs="Arial"/>
          <w:i/>
        </w:rPr>
      </w:pPr>
    </w:p>
    <w:p w14:paraId="02CA63CE" w14:textId="77777777" w:rsidR="00EF6598" w:rsidRPr="00C86521" w:rsidRDefault="00EF6598" w:rsidP="00EF6598">
      <w:pPr>
        <w:spacing w:before="60" w:after="60"/>
        <w:jc w:val="both"/>
        <w:rPr>
          <w:rFonts w:ascii="Arial" w:hAnsi="Arial" w:cs="Arial"/>
          <w:i/>
        </w:rPr>
      </w:pPr>
    </w:p>
    <w:p w14:paraId="29639753" w14:textId="77777777" w:rsidR="00EF6598" w:rsidRPr="00C86521" w:rsidRDefault="00EF6598" w:rsidP="00EF6598">
      <w:pPr>
        <w:spacing w:before="60" w:after="60"/>
        <w:jc w:val="both"/>
        <w:rPr>
          <w:rFonts w:ascii="Arial" w:hAnsi="Arial" w:cs="Arial"/>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2"/>
        <w:gridCol w:w="3306"/>
        <w:gridCol w:w="3308"/>
      </w:tblGrid>
      <w:tr w:rsidR="00EF6598" w:rsidRPr="00C86521" w14:paraId="617ADD3E" w14:textId="77777777" w:rsidTr="00AF0F9D">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6CB11B8D" w14:textId="77777777" w:rsidR="00EF6598" w:rsidRPr="00C86521" w:rsidRDefault="00EF6598" w:rsidP="00AF0F9D">
            <w:pPr>
              <w:spacing w:before="60" w:after="60"/>
              <w:jc w:val="both"/>
              <w:rPr>
                <w:rFonts w:ascii="Arial" w:hAnsi="Arial" w:cs="Arial"/>
                <w:sz w:val="20"/>
                <w:szCs w:val="20"/>
              </w:rPr>
            </w:pPr>
            <w:r w:rsidRPr="00C86521">
              <w:rPr>
                <w:rFonts w:ascii="Arial" w:hAnsi="Arial" w:cs="Arial"/>
                <w:b/>
                <w:sz w:val="20"/>
                <w:szCs w:val="20"/>
                <w:lang w:val="en-AU"/>
              </w:rPr>
              <w:lastRenderedPageBreak/>
              <w:t>Percentage of MH&amp;A Pacific discharged from MH&amp;A adult inpatient services that are followed up within 7 days.</w:t>
            </w:r>
          </w:p>
        </w:tc>
      </w:tr>
      <w:tr w:rsidR="00EF6598" w:rsidRPr="00C86521" w14:paraId="0B03646E" w14:textId="77777777" w:rsidTr="00AF0F9D">
        <w:trPr>
          <w:cantSplit/>
        </w:trPr>
        <w:tc>
          <w:tcPr>
            <w:tcW w:w="1757" w:type="pct"/>
            <w:tcBorders>
              <w:top w:val="single" w:sz="4" w:space="0" w:color="auto"/>
              <w:left w:val="single" w:sz="4" w:space="0" w:color="auto"/>
              <w:bottom w:val="single" w:sz="4" w:space="0" w:color="auto"/>
              <w:right w:val="single" w:sz="4" w:space="0" w:color="auto"/>
            </w:tcBorders>
            <w:hideMark/>
          </w:tcPr>
          <w:p w14:paraId="41867874" w14:textId="77777777" w:rsidR="00EF6598" w:rsidRPr="00C86521" w:rsidRDefault="00EF6598" w:rsidP="00AF0F9D">
            <w:pPr>
              <w:spacing w:before="60" w:after="60"/>
              <w:rPr>
                <w:rFonts w:ascii="Arial" w:hAnsi="Arial" w:cs="Arial"/>
                <w:sz w:val="20"/>
                <w:szCs w:val="20"/>
              </w:rPr>
            </w:pPr>
          </w:p>
        </w:tc>
        <w:tc>
          <w:tcPr>
            <w:tcW w:w="1621" w:type="pct"/>
            <w:tcBorders>
              <w:top w:val="single" w:sz="4" w:space="0" w:color="auto"/>
              <w:left w:val="single" w:sz="4" w:space="0" w:color="auto"/>
              <w:bottom w:val="single" w:sz="4" w:space="0" w:color="auto"/>
              <w:right w:val="single" w:sz="4" w:space="0" w:color="auto"/>
            </w:tcBorders>
            <w:hideMark/>
          </w:tcPr>
          <w:p w14:paraId="5EC7C751" w14:textId="77777777" w:rsidR="00EF6598" w:rsidRPr="00C86521" w:rsidRDefault="00EF6598" w:rsidP="00AF0F9D">
            <w:pPr>
              <w:spacing w:before="60" w:after="60"/>
              <w:rPr>
                <w:rFonts w:ascii="Arial" w:hAnsi="Arial" w:cs="Arial"/>
                <w:sz w:val="20"/>
                <w:szCs w:val="20"/>
              </w:rPr>
            </w:pPr>
          </w:p>
        </w:tc>
        <w:tc>
          <w:tcPr>
            <w:tcW w:w="1622" w:type="pct"/>
            <w:tcBorders>
              <w:top w:val="single" w:sz="4" w:space="0" w:color="auto"/>
              <w:left w:val="single" w:sz="4" w:space="0" w:color="auto"/>
              <w:bottom w:val="single" w:sz="4" w:space="0" w:color="auto"/>
              <w:right w:val="single" w:sz="4" w:space="0" w:color="auto"/>
            </w:tcBorders>
            <w:hideMark/>
          </w:tcPr>
          <w:p w14:paraId="31364BB6" w14:textId="77777777" w:rsidR="00EF6598" w:rsidRPr="00C86521" w:rsidRDefault="00EF6598" w:rsidP="00AF0F9D">
            <w:pPr>
              <w:spacing w:before="60" w:after="60"/>
              <w:rPr>
                <w:rFonts w:ascii="Arial" w:hAnsi="Arial" w:cs="Arial"/>
                <w:sz w:val="20"/>
                <w:szCs w:val="20"/>
              </w:rPr>
            </w:pPr>
          </w:p>
        </w:tc>
      </w:tr>
      <w:tr w:rsidR="00EF6598" w:rsidRPr="00A466B6" w14:paraId="26822973" w14:textId="77777777" w:rsidTr="00AF0F9D">
        <w:trPr>
          <w:cantSplit/>
        </w:trPr>
        <w:tc>
          <w:tcPr>
            <w:tcW w:w="1757" w:type="pct"/>
            <w:tcBorders>
              <w:top w:val="single" w:sz="4" w:space="0" w:color="auto"/>
              <w:left w:val="single" w:sz="4" w:space="0" w:color="auto"/>
              <w:bottom w:val="single" w:sz="4" w:space="0" w:color="auto"/>
              <w:right w:val="single" w:sz="4" w:space="0" w:color="auto"/>
            </w:tcBorders>
            <w:hideMark/>
          </w:tcPr>
          <w:p w14:paraId="1C30853D" w14:textId="77777777" w:rsidR="00EF6598" w:rsidRDefault="00EF6598" w:rsidP="00AF0F9D">
            <w:pPr>
              <w:spacing w:before="60" w:after="60"/>
              <w:rPr>
                <w:rFonts w:ascii="Arial" w:hAnsi="Arial" w:cs="Arial"/>
                <w:sz w:val="20"/>
                <w:szCs w:val="20"/>
              </w:rPr>
            </w:pPr>
            <w:r>
              <w:rPr>
                <w:rFonts w:ascii="Arial" w:hAnsi="Arial" w:cs="Arial"/>
                <w:sz w:val="20"/>
                <w:szCs w:val="20"/>
              </w:rPr>
              <w:t>Numerator defined as above.</w:t>
            </w:r>
          </w:p>
          <w:p w14:paraId="0C742E42" w14:textId="77777777" w:rsidR="00EF6598" w:rsidRPr="00C86521" w:rsidRDefault="00EF6598" w:rsidP="00AF0F9D">
            <w:pPr>
              <w:spacing w:before="60" w:after="60"/>
              <w:rPr>
                <w:rFonts w:ascii="Arial" w:hAnsi="Arial" w:cs="Arial"/>
                <w:b/>
                <w:sz w:val="20"/>
                <w:szCs w:val="20"/>
                <w:lang w:val="en-AU"/>
              </w:rPr>
            </w:pPr>
            <w:r w:rsidRPr="00D6798E">
              <w:rPr>
                <w:rFonts w:ascii="Arial" w:hAnsi="Arial" w:cs="Arial"/>
                <w:sz w:val="20"/>
                <w:szCs w:val="20"/>
              </w:rPr>
              <w:t>(Data Source: PRIMHD/KPI)</w:t>
            </w:r>
            <w:r w:rsidRPr="00C86521">
              <w:rPr>
                <w:rFonts w:ascii="Arial" w:hAnsi="Arial" w:cs="Arial"/>
                <w:sz w:val="20"/>
                <w:szCs w:val="20"/>
              </w:rPr>
              <w:t xml:space="preserve"> (Data Source: PRIMHD/KPI)</w:t>
            </w:r>
          </w:p>
        </w:tc>
        <w:tc>
          <w:tcPr>
            <w:tcW w:w="1621" w:type="pct"/>
            <w:tcBorders>
              <w:top w:val="single" w:sz="4" w:space="0" w:color="auto"/>
              <w:left w:val="single" w:sz="4" w:space="0" w:color="auto"/>
              <w:bottom w:val="single" w:sz="4" w:space="0" w:color="auto"/>
              <w:right w:val="single" w:sz="4" w:space="0" w:color="auto"/>
            </w:tcBorders>
            <w:hideMark/>
          </w:tcPr>
          <w:p w14:paraId="601F5D30" w14:textId="77777777" w:rsidR="00EF6598" w:rsidRPr="00C86521" w:rsidRDefault="00EF6598" w:rsidP="00AF0F9D">
            <w:pPr>
              <w:spacing w:before="60" w:after="60"/>
              <w:rPr>
                <w:rFonts w:ascii="Arial" w:hAnsi="Arial" w:cs="Arial"/>
                <w:sz w:val="20"/>
                <w:szCs w:val="20"/>
              </w:rPr>
            </w:pPr>
            <w:r w:rsidRPr="00D6798E">
              <w:rPr>
                <w:rFonts w:ascii="Arial" w:hAnsi="Arial" w:cs="Arial"/>
                <w:color w:val="231F20"/>
                <w:sz w:val="20"/>
                <w:szCs w:val="20"/>
                <w:lang w:eastAsia="en-NZ"/>
              </w:rPr>
              <w:t>Count of acute inpatient discharges</w:t>
            </w:r>
            <w:r>
              <w:rPr>
                <w:color w:val="231F20"/>
                <w:sz w:val="20"/>
                <w:szCs w:val="20"/>
                <w:lang w:eastAsia="en-NZ"/>
              </w:rPr>
              <w:t xml:space="preserve"> </w:t>
            </w:r>
            <w:r w:rsidRPr="00D6798E">
              <w:rPr>
                <w:rFonts w:ascii="Arial" w:hAnsi="Arial" w:cs="Arial"/>
                <w:sz w:val="20"/>
                <w:szCs w:val="20"/>
              </w:rPr>
              <w:t>(Data Source: PRIMHD/KPI)</w:t>
            </w:r>
          </w:p>
        </w:tc>
        <w:tc>
          <w:tcPr>
            <w:tcW w:w="1622" w:type="pct"/>
            <w:tcBorders>
              <w:top w:val="single" w:sz="4" w:space="0" w:color="auto"/>
              <w:left w:val="single" w:sz="4" w:space="0" w:color="auto"/>
              <w:bottom w:val="single" w:sz="4" w:space="0" w:color="auto"/>
              <w:right w:val="single" w:sz="4" w:space="0" w:color="auto"/>
            </w:tcBorders>
          </w:tcPr>
          <w:p w14:paraId="2E46D1A8" w14:textId="77777777" w:rsidR="00EF6598" w:rsidRPr="00A466B6" w:rsidRDefault="00EF6598" w:rsidP="00AF0F9D">
            <w:pPr>
              <w:spacing w:before="60" w:after="60"/>
              <w:rPr>
                <w:rFonts w:ascii="Arial" w:hAnsi="Arial" w:cs="Arial"/>
                <w:sz w:val="20"/>
                <w:szCs w:val="20"/>
              </w:rPr>
            </w:pPr>
            <w:r w:rsidRPr="00C86521">
              <w:rPr>
                <w:rFonts w:ascii="Arial" w:hAnsi="Arial" w:cs="Arial"/>
                <w:sz w:val="20"/>
                <w:szCs w:val="20"/>
              </w:rPr>
              <w:t>Percentage of clients follow up within 7days</w:t>
            </w:r>
          </w:p>
          <w:p w14:paraId="6DE5DDFD" w14:textId="77777777" w:rsidR="00EF6598" w:rsidRPr="00A466B6" w:rsidRDefault="00EF6598" w:rsidP="00AF0F9D">
            <w:pPr>
              <w:spacing w:before="60" w:after="60"/>
              <w:rPr>
                <w:rFonts w:ascii="Arial" w:hAnsi="Arial" w:cs="Arial"/>
                <w:sz w:val="20"/>
                <w:szCs w:val="20"/>
              </w:rPr>
            </w:pPr>
          </w:p>
        </w:tc>
      </w:tr>
    </w:tbl>
    <w:p w14:paraId="6A7CE20A" w14:textId="77777777" w:rsidR="00EF6598" w:rsidRDefault="00EF6598" w:rsidP="00EF6598">
      <w:pPr>
        <w:spacing w:before="60" w:after="60"/>
        <w:jc w:val="both"/>
        <w:rPr>
          <w:rFonts w:ascii="Arial" w:hAnsi="Arial" w:cs="Arial"/>
          <w:b/>
        </w:rPr>
      </w:pPr>
    </w:p>
    <w:p w14:paraId="7EA64CCA" w14:textId="77777777" w:rsidR="00EF6598" w:rsidRDefault="00EF6598" w:rsidP="00EF6598">
      <w:pPr>
        <w:spacing w:before="60" w:after="60"/>
        <w:jc w:val="both"/>
        <w:rPr>
          <w:rFonts w:ascii="Arial" w:hAnsi="Arial" w:cs="Arial"/>
          <w:b/>
        </w:rPr>
      </w:pPr>
    </w:p>
    <w:p w14:paraId="4CDCCE2E" w14:textId="77777777" w:rsidR="00EF6598" w:rsidRDefault="00EF6598" w:rsidP="00EF6598">
      <w:pPr>
        <w:spacing w:before="60" w:after="60"/>
        <w:jc w:val="both"/>
        <w:rPr>
          <w:rFonts w:ascii="Arial" w:hAnsi="Arial" w:cs="Arial"/>
          <w:b/>
        </w:rPr>
      </w:pPr>
      <w:r>
        <w:rPr>
          <w:rFonts w:ascii="Arial" w:hAnsi="Arial" w:cs="Arial"/>
          <w:b/>
        </w:rPr>
        <w:t>Narrative quarterly reporting</w:t>
      </w:r>
    </w:p>
    <w:p w14:paraId="4DDE8AA9" w14:textId="77777777" w:rsidR="00EF6598" w:rsidRDefault="00EF6598" w:rsidP="00EF6598">
      <w:pPr>
        <w:spacing w:before="60" w:after="60"/>
        <w:jc w:val="both"/>
        <w:rPr>
          <w:rFonts w:ascii="Arial" w:hAnsi="Arial" w:cs="Arial"/>
          <w:sz w:val="22"/>
          <w:szCs w:val="22"/>
        </w:rPr>
      </w:pPr>
    </w:p>
    <w:p w14:paraId="6D7A47F7" w14:textId="77777777" w:rsidR="00EF6598" w:rsidRDefault="00EF6598" w:rsidP="00EF6598">
      <w:pPr>
        <w:spacing w:before="60" w:after="60"/>
        <w:jc w:val="both"/>
        <w:rPr>
          <w:rFonts w:ascii="Arial" w:hAnsi="Arial" w:cs="Arial"/>
          <w:sz w:val="22"/>
          <w:szCs w:val="22"/>
        </w:rPr>
      </w:pPr>
      <w:r>
        <w:rPr>
          <w:rFonts w:ascii="Arial" w:hAnsi="Arial" w:cs="Arial"/>
          <w:sz w:val="22"/>
          <w:szCs w:val="22"/>
        </w:rPr>
        <w:t xml:space="preserve">Provide a report identifying any data quality issues </w:t>
      </w:r>
      <w:proofErr w:type="gramStart"/>
      <w:r>
        <w:rPr>
          <w:rFonts w:ascii="Arial" w:hAnsi="Arial" w:cs="Arial"/>
          <w:sz w:val="22"/>
          <w:szCs w:val="22"/>
        </w:rPr>
        <w:t>an</w:t>
      </w:r>
      <w:proofErr w:type="gramEnd"/>
      <w:r>
        <w:rPr>
          <w:rFonts w:ascii="Arial" w:hAnsi="Arial" w:cs="Arial"/>
          <w:sz w:val="22"/>
          <w:szCs w:val="22"/>
        </w:rPr>
        <w:t xml:space="preserve"> what is being done to address issues identified. </w:t>
      </w:r>
    </w:p>
    <w:p w14:paraId="0727AF04" w14:textId="77777777" w:rsidR="00EF6598" w:rsidRDefault="00EF6598" w:rsidP="00EF6598">
      <w:pPr>
        <w:spacing w:before="60" w:after="60"/>
        <w:jc w:val="both"/>
        <w:rPr>
          <w:rFonts w:ascii="Arial" w:hAnsi="Arial" w:cs="Arial"/>
          <w:sz w:val="22"/>
          <w:szCs w:val="22"/>
        </w:rPr>
      </w:pPr>
    </w:p>
    <w:p w14:paraId="1871EFAB" w14:textId="77777777" w:rsidR="00EF6598" w:rsidRDefault="00EF6598" w:rsidP="00EF6598">
      <w:pPr>
        <w:spacing w:before="60" w:after="60"/>
        <w:jc w:val="both"/>
        <w:rPr>
          <w:rFonts w:ascii="Arial" w:hAnsi="Arial" w:cs="Arial"/>
          <w:sz w:val="22"/>
          <w:szCs w:val="22"/>
        </w:rPr>
      </w:pPr>
      <w:r>
        <w:rPr>
          <w:rFonts w:ascii="Arial" w:hAnsi="Arial" w:cs="Arial"/>
          <w:sz w:val="22"/>
          <w:szCs w:val="22"/>
        </w:rPr>
        <w:t xml:space="preserve">Provide a brief overview explaining what the data provided for the period is telling us about post discharge follow-up. </w:t>
      </w:r>
    </w:p>
    <w:p w14:paraId="660423F9" w14:textId="77777777" w:rsidR="00EF6598" w:rsidRDefault="00EF6598" w:rsidP="00EF6598">
      <w:pPr>
        <w:spacing w:before="60" w:after="60"/>
        <w:jc w:val="both"/>
        <w:rPr>
          <w:rFonts w:ascii="Arial" w:hAnsi="Arial" w:cs="Arial"/>
          <w:b/>
          <w:sz w:val="22"/>
          <w:szCs w:val="22"/>
        </w:rPr>
      </w:pPr>
    </w:p>
    <w:p w14:paraId="47E4F1C8" w14:textId="77777777" w:rsidR="00EF6598" w:rsidRDefault="00EF6598" w:rsidP="00EF6598">
      <w:pPr>
        <w:spacing w:before="60" w:after="60"/>
        <w:jc w:val="both"/>
        <w:rPr>
          <w:rFonts w:ascii="Arial" w:hAnsi="Arial" w:cs="Arial"/>
          <w:b/>
          <w:sz w:val="22"/>
          <w:szCs w:val="22"/>
        </w:rPr>
      </w:pPr>
      <w:r>
        <w:rPr>
          <w:rFonts w:ascii="Arial" w:hAnsi="Arial" w:cs="Arial"/>
          <w:b/>
          <w:sz w:val="22"/>
          <w:szCs w:val="22"/>
        </w:rPr>
        <w:t xml:space="preserve">Reporting Period </w:t>
      </w:r>
    </w:p>
    <w:p w14:paraId="351C55D5" w14:textId="77777777" w:rsidR="00EF6598" w:rsidRDefault="00EF6598" w:rsidP="00EF6598">
      <w:pPr>
        <w:spacing w:before="60" w:after="60"/>
        <w:jc w:val="both"/>
        <w:rPr>
          <w:rFonts w:ascii="Arial" w:hAnsi="Arial" w:cs="Arial"/>
          <w:sz w:val="22"/>
          <w:szCs w:val="22"/>
        </w:rPr>
      </w:pPr>
      <w:r>
        <w:rPr>
          <w:rFonts w:ascii="Arial" w:hAnsi="Arial" w:cs="Arial"/>
          <w:sz w:val="22"/>
          <w:szCs w:val="22"/>
        </w:rPr>
        <w:t>(Data is produced one quarter in arrears)</w:t>
      </w:r>
    </w:p>
    <w:p w14:paraId="1B158D7F" w14:textId="77777777" w:rsidR="00EF6598" w:rsidRDefault="00EF6598" w:rsidP="00EF6598">
      <w:pPr>
        <w:spacing w:before="60" w:after="60"/>
        <w:jc w:val="both"/>
        <w:rPr>
          <w:rFonts w:ascii="Arial" w:hAnsi="Arial" w:cs="Arial"/>
          <w:sz w:val="22"/>
          <w:szCs w:val="22"/>
        </w:rPr>
      </w:pPr>
    </w:p>
    <w:p w14:paraId="24E1EEB2" w14:textId="77777777" w:rsidR="00EF6598" w:rsidRDefault="00EF6598" w:rsidP="00EF6598">
      <w:pPr>
        <w:spacing w:before="60" w:after="60"/>
        <w:jc w:val="both"/>
        <w:rPr>
          <w:rFonts w:ascii="Arial" w:hAnsi="Arial" w:cs="Arial"/>
        </w:rPr>
      </w:pPr>
      <w:r>
        <w:rPr>
          <w:rFonts w:ascii="Arial" w:hAnsi="Arial" w:cs="Arial"/>
          <w:b/>
          <w:i/>
        </w:rPr>
        <w:t>Reporting required</w:t>
      </w:r>
      <w:r>
        <w:rPr>
          <w:rFonts w:ascii="Arial" w:hAnsi="Arial" w:cs="Arial"/>
        </w:rPr>
        <w:t xml:space="preserve"> </w:t>
      </w:r>
    </w:p>
    <w:p w14:paraId="0A8EE6ED" w14:textId="77777777" w:rsidR="00EF6598" w:rsidRDefault="00EF6598" w:rsidP="00EF6598">
      <w:pPr>
        <w:spacing w:before="60" w:after="60"/>
        <w:jc w:val="both"/>
        <w:rPr>
          <w:rFonts w:ascii="Arial" w:hAnsi="Arial" w:cs="Arial"/>
        </w:rPr>
      </w:pPr>
    </w:p>
    <w:p w14:paraId="273DD7C8" w14:textId="77777777" w:rsidR="00EF6598" w:rsidRDefault="00EF6598" w:rsidP="00EF6598">
      <w:pPr>
        <w:spacing w:before="60" w:after="60"/>
        <w:jc w:val="both"/>
        <w:rPr>
          <w:rFonts w:ascii="Arial" w:hAnsi="Arial" w:cs="Arial"/>
        </w:rPr>
      </w:pPr>
      <w:r>
        <w:rPr>
          <w:rFonts w:ascii="Arial" w:hAnsi="Arial" w:cs="Arial"/>
        </w:rPr>
        <w:t>Quantitative Measures: Quarterly, as per the table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962"/>
      </w:tblGrid>
      <w:tr w:rsidR="00EF6598" w14:paraId="3A5610BF" w14:textId="77777777" w:rsidTr="00AF0F9D">
        <w:trPr>
          <w:jc w:val="center"/>
        </w:trPr>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A8BEAA7" w14:textId="77777777" w:rsidR="00EF6598" w:rsidRDefault="00EF6598" w:rsidP="00AF0F9D">
            <w:pPr>
              <w:spacing w:before="60" w:after="60"/>
              <w:jc w:val="both"/>
              <w:rPr>
                <w:rFonts w:ascii="Arial" w:hAnsi="Arial" w:cs="Arial"/>
                <w:b/>
              </w:rPr>
            </w:pPr>
            <w:r>
              <w:rPr>
                <w:rFonts w:ascii="Arial" w:hAnsi="Arial" w:cs="Arial"/>
                <w:b/>
              </w:rPr>
              <w:t xml:space="preserve">Quarter </w:t>
            </w:r>
          </w:p>
        </w:tc>
        <w:tc>
          <w:tcPr>
            <w:tcW w:w="49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4B5B7B9" w14:textId="77777777" w:rsidR="00EF6598" w:rsidRDefault="00EF6598" w:rsidP="00AF0F9D">
            <w:pPr>
              <w:spacing w:before="60" w:after="60"/>
              <w:jc w:val="both"/>
              <w:rPr>
                <w:rFonts w:ascii="Arial" w:hAnsi="Arial" w:cs="Arial"/>
                <w:b/>
              </w:rPr>
            </w:pPr>
            <w:r>
              <w:rPr>
                <w:rFonts w:ascii="Arial" w:hAnsi="Arial" w:cs="Arial"/>
                <w:b/>
              </w:rPr>
              <w:t>For the time period</w:t>
            </w:r>
          </w:p>
        </w:tc>
      </w:tr>
      <w:tr w:rsidR="00EF6598" w14:paraId="4F742922" w14:textId="77777777" w:rsidTr="00AF0F9D">
        <w:trPr>
          <w:jc w:val="center"/>
        </w:trPr>
        <w:tc>
          <w:tcPr>
            <w:tcW w:w="3828" w:type="dxa"/>
            <w:tcBorders>
              <w:top w:val="single" w:sz="4" w:space="0" w:color="auto"/>
              <w:left w:val="single" w:sz="4" w:space="0" w:color="auto"/>
              <w:bottom w:val="single" w:sz="4" w:space="0" w:color="auto"/>
              <w:right w:val="single" w:sz="4" w:space="0" w:color="auto"/>
            </w:tcBorders>
            <w:hideMark/>
          </w:tcPr>
          <w:p w14:paraId="12CD2F61" w14:textId="77777777" w:rsidR="00EF6598" w:rsidRDefault="00EF6598" w:rsidP="00AF0F9D">
            <w:pPr>
              <w:rPr>
                <w:rFonts w:ascii="Arial" w:hAnsi="Arial" w:cs="Arial"/>
              </w:rPr>
            </w:pPr>
            <w:r>
              <w:rPr>
                <w:rFonts w:ascii="Arial" w:hAnsi="Arial" w:cs="Arial"/>
              </w:rPr>
              <w:t>Quarter 1 (reported 20 October)</w:t>
            </w:r>
          </w:p>
        </w:tc>
        <w:tc>
          <w:tcPr>
            <w:tcW w:w="4962" w:type="dxa"/>
            <w:tcBorders>
              <w:top w:val="single" w:sz="4" w:space="0" w:color="auto"/>
              <w:left w:val="single" w:sz="4" w:space="0" w:color="auto"/>
              <w:bottom w:val="single" w:sz="4" w:space="0" w:color="auto"/>
              <w:right w:val="single" w:sz="4" w:space="0" w:color="auto"/>
            </w:tcBorders>
            <w:hideMark/>
          </w:tcPr>
          <w:p w14:paraId="649F545C" w14:textId="77777777" w:rsidR="00EF6598" w:rsidRPr="00B6290F" w:rsidRDefault="00EF6598" w:rsidP="00AF0F9D">
            <w:pPr>
              <w:spacing w:before="60" w:after="60"/>
              <w:jc w:val="both"/>
              <w:rPr>
                <w:rFonts w:ascii="Arial" w:hAnsi="Arial" w:cs="Arial"/>
              </w:rPr>
            </w:pPr>
            <w:r w:rsidRPr="00B6290F">
              <w:rPr>
                <w:rFonts w:ascii="Arial" w:hAnsi="Arial" w:cs="Arial"/>
              </w:rPr>
              <w:t>Data to cover the 12-month period to June</w:t>
            </w:r>
          </w:p>
        </w:tc>
      </w:tr>
      <w:tr w:rsidR="00EF6598" w14:paraId="74CB2CFA" w14:textId="77777777" w:rsidTr="00AF0F9D">
        <w:trPr>
          <w:jc w:val="center"/>
        </w:trPr>
        <w:tc>
          <w:tcPr>
            <w:tcW w:w="3828" w:type="dxa"/>
            <w:tcBorders>
              <w:top w:val="single" w:sz="4" w:space="0" w:color="auto"/>
              <w:left w:val="single" w:sz="4" w:space="0" w:color="auto"/>
              <w:bottom w:val="single" w:sz="4" w:space="0" w:color="auto"/>
              <w:right w:val="single" w:sz="4" w:space="0" w:color="auto"/>
            </w:tcBorders>
            <w:hideMark/>
          </w:tcPr>
          <w:p w14:paraId="365AE3C8" w14:textId="77777777" w:rsidR="00EF6598" w:rsidRPr="00BA7E5A" w:rsidRDefault="00EF6598" w:rsidP="00AF0F9D">
            <w:pPr>
              <w:rPr>
                <w:rFonts w:ascii="Arial" w:hAnsi="Arial" w:cs="Arial"/>
              </w:rPr>
            </w:pPr>
            <w:r w:rsidRPr="00BA7E5A">
              <w:rPr>
                <w:rFonts w:ascii="Arial" w:hAnsi="Arial" w:cs="Arial"/>
              </w:rPr>
              <w:t>Quarter 2 (reported 20 January)</w:t>
            </w:r>
          </w:p>
        </w:tc>
        <w:tc>
          <w:tcPr>
            <w:tcW w:w="4962" w:type="dxa"/>
            <w:tcBorders>
              <w:top w:val="single" w:sz="4" w:space="0" w:color="auto"/>
              <w:left w:val="single" w:sz="4" w:space="0" w:color="auto"/>
              <w:bottom w:val="single" w:sz="4" w:space="0" w:color="auto"/>
              <w:right w:val="single" w:sz="4" w:space="0" w:color="auto"/>
            </w:tcBorders>
            <w:hideMark/>
          </w:tcPr>
          <w:p w14:paraId="57E12EBF" w14:textId="77777777" w:rsidR="00EF6598" w:rsidRPr="00BA7E5A" w:rsidRDefault="00EF6598" w:rsidP="00AF0F9D">
            <w:pPr>
              <w:spacing w:before="60" w:after="60"/>
              <w:jc w:val="both"/>
              <w:rPr>
                <w:rFonts w:ascii="Arial" w:hAnsi="Arial" w:cs="Arial"/>
              </w:rPr>
            </w:pPr>
            <w:r w:rsidRPr="00BA7E5A">
              <w:rPr>
                <w:rFonts w:ascii="Arial" w:hAnsi="Arial" w:cs="Arial"/>
              </w:rPr>
              <w:t>Data to cover the 12-month period to Sept</w:t>
            </w:r>
          </w:p>
        </w:tc>
      </w:tr>
      <w:tr w:rsidR="00EF6598" w14:paraId="1CE711A7" w14:textId="77777777" w:rsidTr="00AF0F9D">
        <w:trPr>
          <w:trHeight w:val="622"/>
          <w:jc w:val="center"/>
        </w:trPr>
        <w:tc>
          <w:tcPr>
            <w:tcW w:w="3828" w:type="dxa"/>
            <w:tcBorders>
              <w:top w:val="single" w:sz="4" w:space="0" w:color="auto"/>
              <w:left w:val="single" w:sz="4" w:space="0" w:color="auto"/>
              <w:bottom w:val="single" w:sz="4" w:space="0" w:color="auto"/>
              <w:right w:val="single" w:sz="4" w:space="0" w:color="auto"/>
            </w:tcBorders>
            <w:hideMark/>
          </w:tcPr>
          <w:p w14:paraId="318959A0" w14:textId="77777777" w:rsidR="00EF6598" w:rsidRDefault="00EF6598" w:rsidP="00AF0F9D">
            <w:pPr>
              <w:rPr>
                <w:rFonts w:ascii="Arial" w:hAnsi="Arial" w:cs="Arial"/>
              </w:rPr>
            </w:pPr>
            <w:r>
              <w:rPr>
                <w:rFonts w:ascii="Arial" w:hAnsi="Arial" w:cs="Arial"/>
              </w:rPr>
              <w:t>Quarter 3 (reported 20 April)</w:t>
            </w:r>
          </w:p>
        </w:tc>
        <w:tc>
          <w:tcPr>
            <w:tcW w:w="4962" w:type="dxa"/>
            <w:tcBorders>
              <w:top w:val="single" w:sz="4" w:space="0" w:color="auto"/>
              <w:left w:val="single" w:sz="4" w:space="0" w:color="auto"/>
              <w:bottom w:val="single" w:sz="4" w:space="0" w:color="auto"/>
              <w:right w:val="single" w:sz="4" w:space="0" w:color="auto"/>
            </w:tcBorders>
            <w:hideMark/>
          </w:tcPr>
          <w:p w14:paraId="7D400AB1" w14:textId="77777777" w:rsidR="00EF6598" w:rsidRPr="00B6290F" w:rsidRDefault="00EF6598" w:rsidP="00AF0F9D">
            <w:pPr>
              <w:spacing w:before="60" w:after="60"/>
              <w:jc w:val="both"/>
              <w:rPr>
                <w:rFonts w:ascii="Arial" w:hAnsi="Arial" w:cs="Arial"/>
              </w:rPr>
            </w:pPr>
            <w:r w:rsidRPr="00B6290F">
              <w:rPr>
                <w:rFonts w:ascii="Arial" w:hAnsi="Arial" w:cs="Arial"/>
              </w:rPr>
              <w:t>Data to cover the 12-month period to Dec</w:t>
            </w:r>
          </w:p>
        </w:tc>
      </w:tr>
      <w:tr w:rsidR="00EF6598" w14:paraId="5B4A140E" w14:textId="77777777" w:rsidTr="00AF0F9D">
        <w:trPr>
          <w:jc w:val="center"/>
        </w:trPr>
        <w:tc>
          <w:tcPr>
            <w:tcW w:w="3828" w:type="dxa"/>
            <w:tcBorders>
              <w:top w:val="single" w:sz="4" w:space="0" w:color="auto"/>
              <w:left w:val="single" w:sz="4" w:space="0" w:color="auto"/>
              <w:bottom w:val="single" w:sz="4" w:space="0" w:color="auto"/>
              <w:right w:val="single" w:sz="4" w:space="0" w:color="auto"/>
            </w:tcBorders>
            <w:hideMark/>
          </w:tcPr>
          <w:p w14:paraId="679CF621" w14:textId="77777777" w:rsidR="00EF6598" w:rsidRDefault="00EF6598" w:rsidP="00AF0F9D">
            <w:pPr>
              <w:rPr>
                <w:rFonts w:ascii="Arial" w:hAnsi="Arial" w:cs="Arial"/>
              </w:rPr>
            </w:pPr>
            <w:r>
              <w:rPr>
                <w:rFonts w:ascii="Arial" w:hAnsi="Arial" w:cs="Arial"/>
              </w:rPr>
              <w:t>Quarter 4 (reported 20 July)</w:t>
            </w:r>
          </w:p>
        </w:tc>
        <w:tc>
          <w:tcPr>
            <w:tcW w:w="4962" w:type="dxa"/>
            <w:tcBorders>
              <w:top w:val="single" w:sz="4" w:space="0" w:color="auto"/>
              <w:left w:val="single" w:sz="4" w:space="0" w:color="auto"/>
              <w:bottom w:val="single" w:sz="4" w:space="0" w:color="auto"/>
              <w:right w:val="single" w:sz="4" w:space="0" w:color="auto"/>
            </w:tcBorders>
            <w:hideMark/>
          </w:tcPr>
          <w:p w14:paraId="0B9B2E40" w14:textId="77777777" w:rsidR="00EF6598" w:rsidRPr="00B6290F" w:rsidRDefault="00EF6598" w:rsidP="00AF0F9D">
            <w:pPr>
              <w:spacing w:before="60" w:after="60"/>
              <w:jc w:val="both"/>
              <w:rPr>
                <w:rFonts w:ascii="Arial" w:hAnsi="Arial" w:cs="Arial"/>
                <w:highlight w:val="yellow"/>
              </w:rPr>
            </w:pPr>
            <w:r w:rsidRPr="00B6290F">
              <w:rPr>
                <w:rFonts w:ascii="Arial" w:hAnsi="Arial" w:cs="Arial"/>
              </w:rPr>
              <w:t>Data to cover the 12-month period to March</w:t>
            </w:r>
          </w:p>
        </w:tc>
      </w:tr>
    </w:tbl>
    <w:p w14:paraId="43F04FE0" w14:textId="77777777" w:rsidR="00EF6598" w:rsidRDefault="00EF6598" w:rsidP="00EF6598">
      <w:pPr>
        <w:spacing w:before="60" w:after="60"/>
        <w:jc w:val="both"/>
        <w:rPr>
          <w:rFonts w:ascii="Arial" w:hAnsi="Arial" w:cs="Arial"/>
          <w:b/>
        </w:rPr>
      </w:pPr>
    </w:p>
    <w:p w14:paraId="753528B3" w14:textId="77777777" w:rsidR="00EF6598" w:rsidRPr="004A273C" w:rsidRDefault="00EF6598" w:rsidP="00EF6598"/>
    <w:p w14:paraId="33D1B21B" w14:textId="70A8A1E1" w:rsidR="00723D33" w:rsidRDefault="00723D33">
      <w:r>
        <w:br w:type="page"/>
      </w:r>
    </w:p>
    <w:p w14:paraId="34894C97" w14:textId="177A4C65" w:rsidR="000C6B6D" w:rsidRDefault="000C6B6D" w:rsidP="000C6B6D">
      <w:pPr>
        <w:spacing w:before="60" w:after="120"/>
        <w:jc w:val="both"/>
        <w:rPr>
          <w:rFonts w:ascii="Arial" w:hAnsi="Arial" w:cs="Arial"/>
          <w:b/>
          <w:i/>
        </w:rPr>
      </w:pPr>
      <w:r>
        <w:rPr>
          <w:rFonts w:ascii="Arial" w:hAnsi="Arial" w:cs="Arial"/>
          <w:b/>
          <w:i/>
        </w:rPr>
        <w:lastRenderedPageBreak/>
        <w:t>Outcome priority</w:t>
      </w:r>
      <w:r w:rsidRPr="003060FE">
        <w:rPr>
          <w:rFonts w:ascii="Arial" w:hAnsi="Arial" w:cs="Arial"/>
          <w:b/>
          <w:i/>
        </w:rPr>
        <w:t xml:space="preserve">:  </w:t>
      </w:r>
      <w:r w:rsidR="003901F9">
        <w:rPr>
          <w:rFonts w:ascii="Arial" w:hAnsi="Arial" w:cs="Arial"/>
          <w:b/>
          <w:i/>
        </w:rPr>
        <w:t>We have equity for M</w:t>
      </w:r>
      <w:r w:rsidR="003901F9" w:rsidRPr="00824E69">
        <w:rPr>
          <w:rFonts w:ascii="Arial" w:hAnsi="Arial" w:cs="Arial"/>
          <w:b/>
          <w:i/>
        </w:rPr>
        <w:t>ā</w:t>
      </w:r>
      <w:r w:rsidR="003901F9">
        <w:rPr>
          <w:rFonts w:ascii="Arial" w:hAnsi="Arial" w:cs="Arial"/>
          <w:b/>
          <w:i/>
        </w:rPr>
        <w:t>ori and other groups</w:t>
      </w:r>
      <w:r w:rsidR="003901F9" w:rsidRPr="0021406B">
        <w:rPr>
          <w:rFonts w:ascii="Arial" w:hAnsi="Arial" w:cs="Arial"/>
          <w:b/>
          <w:i/>
        </w:rPr>
        <w:t xml:space="preserve"> </w:t>
      </w:r>
    </w:p>
    <w:p w14:paraId="124C1F3D" w14:textId="77777777" w:rsidR="000C6B6D" w:rsidRDefault="000C6B6D" w:rsidP="000C6B6D">
      <w:pPr>
        <w:pStyle w:val="Heading1"/>
        <w:shd w:val="clear" w:color="auto" w:fill="FFFFFF"/>
        <w:spacing w:before="60"/>
        <w:jc w:val="both"/>
        <w:rPr>
          <w:i/>
          <w:sz w:val="28"/>
          <w:szCs w:val="28"/>
        </w:rPr>
      </w:pPr>
      <w:r>
        <w:rPr>
          <w:i/>
          <w:sz w:val="28"/>
          <w:szCs w:val="28"/>
        </w:rPr>
        <w:t xml:space="preserve">Improving wellbeing through prevention PV01: </w:t>
      </w:r>
      <w:r w:rsidRPr="00CE37A8">
        <w:rPr>
          <w:i/>
          <w:sz w:val="28"/>
          <w:szCs w:val="28"/>
        </w:rPr>
        <w:t>Improving breast screening</w:t>
      </w:r>
      <w:r>
        <w:rPr>
          <w:i/>
          <w:sz w:val="28"/>
          <w:szCs w:val="28"/>
        </w:rPr>
        <w:t xml:space="preserve"> coverage and equity for priority women. </w:t>
      </w:r>
    </w:p>
    <w:p w14:paraId="647CF02A" w14:textId="77777777" w:rsidR="000C6B6D" w:rsidRDefault="000C6B6D" w:rsidP="000C6B6D">
      <w:pPr>
        <w:rPr>
          <w:rFonts w:ascii="Arial" w:hAnsi="Arial" w:cs="Arial"/>
          <w:i/>
        </w:rPr>
      </w:pPr>
    </w:p>
    <w:tbl>
      <w:tblPr>
        <w:tblStyle w:val="TableGrid"/>
        <w:tblW w:w="0" w:type="auto"/>
        <w:tblLook w:val="04A0" w:firstRow="1" w:lastRow="0" w:firstColumn="1" w:lastColumn="0" w:noHBand="0" w:noVBand="1"/>
      </w:tblPr>
      <w:tblGrid>
        <w:gridCol w:w="2122"/>
        <w:gridCol w:w="3260"/>
        <w:gridCol w:w="3634"/>
      </w:tblGrid>
      <w:tr w:rsidR="000C6B6D" w:rsidRPr="00C66E68" w14:paraId="0AFD7B22" w14:textId="77777777" w:rsidTr="00E424A4">
        <w:tc>
          <w:tcPr>
            <w:tcW w:w="9016" w:type="dxa"/>
            <w:gridSpan w:val="3"/>
          </w:tcPr>
          <w:p w14:paraId="28167432" w14:textId="77777777" w:rsidR="000C6B6D" w:rsidRPr="00C66E68" w:rsidRDefault="000C6B6D" w:rsidP="00E424A4">
            <w:pPr>
              <w:jc w:val="center"/>
              <w:rPr>
                <w:rFonts w:ascii="Arial" w:hAnsi="Arial" w:cs="Arial"/>
                <w:b/>
                <w:sz w:val="28"/>
              </w:rPr>
            </w:pPr>
            <w:r w:rsidRPr="00C66E68">
              <w:rPr>
                <w:rFonts w:ascii="Arial" w:hAnsi="Arial" w:cs="Arial"/>
                <w:b/>
                <w:sz w:val="28"/>
              </w:rPr>
              <w:t>Summary Information</w:t>
            </w:r>
          </w:p>
          <w:p w14:paraId="00745C16" w14:textId="77777777" w:rsidR="000C6B6D" w:rsidRPr="00C66E68" w:rsidRDefault="000C6B6D" w:rsidP="00E424A4">
            <w:pPr>
              <w:jc w:val="center"/>
              <w:rPr>
                <w:rFonts w:ascii="Arial" w:hAnsi="Arial" w:cs="Arial"/>
                <w:b/>
                <w:sz w:val="20"/>
              </w:rPr>
            </w:pPr>
          </w:p>
        </w:tc>
      </w:tr>
      <w:tr w:rsidR="000C6B6D" w:rsidRPr="00C66E68" w14:paraId="7004CB6E" w14:textId="77777777" w:rsidTr="00E424A4">
        <w:tc>
          <w:tcPr>
            <w:tcW w:w="2122" w:type="dxa"/>
          </w:tcPr>
          <w:p w14:paraId="3969713D"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Target/performance expectation</w:t>
            </w:r>
          </w:p>
        </w:tc>
        <w:tc>
          <w:tcPr>
            <w:tcW w:w="6894" w:type="dxa"/>
            <w:gridSpan w:val="2"/>
          </w:tcPr>
          <w:p w14:paraId="1D2A04BF" w14:textId="77777777" w:rsidR="000C6B6D" w:rsidRPr="00C66E68" w:rsidRDefault="000C6B6D" w:rsidP="00E424A4">
            <w:pPr>
              <w:rPr>
                <w:rFonts w:ascii="Arial" w:hAnsi="Arial" w:cs="Arial"/>
                <w:sz w:val="20"/>
              </w:rPr>
            </w:pPr>
            <w:r>
              <w:rPr>
                <w:rFonts w:ascii="Arial" w:hAnsi="Arial" w:cs="Arial"/>
                <w:b/>
                <w:sz w:val="20"/>
                <w:szCs w:val="20"/>
              </w:rPr>
              <w:t>No equity gap for Maori and Pacific populations and 70% coverage</w:t>
            </w:r>
          </w:p>
        </w:tc>
      </w:tr>
      <w:tr w:rsidR="000C6B6D" w:rsidRPr="00C66E68" w14:paraId="04F76688" w14:textId="77777777" w:rsidTr="00E424A4">
        <w:trPr>
          <w:trHeight w:val="293"/>
        </w:trPr>
        <w:tc>
          <w:tcPr>
            <w:tcW w:w="2122" w:type="dxa"/>
            <w:vMerge w:val="restart"/>
          </w:tcPr>
          <w:p w14:paraId="02FD3612"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Measure type and reporting frequency</w:t>
            </w:r>
          </w:p>
        </w:tc>
        <w:tc>
          <w:tcPr>
            <w:tcW w:w="3260" w:type="dxa"/>
          </w:tcPr>
          <w:p w14:paraId="471014CC" w14:textId="77777777" w:rsidR="000C6B6D" w:rsidRPr="00C66E68" w:rsidRDefault="000C6B6D" w:rsidP="00E424A4">
            <w:pPr>
              <w:spacing w:after="160"/>
              <w:jc w:val="right"/>
              <w:rPr>
                <w:rFonts w:ascii="Arial" w:hAnsi="Arial" w:cs="Arial"/>
                <w:sz w:val="20"/>
                <w:szCs w:val="22"/>
              </w:rPr>
            </w:pPr>
            <w:r w:rsidRPr="00C66E68">
              <w:rPr>
                <w:rFonts w:ascii="Arial" w:hAnsi="Arial" w:cs="Arial"/>
                <w:sz w:val="20"/>
                <w:szCs w:val="22"/>
              </w:rPr>
              <w:t>Type:</w:t>
            </w:r>
          </w:p>
        </w:tc>
        <w:tc>
          <w:tcPr>
            <w:tcW w:w="3634" w:type="dxa"/>
          </w:tcPr>
          <w:p w14:paraId="4EFAC228" w14:textId="77777777" w:rsidR="000C6B6D" w:rsidRPr="00C66E68" w:rsidRDefault="000C6B6D" w:rsidP="00E424A4">
            <w:pPr>
              <w:spacing w:after="160"/>
              <w:rPr>
                <w:rFonts w:ascii="Arial" w:eastAsiaTheme="minorHAnsi" w:hAnsi="Arial" w:cs="Arial"/>
                <w:sz w:val="20"/>
                <w:szCs w:val="22"/>
              </w:rPr>
            </w:pPr>
            <w:r w:rsidRPr="00C66E68">
              <w:rPr>
                <w:rFonts w:ascii="Arial" w:eastAsiaTheme="minorHAnsi" w:hAnsi="Arial" w:cs="Arial"/>
                <w:sz w:val="20"/>
                <w:szCs w:val="22"/>
              </w:rPr>
              <w:t>Data &amp; exceptions report</w:t>
            </w:r>
          </w:p>
        </w:tc>
      </w:tr>
      <w:tr w:rsidR="000C6B6D" w:rsidRPr="00C66E68" w14:paraId="0AC51585" w14:textId="77777777" w:rsidTr="00E424A4">
        <w:trPr>
          <w:trHeight w:val="292"/>
        </w:trPr>
        <w:tc>
          <w:tcPr>
            <w:tcW w:w="2122" w:type="dxa"/>
            <w:vMerge/>
          </w:tcPr>
          <w:p w14:paraId="22251566" w14:textId="77777777" w:rsidR="000C6B6D" w:rsidRPr="00C66E68" w:rsidRDefault="000C6B6D" w:rsidP="00E424A4">
            <w:pPr>
              <w:shd w:val="clear" w:color="auto" w:fill="FFFFFF"/>
              <w:spacing w:before="60" w:after="60"/>
              <w:rPr>
                <w:rFonts w:ascii="Arial" w:hAnsi="Arial" w:cs="Arial"/>
                <w:b/>
                <w:i/>
                <w:sz w:val="20"/>
              </w:rPr>
            </w:pPr>
          </w:p>
        </w:tc>
        <w:tc>
          <w:tcPr>
            <w:tcW w:w="3260" w:type="dxa"/>
          </w:tcPr>
          <w:p w14:paraId="03B2A10E" w14:textId="77777777" w:rsidR="000C6B6D" w:rsidRPr="00C66E68" w:rsidRDefault="000C6B6D" w:rsidP="00E424A4">
            <w:pPr>
              <w:spacing w:after="160"/>
              <w:jc w:val="right"/>
              <w:rPr>
                <w:rFonts w:ascii="Arial" w:hAnsi="Arial" w:cs="Arial"/>
                <w:sz w:val="20"/>
                <w:szCs w:val="22"/>
              </w:rPr>
            </w:pPr>
            <w:r w:rsidRPr="00C66E68">
              <w:rPr>
                <w:rFonts w:ascii="Arial" w:hAnsi="Arial" w:cs="Arial"/>
                <w:sz w:val="20"/>
                <w:szCs w:val="22"/>
              </w:rPr>
              <w:t>Reporting frequency:</w:t>
            </w:r>
          </w:p>
        </w:tc>
        <w:tc>
          <w:tcPr>
            <w:tcW w:w="3634" w:type="dxa"/>
          </w:tcPr>
          <w:p w14:paraId="76D955FF" w14:textId="77777777" w:rsidR="000C6B6D" w:rsidRPr="00C66E68" w:rsidRDefault="000C6B6D" w:rsidP="00E424A4">
            <w:pPr>
              <w:spacing w:after="160"/>
              <w:rPr>
                <w:rFonts w:ascii="Arial" w:eastAsiaTheme="minorHAnsi" w:hAnsi="Arial" w:cs="Arial"/>
                <w:sz w:val="20"/>
                <w:szCs w:val="22"/>
              </w:rPr>
            </w:pPr>
            <w:r w:rsidRPr="00C66E68">
              <w:rPr>
                <w:rFonts w:ascii="Arial" w:eastAsiaTheme="minorHAnsi" w:hAnsi="Arial" w:cs="Arial"/>
                <w:sz w:val="20"/>
                <w:szCs w:val="22"/>
              </w:rPr>
              <w:t>Six-monthly (quarters 2 and 4)</w:t>
            </w:r>
          </w:p>
        </w:tc>
      </w:tr>
      <w:tr w:rsidR="000C6B6D" w:rsidRPr="00C66E68" w14:paraId="78BA31DC" w14:textId="77777777" w:rsidTr="00E424A4">
        <w:tc>
          <w:tcPr>
            <w:tcW w:w="2122" w:type="dxa"/>
          </w:tcPr>
          <w:p w14:paraId="45D748C9"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Data Source / information for reporting provided by:</w:t>
            </w:r>
          </w:p>
        </w:tc>
        <w:tc>
          <w:tcPr>
            <w:tcW w:w="6894" w:type="dxa"/>
            <w:gridSpan w:val="2"/>
          </w:tcPr>
          <w:p w14:paraId="6F102D12" w14:textId="77777777" w:rsidR="000C6B6D" w:rsidRPr="00C66E68" w:rsidRDefault="000C6B6D" w:rsidP="00E424A4">
            <w:pPr>
              <w:shd w:val="clear" w:color="auto" w:fill="FFFFFF"/>
              <w:spacing w:before="60" w:after="60"/>
              <w:rPr>
                <w:rFonts w:ascii="Arial" w:hAnsi="Arial" w:cs="Arial"/>
                <w:i/>
                <w:sz w:val="20"/>
                <w:szCs w:val="20"/>
              </w:rPr>
            </w:pPr>
            <w:r w:rsidRPr="00C66E68">
              <w:rPr>
                <w:rFonts w:ascii="Arial" w:hAnsi="Arial" w:cs="Arial"/>
                <w:i/>
                <w:sz w:val="20"/>
                <w:szCs w:val="20"/>
              </w:rPr>
              <w:t xml:space="preserve">Data is sourced from </w:t>
            </w:r>
            <w:r>
              <w:rPr>
                <w:rFonts w:ascii="Arial" w:hAnsi="Arial" w:cs="Arial"/>
                <w:i/>
                <w:sz w:val="20"/>
                <w:szCs w:val="20"/>
              </w:rPr>
              <w:t>BSA</w:t>
            </w:r>
            <w:r w:rsidRPr="00C66E68">
              <w:rPr>
                <w:rFonts w:ascii="Arial" w:hAnsi="Arial" w:cs="Arial"/>
                <w:i/>
                <w:sz w:val="20"/>
                <w:szCs w:val="20"/>
              </w:rPr>
              <w:t xml:space="preserve"> DHB quarterly reports published on the NSU website.</w:t>
            </w:r>
          </w:p>
          <w:p w14:paraId="5A9DF483" w14:textId="77777777" w:rsidR="000C6B6D" w:rsidRPr="00C66E68" w:rsidRDefault="00BA09BC" w:rsidP="00E424A4">
            <w:pPr>
              <w:shd w:val="clear" w:color="auto" w:fill="FFFFFF"/>
              <w:spacing w:before="60" w:after="60"/>
              <w:rPr>
                <w:rFonts w:ascii="Arial" w:hAnsi="Arial" w:cs="Arial"/>
                <w:i/>
                <w:sz w:val="20"/>
                <w:szCs w:val="20"/>
              </w:rPr>
            </w:pPr>
            <w:hyperlink r:id="rId25" w:history="1">
              <w:r w:rsidR="000C6B6D" w:rsidRPr="0099337F">
                <w:rPr>
                  <w:rStyle w:val="Hyperlink"/>
                  <w:rFonts w:ascii="Arial" w:hAnsi="Arial" w:cs="Arial"/>
                  <w:i/>
                  <w:sz w:val="20"/>
                  <w:szCs w:val="20"/>
                </w:rPr>
                <w:t>https://www.nsu.govt.nz/health-professionals/breastscreen-aotearoa/breast-screening-coverage</w:t>
              </w:r>
            </w:hyperlink>
          </w:p>
        </w:tc>
      </w:tr>
      <w:tr w:rsidR="000C6B6D" w:rsidRPr="00C66E68" w14:paraId="663C2E46" w14:textId="77777777" w:rsidTr="00E424A4">
        <w:trPr>
          <w:trHeight w:val="147"/>
        </w:trPr>
        <w:tc>
          <w:tcPr>
            <w:tcW w:w="2122" w:type="dxa"/>
            <w:vMerge w:val="restart"/>
          </w:tcPr>
          <w:p w14:paraId="1A17B0D2"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Six monthly reporting  - standard timeline applies</w:t>
            </w:r>
          </w:p>
        </w:tc>
        <w:tc>
          <w:tcPr>
            <w:tcW w:w="3260" w:type="dxa"/>
          </w:tcPr>
          <w:p w14:paraId="19E73159" w14:textId="77777777" w:rsidR="000C6B6D" w:rsidRPr="00C66E68" w:rsidRDefault="000C6B6D" w:rsidP="00E424A4">
            <w:pPr>
              <w:rPr>
                <w:rFonts w:ascii="Arial" w:hAnsi="Arial" w:cs="Arial"/>
                <w:sz w:val="20"/>
              </w:rPr>
            </w:pPr>
            <w:r w:rsidRPr="00C66E68">
              <w:rPr>
                <w:rFonts w:ascii="Arial" w:hAnsi="Arial" w:cs="Arial"/>
                <w:sz w:val="20"/>
                <w:szCs w:val="22"/>
              </w:rPr>
              <w:t>DHB Reports Due</w:t>
            </w:r>
          </w:p>
        </w:tc>
        <w:tc>
          <w:tcPr>
            <w:tcW w:w="3634" w:type="dxa"/>
          </w:tcPr>
          <w:p w14:paraId="555CDAA1" w14:textId="77777777" w:rsidR="000C6B6D" w:rsidRPr="00C66E68" w:rsidRDefault="000C6B6D" w:rsidP="00E424A4">
            <w:pPr>
              <w:rPr>
                <w:rFonts w:ascii="Arial" w:hAnsi="Arial" w:cs="Arial"/>
                <w:sz w:val="20"/>
              </w:rPr>
            </w:pPr>
            <w:r w:rsidRPr="00C66E68">
              <w:rPr>
                <w:rFonts w:ascii="Arial" w:hAnsi="Arial" w:cs="Arial"/>
                <w:sz w:val="20"/>
                <w:szCs w:val="22"/>
              </w:rPr>
              <w:t>20th of the month following the end of Q2 and Q4</w:t>
            </w:r>
          </w:p>
        </w:tc>
      </w:tr>
      <w:tr w:rsidR="000C6B6D" w:rsidRPr="00C66E68" w14:paraId="0E202B06" w14:textId="77777777" w:rsidTr="00E424A4">
        <w:trPr>
          <w:trHeight w:val="146"/>
        </w:trPr>
        <w:tc>
          <w:tcPr>
            <w:tcW w:w="2122" w:type="dxa"/>
            <w:vMerge/>
          </w:tcPr>
          <w:p w14:paraId="2DC820D4" w14:textId="77777777" w:rsidR="000C6B6D" w:rsidRPr="00C66E68" w:rsidRDefault="000C6B6D" w:rsidP="00E424A4">
            <w:pPr>
              <w:shd w:val="clear" w:color="auto" w:fill="FFFFFF"/>
              <w:spacing w:before="60" w:after="60"/>
              <w:rPr>
                <w:rFonts w:ascii="Arial" w:hAnsi="Arial" w:cs="Arial"/>
                <w:b/>
                <w:i/>
                <w:sz w:val="20"/>
              </w:rPr>
            </w:pPr>
          </w:p>
        </w:tc>
        <w:tc>
          <w:tcPr>
            <w:tcW w:w="3260" w:type="dxa"/>
          </w:tcPr>
          <w:p w14:paraId="71A01FFB" w14:textId="77777777" w:rsidR="000C6B6D" w:rsidRPr="00C66E68" w:rsidRDefault="000C6B6D" w:rsidP="00E424A4">
            <w:pPr>
              <w:rPr>
                <w:rFonts w:ascii="Arial" w:hAnsi="Arial" w:cs="Arial"/>
                <w:sz w:val="20"/>
              </w:rPr>
            </w:pPr>
            <w:r w:rsidRPr="00C66E68">
              <w:rPr>
                <w:rFonts w:ascii="Arial" w:hAnsi="Arial" w:cs="Arial"/>
                <w:sz w:val="20"/>
                <w:szCs w:val="22"/>
              </w:rPr>
              <w:t xml:space="preserve">Ministry initial rating &amp; feedback </w:t>
            </w:r>
          </w:p>
        </w:tc>
        <w:tc>
          <w:tcPr>
            <w:tcW w:w="3634" w:type="dxa"/>
          </w:tcPr>
          <w:p w14:paraId="26F7DE84" w14:textId="77777777" w:rsidR="000C6B6D" w:rsidRPr="00C66E68" w:rsidRDefault="000C6B6D" w:rsidP="00E424A4">
            <w:pPr>
              <w:rPr>
                <w:rFonts w:ascii="Arial" w:hAnsi="Arial" w:cs="Arial"/>
                <w:sz w:val="20"/>
              </w:rPr>
            </w:pPr>
            <w:r w:rsidRPr="00C66E68">
              <w:rPr>
                <w:rFonts w:ascii="Arial" w:hAnsi="Arial" w:cs="Arial"/>
                <w:sz w:val="20"/>
                <w:szCs w:val="22"/>
              </w:rPr>
              <w:t>8-10 working days from receiving reports</w:t>
            </w:r>
          </w:p>
        </w:tc>
      </w:tr>
      <w:tr w:rsidR="000C6B6D" w:rsidRPr="00C66E68" w14:paraId="1B2EA1BD" w14:textId="77777777" w:rsidTr="00E424A4">
        <w:trPr>
          <w:trHeight w:val="146"/>
        </w:trPr>
        <w:tc>
          <w:tcPr>
            <w:tcW w:w="2122" w:type="dxa"/>
            <w:vMerge/>
          </w:tcPr>
          <w:p w14:paraId="031F3A15" w14:textId="77777777" w:rsidR="000C6B6D" w:rsidRPr="00C66E68" w:rsidRDefault="000C6B6D" w:rsidP="00E424A4">
            <w:pPr>
              <w:shd w:val="clear" w:color="auto" w:fill="FFFFFF"/>
              <w:spacing w:before="60" w:after="60"/>
              <w:rPr>
                <w:rFonts w:ascii="Arial" w:hAnsi="Arial" w:cs="Arial"/>
                <w:b/>
                <w:i/>
                <w:sz w:val="20"/>
              </w:rPr>
            </w:pPr>
          </w:p>
        </w:tc>
        <w:tc>
          <w:tcPr>
            <w:tcW w:w="3260" w:type="dxa"/>
          </w:tcPr>
          <w:p w14:paraId="6003F43F" w14:textId="77777777" w:rsidR="000C6B6D" w:rsidRPr="00C66E68" w:rsidRDefault="000C6B6D" w:rsidP="00E424A4">
            <w:pPr>
              <w:rPr>
                <w:rFonts w:ascii="Arial" w:hAnsi="Arial" w:cs="Arial"/>
                <w:sz w:val="20"/>
              </w:rPr>
            </w:pPr>
            <w:r w:rsidRPr="00C66E68">
              <w:rPr>
                <w:rFonts w:ascii="Arial" w:hAnsi="Arial" w:cs="Arial"/>
                <w:sz w:val="20"/>
                <w:szCs w:val="22"/>
              </w:rPr>
              <w:t>DHB response due</w:t>
            </w:r>
          </w:p>
        </w:tc>
        <w:tc>
          <w:tcPr>
            <w:tcW w:w="3634" w:type="dxa"/>
          </w:tcPr>
          <w:p w14:paraId="12BDECB5" w14:textId="77777777" w:rsidR="000C6B6D" w:rsidRPr="00C66E68" w:rsidRDefault="000C6B6D" w:rsidP="00E424A4">
            <w:pPr>
              <w:rPr>
                <w:rFonts w:ascii="Arial" w:hAnsi="Arial" w:cs="Arial"/>
                <w:sz w:val="20"/>
              </w:rPr>
            </w:pPr>
            <w:r w:rsidRPr="00C66E68">
              <w:rPr>
                <w:rFonts w:ascii="Arial" w:hAnsi="Arial" w:cs="Arial"/>
                <w:sz w:val="20"/>
                <w:szCs w:val="22"/>
              </w:rPr>
              <w:t>5 working days from receiving initial ratings</w:t>
            </w:r>
          </w:p>
        </w:tc>
      </w:tr>
      <w:tr w:rsidR="000C6B6D" w:rsidRPr="00C66E68" w14:paraId="7F07C714" w14:textId="77777777" w:rsidTr="00E424A4">
        <w:trPr>
          <w:trHeight w:val="146"/>
        </w:trPr>
        <w:tc>
          <w:tcPr>
            <w:tcW w:w="2122" w:type="dxa"/>
            <w:vMerge/>
          </w:tcPr>
          <w:p w14:paraId="66FF9C29" w14:textId="77777777" w:rsidR="000C6B6D" w:rsidRPr="00C66E68" w:rsidRDefault="000C6B6D" w:rsidP="00E424A4">
            <w:pPr>
              <w:shd w:val="clear" w:color="auto" w:fill="FFFFFF"/>
              <w:spacing w:before="60" w:after="60"/>
              <w:rPr>
                <w:rFonts w:ascii="Arial" w:hAnsi="Arial" w:cs="Arial"/>
                <w:b/>
                <w:i/>
                <w:sz w:val="20"/>
              </w:rPr>
            </w:pPr>
          </w:p>
        </w:tc>
        <w:tc>
          <w:tcPr>
            <w:tcW w:w="3260" w:type="dxa"/>
          </w:tcPr>
          <w:p w14:paraId="7716BC30" w14:textId="77777777" w:rsidR="000C6B6D" w:rsidRPr="00C66E68" w:rsidRDefault="000C6B6D" w:rsidP="00E424A4">
            <w:pPr>
              <w:rPr>
                <w:rFonts w:ascii="Arial" w:hAnsi="Arial" w:cs="Arial"/>
                <w:sz w:val="20"/>
              </w:rPr>
            </w:pPr>
            <w:r w:rsidRPr="00C66E68">
              <w:rPr>
                <w:rFonts w:ascii="Arial" w:hAnsi="Arial" w:cs="Arial"/>
                <w:sz w:val="20"/>
                <w:szCs w:val="22"/>
              </w:rPr>
              <w:t xml:space="preserve">Confirmed rating and feedback </w:t>
            </w:r>
          </w:p>
        </w:tc>
        <w:tc>
          <w:tcPr>
            <w:tcW w:w="3634" w:type="dxa"/>
          </w:tcPr>
          <w:p w14:paraId="3E3E81D6" w14:textId="77777777" w:rsidR="000C6B6D" w:rsidRPr="00C66E68" w:rsidRDefault="000C6B6D" w:rsidP="00E424A4">
            <w:pPr>
              <w:rPr>
                <w:rFonts w:ascii="Arial" w:hAnsi="Arial" w:cs="Arial"/>
                <w:sz w:val="20"/>
              </w:rPr>
            </w:pPr>
            <w:r w:rsidRPr="00C66E68">
              <w:rPr>
                <w:rFonts w:ascii="Arial" w:hAnsi="Arial" w:cs="Arial"/>
                <w:sz w:val="20"/>
                <w:szCs w:val="22"/>
              </w:rPr>
              <w:t>4-5 working days from receiving DHB feedback</w:t>
            </w:r>
          </w:p>
        </w:tc>
      </w:tr>
      <w:tr w:rsidR="000C6B6D" w:rsidRPr="00C66E68" w14:paraId="44B1C533" w14:textId="77777777" w:rsidTr="00E424A4">
        <w:tc>
          <w:tcPr>
            <w:tcW w:w="9016" w:type="dxa"/>
            <w:gridSpan w:val="3"/>
          </w:tcPr>
          <w:p w14:paraId="686D5063" w14:textId="77777777" w:rsidR="000C6B6D" w:rsidRPr="00C66E68" w:rsidRDefault="000C6B6D" w:rsidP="00E424A4">
            <w:pPr>
              <w:rPr>
                <w:rFonts w:ascii="Arial" w:hAnsi="Arial" w:cs="Arial"/>
                <w:sz w:val="20"/>
              </w:rPr>
            </w:pPr>
            <w:r w:rsidRPr="00C66E68">
              <w:rPr>
                <w:rFonts w:ascii="Arial" w:hAnsi="Arial" w:cs="Arial"/>
                <w:b/>
                <w:i/>
                <w:sz w:val="20"/>
              </w:rPr>
              <w:t>Linkages:</w:t>
            </w:r>
            <w:r w:rsidRPr="00C66E68">
              <w:rPr>
                <w:rFonts w:ascii="Arial" w:hAnsi="Arial" w:cs="Arial"/>
                <w:sz w:val="20"/>
              </w:rPr>
              <w:t xml:space="preserve"> This performance expectation may be a contributory System Level Measure under Amenable Mortality.</w:t>
            </w:r>
          </w:p>
        </w:tc>
      </w:tr>
    </w:tbl>
    <w:p w14:paraId="72E70A32" w14:textId="77777777" w:rsidR="000C6B6D" w:rsidRDefault="000C6B6D" w:rsidP="000C6B6D">
      <w:pPr>
        <w:pStyle w:val="SubOne"/>
        <w:shd w:val="clear" w:color="auto" w:fill="FFFFFF"/>
        <w:spacing w:before="60" w:after="60"/>
        <w:jc w:val="both"/>
        <w:rPr>
          <w:sz w:val="22"/>
        </w:rPr>
      </w:pPr>
    </w:p>
    <w:p w14:paraId="247F03BF" w14:textId="77777777" w:rsidR="000C6B6D" w:rsidRPr="0037338C" w:rsidRDefault="000C6B6D" w:rsidP="000C6B6D">
      <w:pPr>
        <w:pStyle w:val="SubOne"/>
        <w:shd w:val="clear" w:color="auto" w:fill="FFFFFF"/>
        <w:spacing w:before="60" w:after="60"/>
        <w:jc w:val="both"/>
        <w:rPr>
          <w:i/>
          <w:sz w:val="22"/>
        </w:rPr>
      </w:pPr>
      <w:r w:rsidRPr="0037338C">
        <w:rPr>
          <w:sz w:val="22"/>
        </w:rPr>
        <w:t>Link to outcomes and priority areas</w:t>
      </w:r>
    </w:p>
    <w:p w14:paraId="37BF794C" w14:textId="77777777" w:rsidR="000C6B6D" w:rsidRPr="0037338C" w:rsidRDefault="000C6B6D" w:rsidP="000C6B6D">
      <w:pPr>
        <w:spacing w:after="120" w:line="300" w:lineRule="auto"/>
        <w:rPr>
          <w:rFonts w:ascii="Arial" w:hAnsi="Arial" w:cs="Arial"/>
          <w:sz w:val="20"/>
          <w:szCs w:val="22"/>
        </w:rPr>
      </w:pPr>
      <w:r w:rsidRPr="0037338C">
        <w:rPr>
          <w:rFonts w:ascii="Arial" w:hAnsi="Arial" w:cs="Arial"/>
          <w:sz w:val="20"/>
          <w:szCs w:val="22"/>
        </w:rPr>
        <w:t xml:space="preserve">Delivery of this measure supports the vision for the New Zealand health and disability system of </w:t>
      </w:r>
      <w:proofErr w:type="spellStart"/>
      <w:r w:rsidRPr="0037338C">
        <w:rPr>
          <w:rFonts w:ascii="Arial" w:hAnsi="Arial" w:cs="Arial"/>
          <w:sz w:val="20"/>
          <w:szCs w:val="22"/>
        </w:rPr>
        <w:t>Pae</w:t>
      </w:r>
      <w:proofErr w:type="spellEnd"/>
      <w:r w:rsidRPr="0037338C">
        <w:rPr>
          <w:rFonts w:ascii="Arial" w:hAnsi="Arial" w:cs="Arial"/>
          <w:sz w:val="20"/>
          <w:szCs w:val="22"/>
        </w:rPr>
        <w:t xml:space="preserve"> Ora – healthy futures.</w:t>
      </w:r>
    </w:p>
    <w:p w14:paraId="479D3A51" w14:textId="77777777" w:rsidR="000C6B6D" w:rsidRPr="0037338C" w:rsidRDefault="000C6B6D" w:rsidP="000C6B6D">
      <w:pPr>
        <w:spacing w:before="60" w:after="60"/>
        <w:jc w:val="both"/>
        <w:rPr>
          <w:rFonts w:ascii="Arial" w:hAnsi="Arial" w:cs="Arial"/>
          <w:sz w:val="20"/>
          <w:szCs w:val="22"/>
          <w:lang w:val="en-US"/>
        </w:rPr>
      </w:pPr>
      <w:r w:rsidRPr="0037338C">
        <w:rPr>
          <w:rFonts w:ascii="Arial" w:hAnsi="Arial" w:cs="Arial"/>
          <w:sz w:val="22"/>
        </w:rPr>
        <w:t xml:space="preserve">By improving breast screening coverage DHBs will assist in delivery of Government's priority to support healthier, </w:t>
      </w:r>
      <w:proofErr w:type="gramStart"/>
      <w:r w:rsidRPr="0037338C">
        <w:rPr>
          <w:rFonts w:ascii="Arial" w:hAnsi="Arial" w:cs="Arial"/>
          <w:sz w:val="22"/>
        </w:rPr>
        <w:t>safer</w:t>
      </w:r>
      <w:proofErr w:type="gramEnd"/>
      <w:r w:rsidRPr="0037338C">
        <w:rPr>
          <w:rFonts w:ascii="Arial" w:hAnsi="Arial" w:cs="Arial"/>
          <w:sz w:val="22"/>
        </w:rPr>
        <w:t xml:space="preserve"> and more connected communities and our health system outcome that we live longer in good health.</w:t>
      </w:r>
    </w:p>
    <w:p w14:paraId="75D309DE" w14:textId="77777777" w:rsidR="000C6B6D" w:rsidRPr="0076250A" w:rsidRDefault="000C6B6D" w:rsidP="000C6B6D">
      <w:pPr>
        <w:shd w:val="clear" w:color="auto" w:fill="FFFFFF"/>
        <w:spacing w:before="60" w:after="60"/>
        <w:jc w:val="both"/>
        <w:rPr>
          <w:rFonts w:ascii="Arial" w:hAnsi="Arial" w:cs="Arial"/>
          <w:sz w:val="22"/>
          <w:szCs w:val="22"/>
        </w:rPr>
      </w:pPr>
    </w:p>
    <w:p w14:paraId="3C2E7EB0" w14:textId="77777777" w:rsidR="000C6B6D" w:rsidRPr="00A5660B" w:rsidRDefault="000C6B6D" w:rsidP="000C6B6D">
      <w:pPr>
        <w:shd w:val="clear" w:color="auto" w:fill="FFFFFF"/>
        <w:spacing w:before="60" w:after="60"/>
        <w:jc w:val="both"/>
        <w:rPr>
          <w:rFonts w:ascii="Arial" w:hAnsi="Arial" w:cs="Arial"/>
          <w:b/>
          <w:sz w:val="22"/>
          <w:szCs w:val="22"/>
        </w:rPr>
      </w:pPr>
      <w:r w:rsidRPr="00A5660B">
        <w:rPr>
          <w:rFonts w:ascii="Arial" w:hAnsi="Arial" w:cs="Arial"/>
          <w:b/>
          <w:sz w:val="22"/>
          <w:szCs w:val="22"/>
        </w:rPr>
        <w:t>Actions and activities that have a proven impact on this measure:</w:t>
      </w:r>
    </w:p>
    <w:p w14:paraId="5EBEF549" w14:textId="77777777" w:rsidR="000C6B6D" w:rsidRPr="0025461F" w:rsidRDefault="000C6B6D" w:rsidP="00C04FF1">
      <w:pPr>
        <w:numPr>
          <w:ilvl w:val="0"/>
          <w:numId w:val="60"/>
        </w:numPr>
        <w:shd w:val="clear" w:color="auto" w:fill="FFFFFF"/>
        <w:spacing w:before="60" w:after="60"/>
        <w:contextualSpacing/>
        <w:jc w:val="both"/>
        <w:rPr>
          <w:rFonts w:ascii="Arial" w:hAnsi="Arial" w:cs="Arial"/>
          <w:sz w:val="22"/>
          <w:szCs w:val="22"/>
        </w:rPr>
      </w:pPr>
      <w:r w:rsidRPr="0025461F">
        <w:rPr>
          <w:rFonts w:ascii="Arial" w:hAnsi="Arial" w:cs="Arial"/>
          <w:sz w:val="22"/>
          <w:szCs w:val="22"/>
        </w:rPr>
        <w:t xml:space="preserve">Data matching to identify women who are not participating in screening, and systematically inviting women.  </w:t>
      </w:r>
    </w:p>
    <w:p w14:paraId="5ED4D912" w14:textId="77777777" w:rsidR="000C6B6D" w:rsidRPr="0025461F" w:rsidRDefault="000C6B6D" w:rsidP="00C04FF1">
      <w:pPr>
        <w:numPr>
          <w:ilvl w:val="0"/>
          <w:numId w:val="60"/>
        </w:numPr>
        <w:shd w:val="clear" w:color="auto" w:fill="FFFFFF"/>
        <w:spacing w:before="60" w:after="60"/>
        <w:contextualSpacing/>
        <w:jc w:val="both"/>
        <w:rPr>
          <w:rFonts w:ascii="Arial" w:hAnsi="Arial" w:cs="Arial"/>
          <w:sz w:val="22"/>
          <w:szCs w:val="22"/>
        </w:rPr>
      </w:pPr>
      <w:r w:rsidRPr="0025461F">
        <w:rPr>
          <w:rFonts w:ascii="Arial" w:hAnsi="Arial" w:cs="Arial"/>
          <w:sz w:val="22"/>
          <w:szCs w:val="22"/>
        </w:rPr>
        <w:t xml:space="preserve">Referral to screening support services to provide targeted support to priority group women to access screening. </w:t>
      </w:r>
    </w:p>
    <w:p w14:paraId="2698626E" w14:textId="77777777" w:rsidR="000C6B6D" w:rsidRPr="0025461F" w:rsidRDefault="000C6B6D" w:rsidP="00C04FF1">
      <w:pPr>
        <w:numPr>
          <w:ilvl w:val="0"/>
          <w:numId w:val="60"/>
        </w:numPr>
        <w:shd w:val="clear" w:color="auto" w:fill="FFFFFF"/>
        <w:spacing w:before="60" w:after="60"/>
        <w:contextualSpacing/>
        <w:jc w:val="both"/>
        <w:rPr>
          <w:rFonts w:ascii="Arial" w:hAnsi="Arial" w:cs="Arial"/>
          <w:sz w:val="22"/>
          <w:szCs w:val="22"/>
        </w:rPr>
      </w:pPr>
      <w:r w:rsidRPr="0025461F">
        <w:rPr>
          <w:rFonts w:ascii="Arial" w:hAnsi="Arial" w:cs="Arial"/>
          <w:sz w:val="22"/>
          <w:szCs w:val="22"/>
        </w:rPr>
        <w:t xml:space="preserve">Working with </w:t>
      </w:r>
      <w:proofErr w:type="spellStart"/>
      <w:r w:rsidRPr="0025461F">
        <w:rPr>
          <w:rFonts w:ascii="Arial" w:hAnsi="Arial" w:cs="Arial"/>
          <w:sz w:val="22"/>
          <w:szCs w:val="22"/>
        </w:rPr>
        <w:t>BreastScreen</w:t>
      </w:r>
      <w:proofErr w:type="spellEnd"/>
      <w:r w:rsidRPr="0025461F">
        <w:rPr>
          <w:rFonts w:ascii="Arial" w:hAnsi="Arial" w:cs="Arial"/>
          <w:sz w:val="22"/>
          <w:szCs w:val="22"/>
        </w:rPr>
        <w:t xml:space="preserve"> Aotearoa service providers on regional approaches to reducing barriers to screening and to engaging with priority group women (Māori, Pacific, unscreened and </w:t>
      </w:r>
      <w:proofErr w:type="spellStart"/>
      <w:r w:rsidRPr="0025461F">
        <w:rPr>
          <w:rFonts w:ascii="Arial" w:hAnsi="Arial" w:cs="Arial"/>
          <w:sz w:val="22"/>
          <w:szCs w:val="22"/>
        </w:rPr>
        <w:t>underscreened</w:t>
      </w:r>
      <w:proofErr w:type="spellEnd"/>
      <w:r w:rsidRPr="0025461F">
        <w:rPr>
          <w:rFonts w:ascii="Arial" w:hAnsi="Arial" w:cs="Arial"/>
          <w:sz w:val="22"/>
          <w:szCs w:val="22"/>
        </w:rPr>
        <w:t xml:space="preserve">). </w:t>
      </w:r>
    </w:p>
    <w:p w14:paraId="3F04D61A" w14:textId="77777777" w:rsidR="000C6B6D" w:rsidRPr="0025461F" w:rsidRDefault="000C6B6D" w:rsidP="00C04FF1">
      <w:pPr>
        <w:numPr>
          <w:ilvl w:val="0"/>
          <w:numId w:val="60"/>
        </w:numPr>
        <w:shd w:val="clear" w:color="auto" w:fill="FFFFFF"/>
        <w:spacing w:before="60" w:after="60"/>
        <w:contextualSpacing/>
        <w:jc w:val="both"/>
        <w:rPr>
          <w:rFonts w:ascii="Arial" w:hAnsi="Arial" w:cs="Arial"/>
          <w:sz w:val="22"/>
          <w:szCs w:val="22"/>
        </w:rPr>
      </w:pPr>
      <w:r w:rsidRPr="0025461F">
        <w:rPr>
          <w:rFonts w:ascii="Arial" w:hAnsi="Arial" w:cs="Arial"/>
          <w:sz w:val="22"/>
          <w:szCs w:val="22"/>
        </w:rPr>
        <w:t xml:space="preserve">Promoting the importance of regular breast screening to eligible women in the region.  </w:t>
      </w:r>
    </w:p>
    <w:p w14:paraId="37966981" w14:textId="77777777" w:rsidR="000C6B6D" w:rsidRPr="0025461F" w:rsidRDefault="000C6B6D" w:rsidP="00C04FF1">
      <w:pPr>
        <w:numPr>
          <w:ilvl w:val="0"/>
          <w:numId w:val="60"/>
        </w:numPr>
        <w:shd w:val="clear" w:color="auto" w:fill="FFFFFF"/>
        <w:spacing w:before="60" w:after="60"/>
        <w:contextualSpacing/>
        <w:jc w:val="both"/>
        <w:rPr>
          <w:rFonts w:ascii="Arial" w:hAnsi="Arial" w:cs="Arial"/>
          <w:sz w:val="22"/>
          <w:szCs w:val="22"/>
        </w:rPr>
      </w:pPr>
      <w:r w:rsidRPr="0025461F">
        <w:rPr>
          <w:rFonts w:ascii="Arial" w:hAnsi="Arial" w:cs="Arial"/>
          <w:sz w:val="22"/>
          <w:szCs w:val="22"/>
        </w:rPr>
        <w:t>Collaboration between key stakeholders to identify factors that contribute to inequitable breast screening coverage and to jointly develop plans with targeted interventions and quality initiatives that directly respond to local populations to improve equitable breast screening coverage.</w:t>
      </w:r>
    </w:p>
    <w:p w14:paraId="205A4D56" w14:textId="77777777" w:rsidR="000C6B6D" w:rsidRDefault="000C6B6D" w:rsidP="000C6B6D">
      <w:pPr>
        <w:shd w:val="clear" w:color="auto" w:fill="FFFFFF"/>
        <w:spacing w:before="60" w:after="60"/>
        <w:jc w:val="both"/>
        <w:rPr>
          <w:rFonts w:ascii="Arial" w:hAnsi="Arial" w:cs="Arial"/>
          <w:b/>
          <w:sz w:val="22"/>
          <w:szCs w:val="22"/>
        </w:rPr>
      </w:pPr>
    </w:p>
    <w:p w14:paraId="43559D0E" w14:textId="77777777" w:rsidR="000C6B6D" w:rsidRDefault="000C6B6D" w:rsidP="000C6B6D">
      <w:pPr>
        <w:spacing w:after="160" w:line="259" w:lineRule="auto"/>
        <w:rPr>
          <w:rFonts w:ascii="Arial" w:hAnsi="Arial" w:cs="Arial"/>
          <w:b/>
          <w:sz w:val="22"/>
          <w:szCs w:val="22"/>
        </w:rPr>
      </w:pPr>
      <w:r>
        <w:rPr>
          <w:rFonts w:ascii="Arial" w:hAnsi="Arial" w:cs="Arial"/>
          <w:b/>
          <w:sz w:val="22"/>
          <w:szCs w:val="22"/>
        </w:rPr>
        <w:br w:type="page"/>
      </w:r>
    </w:p>
    <w:p w14:paraId="4677007F" w14:textId="77777777" w:rsidR="000C6B6D" w:rsidRDefault="000C6B6D" w:rsidP="000C6B6D">
      <w:pPr>
        <w:shd w:val="clear" w:color="auto" w:fill="FFFFFF"/>
        <w:spacing w:before="60" w:after="60"/>
        <w:jc w:val="both"/>
        <w:rPr>
          <w:rFonts w:ascii="Arial" w:hAnsi="Arial" w:cs="Arial"/>
          <w:b/>
          <w:sz w:val="22"/>
          <w:szCs w:val="22"/>
        </w:rPr>
      </w:pPr>
      <w:proofErr w:type="gramStart"/>
      <w:r w:rsidRPr="00836EB7">
        <w:rPr>
          <w:rFonts w:ascii="Arial" w:hAnsi="Arial" w:cs="Arial"/>
          <w:b/>
          <w:sz w:val="22"/>
          <w:szCs w:val="22"/>
        </w:rPr>
        <w:lastRenderedPageBreak/>
        <w:t>Deliverables</w:t>
      </w:r>
      <w:proofErr w:type="gramEnd"/>
      <w:r w:rsidRPr="00836EB7">
        <w:rPr>
          <w:rFonts w:ascii="Arial" w:hAnsi="Arial" w:cs="Arial"/>
          <w:b/>
          <w:sz w:val="22"/>
          <w:szCs w:val="22"/>
        </w:rPr>
        <w:t xml:space="preserve"> definitions</w:t>
      </w:r>
    </w:p>
    <w:p w14:paraId="5E5ADCE1" w14:textId="77777777" w:rsidR="000C6B6D" w:rsidRDefault="000C6B6D" w:rsidP="000C6B6D">
      <w:pPr>
        <w:shd w:val="clear" w:color="auto" w:fill="FFFFFF"/>
        <w:spacing w:before="60" w:after="60"/>
        <w:jc w:val="both"/>
        <w:rPr>
          <w:rFonts w:ascii="Arial" w:hAnsi="Arial" w:cs="Arial"/>
          <w:sz w:val="22"/>
          <w:szCs w:val="22"/>
        </w:rPr>
      </w:pPr>
      <w:r>
        <w:rPr>
          <w:rFonts w:ascii="Arial" w:hAnsi="Arial" w:cs="Arial"/>
          <w:sz w:val="22"/>
          <w:szCs w:val="22"/>
        </w:rPr>
        <w:t xml:space="preserve">Quarterly DHB breast screening equity and coverage data is published on the NSU website </w:t>
      </w:r>
      <w:hyperlink r:id="rId26" w:history="1">
        <w:r w:rsidRPr="00E74621">
          <w:rPr>
            <w:rStyle w:val="Hyperlink"/>
            <w:rFonts w:ascii="Arial" w:hAnsi="Arial" w:cs="Arial"/>
            <w:sz w:val="22"/>
            <w:szCs w:val="22"/>
          </w:rPr>
          <w:t>https://www.nsu.govt.nz/health-professionals/breastscreen-aotearoa/breast-screening-coverage</w:t>
        </w:r>
      </w:hyperlink>
      <w:r>
        <w:rPr>
          <w:rStyle w:val="Hyperlink"/>
          <w:rFonts w:ascii="Arial" w:hAnsi="Arial" w:cs="Arial"/>
          <w:sz w:val="22"/>
          <w:szCs w:val="22"/>
        </w:rPr>
        <w:t>.</w:t>
      </w:r>
      <w:r>
        <w:rPr>
          <w:rFonts w:ascii="Arial" w:hAnsi="Arial" w:cs="Arial"/>
          <w:sz w:val="22"/>
          <w:szCs w:val="22"/>
        </w:rPr>
        <w:t xml:space="preserve"> </w:t>
      </w:r>
    </w:p>
    <w:p w14:paraId="5ED88E49" w14:textId="77777777" w:rsidR="000C6B6D" w:rsidRPr="008C0874" w:rsidRDefault="000C6B6D" w:rsidP="000C6B6D">
      <w:pPr>
        <w:shd w:val="clear" w:color="auto" w:fill="FFFFFF"/>
        <w:spacing w:before="60" w:after="60"/>
        <w:jc w:val="both"/>
        <w:rPr>
          <w:rFonts w:ascii="Arial" w:hAnsi="Arial" w:cs="Arial"/>
          <w:sz w:val="22"/>
          <w:szCs w:val="22"/>
        </w:rPr>
      </w:pPr>
      <w:r>
        <w:rPr>
          <w:rFonts w:ascii="Arial" w:hAnsi="Arial" w:cs="Arial"/>
          <w:sz w:val="22"/>
          <w:szCs w:val="22"/>
        </w:rPr>
        <w:t xml:space="preserve"> </w:t>
      </w:r>
    </w:p>
    <w:p w14:paraId="34D76B99" w14:textId="77777777" w:rsidR="000C6B6D" w:rsidRDefault="000C6B6D" w:rsidP="000C6B6D">
      <w:pPr>
        <w:shd w:val="clear" w:color="auto" w:fill="FFFFFF"/>
        <w:spacing w:before="60" w:after="60"/>
        <w:jc w:val="both"/>
        <w:rPr>
          <w:rFonts w:ascii="Arial" w:hAnsi="Arial" w:cs="Arial"/>
          <w:b/>
          <w:i/>
          <w:sz w:val="22"/>
          <w:szCs w:val="22"/>
        </w:rPr>
      </w:pPr>
      <w:r>
        <w:rPr>
          <w:rFonts w:ascii="Arial" w:hAnsi="Arial" w:cs="Arial"/>
          <w:b/>
          <w:i/>
          <w:sz w:val="22"/>
          <w:szCs w:val="22"/>
        </w:rPr>
        <w:t xml:space="preserve">Breast screening coverage </w:t>
      </w:r>
    </w:p>
    <w:p w14:paraId="4747A7B2" w14:textId="77777777" w:rsidR="000C6B6D" w:rsidRPr="00F97D2B" w:rsidRDefault="000C6B6D" w:rsidP="000C6B6D">
      <w:pPr>
        <w:shd w:val="clear" w:color="auto" w:fill="FFFFFF"/>
        <w:spacing w:before="60" w:after="60"/>
        <w:jc w:val="both"/>
        <w:rPr>
          <w:rFonts w:ascii="Arial" w:hAnsi="Arial" w:cs="Arial"/>
          <w:sz w:val="22"/>
          <w:szCs w:val="22"/>
        </w:rPr>
      </w:pPr>
      <w:r w:rsidRPr="005348C0">
        <w:rPr>
          <w:rFonts w:ascii="Arial" w:hAnsi="Arial" w:cs="Arial"/>
          <w:b/>
          <w:i/>
          <w:sz w:val="22"/>
          <w:szCs w:val="22"/>
        </w:rPr>
        <w:t>Numerator</w:t>
      </w:r>
      <w:r w:rsidRPr="00AB7FDC">
        <w:rPr>
          <w:rFonts w:ascii="Arial" w:hAnsi="Arial" w:cs="Arial"/>
          <w:i/>
          <w:sz w:val="22"/>
          <w:szCs w:val="22"/>
        </w:rPr>
        <w:t>:</w:t>
      </w:r>
      <w:r w:rsidRPr="00F97D2B">
        <w:rPr>
          <w:rFonts w:ascii="Arial" w:hAnsi="Arial" w:cs="Arial"/>
          <w:sz w:val="22"/>
          <w:szCs w:val="22"/>
        </w:rPr>
        <w:t xml:space="preserve"> </w:t>
      </w:r>
    </w:p>
    <w:p w14:paraId="22F92CB6" w14:textId="6C250C5D" w:rsidR="000C6B6D" w:rsidRDefault="000C6B6D" w:rsidP="000C6B6D">
      <w:pPr>
        <w:spacing w:before="60" w:after="60"/>
        <w:jc w:val="both"/>
        <w:rPr>
          <w:rFonts w:ascii="Arial" w:hAnsi="Arial" w:cs="Arial"/>
          <w:sz w:val="22"/>
          <w:szCs w:val="22"/>
        </w:rPr>
      </w:pPr>
      <w:r>
        <w:rPr>
          <w:rFonts w:ascii="Arial" w:hAnsi="Arial" w:cs="Arial"/>
          <w:sz w:val="22"/>
          <w:szCs w:val="22"/>
        </w:rPr>
        <w:t xml:space="preserve">Women aged </w:t>
      </w:r>
      <w:r w:rsidR="007F53A4">
        <w:rPr>
          <w:rFonts w:ascii="Arial" w:hAnsi="Arial" w:cs="Arial"/>
          <w:sz w:val="22"/>
          <w:szCs w:val="22"/>
        </w:rPr>
        <w:t>45-69</w:t>
      </w:r>
      <w:r>
        <w:rPr>
          <w:rFonts w:ascii="Arial" w:hAnsi="Arial" w:cs="Arial"/>
          <w:sz w:val="22"/>
          <w:szCs w:val="22"/>
        </w:rPr>
        <w:t xml:space="preserve"> who have completed breast screening in the previous two years, by ethnicity. Numerator data is extracted from the national </w:t>
      </w:r>
      <w:proofErr w:type="spellStart"/>
      <w:r>
        <w:rPr>
          <w:rFonts w:ascii="Arial" w:hAnsi="Arial" w:cs="Arial"/>
          <w:sz w:val="22"/>
          <w:szCs w:val="22"/>
        </w:rPr>
        <w:t>BreastScreen</w:t>
      </w:r>
      <w:proofErr w:type="spellEnd"/>
      <w:r>
        <w:rPr>
          <w:rFonts w:ascii="Arial" w:hAnsi="Arial" w:cs="Arial"/>
          <w:sz w:val="22"/>
          <w:szCs w:val="22"/>
        </w:rPr>
        <w:t xml:space="preserve"> Aotearoa database.   </w:t>
      </w:r>
    </w:p>
    <w:p w14:paraId="4C34FBD0" w14:textId="77777777" w:rsidR="000C6B6D" w:rsidRDefault="000C6B6D" w:rsidP="000C6B6D">
      <w:pPr>
        <w:shd w:val="clear" w:color="auto" w:fill="FFFFFF"/>
        <w:spacing w:before="60" w:after="60"/>
        <w:jc w:val="both"/>
        <w:rPr>
          <w:rFonts w:ascii="Arial" w:hAnsi="Arial" w:cs="Arial"/>
          <w:i/>
          <w:sz w:val="22"/>
          <w:szCs w:val="22"/>
        </w:rPr>
      </w:pPr>
    </w:p>
    <w:p w14:paraId="27AD2F29" w14:textId="77777777" w:rsidR="000C6B6D" w:rsidRPr="00F97D2B" w:rsidRDefault="000C6B6D" w:rsidP="000C6B6D">
      <w:pPr>
        <w:shd w:val="clear" w:color="auto" w:fill="FFFFFF"/>
        <w:spacing w:before="60" w:after="60"/>
        <w:jc w:val="both"/>
        <w:rPr>
          <w:rFonts w:ascii="Arial" w:hAnsi="Arial" w:cs="Arial"/>
          <w:sz w:val="22"/>
          <w:szCs w:val="22"/>
        </w:rPr>
      </w:pPr>
      <w:r w:rsidRPr="005348C0">
        <w:rPr>
          <w:rFonts w:ascii="Arial" w:hAnsi="Arial" w:cs="Arial"/>
          <w:b/>
          <w:i/>
          <w:sz w:val="22"/>
          <w:szCs w:val="22"/>
        </w:rPr>
        <w:t>Denominator</w:t>
      </w:r>
      <w:r w:rsidRPr="00AB7FDC">
        <w:rPr>
          <w:rFonts w:ascii="Arial" w:hAnsi="Arial" w:cs="Arial"/>
          <w:i/>
          <w:sz w:val="22"/>
          <w:szCs w:val="22"/>
        </w:rPr>
        <w:t>:</w:t>
      </w:r>
      <w:r w:rsidRPr="00F97D2B">
        <w:rPr>
          <w:rFonts w:ascii="Arial" w:hAnsi="Arial" w:cs="Arial"/>
          <w:sz w:val="22"/>
          <w:szCs w:val="22"/>
        </w:rPr>
        <w:t xml:space="preserve"> </w:t>
      </w:r>
    </w:p>
    <w:p w14:paraId="39F6EE25" w14:textId="77777777" w:rsidR="000C6B6D" w:rsidRDefault="000C6B6D" w:rsidP="000C6B6D">
      <w:pPr>
        <w:shd w:val="clear" w:color="auto" w:fill="FFFFFF"/>
        <w:spacing w:before="60" w:after="60"/>
        <w:jc w:val="both"/>
        <w:rPr>
          <w:rFonts w:ascii="Arial" w:hAnsi="Arial" w:cs="Arial"/>
          <w:sz w:val="22"/>
          <w:szCs w:val="22"/>
        </w:rPr>
      </w:pPr>
      <w:r>
        <w:rPr>
          <w:rFonts w:ascii="Arial" w:hAnsi="Arial" w:cs="Arial"/>
          <w:sz w:val="22"/>
          <w:szCs w:val="22"/>
        </w:rPr>
        <w:t>Breast screening coverage d</w:t>
      </w:r>
      <w:r w:rsidRPr="003B1CAD">
        <w:rPr>
          <w:rFonts w:ascii="Arial" w:hAnsi="Arial" w:cs="Arial"/>
          <w:sz w:val="22"/>
          <w:szCs w:val="22"/>
        </w:rPr>
        <w:t>enominators are derived from the Statistics New Zealand population estimates</w:t>
      </w:r>
      <w:r>
        <w:rPr>
          <w:rFonts w:ascii="Arial" w:hAnsi="Arial" w:cs="Arial"/>
          <w:sz w:val="22"/>
          <w:szCs w:val="22"/>
        </w:rPr>
        <w:t>, by ethnicity.</w:t>
      </w:r>
    </w:p>
    <w:p w14:paraId="511AC866" w14:textId="77777777" w:rsidR="000C6B6D" w:rsidRDefault="000C6B6D" w:rsidP="000C6B6D">
      <w:pPr>
        <w:shd w:val="clear" w:color="auto" w:fill="FFFFFF"/>
        <w:spacing w:before="60" w:after="60"/>
        <w:rPr>
          <w:rFonts w:ascii="Arial" w:hAnsi="Arial" w:cs="Arial"/>
          <w:b/>
          <w:sz w:val="22"/>
          <w:szCs w:val="22"/>
        </w:rPr>
      </w:pPr>
    </w:p>
    <w:p w14:paraId="0D97CB82" w14:textId="77777777" w:rsidR="000C6B6D" w:rsidRPr="00BF5C7C" w:rsidRDefault="000C6B6D" w:rsidP="000C6B6D">
      <w:pPr>
        <w:shd w:val="clear" w:color="auto" w:fill="FFFFFF"/>
        <w:spacing w:before="60"/>
        <w:jc w:val="both"/>
        <w:rPr>
          <w:rFonts w:ascii="Arial" w:hAnsi="Arial" w:cs="Arial"/>
          <w:sz w:val="16"/>
          <w:szCs w:val="16"/>
        </w:rPr>
      </w:pPr>
    </w:p>
    <w:p w14:paraId="1366E96F" w14:textId="77777777" w:rsidR="000C6B6D" w:rsidRDefault="000C6B6D" w:rsidP="000C6B6D">
      <w:pPr>
        <w:pStyle w:val="SubOne"/>
        <w:shd w:val="clear" w:color="auto" w:fill="FFFFFF"/>
        <w:spacing w:before="60" w:after="60"/>
        <w:jc w:val="both"/>
      </w:pPr>
      <w:r w:rsidRPr="005D6BDC">
        <w:t xml:space="preserve">Reporting Period </w:t>
      </w:r>
    </w:p>
    <w:p w14:paraId="6E160B6E" w14:textId="77777777" w:rsidR="000C6B6D" w:rsidRPr="005D6BDC" w:rsidRDefault="000C6B6D" w:rsidP="000C6B6D">
      <w:pPr>
        <w:pStyle w:val="SubOne"/>
        <w:shd w:val="clear" w:color="auto" w:fill="FFFFFF"/>
        <w:spacing w:before="60" w:after="60"/>
        <w:jc w:val="both"/>
      </w:pPr>
    </w:p>
    <w:p w14:paraId="5EC17F6F" w14:textId="77777777" w:rsidR="000C6B6D" w:rsidRDefault="000C6B6D" w:rsidP="000C6B6D">
      <w:pPr>
        <w:shd w:val="clear" w:color="auto" w:fill="FFFFFF"/>
        <w:spacing w:before="60" w:after="60"/>
        <w:jc w:val="both"/>
        <w:rPr>
          <w:rFonts w:ascii="Arial" w:hAnsi="Arial" w:cs="Arial"/>
          <w:sz w:val="22"/>
          <w:szCs w:val="22"/>
        </w:rPr>
      </w:pPr>
      <w:r w:rsidRPr="0033069A">
        <w:rPr>
          <w:rFonts w:ascii="Arial" w:hAnsi="Arial" w:cs="Arial"/>
          <w:b/>
          <w:i/>
          <w:sz w:val="22"/>
          <w:szCs w:val="22"/>
        </w:rPr>
        <w:t>Reporting required</w:t>
      </w:r>
      <w:r w:rsidRPr="0033069A">
        <w:rPr>
          <w:rFonts w:ascii="Arial" w:hAnsi="Arial" w:cs="Arial"/>
          <w:i/>
          <w:sz w:val="22"/>
          <w:szCs w:val="22"/>
        </w:rPr>
        <w:t>:</w:t>
      </w:r>
      <w:r>
        <w:rPr>
          <w:rFonts w:ascii="Arial" w:hAnsi="Arial" w:cs="Arial"/>
          <w:sz w:val="22"/>
          <w:szCs w:val="22"/>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6443"/>
      </w:tblGrid>
      <w:tr w:rsidR="000C6B6D" w:rsidRPr="00824F7A" w14:paraId="0FC94EFB" w14:textId="77777777" w:rsidTr="00E424A4">
        <w:trPr>
          <w:jc w:val="center"/>
        </w:trPr>
        <w:tc>
          <w:tcPr>
            <w:tcW w:w="262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42A48F" w14:textId="77777777" w:rsidR="000C6B6D" w:rsidRPr="00824F7A" w:rsidRDefault="000C6B6D" w:rsidP="00E424A4">
            <w:pPr>
              <w:spacing w:before="60" w:after="60"/>
              <w:jc w:val="both"/>
              <w:rPr>
                <w:rFonts w:ascii="Arial" w:hAnsi="Arial" w:cs="Arial"/>
                <w:b/>
                <w:sz w:val="22"/>
                <w:szCs w:val="22"/>
              </w:rPr>
            </w:pPr>
            <w:r w:rsidRPr="00824F7A">
              <w:rPr>
                <w:rFonts w:ascii="Arial" w:hAnsi="Arial" w:cs="Arial"/>
                <w:b/>
                <w:sz w:val="22"/>
                <w:szCs w:val="22"/>
              </w:rPr>
              <w:t xml:space="preserve">Quarter </w:t>
            </w:r>
          </w:p>
        </w:tc>
        <w:tc>
          <w:tcPr>
            <w:tcW w:w="64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7AFD69E" w14:textId="77777777" w:rsidR="000C6B6D" w:rsidRPr="00824F7A" w:rsidRDefault="000C6B6D" w:rsidP="00E424A4">
            <w:pPr>
              <w:spacing w:before="60" w:after="60"/>
              <w:jc w:val="both"/>
              <w:rPr>
                <w:rFonts w:ascii="Arial" w:hAnsi="Arial" w:cs="Arial"/>
                <w:b/>
                <w:sz w:val="22"/>
                <w:szCs w:val="22"/>
              </w:rPr>
            </w:pPr>
            <w:r w:rsidRPr="00824F7A">
              <w:rPr>
                <w:rFonts w:ascii="Arial" w:hAnsi="Arial" w:cs="Arial"/>
                <w:b/>
                <w:sz w:val="22"/>
                <w:szCs w:val="22"/>
              </w:rPr>
              <w:t>For the time period</w:t>
            </w:r>
          </w:p>
        </w:tc>
      </w:tr>
      <w:tr w:rsidR="000C6B6D" w:rsidRPr="00824F7A" w14:paraId="5A4EBE77" w14:textId="77777777" w:rsidTr="00E424A4">
        <w:trPr>
          <w:jc w:val="center"/>
        </w:trPr>
        <w:tc>
          <w:tcPr>
            <w:tcW w:w="2629" w:type="dxa"/>
            <w:tcBorders>
              <w:top w:val="single" w:sz="4" w:space="0" w:color="auto"/>
              <w:left w:val="single" w:sz="4" w:space="0" w:color="auto"/>
              <w:bottom w:val="single" w:sz="4" w:space="0" w:color="auto"/>
              <w:right w:val="single" w:sz="4" w:space="0" w:color="auto"/>
            </w:tcBorders>
            <w:hideMark/>
          </w:tcPr>
          <w:p w14:paraId="38E7B605" w14:textId="77777777" w:rsidR="000C6B6D" w:rsidRDefault="000C6B6D" w:rsidP="00E424A4">
            <w:pPr>
              <w:spacing w:before="60" w:after="60"/>
              <w:jc w:val="both"/>
              <w:rPr>
                <w:rFonts w:ascii="Arial" w:hAnsi="Arial" w:cs="Arial"/>
                <w:sz w:val="22"/>
                <w:szCs w:val="22"/>
              </w:rPr>
            </w:pPr>
            <w:r w:rsidRPr="00824F7A">
              <w:rPr>
                <w:rFonts w:ascii="Arial" w:hAnsi="Arial" w:cs="Arial"/>
                <w:sz w:val="22"/>
                <w:szCs w:val="22"/>
              </w:rPr>
              <w:t>Quarter 2</w:t>
            </w:r>
          </w:p>
          <w:p w14:paraId="2C3EB88E" w14:textId="77777777" w:rsidR="000C6B6D" w:rsidRPr="00870AB7" w:rsidRDefault="000C6B6D" w:rsidP="00E424A4">
            <w:pPr>
              <w:spacing w:before="60" w:after="60"/>
              <w:jc w:val="both"/>
              <w:rPr>
                <w:rFonts w:ascii="Arial" w:hAnsi="Arial" w:cs="Arial"/>
                <w:sz w:val="18"/>
                <w:szCs w:val="18"/>
              </w:rPr>
            </w:pPr>
            <w:r w:rsidRPr="00870AB7">
              <w:rPr>
                <w:rFonts w:ascii="Arial" w:hAnsi="Arial" w:cs="Arial"/>
                <w:sz w:val="18"/>
                <w:szCs w:val="18"/>
              </w:rPr>
              <w:t>(For the period ending 31 December)</w:t>
            </w:r>
          </w:p>
        </w:tc>
        <w:tc>
          <w:tcPr>
            <w:tcW w:w="6443" w:type="dxa"/>
            <w:tcBorders>
              <w:top w:val="single" w:sz="4" w:space="0" w:color="auto"/>
              <w:left w:val="single" w:sz="4" w:space="0" w:color="auto"/>
              <w:bottom w:val="single" w:sz="4" w:space="0" w:color="auto"/>
              <w:right w:val="single" w:sz="4" w:space="0" w:color="auto"/>
            </w:tcBorders>
          </w:tcPr>
          <w:p w14:paraId="7D3AF826" w14:textId="77777777" w:rsidR="000C6B6D" w:rsidRPr="00824F7A" w:rsidRDefault="000C6B6D" w:rsidP="00E424A4">
            <w:pPr>
              <w:spacing w:before="60" w:after="60"/>
              <w:jc w:val="both"/>
              <w:rPr>
                <w:rFonts w:ascii="Arial" w:hAnsi="Arial" w:cs="Arial"/>
                <w:sz w:val="22"/>
                <w:szCs w:val="22"/>
                <w:highlight w:val="yellow"/>
              </w:rPr>
            </w:pPr>
            <w:r>
              <w:rPr>
                <w:rFonts w:ascii="Arial" w:hAnsi="Arial" w:cs="Arial"/>
                <w:sz w:val="22"/>
                <w:szCs w:val="22"/>
              </w:rPr>
              <w:t xml:space="preserve">The data source used for Q2 reporting is DHB quarterly coverage </w:t>
            </w:r>
            <w:r w:rsidRPr="00870AB7">
              <w:rPr>
                <w:rFonts w:ascii="Arial" w:hAnsi="Arial" w:cs="Arial"/>
                <w:b/>
                <w:sz w:val="22"/>
                <w:szCs w:val="22"/>
              </w:rPr>
              <w:t>data from Q1</w:t>
            </w:r>
            <w:r>
              <w:rPr>
                <w:rFonts w:ascii="Arial" w:hAnsi="Arial" w:cs="Arial"/>
                <w:b/>
                <w:sz w:val="22"/>
                <w:szCs w:val="22"/>
              </w:rPr>
              <w:t xml:space="preserve"> </w:t>
            </w:r>
            <w:r w:rsidRPr="0099337F">
              <w:rPr>
                <w:rFonts w:ascii="Arial" w:hAnsi="Arial" w:cs="Arial"/>
                <w:sz w:val="22"/>
                <w:szCs w:val="22"/>
              </w:rPr>
              <w:t>(</w:t>
            </w:r>
            <w:r>
              <w:rPr>
                <w:rFonts w:ascii="Arial" w:hAnsi="Arial" w:cs="Arial"/>
                <w:sz w:val="22"/>
                <w:szCs w:val="22"/>
              </w:rPr>
              <w:t>July</w:t>
            </w:r>
            <w:r w:rsidRPr="0099337F">
              <w:rPr>
                <w:rFonts w:ascii="Arial" w:hAnsi="Arial" w:cs="Arial"/>
                <w:sz w:val="22"/>
                <w:szCs w:val="22"/>
              </w:rPr>
              <w:t xml:space="preserve"> to September)</w:t>
            </w:r>
            <w:r>
              <w:rPr>
                <w:rFonts w:ascii="Arial" w:hAnsi="Arial" w:cs="Arial"/>
                <w:sz w:val="22"/>
                <w:szCs w:val="22"/>
              </w:rPr>
              <w:t xml:space="preserve"> published on the NSU website. </w:t>
            </w:r>
          </w:p>
        </w:tc>
      </w:tr>
      <w:tr w:rsidR="000C6B6D" w:rsidRPr="00824F7A" w14:paraId="05B8C9B6" w14:textId="77777777" w:rsidTr="00E424A4">
        <w:trPr>
          <w:jc w:val="center"/>
        </w:trPr>
        <w:tc>
          <w:tcPr>
            <w:tcW w:w="2629" w:type="dxa"/>
            <w:tcBorders>
              <w:top w:val="single" w:sz="4" w:space="0" w:color="auto"/>
              <w:left w:val="single" w:sz="4" w:space="0" w:color="auto"/>
              <w:bottom w:val="single" w:sz="4" w:space="0" w:color="auto"/>
              <w:right w:val="single" w:sz="4" w:space="0" w:color="auto"/>
            </w:tcBorders>
            <w:hideMark/>
          </w:tcPr>
          <w:p w14:paraId="19EDD464" w14:textId="77777777" w:rsidR="000C6B6D" w:rsidRDefault="000C6B6D" w:rsidP="00E424A4">
            <w:pPr>
              <w:spacing w:before="60" w:after="60"/>
              <w:jc w:val="both"/>
              <w:rPr>
                <w:rFonts w:ascii="Arial" w:hAnsi="Arial" w:cs="Arial"/>
                <w:sz w:val="22"/>
                <w:szCs w:val="22"/>
              </w:rPr>
            </w:pPr>
            <w:r w:rsidRPr="00824F7A">
              <w:rPr>
                <w:rFonts w:ascii="Arial" w:hAnsi="Arial" w:cs="Arial"/>
                <w:sz w:val="22"/>
                <w:szCs w:val="22"/>
              </w:rPr>
              <w:t>Quarter 4</w:t>
            </w:r>
          </w:p>
          <w:p w14:paraId="53F9CF27" w14:textId="77777777" w:rsidR="000C6B6D" w:rsidRPr="00824F7A" w:rsidRDefault="000C6B6D" w:rsidP="00E424A4">
            <w:pPr>
              <w:spacing w:before="60" w:after="60"/>
              <w:jc w:val="both"/>
              <w:rPr>
                <w:rFonts w:ascii="Arial" w:hAnsi="Arial" w:cs="Arial"/>
                <w:sz w:val="22"/>
                <w:szCs w:val="22"/>
              </w:rPr>
            </w:pPr>
            <w:r w:rsidRPr="00870AB7">
              <w:rPr>
                <w:rFonts w:ascii="Arial" w:hAnsi="Arial" w:cs="Arial"/>
                <w:sz w:val="18"/>
                <w:szCs w:val="18"/>
              </w:rPr>
              <w:t>(For the period ending 3</w:t>
            </w:r>
            <w:r>
              <w:rPr>
                <w:rFonts w:ascii="Arial" w:hAnsi="Arial" w:cs="Arial"/>
                <w:sz w:val="18"/>
                <w:szCs w:val="18"/>
              </w:rPr>
              <w:t>0 June</w:t>
            </w:r>
            <w:r w:rsidRPr="00870AB7">
              <w:rPr>
                <w:rFonts w:ascii="Arial" w:hAnsi="Arial" w:cs="Arial"/>
                <w:sz w:val="18"/>
                <w:szCs w:val="18"/>
              </w:rPr>
              <w:t>)</w:t>
            </w:r>
          </w:p>
        </w:tc>
        <w:tc>
          <w:tcPr>
            <w:tcW w:w="6443" w:type="dxa"/>
            <w:tcBorders>
              <w:top w:val="single" w:sz="4" w:space="0" w:color="auto"/>
              <w:left w:val="single" w:sz="4" w:space="0" w:color="auto"/>
              <w:bottom w:val="single" w:sz="4" w:space="0" w:color="auto"/>
              <w:right w:val="single" w:sz="4" w:space="0" w:color="auto"/>
            </w:tcBorders>
          </w:tcPr>
          <w:p w14:paraId="318CE84E" w14:textId="77777777" w:rsidR="000C6B6D" w:rsidRPr="00824F7A" w:rsidRDefault="000C6B6D" w:rsidP="00E424A4">
            <w:pPr>
              <w:spacing w:before="60" w:after="60"/>
              <w:jc w:val="both"/>
              <w:rPr>
                <w:rFonts w:ascii="Arial" w:hAnsi="Arial" w:cs="Arial"/>
                <w:sz w:val="22"/>
                <w:szCs w:val="22"/>
                <w:highlight w:val="yellow"/>
              </w:rPr>
            </w:pPr>
            <w:r>
              <w:rPr>
                <w:rFonts w:ascii="Arial" w:hAnsi="Arial" w:cs="Arial"/>
                <w:sz w:val="22"/>
                <w:szCs w:val="22"/>
              </w:rPr>
              <w:t xml:space="preserve">The data source used for Q4 reporting is DHB quarterly coverage </w:t>
            </w:r>
            <w:r w:rsidRPr="00870AB7">
              <w:rPr>
                <w:rFonts w:ascii="Arial" w:hAnsi="Arial" w:cs="Arial"/>
                <w:b/>
                <w:sz w:val="22"/>
                <w:szCs w:val="22"/>
              </w:rPr>
              <w:t>data from Q</w:t>
            </w:r>
            <w:r>
              <w:rPr>
                <w:rFonts w:ascii="Arial" w:hAnsi="Arial" w:cs="Arial"/>
                <w:b/>
                <w:sz w:val="22"/>
                <w:szCs w:val="22"/>
              </w:rPr>
              <w:t>3</w:t>
            </w:r>
            <w:r>
              <w:rPr>
                <w:rFonts w:ascii="Arial" w:hAnsi="Arial" w:cs="Arial"/>
                <w:sz w:val="22"/>
                <w:szCs w:val="22"/>
              </w:rPr>
              <w:t xml:space="preserve"> (January to March) published on the NSU website.</w:t>
            </w:r>
          </w:p>
        </w:tc>
      </w:tr>
    </w:tbl>
    <w:p w14:paraId="1D1F08A3" w14:textId="77777777" w:rsidR="000C6B6D" w:rsidRDefault="000C6B6D" w:rsidP="000C6B6D">
      <w:pPr>
        <w:pStyle w:val="SubOne"/>
        <w:shd w:val="clear" w:color="auto" w:fill="FFFFFF"/>
        <w:spacing w:before="60" w:after="60"/>
        <w:jc w:val="both"/>
      </w:pPr>
    </w:p>
    <w:p w14:paraId="4A9B0D90" w14:textId="77777777" w:rsidR="000C6B6D" w:rsidRDefault="000C6B6D" w:rsidP="000C6B6D">
      <w:pPr>
        <w:pStyle w:val="SubOne"/>
        <w:shd w:val="clear" w:color="auto" w:fill="FFFFFF"/>
        <w:spacing w:before="60" w:after="60"/>
        <w:jc w:val="both"/>
      </w:pPr>
    </w:p>
    <w:p w14:paraId="303E17F8" w14:textId="6CF2928E" w:rsidR="000C6B6D" w:rsidRDefault="000C6B6D" w:rsidP="00AD7BFC">
      <w:pPr>
        <w:pStyle w:val="SubOne"/>
        <w:shd w:val="clear" w:color="auto" w:fill="FFFFFF"/>
        <w:spacing w:before="60" w:after="60"/>
        <w:jc w:val="both"/>
        <w:rPr>
          <w:i/>
          <w:szCs w:val="24"/>
        </w:rPr>
      </w:pPr>
      <w:r w:rsidRPr="005D6BDC">
        <w:t>Expectation</w:t>
      </w:r>
      <w:r w:rsidR="00AD7BFC">
        <w:t>s</w:t>
      </w:r>
    </w:p>
    <w:tbl>
      <w:tblPr>
        <w:tblStyle w:val="TableGrid"/>
        <w:tblW w:w="0" w:type="auto"/>
        <w:tblLook w:val="04A0" w:firstRow="1" w:lastRow="0" w:firstColumn="1" w:lastColumn="0" w:noHBand="0" w:noVBand="1"/>
      </w:tblPr>
      <w:tblGrid>
        <w:gridCol w:w="3114"/>
        <w:gridCol w:w="7082"/>
      </w:tblGrid>
      <w:tr w:rsidR="00E15074" w14:paraId="3AF128F4" w14:textId="77777777" w:rsidTr="004B1778">
        <w:tc>
          <w:tcPr>
            <w:tcW w:w="10196" w:type="dxa"/>
            <w:gridSpan w:val="2"/>
          </w:tcPr>
          <w:p w14:paraId="1DEA2744" w14:textId="6C3417D4" w:rsidR="00E15074" w:rsidRPr="00E15074" w:rsidRDefault="00E15074" w:rsidP="00884DC9">
            <w:pPr>
              <w:jc w:val="center"/>
              <w:rPr>
                <w:rFonts w:ascii="Arial" w:hAnsi="Arial" w:cs="Arial"/>
                <w:b/>
                <w:iCs/>
                <w:sz w:val="22"/>
                <w:szCs w:val="22"/>
              </w:rPr>
            </w:pPr>
            <w:r w:rsidRPr="00E15074">
              <w:rPr>
                <w:rFonts w:ascii="Arial" w:hAnsi="Arial" w:cs="Arial"/>
                <w:b/>
                <w:iCs/>
                <w:sz w:val="22"/>
                <w:szCs w:val="22"/>
              </w:rPr>
              <w:t>Equity and coverage</w:t>
            </w:r>
          </w:p>
        </w:tc>
      </w:tr>
      <w:tr w:rsidR="00E15074" w14:paraId="6A343D3F" w14:textId="77777777" w:rsidTr="00372374">
        <w:tc>
          <w:tcPr>
            <w:tcW w:w="3114" w:type="dxa"/>
          </w:tcPr>
          <w:p w14:paraId="50BCFCE5" w14:textId="203F48BF" w:rsidR="00E15074" w:rsidRPr="00884DC9" w:rsidRDefault="00884DC9" w:rsidP="000C6B6D">
            <w:pPr>
              <w:rPr>
                <w:rFonts w:ascii="Arial" w:hAnsi="Arial" w:cs="Arial"/>
                <w:b/>
                <w:iCs/>
                <w:sz w:val="22"/>
                <w:szCs w:val="22"/>
              </w:rPr>
            </w:pPr>
            <w:r w:rsidRPr="00884DC9">
              <w:rPr>
                <w:rFonts w:ascii="Arial" w:hAnsi="Arial" w:cs="Arial"/>
                <w:b/>
                <w:iCs/>
                <w:sz w:val="22"/>
                <w:szCs w:val="22"/>
              </w:rPr>
              <w:t xml:space="preserve">Rating </w:t>
            </w:r>
          </w:p>
        </w:tc>
        <w:tc>
          <w:tcPr>
            <w:tcW w:w="7082" w:type="dxa"/>
          </w:tcPr>
          <w:p w14:paraId="7D3EB860" w14:textId="17EC46E7" w:rsidR="00E15074" w:rsidRPr="00884DC9" w:rsidRDefault="00884DC9" w:rsidP="000C6B6D">
            <w:pPr>
              <w:rPr>
                <w:rFonts w:ascii="Arial" w:hAnsi="Arial" w:cs="Arial"/>
                <w:b/>
                <w:iCs/>
                <w:sz w:val="22"/>
                <w:szCs w:val="22"/>
              </w:rPr>
            </w:pPr>
            <w:r w:rsidRPr="00884DC9">
              <w:rPr>
                <w:rFonts w:ascii="Arial" w:hAnsi="Arial" w:cs="Arial"/>
                <w:b/>
                <w:iCs/>
                <w:sz w:val="22"/>
                <w:szCs w:val="22"/>
              </w:rPr>
              <w:t xml:space="preserve">Definition </w:t>
            </w:r>
          </w:p>
        </w:tc>
      </w:tr>
      <w:tr w:rsidR="00372374" w14:paraId="387B1906" w14:textId="77777777" w:rsidTr="00372374">
        <w:tc>
          <w:tcPr>
            <w:tcW w:w="3114" w:type="dxa"/>
          </w:tcPr>
          <w:p w14:paraId="711E9C2F" w14:textId="04853F3E" w:rsidR="00372374" w:rsidRPr="00E15074" w:rsidRDefault="00372374" w:rsidP="00372374">
            <w:pPr>
              <w:rPr>
                <w:rFonts w:ascii="Arial" w:hAnsi="Arial" w:cs="Arial"/>
                <w:bCs/>
                <w:iCs/>
                <w:sz w:val="22"/>
                <w:szCs w:val="22"/>
              </w:rPr>
            </w:pPr>
            <w:r>
              <w:rPr>
                <w:rFonts w:ascii="Arial" w:hAnsi="Arial" w:cs="Arial"/>
                <w:bCs/>
                <w:iCs/>
                <w:sz w:val="22"/>
                <w:szCs w:val="22"/>
              </w:rPr>
              <w:t xml:space="preserve">Outstanding performer </w:t>
            </w:r>
          </w:p>
        </w:tc>
        <w:tc>
          <w:tcPr>
            <w:tcW w:w="7082" w:type="dxa"/>
            <w:shd w:val="clear" w:color="auto" w:fill="auto"/>
          </w:tcPr>
          <w:p w14:paraId="3E4A820C" w14:textId="77777777" w:rsidR="00372374" w:rsidRPr="00372374" w:rsidRDefault="00372374" w:rsidP="00372374">
            <w:pPr>
              <w:shd w:val="clear" w:color="auto" w:fill="FFFFFF"/>
              <w:autoSpaceDE w:val="0"/>
              <w:autoSpaceDN w:val="0"/>
              <w:adjustRightInd w:val="0"/>
              <w:spacing w:before="60" w:after="60" w:line="240" w:lineRule="atLeast"/>
              <w:rPr>
                <w:rFonts w:ascii="Arial" w:hAnsi="Arial" w:cs="Arial"/>
                <w:sz w:val="22"/>
                <w:szCs w:val="22"/>
              </w:rPr>
            </w:pPr>
            <w:r w:rsidRPr="00372374">
              <w:rPr>
                <w:rFonts w:ascii="Arial" w:hAnsi="Arial" w:cs="Arial"/>
                <w:sz w:val="22"/>
                <w:szCs w:val="22"/>
              </w:rPr>
              <w:t xml:space="preserve">≥ 70% coverage for Maori, </w:t>
            </w:r>
            <w:proofErr w:type="gramStart"/>
            <w:r w:rsidRPr="00372374">
              <w:rPr>
                <w:rFonts w:ascii="Arial" w:hAnsi="Arial" w:cs="Arial"/>
                <w:sz w:val="22"/>
                <w:szCs w:val="22"/>
              </w:rPr>
              <w:t>Pacific</w:t>
            </w:r>
            <w:proofErr w:type="gramEnd"/>
            <w:r w:rsidRPr="00372374">
              <w:rPr>
                <w:rFonts w:ascii="Arial" w:hAnsi="Arial" w:cs="Arial"/>
                <w:sz w:val="22"/>
                <w:szCs w:val="22"/>
              </w:rPr>
              <w:t xml:space="preserve"> and Total population</w:t>
            </w:r>
          </w:p>
          <w:p w14:paraId="3E5AB268" w14:textId="4B6BDE2D" w:rsidR="00372374" w:rsidRPr="00372374" w:rsidRDefault="00372374" w:rsidP="00372374">
            <w:pPr>
              <w:rPr>
                <w:rFonts w:ascii="Arial" w:hAnsi="Arial" w:cs="Arial"/>
                <w:bCs/>
                <w:iCs/>
                <w:sz w:val="22"/>
                <w:szCs w:val="22"/>
              </w:rPr>
            </w:pPr>
            <w:r w:rsidRPr="00372374">
              <w:rPr>
                <w:rFonts w:ascii="Arial" w:hAnsi="Arial" w:cs="Arial"/>
                <w:sz w:val="22"/>
                <w:szCs w:val="22"/>
              </w:rPr>
              <w:t>And coverage is equitable or the DHB has a plan for achieving equitable coverage for Maori and Pacific.</w:t>
            </w:r>
          </w:p>
        </w:tc>
      </w:tr>
      <w:tr w:rsidR="00372374" w14:paraId="14437216" w14:textId="77777777" w:rsidTr="00372374">
        <w:tc>
          <w:tcPr>
            <w:tcW w:w="3114" w:type="dxa"/>
          </w:tcPr>
          <w:p w14:paraId="657BBB77" w14:textId="757C6C1A" w:rsidR="00372374" w:rsidRPr="00E15074" w:rsidRDefault="00372374" w:rsidP="00372374">
            <w:pPr>
              <w:rPr>
                <w:rFonts w:ascii="Arial" w:hAnsi="Arial" w:cs="Arial"/>
                <w:bCs/>
                <w:iCs/>
                <w:sz w:val="22"/>
                <w:szCs w:val="22"/>
              </w:rPr>
            </w:pPr>
            <w:r>
              <w:rPr>
                <w:rFonts w:ascii="Arial" w:hAnsi="Arial" w:cs="Arial"/>
                <w:bCs/>
                <w:iCs/>
                <w:sz w:val="22"/>
                <w:szCs w:val="22"/>
              </w:rPr>
              <w:t xml:space="preserve">Achieved </w:t>
            </w:r>
          </w:p>
        </w:tc>
        <w:tc>
          <w:tcPr>
            <w:tcW w:w="7082" w:type="dxa"/>
            <w:shd w:val="clear" w:color="auto" w:fill="auto"/>
          </w:tcPr>
          <w:p w14:paraId="043739B2" w14:textId="77777777" w:rsidR="00372374" w:rsidRPr="00372374" w:rsidRDefault="00372374" w:rsidP="00372374">
            <w:pPr>
              <w:shd w:val="clear" w:color="auto" w:fill="FFFFFF"/>
              <w:spacing w:before="60" w:after="60"/>
              <w:jc w:val="both"/>
              <w:rPr>
                <w:rFonts w:ascii="Arial" w:hAnsi="Arial" w:cs="Arial"/>
                <w:sz w:val="22"/>
                <w:szCs w:val="22"/>
              </w:rPr>
            </w:pPr>
            <w:r w:rsidRPr="00372374">
              <w:rPr>
                <w:rFonts w:ascii="Arial" w:hAnsi="Arial" w:cs="Arial"/>
                <w:sz w:val="22"/>
                <w:szCs w:val="22"/>
              </w:rPr>
              <w:t xml:space="preserve">≥70% coverage for Maori, </w:t>
            </w:r>
            <w:proofErr w:type="gramStart"/>
            <w:r w:rsidRPr="00372374">
              <w:rPr>
                <w:rFonts w:ascii="Arial" w:hAnsi="Arial" w:cs="Arial"/>
                <w:sz w:val="22"/>
                <w:szCs w:val="22"/>
              </w:rPr>
              <w:t>Pacific</w:t>
            </w:r>
            <w:proofErr w:type="gramEnd"/>
            <w:r w:rsidRPr="00372374">
              <w:rPr>
                <w:rFonts w:ascii="Arial" w:hAnsi="Arial" w:cs="Arial"/>
                <w:sz w:val="22"/>
                <w:szCs w:val="22"/>
              </w:rPr>
              <w:t xml:space="preserve"> and Total population </w:t>
            </w:r>
          </w:p>
          <w:p w14:paraId="56D3BE96" w14:textId="77777777" w:rsidR="00372374" w:rsidRPr="00372374" w:rsidRDefault="00372374" w:rsidP="00372374">
            <w:pPr>
              <w:rPr>
                <w:rFonts w:ascii="Arial" w:hAnsi="Arial" w:cs="Arial"/>
                <w:bCs/>
                <w:iCs/>
                <w:sz w:val="22"/>
                <w:szCs w:val="22"/>
              </w:rPr>
            </w:pPr>
          </w:p>
        </w:tc>
      </w:tr>
      <w:tr w:rsidR="00372374" w14:paraId="5F9EB7AF" w14:textId="77777777" w:rsidTr="00372374">
        <w:tc>
          <w:tcPr>
            <w:tcW w:w="3114" w:type="dxa"/>
          </w:tcPr>
          <w:p w14:paraId="7A7C778D" w14:textId="32E76B26" w:rsidR="00372374" w:rsidRPr="00E15074" w:rsidRDefault="00372374" w:rsidP="00372374">
            <w:pPr>
              <w:rPr>
                <w:rFonts w:ascii="Arial" w:hAnsi="Arial" w:cs="Arial"/>
                <w:bCs/>
                <w:iCs/>
                <w:sz w:val="22"/>
                <w:szCs w:val="22"/>
              </w:rPr>
            </w:pPr>
            <w:r>
              <w:rPr>
                <w:rFonts w:ascii="Arial" w:hAnsi="Arial" w:cs="Arial"/>
                <w:bCs/>
                <w:iCs/>
                <w:sz w:val="22"/>
                <w:szCs w:val="22"/>
              </w:rPr>
              <w:t xml:space="preserve">Partially achieved </w:t>
            </w:r>
          </w:p>
        </w:tc>
        <w:tc>
          <w:tcPr>
            <w:tcW w:w="7082" w:type="dxa"/>
            <w:shd w:val="clear" w:color="auto" w:fill="auto"/>
          </w:tcPr>
          <w:p w14:paraId="55AD10DE" w14:textId="77777777" w:rsidR="00372374" w:rsidRPr="00372374" w:rsidRDefault="00372374" w:rsidP="00372374">
            <w:pPr>
              <w:shd w:val="clear" w:color="auto" w:fill="FFFFFF"/>
              <w:spacing w:before="60" w:after="60"/>
              <w:jc w:val="both"/>
              <w:rPr>
                <w:rFonts w:ascii="Arial" w:hAnsi="Arial" w:cs="Arial"/>
                <w:sz w:val="22"/>
                <w:szCs w:val="22"/>
              </w:rPr>
            </w:pPr>
            <w:r w:rsidRPr="00372374">
              <w:rPr>
                <w:rFonts w:ascii="Arial" w:hAnsi="Arial" w:cs="Arial"/>
                <w:sz w:val="22"/>
                <w:szCs w:val="22"/>
              </w:rPr>
              <w:t xml:space="preserve">65 – 69% coverage for Maori, </w:t>
            </w:r>
            <w:proofErr w:type="gramStart"/>
            <w:r w:rsidRPr="00372374">
              <w:rPr>
                <w:rFonts w:ascii="Arial" w:hAnsi="Arial" w:cs="Arial"/>
                <w:sz w:val="22"/>
                <w:szCs w:val="22"/>
              </w:rPr>
              <w:t>Pacific</w:t>
            </w:r>
            <w:proofErr w:type="gramEnd"/>
            <w:r w:rsidRPr="00372374">
              <w:rPr>
                <w:rFonts w:ascii="Arial" w:hAnsi="Arial" w:cs="Arial"/>
                <w:sz w:val="22"/>
                <w:szCs w:val="22"/>
              </w:rPr>
              <w:t xml:space="preserve"> and Total population </w:t>
            </w:r>
          </w:p>
          <w:p w14:paraId="140359F5" w14:textId="6B6CFF1F" w:rsidR="00372374" w:rsidRPr="00372374" w:rsidRDefault="00372374" w:rsidP="00372374">
            <w:pPr>
              <w:rPr>
                <w:rFonts w:ascii="Arial" w:hAnsi="Arial" w:cs="Arial"/>
                <w:bCs/>
                <w:iCs/>
                <w:sz w:val="22"/>
                <w:szCs w:val="22"/>
              </w:rPr>
            </w:pPr>
            <w:r w:rsidRPr="00372374">
              <w:rPr>
                <w:rFonts w:ascii="Arial" w:hAnsi="Arial" w:cs="Arial"/>
                <w:sz w:val="22"/>
                <w:szCs w:val="22"/>
              </w:rPr>
              <w:t>Or, the DHB has an adequate workplan to improve coverage with a focus on improving outcomes for Maori and Pacific.</w:t>
            </w:r>
          </w:p>
        </w:tc>
      </w:tr>
      <w:tr w:rsidR="00372374" w14:paraId="5508EA26" w14:textId="77777777" w:rsidTr="00372374">
        <w:tc>
          <w:tcPr>
            <w:tcW w:w="3114" w:type="dxa"/>
          </w:tcPr>
          <w:p w14:paraId="5BADBEF4" w14:textId="0E4B75C2" w:rsidR="00372374" w:rsidRPr="00E15074" w:rsidRDefault="00372374" w:rsidP="00372374">
            <w:pPr>
              <w:rPr>
                <w:rFonts w:ascii="Arial" w:hAnsi="Arial" w:cs="Arial"/>
                <w:bCs/>
                <w:iCs/>
                <w:sz w:val="22"/>
                <w:szCs w:val="22"/>
              </w:rPr>
            </w:pPr>
            <w:r>
              <w:rPr>
                <w:rFonts w:ascii="Arial" w:hAnsi="Arial" w:cs="Arial"/>
                <w:bCs/>
                <w:iCs/>
                <w:sz w:val="22"/>
                <w:szCs w:val="22"/>
              </w:rPr>
              <w:t xml:space="preserve">Not achieved </w:t>
            </w:r>
          </w:p>
        </w:tc>
        <w:tc>
          <w:tcPr>
            <w:tcW w:w="7082" w:type="dxa"/>
            <w:shd w:val="clear" w:color="auto" w:fill="auto"/>
          </w:tcPr>
          <w:p w14:paraId="33837414" w14:textId="4F84265F" w:rsidR="00372374" w:rsidRPr="00372374" w:rsidRDefault="00372374" w:rsidP="00372374">
            <w:pPr>
              <w:rPr>
                <w:rFonts w:ascii="Arial" w:hAnsi="Arial" w:cs="Arial"/>
                <w:bCs/>
                <w:iCs/>
                <w:sz w:val="22"/>
                <w:szCs w:val="22"/>
              </w:rPr>
            </w:pPr>
            <w:r w:rsidRPr="00372374">
              <w:rPr>
                <w:rFonts w:ascii="Arial" w:hAnsi="Arial" w:cs="Arial"/>
                <w:sz w:val="22"/>
                <w:szCs w:val="22"/>
              </w:rPr>
              <w:t xml:space="preserve">&lt;65% coverage for Maori, Pacific or Total population and has not demonstrated an adequate work-out plan to reach the target within an agreed timeframe. </w:t>
            </w:r>
          </w:p>
        </w:tc>
      </w:tr>
    </w:tbl>
    <w:p w14:paraId="5ECA14A8" w14:textId="77777777" w:rsidR="00AE7C82" w:rsidRDefault="00AE7C82" w:rsidP="000C6B6D">
      <w:pPr>
        <w:rPr>
          <w:rFonts w:ascii="Arial" w:hAnsi="Arial" w:cs="Arial"/>
          <w:b/>
          <w:i/>
        </w:rPr>
      </w:pPr>
    </w:p>
    <w:p w14:paraId="357A0D0E" w14:textId="77777777" w:rsidR="00372374" w:rsidRDefault="00372374" w:rsidP="000C6B6D">
      <w:pPr>
        <w:spacing w:before="60" w:after="120"/>
        <w:jc w:val="both"/>
        <w:rPr>
          <w:rFonts w:ascii="Arial" w:hAnsi="Arial" w:cs="Arial"/>
          <w:b/>
          <w:i/>
        </w:rPr>
      </w:pPr>
    </w:p>
    <w:p w14:paraId="72C976D6" w14:textId="77777777" w:rsidR="00372374" w:rsidRDefault="00372374" w:rsidP="000C6B6D">
      <w:pPr>
        <w:spacing w:before="60" w:after="120"/>
        <w:jc w:val="both"/>
        <w:rPr>
          <w:rFonts w:ascii="Arial" w:hAnsi="Arial" w:cs="Arial"/>
          <w:b/>
          <w:i/>
        </w:rPr>
      </w:pPr>
    </w:p>
    <w:p w14:paraId="0FB2BC10" w14:textId="77777777" w:rsidR="00372374" w:rsidRDefault="00372374" w:rsidP="000C6B6D">
      <w:pPr>
        <w:spacing w:before="60" w:after="120"/>
        <w:jc w:val="both"/>
        <w:rPr>
          <w:rFonts w:ascii="Arial" w:hAnsi="Arial" w:cs="Arial"/>
          <w:b/>
          <w:i/>
        </w:rPr>
      </w:pPr>
    </w:p>
    <w:p w14:paraId="3B0C66CE" w14:textId="77777777" w:rsidR="00372374" w:rsidRDefault="00372374" w:rsidP="000C6B6D">
      <w:pPr>
        <w:spacing w:before="60" w:after="120"/>
        <w:jc w:val="both"/>
        <w:rPr>
          <w:rFonts w:ascii="Arial" w:hAnsi="Arial" w:cs="Arial"/>
          <w:b/>
          <w:i/>
        </w:rPr>
      </w:pPr>
    </w:p>
    <w:p w14:paraId="53AA5481" w14:textId="56E57027" w:rsidR="000C6B6D" w:rsidRDefault="000C6B6D" w:rsidP="000C6B6D">
      <w:pPr>
        <w:spacing w:before="60" w:after="120"/>
        <w:jc w:val="both"/>
        <w:rPr>
          <w:rFonts w:ascii="Arial" w:hAnsi="Arial" w:cs="Arial"/>
          <w:b/>
          <w:i/>
        </w:rPr>
      </w:pPr>
      <w:r>
        <w:rPr>
          <w:rFonts w:ascii="Arial" w:hAnsi="Arial" w:cs="Arial"/>
          <w:b/>
          <w:i/>
        </w:rPr>
        <w:lastRenderedPageBreak/>
        <w:t>Outcome priority</w:t>
      </w:r>
      <w:r w:rsidRPr="003060FE">
        <w:rPr>
          <w:rFonts w:ascii="Arial" w:hAnsi="Arial" w:cs="Arial"/>
          <w:b/>
          <w:i/>
        </w:rPr>
        <w:t xml:space="preserve">:  </w:t>
      </w:r>
      <w:r>
        <w:rPr>
          <w:rFonts w:ascii="Arial" w:hAnsi="Arial" w:cs="Arial"/>
          <w:b/>
          <w:i/>
        </w:rPr>
        <w:t>We live longer in good health</w:t>
      </w:r>
    </w:p>
    <w:p w14:paraId="4878CBDE" w14:textId="77777777" w:rsidR="000C6B6D" w:rsidRDefault="000C6B6D" w:rsidP="000C6B6D">
      <w:pPr>
        <w:pStyle w:val="Heading2"/>
      </w:pPr>
      <w:r>
        <w:rPr>
          <w:rFonts w:eastAsia="Calibri"/>
        </w:rPr>
        <w:t>Improving wellbeing through</w:t>
      </w:r>
      <w:r w:rsidRPr="00D5252D">
        <w:rPr>
          <w:rFonts w:eastAsia="Calibri"/>
        </w:rPr>
        <w:t xml:space="preserve"> prevention. </w:t>
      </w:r>
      <w:r>
        <w:rPr>
          <w:rFonts w:eastAsia="Calibri"/>
        </w:rPr>
        <w:t>PV02</w:t>
      </w:r>
      <w:r w:rsidRPr="00144EEB">
        <w:rPr>
          <w:rFonts w:eastAsia="Calibri"/>
        </w:rPr>
        <w:t xml:space="preserve">: </w:t>
      </w:r>
      <w:r w:rsidRPr="00F22854">
        <w:rPr>
          <w:rFonts w:eastAsia="Calibri"/>
        </w:rPr>
        <w:t xml:space="preserve">Improving </w:t>
      </w:r>
      <w:r>
        <w:rPr>
          <w:rFonts w:eastAsia="Calibri"/>
        </w:rPr>
        <w:t>c</w:t>
      </w:r>
      <w:r w:rsidRPr="00F22854">
        <w:rPr>
          <w:rFonts w:eastAsia="Calibri"/>
        </w:rPr>
        <w:t xml:space="preserve">ervical </w:t>
      </w:r>
      <w:r>
        <w:rPr>
          <w:rFonts w:eastAsia="Calibri"/>
        </w:rPr>
        <w:t>s</w:t>
      </w:r>
      <w:r w:rsidRPr="00F22854">
        <w:rPr>
          <w:rFonts w:eastAsia="Calibri"/>
        </w:rPr>
        <w:t>creening coverage</w:t>
      </w:r>
      <w:r w:rsidRPr="0037338C">
        <w:t xml:space="preserve"> </w:t>
      </w:r>
      <w:r>
        <w:t>and equity for priority women.</w:t>
      </w:r>
    </w:p>
    <w:p w14:paraId="5D31ED98" w14:textId="77777777" w:rsidR="000C6B6D" w:rsidRPr="00C66E68" w:rsidRDefault="000C6B6D" w:rsidP="000C6B6D">
      <w:pPr>
        <w:rPr>
          <w:rFonts w:eastAsia="Calibri"/>
        </w:rPr>
      </w:pPr>
    </w:p>
    <w:tbl>
      <w:tblPr>
        <w:tblStyle w:val="TableGrid"/>
        <w:tblW w:w="0" w:type="auto"/>
        <w:tblLook w:val="04A0" w:firstRow="1" w:lastRow="0" w:firstColumn="1" w:lastColumn="0" w:noHBand="0" w:noVBand="1"/>
      </w:tblPr>
      <w:tblGrid>
        <w:gridCol w:w="2122"/>
        <w:gridCol w:w="3260"/>
        <w:gridCol w:w="3634"/>
      </w:tblGrid>
      <w:tr w:rsidR="000C6B6D" w:rsidRPr="00C66E68" w14:paraId="4C4E92A3" w14:textId="77777777" w:rsidTr="00E424A4">
        <w:tc>
          <w:tcPr>
            <w:tcW w:w="9016" w:type="dxa"/>
            <w:gridSpan w:val="3"/>
          </w:tcPr>
          <w:p w14:paraId="5F74DA46" w14:textId="77777777" w:rsidR="000C6B6D" w:rsidRPr="00C66E68" w:rsidRDefault="000C6B6D" w:rsidP="00E424A4">
            <w:pPr>
              <w:jc w:val="center"/>
              <w:rPr>
                <w:rFonts w:ascii="Arial" w:hAnsi="Arial" w:cs="Arial"/>
                <w:b/>
                <w:sz w:val="28"/>
              </w:rPr>
            </w:pPr>
            <w:r w:rsidRPr="00C66E68">
              <w:rPr>
                <w:rFonts w:ascii="Arial" w:hAnsi="Arial" w:cs="Arial"/>
                <w:b/>
                <w:sz w:val="28"/>
              </w:rPr>
              <w:t>Summary Information</w:t>
            </w:r>
          </w:p>
          <w:p w14:paraId="20E6AB83" w14:textId="77777777" w:rsidR="000C6B6D" w:rsidRPr="00C66E68" w:rsidRDefault="000C6B6D" w:rsidP="00E424A4">
            <w:pPr>
              <w:jc w:val="center"/>
              <w:rPr>
                <w:rFonts w:ascii="Arial" w:hAnsi="Arial" w:cs="Arial"/>
                <w:b/>
                <w:sz w:val="20"/>
              </w:rPr>
            </w:pPr>
          </w:p>
        </w:tc>
      </w:tr>
      <w:tr w:rsidR="000C6B6D" w:rsidRPr="00C66E68" w14:paraId="56059ABC" w14:textId="77777777" w:rsidTr="00E424A4">
        <w:tc>
          <w:tcPr>
            <w:tcW w:w="2122" w:type="dxa"/>
          </w:tcPr>
          <w:p w14:paraId="7D5C4D14"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Target/performance expectation</w:t>
            </w:r>
          </w:p>
        </w:tc>
        <w:tc>
          <w:tcPr>
            <w:tcW w:w="6894" w:type="dxa"/>
            <w:gridSpan w:val="2"/>
          </w:tcPr>
          <w:p w14:paraId="5905FE9C" w14:textId="77777777" w:rsidR="000C6B6D" w:rsidRPr="00C66E68" w:rsidRDefault="000C6B6D" w:rsidP="00E424A4">
            <w:pPr>
              <w:rPr>
                <w:rFonts w:ascii="Arial" w:hAnsi="Arial" w:cs="Arial"/>
                <w:sz w:val="20"/>
              </w:rPr>
            </w:pPr>
            <w:r>
              <w:rPr>
                <w:rFonts w:ascii="Arial" w:hAnsi="Arial" w:cs="Arial"/>
                <w:b/>
                <w:sz w:val="20"/>
                <w:szCs w:val="20"/>
              </w:rPr>
              <w:t xml:space="preserve">No equity gap for Maori, </w:t>
            </w:r>
            <w:proofErr w:type="gramStart"/>
            <w:r>
              <w:rPr>
                <w:rFonts w:ascii="Arial" w:hAnsi="Arial" w:cs="Arial"/>
                <w:b/>
                <w:sz w:val="20"/>
                <w:szCs w:val="20"/>
              </w:rPr>
              <w:t>Pacific</w:t>
            </w:r>
            <w:proofErr w:type="gramEnd"/>
            <w:r>
              <w:rPr>
                <w:rFonts w:ascii="Arial" w:hAnsi="Arial" w:cs="Arial"/>
                <w:b/>
                <w:sz w:val="20"/>
                <w:szCs w:val="20"/>
              </w:rPr>
              <w:t xml:space="preserve"> and Asian populations and 80% coverage</w:t>
            </w:r>
          </w:p>
        </w:tc>
      </w:tr>
      <w:tr w:rsidR="000C6B6D" w:rsidRPr="00C66E68" w14:paraId="3B4D61CC" w14:textId="77777777" w:rsidTr="00E424A4">
        <w:trPr>
          <w:trHeight w:val="293"/>
        </w:trPr>
        <w:tc>
          <w:tcPr>
            <w:tcW w:w="2122" w:type="dxa"/>
            <w:vMerge w:val="restart"/>
          </w:tcPr>
          <w:p w14:paraId="300E0600"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Measure type and reporting frequency</w:t>
            </w:r>
          </w:p>
        </w:tc>
        <w:tc>
          <w:tcPr>
            <w:tcW w:w="3260" w:type="dxa"/>
          </w:tcPr>
          <w:p w14:paraId="2508F077" w14:textId="77777777" w:rsidR="000C6B6D" w:rsidRPr="00C66E68" w:rsidRDefault="000C6B6D" w:rsidP="00E424A4">
            <w:pPr>
              <w:spacing w:after="160"/>
              <w:jc w:val="right"/>
              <w:rPr>
                <w:rFonts w:ascii="Arial" w:hAnsi="Arial" w:cs="Arial"/>
                <w:sz w:val="20"/>
                <w:szCs w:val="22"/>
              </w:rPr>
            </w:pPr>
            <w:r w:rsidRPr="00C66E68">
              <w:rPr>
                <w:rFonts w:ascii="Arial" w:hAnsi="Arial" w:cs="Arial"/>
                <w:sz w:val="20"/>
                <w:szCs w:val="22"/>
              </w:rPr>
              <w:t>Type:</w:t>
            </w:r>
          </w:p>
        </w:tc>
        <w:tc>
          <w:tcPr>
            <w:tcW w:w="3634" w:type="dxa"/>
          </w:tcPr>
          <w:p w14:paraId="62FDBD20" w14:textId="77777777" w:rsidR="000C6B6D" w:rsidRPr="00C66E68" w:rsidRDefault="000C6B6D" w:rsidP="00E424A4">
            <w:pPr>
              <w:spacing w:after="160"/>
              <w:rPr>
                <w:rFonts w:ascii="Arial" w:eastAsiaTheme="minorHAnsi" w:hAnsi="Arial" w:cs="Arial"/>
                <w:sz w:val="20"/>
                <w:szCs w:val="22"/>
              </w:rPr>
            </w:pPr>
            <w:r w:rsidRPr="00C66E68">
              <w:rPr>
                <w:rFonts w:ascii="Arial" w:eastAsiaTheme="minorHAnsi" w:hAnsi="Arial" w:cs="Arial"/>
                <w:sz w:val="20"/>
                <w:szCs w:val="22"/>
              </w:rPr>
              <w:t>Data &amp; exceptions report</w:t>
            </w:r>
          </w:p>
        </w:tc>
      </w:tr>
      <w:tr w:rsidR="000C6B6D" w:rsidRPr="00C66E68" w14:paraId="057C4C34" w14:textId="77777777" w:rsidTr="00E424A4">
        <w:trPr>
          <w:trHeight w:val="292"/>
        </w:trPr>
        <w:tc>
          <w:tcPr>
            <w:tcW w:w="2122" w:type="dxa"/>
            <w:vMerge/>
          </w:tcPr>
          <w:p w14:paraId="22AD9B8A" w14:textId="77777777" w:rsidR="000C6B6D" w:rsidRPr="00C66E68" w:rsidRDefault="000C6B6D" w:rsidP="00E424A4">
            <w:pPr>
              <w:shd w:val="clear" w:color="auto" w:fill="FFFFFF"/>
              <w:spacing w:before="60" w:after="60"/>
              <w:rPr>
                <w:rFonts w:ascii="Arial" w:hAnsi="Arial" w:cs="Arial"/>
                <w:b/>
                <w:i/>
                <w:sz w:val="20"/>
              </w:rPr>
            </w:pPr>
          </w:p>
        </w:tc>
        <w:tc>
          <w:tcPr>
            <w:tcW w:w="3260" w:type="dxa"/>
          </w:tcPr>
          <w:p w14:paraId="7934BB18" w14:textId="77777777" w:rsidR="000C6B6D" w:rsidRPr="00C66E68" w:rsidRDefault="000C6B6D" w:rsidP="00E424A4">
            <w:pPr>
              <w:spacing w:after="160"/>
              <w:jc w:val="right"/>
              <w:rPr>
                <w:rFonts w:ascii="Arial" w:hAnsi="Arial" w:cs="Arial"/>
                <w:sz w:val="20"/>
                <w:szCs w:val="22"/>
              </w:rPr>
            </w:pPr>
            <w:r w:rsidRPr="00C66E68">
              <w:rPr>
                <w:rFonts w:ascii="Arial" w:hAnsi="Arial" w:cs="Arial"/>
                <w:sz w:val="20"/>
                <w:szCs w:val="22"/>
              </w:rPr>
              <w:t>Reporting frequency:</w:t>
            </w:r>
          </w:p>
        </w:tc>
        <w:tc>
          <w:tcPr>
            <w:tcW w:w="3634" w:type="dxa"/>
          </w:tcPr>
          <w:p w14:paraId="76FA903C" w14:textId="77777777" w:rsidR="000C6B6D" w:rsidRPr="00C66E68" w:rsidRDefault="000C6B6D" w:rsidP="00E424A4">
            <w:pPr>
              <w:spacing w:after="160"/>
              <w:rPr>
                <w:rFonts w:ascii="Arial" w:eastAsiaTheme="minorHAnsi" w:hAnsi="Arial" w:cs="Arial"/>
                <w:sz w:val="20"/>
                <w:szCs w:val="22"/>
              </w:rPr>
            </w:pPr>
            <w:r w:rsidRPr="00C66E68">
              <w:rPr>
                <w:rFonts w:ascii="Arial" w:eastAsiaTheme="minorHAnsi" w:hAnsi="Arial" w:cs="Arial"/>
                <w:sz w:val="20"/>
                <w:szCs w:val="22"/>
              </w:rPr>
              <w:t>Six-monthly (quarters 2 and 4)</w:t>
            </w:r>
          </w:p>
        </w:tc>
      </w:tr>
      <w:tr w:rsidR="000C6B6D" w:rsidRPr="00C66E68" w14:paraId="426A1C0B" w14:textId="77777777" w:rsidTr="00E424A4">
        <w:tc>
          <w:tcPr>
            <w:tcW w:w="2122" w:type="dxa"/>
          </w:tcPr>
          <w:p w14:paraId="0C842ADB" w14:textId="77777777" w:rsidR="000C6B6D" w:rsidRPr="00C66E68" w:rsidRDefault="000C6B6D" w:rsidP="00E424A4">
            <w:pPr>
              <w:shd w:val="clear" w:color="auto" w:fill="FFFFFF"/>
              <w:spacing w:before="60" w:after="60"/>
              <w:rPr>
                <w:rFonts w:ascii="Arial" w:hAnsi="Arial" w:cs="Arial"/>
                <w:b/>
                <w:i/>
                <w:sz w:val="20"/>
              </w:rPr>
            </w:pPr>
            <w:r w:rsidRPr="00C66E68">
              <w:rPr>
                <w:rFonts w:ascii="Arial" w:hAnsi="Arial" w:cs="Arial"/>
                <w:b/>
                <w:i/>
                <w:sz w:val="20"/>
              </w:rPr>
              <w:t>Data Source / information for reporting provided by:</w:t>
            </w:r>
          </w:p>
        </w:tc>
        <w:tc>
          <w:tcPr>
            <w:tcW w:w="6894" w:type="dxa"/>
            <w:gridSpan w:val="2"/>
          </w:tcPr>
          <w:p w14:paraId="456CBD5E" w14:textId="77777777" w:rsidR="000C6B6D" w:rsidRPr="00C66E68" w:rsidRDefault="000C6B6D" w:rsidP="00E424A4">
            <w:pPr>
              <w:shd w:val="clear" w:color="auto" w:fill="FFFFFF"/>
              <w:spacing w:before="60" w:after="60"/>
              <w:rPr>
                <w:rFonts w:ascii="Arial" w:hAnsi="Arial" w:cs="Arial"/>
                <w:i/>
                <w:sz w:val="20"/>
                <w:szCs w:val="20"/>
              </w:rPr>
            </w:pPr>
            <w:r w:rsidRPr="00C66E68">
              <w:rPr>
                <w:rFonts w:ascii="Arial" w:hAnsi="Arial" w:cs="Arial"/>
                <w:i/>
                <w:sz w:val="20"/>
                <w:szCs w:val="20"/>
              </w:rPr>
              <w:t>Data is sourced from NCSP DHB quarterly reports published on the NSU website.</w:t>
            </w:r>
          </w:p>
          <w:p w14:paraId="77A9A69F" w14:textId="77777777" w:rsidR="000C6B6D" w:rsidRPr="00C66E68" w:rsidRDefault="00BA09BC" w:rsidP="00E424A4">
            <w:pPr>
              <w:rPr>
                <w:rFonts w:ascii="Arial" w:hAnsi="Arial" w:cs="Arial"/>
                <w:sz w:val="20"/>
              </w:rPr>
            </w:pPr>
            <w:hyperlink r:id="rId27" w:history="1">
              <w:r w:rsidR="000C6B6D" w:rsidRPr="00C66E68">
                <w:rPr>
                  <w:rStyle w:val="Hyperlink"/>
                  <w:rFonts w:ascii="Arial" w:hAnsi="Arial" w:cs="Arial"/>
                  <w:i/>
                  <w:sz w:val="20"/>
                  <w:szCs w:val="20"/>
                </w:rPr>
                <w:t>https://www.nsu.govt.nz/health-professionals/national-cervical-screening-programme/cervical-screening-coverage</w:t>
              </w:r>
            </w:hyperlink>
          </w:p>
        </w:tc>
      </w:tr>
      <w:tr w:rsidR="008208E6" w:rsidRPr="00C66E68" w14:paraId="6367B404" w14:textId="77777777" w:rsidTr="008208E6">
        <w:trPr>
          <w:trHeight w:val="693"/>
        </w:trPr>
        <w:tc>
          <w:tcPr>
            <w:tcW w:w="9016" w:type="dxa"/>
            <w:gridSpan w:val="3"/>
          </w:tcPr>
          <w:p w14:paraId="1AD11D8F" w14:textId="2FFF73DB" w:rsidR="008208E6" w:rsidRPr="008208E6" w:rsidRDefault="008208E6" w:rsidP="008208E6">
            <w:pPr>
              <w:rPr>
                <w:rFonts w:ascii="Arial" w:hAnsi="Arial" w:cs="Arial"/>
                <w:sz w:val="20"/>
                <w:szCs w:val="20"/>
              </w:rPr>
            </w:pPr>
            <w:r w:rsidRPr="008208E6">
              <w:rPr>
                <w:rFonts w:ascii="Arial" w:hAnsi="Arial" w:cs="Arial"/>
                <w:sz w:val="20"/>
                <w:szCs w:val="20"/>
                <w:lang w:eastAsia="en-NZ"/>
              </w:rPr>
              <w:t>Please note: DHBs do not need to report against this measure through DHB quarterly reporting processes as data will be captured through the NCSP contract reporting process.</w:t>
            </w:r>
          </w:p>
        </w:tc>
      </w:tr>
      <w:tr w:rsidR="008208E6" w:rsidRPr="00C66E68" w14:paraId="73FF046B" w14:textId="77777777" w:rsidTr="00E424A4">
        <w:tc>
          <w:tcPr>
            <w:tcW w:w="9016" w:type="dxa"/>
            <w:gridSpan w:val="3"/>
          </w:tcPr>
          <w:p w14:paraId="190871B6" w14:textId="77777777" w:rsidR="008208E6" w:rsidRPr="00C66E68" w:rsidRDefault="008208E6" w:rsidP="008208E6">
            <w:pPr>
              <w:rPr>
                <w:rFonts w:ascii="Arial" w:hAnsi="Arial" w:cs="Arial"/>
                <w:sz w:val="20"/>
              </w:rPr>
            </w:pPr>
            <w:r w:rsidRPr="00C66E68">
              <w:rPr>
                <w:rFonts w:ascii="Arial" w:hAnsi="Arial" w:cs="Arial"/>
                <w:b/>
                <w:i/>
                <w:sz w:val="20"/>
              </w:rPr>
              <w:t>Linkages:</w:t>
            </w:r>
            <w:r w:rsidRPr="00C66E68">
              <w:rPr>
                <w:rFonts w:ascii="Arial" w:hAnsi="Arial" w:cs="Arial"/>
                <w:sz w:val="20"/>
              </w:rPr>
              <w:t xml:space="preserve"> This performance expectation may be a contributory System Level Measure under Amenable Mortality.</w:t>
            </w:r>
          </w:p>
        </w:tc>
      </w:tr>
    </w:tbl>
    <w:p w14:paraId="19596AA5" w14:textId="77777777" w:rsidR="000C6B6D" w:rsidRDefault="000C6B6D" w:rsidP="000C6B6D">
      <w:pPr>
        <w:pStyle w:val="SubOne"/>
        <w:shd w:val="clear" w:color="auto" w:fill="FFFFFF"/>
        <w:spacing w:before="60" w:after="60"/>
        <w:jc w:val="both"/>
        <w:rPr>
          <w:sz w:val="22"/>
        </w:rPr>
      </w:pPr>
    </w:p>
    <w:p w14:paraId="165CF377" w14:textId="77777777" w:rsidR="000C6B6D" w:rsidRPr="003028EF" w:rsidRDefault="000C6B6D" w:rsidP="000C6B6D">
      <w:pPr>
        <w:pStyle w:val="SubOne"/>
        <w:shd w:val="clear" w:color="auto" w:fill="FFFFFF"/>
        <w:spacing w:before="60" w:after="60"/>
        <w:jc w:val="both"/>
        <w:rPr>
          <w:i/>
        </w:rPr>
      </w:pPr>
      <w:r w:rsidRPr="0037338C">
        <w:rPr>
          <w:sz w:val="22"/>
        </w:rPr>
        <w:t>Link to outcomes and priority areas</w:t>
      </w:r>
    </w:p>
    <w:p w14:paraId="06F4E690" w14:textId="77777777" w:rsidR="000C6B6D" w:rsidRPr="0037338C" w:rsidRDefault="000C6B6D" w:rsidP="000C6B6D">
      <w:pPr>
        <w:spacing w:after="120" w:line="300" w:lineRule="auto"/>
        <w:rPr>
          <w:rFonts w:ascii="Arial" w:hAnsi="Arial" w:cs="Arial"/>
          <w:sz w:val="22"/>
          <w:szCs w:val="22"/>
        </w:rPr>
      </w:pPr>
      <w:r w:rsidRPr="0037338C">
        <w:rPr>
          <w:rFonts w:ascii="Arial" w:hAnsi="Arial" w:cs="Arial"/>
          <w:sz w:val="22"/>
          <w:szCs w:val="22"/>
        </w:rPr>
        <w:t xml:space="preserve">Delivery of this measure supports the vision for the New Zealand health and disability system of </w:t>
      </w:r>
      <w:proofErr w:type="spellStart"/>
      <w:r w:rsidRPr="0037338C">
        <w:rPr>
          <w:rFonts w:ascii="Arial" w:hAnsi="Arial" w:cs="Arial"/>
          <w:sz w:val="22"/>
          <w:szCs w:val="22"/>
        </w:rPr>
        <w:t>Pae</w:t>
      </w:r>
      <w:proofErr w:type="spellEnd"/>
      <w:r w:rsidRPr="0037338C">
        <w:rPr>
          <w:rFonts w:ascii="Arial" w:hAnsi="Arial" w:cs="Arial"/>
          <w:sz w:val="22"/>
          <w:szCs w:val="22"/>
        </w:rPr>
        <w:t xml:space="preserve"> Ora – healthy futures.</w:t>
      </w:r>
    </w:p>
    <w:p w14:paraId="7C3DDCFA" w14:textId="77777777" w:rsidR="000C6B6D" w:rsidRPr="0037338C" w:rsidRDefault="000C6B6D" w:rsidP="000C6B6D">
      <w:pPr>
        <w:spacing w:before="60" w:after="60"/>
        <w:jc w:val="both"/>
        <w:rPr>
          <w:rFonts w:ascii="Arial" w:hAnsi="Arial" w:cs="Arial"/>
          <w:sz w:val="20"/>
          <w:szCs w:val="22"/>
          <w:lang w:val="en-US"/>
        </w:rPr>
      </w:pPr>
      <w:r w:rsidRPr="0037338C">
        <w:rPr>
          <w:rFonts w:ascii="Arial" w:hAnsi="Arial" w:cs="Arial"/>
          <w:sz w:val="22"/>
        </w:rPr>
        <w:t xml:space="preserve">By improving cervical screening coverage DHBs will assist in delivery of </w:t>
      </w:r>
      <w:r>
        <w:rPr>
          <w:rFonts w:ascii="Arial" w:hAnsi="Arial" w:cs="Arial"/>
          <w:sz w:val="22"/>
        </w:rPr>
        <w:t xml:space="preserve">the </w:t>
      </w:r>
      <w:r w:rsidRPr="0037338C">
        <w:rPr>
          <w:rFonts w:ascii="Arial" w:hAnsi="Arial" w:cs="Arial"/>
          <w:sz w:val="22"/>
        </w:rPr>
        <w:t xml:space="preserve">Government's priority to support healthier, </w:t>
      </w:r>
      <w:proofErr w:type="gramStart"/>
      <w:r w:rsidRPr="0037338C">
        <w:rPr>
          <w:rFonts w:ascii="Arial" w:hAnsi="Arial" w:cs="Arial"/>
          <w:sz w:val="22"/>
        </w:rPr>
        <w:t>safer</w:t>
      </w:r>
      <w:proofErr w:type="gramEnd"/>
      <w:r w:rsidRPr="0037338C">
        <w:rPr>
          <w:rFonts w:ascii="Arial" w:hAnsi="Arial" w:cs="Arial"/>
          <w:sz w:val="22"/>
        </w:rPr>
        <w:t xml:space="preserve"> and more connected communities and our health system outcome that we live longer in good health.</w:t>
      </w:r>
    </w:p>
    <w:p w14:paraId="6C536BA3" w14:textId="77777777" w:rsidR="000C6B6D" w:rsidRPr="0076250A" w:rsidRDefault="000C6B6D" w:rsidP="000C6B6D">
      <w:pPr>
        <w:shd w:val="clear" w:color="auto" w:fill="FFFFFF"/>
        <w:spacing w:before="60" w:after="60"/>
        <w:jc w:val="both"/>
        <w:rPr>
          <w:rFonts w:ascii="Arial" w:hAnsi="Arial" w:cs="Arial"/>
          <w:sz w:val="22"/>
          <w:szCs w:val="22"/>
        </w:rPr>
      </w:pPr>
    </w:p>
    <w:p w14:paraId="57554021" w14:textId="77777777" w:rsidR="000C6B6D" w:rsidRPr="00A5660B" w:rsidRDefault="000C6B6D" w:rsidP="000C6B6D">
      <w:pPr>
        <w:shd w:val="clear" w:color="auto" w:fill="FFFFFF"/>
        <w:spacing w:before="60" w:after="60"/>
        <w:jc w:val="both"/>
        <w:rPr>
          <w:rFonts w:ascii="Arial" w:hAnsi="Arial" w:cs="Arial"/>
          <w:b/>
          <w:sz w:val="22"/>
          <w:szCs w:val="22"/>
        </w:rPr>
      </w:pPr>
      <w:r w:rsidRPr="00A5660B">
        <w:rPr>
          <w:rFonts w:ascii="Arial" w:hAnsi="Arial" w:cs="Arial"/>
          <w:b/>
          <w:sz w:val="22"/>
          <w:szCs w:val="22"/>
        </w:rPr>
        <w:t>Actions and activities that have a proven impact on this measure:</w:t>
      </w:r>
    </w:p>
    <w:p w14:paraId="7C8A0BD3" w14:textId="77777777" w:rsidR="000C6B6D" w:rsidRPr="007D510B" w:rsidRDefault="000C6B6D" w:rsidP="00C04FF1">
      <w:pPr>
        <w:pStyle w:val="ListParagraph"/>
        <w:numPr>
          <w:ilvl w:val="0"/>
          <w:numId w:val="121"/>
        </w:numPr>
        <w:shd w:val="clear" w:color="auto" w:fill="FFFFFF"/>
        <w:spacing w:before="60" w:after="60"/>
        <w:jc w:val="both"/>
        <w:rPr>
          <w:rFonts w:ascii="Arial" w:hAnsi="Arial" w:cs="Arial"/>
          <w:sz w:val="22"/>
          <w:szCs w:val="22"/>
        </w:rPr>
      </w:pPr>
      <w:r w:rsidRPr="007D510B">
        <w:rPr>
          <w:rFonts w:ascii="Arial" w:hAnsi="Arial" w:cs="Arial"/>
          <w:sz w:val="22"/>
          <w:szCs w:val="22"/>
        </w:rPr>
        <w:t>Using data matching to identify women who are missing out from screening, and systematically inviting them for screening.</w:t>
      </w:r>
    </w:p>
    <w:p w14:paraId="56F495B0" w14:textId="77777777" w:rsidR="000C6B6D" w:rsidRPr="007D510B" w:rsidRDefault="000C6B6D" w:rsidP="00C04FF1">
      <w:pPr>
        <w:pStyle w:val="ListParagraph"/>
        <w:numPr>
          <w:ilvl w:val="0"/>
          <w:numId w:val="121"/>
        </w:numPr>
        <w:shd w:val="clear" w:color="auto" w:fill="FFFFFF"/>
        <w:spacing w:before="60" w:after="60"/>
        <w:jc w:val="both"/>
        <w:rPr>
          <w:rFonts w:ascii="Arial" w:hAnsi="Arial" w:cs="Arial"/>
          <w:sz w:val="22"/>
          <w:szCs w:val="22"/>
        </w:rPr>
      </w:pPr>
      <w:r>
        <w:rPr>
          <w:rFonts w:ascii="Arial" w:hAnsi="Arial" w:cs="Arial"/>
          <w:sz w:val="22"/>
          <w:szCs w:val="22"/>
        </w:rPr>
        <w:t>Using</w:t>
      </w:r>
      <w:r w:rsidRPr="007D510B">
        <w:rPr>
          <w:rFonts w:ascii="Arial" w:hAnsi="Arial" w:cs="Arial"/>
          <w:sz w:val="22"/>
          <w:szCs w:val="22"/>
        </w:rPr>
        <w:t xml:space="preserve"> screening support services (where these are available) to provide targeted support to </w:t>
      </w:r>
      <w:r>
        <w:rPr>
          <w:rFonts w:ascii="Arial" w:hAnsi="Arial" w:cs="Arial"/>
          <w:sz w:val="22"/>
          <w:szCs w:val="22"/>
        </w:rPr>
        <w:t xml:space="preserve">priority group </w:t>
      </w:r>
      <w:r w:rsidRPr="007D510B">
        <w:rPr>
          <w:rFonts w:ascii="Arial" w:hAnsi="Arial" w:cs="Arial"/>
          <w:sz w:val="22"/>
          <w:szCs w:val="22"/>
        </w:rPr>
        <w:t xml:space="preserve">women </w:t>
      </w:r>
      <w:r>
        <w:rPr>
          <w:rFonts w:ascii="Arial" w:hAnsi="Arial" w:cs="Arial"/>
          <w:sz w:val="22"/>
          <w:szCs w:val="22"/>
        </w:rPr>
        <w:t>in order to facilitate screening.</w:t>
      </w:r>
    </w:p>
    <w:p w14:paraId="001F5A7B" w14:textId="77777777" w:rsidR="000C6B6D" w:rsidRPr="007D510B" w:rsidRDefault="000C6B6D" w:rsidP="00C04FF1">
      <w:pPr>
        <w:pStyle w:val="ListParagraph"/>
        <w:numPr>
          <w:ilvl w:val="0"/>
          <w:numId w:val="121"/>
        </w:numPr>
        <w:shd w:val="clear" w:color="auto" w:fill="FFFFFF"/>
        <w:spacing w:before="60" w:after="60"/>
        <w:jc w:val="both"/>
        <w:rPr>
          <w:rFonts w:ascii="Arial" w:hAnsi="Arial" w:cs="Arial"/>
          <w:sz w:val="22"/>
          <w:szCs w:val="22"/>
        </w:rPr>
      </w:pPr>
      <w:r>
        <w:rPr>
          <w:rFonts w:ascii="Arial" w:hAnsi="Arial" w:cs="Arial"/>
          <w:sz w:val="22"/>
          <w:szCs w:val="22"/>
        </w:rPr>
        <w:t xml:space="preserve">Reducing barriers to screening by providing </w:t>
      </w:r>
      <w:r w:rsidRPr="007D510B">
        <w:rPr>
          <w:rFonts w:ascii="Arial" w:hAnsi="Arial" w:cs="Arial"/>
          <w:sz w:val="22"/>
          <w:szCs w:val="22"/>
        </w:rPr>
        <w:t xml:space="preserve">free </w:t>
      </w:r>
      <w:r>
        <w:rPr>
          <w:rFonts w:ascii="Arial" w:hAnsi="Arial" w:cs="Arial"/>
          <w:sz w:val="22"/>
          <w:szCs w:val="22"/>
        </w:rPr>
        <w:t>cervical screening</w:t>
      </w:r>
      <w:r w:rsidRPr="007D510B">
        <w:rPr>
          <w:rFonts w:ascii="Arial" w:hAnsi="Arial" w:cs="Arial"/>
          <w:sz w:val="22"/>
          <w:szCs w:val="22"/>
        </w:rPr>
        <w:t xml:space="preserve"> to priority group women.</w:t>
      </w:r>
    </w:p>
    <w:p w14:paraId="4DDED67B" w14:textId="77777777" w:rsidR="000C6B6D" w:rsidRDefault="000C6B6D" w:rsidP="00C04FF1">
      <w:pPr>
        <w:pStyle w:val="ListParagraph"/>
        <w:numPr>
          <w:ilvl w:val="0"/>
          <w:numId w:val="121"/>
        </w:numPr>
        <w:shd w:val="clear" w:color="auto" w:fill="FFFFFF"/>
        <w:spacing w:before="60" w:after="60"/>
        <w:jc w:val="both"/>
        <w:rPr>
          <w:rFonts w:ascii="Arial" w:hAnsi="Arial" w:cs="Arial"/>
          <w:sz w:val="22"/>
          <w:szCs w:val="22"/>
        </w:rPr>
      </w:pPr>
      <w:r>
        <w:rPr>
          <w:rFonts w:ascii="Arial" w:hAnsi="Arial" w:cs="Arial"/>
          <w:sz w:val="22"/>
          <w:szCs w:val="22"/>
        </w:rPr>
        <w:t>Providing individual support to primary care providers</w:t>
      </w:r>
      <w:r w:rsidRPr="007D510B">
        <w:rPr>
          <w:rFonts w:ascii="Arial" w:hAnsi="Arial" w:cs="Arial"/>
          <w:sz w:val="22"/>
          <w:szCs w:val="22"/>
        </w:rPr>
        <w:t xml:space="preserve"> to improve cervical screening systems and processes, and improve screening rates.</w:t>
      </w:r>
    </w:p>
    <w:p w14:paraId="78D7168E" w14:textId="77777777" w:rsidR="000C6B6D" w:rsidRDefault="000C6B6D" w:rsidP="00C04FF1">
      <w:pPr>
        <w:pStyle w:val="ListParagraph"/>
        <w:numPr>
          <w:ilvl w:val="0"/>
          <w:numId w:val="121"/>
        </w:numPr>
        <w:shd w:val="clear" w:color="auto" w:fill="FFFFFF"/>
        <w:spacing w:before="60" w:after="60"/>
        <w:jc w:val="both"/>
        <w:rPr>
          <w:rFonts w:ascii="Arial" w:hAnsi="Arial" w:cs="Arial"/>
          <w:sz w:val="22"/>
          <w:szCs w:val="22"/>
        </w:rPr>
      </w:pPr>
      <w:r>
        <w:rPr>
          <w:rFonts w:ascii="Arial" w:hAnsi="Arial" w:cs="Arial"/>
          <w:sz w:val="22"/>
          <w:szCs w:val="22"/>
        </w:rPr>
        <w:t>Holding regular meetings where key stakeholders work collaboratively on strategies for improving cervical screening coverage.</w:t>
      </w:r>
    </w:p>
    <w:p w14:paraId="6E89470F" w14:textId="77777777" w:rsidR="000C6B6D" w:rsidRPr="007D510B" w:rsidRDefault="000C6B6D" w:rsidP="00C04FF1">
      <w:pPr>
        <w:pStyle w:val="ListParagraph"/>
        <w:numPr>
          <w:ilvl w:val="0"/>
          <w:numId w:val="121"/>
        </w:numPr>
        <w:shd w:val="clear" w:color="auto" w:fill="FFFFFF"/>
        <w:spacing w:before="60" w:after="60"/>
        <w:jc w:val="both"/>
        <w:rPr>
          <w:rFonts w:ascii="Arial" w:hAnsi="Arial" w:cs="Arial"/>
          <w:sz w:val="22"/>
          <w:szCs w:val="22"/>
        </w:rPr>
      </w:pPr>
      <w:r>
        <w:rPr>
          <w:rFonts w:ascii="Arial" w:hAnsi="Arial" w:cs="Arial"/>
          <w:sz w:val="22"/>
          <w:szCs w:val="22"/>
        </w:rPr>
        <w:t>Undertaking initiatives to improve attendance by priority group women at colposcopy clinics.</w:t>
      </w:r>
    </w:p>
    <w:p w14:paraId="237805DC" w14:textId="77777777" w:rsidR="000C6B6D" w:rsidRDefault="000C6B6D" w:rsidP="000C6B6D">
      <w:pPr>
        <w:rPr>
          <w:rFonts w:ascii="Arial" w:hAnsi="Arial" w:cs="Arial"/>
          <w:b/>
          <w:sz w:val="22"/>
          <w:szCs w:val="22"/>
        </w:rPr>
      </w:pPr>
    </w:p>
    <w:p w14:paraId="4E8582B1" w14:textId="77777777" w:rsidR="000C6B6D" w:rsidRDefault="000C6B6D" w:rsidP="000C6B6D">
      <w:pPr>
        <w:spacing w:after="160" w:line="259" w:lineRule="auto"/>
        <w:rPr>
          <w:rFonts w:ascii="Arial" w:hAnsi="Arial" w:cs="Arial"/>
          <w:b/>
          <w:sz w:val="22"/>
          <w:szCs w:val="22"/>
        </w:rPr>
      </w:pPr>
      <w:r>
        <w:rPr>
          <w:rFonts w:ascii="Arial" w:hAnsi="Arial" w:cs="Arial"/>
          <w:b/>
          <w:sz w:val="22"/>
          <w:szCs w:val="22"/>
        </w:rPr>
        <w:br w:type="page"/>
      </w:r>
    </w:p>
    <w:p w14:paraId="72F39BDC" w14:textId="77777777" w:rsidR="000C6B6D" w:rsidRDefault="000C6B6D" w:rsidP="000C6B6D">
      <w:pPr>
        <w:shd w:val="clear" w:color="auto" w:fill="FFFFFF"/>
        <w:spacing w:before="60" w:after="60"/>
        <w:jc w:val="both"/>
        <w:rPr>
          <w:rFonts w:ascii="Arial" w:hAnsi="Arial" w:cs="Arial"/>
          <w:b/>
          <w:sz w:val="22"/>
          <w:szCs w:val="22"/>
        </w:rPr>
      </w:pPr>
      <w:proofErr w:type="gramStart"/>
      <w:r w:rsidRPr="00836EB7">
        <w:rPr>
          <w:rFonts w:ascii="Arial" w:hAnsi="Arial" w:cs="Arial"/>
          <w:b/>
          <w:sz w:val="22"/>
          <w:szCs w:val="22"/>
        </w:rPr>
        <w:lastRenderedPageBreak/>
        <w:t>Deliverables</w:t>
      </w:r>
      <w:proofErr w:type="gramEnd"/>
      <w:r w:rsidRPr="00836EB7">
        <w:rPr>
          <w:rFonts w:ascii="Arial" w:hAnsi="Arial" w:cs="Arial"/>
          <w:b/>
          <w:sz w:val="22"/>
          <w:szCs w:val="22"/>
        </w:rPr>
        <w:t xml:space="preserve"> definitions</w:t>
      </w:r>
    </w:p>
    <w:p w14:paraId="06AF45C8" w14:textId="77777777" w:rsidR="000C6B6D" w:rsidRDefault="000C6B6D" w:rsidP="000C6B6D">
      <w:pPr>
        <w:shd w:val="clear" w:color="auto" w:fill="FFFFFF"/>
        <w:spacing w:before="60" w:after="60"/>
        <w:rPr>
          <w:rFonts w:ascii="Arial" w:hAnsi="Arial" w:cs="Arial"/>
          <w:sz w:val="22"/>
          <w:szCs w:val="22"/>
        </w:rPr>
      </w:pPr>
      <w:r w:rsidRPr="00466419">
        <w:rPr>
          <w:rFonts w:ascii="Arial" w:hAnsi="Arial" w:cs="Arial"/>
          <w:sz w:val="22"/>
          <w:szCs w:val="22"/>
        </w:rPr>
        <w:t xml:space="preserve">Quarterly DHB </w:t>
      </w:r>
      <w:r>
        <w:rPr>
          <w:rFonts w:ascii="Arial" w:hAnsi="Arial" w:cs="Arial"/>
          <w:sz w:val="22"/>
          <w:szCs w:val="22"/>
        </w:rPr>
        <w:t>cervical</w:t>
      </w:r>
      <w:r w:rsidRPr="00466419">
        <w:rPr>
          <w:rFonts w:ascii="Arial" w:hAnsi="Arial" w:cs="Arial"/>
          <w:sz w:val="22"/>
          <w:szCs w:val="22"/>
        </w:rPr>
        <w:t xml:space="preserve"> screening equity and coverage data is published on the NSU website </w:t>
      </w:r>
      <w:hyperlink r:id="rId28" w:history="1">
        <w:r w:rsidRPr="00466419">
          <w:rPr>
            <w:rStyle w:val="Hyperlink"/>
            <w:rFonts w:ascii="Arial" w:hAnsi="Arial" w:cs="Arial"/>
            <w:sz w:val="22"/>
            <w:szCs w:val="22"/>
          </w:rPr>
          <w:t>https://www.nsu.govt.nz/health-professionals/national-cervical-screening-programme/cervical-screening-coverage</w:t>
        </w:r>
      </w:hyperlink>
      <w:r>
        <w:rPr>
          <w:rFonts w:ascii="Arial" w:hAnsi="Arial" w:cs="Arial"/>
          <w:sz w:val="22"/>
          <w:szCs w:val="22"/>
        </w:rPr>
        <w:t xml:space="preserve">. </w:t>
      </w:r>
    </w:p>
    <w:p w14:paraId="0D14AAB4" w14:textId="77777777" w:rsidR="000C6B6D" w:rsidRPr="008C0874" w:rsidRDefault="000C6B6D" w:rsidP="000C6B6D">
      <w:pPr>
        <w:shd w:val="clear" w:color="auto" w:fill="FFFFFF"/>
        <w:spacing w:before="60" w:after="60"/>
        <w:jc w:val="both"/>
        <w:rPr>
          <w:rFonts w:ascii="Arial" w:hAnsi="Arial" w:cs="Arial"/>
          <w:sz w:val="22"/>
          <w:szCs w:val="22"/>
        </w:rPr>
      </w:pPr>
      <w:r>
        <w:rPr>
          <w:rFonts w:ascii="Arial" w:hAnsi="Arial" w:cs="Arial"/>
          <w:sz w:val="22"/>
          <w:szCs w:val="22"/>
        </w:rPr>
        <w:t xml:space="preserve"> </w:t>
      </w:r>
    </w:p>
    <w:p w14:paraId="6CE572D6" w14:textId="77777777" w:rsidR="000C6B6D" w:rsidRDefault="000C6B6D" w:rsidP="000C6B6D">
      <w:pPr>
        <w:shd w:val="clear" w:color="auto" w:fill="FFFFFF"/>
        <w:spacing w:before="60" w:after="60"/>
        <w:jc w:val="both"/>
        <w:rPr>
          <w:rFonts w:ascii="Arial" w:hAnsi="Arial" w:cs="Arial"/>
          <w:b/>
          <w:i/>
          <w:sz w:val="22"/>
          <w:szCs w:val="22"/>
        </w:rPr>
      </w:pPr>
      <w:r>
        <w:rPr>
          <w:rFonts w:ascii="Arial" w:hAnsi="Arial" w:cs="Arial"/>
          <w:b/>
          <w:i/>
          <w:sz w:val="22"/>
          <w:szCs w:val="22"/>
        </w:rPr>
        <w:t xml:space="preserve">Cervical screening coverage </w:t>
      </w:r>
    </w:p>
    <w:p w14:paraId="39736577" w14:textId="77777777" w:rsidR="000C6B6D" w:rsidRPr="00F97D2B" w:rsidRDefault="000C6B6D" w:rsidP="000C6B6D">
      <w:pPr>
        <w:shd w:val="clear" w:color="auto" w:fill="FFFFFF"/>
        <w:spacing w:before="60" w:after="60"/>
        <w:jc w:val="both"/>
        <w:rPr>
          <w:rFonts w:ascii="Arial" w:hAnsi="Arial" w:cs="Arial"/>
          <w:sz w:val="22"/>
          <w:szCs w:val="22"/>
        </w:rPr>
      </w:pPr>
      <w:r w:rsidRPr="005348C0">
        <w:rPr>
          <w:rFonts w:ascii="Arial" w:hAnsi="Arial" w:cs="Arial"/>
          <w:b/>
          <w:i/>
          <w:sz w:val="22"/>
          <w:szCs w:val="22"/>
        </w:rPr>
        <w:t>Numerator</w:t>
      </w:r>
      <w:r w:rsidRPr="00AB7FDC">
        <w:rPr>
          <w:rFonts w:ascii="Arial" w:hAnsi="Arial" w:cs="Arial"/>
          <w:i/>
          <w:sz w:val="22"/>
          <w:szCs w:val="22"/>
        </w:rPr>
        <w:t>:</w:t>
      </w:r>
      <w:r w:rsidRPr="00F97D2B">
        <w:rPr>
          <w:rFonts w:ascii="Arial" w:hAnsi="Arial" w:cs="Arial"/>
          <w:sz w:val="22"/>
          <w:szCs w:val="22"/>
        </w:rPr>
        <w:t xml:space="preserve"> </w:t>
      </w:r>
    </w:p>
    <w:p w14:paraId="1B086B76" w14:textId="77777777" w:rsidR="000C6B6D" w:rsidRDefault="000C6B6D" w:rsidP="000C6B6D">
      <w:pPr>
        <w:spacing w:before="60" w:after="60"/>
        <w:jc w:val="both"/>
        <w:rPr>
          <w:rFonts w:ascii="Arial" w:hAnsi="Arial" w:cs="Arial"/>
          <w:sz w:val="22"/>
          <w:szCs w:val="22"/>
        </w:rPr>
      </w:pPr>
      <w:r>
        <w:rPr>
          <w:rFonts w:ascii="Arial" w:hAnsi="Arial" w:cs="Arial"/>
          <w:sz w:val="22"/>
          <w:szCs w:val="22"/>
        </w:rPr>
        <w:t xml:space="preserve">Women aged 25-69 who have completed cervical screening in the previous three years, by ethnicity. Numerator data is extracted from the national cervical screening register.   </w:t>
      </w:r>
    </w:p>
    <w:p w14:paraId="2D0F508E" w14:textId="77777777" w:rsidR="000C6B6D" w:rsidRDefault="000C6B6D" w:rsidP="000C6B6D">
      <w:pPr>
        <w:shd w:val="clear" w:color="auto" w:fill="FFFFFF"/>
        <w:spacing w:before="60" w:after="60"/>
        <w:jc w:val="both"/>
        <w:rPr>
          <w:rFonts w:ascii="Arial" w:hAnsi="Arial" w:cs="Arial"/>
          <w:i/>
          <w:sz w:val="22"/>
          <w:szCs w:val="22"/>
        </w:rPr>
      </w:pPr>
    </w:p>
    <w:p w14:paraId="3F922463" w14:textId="77777777" w:rsidR="000C6B6D" w:rsidRPr="00F97D2B" w:rsidRDefault="000C6B6D" w:rsidP="000C6B6D">
      <w:pPr>
        <w:shd w:val="clear" w:color="auto" w:fill="FFFFFF"/>
        <w:spacing w:before="60" w:after="60"/>
        <w:jc w:val="both"/>
        <w:rPr>
          <w:rFonts w:ascii="Arial" w:hAnsi="Arial" w:cs="Arial"/>
          <w:sz w:val="22"/>
          <w:szCs w:val="22"/>
        </w:rPr>
      </w:pPr>
      <w:r w:rsidRPr="005348C0">
        <w:rPr>
          <w:rFonts w:ascii="Arial" w:hAnsi="Arial" w:cs="Arial"/>
          <w:b/>
          <w:i/>
          <w:sz w:val="22"/>
          <w:szCs w:val="22"/>
        </w:rPr>
        <w:t>Denominator</w:t>
      </w:r>
      <w:r w:rsidRPr="00AB7FDC">
        <w:rPr>
          <w:rFonts w:ascii="Arial" w:hAnsi="Arial" w:cs="Arial"/>
          <w:i/>
          <w:sz w:val="22"/>
          <w:szCs w:val="22"/>
        </w:rPr>
        <w:t>:</w:t>
      </w:r>
      <w:r w:rsidRPr="00F97D2B">
        <w:rPr>
          <w:rFonts w:ascii="Arial" w:hAnsi="Arial" w:cs="Arial"/>
          <w:sz w:val="22"/>
          <w:szCs w:val="22"/>
        </w:rPr>
        <w:t xml:space="preserve"> </w:t>
      </w:r>
    </w:p>
    <w:p w14:paraId="648ACAC5" w14:textId="77777777" w:rsidR="000C6B6D" w:rsidRDefault="000C6B6D" w:rsidP="000C6B6D">
      <w:pPr>
        <w:shd w:val="clear" w:color="auto" w:fill="FFFFFF"/>
        <w:spacing w:before="60" w:after="60"/>
        <w:jc w:val="both"/>
        <w:rPr>
          <w:rFonts w:ascii="Arial" w:hAnsi="Arial" w:cs="Arial"/>
          <w:sz w:val="22"/>
          <w:szCs w:val="22"/>
        </w:rPr>
      </w:pPr>
      <w:r>
        <w:rPr>
          <w:rFonts w:ascii="Arial" w:hAnsi="Arial" w:cs="Arial"/>
          <w:sz w:val="22"/>
          <w:szCs w:val="22"/>
        </w:rPr>
        <w:t>Cervical screening coverage d</w:t>
      </w:r>
      <w:r w:rsidRPr="003B1CAD">
        <w:rPr>
          <w:rFonts w:ascii="Arial" w:hAnsi="Arial" w:cs="Arial"/>
          <w:sz w:val="22"/>
          <w:szCs w:val="22"/>
        </w:rPr>
        <w:t>enominators are derived from the Statistics New Zealand population estimates</w:t>
      </w:r>
      <w:r>
        <w:rPr>
          <w:rFonts w:ascii="Arial" w:hAnsi="Arial" w:cs="Arial"/>
          <w:sz w:val="22"/>
          <w:szCs w:val="22"/>
        </w:rPr>
        <w:t>, by ethnicity (adjusted for hysterectomy).</w:t>
      </w:r>
    </w:p>
    <w:p w14:paraId="3B91DB7B" w14:textId="77777777" w:rsidR="000C6B6D" w:rsidRDefault="000C6B6D" w:rsidP="000C6B6D">
      <w:pPr>
        <w:shd w:val="clear" w:color="auto" w:fill="FFFFFF"/>
        <w:spacing w:before="60" w:after="60"/>
        <w:rPr>
          <w:rFonts w:ascii="Arial" w:hAnsi="Arial" w:cs="Arial"/>
          <w:b/>
          <w:sz w:val="22"/>
          <w:szCs w:val="22"/>
        </w:rPr>
      </w:pPr>
    </w:p>
    <w:p w14:paraId="659DD772" w14:textId="77777777" w:rsidR="000C6B6D" w:rsidRDefault="000C6B6D" w:rsidP="000C6B6D">
      <w:pPr>
        <w:shd w:val="clear" w:color="auto" w:fill="FFFFFF"/>
        <w:spacing w:before="60" w:after="60"/>
        <w:rPr>
          <w:rFonts w:ascii="Arial" w:hAnsi="Arial" w:cs="Arial"/>
          <w:sz w:val="22"/>
          <w:szCs w:val="22"/>
        </w:rPr>
      </w:pPr>
      <w:r>
        <w:rPr>
          <w:rFonts w:ascii="Arial" w:hAnsi="Arial" w:cs="Arial"/>
          <w:b/>
          <w:sz w:val="22"/>
          <w:szCs w:val="22"/>
        </w:rPr>
        <w:t>Cervical</w:t>
      </w:r>
      <w:r w:rsidRPr="00AB7FDC">
        <w:rPr>
          <w:rFonts w:ascii="Arial" w:hAnsi="Arial" w:cs="Arial"/>
          <w:b/>
          <w:sz w:val="22"/>
          <w:szCs w:val="22"/>
        </w:rPr>
        <w:t xml:space="preserve"> screening equity </w:t>
      </w:r>
      <w:r>
        <w:rPr>
          <w:rFonts w:ascii="Arial" w:hAnsi="Arial" w:cs="Arial"/>
          <w:b/>
          <w:sz w:val="22"/>
          <w:szCs w:val="22"/>
        </w:rPr>
        <w:t xml:space="preserve">difference </w:t>
      </w:r>
    </w:p>
    <w:p w14:paraId="735F217A" w14:textId="77777777" w:rsidR="000C6B6D" w:rsidRDefault="000C6B6D" w:rsidP="000C6B6D">
      <w:pPr>
        <w:shd w:val="clear" w:color="auto" w:fill="FFFFFF"/>
        <w:spacing w:before="60" w:after="60"/>
        <w:rPr>
          <w:rFonts w:ascii="Arial" w:hAnsi="Arial" w:cs="Arial"/>
          <w:sz w:val="22"/>
          <w:szCs w:val="22"/>
        </w:rPr>
      </w:pPr>
      <w:r>
        <w:rPr>
          <w:rFonts w:ascii="Arial" w:hAnsi="Arial" w:cs="Arial"/>
          <w:sz w:val="22"/>
          <w:szCs w:val="22"/>
        </w:rPr>
        <w:t xml:space="preserve">Calculated by subtracting the non-Māori/non-Pacific/non-Asian screening coverage percentage from the Māori, </w:t>
      </w:r>
      <w:proofErr w:type="gramStart"/>
      <w:r>
        <w:rPr>
          <w:rFonts w:ascii="Arial" w:hAnsi="Arial" w:cs="Arial"/>
          <w:sz w:val="22"/>
          <w:szCs w:val="22"/>
        </w:rPr>
        <w:t>Pacific</w:t>
      </w:r>
      <w:proofErr w:type="gramEnd"/>
      <w:r>
        <w:rPr>
          <w:rFonts w:ascii="Arial" w:hAnsi="Arial" w:cs="Arial"/>
          <w:sz w:val="22"/>
          <w:szCs w:val="22"/>
        </w:rPr>
        <w:t xml:space="preserve"> or Asian screening coverage percentage. A negative number indicates an equity gap, where these priority group women do not have equitable access to screening. See the formula below: </w:t>
      </w:r>
    </w:p>
    <w:p w14:paraId="23944932" w14:textId="77777777" w:rsidR="000C6B6D" w:rsidRDefault="000C6B6D" w:rsidP="000C6B6D">
      <w:pPr>
        <w:shd w:val="clear" w:color="auto" w:fill="FFFFFF"/>
        <w:spacing w:before="60" w:after="60"/>
        <w:ind w:left="-142" w:right="-188"/>
        <w:rPr>
          <w:rFonts w:ascii="Arial" w:hAnsi="Arial" w:cs="Arial"/>
          <w:sz w:val="22"/>
          <w:szCs w:val="22"/>
        </w:rPr>
      </w:pPr>
      <w:r w:rsidRPr="00AB7FDC">
        <w:rPr>
          <w:rFonts w:ascii="Arial" w:hAnsi="Arial" w:cs="Arial"/>
          <w:noProof/>
          <w:sz w:val="22"/>
          <w:szCs w:val="22"/>
          <w:lang w:eastAsia="en-NZ"/>
        </w:rPr>
        <mc:AlternateContent>
          <mc:Choice Requires="wps">
            <w:drawing>
              <wp:inline distT="0" distB="0" distL="0" distR="0" wp14:anchorId="13F07C48" wp14:editId="0BDCA49C">
                <wp:extent cx="2246327" cy="545548"/>
                <wp:effectExtent l="0" t="0" r="1905" b="698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327" cy="545548"/>
                        </a:xfrm>
                        <a:prstGeom prst="rect">
                          <a:avLst/>
                        </a:prstGeom>
                        <a:solidFill>
                          <a:srgbClr val="FFFFFF"/>
                        </a:solidFill>
                        <a:ln w="9525">
                          <a:noFill/>
                          <a:miter lim="800000"/>
                          <a:headEnd/>
                          <a:tailEnd/>
                        </a:ln>
                      </wps:spPr>
                      <wps:txbx>
                        <w:txbxContent>
                          <w:p w14:paraId="0876ED69" w14:textId="77777777" w:rsidR="00AF0F9D" w:rsidRPr="00AB7FDC" w:rsidRDefault="00AF0F9D" w:rsidP="000C6B6D">
                            <w:pPr>
                              <w:shd w:val="clear" w:color="auto" w:fill="FFFFFF"/>
                              <w:spacing w:before="60" w:after="60"/>
                              <w:ind w:left="-426"/>
                              <w:jc w:val="center"/>
                              <w:rPr>
                                <w:rFonts w:ascii="Arial" w:hAnsi="Arial" w:cs="Arial"/>
                                <w:i/>
                                <w:sz w:val="20"/>
                                <w:szCs w:val="22"/>
                              </w:rPr>
                            </w:pPr>
                            <w:r>
                              <w:rPr>
                                <w:rFonts w:ascii="Arial" w:hAnsi="Arial" w:cs="Arial"/>
                                <w:b/>
                                <w:i/>
                                <w:sz w:val="20"/>
                                <w:szCs w:val="22"/>
                              </w:rPr>
                              <w:t>Cervical</w:t>
                            </w:r>
                            <w:r w:rsidRPr="00AB7FDC">
                              <w:rPr>
                                <w:rFonts w:ascii="Arial" w:hAnsi="Arial" w:cs="Arial"/>
                                <w:b/>
                                <w:i/>
                                <w:sz w:val="20"/>
                                <w:szCs w:val="22"/>
                              </w:rPr>
                              <w:t xml:space="preserve"> screening coverage (%)</w:t>
                            </w:r>
                            <w:r w:rsidRPr="00AB7FDC">
                              <w:rPr>
                                <w:rFonts w:ascii="Arial" w:hAnsi="Arial" w:cs="Arial"/>
                                <w:i/>
                                <w:sz w:val="20"/>
                                <w:szCs w:val="22"/>
                              </w:rPr>
                              <w:t xml:space="preserve"> (Māori </w:t>
                            </w:r>
                            <w:r>
                              <w:rPr>
                                <w:rFonts w:ascii="Arial" w:hAnsi="Arial" w:cs="Arial"/>
                                <w:i/>
                                <w:sz w:val="20"/>
                                <w:szCs w:val="22"/>
                              </w:rPr>
                              <w:t xml:space="preserve">or </w:t>
                            </w:r>
                            <w:r w:rsidRPr="00AB7FDC">
                              <w:rPr>
                                <w:rFonts w:ascii="Arial" w:hAnsi="Arial" w:cs="Arial"/>
                                <w:i/>
                                <w:sz w:val="20"/>
                                <w:szCs w:val="22"/>
                              </w:rPr>
                              <w:t xml:space="preserve">Pacific </w:t>
                            </w:r>
                            <w:r>
                              <w:rPr>
                                <w:rFonts w:ascii="Arial" w:hAnsi="Arial" w:cs="Arial"/>
                                <w:i/>
                                <w:sz w:val="20"/>
                                <w:szCs w:val="22"/>
                              </w:rPr>
                              <w:t xml:space="preserve">or Asian </w:t>
                            </w:r>
                            <w:r w:rsidRPr="00AB7FDC">
                              <w:rPr>
                                <w:rFonts w:ascii="Arial" w:hAnsi="Arial" w:cs="Arial"/>
                                <w:i/>
                                <w:sz w:val="20"/>
                                <w:szCs w:val="22"/>
                              </w:rPr>
                              <w:t>women)</w:t>
                            </w:r>
                          </w:p>
                        </w:txbxContent>
                      </wps:txbx>
                      <wps:bodyPr rot="0" vert="horz" wrap="square" lIns="91440" tIns="45720" rIns="91440" bIns="45720" anchor="t" anchorCtr="0">
                        <a:noAutofit/>
                      </wps:bodyPr>
                    </wps:wsp>
                  </a:graphicData>
                </a:graphic>
              </wp:inline>
            </w:drawing>
          </mc:Choice>
          <mc:Fallback>
            <w:pict>
              <v:shapetype w14:anchorId="13F07C48" id="_x0000_t202" coordsize="21600,21600" o:spt="202" path="m,l,21600r21600,l21600,xe">
                <v:stroke joinstyle="miter"/>
                <v:path gradientshapeok="t" o:connecttype="rect"/>
              </v:shapetype>
              <v:shape id="Text Box 2" o:spid="_x0000_s1026" type="#_x0000_t202" style="width:176.9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" stroked="f">
                <v:textbox>
                  <w:txbxContent>
                    <w:p w14:paraId="0876ED69" w14:textId="77777777" w:rsidR="00AF0F9D" w:rsidRPr="00AB7FDC" w:rsidRDefault="00AF0F9D" w:rsidP="000C6B6D">
                      <w:pPr>
                        <w:shd w:val="clear" w:color="auto" w:fill="FFFFFF"/>
                        <w:spacing w:before="60" w:after="60"/>
                        <w:ind w:left="-426"/>
                        <w:jc w:val="center"/>
                        <w:rPr>
                          <w:rFonts w:ascii="Arial" w:hAnsi="Arial" w:cs="Arial"/>
                          <w:i/>
                          <w:sz w:val="20"/>
                          <w:szCs w:val="22"/>
                        </w:rPr>
                      </w:pPr>
                      <w:r>
                        <w:rPr>
                          <w:rFonts w:ascii="Arial" w:hAnsi="Arial" w:cs="Arial"/>
                          <w:b/>
                          <w:i/>
                          <w:sz w:val="20"/>
                          <w:szCs w:val="22"/>
                        </w:rPr>
                        <w:t>Cervical</w:t>
                      </w:r>
                      <w:r w:rsidRPr="00AB7FDC">
                        <w:rPr>
                          <w:rFonts w:ascii="Arial" w:hAnsi="Arial" w:cs="Arial"/>
                          <w:b/>
                          <w:i/>
                          <w:sz w:val="20"/>
                          <w:szCs w:val="22"/>
                        </w:rPr>
                        <w:t xml:space="preserve"> screening coverage (%)</w:t>
                      </w:r>
                      <w:r w:rsidRPr="00AB7FDC">
                        <w:rPr>
                          <w:rFonts w:ascii="Arial" w:hAnsi="Arial" w:cs="Arial"/>
                          <w:i/>
                          <w:sz w:val="20"/>
                          <w:szCs w:val="22"/>
                        </w:rPr>
                        <w:t xml:space="preserve"> (Māori </w:t>
                      </w:r>
                      <w:r>
                        <w:rPr>
                          <w:rFonts w:ascii="Arial" w:hAnsi="Arial" w:cs="Arial"/>
                          <w:i/>
                          <w:sz w:val="20"/>
                          <w:szCs w:val="22"/>
                        </w:rPr>
                        <w:t xml:space="preserve">or </w:t>
                      </w:r>
                      <w:r w:rsidRPr="00AB7FDC">
                        <w:rPr>
                          <w:rFonts w:ascii="Arial" w:hAnsi="Arial" w:cs="Arial"/>
                          <w:i/>
                          <w:sz w:val="20"/>
                          <w:szCs w:val="22"/>
                        </w:rPr>
                        <w:t xml:space="preserve">Pacific </w:t>
                      </w:r>
                      <w:r>
                        <w:rPr>
                          <w:rFonts w:ascii="Arial" w:hAnsi="Arial" w:cs="Arial"/>
                          <w:i/>
                          <w:sz w:val="20"/>
                          <w:szCs w:val="22"/>
                        </w:rPr>
                        <w:t xml:space="preserve">or Asian </w:t>
                      </w:r>
                      <w:r w:rsidRPr="00AB7FDC">
                        <w:rPr>
                          <w:rFonts w:ascii="Arial" w:hAnsi="Arial" w:cs="Arial"/>
                          <w:i/>
                          <w:sz w:val="20"/>
                          <w:szCs w:val="22"/>
                        </w:rPr>
                        <w:t>women)</w:t>
                      </w:r>
                    </w:p>
                  </w:txbxContent>
                </v:textbox>
                <w10:anchorlock/>
              </v:shape>
            </w:pict>
          </mc:Fallback>
        </mc:AlternateContent>
      </w:r>
      <w:r w:rsidRPr="00AB7FDC">
        <w:rPr>
          <w:rFonts w:ascii="Arial" w:hAnsi="Arial" w:cs="Arial"/>
          <w:noProof/>
          <w:sz w:val="22"/>
          <w:szCs w:val="22"/>
          <w:lang w:eastAsia="en-NZ"/>
        </w:rPr>
        <mc:AlternateContent>
          <mc:Choice Requires="wps">
            <w:drawing>
              <wp:inline distT="0" distB="0" distL="0" distR="0" wp14:anchorId="2AA3AEF8" wp14:editId="647C1FB5">
                <wp:extent cx="246490" cy="651648"/>
                <wp:effectExtent l="0" t="0" r="127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 cy="651648"/>
                        </a:xfrm>
                        <a:prstGeom prst="rect">
                          <a:avLst/>
                        </a:prstGeom>
                        <a:solidFill>
                          <a:srgbClr val="FFFFFF"/>
                        </a:solidFill>
                        <a:ln w="9525">
                          <a:noFill/>
                          <a:miter lim="800000"/>
                          <a:headEnd/>
                          <a:tailEnd/>
                        </a:ln>
                      </wps:spPr>
                      <wps:txbx>
                        <w:txbxContent>
                          <w:p w14:paraId="7334E2F5" w14:textId="77777777" w:rsidR="00AF0F9D" w:rsidRPr="00AB7FDC" w:rsidRDefault="00AF0F9D" w:rsidP="000C6B6D">
                            <w:pPr>
                              <w:shd w:val="clear" w:color="auto" w:fill="FFFFFF"/>
                              <w:spacing w:before="60" w:after="60"/>
                              <w:rPr>
                                <w:rFonts w:ascii="Arial" w:hAnsi="Arial" w:cs="Arial"/>
                                <w:sz w:val="40"/>
                                <w:szCs w:val="22"/>
                              </w:rPr>
                            </w:pPr>
                            <w:r w:rsidRPr="00AB7FDC">
                              <w:rPr>
                                <w:rFonts w:ascii="Arial" w:hAnsi="Arial" w:cs="Arial"/>
                                <w:sz w:val="40"/>
                                <w:szCs w:val="22"/>
                              </w:rPr>
                              <w:t>-</w:t>
                            </w:r>
                          </w:p>
                        </w:txbxContent>
                      </wps:txbx>
                      <wps:bodyPr rot="0" vert="horz" wrap="square" lIns="91440" tIns="45720" rIns="91440" bIns="45720" anchor="t" anchorCtr="0">
                        <a:noAutofit/>
                      </wps:bodyPr>
                    </wps:wsp>
                  </a:graphicData>
                </a:graphic>
              </wp:inline>
            </w:drawing>
          </mc:Choice>
          <mc:Fallback>
            <w:pict>
              <v:shape w14:anchorId="2AA3AEF8" id="Text Box 15" o:spid="_x0000_s1027" type="#_x0000_t202" style="width:19.4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" stroked="f">
                <v:textbox>
                  <w:txbxContent>
                    <w:p w14:paraId="7334E2F5" w14:textId="77777777" w:rsidR="00AF0F9D" w:rsidRPr="00AB7FDC" w:rsidRDefault="00AF0F9D" w:rsidP="000C6B6D">
                      <w:pPr>
                        <w:shd w:val="clear" w:color="auto" w:fill="FFFFFF"/>
                        <w:spacing w:before="60" w:after="60"/>
                        <w:rPr>
                          <w:rFonts w:ascii="Arial" w:hAnsi="Arial" w:cs="Arial"/>
                          <w:sz w:val="40"/>
                          <w:szCs w:val="22"/>
                        </w:rPr>
                      </w:pPr>
                      <w:r w:rsidRPr="00AB7FDC">
                        <w:rPr>
                          <w:rFonts w:ascii="Arial" w:hAnsi="Arial" w:cs="Arial"/>
                          <w:sz w:val="40"/>
                          <w:szCs w:val="22"/>
                        </w:rPr>
                        <w:t>-</w:t>
                      </w:r>
                    </w:p>
                  </w:txbxContent>
                </v:textbox>
                <w10:anchorlock/>
              </v:shape>
            </w:pict>
          </mc:Fallback>
        </mc:AlternateContent>
      </w:r>
      <w:r w:rsidRPr="00AB7FDC">
        <w:rPr>
          <w:rFonts w:ascii="Arial" w:hAnsi="Arial" w:cs="Arial"/>
          <w:noProof/>
          <w:sz w:val="22"/>
          <w:szCs w:val="22"/>
          <w:lang w:eastAsia="en-NZ"/>
        </w:rPr>
        <mc:AlternateContent>
          <mc:Choice Requires="wps">
            <w:drawing>
              <wp:inline distT="0" distB="0" distL="0" distR="0" wp14:anchorId="08D944C4" wp14:editId="122FB6CC">
                <wp:extent cx="2190750" cy="619125"/>
                <wp:effectExtent l="0" t="0" r="0" b="952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19125"/>
                        </a:xfrm>
                        <a:prstGeom prst="rect">
                          <a:avLst/>
                        </a:prstGeom>
                        <a:solidFill>
                          <a:srgbClr val="FFFFFF"/>
                        </a:solidFill>
                        <a:ln w="9525">
                          <a:noFill/>
                          <a:miter lim="800000"/>
                          <a:headEnd/>
                          <a:tailEnd/>
                        </a:ln>
                      </wps:spPr>
                      <wps:txbx>
                        <w:txbxContent>
                          <w:p w14:paraId="76947F47" w14:textId="77777777" w:rsidR="00AF0F9D" w:rsidRPr="00AB7FDC" w:rsidRDefault="00AF0F9D" w:rsidP="000C6B6D">
                            <w:pPr>
                              <w:shd w:val="clear" w:color="auto" w:fill="FFFFFF"/>
                              <w:spacing w:before="60" w:after="60"/>
                              <w:jc w:val="center"/>
                              <w:rPr>
                                <w:rFonts w:ascii="Arial" w:hAnsi="Arial" w:cs="Arial"/>
                                <w:b/>
                                <w:i/>
                                <w:sz w:val="20"/>
                                <w:szCs w:val="22"/>
                              </w:rPr>
                            </w:pPr>
                            <w:r>
                              <w:rPr>
                                <w:rFonts w:ascii="Arial" w:hAnsi="Arial" w:cs="Arial"/>
                                <w:b/>
                                <w:i/>
                                <w:sz w:val="20"/>
                                <w:szCs w:val="22"/>
                              </w:rPr>
                              <w:t>Cervical</w:t>
                            </w:r>
                            <w:r w:rsidRPr="00AB7FDC">
                              <w:rPr>
                                <w:rFonts w:ascii="Arial" w:hAnsi="Arial" w:cs="Arial"/>
                                <w:b/>
                                <w:i/>
                                <w:sz w:val="20"/>
                                <w:szCs w:val="22"/>
                              </w:rPr>
                              <w:t xml:space="preserve"> screening coverage (%)</w:t>
                            </w:r>
                          </w:p>
                          <w:p w14:paraId="39E3B623" w14:textId="77777777" w:rsidR="00AF0F9D" w:rsidRPr="00AB7FDC" w:rsidRDefault="00AF0F9D" w:rsidP="000C6B6D">
                            <w:pPr>
                              <w:shd w:val="clear" w:color="auto" w:fill="FFFFFF"/>
                              <w:spacing w:before="60" w:after="60"/>
                              <w:jc w:val="center"/>
                              <w:rPr>
                                <w:rFonts w:ascii="Arial" w:hAnsi="Arial" w:cs="Arial"/>
                                <w:i/>
                                <w:sz w:val="20"/>
                                <w:szCs w:val="22"/>
                              </w:rPr>
                            </w:pPr>
                            <w:r w:rsidRPr="00AB7FDC">
                              <w:rPr>
                                <w:rFonts w:ascii="Arial" w:hAnsi="Arial" w:cs="Arial"/>
                                <w:i/>
                                <w:sz w:val="20"/>
                                <w:szCs w:val="22"/>
                              </w:rPr>
                              <w:t>(non-Māori</w:t>
                            </w:r>
                            <w:r>
                              <w:rPr>
                                <w:rFonts w:ascii="Arial" w:hAnsi="Arial" w:cs="Arial"/>
                                <w:i/>
                                <w:sz w:val="20"/>
                                <w:szCs w:val="22"/>
                              </w:rPr>
                              <w:t xml:space="preserve">, </w:t>
                            </w:r>
                            <w:r w:rsidRPr="00AB7FDC">
                              <w:rPr>
                                <w:rFonts w:ascii="Arial" w:hAnsi="Arial" w:cs="Arial"/>
                                <w:i/>
                                <w:sz w:val="20"/>
                                <w:szCs w:val="22"/>
                              </w:rPr>
                              <w:t>non-Pacific women</w:t>
                            </w:r>
                            <w:r>
                              <w:rPr>
                                <w:rFonts w:ascii="Arial" w:hAnsi="Arial" w:cs="Arial"/>
                                <w:i/>
                                <w:sz w:val="20"/>
                                <w:szCs w:val="22"/>
                              </w:rPr>
                              <w:t>, non-Asian</w:t>
                            </w:r>
                            <w:r w:rsidRPr="00AB7FDC">
                              <w:rPr>
                                <w:rFonts w:ascii="Arial" w:hAnsi="Arial" w:cs="Arial"/>
                                <w:i/>
                                <w:sz w:val="20"/>
                                <w:szCs w:val="22"/>
                              </w:rPr>
                              <w:t>)</w:t>
                            </w:r>
                          </w:p>
                        </w:txbxContent>
                      </wps:txbx>
                      <wps:bodyPr rot="0" vert="horz" wrap="square" lIns="91440" tIns="45720" rIns="91440" bIns="45720" anchor="t" anchorCtr="0">
                        <a:noAutofit/>
                      </wps:bodyPr>
                    </wps:wsp>
                  </a:graphicData>
                </a:graphic>
              </wp:inline>
            </w:drawing>
          </mc:Choice>
          <mc:Fallback>
            <w:pict>
              <v:shape w14:anchorId="08D944C4" id="_x0000_s1028" type="#_x0000_t202" style="width:17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" stroked="f">
                <v:textbox>
                  <w:txbxContent>
                    <w:p w14:paraId="76947F47" w14:textId="77777777" w:rsidR="00AF0F9D" w:rsidRPr="00AB7FDC" w:rsidRDefault="00AF0F9D" w:rsidP="000C6B6D">
                      <w:pPr>
                        <w:shd w:val="clear" w:color="auto" w:fill="FFFFFF"/>
                        <w:spacing w:before="60" w:after="60"/>
                        <w:jc w:val="center"/>
                        <w:rPr>
                          <w:rFonts w:ascii="Arial" w:hAnsi="Arial" w:cs="Arial"/>
                          <w:b/>
                          <w:i/>
                          <w:sz w:val="20"/>
                          <w:szCs w:val="22"/>
                        </w:rPr>
                      </w:pPr>
                      <w:r>
                        <w:rPr>
                          <w:rFonts w:ascii="Arial" w:hAnsi="Arial" w:cs="Arial"/>
                          <w:b/>
                          <w:i/>
                          <w:sz w:val="20"/>
                          <w:szCs w:val="22"/>
                        </w:rPr>
                        <w:t>Cervical</w:t>
                      </w:r>
                      <w:r w:rsidRPr="00AB7FDC">
                        <w:rPr>
                          <w:rFonts w:ascii="Arial" w:hAnsi="Arial" w:cs="Arial"/>
                          <w:b/>
                          <w:i/>
                          <w:sz w:val="20"/>
                          <w:szCs w:val="22"/>
                        </w:rPr>
                        <w:t xml:space="preserve"> screening coverage (%)</w:t>
                      </w:r>
                    </w:p>
                    <w:p w14:paraId="39E3B623" w14:textId="77777777" w:rsidR="00AF0F9D" w:rsidRPr="00AB7FDC" w:rsidRDefault="00AF0F9D" w:rsidP="000C6B6D">
                      <w:pPr>
                        <w:shd w:val="clear" w:color="auto" w:fill="FFFFFF"/>
                        <w:spacing w:before="60" w:after="60"/>
                        <w:jc w:val="center"/>
                        <w:rPr>
                          <w:rFonts w:ascii="Arial" w:hAnsi="Arial" w:cs="Arial"/>
                          <w:i/>
                          <w:sz w:val="20"/>
                          <w:szCs w:val="22"/>
                        </w:rPr>
                      </w:pPr>
                      <w:r w:rsidRPr="00AB7FDC">
                        <w:rPr>
                          <w:rFonts w:ascii="Arial" w:hAnsi="Arial" w:cs="Arial"/>
                          <w:i/>
                          <w:sz w:val="20"/>
                          <w:szCs w:val="22"/>
                        </w:rPr>
                        <w:t>(non-Māori</w:t>
                      </w:r>
                      <w:r>
                        <w:rPr>
                          <w:rFonts w:ascii="Arial" w:hAnsi="Arial" w:cs="Arial"/>
                          <w:i/>
                          <w:sz w:val="20"/>
                          <w:szCs w:val="22"/>
                        </w:rPr>
                        <w:t xml:space="preserve">, </w:t>
                      </w:r>
                      <w:r w:rsidRPr="00AB7FDC">
                        <w:rPr>
                          <w:rFonts w:ascii="Arial" w:hAnsi="Arial" w:cs="Arial"/>
                          <w:i/>
                          <w:sz w:val="20"/>
                          <w:szCs w:val="22"/>
                        </w:rPr>
                        <w:t>non-Pacific women</w:t>
                      </w:r>
                      <w:r>
                        <w:rPr>
                          <w:rFonts w:ascii="Arial" w:hAnsi="Arial" w:cs="Arial"/>
                          <w:i/>
                          <w:sz w:val="20"/>
                          <w:szCs w:val="22"/>
                        </w:rPr>
                        <w:t>, non-Asian</w:t>
                      </w:r>
                      <w:r w:rsidRPr="00AB7FDC">
                        <w:rPr>
                          <w:rFonts w:ascii="Arial" w:hAnsi="Arial" w:cs="Arial"/>
                          <w:i/>
                          <w:sz w:val="20"/>
                          <w:szCs w:val="22"/>
                        </w:rPr>
                        <w:t>)</w:t>
                      </w:r>
                    </w:p>
                  </w:txbxContent>
                </v:textbox>
                <w10:anchorlock/>
              </v:shape>
            </w:pict>
          </mc:Fallback>
        </mc:AlternateContent>
      </w:r>
      <w:r w:rsidRPr="00AB7FDC">
        <w:rPr>
          <w:rFonts w:ascii="Arial" w:hAnsi="Arial" w:cs="Arial"/>
          <w:noProof/>
          <w:sz w:val="22"/>
          <w:szCs w:val="22"/>
          <w:lang w:eastAsia="en-NZ"/>
        </w:rPr>
        <mc:AlternateContent>
          <mc:Choice Requires="wps">
            <w:drawing>
              <wp:inline distT="0" distB="0" distL="0" distR="0" wp14:anchorId="4B846E4D" wp14:editId="328850AC">
                <wp:extent cx="246490" cy="591627"/>
                <wp:effectExtent l="0" t="0" r="1270"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 cy="591627"/>
                        </a:xfrm>
                        <a:prstGeom prst="rect">
                          <a:avLst/>
                        </a:prstGeom>
                        <a:solidFill>
                          <a:srgbClr val="FFFFFF"/>
                        </a:solidFill>
                        <a:ln w="9525">
                          <a:noFill/>
                          <a:miter lim="800000"/>
                          <a:headEnd/>
                          <a:tailEnd/>
                        </a:ln>
                      </wps:spPr>
                      <wps:txbx>
                        <w:txbxContent>
                          <w:p w14:paraId="7AF9BC6D" w14:textId="77777777" w:rsidR="00AF0F9D" w:rsidRPr="00AB7FDC" w:rsidRDefault="00AF0F9D" w:rsidP="000C6B6D">
                            <w:pPr>
                              <w:shd w:val="clear" w:color="auto" w:fill="FFFFFF"/>
                              <w:spacing w:before="60" w:after="60"/>
                              <w:rPr>
                                <w:rFonts w:ascii="Arial" w:hAnsi="Arial" w:cs="Arial"/>
                                <w:sz w:val="28"/>
                                <w:szCs w:val="22"/>
                              </w:rPr>
                            </w:pPr>
                            <w:r w:rsidRPr="00AB7FDC">
                              <w:rPr>
                                <w:rFonts w:ascii="Arial" w:hAnsi="Arial" w:cs="Arial"/>
                                <w:sz w:val="28"/>
                                <w:szCs w:val="22"/>
                              </w:rPr>
                              <w:t>=</w:t>
                            </w:r>
                          </w:p>
                        </w:txbxContent>
                      </wps:txbx>
                      <wps:bodyPr rot="0" vert="horz" wrap="square" lIns="91440" tIns="45720" rIns="91440" bIns="45720" anchor="t" anchorCtr="0">
                        <a:noAutofit/>
                      </wps:bodyPr>
                    </wps:wsp>
                  </a:graphicData>
                </a:graphic>
              </wp:inline>
            </w:drawing>
          </mc:Choice>
          <mc:Fallback>
            <w:pict>
              <v:shape w14:anchorId="4B846E4D" id="Text Box 17" o:spid="_x0000_s1029" type="#_x0000_t202" style="width:19.4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z0IgIAACM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" stroked="f">
                <v:textbox>
                  <w:txbxContent>
                    <w:p w14:paraId="7AF9BC6D" w14:textId="77777777" w:rsidR="00AF0F9D" w:rsidRPr="00AB7FDC" w:rsidRDefault="00AF0F9D" w:rsidP="000C6B6D">
                      <w:pPr>
                        <w:shd w:val="clear" w:color="auto" w:fill="FFFFFF"/>
                        <w:spacing w:before="60" w:after="60"/>
                        <w:rPr>
                          <w:rFonts w:ascii="Arial" w:hAnsi="Arial" w:cs="Arial"/>
                          <w:sz w:val="28"/>
                          <w:szCs w:val="22"/>
                        </w:rPr>
                      </w:pPr>
                      <w:r w:rsidRPr="00AB7FDC">
                        <w:rPr>
                          <w:rFonts w:ascii="Arial" w:hAnsi="Arial" w:cs="Arial"/>
                          <w:sz w:val="28"/>
                          <w:szCs w:val="22"/>
                        </w:rPr>
                        <w:t>=</w:t>
                      </w:r>
                    </w:p>
                  </w:txbxContent>
                </v:textbox>
                <w10:anchorlock/>
              </v:shape>
            </w:pict>
          </mc:Fallback>
        </mc:AlternateContent>
      </w:r>
      <w:r w:rsidRPr="00AB7FDC">
        <w:rPr>
          <w:rFonts w:ascii="Arial" w:hAnsi="Arial" w:cs="Arial"/>
          <w:noProof/>
          <w:sz w:val="22"/>
          <w:szCs w:val="22"/>
          <w:lang w:eastAsia="en-NZ"/>
        </w:rPr>
        <mc:AlternateContent>
          <mc:Choice Requires="wps">
            <w:drawing>
              <wp:inline distT="0" distB="0" distL="0" distR="0" wp14:anchorId="328BA203" wp14:editId="31D32A87">
                <wp:extent cx="930303" cy="563991"/>
                <wp:effectExtent l="0" t="0" r="3175" b="762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563991"/>
                        </a:xfrm>
                        <a:prstGeom prst="rect">
                          <a:avLst/>
                        </a:prstGeom>
                        <a:solidFill>
                          <a:srgbClr val="FFFFFF"/>
                        </a:solidFill>
                        <a:ln w="9525">
                          <a:noFill/>
                          <a:miter lim="800000"/>
                          <a:headEnd/>
                          <a:tailEnd/>
                        </a:ln>
                      </wps:spPr>
                      <wps:txbx>
                        <w:txbxContent>
                          <w:p w14:paraId="02FB7415" w14:textId="77777777" w:rsidR="00AF0F9D" w:rsidRPr="00AB7FDC" w:rsidRDefault="00AF0F9D" w:rsidP="000C6B6D">
                            <w:pPr>
                              <w:shd w:val="clear" w:color="auto" w:fill="FFFFFF"/>
                              <w:spacing w:before="60" w:after="60"/>
                              <w:rPr>
                                <w:rFonts w:ascii="Arial" w:hAnsi="Arial" w:cs="Arial"/>
                                <w:b/>
                                <w:i/>
                                <w:sz w:val="20"/>
                                <w:szCs w:val="22"/>
                              </w:rPr>
                            </w:pPr>
                            <w:r w:rsidRPr="00AB7FDC">
                              <w:rPr>
                                <w:rFonts w:ascii="Arial" w:hAnsi="Arial" w:cs="Arial"/>
                                <w:b/>
                                <w:i/>
                                <w:sz w:val="20"/>
                                <w:szCs w:val="22"/>
                              </w:rPr>
                              <w:t>Equity gap</w:t>
                            </w:r>
                          </w:p>
                        </w:txbxContent>
                      </wps:txbx>
                      <wps:bodyPr rot="0" vert="horz" wrap="square" lIns="91440" tIns="45720" rIns="91440" bIns="45720" anchor="t" anchorCtr="0">
                        <a:noAutofit/>
                      </wps:bodyPr>
                    </wps:wsp>
                  </a:graphicData>
                </a:graphic>
              </wp:inline>
            </w:drawing>
          </mc:Choice>
          <mc:Fallback>
            <w:pict>
              <v:shape w14:anchorId="328BA203" id="Text Box 18" o:spid="_x0000_s1030" type="#_x0000_t202" style="width:73.2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" stroked="f">
                <v:textbox>
                  <w:txbxContent>
                    <w:p w14:paraId="02FB7415" w14:textId="77777777" w:rsidR="00AF0F9D" w:rsidRPr="00AB7FDC" w:rsidRDefault="00AF0F9D" w:rsidP="000C6B6D">
                      <w:pPr>
                        <w:shd w:val="clear" w:color="auto" w:fill="FFFFFF"/>
                        <w:spacing w:before="60" w:after="60"/>
                        <w:rPr>
                          <w:rFonts w:ascii="Arial" w:hAnsi="Arial" w:cs="Arial"/>
                          <w:b/>
                          <w:i/>
                          <w:sz w:val="20"/>
                          <w:szCs w:val="22"/>
                        </w:rPr>
                      </w:pPr>
                      <w:r w:rsidRPr="00AB7FDC">
                        <w:rPr>
                          <w:rFonts w:ascii="Arial" w:hAnsi="Arial" w:cs="Arial"/>
                          <w:b/>
                          <w:i/>
                          <w:sz w:val="20"/>
                          <w:szCs w:val="22"/>
                        </w:rPr>
                        <w:t>Equity gap</w:t>
                      </w:r>
                    </w:p>
                  </w:txbxContent>
                </v:textbox>
                <w10:anchorlock/>
              </v:shape>
            </w:pict>
          </mc:Fallback>
        </mc:AlternateContent>
      </w:r>
    </w:p>
    <w:p w14:paraId="0AC8D105" w14:textId="77777777" w:rsidR="000C6B6D" w:rsidRDefault="000C6B6D" w:rsidP="000C6B6D">
      <w:pPr>
        <w:shd w:val="clear" w:color="auto" w:fill="FFFFFF"/>
        <w:spacing w:before="60" w:after="60"/>
        <w:jc w:val="both"/>
        <w:rPr>
          <w:rFonts w:ascii="Arial" w:hAnsi="Arial" w:cs="Arial"/>
          <w:sz w:val="22"/>
          <w:szCs w:val="22"/>
        </w:rPr>
      </w:pPr>
    </w:p>
    <w:p w14:paraId="550755BA" w14:textId="77777777" w:rsidR="000C6B6D" w:rsidRPr="006F30E9" w:rsidRDefault="000C6B6D" w:rsidP="000C6B6D">
      <w:pPr>
        <w:shd w:val="clear" w:color="auto" w:fill="FFFFFF"/>
        <w:spacing w:before="60" w:after="60"/>
        <w:jc w:val="both"/>
        <w:rPr>
          <w:rFonts w:ascii="Arial" w:hAnsi="Arial" w:cs="Arial"/>
          <w:b/>
          <w:sz w:val="22"/>
          <w:szCs w:val="22"/>
        </w:rPr>
      </w:pPr>
      <w:r w:rsidRPr="006F30E9">
        <w:rPr>
          <w:rFonts w:ascii="Arial" w:hAnsi="Arial" w:cs="Arial"/>
          <w:b/>
          <w:sz w:val="22"/>
          <w:szCs w:val="22"/>
        </w:rPr>
        <w:t>Interp</w:t>
      </w:r>
      <w:r>
        <w:rPr>
          <w:rFonts w:ascii="Arial" w:hAnsi="Arial" w:cs="Arial"/>
          <w:b/>
          <w:sz w:val="22"/>
          <w:szCs w:val="22"/>
        </w:rPr>
        <w:t>retation issues</w:t>
      </w:r>
      <w:r w:rsidRPr="006F30E9">
        <w:rPr>
          <w:rFonts w:ascii="Arial" w:hAnsi="Arial" w:cs="Arial"/>
          <w:b/>
          <w:sz w:val="22"/>
          <w:szCs w:val="22"/>
        </w:rPr>
        <w:t xml:space="preserve"> </w:t>
      </w:r>
    </w:p>
    <w:p w14:paraId="1570A128" w14:textId="77777777" w:rsidR="000C6B6D" w:rsidRDefault="000C6B6D" w:rsidP="000C6B6D">
      <w:pPr>
        <w:shd w:val="clear" w:color="auto" w:fill="FFFFFF"/>
        <w:spacing w:before="60"/>
        <w:jc w:val="both"/>
        <w:rPr>
          <w:rFonts w:ascii="Arial" w:hAnsi="Arial" w:cs="Arial"/>
          <w:sz w:val="22"/>
          <w:szCs w:val="22"/>
        </w:rPr>
      </w:pPr>
      <w:r>
        <w:rPr>
          <w:rFonts w:ascii="Arial" w:hAnsi="Arial" w:cs="Arial"/>
          <w:sz w:val="22"/>
          <w:szCs w:val="22"/>
        </w:rPr>
        <w:t xml:space="preserve">Data will be presented using the </w:t>
      </w:r>
      <w:r w:rsidRPr="00C873E5">
        <w:rPr>
          <w:rFonts w:ascii="Arial" w:hAnsi="Arial" w:cs="Arial"/>
          <w:i/>
          <w:sz w:val="22"/>
          <w:szCs w:val="22"/>
        </w:rPr>
        <w:t>Equity and Performance Matrix</w:t>
      </w:r>
      <w:r>
        <w:rPr>
          <w:rFonts w:ascii="Arial" w:hAnsi="Arial" w:cs="Arial"/>
          <w:sz w:val="22"/>
          <w:szCs w:val="22"/>
        </w:rPr>
        <w:t>.</w:t>
      </w:r>
    </w:p>
    <w:p w14:paraId="1CE3342E" w14:textId="77777777" w:rsidR="000C6B6D" w:rsidRPr="00BF5C7C" w:rsidRDefault="000C6B6D" w:rsidP="000C6B6D">
      <w:pPr>
        <w:shd w:val="clear" w:color="auto" w:fill="FFFFFF"/>
        <w:spacing w:before="60"/>
        <w:jc w:val="both"/>
        <w:rPr>
          <w:rFonts w:ascii="Arial" w:hAnsi="Arial" w:cs="Arial"/>
          <w:sz w:val="16"/>
          <w:szCs w:val="16"/>
        </w:rPr>
      </w:pPr>
    </w:p>
    <w:p w14:paraId="53558879" w14:textId="59C26809" w:rsidR="000C6B6D" w:rsidRPr="005D6BDC" w:rsidRDefault="000C6B6D" w:rsidP="000C6B6D">
      <w:pPr>
        <w:pStyle w:val="SubOne"/>
        <w:shd w:val="clear" w:color="auto" w:fill="FFFFFF"/>
        <w:spacing w:before="60" w:after="60"/>
        <w:jc w:val="both"/>
      </w:pPr>
      <w:r w:rsidRPr="005D6BDC">
        <w:t>Reporting Period</w:t>
      </w:r>
      <w:r>
        <w:t>s</w:t>
      </w:r>
      <w:r w:rsidRPr="005D6BDC">
        <w:t xml:space="preserve"> </w:t>
      </w:r>
      <w:r w:rsidR="00C522B3">
        <w:rPr>
          <w:color w:val="0000FF"/>
          <w:sz w:val="28"/>
          <w:szCs w:val="28"/>
          <w:lang w:eastAsia="en-NZ"/>
        </w:rPr>
        <w:t xml:space="preserve">: </w:t>
      </w:r>
      <w:r w:rsidR="008208E6" w:rsidRPr="008208E6">
        <w:rPr>
          <w:color w:val="0000FF"/>
          <w:szCs w:val="24"/>
          <w:lang w:eastAsia="en-NZ"/>
        </w:rPr>
        <w:t xml:space="preserve">Please note </w:t>
      </w:r>
      <w:r w:rsidR="00C522B3" w:rsidRPr="008208E6">
        <w:rPr>
          <w:color w:val="0000FF"/>
          <w:szCs w:val="24"/>
          <w:lang w:eastAsia="en-NZ"/>
        </w:rPr>
        <w:t xml:space="preserve">DHBs do not need to report against this measure </w:t>
      </w:r>
      <w:r w:rsidR="008208E6" w:rsidRPr="008208E6">
        <w:rPr>
          <w:color w:val="0000FF"/>
          <w:szCs w:val="24"/>
          <w:lang w:eastAsia="en-NZ"/>
        </w:rPr>
        <w:t xml:space="preserve">through the DHB web base quarterly reporting process </w:t>
      </w:r>
      <w:r w:rsidR="00C522B3" w:rsidRPr="008208E6">
        <w:rPr>
          <w:color w:val="0000FF"/>
          <w:szCs w:val="24"/>
          <w:lang w:eastAsia="en-NZ"/>
        </w:rPr>
        <w:t>as data will be captured through the NCSP contract reporting process</w:t>
      </w:r>
      <w:r w:rsidR="00C522B3">
        <w:rPr>
          <w:color w:val="0000FF"/>
          <w:sz w:val="28"/>
          <w:szCs w:val="28"/>
          <w:lang w:eastAsia="en-NZ"/>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6522"/>
      </w:tblGrid>
      <w:tr w:rsidR="000C6B6D" w:rsidRPr="00824F7A" w14:paraId="785189CA" w14:textId="77777777" w:rsidTr="00E424A4">
        <w:trPr>
          <w:jc w:val="center"/>
        </w:trPr>
        <w:tc>
          <w:tcPr>
            <w:tcW w:w="269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6179E7" w14:textId="77777777" w:rsidR="000C6B6D" w:rsidRPr="00824F7A" w:rsidRDefault="000C6B6D" w:rsidP="00E424A4">
            <w:pPr>
              <w:spacing w:before="60" w:after="60"/>
              <w:jc w:val="both"/>
              <w:rPr>
                <w:rFonts w:ascii="Arial" w:hAnsi="Arial" w:cs="Arial"/>
                <w:b/>
                <w:sz w:val="22"/>
                <w:szCs w:val="22"/>
              </w:rPr>
            </w:pPr>
            <w:r w:rsidRPr="00824F7A">
              <w:rPr>
                <w:rFonts w:ascii="Arial" w:hAnsi="Arial" w:cs="Arial"/>
                <w:b/>
                <w:sz w:val="22"/>
                <w:szCs w:val="22"/>
              </w:rPr>
              <w:t xml:space="preserve">Quarter </w:t>
            </w:r>
          </w:p>
        </w:tc>
        <w:tc>
          <w:tcPr>
            <w:tcW w:w="652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D8E54A2" w14:textId="77777777" w:rsidR="000C6B6D" w:rsidRPr="00824F7A" w:rsidRDefault="000C6B6D" w:rsidP="00E424A4">
            <w:pPr>
              <w:spacing w:before="60" w:after="60"/>
              <w:jc w:val="both"/>
              <w:rPr>
                <w:rFonts w:ascii="Arial" w:hAnsi="Arial" w:cs="Arial"/>
                <w:b/>
                <w:sz w:val="22"/>
                <w:szCs w:val="22"/>
              </w:rPr>
            </w:pPr>
            <w:r>
              <w:rPr>
                <w:rFonts w:ascii="Arial" w:hAnsi="Arial" w:cs="Arial"/>
                <w:b/>
                <w:sz w:val="22"/>
                <w:szCs w:val="22"/>
              </w:rPr>
              <w:t>Data source</w:t>
            </w:r>
          </w:p>
        </w:tc>
      </w:tr>
      <w:tr w:rsidR="000C6B6D" w:rsidRPr="00824F7A" w14:paraId="5D9A3E7E" w14:textId="77777777" w:rsidTr="00E424A4">
        <w:trPr>
          <w:jc w:val="center"/>
        </w:trPr>
        <w:tc>
          <w:tcPr>
            <w:tcW w:w="2693" w:type="dxa"/>
            <w:tcBorders>
              <w:top w:val="single" w:sz="4" w:space="0" w:color="auto"/>
              <w:left w:val="single" w:sz="4" w:space="0" w:color="auto"/>
              <w:bottom w:val="single" w:sz="4" w:space="0" w:color="auto"/>
              <w:right w:val="single" w:sz="4" w:space="0" w:color="auto"/>
            </w:tcBorders>
            <w:hideMark/>
          </w:tcPr>
          <w:p w14:paraId="6B1FFA66" w14:textId="77777777" w:rsidR="000C6B6D" w:rsidRDefault="000C6B6D" w:rsidP="00E424A4">
            <w:pPr>
              <w:spacing w:before="60" w:after="60"/>
              <w:rPr>
                <w:rFonts w:ascii="Arial" w:hAnsi="Arial" w:cs="Arial"/>
                <w:sz w:val="22"/>
                <w:szCs w:val="22"/>
              </w:rPr>
            </w:pPr>
            <w:r w:rsidRPr="00824F7A">
              <w:rPr>
                <w:rFonts w:ascii="Arial" w:hAnsi="Arial" w:cs="Arial"/>
                <w:sz w:val="22"/>
                <w:szCs w:val="22"/>
              </w:rPr>
              <w:t>Quarter 2</w:t>
            </w:r>
          </w:p>
          <w:p w14:paraId="44D60A2C" w14:textId="77777777" w:rsidR="000C6B6D" w:rsidRPr="00D6627F" w:rsidRDefault="000C6B6D" w:rsidP="00E424A4">
            <w:pPr>
              <w:spacing w:before="60" w:after="60"/>
              <w:rPr>
                <w:rFonts w:ascii="Arial" w:hAnsi="Arial" w:cs="Arial"/>
                <w:sz w:val="20"/>
                <w:szCs w:val="20"/>
              </w:rPr>
            </w:pPr>
            <w:r w:rsidRPr="00D6627F">
              <w:rPr>
                <w:rFonts w:ascii="Arial" w:hAnsi="Arial" w:cs="Arial"/>
                <w:sz w:val="20"/>
                <w:szCs w:val="20"/>
              </w:rPr>
              <w:t>(For the period ending 31 December)</w:t>
            </w:r>
          </w:p>
        </w:tc>
        <w:tc>
          <w:tcPr>
            <w:tcW w:w="6522" w:type="dxa"/>
            <w:tcBorders>
              <w:top w:val="single" w:sz="4" w:space="0" w:color="auto"/>
              <w:left w:val="single" w:sz="4" w:space="0" w:color="auto"/>
              <w:bottom w:val="single" w:sz="4" w:space="0" w:color="auto"/>
              <w:right w:val="single" w:sz="4" w:space="0" w:color="auto"/>
            </w:tcBorders>
          </w:tcPr>
          <w:p w14:paraId="62512235" w14:textId="77777777" w:rsidR="000C6B6D" w:rsidRPr="00824F7A" w:rsidRDefault="000C6B6D" w:rsidP="00E424A4">
            <w:pPr>
              <w:spacing w:before="60" w:after="60"/>
              <w:jc w:val="both"/>
              <w:rPr>
                <w:rFonts w:ascii="Arial" w:hAnsi="Arial" w:cs="Arial"/>
                <w:sz w:val="22"/>
                <w:szCs w:val="22"/>
                <w:highlight w:val="yellow"/>
              </w:rPr>
            </w:pPr>
            <w:r>
              <w:rPr>
                <w:rFonts w:ascii="Arial" w:hAnsi="Arial" w:cs="Arial"/>
                <w:sz w:val="22"/>
                <w:szCs w:val="22"/>
              </w:rPr>
              <w:t xml:space="preserve">The data source used for Q2 reporting is DHB quarterly coverage </w:t>
            </w:r>
            <w:r w:rsidRPr="00870AB7">
              <w:rPr>
                <w:rFonts w:ascii="Arial" w:hAnsi="Arial" w:cs="Arial"/>
                <w:b/>
                <w:sz w:val="22"/>
                <w:szCs w:val="22"/>
              </w:rPr>
              <w:t>data from Q1</w:t>
            </w:r>
            <w:r>
              <w:rPr>
                <w:rFonts w:ascii="Arial" w:hAnsi="Arial" w:cs="Arial"/>
                <w:b/>
                <w:sz w:val="22"/>
                <w:szCs w:val="22"/>
              </w:rPr>
              <w:t xml:space="preserve"> </w:t>
            </w:r>
            <w:r w:rsidRPr="0099337F">
              <w:rPr>
                <w:rFonts w:ascii="Arial" w:hAnsi="Arial" w:cs="Arial"/>
                <w:sz w:val="22"/>
                <w:szCs w:val="22"/>
              </w:rPr>
              <w:t>(</w:t>
            </w:r>
            <w:r>
              <w:rPr>
                <w:rFonts w:ascii="Arial" w:hAnsi="Arial" w:cs="Arial"/>
                <w:sz w:val="22"/>
                <w:szCs w:val="22"/>
              </w:rPr>
              <w:t>July</w:t>
            </w:r>
            <w:r w:rsidRPr="0099337F">
              <w:rPr>
                <w:rFonts w:ascii="Arial" w:hAnsi="Arial" w:cs="Arial"/>
                <w:sz w:val="22"/>
                <w:szCs w:val="22"/>
              </w:rPr>
              <w:t xml:space="preserve"> to September)</w:t>
            </w:r>
            <w:r>
              <w:rPr>
                <w:rFonts w:ascii="Arial" w:hAnsi="Arial" w:cs="Arial"/>
                <w:sz w:val="22"/>
                <w:szCs w:val="22"/>
              </w:rPr>
              <w:t xml:space="preserve"> published on the NSU website. </w:t>
            </w:r>
          </w:p>
        </w:tc>
      </w:tr>
      <w:tr w:rsidR="000C6B6D" w:rsidRPr="00824F7A" w14:paraId="46167CD8" w14:textId="77777777" w:rsidTr="00E424A4">
        <w:trPr>
          <w:jc w:val="center"/>
        </w:trPr>
        <w:tc>
          <w:tcPr>
            <w:tcW w:w="2693" w:type="dxa"/>
            <w:tcBorders>
              <w:top w:val="single" w:sz="4" w:space="0" w:color="auto"/>
              <w:left w:val="single" w:sz="4" w:space="0" w:color="auto"/>
              <w:bottom w:val="single" w:sz="4" w:space="0" w:color="auto"/>
              <w:right w:val="single" w:sz="4" w:space="0" w:color="auto"/>
            </w:tcBorders>
            <w:hideMark/>
          </w:tcPr>
          <w:p w14:paraId="015C4F8E" w14:textId="77777777" w:rsidR="000C6B6D" w:rsidRDefault="000C6B6D" w:rsidP="00E424A4">
            <w:pPr>
              <w:spacing w:before="60" w:after="60"/>
              <w:rPr>
                <w:rFonts w:ascii="Arial" w:hAnsi="Arial" w:cs="Arial"/>
                <w:sz w:val="22"/>
                <w:szCs w:val="22"/>
              </w:rPr>
            </w:pPr>
            <w:r w:rsidRPr="00824F7A">
              <w:rPr>
                <w:rFonts w:ascii="Arial" w:hAnsi="Arial" w:cs="Arial"/>
                <w:sz w:val="22"/>
                <w:szCs w:val="22"/>
              </w:rPr>
              <w:t>Quarter 4</w:t>
            </w:r>
          </w:p>
          <w:p w14:paraId="4D649DA7" w14:textId="77777777" w:rsidR="000C6B6D" w:rsidRPr="00D6627F" w:rsidRDefault="000C6B6D" w:rsidP="00E424A4">
            <w:pPr>
              <w:spacing w:before="60" w:after="60"/>
              <w:rPr>
                <w:rFonts w:ascii="Arial" w:hAnsi="Arial" w:cs="Arial"/>
                <w:sz w:val="20"/>
                <w:szCs w:val="20"/>
              </w:rPr>
            </w:pPr>
            <w:r w:rsidRPr="00D6627F">
              <w:rPr>
                <w:rFonts w:ascii="Arial" w:hAnsi="Arial" w:cs="Arial"/>
                <w:sz w:val="20"/>
                <w:szCs w:val="20"/>
              </w:rPr>
              <w:t>(For the period ending 30 June)</w:t>
            </w:r>
          </w:p>
        </w:tc>
        <w:tc>
          <w:tcPr>
            <w:tcW w:w="6522" w:type="dxa"/>
            <w:tcBorders>
              <w:top w:val="single" w:sz="4" w:space="0" w:color="auto"/>
              <w:left w:val="single" w:sz="4" w:space="0" w:color="auto"/>
              <w:bottom w:val="single" w:sz="4" w:space="0" w:color="auto"/>
              <w:right w:val="single" w:sz="4" w:space="0" w:color="auto"/>
            </w:tcBorders>
          </w:tcPr>
          <w:p w14:paraId="2800E9CF" w14:textId="77777777" w:rsidR="000C6B6D" w:rsidRPr="00824F7A" w:rsidRDefault="000C6B6D" w:rsidP="00E424A4">
            <w:pPr>
              <w:spacing w:before="60" w:after="60"/>
              <w:jc w:val="both"/>
              <w:rPr>
                <w:rFonts w:ascii="Arial" w:hAnsi="Arial" w:cs="Arial"/>
                <w:sz w:val="22"/>
                <w:szCs w:val="22"/>
                <w:highlight w:val="yellow"/>
              </w:rPr>
            </w:pPr>
            <w:r>
              <w:rPr>
                <w:rFonts w:ascii="Arial" w:hAnsi="Arial" w:cs="Arial"/>
                <w:sz w:val="22"/>
                <w:szCs w:val="22"/>
              </w:rPr>
              <w:t xml:space="preserve">The data source used for Q4 reporting is DHB quarterly coverage </w:t>
            </w:r>
            <w:r w:rsidRPr="00870AB7">
              <w:rPr>
                <w:rFonts w:ascii="Arial" w:hAnsi="Arial" w:cs="Arial"/>
                <w:b/>
                <w:sz w:val="22"/>
                <w:szCs w:val="22"/>
              </w:rPr>
              <w:t>data from Q</w:t>
            </w:r>
            <w:r>
              <w:rPr>
                <w:rFonts w:ascii="Arial" w:hAnsi="Arial" w:cs="Arial"/>
                <w:b/>
                <w:sz w:val="22"/>
                <w:szCs w:val="22"/>
              </w:rPr>
              <w:t>3</w:t>
            </w:r>
            <w:r>
              <w:rPr>
                <w:rFonts w:ascii="Arial" w:hAnsi="Arial" w:cs="Arial"/>
                <w:sz w:val="22"/>
                <w:szCs w:val="22"/>
              </w:rPr>
              <w:t xml:space="preserve"> (January to March) published on the NSU website.</w:t>
            </w:r>
          </w:p>
        </w:tc>
      </w:tr>
    </w:tbl>
    <w:p w14:paraId="67C051B8" w14:textId="77777777" w:rsidR="000C6B6D" w:rsidRDefault="000C6B6D" w:rsidP="000C6B6D">
      <w:pPr>
        <w:pStyle w:val="SubOne"/>
        <w:shd w:val="clear" w:color="auto" w:fill="FFFFFF"/>
        <w:spacing w:before="240" w:after="60"/>
        <w:jc w:val="both"/>
      </w:pPr>
      <w:r w:rsidRPr="005D6BDC">
        <w:t>Expectations</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6520"/>
      </w:tblGrid>
      <w:tr w:rsidR="000C6B6D" w:rsidRPr="000D238F" w14:paraId="61C55D70" w14:textId="77777777" w:rsidTr="00E424A4">
        <w:tc>
          <w:tcPr>
            <w:tcW w:w="9101" w:type="dxa"/>
            <w:gridSpan w:val="2"/>
            <w:shd w:val="clear" w:color="auto" w:fill="FFFFFF" w:themeFill="background1"/>
            <w:vAlign w:val="center"/>
          </w:tcPr>
          <w:p w14:paraId="580BE538" w14:textId="77777777" w:rsidR="000C6B6D" w:rsidRDefault="000C6B6D" w:rsidP="00E424A4">
            <w:pPr>
              <w:shd w:val="clear" w:color="auto" w:fill="FFFFFF"/>
              <w:spacing w:before="60" w:after="60"/>
              <w:jc w:val="center"/>
              <w:rPr>
                <w:rFonts w:ascii="Arial" w:hAnsi="Arial" w:cs="Arial"/>
                <w:b/>
                <w:sz w:val="22"/>
                <w:szCs w:val="22"/>
              </w:rPr>
            </w:pPr>
          </w:p>
          <w:p w14:paraId="5B658C54" w14:textId="77777777" w:rsidR="000C6B6D" w:rsidRPr="000D238F" w:rsidRDefault="000C6B6D" w:rsidP="00E424A4">
            <w:pPr>
              <w:shd w:val="clear" w:color="auto" w:fill="FFFFFF"/>
              <w:spacing w:before="60" w:after="60"/>
              <w:jc w:val="center"/>
              <w:rPr>
                <w:rFonts w:ascii="Arial" w:hAnsi="Arial" w:cs="Arial"/>
                <w:b/>
                <w:sz w:val="22"/>
                <w:szCs w:val="22"/>
              </w:rPr>
            </w:pPr>
            <w:r>
              <w:rPr>
                <w:rFonts w:ascii="Arial" w:hAnsi="Arial" w:cs="Arial"/>
                <w:b/>
                <w:sz w:val="22"/>
                <w:szCs w:val="22"/>
              </w:rPr>
              <w:t>Māori equity and coverage</w:t>
            </w:r>
          </w:p>
        </w:tc>
      </w:tr>
      <w:tr w:rsidR="000C6B6D" w:rsidRPr="000D238F" w14:paraId="05A73FB0" w14:textId="77777777" w:rsidTr="00E424A4">
        <w:tc>
          <w:tcPr>
            <w:tcW w:w="2581" w:type="dxa"/>
            <w:shd w:val="clear" w:color="auto" w:fill="FFFFFF" w:themeFill="background1"/>
            <w:vAlign w:val="center"/>
          </w:tcPr>
          <w:p w14:paraId="6B9E733E"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 xml:space="preserve">Rating: </w:t>
            </w:r>
          </w:p>
        </w:tc>
        <w:tc>
          <w:tcPr>
            <w:tcW w:w="6520" w:type="dxa"/>
            <w:shd w:val="clear" w:color="auto" w:fill="FFFFFF" w:themeFill="background1"/>
            <w:vAlign w:val="center"/>
          </w:tcPr>
          <w:p w14:paraId="38B7FE65"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Definition</w:t>
            </w:r>
          </w:p>
        </w:tc>
      </w:tr>
      <w:tr w:rsidR="000C6B6D" w:rsidRPr="000D238F" w14:paraId="572FE0A0" w14:textId="77777777" w:rsidTr="00E424A4">
        <w:tc>
          <w:tcPr>
            <w:tcW w:w="2581" w:type="dxa"/>
            <w:shd w:val="clear" w:color="auto" w:fill="auto"/>
          </w:tcPr>
          <w:p w14:paraId="7C42F1FD"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Outstanding performer</w:t>
            </w:r>
          </w:p>
        </w:tc>
        <w:tc>
          <w:tcPr>
            <w:tcW w:w="6520" w:type="dxa"/>
            <w:shd w:val="clear" w:color="auto" w:fill="auto"/>
          </w:tcPr>
          <w:p w14:paraId="2F4A79D0" w14:textId="77777777" w:rsidR="000C6B6D" w:rsidRPr="00870AB7" w:rsidDel="007E68A6" w:rsidRDefault="000C6B6D" w:rsidP="00E424A4">
            <w:pPr>
              <w:shd w:val="clear" w:color="auto" w:fill="FFFFFF"/>
              <w:autoSpaceDE w:val="0"/>
              <w:autoSpaceDN w:val="0"/>
              <w:adjustRightInd w:val="0"/>
              <w:spacing w:before="60" w:after="60" w:line="240" w:lineRule="atLeast"/>
              <w:rPr>
                <w:rFonts w:ascii="Arial" w:hAnsi="Arial" w:cs="Arial"/>
                <w:sz w:val="22"/>
                <w:szCs w:val="22"/>
              </w:rPr>
            </w:pPr>
            <w:r>
              <w:rPr>
                <w:rFonts w:ascii="Arial" w:hAnsi="Arial" w:cs="Arial"/>
                <w:sz w:val="22"/>
                <w:szCs w:val="22"/>
              </w:rPr>
              <w:t>≥ 0 equity difference AND ≥ 81%</w:t>
            </w:r>
            <w:r w:rsidRPr="00870AB7">
              <w:rPr>
                <w:rFonts w:ascii="Arial" w:hAnsi="Arial" w:cs="Arial"/>
                <w:sz w:val="22"/>
                <w:szCs w:val="22"/>
              </w:rPr>
              <w:t xml:space="preserve"> coverage </w:t>
            </w:r>
          </w:p>
        </w:tc>
      </w:tr>
      <w:tr w:rsidR="000C6B6D" w:rsidRPr="000D238F" w14:paraId="4E16D1DC" w14:textId="77777777" w:rsidTr="00E424A4">
        <w:tc>
          <w:tcPr>
            <w:tcW w:w="2581" w:type="dxa"/>
            <w:shd w:val="clear" w:color="auto" w:fill="auto"/>
          </w:tcPr>
          <w:p w14:paraId="62C93F93"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t>Achieved</w:t>
            </w:r>
          </w:p>
        </w:tc>
        <w:tc>
          <w:tcPr>
            <w:tcW w:w="6520" w:type="dxa"/>
            <w:shd w:val="clear" w:color="auto" w:fill="auto"/>
          </w:tcPr>
          <w:p w14:paraId="5D98E85B"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 0 equity difference AND ≥ 80% coverage</w:t>
            </w:r>
          </w:p>
        </w:tc>
      </w:tr>
      <w:tr w:rsidR="000C6B6D" w:rsidRPr="000D238F" w14:paraId="08785CC1" w14:textId="77777777" w:rsidTr="00E424A4">
        <w:tblPrEx>
          <w:tblLook w:val="01E0" w:firstRow="1" w:lastRow="1" w:firstColumn="1" w:lastColumn="1" w:noHBand="0" w:noVBand="0"/>
        </w:tblPrEx>
        <w:tc>
          <w:tcPr>
            <w:tcW w:w="2581" w:type="dxa"/>
            <w:shd w:val="clear" w:color="auto" w:fill="auto"/>
          </w:tcPr>
          <w:p w14:paraId="5C7DC6DA"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Partially Achieved</w:t>
            </w:r>
          </w:p>
        </w:tc>
        <w:tc>
          <w:tcPr>
            <w:tcW w:w="6520" w:type="dxa"/>
            <w:shd w:val="clear" w:color="auto" w:fill="auto"/>
          </w:tcPr>
          <w:p w14:paraId="6042828B"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 6 points equity difference AND 70 – 79% coverage</w:t>
            </w:r>
          </w:p>
          <w:p w14:paraId="7296F72B"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 3 points equity difference AND 70 – 79% coverage</w:t>
            </w:r>
          </w:p>
          <w:p w14:paraId="2495234F"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lastRenderedPageBreak/>
              <w:t>June 2022: ≥ 0 points equity difference AND 70 – 79% coverage</w:t>
            </w:r>
          </w:p>
        </w:tc>
      </w:tr>
      <w:tr w:rsidR="000C6B6D" w:rsidRPr="000D238F" w14:paraId="5123853C" w14:textId="77777777" w:rsidTr="00E424A4">
        <w:tblPrEx>
          <w:tblLook w:val="01E0" w:firstRow="1" w:lastRow="1" w:firstColumn="1" w:lastColumn="1" w:noHBand="0" w:noVBand="0"/>
        </w:tblPrEx>
        <w:tc>
          <w:tcPr>
            <w:tcW w:w="2581" w:type="dxa"/>
            <w:shd w:val="clear" w:color="auto" w:fill="auto"/>
          </w:tcPr>
          <w:p w14:paraId="0C8AFD6E"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lastRenderedPageBreak/>
              <w:t>Not Achieved</w:t>
            </w:r>
          </w:p>
        </w:tc>
        <w:tc>
          <w:tcPr>
            <w:tcW w:w="6520" w:type="dxa"/>
            <w:shd w:val="clear" w:color="auto" w:fill="auto"/>
          </w:tcPr>
          <w:p w14:paraId="4B2929F8"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&lt; 6 points equity difference OR &lt;70% coverage</w:t>
            </w:r>
          </w:p>
          <w:p w14:paraId="053BF41A"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&lt; 3 points equity difference OR &lt;70% coverage</w:t>
            </w:r>
          </w:p>
          <w:p w14:paraId="68103739"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2022: &lt; 0 points equity difference OR &lt;70% coverage</w:t>
            </w:r>
          </w:p>
        </w:tc>
      </w:tr>
      <w:tr w:rsidR="000C6B6D" w:rsidRPr="000D238F" w14:paraId="59D90F53" w14:textId="77777777" w:rsidTr="00E424A4">
        <w:tc>
          <w:tcPr>
            <w:tcW w:w="9101" w:type="dxa"/>
            <w:gridSpan w:val="2"/>
            <w:shd w:val="clear" w:color="auto" w:fill="FFFFFF" w:themeFill="background1"/>
            <w:vAlign w:val="center"/>
          </w:tcPr>
          <w:p w14:paraId="5ABB2E7B" w14:textId="77777777" w:rsidR="000C6B6D" w:rsidRDefault="000C6B6D" w:rsidP="00E424A4">
            <w:pPr>
              <w:shd w:val="clear" w:color="auto" w:fill="FFFFFF"/>
              <w:spacing w:before="60" w:after="60"/>
              <w:jc w:val="center"/>
              <w:rPr>
                <w:rFonts w:ascii="Arial" w:hAnsi="Arial" w:cs="Arial"/>
                <w:b/>
                <w:sz w:val="22"/>
                <w:szCs w:val="22"/>
              </w:rPr>
            </w:pPr>
          </w:p>
          <w:p w14:paraId="59F2FCCC" w14:textId="77777777" w:rsidR="000C6B6D" w:rsidRPr="000D238F" w:rsidRDefault="000C6B6D" w:rsidP="00E424A4">
            <w:pPr>
              <w:shd w:val="clear" w:color="auto" w:fill="FFFFFF"/>
              <w:spacing w:before="60" w:after="60"/>
              <w:jc w:val="center"/>
              <w:rPr>
                <w:rFonts w:ascii="Arial" w:hAnsi="Arial" w:cs="Arial"/>
                <w:b/>
                <w:sz w:val="22"/>
                <w:szCs w:val="22"/>
              </w:rPr>
            </w:pPr>
            <w:r>
              <w:rPr>
                <w:rFonts w:ascii="Arial" w:hAnsi="Arial" w:cs="Arial"/>
                <w:b/>
                <w:sz w:val="22"/>
                <w:szCs w:val="22"/>
              </w:rPr>
              <w:t>Pacific equity and coverage</w:t>
            </w:r>
          </w:p>
        </w:tc>
      </w:tr>
      <w:tr w:rsidR="000C6B6D" w:rsidRPr="000D238F" w14:paraId="5F6AAAAF" w14:textId="77777777" w:rsidTr="00E424A4">
        <w:tc>
          <w:tcPr>
            <w:tcW w:w="2581" w:type="dxa"/>
            <w:shd w:val="clear" w:color="auto" w:fill="FFFFFF" w:themeFill="background1"/>
            <w:vAlign w:val="center"/>
          </w:tcPr>
          <w:p w14:paraId="772DCE99"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 xml:space="preserve">Rating: </w:t>
            </w:r>
          </w:p>
        </w:tc>
        <w:tc>
          <w:tcPr>
            <w:tcW w:w="6520" w:type="dxa"/>
            <w:shd w:val="clear" w:color="auto" w:fill="FFFFFF" w:themeFill="background1"/>
            <w:vAlign w:val="center"/>
          </w:tcPr>
          <w:p w14:paraId="335BAF8E"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Definition</w:t>
            </w:r>
          </w:p>
        </w:tc>
      </w:tr>
      <w:tr w:rsidR="000C6B6D" w:rsidRPr="000D238F" w14:paraId="354E2F5F" w14:textId="77777777" w:rsidTr="00E424A4">
        <w:tc>
          <w:tcPr>
            <w:tcW w:w="2581" w:type="dxa"/>
            <w:shd w:val="clear" w:color="auto" w:fill="auto"/>
          </w:tcPr>
          <w:p w14:paraId="1A22DC16"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Outstanding performer</w:t>
            </w:r>
          </w:p>
        </w:tc>
        <w:tc>
          <w:tcPr>
            <w:tcW w:w="6520" w:type="dxa"/>
            <w:shd w:val="clear" w:color="auto" w:fill="auto"/>
          </w:tcPr>
          <w:p w14:paraId="4661E9AB" w14:textId="77777777" w:rsidR="000C6B6D" w:rsidRPr="00870AB7" w:rsidDel="007E68A6" w:rsidRDefault="000C6B6D" w:rsidP="00E424A4">
            <w:pPr>
              <w:shd w:val="clear" w:color="auto" w:fill="FFFFFF"/>
              <w:autoSpaceDE w:val="0"/>
              <w:autoSpaceDN w:val="0"/>
              <w:adjustRightInd w:val="0"/>
              <w:spacing w:before="60" w:after="60" w:line="240" w:lineRule="atLeast"/>
              <w:rPr>
                <w:rFonts w:ascii="Arial" w:hAnsi="Arial" w:cs="Arial"/>
                <w:sz w:val="22"/>
                <w:szCs w:val="22"/>
              </w:rPr>
            </w:pPr>
            <w:r>
              <w:rPr>
                <w:rFonts w:ascii="Arial" w:hAnsi="Arial" w:cs="Arial"/>
                <w:sz w:val="22"/>
                <w:szCs w:val="22"/>
              </w:rPr>
              <w:t>≥ 0 equity difference AND ≥ 81%</w:t>
            </w:r>
            <w:r w:rsidRPr="00870AB7">
              <w:rPr>
                <w:rFonts w:ascii="Arial" w:hAnsi="Arial" w:cs="Arial"/>
                <w:sz w:val="22"/>
                <w:szCs w:val="22"/>
              </w:rPr>
              <w:t xml:space="preserve"> coverage </w:t>
            </w:r>
          </w:p>
        </w:tc>
      </w:tr>
      <w:tr w:rsidR="000C6B6D" w:rsidRPr="000D238F" w14:paraId="47EEA2CF" w14:textId="77777777" w:rsidTr="00E424A4">
        <w:tc>
          <w:tcPr>
            <w:tcW w:w="2581" w:type="dxa"/>
            <w:shd w:val="clear" w:color="auto" w:fill="auto"/>
          </w:tcPr>
          <w:p w14:paraId="137C18B8"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t>Achieved</w:t>
            </w:r>
          </w:p>
        </w:tc>
        <w:tc>
          <w:tcPr>
            <w:tcW w:w="6520" w:type="dxa"/>
            <w:shd w:val="clear" w:color="auto" w:fill="auto"/>
          </w:tcPr>
          <w:p w14:paraId="1ACD1015"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 0 equity difference AND ≥ 80% coverage</w:t>
            </w:r>
          </w:p>
        </w:tc>
      </w:tr>
      <w:tr w:rsidR="000C6B6D" w:rsidRPr="000D238F" w14:paraId="434A62DC" w14:textId="77777777" w:rsidTr="00E424A4">
        <w:tblPrEx>
          <w:tblLook w:val="01E0" w:firstRow="1" w:lastRow="1" w:firstColumn="1" w:lastColumn="1" w:noHBand="0" w:noVBand="0"/>
        </w:tblPrEx>
        <w:tc>
          <w:tcPr>
            <w:tcW w:w="2581" w:type="dxa"/>
            <w:shd w:val="clear" w:color="auto" w:fill="auto"/>
          </w:tcPr>
          <w:p w14:paraId="28E8CD58"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Partially Achieved</w:t>
            </w:r>
          </w:p>
        </w:tc>
        <w:tc>
          <w:tcPr>
            <w:tcW w:w="6520" w:type="dxa"/>
            <w:shd w:val="clear" w:color="auto" w:fill="auto"/>
          </w:tcPr>
          <w:p w14:paraId="061A8343"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 6 points equity difference AND 70 – 79% coverage</w:t>
            </w:r>
          </w:p>
          <w:p w14:paraId="422A5018"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 3 points equity difference AND 70 – 79% coverage</w:t>
            </w:r>
          </w:p>
          <w:p w14:paraId="6C4F8FBE"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2022: ≥ 0 points equity difference AND 70 – 79% coverage</w:t>
            </w:r>
          </w:p>
        </w:tc>
      </w:tr>
      <w:tr w:rsidR="000C6B6D" w:rsidRPr="000D238F" w14:paraId="4D7BC222" w14:textId="77777777" w:rsidTr="00E424A4">
        <w:tblPrEx>
          <w:tblLook w:val="01E0" w:firstRow="1" w:lastRow="1" w:firstColumn="1" w:lastColumn="1" w:noHBand="0" w:noVBand="0"/>
        </w:tblPrEx>
        <w:tc>
          <w:tcPr>
            <w:tcW w:w="2581" w:type="dxa"/>
            <w:shd w:val="clear" w:color="auto" w:fill="auto"/>
          </w:tcPr>
          <w:p w14:paraId="17BF6F0F"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t>Not Achieved</w:t>
            </w:r>
          </w:p>
        </w:tc>
        <w:tc>
          <w:tcPr>
            <w:tcW w:w="6520" w:type="dxa"/>
            <w:shd w:val="clear" w:color="auto" w:fill="auto"/>
          </w:tcPr>
          <w:p w14:paraId="261463D3"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&lt; 6 points equity difference OR &lt;70% coverage</w:t>
            </w:r>
          </w:p>
          <w:p w14:paraId="7746532A"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&lt; 3 points equity difference OR &lt;70% coverage</w:t>
            </w:r>
          </w:p>
          <w:p w14:paraId="5FF17754"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2022: &lt; 0 points equity difference OR &lt;70% coverage</w:t>
            </w:r>
          </w:p>
        </w:tc>
      </w:tr>
      <w:tr w:rsidR="000C6B6D" w:rsidRPr="000D238F" w14:paraId="6216EA04" w14:textId="77777777" w:rsidTr="00E424A4">
        <w:tc>
          <w:tcPr>
            <w:tcW w:w="9101" w:type="dxa"/>
            <w:gridSpan w:val="2"/>
            <w:shd w:val="clear" w:color="auto" w:fill="FFFFFF" w:themeFill="background1"/>
            <w:vAlign w:val="center"/>
          </w:tcPr>
          <w:p w14:paraId="1FD36C6B" w14:textId="77777777" w:rsidR="000C6B6D" w:rsidRDefault="000C6B6D" w:rsidP="00E424A4">
            <w:pPr>
              <w:shd w:val="clear" w:color="auto" w:fill="FFFFFF"/>
              <w:spacing w:before="60" w:after="60"/>
              <w:jc w:val="center"/>
              <w:rPr>
                <w:rFonts w:ascii="Arial" w:hAnsi="Arial" w:cs="Arial"/>
                <w:b/>
                <w:sz w:val="22"/>
                <w:szCs w:val="22"/>
              </w:rPr>
            </w:pPr>
          </w:p>
          <w:p w14:paraId="0CF30517" w14:textId="77777777" w:rsidR="000C6B6D" w:rsidRPr="000D238F" w:rsidRDefault="000C6B6D" w:rsidP="00E424A4">
            <w:pPr>
              <w:shd w:val="clear" w:color="auto" w:fill="FFFFFF"/>
              <w:spacing w:before="60" w:after="60"/>
              <w:jc w:val="center"/>
              <w:rPr>
                <w:rFonts w:ascii="Arial" w:hAnsi="Arial" w:cs="Arial"/>
                <w:b/>
                <w:sz w:val="22"/>
                <w:szCs w:val="22"/>
              </w:rPr>
            </w:pPr>
            <w:r>
              <w:rPr>
                <w:rFonts w:ascii="Arial" w:hAnsi="Arial" w:cs="Arial"/>
                <w:b/>
                <w:sz w:val="22"/>
                <w:szCs w:val="22"/>
              </w:rPr>
              <w:t>Asian equity and coverage</w:t>
            </w:r>
          </w:p>
        </w:tc>
      </w:tr>
      <w:tr w:rsidR="000C6B6D" w:rsidRPr="000D238F" w14:paraId="6B0BE316" w14:textId="77777777" w:rsidTr="00E424A4">
        <w:tc>
          <w:tcPr>
            <w:tcW w:w="2581" w:type="dxa"/>
            <w:shd w:val="clear" w:color="auto" w:fill="FFFFFF" w:themeFill="background1"/>
            <w:vAlign w:val="center"/>
          </w:tcPr>
          <w:p w14:paraId="241C912B"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 xml:space="preserve">Rating: </w:t>
            </w:r>
          </w:p>
        </w:tc>
        <w:tc>
          <w:tcPr>
            <w:tcW w:w="6520" w:type="dxa"/>
            <w:shd w:val="clear" w:color="auto" w:fill="FFFFFF" w:themeFill="background1"/>
            <w:vAlign w:val="center"/>
          </w:tcPr>
          <w:p w14:paraId="76F9DFCE" w14:textId="77777777" w:rsidR="000C6B6D" w:rsidRPr="000D238F" w:rsidRDefault="000C6B6D" w:rsidP="00E424A4">
            <w:pPr>
              <w:shd w:val="clear" w:color="auto" w:fill="FFFFFF"/>
              <w:spacing w:before="60" w:after="60"/>
              <w:jc w:val="both"/>
              <w:rPr>
                <w:rFonts w:ascii="Arial" w:hAnsi="Arial" w:cs="Arial"/>
                <w:b/>
                <w:sz w:val="22"/>
                <w:szCs w:val="22"/>
              </w:rPr>
            </w:pPr>
            <w:r w:rsidRPr="000D238F">
              <w:rPr>
                <w:rFonts w:ascii="Arial" w:hAnsi="Arial" w:cs="Arial"/>
                <w:b/>
                <w:sz w:val="22"/>
                <w:szCs w:val="22"/>
              </w:rPr>
              <w:t>Definition</w:t>
            </w:r>
          </w:p>
        </w:tc>
      </w:tr>
      <w:tr w:rsidR="000C6B6D" w:rsidRPr="000D238F" w14:paraId="18B42266" w14:textId="77777777" w:rsidTr="00E424A4">
        <w:tc>
          <w:tcPr>
            <w:tcW w:w="2581" w:type="dxa"/>
            <w:shd w:val="clear" w:color="auto" w:fill="auto"/>
          </w:tcPr>
          <w:p w14:paraId="4213A992"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Outstanding performer</w:t>
            </w:r>
          </w:p>
        </w:tc>
        <w:tc>
          <w:tcPr>
            <w:tcW w:w="6520" w:type="dxa"/>
            <w:shd w:val="clear" w:color="auto" w:fill="auto"/>
          </w:tcPr>
          <w:p w14:paraId="075D1325" w14:textId="77777777" w:rsidR="000C6B6D" w:rsidRPr="00870AB7" w:rsidDel="007E68A6" w:rsidRDefault="000C6B6D" w:rsidP="00E424A4">
            <w:pPr>
              <w:shd w:val="clear" w:color="auto" w:fill="FFFFFF"/>
              <w:autoSpaceDE w:val="0"/>
              <w:autoSpaceDN w:val="0"/>
              <w:adjustRightInd w:val="0"/>
              <w:spacing w:before="60" w:after="60" w:line="240" w:lineRule="atLeast"/>
              <w:rPr>
                <w:rFonts w:ascii="Arial" w:hAnsi="Arial" w:cs="Arial"/>
                <w:sz w:val="22"/>
                <w:szCs w:val="22"/>
              </w:rPr>
            </w:pPr>
            <w:r>
              <w:rPr>
                <w:rFonts w:ascii="Arial" w:hAnsi="Arial" w:cs="Arial"/>
                <w:sz w:val="22"/>
                <w:szCs w:val="22"/>
              </w:rPr>
              <w:t>≥ 0 equity difference AND ≥ 81%</w:t>
            </w:r>
            <w:r w:rsidRPr="00870AB7">
              <w:rPr>
                <w:rFonts w:ascii="Arial" w:hAnsi="Arial" w:cs="Arial"/>
                <w:sz w:val="22"/>
                <w:szCs w:val="22"/>
              </w:rPr>
              <w:t xml:space="preserve"> coverage </w:t>
            </w:r>
          </w:p>
        </w:tc>
      </w:tr>
      <w:tr w:rsidR="000C6B6D" w:rsidRPr="000D238F" w14:paraId="38FFD7A9" w14:textId="77777777" w:rsidTr="00E424A4">
        <w:tc>
          <w:tcPr>
            <w:tcW w:w="2581" w:type="dxa"/>
            <w:shd w:val="clear" w:color="auto" w:fill="auto"/>
          </w:tcPr>
          <w:p w14:paraId="5198601F"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t>Achieved</w:t>
            </w:r>
          </w:p>
        </w:tc>
        <w:tc>
          <w:tcPr>
            <w:tcW w:w="6520" w:type="dxa"/>
            <w:shd w:val="clear" w:color="auto" w:fill="auto"/>
          </w:tcPr>
          <w:p w14:paraId="5DAC6086"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 0 equity difference AND ≥ 80% coverage</w:t>
            </w:r>
          </w:p>
        </w:tc>
      </w:tr>
      <w:tr w:rsidR="000C6B6D" w:rsidRPr="000D238F" w14:paraId="21F9B4B9" w14:textId="77777777" w:rsidTr="00E424A4">
        <w:tblPrEx>
          <w:tblLook w:val="01E0" w:firstRow="1" w:lastRow="1" w:firstColumn="1" w:lastColumn="1" w:noHBand="0" w:noVBand="0"/>
        </w:tblPrEx>
        <w:tc>
          <w:tcPr>
            <w:tcW w:w="2581" w:type="dxa"/>
            <w:shd w:val="clear" w:color="auto" w:fill="auto"/>
          </w:tcPr>
          <w:p w14:paraId="4A014636"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Partially Achieved</w:t>
            </w:r>
          </w:p>
        </w:tc>
        <w:tc>
          <w:tcPr>
            <w:tcW w:w="6520" w:type="dxa"/>
            <w:shd w:val="clear" w:color="auto" w:fill="auto"/>
          </w:tcPr>
          <w:p w14:paraId="2DEF5AF6"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 6 points equity difference AND 70 – 79% coverage</w:t>
            </w:r>
          </w:p>
          <w:p w14:paraId="528164EF"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 3 points equity difference AND 70 – 79% coverage</w:t>
            </w:r>
          </w:p>
          <w:p w14:paraId="490A0F4C"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2022: ≥ 0 points equity difference AND 70 – 79% coverage</w:t>
            </w:r>
          </w:p>
        </w:tc>
      </w:tr>
      <w:tr w:rsidR="000C6B6D" w:rsidRPr="000D238F" w14:paraId="6F07A922" w14:textId="77777777" w:rsidTr="00E424A4">
        <w:tblPrEx>
          <w:tblLook w:val="01E0" w:firstRow="1" w:lastRow="1" w:firstColumn="1" w:lastColumn="1" w:noHBand="0" w:noVBand="0"/>
        </w:tblPrEx>
        <w:tc>
          <w:tcPr>
            <w:tcW w:w="2581" w:type="dxa"/>
            <w:shd w:val="clear" w:color="auto" w:fill="auto"/>
          </w:tcPr>
          <w:p w14:paraId="0396D615" w14:textId="77777777" w:rsidR="000C6B6D" w:rsidRPr="000D238F" w:rsidRDefault="000C6B6D" w:rsidP="00E424A4">
            <w:pPr>
              <w:shd w:val="clear" w:color="auto" w:fill="FFFFFF"/>
              <w:spacing w:before="60" w:after="60"/>
              <w:jc w:val="both"/>
              <w:rPr>
                <w:rFonts w:ascii="Arial" w:hAnsi="Arial" w:cs="Arial"/>
                <w:sz w:val="22"/>
                <w:szCs w:val="22"/>
              </w:rPr>
            </w:pPr>
            <w:r w:rsidRPr="000D238F">
              <w:rPr>
                <w:rFonts w:ascii="Arial" w:hAnsi="Arial" w:cs="Arial"/>
                <w:sz w:val="22"/>
                <w:szCs w:val="22"/>
              </w:rPr>
              <w:t>Not Achieved</w:t>
            </w:r>
          </w:p>
        </w:tc>
        <w:tc>
          <w:tcPr>
            <w:tcW w:w="6520" w:type="dxa"/>
            <w:shd w:val="clear" w:color="auto" w:fill="auto"/>
          </w:tcPr>
          <w:p w14:paraId="4C9F91EF"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2020: &lt; 6 points equity difference OR &lt;70% coverage</w:t>
            </w:r>
          </w:p>
          <w:p w14:paraId="20AE6168" w14:textId="77777777" w:rsidR="000C6B6D"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2021: &lt; 3 points equity difference OR &lt;70% coverage</w:t>
            </w:r>
          </w:p>
          <w:p w14:paraId="5CDB959E" w14:textId="77777777" w:rsidR="000C6B6D" w:rsidRPr="000D238F" w:rsidRDefault="000C6B6D" w:rsidP="00E424A4">
            <w:pPr>
              <w:shd w:val="clear" w:color="auto" w:fill="FFFFFF"/>
              <w:spacing w:before="60" w:after="60"/>
              <w:jc w:val="both"/>
              <w:rPr>
                <w:rFonts w:ascii="Arial" w:hAnsi="Arial" w:cs="Arial"/>
                <w:sz w:val="22"/>
                <w:szCs w:val="22"/>
              </w:rPr>
            </w:pPr>
            <w:r>
              <w:rPr>
                <w:rFonts w:ascii="Arial" w:hAnsi="Arial" w:cs="Arial"/>
                <w:sz w:val="22"/>
                <w:szCs w:val="22"/>
              </w:rPr>
              <w:t>June 2022: &lt; 0 points equity difference OR &lt;70% coverage</w:t>
            </w:r>
          </w:p>
        </w:tc>
      </w:tr>
    </w:tbl>
    <w:p w14:paraId="65FEB01C" w14:textId="77777777" w:rsidR="000C6B6D" w:rsidRDefault="000C6B6D">
      <w:pPr>
        <w:rPr>
          <w:rFonts w:ascii="Arial" w:hAnsi="Arial" w:cs="Arial"/>
          <w:b/>
          <w:i/>
        </w:rPr>
      </w:pPr>
      <w:r>
        <w:rPr>
          <w:rFonts w:ascii="Arial" w:hAnsi="Arial" w:cs="Arial"/>
          <w:b/>
          <w:i/>
        </w:rPr>
        <w:br w:type="page"/>
      </w:r>
    </w:p>
    <w:p w14:paraId="322110DB" w14:textId="77777777" w:rsidR="00B52152" w:rsidRPr="00B251A1" w:rsidRDefault="00B52152" w:rsidP="00B52152">
      <w:pPr>
        <w:pStyle w:val="TitleOne"/>
        <w:spacing w:before="0" w:after="0"/>
        <w:ind w:left="720" w:hanging="720"/>
        <w:rPr>
          <w:i/>
          <w:sz w:val="24"/>
          <w:szCs w:val="24"/>
        </w:rPr>
      </w:pPr>
      <w:r w:rsidRPr="00B251A1">
        <w:rPr>
          <w:i/>
          <w:sz w:val="24"/>
          <w:szCs w:val="24"/>
        </w:rPr>
        <w:lastRenderedPageBreak/>
        <w:t>Outcome priority:  We have improved quality of life</w:t>
      </w:r>
    </w:p>
    <w:p w14:paraId="39907075" w14:textId="0C1CC551" w:rsidR="00B52152" w:rsidRPr="00B251A1" w:rsidRDefault="00604F7F" w:rsidP="00B52152">
      <w:pPr>
        <w:pStyle w:val="Heading2"/>
      </w:pPr>
      <w:bookmarkStart w:id="486" w:name="_Toc4588553"/>
      <w:bookmarkStart w:id="487" w:name="_Toc9592024"/>
      <w:r>
        <w:t>Better population health outcomes supported by a s</w:t>
      </w:r>
      <w:r w:rsidR="00B52152" w:rsidRPr="00B251A1">
        <w:t xml:space="preserve">trong </w:t>
      </w:r>
      <w:r w:rsidR="00B52152">
        <w:t xml:space="preserve">and equitable public health and disability </w:t>
      </w:r>
      <w:r w:rsidR="00B52152" w:rsidRPr="00B251A1">
        <w:t>system SS</w:t>
      </w:r>
      <w:r w:rsidR="00B52152">
        <w:t>01</w:t>
      </w:r>
      <w:r w:rsidR="00B52152" w:rsidRPr="00B251A1">
        <w:t>: Faster cancer treatment</w:t>
      </w:r>
      <w:bookmarkEnd w:id="486"/>
      <w:bookmarkEnd w:id="487"/>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B52152" w:rsidRPr="00B44AD8" w14:paraId="28F722F8" w14:textId="77777777" w:rsidTr="009D6F69">
        <w:tc>
          <w:tcPr>
            <w:tcW w:w="10094" w:type="dxa"/>
            <w:gridSpan w:val="2"/>
            <w:shd w:val="clear" w:color="auto" w:fill="D9D9D9"/>
          </w:tcPr>
          <w:p w14:paraId="71F39710" w14:textId="77777777" w:rsidR="00B52152" w:rsidRPr="00B44AD8" w:rsidRDefault="00B52152"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B52152" w:rsidRPr="00B44AD8" w14:paraId="461BD326" w14:textId="77777777" w:rsidTr="009D6F69">
        <w:tc>
          <w:tcPr>
            <w:tcW w:w="2864" w:type="dxa"/>
            <w:shd w:val="clear" w:color="auto" w:fill="auto"/>
          </w:tcPr>
          <w:p w14:paraId="2C055C23" w14:textId="77777777" w:rsidR="00B52152" w:rsidRPr="00B44AD8" w:rsidRDefault="00B52152"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64AC6E99" w14:textId="77777777" w:rsidR="00B52152" w:rsidRPr="00B44AD8" w:rsidRDefault="00B52152"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B52152" w:rsidRPr="00B44AD8" w14:paraId="4D2B2983" w14:textId="77777777" w:rsidTr="009D6F69">
        <w:trPr>
          <w:trHeight w:val="493"/>
        </w:trPr>
        <w:tc>
          <w:tcPr>
            <w:tcW w:w="2864" w:type="dxa"/>
            <w:shd w:val="clear" w:color="auto" w:fill="auto"/>
          </w:tcPr>
          <w:p w14:paraId="34804467" w14:textId="77777777" w:rsidR="00B52152" w:rsidRPr="00B44AD8" w:rsidRDefault="00B52152"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37CCF6F7" w14:textId="77777777" w:rsidR="00B52152" w:rsidRPr="00B44AD8" w:rsidRDefault="00B52152" w:rsidP="009D6F69">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B52152" w:rsidRPr="00B44AD8" w14:paraId="750DF495" w14:textId="77777777" w:rsidTr="009D6F69">
        <w:tc>
          <w:tcPr>
            <w:tcW w:w="2864" w:type="dxa"/>
            <w:shd w:val="clear" w:color="auto" w:fill="auto"/>
          </w:tcPr>
          <w:p w14:paraId="0BE460E2" w14:textId="77777777" w:rsidR="00B52152" w:rsidRPr="00B44AD8" w:rsidRDefault="00B52152"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53656CDB" w14:textId="77777777" w:rsidR="00B52152" w:rsidRPr="00B44AD8" w:rsidRDefault="00B52152" w:rsidP="009D6F69">
            <w:pPr>
              <w:shd w:val="clear" w:color="auto" w:fill="FFFFFF"/>
              <w:spacing w:before="60" w:after="60"/>
              <w:rPr>
                <w:rFonts w:ascii="Arial" w:hAnsi="Arial" w:cs="Arial"/>
                <w:i/>
                <w:sz w:val="20"/>
                <w:szCs w:val="20"/>
              </w:rPr>
            </w:pPr>
            <w:r w:rsidRPr="00B44AD8">
              <w:rPr>
                <w:rFonts w:ascii="Arial" w:hAnsi="Arial" w:cs="Arial"/>
                <w:i/>
                <w:sz w:val="20"/>
                <w:szCs w:val="20"/>
              </w:rPr>
              <w:t>DHB</w:t>
            </w:r>
            <w:r>
              <w:rPr>
                <w:rFonts w:ascii="Arial" w:hAnsi="Arial" w:cs="Arial"/>
                <w:i/>
                <w:sz w:val="20"/>
                <w:szCs w:val="20"/>
              </w:rPr>
              <w:t xml:space="preserve">s to supply data and </w:t>
            </w:r>
            <w:r w:rsidRPr="00B44AD8">
              <w:rPr>
                <w:rFonts w:ascii="Arial" w:hAnsi="Arial" w:cs="Arial"/>
                <w:i/>
                <w:sz w:val="20"/>
                <w:szCs w:val="20"/>
              </w:rPr>
              <w:t>report</w:t>
            </w:r>
            <w:r>
              <w:rPr>
                <w:rFonts w:ascii="Arial" w:hAnsi="Arial" w:cs="Arial"/>
                <w:i/>
                <w:sz w:val="20"/>
                <w:szCs w:val="20"/>
              </w:rPr>
              <w:t xml:space="preserve">s as outlined </w:t>
            </w:r>
          </w:p>
        </w:tc>
      </w:tr>
      <w:tr w:rsidR="00B52152" w:rsidRPr="00B44AD8" w14:paraId="6719CBF7" w14:textId="77777777" w:rsidTr="009D6F69">
        <w:trPr>
          <w:trHeight w:val="2182"/>
        </w:trPr>
        <w:tc>
          <w:tcPr>
            <w:tcW w:w="2864" w:type="dxa"/>
            <w:shd w:val="clear" w:color="auto" w:fill="auto"/>
          </w:tcPr>
          <w:p w14:paraId="336CEEF7" w14:textId="77777777" w:rsidR="00B52152" w:rsidRPr="00B44AD8" w:rsidRDefault="00B52152"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751856DD" w14:textId="77777777" w:rsidR="00B52152" w:rsidRPr="00B44AD8" w:rsidRDefault="00B52152"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B52152" w:rsidRPr="00B44AD8" w14:paraId="6B6A761D"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95405"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927D8"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B52152" w:rsidRPr="00B44AD8" w14:paraId="56C966FB"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21EE8"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AB88"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B52152" w:rsidRPr="00B44AD8" w14:paraId="4B7DE331"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09EA7"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31C9F"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B52152" w:rsidRPr="00B44AD8" w14:paraId="47FF4F74"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1AA24"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EAAB" w14:textId="77777777" w:rsidR="00B52152" w:rsidRPr="00B44AD8" w:rsidRDefault="00B52152"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2897EADC" w14:textId="77777777" w:rsidR="00B52152" w:rsidRPr="00B44AD8" w:rsidRDefault="00B52152" w:rsidP="009D6F69">
            <w:pPr>
              <w:shd w:val="clear" w:color="auto" w:fill="FFFFFF"/>
              <w:spacing w:before="60" w:after="60"/>
              <w:jc w:val="both"/>
              <w:rPr>
                <w:rFonts w:ascii="Arial" w:hAnsi="Arial" w:cs="Arial"/>
                <w:i/>
                <w:sz w:val="16"/>
                <w:szCs w:val="16"/>
              </w:rPr>
            </w:pPr>
          </w:p>
        </w:tc>
      </w:tr>
    </w:tbl>
    <w:p w14:paraId="63B2BEF6" w14:textId="77777777" w:rsidR="00B52152" w:rsidRDefault="00B52152" w:rsidP="00B52152">
      <w:pPr>
        <w:pStyle w:val="SubOne"/>
        <w:shd w:val="clear" w:color="auto" w:fill="FFFFFF"/>
        <w:spacing w:before="60" w:after="60"/>
        <w:jc w:val="both"/>
      </w:pPr>
    </w:p>
    <w:p w14:paraId="5B54C359" w14:textId="77777777" w:rsidR="00B52152" w:rsidRPr="003028EF" w:rsidRDefault="00B52152" w:rsidP="00B52152">
      <w:pPr>
        <w:pStyle w:val="SubOne"/>
        <w:shd w:val="clear" w:color="auto" w:fill="FFFFFF"/>
        <w:spacing w:before="60" w:after="60"/>
        <w:jc w:val="both"/>
        <w:rPr>
          <w:i/>
        </w:rPr>
      </w:pPr>
      <w:r w:rsidRPr="005D6BDC">
        <w:t>L</w:t>
      </w:r>
      <w:r>
        <w:t>ink to outcomes and priority areas</w:t>
      </w:r>
    </w:p>
    <w:p w14:paraId="5DD72152" w14:textId="77777777" w:rsidR="00B52152" w:rsidRDefault="00B52152" w:rsidP="00B52152">
      <w:pPr>
        <w:spacing w:before="60" w:after="60"/>
        <w:jc w:val="both"/>
        <w:rPr>
          <w:rFonts w:ascii="Arial" w:hAnsi="Arial" w:cs="Arial"/>
          <w:sz w:val="22"/>
          <w:szCs w:val="22"/>
        </w:rPr>
      </w:pPr>
      <w:r>
        <w:rPr>
          <w:rFonts w:ascii="Arial" w:hAnsi="Arial" w:cs="Arial"/>
          <w:sz w:val="22"/>
          <w:szCs w:val="22"/>
        </w:rPr>
        <w:t xml:space="preserve">Faster cancer treatment is part of our </w:t>
      </w:r>
      <w:r w:rsidRPr="00891315">
        <w:rPr>
          <w:rFonts w:ascii="Arial" w:hAnsi="Arial" w:cs="Arial"/>
          <w:sz w:val="22"/>
          <w:szCs w:val="22"/>
        </w:rPr>
        <w:t xml:space="preserve">system focus on improved health through the best use of resources and will support Government's priority to ensure everyone who is able is earning, learning, </w:t>
      </w:r>
      <w:proofErr w:type="gramStart"/>
      <w:r w:rsidRPr="00891315">
        <w:rPr>
          <w:rFonts w:ascii="Arial" w:hAnsi="Arial" w:cs="Arial"/>
          <w:sz w:val="22"/>
          <w:szCs w:val="22"/>
        </w:rPr>
        <w:t>caring</w:t>
      </w:r>
      <w:proofErr w:type="gramEnd"/>
      <w:r w:rsidRPr="00891315">
        <w:rPr>
          <w:rFonts w:ascii="Arial" w:hAnsi="Arial" w:cs="Arial"/>
          <w:sz w:val="22"/>
          <w:szCs w:val="22"/>
        </w:rPr>
        <w:t xml:space="preserve"> or volunteering and our system outcome that we </w:t>
      </w:r>
      <w:r>
        <w:rPr>
          <w:rFonts w:ascii="Arial" w:hAnsi="Arial" w:cs="Arial"/>
          <w:sz w:val="22"/>
          <w:szCs w:val="22"/>
        </w:rPr>
        <w:t>have improved quality of life</w:t>
      </w:r>
      <w:r w:rsidRPr="00891315">
        <w:rPr>
          <w:rFonts w:ascii="Arial" w:hAnsi="Arial" w:cs="Arial"/>
          <w:sz w:val="22"/>
          <w:szCs w:val="22"/>
        </w:rPr>
        <w:t>.</w:t>
      </w:r>
    </w:p>
    <w:p w14:paraId="21262786" w14:textId="77777777" w:rsidR="00B52152" w:rsidRDefault="00B52152" w:rsidP="00B52152">
      <w:pPr>
        <w:spacing w:before="60" w:after="60"/>
        <w:jc w:val="both"/>
        <w:rPr>
          <w:rFonts w:ascii="Arial" w:hAnsi="Arial" w:cs="Arial"/>
          <w:sz w:val="22"/>
          <w:szCs w:val="22"/>
        </w:rPr>
      </w:pPr>
    </w:p>
    <w:p w14:paraId="4FC70643" w14:textId="77777777" w:rsidR="00B52152" w:rsidRDefault="00B52152" w:rsidP="00B52152">
      <w:pPr>
        <w:spacing w:before="60" w:after="60"/>
        <w:jc w:val="both"/>
        <w:rPr>
          <w:rFonts w:ascii="Arial" w:hAnsi="Arial" w:cs="Arial"/>
          <w:sz w:val="22"/>
          <w:szCs w:val="22"/>
        </w:rPr>
      </w:pPr>
      <w:r w:rsidRPr="00AE0FCB">
        <w:rPr>
          <w:rFonts w:ascii="Arial" w:hAnsi="Arial" w:cs="Arial"/>
          <w:sz w:val="22"/>
          <w:szCs w:val="22"/>
        </w:rPr>
        <w:t xml:space="preserve">Faster cancer treatment takes a pathway approach to care, to facilitate improved hospital productivity by ensuring resources are used effectively and efficiently.  DHBs working towards achievement of Faster cancer treatment supports public trust in the health and disability system; and that these services can be used with confidence. </w:t>
      </w:r>
    </w:p>
    <w:p w14:paraId="2148163A" w14:textId="77777777" w:rsidR="00B52152" w:rsidRDefault="00B52152" w:rsidP="00B52152">
      <w:pPr>
        <w:spacing w:before="60" w:after="60"/>
        <w:jc w:val="both"/>
        <w:rPr>
          <w:rFonts w:ascii="Arial" w:hAnsi="Arial" w:cs="Arial"/>
          <w:sz w:val="22"/>
          <w:szCs w:val="22"/>
        </w:rPr>
      </w:pPr>
    </w:p>
    <w:p w14:paraId="65897966" w14:textId="77777777" w:rsidR="00B52152" w:rsidRPr="00AE0FCB" w:rsidRDefault="00B52152" w:rsidP="00B52152">
      <w:pPr>
        <w:spacing w:before="60" w:after="60"/>
        <w:jc w:val="both"/>
        <w:rPr>
          <w:rFonts w:ascii="Arial" w:hAnsi="Arial" w:cs="Arial"/>
          <w:sz w:val="22"/>
          <w:szCs w:val="22"/>
          <w:lang w:val="en-US"/>
        </w:rPr>
      </w:pPr>
      <w:r w:rsidRPr="00AE0FCB">
        <w:rPr>
          <w:rFonts w:ascii="Arial" w:hAnsi="Arial" w:cs="Arial"/>
          <w:sz w:val="22"/>
          <w:szCs w:val="22"/>
          <w:lang w:val="en-US"/>
        </w:rPr>
        <w:t xml:space="preserve">Implementation of Faster cancer treatment </w:t>
      </w:r>
      <w:r>
        <w:rPr>
          <w:rFonts w:ascii="Arial" w:hAnsi="Arial" w:cs="Arial"/>
          <w:sz w:val="22"/>
          <w:szCs w:val="22"/>
          <w:lang w:val="en-US"/>
        </w:rPr>
        <w:t xml:space="preserve">is effectiveness focused as it </w:t>
      </w:r>
      <w:r w:rsidRPr="00AE0FCB">
        <w:rPr>
          <w:rFonts w:ascii="Arial" w:hAnsi="Arial" w:cs="Arial"/>
          <w:sz w:val="22"/>
          <w:szCs w:val="22"/>
          <w:lang w:val="en-US"/>
        </w:rPr>
        <w:t xml:space="preserve">requires existing capacity and resources to be </w:t>
      </w:r>
      <w:proofErr w:type="spellStart"/>
      <w:r w:rsidRPr="00AE0FCB">
        <w:rPr>
          <w:rFonts w:ascii="Arial" w:hAnsi="Arial" w:cs="Arial"/>
          <w:sz w:val="22"/>
          <w:szCs w:val="22"/>
          <w:lang w:val="en-US"/>
        </w:rPr>
        <w:t>maximised</w:t>
      </w:r>
      <w:proofErr w:type="spellEnd"/>
      <w:r w:rsidRPr="00AE0FCB">
        <w:rPr>
          <w:rFonts w:ascii="Arial" w:hAnsi="Arial" w:cs="Arial"/>
          <w:sz w:val="22"/>
          <w:szCs w:val="22"/>
          <w:lang w:val="en-US"/>
        </w:rPr>
        <w:t xml:space="preserve">, this </w:t>
      </w:r>
      <w:r>
        <w:rPr>
          <w:rFonts w:ascii="Arial" w:hAnsi="Arial" w:cs="Arial"/>
          <w:sz w:val="22"/>
          <w:szCs w:val="22"/>
          <w:lang w:val="en-US"/>
        </w:rPr>
        <w:t xml:space="preserve">in turn </w:t>
      </w:r>
      <w:r w:rsidRPr="00AE0FCB">
        <w:rPr>
          <w:rFonts w:ascii="Arial" w:hAnsi="Arial" w:cs="Arial"/>
          <w:sz w:val="22"/>
          <w:szCs w:val="22"/>
          <w:lang w:val="en-US"/>
        </w:rPr>
        <w:t xml:space="preserve">results in </w:t>
      </w:r>
      <w:r w:rsidRPr="00AE0FCB">
        <w:rPr>
          <w:rFonts w:ascii="Arial" w:hAnsi="Arial" w:cs="Arial"/>
          <w:sz w:val="22"/>
          <w:szCs w:val="22"/>
        </w:rPr>
        <w:t>effective and efficient use of resources and supports the key planning consideration of value for money.</w:t>
      </w:r>
    </w:p>
    <w:p w14:paraId="66031F16" w14:textId="77777777" w:rsidR="00B52152" w:rsidRPr="00246AC8" w:rsidRDefault="00B52152" w:rsidP="00B52152">
      <w:pPr>
        <w:spacing w:before="60" w:after="60"/>
        <w:jc w:val="both"/>
        <w:rPr>
          <w:rFonts w:ascii="Arial" w:hAnsi="Arial" w:cs="Arial"/>
          <w:sz w:val="12"/>
          <w:szCs w:val="22"/>
        </w:rPr>
      </w:pPr>
    </w:p>
    <w:p w14:paraId="20CC7173" w14:textId="77777777" w:rsidR="00B52152" w:rsidRPr="0072302C" w:rsidRDefault="00B52152" w:rsidP="00B52152">
      <w:pPr>
        <w:spacing w:after="120" w:line="300" w:lineRule="auto"/>
        <w:rPr>
          <w:rFonts w:ascii="Arial" w:hAnsi="Arial" w:cs="Arial"/>
          <w:sz w:val="22"/>
          <w:szCs w:val="22"/>
        </w:rPr>
      </w:pPr>
      <w:r w:rsidRPr="00AE0FCB">
        <w:rPr>
          <w:rFonts w:ascii="Arial" w:hAnsi="Arial" w:cs="Arial"/>
          <w:sz w:val="22"/>
          <w:szCs w:val="22"/>
          <w:lang w:val="en-US"/>
        </w:rPr>
        <w:t xml:space="preserve">Implementing the overall faster cancer treatment </w:t>
      </w:r>
      <w:proofErr w:type="spellStart"/>
      <w:r w:rsidRPr="00AE0FCB">
        <w:rPr>
          <w:rFonts w:ascii="Arial" w:hAnsi="Arial" w:cs="Arial"/>
          <w:sz w:val="22"/>
          <w:szCs w:val="22"/>
          <w:lang w:val="en-US"/>
        </w:rPr>
        <w:t>programme</w:t>
      </w:r>
      <w:proofErr w:type="spellEnd"/>
      <w:r w:rsidRPr="00AE0FCB">
        <w:rPr>
          <w:rFonts w:ascii="Arial" w:hAnsi="Arial" w:cs="Arial"/>
          <w:sz w:val="22"/>
          <w:szCs w:val="22"/>
          <w:lang w:val="en-US"/>
        </w:rPr>
        <w:t xml:space="preserve"> supports the </w:t>
      </w:r>
      <w:r w:rsidRPr="0072302C">
        <w:rPr>
          <w:rFonts w:ascii="Arial" w:hAnsi="Arial" w:cs="Arial"/>
          <w:sz w:val="22"/>
          <w:szCs w:val="22"/>
        </w:rPr>
        <w:t xml:space="preserve">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5E29162D" w14:textId="77777777" w:rsidR="00B52152" w:rsidRPr="00AE0FCB" w:rsidRDefault="00B52152" w:rsidP="00B52152">
      <w:pPr>
        <w:spacing w:before="60" w:after="60"/>
        <w:jc w:val="both"/>
        <w:rPr>
          <w:rFonts w:ascii="Arial" w:hAnsi="Arial" w:cs="Arial"/>
          <w:sz w:val="22"/>
          <w:szCs w:val="22"/>
          <w:lang w:val="en-US"/>
        </w:rPr>
      </w:pPr>
      <w:r>
        <w:rPr>
          <w:rFonts w:ascii="Arial" w:hAnsi="Arial" w:cs="Arial"/>
          <w:sz w:val="22"/>
          <w:szCs w:val="22"/>
          <w:lang w:val="en-US"/>
        </w:rPr>
        <w:t xml:space="preserve">that New Zealanders </w:t>
      </w:r>
      <w:r w:rsidRPr="00250818">
        <w:rPr>
          <w:rFonts w:ascii="Arial" w:hAnsi="Arial" w:cs="Arial"/>
          <w:sz w:val="22"/>
          <w:szCs w:val="22"/>
          <w:lang w:val="en-US"/>
        </w:rPr>
        <w:t>l</w:t>
      </w:r>
      <w:r>
        <w:rPr>
          <w:rFonts w:ascii="Arial" w:hAnsi="Arial" w:cs="Arial"/>
          <w:sz w:val="22"/>
          <w:szCs w:val="22"/>
          <w:lang w:val="en-US"/>
        </w:rPr>
        <w:t xml:space="preserve">. </w:t>
      </w:r>
      <w:r w:rsidRPr="00250818">
        <w:rPr>
          <w:rFonts w:ascii="Arial" w:hAnsi="Arial" w:cs="Arial"/>
          <w:sz w:val="22"/>
          <w:szCs w:val="22"/>
          <w:lang w:val="en-US"/>
        </w:rPr>
        <w:t xml:space="preserve"> </w:t>
      </w:r>
      <w:r w:rsidRPr="00AE0FCB">
        <w:rPr>
          <w:rFonts w:ascii="Arial" w:hAnsi="Arial" w:cs="Arial"/>
          <w:sz w:val="22"/>
          <w:szCs w:val="22"/>
          <w:lang w:val="en-US"/>
        </w:rPr>
        <w:t xml:space="preserve">Cancer treatment is provided across all DHBs, although not all DHBs provide all services. This requires DHBs to collaborate across boundaries to ensure services are integrated and patients receive a seamless service.  </w:t>
      </w:r>
    </w:p>
    <w:p w14:paraId="6944AE89" w14:textId="77777777" w:rsidR="00B52152" w:rsidRPr="00246AC8" w:rsidRDefault="00B52152" w:rsidP="00B52152">
      <w:pPr>
        <w:spacing w:before="60" w:after="60"/>
        <w:jc w:val="both"/>
        <w:rPr>
          <w:rFonts w:ascii="Arial" w:hAnsi="Arial" w:cs="Arial"/>
          <w:sz w:val="14"/>
          <w:szCs w:val="22"/>
          <w:lang w:val="en-US"/>
        </w:rPr>
      </w:pPr>
    </w:p>
    <w:p w14:paraId="0AE8B715" w14:textId="77777777" w:rsidR="00B52152" w:rsidRDefault="00B52152" w:rsidP="00B52152">
      <w:pPr>
        <w:spacing w:before="60" w:after="60"/>
        <w:jc w:val="both"/>
        <w:rPr>
          <w:rFonts w:ascii="Arial" w:hAnsi="Arial" w:cs="Arial"/>
          <w:sz w:val="22"/>
          <w:szCs w:val="22"/>
        </w:rPr>
      </w:pPr>
    </w:p>
    <w:p w14:paraId="1CC45708" w14:textId="77777777" w:rsidR="00B52152" w:rsidRPr="00AE0FCB" w:rsidRDefault="00B52152" w:rsidP="00B52152">
      <w:pPr>
        <w:spacing w:before="60" w:after="60"/>
        <w:jc w:val="both"/>
        <w:rPr>
          <w:rFonts w:ascii="Arial" w:hAnsi="Arial" w:cs="Arial"/>
          <w:sz w:val="22"/>
          <w:szCs w:val="22"/>
        </w:rPr>
      </w:pPr>
      <w:r w:rsidRPr="00AE0FCB">
        <w:rPr>
          <w:rFonts w:ascii="Arial" w:hAnsi="Arial" w:cs="Arial"/>
          <w:sz w:val="22"/>
          <w:szCs w:val="22"/>
        </w:rPr>
        <w:t xml:space="preserve">Actions to deliver improved performance in this focus area include: </w:t>
      </w:r>
    </w:p>
    <w:p w14:paraId="334B7C70" w14:textId="77777777" w:rsidR="00B52152" w:rsidRPr="00AE0FCB" w:rsidRDefault="00B52152" w:rsidP="00363573">
      <w:pPr>
        <w:numPr>
          <w:ilvl w:val="0"/>
          <w:numId w:val="32"/>
        </w:numPr>
        <w:spacing w:before="60" w:after="60" w:line="276" w:lineRule="auto"/>
        <w:jc w:val="both"/>
        <w:rPr>
          <w:rFonts w:ascii="Arial" w:hAnsi="Arial" w:cs="Arial"/>
          <w:sz w:val="22"/>
          <w:szCs w:val="22"/>
        </w:rPr>
      </w:pPr>
      <w:r w:rsidRPr="00AE0FCB">
        <w:rPr>
          <w:rFonts w:ascii="Arial" w:hAnsi="Arial" w:cs="Arial"/>
          <w:sz w:val="22"/>
          <w:szCs w:val="22"/>
        </w:rPr>
        <w:t xml:space="preserve">use of the </w:t>
      </w:r>
      <w:r w:rsidRPr="00AE0FCB">
        <w:rPr>
          <w:rFonts w:ascii="Arial" w:hAnsi="Arial" w:cs="Arial"/>
          <w:i/>
          <w:sz w:val="22"/>
          <w:szCs w:val="22"/>
        </w:rPr>
        <w:t>Faster Cancer Treatment Indicators: Business Rules and Data Definitions</w:t>
      </w:r>
      <w:r w:rsidRPr="00AE0FCB">
        <w:rPr>
          <w:rFonts w:ascii="Arial" w:hAnsi="Arial" w:cs="Arial"/>
          <w:sz w:val="22"/>
          <w:szCs w:val="22"/>
        </w:rPr>
        <w:t xml:space="preserve"> and </w:t>
      </w:r>
      <w:r w:rsidRPr="00AE0FCB">
        <w:rPr>
          <w:rFonts w:ascii="Arial" w:hAnsi="Arial" w:cs="Arial"/>
          <w:i/>
          <w:sz w:val="22"/>
          <w:szCs w:val="22"/>
        </w:rPr>
        <w:t>High suspicion of cancer definitions</w:t>
      </w:r>
      <w:r w:rsidRPr="00AE0FCB">
        <w:rPr>
          <w:rFonts w:ascii="Arial" w:hAnsi="Arial" w:cs="Arial"/>
          <w:sz w:val="22"/>
          <w:szCs w:val="22"/>
        </w:rPr>
        <w:t xml:space="preserve"> (to ensure consistency of reporting</w:t>
      </w:r>
    </w:p>
    <w:p w14:paraId="71F1A6CE" w14:textId="77777777" w:rsidR="00B52152" w:rsidRPr="00AE0FCB" w:rsidRDefault="00B52152" w:rsidP="00363573">
      <w:pPr>
        <w:numPr>
          <w:ilvl w:val="0"/>
          <w:numId w:val="32"/>
        </w:numPr>
        <w:spacing w:before="60" w:after="60" w:line="276" w:lineRule="auto"/>
        <w:jc w:val="both"/>
        <w:rPr>
          <w:rFonts w:ascii="Arial" w:hAnsi="Arial" w:cs="Arial"/>
          <w:sz w:val="22"/>
          <w:szCs w:val="22"/>
        </w:rPr>
      </w:pPr>
      <w:r w:rsidRPr="00AE0FCB">
        <w:rPr>
          <w:rFonts w:ascii="Arial" w:hAnsi="Arial" w:cs="Arial"/>
          <w:sz w:val="22"/>
          <w:szCs w:val="22"/>
        </w:rPr>
        <w:t>improve the quality of data (volume of patients, number of tumour types, types of first treatment) captured</w:t>
      </w:r>
    </w:p>
    <w:p w14:paraId="5E993009" w14:textId="77777777" w:rsidR="00B52152" w:rsidRPr="00AE0FCB" w:rsidRDefault="00B52152" w:rsidP="00363573">
      <w:pPr>
        <w:numPr>
          <w:ilvl w:val="0"/>
          <w:numId w:val="32"/>
        </w:numPr>
        <w:spacing w:before="60" w:after="60" w:line="276" w:lineRule="auto"/>
        <w:jc w:val="both"/>
        <w:rPr>
          <w:rFonts w:ascii="Arial" w:hAnsi="Arial" w:cs="Arial"/>
          <w:sz w:val="22"/>
          <w:szCs w:val="22"/>
        </w:rPr>
      </w:pPr>
      <w:r w:rsidRPr="00AE0FCB">
        <w:rPr>
          <w:rFonts w:ascii="Arial" w:hAnsi="Arial" w:cs="Arial"/>
          <w:sz w:val="22"/>
          <w:szCs w:val="22"/>
        </w:rPr>
        <w:t>analysis of the data to identify areas for system and process improve along the patient pathway and any differences in access or timeliness by ethnicity or geography.</w:t>
      </w:r>
    </w:p>
    <w:p w14:paraId="35D4A535" w14:textId="77777777" w:rsidR="00B52152" w:rsidRPr="00AE0FCB" w:rsidRDefault="00B52152" w:rsidP="00363573">
      <w:pPr>
        <w:numPr>
          <w:ilvl w:val="0"/>
          <w:numId w:val="33"/>
        </w:numPr>
        <w:spacing w:before="60" w:after="60" w:line="276" w:lineRule="auto"/>
        <w:jc w:val="both"/>
        <w:rPr>
          <w:rFonts w:ascii="Arial" w:hAnsi="Arial" w:cs="Arial"/>
          <w:sz w:val="22"/>
          <w:szCs w:val="22"/>
        </w:rPr>
      </w:pPr>
      <w:r w:rsidRPr="00AE0FCB">
        <w:rPr>
          <w:rFonts w:ascii="Arial" w:hAnsi="Arial" w:cs="Arial"/>
          <w:sz w:val="22"/>
          <w:szCs w:val="22"/>
        </w:rPr>
        <w:lastRenderedPageBreak/>
        <w:t>review and re-design of the coordination of treatment processes and booking processes to ensure optimal use of capacity.</w:t>
      </w:r>
    </w:p>
    <w:p w14:paraId="39D2B739" w14:textId="77777777" w:rsidR="00B52152" w:rsidRPr="000B46AA" w:rsidRDefault="00B52152" w:rsidP="00B52152">
      <w:pPr>
        <w:shd w:val="clear" w:color="auto" w:fill="FFFFFF"/>
        <w:spacing w:before="60" w:after="60"/>
        <w:ind w:left="360"/>
        <w:jc w:val="both"/>
        <w:rPr>
          <w:rFonts w:ascii="Arial" w:hAnsi="Arial" w:cs="Arial"/>
          <w:sz w:val="20"/>
          <w:szCs w:val="20"/>
        </w:rPr>
      </w:pPr>
      <w:r w:rsidRPr="000B46AA">
        <w:rPr>
          <w:rFonts w:ascii="Arial" w:hAnsi="Arial" w:cs="Arial"/>
          <w:bCs/>
          <w:sz w:val="22"/>
          <w:szCs w:val="22"/>
        </w:rPr>
        <w:t>This measure has key linkages to Government planning priorities as highlighted.</w:t>
      </w:r>
    </w:p>
    <w:p w14:paraId="63CBDECB" w14:textId="77777777" w:rsidR="00B52152" w:rsidRPr="00AE0FCB" w:rsidRDefault="00B52152" w:rsidP="00B52152">
      <w:pPr>
        <w:spacing w:before="120" w:after="120"/>
        <w:jc w:val="both"/>
        <w:rPr>
          <w:rFonts w:ascii="Arial" w:hAnsi="Arial" w:cs="Arial"/>
          <w:b/>
          <w:szCs w:val="22"/>
        </w:rPr>
      </w:pPr>
      <w:r w:rsidRPr="00AE0FCB">
        <w:rPr>
          <w:rFonts w:ascii="Arial" w:hAnsi="Arial" w:cs="Arial"/>
          <w:b/>
          <w:szCs w:val="22"/>
        </w:rPr>
        <w:t>Deliverables</w:t>
      </w:r>
    </w:p>
    <w:p w14:paraId="1F2F10D4" w14:textId="77777777" w:rsidR="00B52152" w:rsidRPr="00AE0FCB" w:rsidRDefault="00B52152" w:rsidP="00B52152">
      <w:pPr>
        <w:jc w:val="both"/>
        <w:rPr>
          <w:rFonts w:ascii="Arial" w:hAnsi="Arial" w:cs="Arial"/>
          <w:sz w:val="22"/>
        </w:rPr>
      </w:pPr>
      <w:r w:rsidRPr="00AE0FCB">
        <w:rPr>
          <w:rFonts w:ascii="Arial" w:hAnsi="Arial" w:cs="Arial"/>
          <w:sz w:val="22"/>
        </w:rPr>
        <w:t>DHBs will be required to supply data monthly (within 20 days of the end of the month) via secure file transfer protocol on the length of time taken for patients to receive their first cancer treatment (or other management) from date of decision-to-treat.</w:t>
      </w:r>
    </w:p>
    <w:p w14:paraId="6BA54AE3" w14:textId="77777777" w:rsidR="00B52152" w:rsidRPr="000B46AA" w:rsidRDefault="00B52152" w:rsidP="00B52152">
      <w:pPr>
        <w:spacing w:before="60" w:after="60"/>
        <w:jc w:val="both"/>
        <w:rPr>
          <w:rFonts w:ascii="Arial" w:hAnsi="Arial" w:cs="Arial"/>
          <w:sz w:val="18"/>
        </w:rPr>
      </w:pPr>
    </w:p>
    <w:p w14:paraId="3F36D74F" w14:textId="77777777" w:rsidR="00B52152" w:rsidRPr="00AE0FCB" w:rsidRDefault="00B52152" w:rsidP="00B52152">
      <w:pPr>
        <w:jc w:val="both"/>
        <w:rPr>
          <w:rFonts w:ascii="Arial" w:hAnsi="Arial" w:cs="Arial"/>
          <w:sz w:val="22"/>
        </w:rPr>
      </w:pPr>
      <w:r w:rsidRPr="00AE0FCB">
        <w:rPr>
          <w:rFonts w:ascii="Arial" w:hAnsi="Arial" w:cs="Arial"/>
          <w:sz w:val="22"/>
        </w:rPr>
        <w:t xml:space="preserve">The Faster cancer treatment </w:t>
      </w:r>
      <w:proofErr w:type="gramStart"/>
      <w:r w:rsidRPr="00AE0FCB">
        <w:rPr>
          <w:rFonts w:ascii="Arial" w:hAnsi="Arial" w:cs="Arial"/>
          <w:sz w:val="22"/>
        </w:rPr>
        <w:t>31 day</w:t>
      </w:r>
      <w:proofErr w:type="gramEnd"/>
      <w:r w:rsidRPr="00AE0FCB">
        <w:rPr>
          <w:rFonts w:ascii="Arial" w:hAnsi="Arial" w:cs="Arial"/>
          <w:sz w:val="22"/>
        </w:rPr>
        <w:t xml:space="preserve"> indicator includes all patients who receive a publicly-funded first cancer treatment, irrespective of how they were initially referred.</w:t>
      </w:r>
    </w:p>
    <w:p w14:paraId="35EEBA75" w14:textId="77777777" w:rsidR="00B52152" w:rsidRPr="001B6D54" w:rsidRDefault="00B52152" w:rsidP="00B52152">
      <w:pPr>
        <w:spacing w:before="60" w:after="60"/>
        <w:jc w:val="both"/>
        <w:rPr>
          <w:rFonts w:ascii="Arial" w:hAnsi="Arial" w:cs="Arial"/>
          <w:sz w:val="20"/>
          <w:szCs w:val="20"/>
        </w:rPr>
      </w:pPr>
    </w:p>
    <w:p w14:paraId="2273DC4B" w14:textId="77777777" w:rsidR="00B52152" w:rsidRPr="00AE0FCB" w:rsidRDefault="00B52152" w:rsidP="00B52152">
      <w:pPr>
        <w:jc w:val="both"/>
        <w:rPr>
          <w:rFonts w:ascii="Arial" w:hAnsi="Arial" w:cs="Arial"/>
          <w:sz w:val="22"/>
          <w:szCs w:val="22"/>
        </w:rPr>
      </w:pPr>
      <w:r w:rsidRPr="00AE0FCB">
        <w:rPr>
          <w:rFonts w:ascii="Arial" w:hAnsi="Arial" w:cs="Arial"/>
          <w:sz w:val="22"/>
        </w:rPr>
        <w:t xml:space="preserve">Detailed information on the definitions, </w:t>
      </w:r>
      <w:proofErr w:type="gramStart"/>
      <w:r w:rsidRPr="00AE0FCB">
        <w:rPr>
          <w:rFonts w:ascii="Arial" w:hAnsi="Arial" w:cs="Arial"/>
          <w:sz w:val="22"/>
        </w:rPr>
        <w:t>inclusions</w:t>
      </w:r>
      <w:proofErr w:type="gramEnd"/>
      <w:r w:rsidRPr="00AE0FCB">
        <w:rPr>
          <w:rFonts w:ascii="Arial" w:hAnsi="Arial" w:cs="Arial"/>
          <w:sz w:val="22"/>
        </w:rPr>
        <w:t xml:space="preserve"> and process for submitting data to the Ministry of Health is outlined in </w:t>
      </w:r>
      <w:r w:rsidRPr="00AE0FCB">
        <w:rPr>
          <w:rFonts w:ascii="Arial" w:hAnsi="Arial" w:cs="Arial"/>
          <w:i/>
          <w:sz w:val="22"/>
          <w:szCs w:val="22"/>
        </w:rPr>
        <w:t xml:space="preserve">Faster Cancer Treatment Indicators: Business Rules and Data Definitions </w:t>
      </w:r>
      <w:r w:rsidRPr="00AE0FCB">
        <w:rPr>
          <w:rFonts w:ascii="Arial" w:hAnsi="Arial" w:cs="Arial"/>
          <w:sz w:val="22"/>
          <w:szCs w:val="22"/>
        </w:rPr>
        <w:t xml:space="preserve">(version 3.1, March 2014) available from: </w:t>
      </w:r>
      <w:r w:rsidRPr="00AE0FCB">
        <w:rPr>
          <w:rFonts w:ascii="Arial" w:eastAsiaTheme="minorHAnsi" w:hAnsi="Arial" w:cs="Arial"/>
          <w:sz w:val="22"/>
          <w:szCs w:val="22"/>
        </w:rPr>
        <w:t>http://nsfl.health.govt.nz/accountability/performance-and-monitoring/business-rules-and-templates-reporting/faster-cancer.</w:t>
      </w:r>
      <w:r w:rsidRPr="00AE0FCB">
        <w:rPr>
          <w:rFonts w:ascii="Arial" w:hAnsi="Arial" w:cs="Arial"/>
          <w:sz w:val="22"/>
        </w:rPr>
        <w:t xml:space="preserve"> </w:t>
      </w:r>
    </w:p>
    <w:p w14:paraId="51D6EF27" w14:textId="77777777" w:rsidR="00B52152" w:rsidRPr="001B6D54" w:rsidRDefault="00B52152" w:rsidP="00B52152">
      <w:pPr>
        <w:spacing w:before="60" w:after="60"/>
        <w:jc w:val="both"/>
        <w:rPr>
          <w:rFonts w:ascii="Arial" w:hAnsi="Arial" w:cs="Arial"/>
          <w:sz w:val="20"/>
          <w:szCs w:val="20"/>
        </w:rPr>
      </w:pPr>
    </w:p>
    <w:p w14:paraId="3DA19711" w14:textId="77777777" w:rsidR="00B52152" w:rsidRPr="00AE0FCB" w:rsidRDefault="00B52152" w:rsidP="00B52152">
      <w:pPr>
        <w:rPr>
          <w:rFonts w:ascii="Arial" w:hAnsi="Arial" w:cs="Arial"/>
          <w:sz w:val="22"/>
          <w:szCs w:val="22"/>
        </w:rPr>
      </w:pPr>
      <w:r w:rsidRPr="00AE0FCB">
        <w:rPr>
          <w:rFonts w:ascii="Arial" w:hAnsi="Arial" w:cs="Arial"/>
          <w:sz w:val="22"/>
          <w:szCs w:val="22"/>
        </w:rPr>
        <w:t>The DHB of domicile is responsible for collecting and reporting information on their domiciled population even if it is not the DHB of:</w:t>
      </w:r>
    </w:p>
    <w:p w14:paraId="7B2D303A" w14:textId="77777777" w:rsidR="00B52152" w:rsidRPr="00AE0FCB" w:rsidRDefault="00B52152" w:rsidP="00C04FF1">
      <w:pPr>
        <w:numPr>
          <w:ilvl w:val="0"/>
          <w:numId w:val="36"/>
        </w:numPr>
        <w:spacing w:line="276" w:lineRule="auto"/>
        <w:ind w:left="1077" w:hanging="357"/>
        <w:rPr>
          <w:rFonts w:ascii="Arial" w:hAnsi="Arial" w:cs="Arial"/>
          <w:sz w:val="22"/>
          <w:szCs w:val="22"/>
        </w:rPr>
      </w:pPr>
      <w:r w:rsidRPr="00AE0FCB">
        <w:rPr>
          <w:rFonts w:ascii="Arial" w:hAnsi="Arial" w:cs="Arial"/>
          <w:sz w:val="22"/>
          <w:szCs w:val="22"/>
        </w:rPr>
        <w:t>receipt of referral</w:t>
      </w:r>
    </w:p>
    <w:p w14:paraId="0FA02519" w14:textId="77777777" w:rsidR="00B52152" w:rsidRPr="00AE0FCB" w:rsidRDefault="00B52152" w:rsidP="00C04FF1">
      <w:pPr>
        <w:numPr>
          <w:ilvl w:val="0"/>
          <w:numId w:val="36"/>
        </w:numPr>
        <w:spacing w:line="276" w:lineRule="auto"/>
        <w:ind w:left="1066" w:hanging="357"/>
        <w:rPr>
          <w:rFonts w:ascii="Arial" w:hAnsi="Arial" w:cs="Arial"/>
          <w:sz w:val="22"/>
          <w:szCs w:val="22"/>
        </w:rPr>
      </w:pPr>
      <w:r w:rsidRPr="00AE0FCB">
        <w:rPr>
          <w:rFonts w:ascii="Arial" w:hAnsi="Arial" w:cs="Arial"/>
          <w:sz w:val="22"/>
          <w:szCs w:val="22"/>
        </w:rPr>
        <w:t>service.</w:t>
      </w:r>
    </w:p>
    <w:p w14:paraId="0DBBE5A9" w14:textId="77777777" w:rsidR="00B52152" w:rsidRPr="000B46AA" w:rsidRDefault="00B52152" w:rsidP="00B52152">
      <w:pPr>
        <w:spacing w:before="60" w:after="60"/>
        <w:jc w:val="both"/>
        <w:rPr>
          <w:rFonts w:ascii="Arial" w:hAnsi="Arial" w:cs="Arial"/>
          <w:sz w:val="8"/>
          <w:szCs w:val="22"/>
        </w:rPr>
      </w:pPr>
    </w:p>
    <w:p w14:paraId="7C6632FF" w14:textId="77777777" w:rsidR="00B52152" w:rsidRPr="00AE0FCB" w:rsidRDefault="00B52152" w:rsidP="00B52152">
      <w:pPr>
        <w:spacing w:before="60" w:after="60"/>
        <w:jc w:val="both"/>
        <w:rPr>
          <w:rFonts w:ascii="Arial" w:hAnsi="Arial" w:cs="Arial"/>
          <w:sz w:val="22"/>
          <w:szCs w:val="22"/>
        </w:rPr>
      </w:pPr>
      <w:r w:rsidRPr="00AE0FCB">
        <w:rPr>
          <w:rFonts w:ascii="Arial" w:hAnsi="Arial" w:cs="Arial"/>
          <w:sz w:val="22"/>
          <w:szCs w:val="22"/>
        </w:rPr>
        <w:t>No further quantitative reporting is required as part of the quarterly reporting process.</w:t>
      </w:r>
    </w:p>
    <w:p w14:paraId="77BF6016" w14:textId="77777777" w:rsidR="00B52152" w:rsidRPr="00AE0FCB" w:rsidRDefault="00B52152" w:rsidP="00B52152">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 xml:space="preserve">DHBs are required to submit a quarterly qualitative report through the quarterly reporting database outlining: </w:t>
      </w:r>
    </w:p>
    <w:p w14:paraId="03D62B26" w14:textId="77777777" w:rsidR="00B52152" w:rsidRPr="00AE0FCB" w:rsidRDefault="00B52152" w:rsidP="00C04FF1">
      <w:pPr>
        <w:numPr>
          <w:ilvl w:val="0"/>
          <w:numId w:val="40"/>
        </w:numPr>
        <w:spacing w:before="60" w:after="60" w:line="276" w:lineRule="auto"/>
        <w:contextualSpacing/>
        <w:jc w:val="both"/>
        <w:rPr>
          <w:rFonts w:ascii="Arial" w:hAnsi="Arial" w:cs="Arial"/>
          <w:sz w:val="22"/>
          <w:szCs w:val="22"/>
        </w:rPr>
      </w:pPr>
      <w:r w:rsidRPr="00AE0FCB">
        <w:rPr>
          <w:rFonts w:ascii="Arial" w:hAnsi="Arial" w:cs="Arial"/>
          <w:sz w:val="22"/>
          <w:szCs w:val="22"/>
        </w:rPr>
        <w:t>the activities being undertaken to ensure data quality and volumes</w:t>
      </w:r>
    </w:p>
    <w:p w14:paraId="4A420DB9" w14:textId="77777777" w:rsidR="00B52152" w:rsidRPr="00AE0FCB" w:rsidRDefault="00B52152" w:rsidP="00C04FF1">
      <w:pPr>
        <w:numPr>
          <w:ilvl w:val="0"/>
          <w:numId w:val="40"/>
        </w:numPr>
        <w:spacing w:before="60" w:after="60" w:line="276" w:lineRule="auto"/>
        <w:contextualSpacing/>
        <w:jc w:val="both"/>
        <w:rPr>
          <w:rFonts w:ascii="Arial" w:hAnsi="Arial" w:cs="Arial"/>
          <w:sz w:val="22"/>
          <w:szCs w:val="22"/>
        </w:rPr>
      </w:pPr>
      <w:r w:rsidRPr="00AE0FCB">
        <w:rPr>
          <w:rFonts w:ascii="Arial" w:hAnsi="Arial" w:cs="Arial"/>
          <w:sz w:val="22"/>
          <w:szCs w:val="22"/>
        </w:rPr>
        <w:t>delays identified along the cancer pathway and challenges with implementing Faster cancer treatment</w:t>
      </w:r>
    </w:p>
    <w:p w14:paraId="63153F88" w14:textId="77777777" w:rsidR="00B52152" w:rsidRPr="00AE0FCB" w:rsidRDefault="00B52152" w:rsidP="00C04FF1">
      <w:pPr>
        <w:numPr>
          <w:ilvl w:val="0"/>
          <w:numId w:val="40"/>
        </w:numPr>
        <w:spacing w:before="60" w:after="60" w:line="276" w:lineRule="auto"/>
        <w:contextualSpacing/>
        <w:jc w:val="both"/>
        <w:rPr>
          <w:rFonts w:ascii="Arial" w:hAnsi="Arial" w:cs="Arial"/>
          <w:sz w:val="22"/>
          <w:szCs w:val="22"/>
        </w:rPr>
      </w:pPr>
      <w:r w:rsidRPr="00AE0FCB">
        <w:rPr>
          <w:rFonts w:ascii="Arial" w:hAnsi="Arial" w:cs="Arial"/>
          <w:sz w:val="22"/>
          <w:szCs w:val="22"/>
        </w:rPr>
        <w:t>actions taken and planned in response to the delays and challenges identified.</w:t>
      </w:r>
    </w:p>
    <w:p w14:paraId="41332FA1" w14:textId="77777777" w:rsidR="00B52152" w:rsidRDefault="00B52152" w:rsidP="00B52152">
      <w:pPr>
        <w:spacing w:before="60" w:after="60" w:line="276" w:lineRule="auto"/>
        <w:jc w:val="both"/>
        <w:rPr>
          <w:rFonts w:ascii="Arial" w:eastAsiaTheme="minorHAnsi" w:hAnsi="Arial" w:cs="Arial"/>
          <w:sz w:val="8"/>
          <w:szCs w:val="22"/>
        </w:rPr>
      </w:pPr>
    </w:p>
    <w:p w14:paraId="63B70A8E" w14:textId="77777777" w:rsidR="00B52152" w:rsidRPr="00AE0FCB" w:rsidRDefault="00B52152" w:rsidP="00B52152">
      <w:pPr>
        <w:spacing w:before="60" w:after="60" w:line="276" w:lineRule="auto"/>
        <w:jc w:val="both"/>
        <w:rPr>
          <w:rFonts w:ascii="Arial" w:eastAsiaTheme="minorHAnsi" w:hAnsi="Arial" w:cs="Arial"/>
          <w:b/>
          <w:szCs w:val="28"/>
        </w:rPr>
      </w:pPr>
      <w:r>
        <w:rPr>
          <w:rFonts w:ascii="Arial" w:eastAsiaTheme="minorHAnsi" w:hAnsi="Arial" w:cs="Arial"/>
          <w:b/>
          <w:szCs w:val="28"/>
        </w:rPr>
        <w:t>R</w:t>
      </w:r>
      <w:r w:rsidRPr="00AE0FCB">
        <w:rPr>
          <w:rFonts w:ascii="Arial" w:eastAsiaTheme="minorHAnsi" w:hAnsi="Arial" w:cs="Arial"/>
          <w:b/>
          <w:szCs w:val="28"/>
        </w:rPr>
        <w:t>eporting period</w:t>
      </w:r>
    </w:p>
    <w:p w14:paraId="001CC5FA" w14:textId="77777777" w:rsidR="00B52152" w:rsidRPr="00AE0FCB" w:rsidRDefault="00B52152" w:rsidP="00B52152">
      <w:pPr>
        <w:spacing w:before="60" w:after="120" w:line="276" w:lineRule="auto"/>
        <w:rPr>
          <w:rFonts w:ascii="Arial" w:eastAsiaTheme="minorHAnsi" w:hAnsi="Arial" w:cs="Arial"/>
          <w:sz w:val="22"/>
          <w:szCs w:val="22"/>
        </w:rPr>
      </w:pPr>
      <w:r w:rsidRPr="00AE0FCB">
        <w:rPr>
          <w:rFonts w:ascii="Arial" w:eastAsiaTheme="minorHAnsi" w:hAnsi="Arial" w:cs="Arial"/>
          <w:sz w:val="22"/>
          <w:szCs w:val="22"/>
        </w:rPr>
        <w:t xml:space="preserve">DHB achievement of the Faster cancer treatment </w:t>
      </w:r>
      <w:proofErr w:type="gramStart"/>
      <w:r w:rsidRPr="00AE0FCB">
        <w:rPr>
          <w:rFonts w:ascii="Arial" w:eastAsiaTheme="minorHAnsi" w:hAnsi="Arial" w:cs="Arial"/>
          <w:sz w:val="22"/>
          <w:szCs w:val="22"/>
        </w:rPr>
        <w:t>31 day</w:t>
      </w:r>
      <w:proofErr w:type="gramEnd"/>
      <w:r w:rsidRPr="00AE0FCB">
        <w:rPr>
          <w:rFonts w:ascii="Arial" w:eastAsiaTheme="minorHAnsi" w:hAnsi="Arial" w:cs="Arial"/>
          <w:sz w:val="22"/>
          <w:szCs w:val="22"/>
        </w:rPr>
        <w:t xml:space="preserve"> indicator will be calculated based on six months rolling data as outlined in the table below: </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955"/>
      </w:tblGrid>
      <w:tr w:rsidR="00B52152" w:rsidRPr="00AE0FCB" w14:paraId="6E63EA15" w14:textId="77777777" w:rsidTr="009D6F69">
        <w:trPr>
          <w:jc w:val="center"/>
        </w:trPr>
        <w:tc>
          <w:tcPr>
            <w:tcW w:w="2263" w:type="dxa"/>
            <w:shd w:val="clear" w:color="auto" w:fill="CCCCCC"/>
            <w:vAlign w:val="center"/>
          </w:tcPr>
          <w:p w14:paraId="6AE3B9DF" w14:textId="77777777" w:rsidR="00B52152" w:rsidRPr="00AE0FCB" w:rsidRDefault="00B52152" w:rsidP="009D6F69">
            <w:pPr>
              <w:spacing w:before="60" w:after="60" w:line="276" w:lineRule="auto"/>
              <w:jc w:val="both"/>
              <w:rPr>
                <w:rFonts w:ascii="Arial" w:eastAsiaTheme="minorHAnsi" w:hAnsi="Arial" w:cs="Arial"/>
                <w:b/>
                <w:sz w:val="22"/>
                <w:szCs w:val="22"/>
              </w:rPr>
            </w:pPr>
            <w:r w:rsidRPr="00AE0FCB">
              <w:rPr>
                <w:rFonts w:ascii="Arial" w:eastAsiaTheme="minorHAnsi" w:hAnsi="Arial" w:cs="Arial"/>
                <w:b/>
                <w:sz w:val="22"/>
                <w:szCs w:val="22"/>
              </w:rPr>
              <w:t xml:space="preserve">Reporting quarter </w:t>
            </w:r>
          </w:p>
        </w:tc>
        <w:tc>
          <w:tcPr>
            <w:tcW w:w="7955" w:type="dxa"/>
            <w:shd w:val="clear" w:color="auto" w:fill="CCCCCC"/>
            <w:vAlign w:val="center"/>
          </w:tcPr>
          <w:p w14:paraId="3D5E86BE" w14:textId="77777777" w:rsidR="00B52152" w:rsidRPr="00AE0FCB" w:rsidRDefault="00B52152" w:rsidP="009D6F69">
            <w:pPr>
              <w:spacing w:before="60" w:after="60" w:line="276" w:lineRule="auto"/>
              <w:jc w:val="both"/>
              <w:rPr>
                <w:rFonts w:ascii="Arial" w:eastAsiaTheme="minorHAnsi" w:hAnsi="Arial" w:cs="Arial"/>
                <w:b/>
                <w:sz w:val="22"/>
                <w:szCs w:val="22"/>
              </w:rPr>
            </w:pPr>
            <w:r w:rsidRPr="00AE0FCB">
              <w:rPr>
                <w:rFonts w:ascii="Arial" w:eastAsiaTheme="minorHAnsi" w:hAnsi="Arial" w:cs="Arial"/>
                <w:b/>
                <w:sz w:val="22"/>
                <w:szCs w:val="22"/>
              </w:rPr>
              <w:t>Achievement based on patients receiving their first cancer treatment between:</w:t>
            </w:r>
          </w:p>
        </w:tc>
      </w:tr>
      <w:tr w:rsidR="00B52152" w:rsidRPr="00AE0FCB" w14:paraId="465B6A04" w14:textId="77777777" w:rsidTr="009D6F69">
        <w:trPr>
          <w:jc w:val="center"/>
        </w:trPr>
        <w:tc>
          <w:tcPr>
            <w:tcW w:w="2263" w:type="dxa"/>
            <w:shd w:val="clear" w:color="auto" w:fill="auto"/>
          </w:tcPr>
          <w:p w14:paraId="0A181747"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Quarter 1</w:t>
            </w:r>
          </w:p>
        </w:tc>
        <w:tc>
          <w:tcPr>
            <w:tcW w:w="7955" w:type="dxa"/>
            <w:shd w:val="clear" w:color="auto" w:fill="auto"/>
          </w:tcPr>
          <w:p w14:paraId="5941A4C8"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 xml:space="preserve">1 April – 30 September </w:t>
            </w:r>
          </w:p>
        </w:tc>
      </w:tr>
      <w:tr w:rsidR="00B52152" w:rsidRPr="00AE0FCB" w14:paraId="27B92D9D" w14:textId="77777777" w:rsidTr="009D6F69">
        <w:tblPrEx>
          <w:tblLook w:val="01E0" w:firstRow="1" w:lastRow="1" w:firstColumn="1" w:lastColumn="1" w:noHBand="0" w:noVBand="0"/>
        </w:tblPrEx>
        <w:trPr>
          <w:jc w:val="center"/>
        </w:trPr>
        <w:tc>
          <w:tcPr>
            <w:tcW w:w="2263" w:type="dxa"/>
            <w:shd w:val="clear" w:color="auto" w:fill="auto"/>
          </w:tcPr>
          <w:p w14:paraId="3BFF01BB"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Quarter 2</w:t>
            </w:r>
          </w:p>
        </w:tc>
        <w:tc>
          <w:tcPr>
            <w:tcW w:w="7955" w:type="dxa"/>
            <w:shd w:val="clear" w:color="auto" w:fill="auto"/>
          </w:tcPr>
          <w:p w14:paraId="40F23A73"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 xml:space="preserve">1 July – 31 December </w:t>
            </w:r>
          </w:p>
        </w:tc>
      </w:tr>
      <w:tr w:rsidR="00B52152" w:rsidRPr="00AE0FCB" w14:paraId="5AD181E8" w14:textId="77777777" w:rsidTr="009D6F69">
        <w:tblPrEx>
          <w:tblLook w:val="01E0" w:firstRow="1" w:lastRow="1" w:firstColumn="1" w:lastColumn="1" w:noHBand="0" w:noVBand="0"/>
        </w:tblPrEx>
        <w:trPr>
          <w:jc w:val="center"/>
        </w:trPr>
        <w:tc>
          <w:tcPr>
            <w:tcW w:w="2263" w:type="dxa"/>
            <w:shd w:val="clear" w:color="auto" w:fill="auto"/>
          </w:tcPr>
          <w:p w14:paraId="06179FBA"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Quarter 3</w:t>
            </w:r>
          </w:p>
        </w:tc>
        <w:tc>
          <w:tcPr>
            <w:tcW w:w="7955" w:type="dxa"/>
            <w:shd w:val="clear" w:color="auto" w:fill="auto"/>
          </w:tcPr>
          <w:p w14:paraId="5357652E"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1 October -  31 March</w:t>
            </w:r>
          </w:p>
        </w:tc>
      </w:tr>
      <w:tr w:rsidR="00B52152" w:rsidRPr="00AE0FCB" w14:paraId="70AA5307" w14:textId="77777777" w:rsidTr="009D6F69">
        <w:tblPrEx>
          <w:tblLook w:val="01E0" w:firstRow="1" w:lastRow="1" w:firstColumn="1" w:lastColumn="1" w:noHBand="0" w:noVBand="0"/>
        </w:tblPrEx>
        <w:trPr>
          <w:jc w:val="center"/>
        </w:trPr>
        <w:tc>
          <w:tcPr>
            <w:tcW w:w="2263" w:type="dxa"/>
            <w:shd w:val="clear" w:color="auto" w:fill="auto"/>
          </w:tcPr>
          <w:p w14:paraId="32718636"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Quarter 4</w:t>
            </w:r>
          </w:p>
        </w:tc>
        <w:tc>
          <w:tcPr>
            <w:tcW w:w="7955" w:type="dxa"/>
            <w:shd w:val="clear" w:color="auto" w:fill="auto"/>
          </w:tcPr>
          <w:p w14:paraId="483692CB" w14:textId="77777777" w:rsidR="00B52152" w:rsidRPr="00AE0FCB" w:rsidRDefault="00B52152" w:rsidP="009D6F69">
            <w:pPr>
              <w:spacing w:before="60" w:after="60" w:line="276" w:lineRule="auto"/>
              <w:jc w:val="both"/>
              <w:rPr>
                <w:rFonts w:ascii="Arial" w:eastAsiaTheme="minorHAnsi" w:hAnsi="Arial" w:cs="Arial"/>
                <w:sz w:val="22"/>
                <w:szCs w:val="22"/>
              </w:rPr>
            </w:pPr>
            <w:r w:rsidRPr="00AE0FCB">
              <w:rPr>
                <w:rFonts w:ascii="Arial" w:eastAsiaTheme="minorHAnsi" w:hAnsi="Arial" w:cs="Arial"/>
                <w:sz w:val="22"/>
                <w:szCs w:val="22"/>
              </w:rPr>
              <w:t xml:space="preserve">1 January – 30 June </w:t>
            </w:r>
          </w:p>
        </w:tc>
      </w:tr>
    </w:tbl>
    <w:p w14:paraId="51403937" w14:textId="77777777" w:rsidR="00B52152" w:rsidRPr="000B46AA" w:rsidRDefault="00B52152" w:rsidP="00B52152">
      <w:pPr>
        <w:spacing w:before="60" w:after="60"/>
        <w:jc w:val="both"/>
        <w:rPr>
          <w:rFonts w:ascii="Arial" w:hAnsi="Arial" w:cs="Arial"/>
          <w:sz w:val="4"/>
          <w:szCs w:val="22"/>
        </w:rPr>
      </w:pPr>
    </w:p>
    <w:p w14:paraId="27DFCE9F" w14:textId="77777777" w:rsidR="00B52152" w:rsidRDefault="00B52152" w:rsidP="00B52152">
      <w:pPr>
        <w:spacing w:before="120" w:after="120"/>
        <w:jc w:val="both"/>
        <w:rPr>
          <w:rFonts w:ascii="Arial" w:hAnsi="Arial" w:cs="Arial"/>
          <w:b/>
          <w:szCs w:val="22"/>
        </w:rPr>
      </w:pPr>
    </w:p>
    <w:p w14:paraId="500662DB" w14:textId="77777777" w:rsidR="00B52152" w:rsidRPr="00AE0FCB" w:rsidRDefault="00B52152" w:rsidP="00B52152">
      <w:pPr>
        <w:spacing w:before="120" w:after="120"/>
        <w:jc w:val="both"/>
        <w:rPr>
          <w:rFonts w:ascii="Arial" w:hAnsi="Arial" w:cs="Arial"/>
          <w:b/>
          <w:szCs w:val="22"/>
        </w:rPr>
      </w:pPr>
      <w:r>
        <w:rPr>
          <w:rFonts w:ascii="Arial" w:hAnsi="Arial" w:cs="Arial"/>
          <w:b/>
          <w:szCs w:val="22"/>
        </w:rPr>
        <w:t>E</w:t>
      </w:r>
      <w:r w:rsidRPr="00AE0FCB">
        <w:rPr>
          <w:rFonts w:ascii="Arial" w:hAnsi="Arial" w:cs="Arial"/>
          <w:b/>
          <w:szCs w:val="22"/>
        </w:rPr>
        <w:t>xpectations</w:t>
      </w:r>
    </w:p>
    <w:p w14:paraId="200B5523" w14:textId="77777777" w:rsidR="00B52152" w:rsidRPr="00AE0FCB" w:rsidRDefault="00B52152" w:rsidP="00B52152">
      <w:pPr>
        <w:autoSpaceDE w:val="0"/>
        <w:autoSpaceDN w:val="0"/>
        <w:adjustRightInd w:val="0"/>
        <w:spacing w:before="120" w:after="120"/>
        <w:jc w:val="both"/>
        <w:rPr>
          <w:rFonts w:ascii="Tms Rmn" w:hAnsi="Tms Rmn" w:cs="Tms Rmn"/>
          <w:color w:val="000000"/>
          <w:lang w:eastAsia="en-NZ"/>
        </w:rPr>
      </w:pPr>
      <w:r w:rsidRPr="00AE0FCB">
        <w:rPr>
          <w:rFonts w:ascii="Arial" w:hAnsi="Arial" w:cs="Arial"/>
          <w:color w:val="000000"/>
          <w:sz w:val="22"/>
          <w:szCs w:val="22"/>
          <w:lang w:eastAsia="en-NZ"/>
        </w:rPr>
        <w:t>The following achievement scale, which is aligned to the achievement scale for the Faster cancer treatment health target, will be applied:</w:t>
      </w:r>
      <w:r w:rsidRPr="00AE0FCB">
        <w:rPr>
          <w:rFonts w:ascii="Tms Rmn" w:hAnsi="Tms Rmn" w:cs="Tms Rmn"/>
          <w:color w:val="000000"/>
          <w:lang w:eastAsia="en-NZ"/>
        </w:rPr>
        <w:t xml:space="preserve"> </w:t>
      </w:r>
    </w:p>
    <w:tbl>
      <w:tblPr>
        <w:tblW w:w="10260" w:type="dxa"/>
        <w:tblInd w:w="108" w:type="dxa"/>
        <w:tblLayout w:type="fixed"/>
        <w:tblLook w:val="00A0" w:firstRow="1" w:lastRow="0" w:firstColumn="1" w:lastColumn="0" w:noHBand="0" w:noVBand="0"/>
      </w:tblPr>
      <w:tblGrid>
        <w:gridCol w:w="2520"/>
        <w:gridCol w:w="7740"/>
      </w:tblGrid>
      <w:tr w:rsidR="00B52152" w:rsidRPr="00AE0FCB" w14:paraId="7449113F" w14:textId="77777777" w:rsidTr="009D6F69">
        <w:tc>
          <w:tcPr>
            <w:tcW w:w="2520"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DCDD091" w14:textId="77777777" w:rsidR="00B52152" w:rsidRPr="00AE0FCB" w:rsidRDefault="00B52152" w:rsidP="009D6F69">
            <w:pPr>
              <w:autoSpaceDE w:val="0"/>
              <w:autoSpaceDN w:val="0"/>
              <w:adjustRightInd w:val="0"/>
              <w:spacing w:before="120" w:after="120"/>
              <w:jc w:val="both"/>
              <w:rPr>
                <w:rFonts w:ascii="Arial" w:hAnsi="Arial" w:cs="Arial"/>
                <w:b/>
                <w:bCs/>
                <w:color w:val="000000"/>
                <w:sz w:val="22"/>
                <w:szCs w:val="22"/>
                <w:lang w:eastAsia="en-NZ"/>
              </w:rPr>
            </w:pPr>
            <w:r w:rsidRPr="00AE0FCB">
              <w:rPr>
                <w:rFonts w:ascii="Arial" w:hAnsi="Arial" w:cs="Arial"/>
                <w:b/>
                <w:bCs/>
                <w:color w:val="000000"/>
                <w:sz w:val="22"/>
                <w:szCs w:val="22"/>
                <w:lang w:eastAsia="en-NZ"/>
              </w:rPr>
              <w:t xml:space="preserve">Rating: </w:t>
            </w:r>
          </w:p>
        </w:tc>
        <w:tc>
          <w:tcPr>
            <w:tcW w:w="7740"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BC73501" w14:textId="77777777" w:rsidR="00B52152" w:rsidRPr="00AE0FCB" w:rsidRDefault="00B52152" w:rsidP="009D6F69">
            <w:pPr>
              <w:autoSpaceDE w:val="0"/>
              <w:autoSpaceDN w:val="0"/>
              <w:adjustRightInd w:val="0"/>
              <w:rPr>
                <w:rFonts w:ascii="Arial" w:hAnsi="Arial" w:cs="Arial"/>
                <w:b/>
                <w:bCs/>
                <w:color w:val="000000"/>
                <w:sz w:val="22"/>
                <w:szCs w:val="22"/>
                <w:lang w:eastAsia="en-NZ"/>
              </w:rPr>
            </w:pPr>
          </w:p>
        </w:tc>
      </w:tr>
      <w:tr w:rsidR="00B52152" w:rsidRPr="00AE0FCB" w14:paraId="45A55F96" w14:textId="77777777" w:rsidTr="009D6F69">
        <w:tc>
          <w:tcPr>
            <w:tcW w:w="2520" w:type="dxa"/>
            <w:tcBorders>
              <w:top w:val="single" w:sz="6" w:space="0" w:color="000000"/>
              <w:left w:val="single" w:sz="6" w:space="0" w:color="000000"/>
              <w:bottom w:val="single" w:sz="6" w:space="0" w:color="000000"/>
              <w:right w:val="single" w:sz="6" w:space="0" w:color="000000"/>
            </w:tcBorders>
          </w:tcPr>
          <w:p w14:paraId="32278C55"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lastRenderedPageBreak/>
              <w:t>Achieved</w:t>
            </w:r>
          </w:p>
        </w:tc>
        <w:tc>
          <w:tcPr>
            <w:tcW w:w="7740" w:type="dxa"/>
            <w:tcBorders>
              <w:top w:val="single" w:sz="6" w:space="0" w:color="000000"/>
              <w:left w:val="single" w:sz="6" w:space="0" w:color="000000"/>
              <w:bottom w:val="single" w:sz="6" w:space="0" w:color="000000"/>
              <w:right w:val="single" w:sz="6" w:space="0" w:color="000000"/>
            </w:tcBorders>
          </w:tcPr>
          <w:p w14:paraId="323F68D4"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t>will apply where at least 85 percent of patients receive their first cancer treatment (or other management) within 31 days from date of decision-to-treat.</w:t>
            </w:r>
          </w:p>
        </w:tc>
      </w:tr>
      <w:tr w:rsidR="00B52152" w:rsidRPr="00AE0FCB" w14:paraId="3559F236" w14:textId="77777777" w:rsidTr="009D6F69">
        <w:tc>
          <w:tcPr>
            <w:tcW w:w="2520" w:type="dxa"/>
            <w:tcBorders>
              <w:top w:val="single" w:sz="6" w:space="0" w:color="000000"/>
              <w:left w:val="single" w:sz="6" w:space="0" w:color="000000"/>
              <w:bottom w:val="single" w:sz="6" w:space="0" w:color="000000"/>
              <w:right w:val="single" w:sz="6" w:space="0" w:color="000000"/>
            </w:tcBorders>
          </w:tcPr>
          <w:p w14:paraId="7450DDC6"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t>Partially Achieved</w:t>
            </w:r>
          </w:p>
        </w:tc>
        <w:tc>
          <w:tcPr>
            <w:tcW w:w="7740" w:type="dxa"/>
            <w:tcBorders>
              <w:top w:val="single" w:sz="6" w:space="0" w:color="000000"/>
              <w:left w:val="single" w:sz="6" w:space="0" w:color="000000"/>
              <w:bottom w:val="single" w:sz="6" w:space="0" w:color="000000"/>
              <w:right w:val="single" w:sz="6" w:space="0" w:color="000000"/>
            </w:tcBorders>
          </w:tcPr>
          <w:p w14:paraId="5D58DE6D"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t>will apply where less than 85 percent of patients receive their first cancer treatment (or other management) within 31 days from date of decision-to-treat, but the narrative comment satisfies the assessor that the DHB has a plan to improve achievement.</w:t>
            </w:r>
          </w:p>
        </w:tc>
      </w:tr>
      <w:tr w:rsidR="00B52152" w:rsidRPr="00AE0FCB" w14:paraId="2D7634A7" w14:textId="77777777" w:rsidTr="009D6F69">
        <w:tc>
          <w:tcPr>
            <w:tcW w:w="2520" w:type="dxa"/>
            <w:tcBorders>
              <w:top w:val="single" w:sz="6" w:space="0" w:color="000000"/>
              <w:left w:val="single" w:sz="6" w:space="0" w:color="000000"/>
              <w:bottom w:val="single" w:sz="6" w:space="0" w:color="000000"/>
              <w:right w:val="single" w:sz="6" w:space="0" w:color="000000"/>
            </w:tcBorders>
          </w:tcPr>
          <w:p w14:paraId="56ADC9B2"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t>Not Achieved</w:t>
            </w:r>
          </w:p>
        </w:tc>
        <w:tc>
          <w:tcPr>
            <w:tcW w:w="7740" w:type="dxa"/>
            <w:tcBorders>
              <w:top w:val="single" w:sz="6" w:space="0" w:color="000000"/>
              <w:left w:val="single" w:sz="6" w:space="0" w:color="000000"/>
              <w:bottom w:val="single" w:sz="6" w:space="0" w:color="000000"/>
              <w:right w:val="single" w:sz="6" w:space="0" w:color="000000"/>
            </w:tcBorders>
          </w:tcPr>
          <w:p w14:paraId="641FA7D3" w14:textId="77777777" w:rsidR="00B52152" w:rsidRPr="006D0885" w:rsidRDefault="00B52152" w:rsidP="009D6F69">
            <w:pPr>
              <w:autoSpaceDE w:val="0"/>
              <w:autoSpaceDN w:val="0"/>
              <w:adjustRightInd w:val="0"/>
              <w:spacing w:before="120" w:after="120"/>
              <w:jc w:val="both"/>
              <w:rPr>
                <w:rFonts w:ascii="Arial" w:hAnsi="Arial" w:cs="Arial"/>
                <w:color w:val="000000"/>
                <w:sz w:val="20"/>
                <w:szCs w:val="20"/>
                <w:lang w:eastAsia="en-NZ"/>
              </w:rPr>
            </w:pPr>
            <w:r w:rsidRPr="006D0885">
              <w:rPr>
                <w:rFonts w:ascii="Arial" w:hAnsi="Arial" w:cs="Arial"/>
                <w:color w:val="000000"/>
                <w:sz w:val="20"/>
                <w:szCs w:val="20"/>
                <w:lang w:eastAsia="en-NZ"/>
              </w:rPr>
              <w:t>will apply where less than 85 percent of patients receive their first cancer treatment (or other management) within 31 days from date of decision-to-treat and the narrative comment does not satisfy the assessor that the DHB has a plan to improve achievement.</w:t>
            </w:r>
          </w:p>
        </w:tc>
      </w:tr>
    </w:tbl>
    <w:p w14:paraId="2ACEACD5" w14:textId="77777777" w:rsidR="00B52152" w:rsidRDefault="00B52152" w:rsidP="00B52152">
      <w:pPr>
        <w:rPr>
          <w:rFonts w:ascii="Arial" w:hAnsi="Arial" w:cs="Arial"/>
          <w:b/>
          <w:i/>
        </w:rPr>
      </w:pPr>
    </w:p>
    <w:p w14:paraId="642A4780" w14:textId="77777777" w:rsidR="00E2735C" w:rsidRDefault="00E2735C" w:rsidP="001D775C">
      <w:pPr>
        <w:ind w:left="720" w:hanging="720"/>
        <w:rPr>
          <w:rFonts w:ascii="Arial" w:hAnsi="Arial" w:cs="Arial"/>
          <w:b/>
          <w:i/>
        </w:rPr>
      </w:pPr>
      <w:r>
        <w:rPr>
          <w:rFonts w:ascii="Arial" w:hAnsi="Arial" w:cs="Arial"/>
          <w:b/>
          <w:i/>
        </w:rPr>
        <w:br w:type="page"/>
      </w:r>
    </w:p>
    <w:p w14:paraId="5034C9B8" w14:textId="77777777" w:rsidR="005A728D" w:rsidRPr="00DC20A4" w:rsidRDefault="005A728D" w:rsidP="005A728D">
      <w:pPr>
        <w:pStyle w:val="TitleOne"/>
        <w:spacing w:before="0" w:after="0"/>
        <w:ind w:left="720" w:hanging="720"/>
        <w:rPr>
          <w:i/>
          <w:sz w:val="24"/>
          <w:szCs w:val="24"/>
        </w:rPr>
      </w:pPr>
      <w:r w:rsidRPr="00DC20A4">
        <w:rPr>
          <w:i/>
          <w:sz w:val="24"/>
          <w:szCs w:val="24"/>
        </w:rPr>
        <w:lastRenderedPageBreak/>
        <w:t>Outcome priority:  We live longer in good health</w:t>
      </w:r>
    </w:p>
    <w:p w14:paraId="142B68FE" w14:textId="5A895886" w:rsidR="005A728D" w:rsidRPr="00DC20A4" w:rsidRDefault="00604F7F" w:rsidP="005A728D">
      <w:pPr>
        <w:pStyle w:val="Heading2"/>
      </w:pPr>
      <w:bookmarkStart w:id="488" w:name="_Toc4588556"/>
      <w:bookmarkStart w:id="489" w:name="_Toc9592027"/>
      <w:r>
        <w:t>Better population health outcomes supported by a s</w:t>
      </w:r>
      <w:r w:rsidR="005A728D" w:rsidRPr="00DC20A4">
        <w:t xml:space="preserve">trong </w:t>
      </w:r>
      <w:r w:rsidR="005A728D">
        <w:t xml:space="preserve">and equitable </w:t>
      </w:r>
      <w:r w:rsidR="00552CF6">
        <w:t>public health and disability</w:t>
      </w:r>
      <w:r w:rsidR="005A728D">
        <w:t xml:space="preserve"> </w:t>
      </w:r>
      <w:r w:rsidR="005A728D" w:rsidRPr="00DC20A4">
        <w:t>system SS</w:t>
      </w:r>
      <w:r w:rsidR="005A728D">
        <w:t>03</w:t>
      </w:r>
      <w:r w:rsidR="005A728D" w:rsidRPr="00DC20A4">
        <w:t>: Ensuring delivery of Service Coverage</w:t>
      </w:r>
      <w:bookmarkEnd w:id="488"/>
      <w:bookmarkEnd w:id="489"/>
      <w:r w:rsidR="005A728D" w:rsidRPr="00DC20A4">
        <w:t xml:space="preserve">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5A728D" w:rsidRPr="00B44AD8" w14:paraId="0707F0C5" w14:textId="77777777" w:rsidTr="009D6F69">
        <w:tc>
          <w:tcPr>
            <w:tcW w:w="10094" w:type="dxa"/>
            <w:gridSpan w:val="2"/>
            <w:shd w:val="clear" w:color="auto" w:fill="D9D9D9"/>
          </w:tcPr>
          <w:p w14:paraId="147FD480" w14:textId="77777777" w:rsidR="005A728D" w:rsidRPr="00B44AD8" w:rsidRDefault="005A728D"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5A728D" w:rsidRPr="00B44AD8" w14:paraId="44FB26AE" w14:textId="77777777" w:rsidTr="009D6F69">
        <w:tc>
          <w:tcPr>
            <w:tcW w:w="2864" w:type="dxa"/>
            <w:shd w:val="clear" w:color="auto" w:fill="auto"/>
          </w:tcPr>
          <w:p w14:paraId="56AC66DE" w14:textId="77777777" w:rsidR="005A728D" w:rsidRPr="00B44AD8" w:rsidRDefault="005A728D"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2EF3406B" w14:textId="77777777" w:rsidR="005A728D" w:rsidRPr="00B44AD8" w:rsidRDefault="005A728D"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 xml:space="preserve">Agreed </w:t>
            </w:r>
            <w:r>
              <w:rPr>
                <w:rFonts w:ascii="Arial" w:hAnsi="Arial" w:cs="Arial"/>
                <w:sz w:val="20"/>
                <w:szCs w:val="20"/>
              </w:rPr>
              <w:t xml:space="preserve">via Crown Funding Agreements and commitments in </w:t>
            </w:r>
            <w:r w:rsidRPr="00B44AD8">
              <w:rPr>
                <w:rFonts w:ascii="Arial" w:hAnsi="Arial" w:cs="Arial"/>
                <w:sz w:val="20"/>
                <w:szCs w:val="20"/>
              </w:rPr>
              <w:t>Annual Plan</w:t>
            </w:r>
            <w:r>
              <w:rPr>
                <w:rFonts w:ascii="Arial" w:hAnsi="Arial" w:cs="Arial"/>
                <w:sz w:val="20"/>
                <w:szCs w:val="20"/>
              </w:rPr>
              <w:t>s</w:t>
            </w:r>
          </w:p>
        </w:tc>
      </w:tr>
      <w:tr w:rsidR="005A728D" w:rsidRPr="00B44AD8" w14:paraId="3501B40D" w14:textId="77777777" w:rsidTr="009D6F69">
        <w:trPr>
          <w:trHeight w:val="493"/>
        </w:trPr>
        <w:tc>
          <w:tcPr>
            <w:tcW w:w="2864" w:type="dxa"/>
            <w:shd w:val="clear" w:color="auto" w:fill="auto"/>
          </w:tcPr>
          <w:p w14:paraId="7207CAEF" w14:textId="77777777" w:rsidR="005A728D" w:rsidRPr="00B44AD8" w:rsidRDefault="005A728D"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300117FB" w14:textId="77777777" w:rsidR="005A728D" w:rsidRPr="00B44AD8" w:rsidRDefault="005A728D" w:rsidP="009D6F69">
            <w:pPr>
              <w:shd w:val="clear" w:color="auto" w:fill="FFFFFF"/>
              <w:spacing w:before="60" w:after="60"/>
              <w:jc w:val="both"/>
              <w:rPr>
                <w:rFonts w:ascii="Arial" w:hAnsi="Arial" w:cs="Arial"/>
                <w:sz w:val="20"/>
                <w:szCs w:val="20"/>
              </w:rPr>
            </w:pPr>
            <w:r>
              <w:rPr>
                <w:rFonts w:ascii="Arial" w:hAnsi="Arial" w:cs="Arial"/>
                <w:sz w:val="20"/>
                <w:szCs w:val="20"/>
              </w:rPr>
              <w:t xml:space="preserve">Quarterly </w:t>
            </w:r>
          </w:p>
        </w:tc>
      </w:tr>
      <w:tr w:rsidR="005A728D" w:rsidRPr="00B44AD8" w14:paraId="06FFB49D" w14:textId="77777777" w:rsidTr="009D6F69">
        <w:tc>
          <w:tcPr>
            <w:tcW w:w="2864" w:type="dxa"/>
            <w:shd w:val="clear" w:color="auto" w:fill="auto"/>
          </w:tcPr>
          <w:p w14:paraId="1D653596" w14:textId="77777777" w:rsidR="005A728D" w:rsidRPr="00B44AD8" w:rsidRDefault="005A728D"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4EC56D52" w14:textId="77777777" w:rsidR="005A728D" w:rsidRPr="00B44AD8" w:rsidRDefault="005A728D" w:rsidP="009D6F69">
            <w:pPr>
              <w:shd w:val="clear" w:color="auto" w:fill="FFFFFF"/>
              <w:spacing w:before="60" w:after="60"/>
              <w:rPr>
                <w:rFonts w:ascii="Arial" w:hAnsi="Arial" w:cs="Arial"/>
                <w:i/>
                <w:sz w:val="20"/>
                <w:szCs w:val="20"/>
              </w:rPr>
            </w:pPr>
            <w:r>
              <w:rPr>
                <w:rFonts w:ascii="Arial" w:hAnsi="Arial" w:cs="Arial"/>
                <w:i/>
                <w:sz w:val="20"/>
                <w:szCs w:val="20"/>
              </w:rPr>
              <w:t>DHB Self- identified issues to be reported along with  issues nominated by the Ministry</w:t>
            </w:r>
          </w:p>
        </w:tc>
      </w:tr>
      <w:tr w:rsidR="005A728D" w:rsidRPr="00B44AD8" w14:paraId="16EBD384" w14:textId="77777777" w:rsidTr="009D6F69">
        <w:trPr>
          <w:trHeight w:val="2182"/>
        </w:trPr>
        <w:tc>
          <w:tcPr>
            <w:tcW w:w="2864" w:type="dxa"/>
            <w:shd w:val="clear" w:color="auto" w:fill="auto"/>
          </w:tcPr>
          <w:p w14:paraId="1AC0AC00" w14:textId="77777777" w:rsidR="005A728D" w:rsidRPr="00B44AD8" w:rsidRDefault="005A728D"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6C9341FB" w14:textId="77777777" w:rsidR="005A728D" w:rsidRPr="00B44AD8" w:rsidRDefault="005A728D"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5A728D" w:rsidRPr="00B44AD8" w14:paraId="7A56BAEF"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72D0C"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10BB"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5A728D" w:rsidRPr="00B44AD8" w14:paraId="06D0E8A1"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E5D54"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F5F1F"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5A728D" w:rsidRPr="00B44AD8" w14:paraId="53FA112B"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1D17"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DC277"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5A728D" w:rsidRPr="00B44AD8" w14:paraId="7FE42844"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17277"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22E4" w14:textId="77777777" w:rsidR="005A728D" w:rsidRPr="00B44AD8" w:rsidRDefault="005A728D"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6EE9B5AE" w14:textId="77777777" w:rsidR="005A728D" w:rsidRPr="00B44AD8" w:rsidRDefault="005A728D" w:rsidP="009D6F69">
            <w:pPr>
              <w:shd w:val="clear" w:color="auto" w:fill="FFFFFF"/>
              <w:spacing w:before="60" w:after="60"/>
              <w:jc w:val="both"/>
              <w:rPr>
                <w:rFonts w:ascii="Arial" w:hAnsi="Arial" w:cs="Arial"/>
                <w:i/>
                <w:sz w:val="16"/>
                <w:szCs w:val="16"/>
              </w:rPr>
            </w:pPr>
          </w:p>
        </w:tc>
      </w:tr>
    </w:tbl>
    <w:p w14:paraId="701E39CE" w14:textId="77777777" w:rsidR="005A728D" w:rsidRPr="003028EF" w:rsidRDefault="005A728D" w:rsidP="005A728D">
      <w:pPr>
        <w:pStyle w:val="SubOne"/>
        <w:shd w:val="clear" w:color="auto" w:fill="FFFFFF"/>
        <w:spacing w:before="60" w:after="60"/>
        <w:jc w:val="both"/>
        <w:rPr>
          <w:i/>
        </w:rPr>
      </w:pPr>
      <w:r w:rsidRPr="005D6BDC">
        <w:t>L</w:t>
      </w:r>
      <w:r>
        <w:t>ink to outcomes and priority areas</w:t>
      </w:r>
    </w:p>
    <w:p w14:paraId="529C7F48" w14:textId="77777777" w:rsidR="005A728D" w:rsidRPr="0072302C" w:rsidRDefault="005A728D" w:rsidP="005A728D">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58CBD947" w14:textId="77777777" w:rsidR="005A728D" w:rsidRPr="003060FE" w:rsidRDefault="005A728D" w:rsidP="005A728D">
      <w:pPr>
        <w:shd w:val="clear" w:color="auto" w:fill="FFFFFF"/>
        <w:jc w:val="both"/>
        <w:rPr>
          <w:rFonts w:ascii="Arial" w:hAnsi="Arial" w:cs="Arial"/>
          <w:sz w:val="22"/>
          <w:szCs w:val="22"/>
        </w:rPr>
      </w:pPr>
      <w:r w:rsidRPr="003060FE">
        <w:rPr>
          <w:rFonts w:ascii="Arial" w:hAnsi="Arial" w:cs="Arial"/>
          <w:sz w:val="22"/>
          <w:szCs w:val="22"/>
        </w:rPr>
        <w:t>By ensuring service coverage for its population and addressing service gaps, the DHB will increase the public’s trust and confidence that the health and disability system is able to provide them the services they may need</w:t>
      </w:r>
      <w:r>
        <w:rPr>
          <w:rFonts w:ascii="Arial" w:hAnsi="Arial" w:cs="Arial"/>
          <w:sz w:val="22"/>
          <w:szCs w:val="22"/>
        </w:rPr>
        <w:t xml:space="preserve"> through the best use of resources</w:t>
      </w:r>
      <w:r w:rsidRPr="003060FE">
        <w:rPr>
          <w:rFonts w:ascii="Arial" w:hAnsi="Arial" w:cs="Arial"/>
          <w:sz w:val="22"/>
          <w:szCs w:val="22"/>
        </w:rPr>
        <w:t xml:space="preserve">.  Providing these essential health services </w:t>
      </w:r>
      <w:r w:rsidRPr="006536AE">
        <w:rPr>
          <w:rFonts w:ascii="Arial" w:hAnsi="Arial" w:cs="Arial"/>
          <w:sz w:val="22"/>
          <w:szCs w:val="22"/>
        </w:rPr>
        <w:t xml:space="preserve">will support Government's priority to ensure everyone who is able is earning, learning, </w:t>
      </w:r>
      <w:proofErr w:type="gramStart"/>
      <w:r w:rsidRPr="006536AE">
        <w:rPr>
          <w:rFonts w:ascii="Arial" w:hAnsi="Arial" w:cs="Arial"/>
          <w:sz w:val="22"/>
          <w:szCs w:val="22"/>
        </w:rPr>
        <w:t>caring</w:t>
      </w:r>
      <w:proofErr w:type="gramEnd"/>
      <w:r w:rsidRPr="006536AE">
        <w:rPr>
          <w:rFonts w:ascii="Arial" w:hAnsi="Arial" w:cs="Arial"/>
          <w:sz w:val="22"/>
          <w:szCs w:val="22"/>
        </w:rPr>
        <w:t xml:space="preserve"> or volunteering and our system outcome that we live longer in good health.</w:t>
      </w:r>
    </w:p>
    <w:p w14:paraId="1F5B56C1" w14:textId="77777777" w:rsidR="005A728D" w:rsidRDefault="005A728D" w:rsidP="005A728D">
      <w:pPr>
        <w:shd w:val="clear" w:color="auto" w:fill="FFFFFF"/>
        <w:jc w:val="both"/>
        <w:rPr>
          <w:rFonts w:ascii="Arial" w:hAnsi="Arial" w:cs="Arial"/>
          <w:sz w:val="22"/>
          <w:szCs w:val="22"/>
        </w:rPr>
      </w:pPr>
    </w:p>
    <w:p w14:paraId="0E1BFB6A" w14:textId="77777777" w:rsidR="005A728D" w:rsidRPr="003060FE" w:rsidRDefault="005A728D" w:rsidP="005A728D">
      <w:pPr>
        <w:shd w:val="clear" w:color="auto" w:fill="FFFFFF"/>
        <w:jc w:val="both"/>
        <w:rPr>
          <w:rFonts w:ascii="Arial" w:hAnsi="Arial" w:cs="Arial"/>
          <w:sz w:val="22"/>
          <w:szCs w:val="22"/>
        </w:rPr>
      </w:pPr>
      <w:r w:rsidRPr="003060FE">
        <w:rPr>
          <w:rFonts w:ascii="Arial" w:hAnsi="Arial" w:cs="Arial"/>
          <w:sz w:val="22"/>
          <w:szCs w:val="22"/>
        </w:rPr>
        <w:t>This measure is included as a formal mechanism for ensuring service coverage gaps are transparently managed.  The DHB monitoring framework focuses on key marker services</w:t>
      </w:r>
      <w:r>
        <w:rPr>
          <w:rFonts w:ascii="Arial" w:hAnsi="Arial" w:cs="Arial"/>
          <w:sz w:val="22"/>
          <w:szCs w:val="22"/>
        </w:rPr>
        <w:t>.  However, th</w:t>
      </w:r>
      <w:r w:rsidRPr="003060FE">
        <w:rPr>
          <w:rFonts w:ascii="Arial" w:hAnsi="Arial" w:cs="Arial"/>
          <w:sz w:val="22"/>
          <w:szCs w:val="22"/>
        </w:rPr>
        <w:t xml:space="preserve">is measure allows performance failures in those service areas that are not routinely monitored to be formally managed within the accountability framework.  </w:t>
      </w:r>
    </w:p>
    <w:p w14:paraId="6288C80E" w14:textId="77777777" w:rsidR="005A728D" w:rsidRPr="00A6006F" w:rsidRDefault="005A728D" w:rsidP="005A728D">
      <w:pPr>
        <w:shd w:val="clear" w:color="auto" w:fill="FFFFFF"/>
        <w:jc w:val="both"/>
        <w:rPr>
          <w:rFonts w:ascii="Arial" w:hAnsi="Arial" w:cs="Arial"/>
          <w:sz w:val="16"/>
          <w:szCs w:val="16"/>
        </w:rPr>
      </w:pPr>
    </w:p>
    <w:p w14:paraId="346FA3EB" w14:textId="77777777" w:rsidR="005A728D" w:rsidRPr="003060FE" w:rsidRDefault="005A728D" w:rsidP="005A728D">
      <w:pPr>
        <w:shd w:val="clear" w:color="auto" w:fill="FFFFFF"/>
        <w:jc w:val="both"/>
        <w:rPr>
          <w:rFonts w:ascii="Arial" w:hAnsi="Arial" w:cs="Arial"/>
          <w:sz w:val="22"/>
          <w:szCs w:val="22"/>
        </w:rPr>
      </w:pPr>
    </w:p>
    <w:p w14:paraId="39F03840" w14:textId="77777777" w:rsidR="005A728D" w:rsidRPr="00D74F1B" w:rsidRDefault="005A728D" w:rsidP="005A728D">
      <w:pPr>
        <w:shd w:val="clear" w:color="auto" w:fill="FFFFFF"/>
        <w:spacing w:before="60" w:after="60"/>
        <w:jc w:val="both"/>
        <w:rPr>
          <w:rFonts w:ascii="Arial" w:hAnsi="Arial" w:cs="Arial"/>
          <w:sz w:val="20"/>
          <w:szCs w:val="20"/>
        </w:rPr>
      </w:pPr>
    </w:p>
    <w:p w14:paraId="4FAACCD6" w14:textId="77777777" w:rsidR="005A728D" w:rsidRPr="003060FE" w:rsidRDefault="005A728D" w:rsidP="005A728D">
      <w:pPr>
        <w:shd w:val="clear" w:color="auto" w:fill="FFFFFF"/>
        <w:spacing w:before="60" w:after="60"/>
        <w:jc w:val="both"/>
        <w:rPr>
          <w:rFonts w:ascii="Arial" w:hAnsi="Arial" w:cs="Arial"/>
          <w:b/>
        </w:rPr>
      </w:pPr>
      <w:r w:rsidRPr="003060FE">
        <w:rPr>
          <w:rFonts w:ascii="Arial" w:hAnsi="Arial" w:cs="Arial"/>
          <w:b/>
        </w:rPr>
        <w:t>Actions and activities that have a proven impact on this measure:</w:t>
      </w:r>
    </w:p>
    <w:p w14:paraId="6681028F"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 xml:space="preserve">Actions that support resolution of service coverage gaps and issues may </w:t>
      </w:r>
      <w:proofErr w:type="gramStart"/>
      <w:r w:rsidRPr="003060FE">
        <w:rPr>
          <w:rFonts w:ascii="Arial" w:hAnsi="Arial" w:cs="Arial"/>
          <w:sz w:val="22"/>
          <w:szCs w:val="22"/>
        </w:rPr>
        <w:t>include:</w:t>
      </w:r>
      <w:proofErr w:type="gramEnd"/>
      <w:r w:rsidRPr="003060FE">
        <w:rPr>
          <w:rFonts w:ascii="Arial" w:hAnsi="Arial" w:cs="Arial"/>
          <w:sz w:val="22"/>
          <w:szCs w:val="22"/>
        </w:rPr>
        <w:t xml:space="preserve"> development and implementation of a work-out plan, employment of additional staff or equipment, funding additional volumes or making service(s) available through an alternate provider/DHB, or identifying funding, contractual, or other constraints, which must be addressed before the issue can be resolved.</w:t>
      </w:r>
    </w:p>
    <w:p w14:paraId="7E4C1976" w14:textId="77777777" w:rsidR="005A728D" w:rsidRDefault="005A728D" w:rsidP="005A728D">
      <w:pPr>
        <w:shd w:val="clear" w:color="auto" w:fill="FFFFFF"/>
        <w:spacing w:before="120" w:after="120"/>
        <w:jc w:val="both"/>
        <w:rPr>
          <w:rFonts w:ascii="Arial" w:hAnsi="Arial" w:cs="Arial"/>
          <w:b/>
          <w:szCs w:val="22"/>
        </w:rPr>
      </w:pPr>
    </w:p>
    <w:p w14:paraId="4879CB30" w14:textId="77777777" w:rsidR="005A728D" w:rsidRPr="003060FE" w:rsidRDefault="005A728D" w:rsidP="005A728D">
      <w:pPr>
        <w:shd w:val="clear" w:color="auto" w:fill="FFFFFF"/>
        <w:spacing w:before="120" w:after="120"/>
        <w:jc w:val="both"/>
        <w:rPr>
          <w:rFonts w:ascii="Arial" w:hAnsi="Arial" w:cs="Arial"/>
          <w:b/>
          <w:szCs w:val="22"/>
        </w:rPr>
      </w:pPr>
      <w:proofErr w:type="gramStart"/>
      <w:r w:rsidRPr="003060FE">
        <w:rPr>
          <w:rFonts w:ascii="Arial" w:hAnsi="Arial" w:cs="Arial"/>
          <w:b/>
          <w:szCs w:val="22"/>
        </w:rPr>
        <w:t>Deliverables</w:t>
      </w:r>
      <w:proofErr w:type="gramEnd"/>
      <w:r w:rsidRPr="003060FE">
        <w:rPr>
          <w:rFonts w:ascii="Arial" w:hAnsi="Arial" w:cs="Arial"/>
          <w:b/>
          <w:szCs w:val="22"/>
        </w:rPr>
        <w:t xml:space="preserve"> definitions</w:t>
      </w:r>
    </w:p>
    <w:p w14:paraId="0374CC14" w14:textId="77777777" w:rsidR="005A728D" w:rsidRPr="003060FE" w:rsidRDefault="005A728D" w:rsidP="005A728D">
      <w:pPr>
        <w:shd w:val="clear" w:color="auto" w:fill="FFFFFF"/>
        <w:spacing w:before="60" w:after="60"/>
        <w:jc w:val="both"/>
        <w:rPr>
          <w:rFonts w:ascii="Arial" w:hAnsi="Arial" w:cs="Arial"/>
          <w:b/>
          <w:i/>
          <w:sz w:val="22"/>
          <w:szCs w:val="22"/>
        </w:rPr>
      </w:pPr>
      <w:r w:rsidRPr="003060FE">
        <w:rPr>
          <w:rFonts w:ascii="Arial" w:hAnsi="Arial" w:cs="Arial"/>
          <w:b/>
          <w:i/>
          <w:sz w:val="22"/>
          <w:szCs w:val="22"/>
        </w:rPr>
        <w:t>Qualitative indicator</w:t>
      </w:r>
    </w:p>
    <w:p w14:paraId="32C5D45D"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DHBs to report providing the following information:</w:t>
      </w:r>
    </w:p>
    <w:p w14:paraId="6A70B6FE"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 xml:space="preserve">Report progress achieved during the quarter towards resolution of exceptions to service coverage identified in the Annual Plan, and not approved as </w:t>
      </w:r>
      <w:proofErr w:type="gramStart"/>
      <w:r w:rsidRPr="003060FE">
        <w:rPr>
          <w:rFonts w:ascii="Arial" w:hAnsi="Arial" w:cs="Arial"/>
          <w:sz w:val="22"/>
          <w:szCs w:val="22"/>
        </w:rPr>
        <w:t>long term</w:t>
      </w:r>
      <w:proofErr w:type="gramEnd"/>
      <w:r w:rsidRPr="003060FE">
        <w:rPr>
          <w:rFonts w:ascii="Arial" w:hAnsi="Arial" w:cs="Arial"/>
          <w:sz w:val="22"/>
          <w:szCs w:val="22"/>
        </w:rPr>
        <w:t xml:space="preserve"> exceptions, and any other gaps in service coverage identified by the DHB or Ministry through:</w:t>
      </w:r>
    </w:p>
    <w:p w14:paraId="01292BDB"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lastRenderedPageBreak/>
        <w:t>•</w:t>
      </w:r>
      <w:r w:rsidRPr="003060FE">
        <w:rPr>
          <w:rFonts w:ascii="Arial" w:hAnsi="Arial" w:cs="Arial"/>
          <w:sz w:val="22"/>
          <w:szCs w:val="22"/>
        </w:rPr>
        <w:tab/>
        <w:t>analysis of explanatory indicators</w:t>
      </w:r>
    </w:p>
    <w:p w14:paraId="23843485"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 xml:space="preserve">media reporting </w:t>
      </w:r>
    </w:p>
    <w:p w14:paraId="21DFA27E"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risk reporting</w:t>
      </w:r>
    </w:p>
    <w:p w14:paraId="1B698864"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formal audit outcomes</w:t>
      </w:r>
    </w:p>
    <w:p w14:paraId="3AA22089" w14:textId="77777777" w:rsidR="005A728D" w:rsidRPr="003060FE" w:rsidRDefault="005A728D" w:rsidP="005A728D">
      <w:pPr>
        <w:shd w:val="clear" w:color="auto" w:fill="FFFFFF"/>
        <w:spacing w:before="6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complaints mechanisms</w:t>
      </w:r>
    </w:p>
    <w:p w14:paraId="78C6EC70" w14:textId="77777777" w:rsidR="005A728D" w:rsidRPr="003060FE" w:rsidRDefault="005A728D" w:rsidP="005A728D">
      <w:pPr>
        <w:shd w:val="clear" w:color="auto" w:fill="FFFFFF"/>
        <w:spacing w:before="6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sector intelligence.</w:t>
      </w:r>
    </w:p>
    <w:p w14:paraId="026983EB" w14:textId="77777777" w:rsidR="005A728D" w:rsidRPr="00910B96" w:rsidRDefault="005A728D" w:rsidP="005A728D">
      <w:pPr>
        <w:shd w:val="clear" w:color="auto" w:fill="FFFFFF"/>
        <w:spacing w:before="120" w:after="120"/>
        <w:jc w:val="both"/>
        <w:rPr>
          <w:rFonts w:ascii="Arial" w:hAnsi="Arial" w:cs="Arial"/>
          <w:sz w:val="22"/>
          <w:szCs w:val="22"/>
        </w:rPr>
      </w:pPr>
      <w:r w:rsidRPr="00910B96">
        <w:rPr>
          <w:rFonts w:ascii="Arial" w:hAnsi="Arial" w:cs="Arial"/>
          <w:sz w:val="22"/>
          <w:szCs w:val="22"/>
        </w:rPr>
        <w:t xml:space="preserve">Note </w:t>
      </w:r>
      <w:r>
        <w:rPr>
          <w:rFonts w:ascii="Arial" w:hAnsi="Arial" w:cs="Arial"/>
          <w:sz w:val="22"/>
          <w:szCs w:val="22"/>
        </w:rPr>
        <w:t xml:space="preserve"> </w:t>
      </w:r>
      <w:r w:rsidRPr="00910B96">
        <w:rPr>
          <w:rFonts w:ascii="Arial" w:hAnsi="Arial" w:cs="Arial"/>
          <w:sz w:val="22"/>
          <w:szCs w:val="22"/>
        </w:rPr>
        <w:t>A specific template will be supplied prior to each reporting period to identify the areas/issues the Ministry expects to be reported for that period.</w:t>
      </w:r>
    </w:p>
    <w:p w14:paraId="24F69255" w14:textId="77777777" w:rsidR="005A728D" w:rsidRPr="003060FE" w:rsidRDefault="005A728D" w:rsidP="005A728D">
      <w:pPr>
        <w:shd w:val="clear" w:color="auto" w:fill="FFFFFF"/>
        <w:spacing w:before="120" w:after="120"/>
        <w:jc w:val="both"/>
        <w:rPr>
          <w:rFonts w:ascii="Arial" w:hAnsi="Arial" w:cs="Arial"/>
          <w:b/>
          <w:szCs w:val="22"/>
        </w:rPr>
      </w:pPr>
      <w:r w:rsidRPr="003060FE">
        <w:rPr>
          <w:rFonts w:ascii="Arial" w:hAnsi="Arial" w:cs="Arial"/>
          <w:b/>
          <w:szCs w:val="22"/>
        </w:rPr>
        <w:t xml:space="preserve">Reporting Period </w:t>
      </w:r>
    </w:p>
    <w:p w14:paraId="2258970F"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b/>
          <w:i/>
          <w:sz w:val="22"/>
          <w:szCs w:val="22"/>
        </w:rPr>
        <w:t>Reporting required</w:t>
      </w:r>
      <w:r w:rsidRPr="003060FE">
        <w:rPr>
          <w:rFonts w:ascii="Arial" w:hAnsi="Arial" w:cs="Arial"/>
          <w:i/>
          <w:sz w:val="22"/>
          <w:szCs w:val="22"/>
        </w:rPr>
        <w:t>:</w:t>
      </w:r>
      <w:r w:rsidRPr="003060FE">
        <w:rPr>
          <w:rFonts w:ascii="Arial" w:hAnsi="Arial" w:cs="Arial"/>
          <w:sz w:val="22"/>
          <w:szCs w:val="22"/>
        </w:rPr>
        <w:t xml:space="preserve"> </w:t>
      </w:r>
      <w:r>
        <w:rPr>
          <w:rFonts w:ascii="Arial" w:hAnsi="Arial" w:cs="Arial"/>
          <w:sz w:val="22"/>
          <w:szCs w:val="22"/>
        </w:rPr>
        <w:t>Quarterly</w:t>
      </w:r>
    </w:p>
    <w:p w14:paraId="3BA7CC34" w14:textId="77777777" w:rsidR="005A728D" w:rsidRPr="00A6006F" w:rsidRDefault="005A728D" w:rsidP="005A728D">
      <w:pPr>
        <w:shd w:val="clear" w:color="auto" w:fill="FFFFFF"/>
        <w:spacing w:before="60" w:after="60"/>
        <w:jc w:val="both"/>
        <w:rPr>
          <w:rFonts w:ascii="Arial" w:hAnsi="Arial" w:cs="Arial"/>
          <w:sz w:val="16"/>
          <w:szCs w:val="16"/>
        </w:rPr>
      </w:pPr>
    </w:p>
    <w:p w14:paraId="2F51B1BF" w14:textId="77777777" w:rsidR="005A728D" w:rsidRPr="003060FE" w:rsidRDefault="005A728D" w:rsidP="005A728D">
      <w:pPr>
        <w:shd w:val="clear" w:color="auto" w:fill="FFFFFF"/>
        <w:spacing w:before="60" w:after="60"/>
        <w:jc w:val="both"/>
        <w:rPr>
          <w:rFonts w:ascii="Arial" w:hAnsi="Arial" w:cs="Arial"/>
          <w:b/>
          <w:sz w:val="22"/>
          <w:szCs w:val="22"/>
        </w:rPr>
      </w:pPr>
      <w:r w:rsidRPr="003060FE">
        <w:rPr>
          <w:rFonts w:ascii="Arial" w:hAnsi="Arial" w:cs="Arial"/>
          <w:b/>
          <w:sz w:val="22"/>
          <w:szCs w:val="22"/>
        </w:rPr>
        <w:t>Expectations</w:t>
      </w:r>
    </w:p>
    <w:p w14:paraId="6C1CB178"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sz w:val="22"/>
          <w:szCs w:val="22"/>
        </w:rPr>
        <w:t>DHBs are expected to ensure service coverage expectations are met, and to demonstrate resolution of service coverage gaps by reporting complete, comprehensive, and timely information on the deliverable outlined above, demonstrating an appropriate resolution plan is in place for identified issues, and adequate progress is being made against the resolution plan.</w:t>
      </w:r>
    </w:p>
    <w:p w14:paraId="23D13491" w14:textId="77777777" w:rsidR="005A728D" w:rsidRPr="003060FE" w:rsidRDefault="005A728D" w:rsidP="005A728D">
      <w:pPr>
        <w:shd w:val="clear" w:color="auto" w:fill="FFFFFF"/>
        <w:tabs>
          <w:tab w:val="left" w:pos="540"/>
        </w:tabs>
        <w:spacing w:before="60" w:after="60"/>
        <w:ind w:left="540" w:hanging="54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 xml:space="preserve">A partial achievement rating will be obtained when a DHB has a service coverage gap that has not been agreed as a formal </w:t>
      </w:r>
      <w:proofErr w:type="gramStart"/>
      <w:r w:rsidRPr="003060FE">
        <w:rPr>
          <w:rFonts w:ascii="Arial" w:hAnsi="Arial" w:cs="Arial"/>
          <w:sz w:val="22"/>
          <w:szCs w:val="22"/>
        </w:rPr>
        <w:t>long term</w:t>
      </w:r>
      <w:proofErr w:type="gramEnd"/>
      <w:r w:rsidRPr="003060FE">
        <w:rPr>
          <w:rFonts w:ascii="Arial" w:hAnsi="Arial" w:cs="Arial"/>
          <w:sz w:val="22"/>
          <w:szCs w:val="22"/>
        </w:rPr>
        <w:t xml:space="preserve"> exception for the period of the </w:t>
      </w:r>
      <w:r>
        <w:rPr>
          <w:rFonts w:ascii="Arial" w:hAnsi="Arial" w:cs="Arial"/>
          <w:sz w:val="22"/>
          <w:szCs w:val="22"/>
        </w:rPr>
        <w:t>annual plan</w:t>
      </w:r>
      <w:r w:rsidRPr="003060FE">
        <w:rPr>
          <w:rFonts w:ascii="Arial" w:hAnsi="Arial" w:cs="Arial"/>
          <w:sz w:val="22"/>
          <w:szCs w:val="22"/>
        </w:rPr>
        <w:t xml:space="preserve"> and an appropriate resolution plan is supplied that demonstrates the DHB is making progress towards resolution of the service coverage gap.</w:t>
      </w:r>
    </w:p>
    <w:p w14:paraId="2BDA6EC7" w14:textId="77777777" w:rsidR="005A728D" w:rsidRPr="003060FE" w:rsidRDefault="005A728D" w:rsidP="005A728D">
      <w:pPr>
        <w:shd w:val="clear" w:color="auto" w:fill="FFFFFF"/>
        <w:tabs>
          <w:tab w:val="left" w:pos="540"/>
        </w:tabs>
        <w:spacing w:before="60" w:after="60"/>
        <w:ind w:left="540" w:hanging="54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An achieved rating will be obtained when all service coverage expectations have been met for the period under review.</w:t>
      </w:r>
    </w:p>
    <w:p w14:paraId="75D8826F" w14:textId="77777777" w:rsidR="005A728D" w:rsidRPr="003060FE" w:rsidRDefault="005A728D" w:rsidP="005A728D">
      <w:pPr>
        <w:shd w:val="clear" w:color="auto" w:fill="FFFFFF"/>
        <w:tabs>
          <w:tab w:val="left" w:pos="540"/>
        </w:tabs>
        <w:spacing w:before="60" w:after="60"/>
        <w:ind w:left="540" w:hanging="540"/>
        <w:jc w:val="both"/>
        <w:rPr>
          <w:rFonts w:ascii="Arial" w:hAnsi="Arial" w:cs="Arial"/>
          <w:sz w:val="22"/>
          <w:szCs w:val="22"/>
        </w:rPr>
      </w:pPr>
      <w:r w:rsidRPr="003060FE">
        <w:rPr>
          <w:rFonts w:ascii="Arial" w:hAnsi="Arial" w:cs="Arial"/>
          <w:sz w:val="22"/>
          <w:szCs w:val="22"/>
        </w:rPr>
        <w:t>•</w:t>
      </w:r>
      <w:r w:rsidRPr="003060FE">
        <w:rPr>
          <w:rFonts w:ascii="Arial" w:hAnsi="Arial" w:cs="Arial"/>
          <w:sz w:val="22"/>
          <w:szCs w:val="22"/>
        </w:rPr>
        <w:tab/>
        <w:t xml:space="preserve">An outstanding performer/sector leader rating does not apply for this risk-based measure. </w:t>
      </w:r>
    </w:p>
    <w:p w14:paraId="0E10DABB" w14:textId="77777777" w:rsidR="005A728D" w:rsidRPr="00A6006F" w:rsidRDefault="005A728D" w:rsidP="005A728D">
      <w:pPr>
        <w:shd w:val="clear" w:color="auto" w:fill="FFFFFF"/>
        <w:spacing w:before="60" w:after="60"/>
        <w:jc w:val="both"/>
        <w:rPr>
          <w:rFonts w:ascii="Arial" w:hAnsi="Arial" w:cs="Arial"/>
          <w:sz w:val="16"/>
          <w:szCs w:val="16"/>
        </w:rPr>
      </w:pPr>
    </w:p>
    <w:p w14:paraId="37A3FBE5" w14:textId="77777777" w:rsidR="005A728D" w:rsidRPr="003060FE" w:rsidRDefault="005A728D" w:rsidP="005A728D">
      <w:pPr>
        <w:shd w:val="clear" w:color="auto" w:fill="FFFFFF"/>
        <w:spacing w:before="60" w:after="60"/>
        <w:jc w:val="both"/>
        <w:rPr>
          <w:rFonts w:ascii="Arial" w:hAnsi="Arial" w:cs="Arial"/>
          <w:sz w:val="22"/>
          <w:szCs w:val="22"/>
        </w:rPr>
      </w:pPr>
      <w:r w:rsidRPr="003060FE">
        <w:rPr>
          <w:rFonts w:ascii="Arial" w:hAnsi="Arial" w:cs="Arial"/>
          <w:b/>
          <w:i/>
          <w:sz w:val="22"/>
          <w:szCs w:val="22"/>
        </w:rPr>
        <w:t xml:space="preserve">Exception reporting </w:t>
      </w:r>
      <w:r w:rsidRPr="003060FE">
        <w:rPr>
          <w:rFonts w:ascii="Arial" w:hAnsi="Arial" w:cs="Arial"/>
          <w:sz w:val="22"/>
          <w:szCs w:val="22"/>
        </w:rPr>
        <w:t>Exception reports should include progress made towards resolution of service coverage gaps, including milestones for final resolution.</w:t>
      </w:r>
    </w:p>
    <w:p w14:paraId="36CA5609" w14:textId="77777777" w:rsidR="00E2735C" w:rsidRDefault="00E2735C">
      <w:pPr>
        <w:rPr>
          <w:rFonts w:ascii="Arial" w:hAnsi="Arial" w:cs="Arial"/>
          <w:b/>
          <w:i/>
        </w:rPr>
      </w:pPr>
      <w:r>
        <w:rPr>
          <w:rFonts w:ascii="Arial" w:hAnsi="Arial" w:cs="Arial"/>
          <w:b/>
          <w:i/>
        </w:rPr>
        <w:br w:type="page"/>
      </w:r>
    </w:p>
    <w:p w14:paraId="214C9013" w14:textId="126B60B4" w:rsidR="00552CF6" w:rsidRPr="00013367" w:rsidRDefault="00552CF6" w:rsidP="00552CF6">
      <w:pPr>
        <w:shd w:val="clear" w:color="auto" w:fill="FFFFFF" w:themeFill="background1"/>
        <w:spacing w:before="60" w:after="60"/>
        <w:jc w:val="both"/>
        <w:rPr>
          <w:rFonts w:ascii="Arial" w:hAnsi="Arial" w:cs="Arial"/>
          <w:b/>
          <w:i/>
          <w:sz w:val="22"/>
          <w:szCs w:val="22"/>
        </w:rPr>
      </w:pPr>
      <w:r>
        <w:rPr>
          <w:rFonts w:ascii="Arial" w:hAnsi="Arial" w:cs="Arial"/>
          <w:b/>
          <w:i/>
        </w:rPr>
        <w:lastRenderedPageBreak/>
        <w:t>Outcome priority</w:t>
      </w:r>
      <w:r w:rsidRPr="00013367">
        <w:rPr>
          <w:rFonts w:ascii="Arial" w:hAnsi="Arial" w:cs="Arial"/>
          <w:b/>
          <w:i/>
        </w:rPr>
        <w:t xml:space="preserve">:  </w:t>
      </w:r>
      <w:r>
        <w:rPr>
          <w:rFonts w:ascii="Arial" w:hAnsi="Arial" w:cs="Arial"/>
          <w:b/>
          <w:i/>
        </w:rPr>
        <w:t>We live longer in good health</w:t>
      </w:r>
    </w:p>
    <w:p w14:paraId="113FDF57" w14:textId="38C8A585" w:rsidR="00552CF6" w:rsidRDefault="00604F7F" w:rsidP="00552CF6">
      <w:pPr>
        <w:keepNext/>
        <w:shd w:val="clear" w:color="auto" w:fill="FFFFFF" w:themeFill="background1"/>
        <w:spacing w:before="240" w:after="60"/>
        <w:outlineLvl w:val="0"/>
        <w:rPr>
          <w:rFonts w:ascii="Arial" w:hAnsi="Arial" w:cs="Arial"/>
          <w:b/>
          <w:bCs/>
          <w:i/>
          <w:iCs/>
          <w:kern w:val="32"/>
          <w:sz w:val="28"/>
          <w:szCs w:val="32"/>
        </w:rPr>
      </w:pPr>
      <w:bookmarkStart w:id="490" w:name="_Toc4588557"/>
      <w:bookmarkStart w:id="491" w:name="_Toc9592028"/>
      <w:r w:rsidRPr="00604F7F">
        <w:rPr>
          <w:rFonts w:ascii="Arial" w:hAnsi="Arial" w:cs="Arial"/>
          <w:b/>
          <w:bCs/>
          <w:i/>
          <w:iCs/>
          <w:kern w:val="32"/>
          <w:sz w:val="28"/>
          <w:szCs w:val="32"/>
        </w:rPr>
        <w:t xml:space="preserve">Better population health outcomes supported by a </w:t>
      </w:r>
      <w:r>
        <w:rPr>
          <w:rFonts w:ascii="Arial" w:hAnsi="Arial" w:cs="Arial"/>
          <w:b/>
          <w:bCs/>
          <w:i/>
          <w:iCs/>
          <w:kern w:val="32"/>
          <w:sz w:val="28"/>
          <w:szCs w:val="32"/>
        </w:rPr>
        <w:t>s</w:t>
      </w:r>
      <w:r w:rsidR="00552CF6">
        <w:rPr>
          <w:rFonts w:ascii="Arial" w:hAnsi="Arial" w:cs="Arial"/>
          <w:b/>
          <w:bCs/>
          <w:i/>
          <w:iCs/>
          <w:kern w:val="32"/>
          <w:sz w:val="28"/>
          <w:szCs w:val="32"/>
        </w:rPr>
        <w:t xml:space="preserve">trong and equitable public health and disability </w:t>
      </w:r>
      <w:bookmarkStart w:id="492" w:name="_Hlk81203573"/>
      <w:r w:rsidR="00552CF6">
        <w:rPr>
          <w:rFonts w:ascii="Arial" w:hAnsi="Arial" w:cs="Arial"/>
          <w:b/>
          <w:bCs/>
          <w:i/>
          <w:iCs/>
          <w:kern w:val="32"/>
          <w:sz w:val="28"/>
          <w:szCs w:val="32"/>
        </w:rPr>
        <w:t xml:space="preserve">system SS04: </w:t>
      </w:r>
      <w:r w:rsidR="00552CF6" w:rsidRPr="00013367">
        <w:rPr>
          <w:rFonts w:ascii="Arial" w:hAnsi="Arial" w:cs="Arial"/>
          <w:b/>
          <w:bCs/>
          <w:i/>
          <w:iCs/>
          <w:kern w:val="32"/>
          <w:sz w:val="28"/>
          <w:szCs w:val="32"/>
        </w:rPr>
        <w:t>Implementing the Healthy Ageing Strategy</w:t>
      </w:r>
      <w:bookmarkEnd w:id="490"/>
      <w:bookmarkEnd w:id="491"/>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552CF6" w:rsidRPr="00013367" w14:paraId="02D1B18C" w14:textId="77777777" w:rsidTr="009D6F69">
        <w:tc>
          <w:tcPr>
            <w:tcW w:w="10094" w:type="dxa"/>
            <w:gridSpan w:val="2"/>
            <w:shd w:val="clear" w:color="auto" w:fill="D9D9D9"/>
          </w:tcPr>
          <w:bookmarkEnd w:id="492"/>
          <w:p w14:paraId="5BE888B7" w14:textId="77777777" w:rsidR="00552CF6" w:rsidRPr="00013367" w:rsidRDefault="00552CF6" w:rsidP="009D6F69">
            <w:pPr>
              <w:shd w:val="clear" w:color="auto" w:fill="FFFFFF"/>
              <w:spacing w:before="60" w:after="60"/>
              <w:jc w:val="center"/>
              <w:rPr>
                <w:rFonts w:ascii="Arial" w:hAnsi="Arial" w:cs="Arial"/>
                <w:b/>
                <w:sz w:val="22"/>
                <w:szCs w:val="22"/>
              </w:rPr>
            </w:pPr>
            <w:r w:rsidRPr="00013367">
              <w:rPr>
                <w:rFonts w:ascii="Arial" w:hAnsi="Arial" w:cs="Arial"/>
                <w:b/>
                <w:sz w:val="22"/>
                <w:szCs w:val="22"/>
              </w:rPr>
              <w:t>Summary information</w:t>
            </w:r>
          </w:p>
        </w:tc>
      </w:tr>
      <w:tr w:rsidR="00552CF6" w:rsidRPr="00013367" w14:paraId="47DD42EC" w14:textId="77777777" w:rsidTr="009D6F69">
        <w:tc>
          <w:tcPr>
            <w:tcW w:w="2864" w:type="dxa"/>
            <w:shd w:val="clear" w:color="auto" w:fill="auto"/>
          </w:tcPr>
          <w:p w14:paraId="4194EBE6" w14:textId="77777777" w:rsidR="00552CF6" w:rsidRPr="00013367" w:rsidRDefault="00552CF6" w:rsidP="009D6F69">
            <w:pPr>
              <w:shd w:val="clear" w:color="auto" w:fill="FFFFFF"/>
              <w:spacing w:before="60" w:after="60"/>
              <w:rPr>
                <w:rFonts w:ascii="Arial" w:hAnsi="Arial" w:cs="Arial"/>
                <w:b/>
                <w:i/>
                <w:sz w:val="20"/>
                <w:szCs w:val="20"/>
              </w:rPr>
            </w:pPr>
            <w:r w:rsidRPr="00013367">
              <w:rPr>
                <w:rFonts w:ascii="Arial" w:hAnsi="Arial" w:cs="Arial"/>
                <w:b/>
                <w:i/>
                <w:sz w:val="20"/>
                <w:szCs w:val="20"/>
              </w:rPr>
              <w:t>Target/performance expectation</w:t>
            </w:r>
          </w:p>
        </w:tc>
        <w:tc>
          <w:tcPr>
            <w:tcW w:w="7230" w:type="dxa"/>
            <w:shd w:val="clear" w:color="auto" w:fill="auto"/>
          </w:tcPr>
          <w:p w14:paraId="092ABE90" w14:textId="77777777" w:rsidR="00552CF6" w:rsidRPr="00013367" w:rsidRDefault="00552CF6" w:rsidP="009D6F69">
            <w:pPr>
              <w:shd w:val="clear" w:color="auto" w:fill="FFFFFF"/>
              <w:spacing w:before="60" w:after="60"/>
              <w:jc w:val="both"/>
              <w:rPr>
                <w:rFonts w:ascii="Arial" w:hAnsi="Arial" w:cs="Arial"/>
                <w:b/>
                <w:i/>
                <w:sz w:val="20"/>
                <w:szCs w:val="20"/>
              </w:rPr>
            </w:pPr>
            <w:r w:rsidRPr="00013367">
              <w:rPr>
                <w:rFonts w:ascii="Arial" w:hAnsi="Arial" w:cs="Arial"/>
                <w:sz w:val="20"/>
                <w:szCs w:val="20"/>
              </w:rPr>
              <w:t>Agreed in DHB Annual Plan</w:t>
            </w:r>
          </w:p>
        </w:tc>
      </w:tr>
      <w:tr w:rsidR="00552CF6" w:rsidRPr="00013367" w14:paraId="598A2325" w14:textId="77777777" w:rsidTr="009D6F69">
        <w:trPr>
          <w:trHeight w:val="493"/>
        </w:trPr>
        <w:tc>
          <w:tcPr>
            <w:tcW w:w="2864" w:type="dxa"/>
            <w:shd w:val="clear" w:color="auto" w:fill="auto"/>
          </w:tcPr>
          <w:p w14:paraId="0E5D42CF" w14:textId="77777777" w:rsidR="00552CF6" w:rsidRPr="00013367" w:rsidRDefault="00552CF6" w:rsidP="009D6F69">
            <w:pPr>
              <w:shd w:val="clear" w:color="auto" w:fill="FFFFFF"/>
              <w:spacing w:before="60" w:after="60"/>
              <w:rPr>
                <w:rFonts w:ascii="Arial" w:hAnsi="Arial" w:cs="Arial"/>
                <w:b/>
                <w:i/>
                <w:sz w:val="20"/>
                <w:szCs w:val="20"/>
              </w:rPr>
            </w:pPr>
            <w:r w:rsidRPr="00013367">
              <w:rPr>
                <w:rFonts w:ascii="Arial" w:hAnsi="Arial" w:cs="Arial"/>
                <w:b/>
                <w:i/>
                <w:sz w:val="20"/>
                <w:szCs w:val="20"/>
              </w:rPr>
              <w:t>Reporting frequency</w:t>
            </w:r>
          </w:p>
        </w:tc>
        <w:tc>
          <w:tcPr>
            <w:tcW w:w="7230" w:type="dxa"/>
            <w:shd w:val="clear" w:color="auto" w:fill="auto"/>
          </w:tcPr>
          <w:p w14:paraId="2AD8C855" w14:textId="77777777" w:rsidR="00552CF6" w:rsidRPr="00013367" w:rsidRDefault="00552CF6" w:rsidP="009D6F69">
            <w:pPr>
              <w:shd w:val="clear" w:color="auto" w:fill="FFFFFF"/>
              <w:spacing w:before="60" w:after="60"/>
              <w:jc w:val="both"/>
              <w:rPr>
                <w:rFonts w:ascii="Arial" w:hAnsi="Arial" w:cs="Arial"/>
                <w:sz w:val="20"/>
                <w:szCs w:val="20"/>
              </w:rPr>
            </w:pPr>
            <w:r w:rsidRPr="00013367">
              <w:rPr>
                <w:rFonts w:ascii="Arial" w:hAnsi="Arial" w:cs="Arial"/>
                <w:sz w:val="20"/>
                <w:szCs w:val="20"/>
              </w:rPr>
              <w:t>Quarterly</w:t>
            </w:r>
          </w:p>
        </w:tc>
      </w:tr>
      <w:tr w:rsidR="00552CF6" w:rsidRPr="00013367" w14:paraId="2AD4EA94" w14:textId="77777777" w:rsidTr="009D6F69">
        <w:tc>
          <w:tcPr>
            <w:tcW w:w="2864" w:type="dxa"/>
            <w:shd w:val="clear" w:color="auto" w:fill="auto"/>
          </w:tcPr>
          <w:p w14:paraId="23731A1C" w14:textId="77777777" w:rsidR="00552CF6" w:rsidRPr="00013367" w:rsidRDefault="00552CF6" w:rsidP="009D6F69">
            <w:pPr>
              <w:shd w:val="clear" w:color="auto" w:fill="FFFFFF"/>
              <w:spacing w:before="60" w:after="60"/>
              <w:rPr>
                <w:rFonts w:ascii="Arial" w:hAnsi="Arial" w:cs="Arial"/>
                <w:b/>
                <w:i/>
                <w:sz w:val="20"/>
                <w:szCs w:val="20"/>
              </w:rPr>
            </w:pPr>
            <w:r w:rsidRPr="00013367">
              <w:rPr>
                <w:rFonts w:ascii="Arial" w:hAnsi="Arial" w:cs="Arial"/>
                <w:b/>
                <w:i/>
                <w:sz w:val="20"/>
                <w:szCs w:val="20"/>
              </w:rPr>
              <w:t>Source information for reporting provided by:</w:t>
            </w:r>
          </w:p>
        </w:tc>
        <w:tc>
          <w:tcPr>
            <w:tcW w:w="7230" w:type="dxa"/>
            <w:shd w:val="clear" w:color="auto" w:fill="auto"/>
          </w:tcPr>
          <w:p w14:paraId="11BD6B95" w14:textId="77777777" w:rsidR="00552CF6" w:rsidRPr="00013367" w:rsidRDefault="00552CF6" w:rsidP="009D6F69">
            <w:pPr>
              <w:shd w:val="clear" w:color="auto" w:fill="FFFFFF"/>
              <w:spacing w:before="60" w:after="60"/>
              <w:rPr>
                <w:rFonts w:ascii="Arial" w:hAnsi="Arial" w:cs="Arial"/>
                <w:i/>
                <w:sz w:val="20"/>
                <w:szCs w:val="20"/>
              </w:rPr>
            </w:pPr>
            <w:r w:rsidRPr="00013367">
              <w:rPr>
                <w:rFonts w:ascii="Arial" w:hAnsi="Arial" w:cs="Arial"/>
                <w:i/>
                <w:sz w:val="20"/>
                <w:szCs w:val="20"/>
              </w:rPr>
              <w:t>DHBs to provide reports</w:t>
            </w:r>
          </w:p>
        </w:tc>
      </w:tr>
      <w:tr w:rsidR="00552CF6" w:rsidRPr="00013367" w14:paraId="3601B97F" w14:textId="77777777" w:rsidTr="009D6F69">
        <w:trPr>
          <w:trHeight w:val="2182"/>
        </w:trPr>
        <w:tc>
          <w:tcPr>
            <w:tcW w:w="2864" w:type="dxa"/>
            <w:shd w:val="clear" w:color="auto" w:fill="auto"/>
          </w:tcPr>
          <w:p w14:paraId="4537F320" w14:textId="77777777" w:rsidR="00552CF6" w:rsidRPr="00013367" w:rsidRDefault="00552CF6" w:rsidP="009D6F69">
            <w:pPr>
              <w:shd w:val="clear" w:color="auto" w:fill="FFFFFF"/>
              <w:spacing w:before="60" w:after="60"/>
              <w:rPr>
                <w:rFonts w:ascii="Arial" w:hAnsi="Arial" w:cs="Arial"/>
                <w:b/>
                <w:i/>
                <w:sz w:val="20"/>
                <w:szCs w:val="20"/>
              </w:rPr>
            </w:pPr>
            <w:r w:rsidRPr="00013367">
              <w:rPr>
                <w:rFonts w:ascii="Arial" w:hAnsi="Arial" w:cs="Arial"/>
                <w:b/>
                <w:i/>
                <w:sz w:val="20"/>
                <w:szCs w:val="20"/>
              </w:rPr>
              <w:t>Quarterly reporting  - standard timeline applies</w:t>
            </w:r>
          </w:p>
        </w:tc>
        <w:tc>
          <w:tcPr>
            <w:tcW w:w="7230" w:type="dxa"/>
            <w:shd w:val="clear" w:color="auto" w:fill="auto"/>
          </w:tcPr>
          <w:p w14:paraId="0E76F7C8" w14:textId="77777777" w:rsidR="00552CF6" w:rsidRPr="00013367" w:rsidRDefault="00552CF6"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552CF6" w:rsidRPr="00013367" w14:paraId="7355208A"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6F61"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986CC"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20th of the month following the end of the quarter</w:t>
                  </w:r>
                </w:p>
              </w:tc>
            </w:tr>
            <w:tr w:rsidR="00552CF6" w:rsidRPr="00013367" w14:paraId="7CA6E6ED"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E4592"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BA32"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8-10 working days from receiving reports</w:t>
                  </w:r>
                </w:p>
              </w:tc>
            </w:tr>
            <w:tr w:rsidR="00552CF6" w:rsidRPr="00013367" w14:paraId="0FDD9D2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1F57"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D0F37"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5 working days from receiving initial ratings</w:t>
                  </w:r>
                </w:p>
              </w:tc>
            </w:tr>
            <w:tr w:rsidR="00552CF6" w:rsidRPr="00013367" w14:paraId="2513C362"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3AC47"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4ECF9" w14:textId="77777777" w:rsidR="00552CF6" w:rsidRPr="00013367" w:rsidRDefault="00552CF6" w:rsidP="009D6F69">
                  <w:pPr>
                    <w:ind w:left="205" w:hanging="205"/>
                    <w:rPr>
                      <w:rFonts w:ascii="Calibri" w:hAnsi="Calibri"/>
                      <w:sz w:val="20"/>
                      <w:szCs w:val="20"/>
                    </w:rPr>
                  </w:pPr>
                  <w:r w:rsidRPr="00013367">
                    <w:rPr>
                      <w:rFonts w:ascii="Calibri" w:hAnsi="Calibri"/>
                      <w:sz w:val="20"/>
                      <w:szCs w:val="20"/>
                    </w:rPr>
                    <w:t>4-5 working days from receiving DHB feedback</w:t>
                  </w:r>
                </w:p>
              </w:tc>
            </w:tr>
          </w:tbl>
          <w:p w14:paraId="023B3F8D" w14:textId="77777777" w:rsidR="00552CF6" w:rsidRPr="00013367" w:rsidRDefault="00552CF6" w:rsidP="009D6F69">
            <w:pPr>
              <w:shd w:val="clear" w:color="auto" w:fill="FFFFFF"/>
              <w:spacing w:before="60" w:after="60"/>
              <w:jc w:val="both"/>
              <w:rPr>
                <w:rFonts w:ascii="Arial" w:hAnsi="Arial" w:cs="Arial"/>
                <w:i/>
                <w:sz w:val="16"/>
                <w:szCs w:val="16"/>
              </w:rPr>
            </w:pPr>
          </w:p>
        </w:tc>
      </w:tr>
    </w:tbl>
    <w:p w14:paraId="4A3E2E2C" w14:textId="77777777" w:rsidR="008871A4" w:rsidRDefault="008871A4" w:rsidP="008871A4">
      <w:pPr>
        <w:shd w:val="clear" w:color="auto" w:fill="FFFFFF" w:themeFill="background1"/>
        <w:spacing w:before="60" w:after="60"/>
        <w:jc w:val="both"/>
        <w:rPr>
          <w:rFonts w:ascii="Arial" w:hAnsi="Arial" w:cs="Arial"/>
          <w:b/>
          <w:szCs w:val="22"/>
        </w:rPr>
      </w:pPr>
      <w:r w:rsidRPr="00013367">
        <w:rPr>
          <w:rFonts w:ascii="Arial" w:hAnsi="Arial" w:cs="Arial"/>
          <w:b/>
          <w:szCs w:val="22"/>
        </w:rPr>
        <w:t>Link to outcomes and priority areas</w:t>
      </w:r>
      <w:r>
        <w:rPr>
          <w:rFonts w:ascii="Arial" w:hAnsi="Arial" w:cs="Arial"/>
          <w:b/>
          <w:szCs w:val="22"/>
        </w:rPr>
        <w:t xml:space="preserve"> </w:t>
      </w:r>
    </w:p>
    <w:p w14:paraId="4E7E3709" w14:textId="77777777" w:rsidR="008871A4" w:rsidRPr="0072302C" w:rsidRDefault="008871A4" w:rsidP="008871A4">
      <w:pPr>
        <w:spacing w:after="120" w:line="300" w:lineRule="auto"/>
        <w:rPr>
          <w:rFonts w:ascii="Arial" w:hAnsi="Arial" w:cs="Arial"/>
          <w:sz w:val="22"/>
          <w:szCs w:val="22"/>
        </w:rPr>
      </w:pPr>
      <w:r w:rsidRPr="0064171D">
        <w:rPr>
          <w:rFonts w:ascii="Arial" w:hAnsi="Arial" w:cs="Arial"/>
          <w:sz w:val="22"/>
          <w:szCs w:val="22"/>
        </w:rPr>
        <w:t xml:space="preserve">Delivery of this measure supports the vision for the New Zealand health and disability system of </w:t>
      </w:r>
      <w:proofErr w:type="spellStart"/>
      <w:r w:rsidRPr="0064171D">
        <w:rPr>
          <w:rFonts w:ascii="Arial" w:hAnsi="Arial" w:cs="Arial"/>
          <w:sz w:val="22"/>
          <w:szCs w:val="22"/>
        </w:rPr>
        <w:t>Pae</w:t>
      </w:r>
      <w:proofErr w:type="spellEnd"/>
      <w:r w:rsidRPr="0064171D">
        <w:rPr>
          <w:rFonts w:ascii="Arial" w:hAnsi="Arial" w:cs="Arial"/>
          <w:sz w:val="22"/>
          <w:szCs w:val="22"/>
        </w:rPr>
        <w:t xml:space="preserve"> Ora – healthy futures.</w:t>
      </w:r>
    </w:p>
    <w:p w14:paraId="5B122112" w14:textId="77777777" w:rsidR="008871A4" w:rsidRDefault="008871A4" w:rsidP="008871A4">
      <w:pPr>
        <w:rPr>
          <w:rFonts w:ascii="Arial" w:hAnsi="Arial" w:cs="Arial"/>
          <w:sz w:val="22"/>
          <w:szCs w:val="22"/>
        </w:rPr>
      </w:pPr>
    </w:p>
    <w:p w14:paraId="618B9058" w14:textId="77777777" w:rsidR="008871A4" w:rsidRDefault="008871A4" w:rsidP="008871A4">
      <w:pPr>
        <w:rPr>
          <w:rFonts w:ascii="Arial" w:hAnsi="Arial" w:cs="Arial"/>
          <w:color w:val="000000"/>
          <w:sz w:val="22"/>
          <w:szCs w:val="22"/>
          <w:lang w:eastAsia="en-GB"/>
        </w:rPr>
      </w:pPr>
      <w:r w:rsidRPr="00513DF2">
        <w:rPr>
          <w:rFonts w:ascii="Arial" w:hAnsi="Arial" w:cs="Arial"/>
          <w:color w:val="000000"/>
          <w:sz w:val="22"/>
          <w:szCs w:val="22"/>
          <w:lang w:eastAsia="en-GB"/>
        </w:rPr>
        <w:t>The Healthy Ageing Strategy 2016 and updated priorities established by Cabinet in 2019 set the direction for the health and wellbeing of older people.  Its vision is that “Older people live well, age well and have a respectful end of life in age-friendly communities.”  It takes a life course approach that seeks to maximise health and wellbeing for all older people.  The Strategy sets a framework whereby policies, funding, planning, and service delivery:</w:t>
      </w:r>
    </w:p>
    <w:p w14:paraId="422D73E2" w14:textId="77777777" w:rsidR="008871A4" w:rsidRPr="00513DF2" w:rsidRDefault="008871A4" w:rsidP="008871A4">
      <w:pPr>
        <w:rPr>
          <w:rFonts w:ascii="Arial" w:hAnsi="Arial" w:cs="Arial"/>
          <w:color w:val="000000"/>
          <w:sz w:val="22"/>
          <w:szCs w:val="22"/>
          <w:lang w:eastAsia="en-GB"/>
        </w:rPr>
      </w:pPr>
    </w:p>
    <w:p w14:paraId="64C37EDD" w14:textId="77777777" w:rsidR="008871A4" w:rsidRPr="00513DF2" w:rsidRDefault="008871A4" w:rsidP="008871A4">
      <w:pPr>
        <w:numPr>
          <w:ilvl w:val="0"/>
          <w:numId w:val="46"/>
        </w:numPr>
        <w:spacing w:after="200" w:line="276" w:lineRule="auto"/>
        <w:ind w:left="714" w:hanging="357"/>
        <w:contextualSpacing/>
        <w:rPr>
          <w:rFonts w:ascii="Arial" w:hAnsi="Arial" w:cs="Arial"/>
          <w:bCs/>
          <w:sz w:val="22"/>
          <w:szCs w:val="22"/>
          <w:lang w:eastAsia="en-GB"/>
        </w:rPr>
      </w:pPr>
      <w:r w:rsidRPr="00513DF2">
        <w:rPr>
          <w:rFonts w:ascii="Arial" w:hAnsi="Arial" w:cs="Arial"/>
          <w:bCs/>
          <w:sz w:val="22"/>
          <w:szCs w:val="22"/>
          <w:lang w:eastAsia="en-GB"/>
        </w:rPr>
        <w:t>prioritise healthy ageing and resilience into and throughout people’s older years</w:t>
      </w:r>
    </w:p>
    <w:p w14:paraId="3AE6D55A" w14:textId="77777777" w:rsidR="008871A4" w:rsidRPr="00513DF2" w:rsidRDefault="008871A4" w:rsidP="008871A4">
      <w:pPr>
        <w:numPr>
          <w:ilvl w:val="0"/>
          <w:numId w:val="46"/>
        </w:numPr>
        <w:spacing w:after="200" w:line="276" w:lineRule="auto"/>
        <w:ind w:left="714" w:hanging="357"/>
        <w:contextualSpacing/>
        <w:rPr>
          <w:rFonts w:ascii="Arial" w:hAnsi="Arial" w:cs="Arial"/>
          <w:bCs/>
          <w:sz w:val="22"/>
          <w:szCs w:val="22"/>
          <w:lang w:eastAsia="en-GB"/>
        </w:rPr>
      </w:pPr>
      <w:r w:rsidRPr="00513DF2">
        <w:rPr>
          <w:rFonts w:ascii="Arial" w:hAnsi="Arial" w:cs="Arial"/>
          <w:bCs/>
          <w:sz w:val="22"/>
          <w:szCs w:val="22"/>
          <w:lang w:eastAsia="en-GB"/>
        </w:rPr>
        <w:t>enable high quality acute and restorative care, for effective rehabilitation, recovery, and restoration after acute events</w:t>
      </w:r>
    </w:p>
    <w:p w14:paraId="4493BB35" w14:textId="77777777" w:rsidR="008871A4" w:rsidRPr="00513DF2" w:rsidRDefault="008871A4" w:rsidP="008871A4">
      <w:pPr>
        <w:numPr>
          <w:ilvl w:val="0"/>
          <w:numId w:val="46"/>
        </w:numPr>
        <w:spacing w:after="200" w:line="276" w:lineRule="auto"/>
        <w:ind w:left="714" w:hanging="357"/>
        <w:contextualSpacing/>
        <w:rPr>
          <w:rFonts w:ascii="Arial" w:hAnsi="Arial" w:cs="Arial"/>
          <w:bCs/>
          <w:sz w:val="22"/>
          <w:szCs w:val="22"/>
          <w:lang w:eastAsia="en-GB"/>
        </w:rPr>
      </w:pPr>
      <w:r w:rsidRPr="00513DF2">
        <w:rPr>
          <w:rFonts w:ascii="Arial" w:hAnsi="Arial" w:cs="Arial"/>
          <w:bCs/>
          <w:sz w:val="22"/>
          <w:szCs w:val="22"/>
          <w:lang w:eastAsia="en-GB"/>
        </w:rPr>
        <w:t>ensure people can live well with long-term conditions</w:t>
      </w:r>
    </w:p>
    <w:p w14:paraId="7281AE1A" w14:textId="77777777" w:rsidR="008871A4" w:rsidRPr="00513DF2" w:rsidRDefault="008871A4" w:rsidP="008871A4">
      <w:pPr>
        <w:numPr>
          <w:ilvl w:val="0"/>
          <w:numId w:val="46"/>
        </w:numPr>
        <w:spacing w:after="200" w:line="276" w:lineRule="auto"/>
        <w:ind w:left="714" w:hanging="357"/>
        <w:contextualSpacing/>
        <w:rPr>
          <w:rFonts w:ascii="Arial" w:hAnsi="Arial" w:cs="Arial"/>
          <w:bCs/>
          <w:sz w:val="22"/>
          <w:szCs w:val="22"/>
          <w:lang w:eastAsia="en-GB"/>
        </w:rPr>
      </w:pPr>
      <w:r w:rsidRPr="00513DF2">
        <w:rPr>
          <w:rFonts w:ascii="Arial" w:hAnsi="Arial" w:cs="Arial"/>
          <w:bCs/>
          <w:sz w:val="22"/>
          <w:szCs w:val="22"/>
          <w:lang w:eastAsia="en-GB"/>
        </w:rPr>
        <w:t>better support people with high and complex needs</w:t>
      </w:r>
    </w:p>
    <w:p w14:paraId="74011114" w14:textId="77777777" w:rsidR="008871A4" w:rsidRPr="006C798E" w:rsidRDefault="008871A4" w:rsidP="008871A4">
      <w:pPr>
        <w:numPr>
          <w:ilvl w:val="0"/>
          <w:numId w:val="46"/>
        </w:numPr>
        <w:spacing w:after="200" w:line="276" w:lineRule="auto"/>
        <w:ind w:left="714" w:hanging="357"/>
        <w:contextualSpacing/>
        <w:rPr>
          <w:rFonts w:ascii="Arial" w:hAnsi="Arial" w:cs="Arial"/>
          <w:sz w:val="22"/>
          <w:szCs w:val="22"/>
          <w:lang w:eastAsia="en-GB"/>
        </w:rPr>
      </w:pPr>
      <w:r w:rsidRPr="00513DF2">
        <w:rPr>
          <w:rFonts w:ascii="Arial" w:hAnsi="Arial" w:cs="Arial"/>
          <w:bCs/>
          <w:sz w:val="22"/>
          <w:szCs w:val="22"/>
          <w:lang w:eastAsia="en-GB"/>
        </w:rPr>
        <w:t>provide respectful end-of-life care that caters to physical, cultural, and spiritual needs.</w:t>
      </w:r>
    </w:p>
    <w:p w14:paraId="67F9335C" w14:textId="77777777" w:rsidR="008871A4" w:rsidRDefault="008871A4" w:rsidP="008871A4">
      <w:pPr>
        <w:spacing w:after="200" w:line="276" w:lineRule="auto"/>
        <w:ind w:left="714"/>
        <w:contextualSpacing/>
        <w:rPr>
          <w:rFonts w:ascii="Arial" w:hAnsi="Arial" w:cs="Arial"/>
          <w:sz w:val="22"/>
          <w:szCs w:val="22"/>
          <w:lang w:eastAsia="en-GB"/>
        </w:rPr>
      </w:pPr>
    </w:p>
    <w:p w14:paraId="5E343D71" w14:textId="77777777" w:rsidR="008871A4" w:rsidRPr="00513DF2" w:rsidRDefault="008871A4" w:rsidP="008871A4">
      <w:pPr>
        <w:spacing w:line="300" w:lineRule="auto"/>
        <w:rPr>
          <w:rFonts w:ascii="Arial" w:hAnsi="Arial" w:cs="Arial"/>
          <w:sz w:val="22"/>
          <w:szCs w:val="22"/>
        </w:rPr>
      </w:pPr>
      <w:r w:rsidRPr="00513DF2">
        <w:rPr>
          <w:rFonts w:ascii="Arial" w:hAnsi="Arial" w:cs="Arial"/>
          <w:sz w:val="22"/>
          <w:szCs w:val="22"/>
        </w:rPr>
        <w:t>By delivering on the Healthy Ageing Strategy</w:t>
      </w:r>
      <w:r>
        <w:rPr>
          <w:rFonts w:ascii="Arial" w:hAnsi="Arial" w:cs="Arial"/>
          <w:sz w:val="22"/>
          <w:szCs w:val="22"/>
        </w:rPr>
        <w:t>, DHBs will</w:t>
      </w:r>
      <w:r w:rsidRPr="00513DF2">
        <w:rPr>
          <w:rFonts w:ascii="Arial" w:hAnsi="Arial" w:cs="Arial"/>
          <w:sz w:val="22"/>
          <w:szCs w:val="22"/>
        </w:rPr>
        <w:t xml:space="preserve"> support the government priorities for health:</w:t>
      </w:r>
    </w:p>
    <w:p w14:paraId="1525FCE8" w14:textId="77777777" w:rsidR="008871A4" w:rsidRPr="00513DF2" w:rsidRDefault="008871A4" w:rsidP="008871A4">
      <w:pPr>
        <w:pStyle w:val="ListParagraph"/>
        <w:numPr>
          <w:ilvl w:val="0"/>
          <w:numId w:val="152"/>
        </w:numPr>
        <w:ind w:left="714" w:hanging="357"/>
        <w:rPr>
          <w:rFonts w:ascii="Arial" w:hAnsi="Arial" w:cs="Arial"/>
          <w:sz w:val="22"/>
          <w:szCs w:val="22"/>
        </w:rPr>
      </w:pPr>
      <w:r w:rsidRPr="00513DF2">
        <w:rPr>
          <w:rFonts w:ascii="Arial" w:hAnsi="Arial" w:cs="Arial"/>
          <w:sz w:val="22"/>
          <w:szCs w:val="22"/>
        </w:rPr>
        <w:t>Health system will make care accessible for all New Zealanders.</w:t>
      </w:r>
    </w:p>
    <w:p w14:paraId="6D64167D" w14:textId="77777777" w:rsidR="008871A4" w:rsidRPr="00513DF2" w:rsidRDefault="008871A4" w:rsidP="008871A4">
      <w:pPr>
        <w:pStyle w:val="ListParagraph"/>
        <w:numPr>
          <w:ilvl w:val="0"/>
          <w:numId w:val="152"/>
        </w:numPr>
        <w:rPr>
          <w:rFonts w:ascii="Arial" w:hAnsi="Arial" w:cs="Arial"/>
          <w:sz w:val="22"/>
          <w:szCs w:val="22"/>
        </w:rPr>
      </w:pPr>
      <w:r w:rsidRPr="00513DF2">
        <w:rPr>
          <w:rFonts w:ascii="Arial" w:hAnsi="Arial" w:cs="Arial"/>
          <w:sz w:val="22"/>
          <w:szCs w:val="22"/>
        </w:rPr>
        <w:t xml:space="preserve">Take pressure off hospitals by treating people before they get seriously sick. </w:t>
      </w:r>
    </w:p>
    <w:p w14:paraId="33BF9AD1" w14:textId="77777777" w:rsidR="008871A4" w:rsidRPr="00513DF2" w:rsidRDefault="008871A4" w:rsidP="008871A4">
      <w:pPr>
        <w:pStyle w:val="ListParagraph"/>
        <w:numPr>
          <w:ilvl w:val="0"/>
          <w:numId w:val="152"/>
        </w:numPr>
        <w:rPr>
          <w:rFonts w:ascii="Calibri" w:hAnsi="Calibri" w:cs="Calibri"/>
          <w:color w:val="000000"/>
          <w:sz w:val="22"/>
          <w:szCs w:val="22"/>
          <w:lang w:eastAsia="en-GB"/>
        </w:rPr>
      </w:pPr>
      <w:r w:rsidRPr="00513DF2">
        <w:rPr>
          <w:rFonts w:ascii="Arial" w:hAnsi="Arial" w:cs="Arial"/>
          <w:sz w:val="22"/>
          <w:szCs w:val="22"/>
        </w:rPr>
        <w:t>Make access to services fairer for New Zealanders right across the country.</w:t>
      </w:r>
    </w:p>
    <w:p w14:paraId="58A322DC" w14:textId="77777777" w:rsidR="008871A4" w:rsidRPr="006C798E" w:rsidRDefault="008871A4" w:rsidP="008871A4">
      <w:pPr>
        <w:spacing w:after="200" w:line="276" w:lineRule="auto"/>
        <w:ind w:left="714"/>
        <w:contextualSpacing/>
        <w:rPr>
          <w:rFonts w:ascii="Arial" w:hAnsi="Arial" w:cs="Arial"/>
          <w:sz w:val="22"/>
          <w:szCs w:val="22"/>
          <w:lang w:eastAsia="en-GB"/>
        </w:rPr>
      </w:pPr>
    </w:p>
    <w:p w14:paraId="057D3116" w14:textId="77777777" w:rsidR="008871A4" w:rsidRPr="006C798E" w:rsidRDefault="008871A4" w:rsidP="008871A4">
      <w:pPr>
        <w:autoSpaceDE w:val="0"/>
        <w:autoSpaceDN w:val="0"/>
        <w:adjustRightInd w:val="0"/>
        <w:spacing w:before="60" w:after="60" w:line="240" w:lineRule="atLeast"/>
        <w:jc w:val="both"/>
        <w:rPr>
          <w:rFonts w:ascii="Arial" w:hAnsi="Arial" w:cs="Arial"/>
          <w:sz w:val="22"/>
          <w:szCs w:val="22"/>
          <w:lang w:eastAsia="en-GB"/>
        </w:rPr>
      </w:pPr>
    </w:p>
    <w:p w14:paraId="2ED0C055" w14:textId="77777777" w:rsidR="008871A4" w:rsidRDefault="008871A4" w:rsidP="008871A4">
      <w:pPr>
        <w:spacing w:line="300" w:lineRule="auto"/>
        <w:rPr>
          <w:rFonts w:ascii="Arial" w:hAnsi="Arial" w:cs="Arial"/>
          <w:b/>
          <w:u w:val="single"/>
          <w:lang w:eastAsia="en-GB"/>
        </w:rPr>
      </w:pPr>
      <w:r w:rsidRPr="00513DF2">
        <w:rPr>
          <w:rFonts w:ascii="Arial" w:hAnsi="Arial" w:cs="Arial"/>
          <w:sz w:val="22"/>
          <w:szCs w:val="22"/>
        </w:rPr>
        <w:t>The deliverables are outlined below together with the strategic theme of the Healthy Ageing Strategy 2016 to which it aligns, and priority actions 2019 - 2023.</w:t>
      </w:r>
    </w:p>
    <w:p w14:paraId="196F3E38" w14:textId="77777777" w:rsidR="008871A4" w:rsidRPr="00013367" w:rsidRDefault="008871A4" w:rsidP="008871A4">
      <w:pPr>
        <w:autoSpaceDE w:val="0"/>
        <w:autoSpaceDN w:val="0"/>
        <w:adjustRightInd w:val="0"/>
        <w:spacing w:before="60" w:after="60" w:line="240" w:lineRule="atLeast"/>
        <w:jc w:val="both"/>
        <w:rPr>
          <w:rFonts w:ascii="Arial" w:hAnsi="Arial" w:cs="Arial"/>
          <w:lang w:eastAsia="en-GB"/>
        </w:rPr>
      </w:pPr>
      <w:r w:rsidRPr="00013367">
        <w:rPr>
          <w:rFonts w:ascii="Arial" w:hAnsi="Arial" w:cs="Arial"/>
          <w:b/>
          <w:u w:val="single"/>
          <w:lang w:eastAsia="en-GB"/>
        </w:rPr>
        <w:t>Deliverable Part 1:</w:t>
      </w:r>
      <w:r w:rsidRPr="00013367">
        <w:rPr>
          <w:rFonts w:ascii="Arial" w:hAnsi="Arial" w:cs="Arial"/>
          <w:lang w:eastAsia="en-GB"/>
        </w:rPr>
        <w:t xml:space="preserve"> DHBs are expected to provide a progress report on:</w:t>
      </w:r>
    </w:p>
    <w:p w14:paraId="5BB2ACCE" w14:textId="77777777" w:rsidR="008871A4" w:rsidRDefault="008871A4" w:rsidP="008871A4">
      <w:pPr>
        <w:autoSpaceDE w:val="0"/>
        <w:autoSpaceDN w:val="0"/>
        <w:adjustRightInd w:val="0"/>
        <w:spacing w:before="120" w:after="120"/>
        <w:ind w:left="284"/>
        <w:jc w:val="both"/>
        <w:rPr>
          <w:rFonts w:ascii="Arial" w:hAnsi="Arial" w:cs="Arial"/>
          <w:highlight w:val="yellow"/>
          <w:lang w:eastAsia="en-GB"/>
        </w:rPr>
      </w:pPr>
      <w:r w:rsidRPr="00013367">
        <w:rPr>
          <w:rFonts w:ascii="Arial" w:eastAsiaTheme="minorHAnsi" w:hAnsi="Arial" w:cs="Arial"/>
          <w:b/>
        </w:rPr>
        <w:lastRenderedPageBreak/>
        <w:t>Actions and milestones to deliver on the commitment in the DHB’s Annual Plan to implement the Healthy Ageing Strategy as set out below:</w:t>
      </w:r>
      <w:r>
        <w:rPr>
          <w:rFonts w:ascii="Arial" w:eastAsiaTheme="minorHAnsi" w:hAnsi="Arial" w:cs="Arial"/>
          <w:b/>
        </w:rPr>
        <w:t xml:space="preserve"> </w:t>
      </w:r>
    </w:p>
    <w:p w14:paraId="709C3918" w14:textId="77777777" w:rsidR="008871A4" w:rsidRPr="00013367" w:rsidRDefault="008871A4" w:rsidP="008871A4">
      <w:pPr>
        <w:autoSpaceDE w:val="0"/>
        <w:autoSpaceDN w:val="0"/>
        <w:adjustRightInd w:val="0"/>
        <w:spacing w:before="120" w:after="120"/>
        <w:ind w:left="284"/>
        <w:jc w:val="both"/>
        <w:rPr>
          <w:rFonts w:ascii="Arial" w:eastAsiaTheme="minorHAnsi" w:hAnsi="Arial" w:cs="Arial"/>
          <w:b/>
        </w:rPr>
      </w:pPr>
      <w:r w:rsidRPr="00284AA8">
        <w:rPr>
          <w:rFonts w:ascii="Arial" w:hAnsi="Arial" w:cs="Arial"/>
          <w:lang w:eastAsia="en-GB"/>
        </w:rPr>
        <w:t>Note – where you are reporting on actions here that are also in the annual plan actions status updates, a separate report is not required in the annual plan status update.</w:t>
      </w:r>
      <w:r>
        <w:rPr>
          <w:rFonts w:ascii="Arial" w:hAnsi="Arial" w:cs="Arial"/>
          <w:lang w:eastAsia="en-GB"/>
        </w:rPr>
        <w:t xml:space="preserve"> </w:t>
      </w:r>
    </w:p>
    <w:p w14:paraId="34473AE4" w14:textId="77777777" w:rsidR="008871A4" w:rsidRPr="00013367" w:rsidRDefault="008871A4" w:rsidP="008871A4">
      <w:pPr>
        <w:autoSpaceDE w:val="0"/>
        <w:autoSpaceDN w:val="0"/>
        <w:adjustRightInd w:val="0"/>
        <w:spacing w:before="120" w:after="120"/>
        <w:ind w:left="284"/>
        <w:jc w:val="both"/>
        <w:rPr>
          <w:rFonts w:ascii="Arial" w:hAnsi="Arial" w:cs="Arial"/>
          <w:sz w:val="10"/>
          <w:lang w:eastAsia="en-GB"/>
        </w:rPr>
      </w:pPr>
    </w:p>
    <w:tbl>
      <w:tblPr>
        <w:tblStyle w:val="TableGrid"/>
        <w:tblW w:w="9434" w:type="dxa"/>
        <w:tblInd w:w="-5" w:type="dxa"/>
        <w:tblLook w:val="04A0" w:firstRow="1" w:lastRow="0" w:firstColumn="1" w:lastColumn="0" w:noHBand="0" w:noVBand="1"/>
      </w:tblPr>
      <w:tblGrid>
        <w:gridCol w:w="9434"/>
      </w:tblGrid>
      <w:tr w:rsidR="008871A4" w:rsidRPr="00013367" w14:paraId="421B80D9" w14:textId="77777777" w:rsidTr="0024368A">
        <w:trPr>
          <w:trHeight w:val="2048"/>
        </w:trPr>
        <w:tc>
          <w:tcPr>
            <w:tcW w:w="9434" w:type="dxa"/>
          </w:tcPr>
          <w:p w14:paraId="2BAB0955" w14:textId="77777777" w:rsidR="008871A4" w:rsidRPr="00013367" w:rsidRDefault="008871A4" w:rsidP="0024368A">
            <w:pPr>
              <w:autoSpaceDE w:val="0"/>
              <w:autoSpaceDN w:val="0"/>
              <w:adjustRightInd w:val="0"/>
              <w:spacing w:before="60" w:after="60" w:line="240" w:lineRule="atLeast"/>
              <w:jc w:val="both"/>
              <w:rPr>
                <w:rFonts w:ascii="Arial" w:hAnsi="Arial" w:cs="Arial"/>
                <w:lang w:eastAsia="en-GB"/>
              </w:rPr>
            </w:pPr>
            <w:r w:rsidRPr="00013367">
              <w:rPr>
                <w:rFonts w:ascii="Arial" w:hAnsi="Arial" w:cs="Arial"/>
                <w:b/>
                <w:lang w:eastAsia="en-GB"/>
              </w:rPr>
              <w:t xml:space="preserve">1.a </w:t>
            </w:r>
            <w:r>
              <w:rPr>
                <w:rFonts w:ascii="Arial" w:hAnsi="Arial" w:cs="Arial"/>
                <w:b/>
                <w:lang w:eastAsia="en-GB"/>
              </w:rPr>
              <w:t>COVID-19</w:t>
            </w:r>
          </w:p>
          <w:p w14:paraId="5B91C6D0" w14:textId="77777777" w:rsidR="008871A4" w:rsidRPr="00013367" w:rsidRDefault="008871A4" w:rsidP="0024368A">
            <w:pPr>
              <w:autoSpaceDE w:val="0"/>
              <w:autoSpaceDN w:val="0"/>
              <w:adjustRightInd w:val="0"/>
              <w:spacing w:before="60" w:after="60" w:line="240" w:lineRule="atLeast"/>
              <w:jc w:val="both"/>
              <w:rPr>
                <w:rFonts w:ascii="Arial" w:hAnsi="Arial" w:cs="Arial"/>
                <w:sz w:val="20"/>
                <w:szCs w:val="20"/>
                <w:lang w:eastAsia="en-GB"/>
              </w:rPr>
            </w:pPr>
            <w:r w:rsidRPr="0077300C">
              <w:rPr>
                <w:rFonts w:ascii="Arial" w:hAnsi="Arial" w:cs="Arial"/>
                <w:i/>
                <w:sz w:val="20"/>
                <w:szCs w:val="20"/>
                <w:lang w:eastAsia="en-GB"/>
              </w:rPr>
              <w:t>This expectation aligns most closely to the Living Well with Long-Term Conditions goal of the Healthy Ageing Strategy</w:t>
            </w:r>
            <w:r>
              <w:rPr>
                <w:rFonts w:ascii="Arial" w:hAnsi="Arial" w:cs="Arial"/>
                <w:i/>
                <w:sz w:val="20"/>
                <w:szCs w:val="20"/>
                <w:lang w:eastAsia="en-GB"/>
              </w:rPr>
              <w:t>.</w:t>
            </w:r>
          </w:p>
          <w:p w14:paraId="0284F79A" w14:textId="58449933" w:rsidR="008871A4" w:rsidRPr="00013367" w:rsidRDefault="008871A4" w:rsidP="0024368A">
            <w:pPr>
              <w:autoSpaceDE w:val="0"/>
              <w:autoSpaceDN w:val="0"/>
              <w:adjustRightInd w:val="0"/>
              <w:spacing w:before="120" w:after="60" w:line="240" w:lineRule="atLeast"/>
              <w:ind w:left="595" w:hanging="567"/>
              <w:jc w:val="both"/>
              <w:rPr>
                <w:rFonts w:ascii="Arial" w:hAnsi="Arial" w:cs="Arial"/>
                <w:lang w:eastAsia="en-GB"/>
              </w:rPr>
            </w:pPr>
            <w:r w:rsidRPr="00013367">
              <w:rPr>
                <w:rFonts w:ascii="Arial" w:hAnsi="Arial" w:cs="Arial"/>
                <w:lang w:eastAsia="en-GB"/>
              </w:rPr>
              <w:t>•</w:t>
            </w:r>
            <w:r w:rsidRPr="00013367">
              <w:rPr>
                <w:rFonts w:ascii="Arial" w:hAnsi="Arial" w:cs="Arial"/>
                <w:lang w:eastAsia="en-GB"/>
              </w:rPr>
              <w:tab/>
            </w:r>
            <w:r w:rsidRPr="00B1529F">
              <w:rPr>
                <w:rFonts w:ascii="Arial" w:hAnsi="Arial" w:cs="Arial"/>
                <w:lang w:eastAsia="en-GB"/>
              </w:rPr>
              <w:t xml:space="preserve">Report on key actions to contribute to a national process to improve preparedness for a pandemic outbreak on services in the community for older people, </w:t>
            </w:r>
            <w:r w:rsidR="00EE7977" w:rsidRPr="00EE7977">
              <w:rPr>
                <w:rFonts w:ascii="Arial" w:hAnsi="Arial" w:cs="Arial"/>
                <w:lang w:eastAsia="en-GB"/>
              </w:rPr>
              <w:t xml:space="preserve">including people with dementia and their </w:t>
            </w:r>
            <w:proofErr w:type="spellStart"/>
            <w:r w:rsidR="00EE7977" w:rsidRPr="00EE7977">
              <w:rPr>
                <w:rFonts w:ascii="Arial" w:hAnsi="Arial" w:cs="Arial"/>
                <w:lang w:eastAsia="en-GB"/>
              </w:rPr>
              <w:t>carers</w:t>
            </w:r>
            <w:proofErr w:type="spellEnd"/>
            <w:r w:rsidR="00EE7977" w:rsidRPr="00EE7977">
              <w:rPr>
                <w:rFonts w:ascii="Arial" w:hAnsi="Arial" w:cs="Arial"/>
                <w:lang w:eastAsia="en-GB"/>
              </w:rPr>
              <w:t>,</w:t>
            </w:r>
            <w:r w:rsidR="00113F4D">
              <w:rPr>
                <w:rFonts w:ascii="Arial" w:hAnsi="Arial" w:cs="Arial"/>
                <w:lang w:eastAsia="en-GB"/>
              </w:rPr>
              <w:t xml:space="preserve"> </w:t>
            </w:r>
            <w:r w:rsidRPr="00B1529F">
              <w:rPr>
                <w:rFonts w:ascii="Arial" w:hAnsi="Arial" w:cs="Arial"/>
                <w:lang w:eastAsia="en-GB"/>
              </w:rPr>
              <w:t>using COVID-19 learnings</w:t>
            </w:r>
            <w:r>
              <w:rPr>
                <w:rFonts w:ascii="Arial" w:hAnsi="Arial" w:cs="Arial"/>
                <w:lang w:eastAsia="en-GB"/>
              </w:rPr>
              <w:t>.</w:t>
            </w:r>
          </w:p>
        </w:tc>
      </w:tr>
      <w:tr w:rsidR="008871A4" w:rsidRPr="00013367" w14:paraId="6624E310" w14:textId="77777777" w:rsidTr="0024368A">
        <w:trPr>
          <w:trHeight w:val="557"/>
        </w:trPr>
        <w:tc>
          <w:tcPr>
            <w:tcW w:w="9434" w:type="dxa"/>
          </w:tcPr>
          <w:p w14:paraId="342ADDA0" w14:textId="77777777" w:rsidR="008871A4" w:rsidRDefault="008871A4" w:rsidP="0024368A">
            <w:pPr>
              <w:autoSpaceDE w:val="0"/>
              <w:autoSpaceDN w:val="0"/>
              <w:adjustRightInd w:val="0"/>
              <w:spacing w:before="60" w:after="60" w:line="240" w:lineRule="atLeast"/>
              <w:jc w:val="both"/>
              <w:rPr>
                <w:rFonts w:ascii="Arial" w:hAnsi="Arial" w:cs="Arial"/>
                <w:b/>
                <w:lang w:eastAsia="en-GB"/>
              </w:rPr>
            </w:pPr>
            <w:r>
              <w:rPr>
                <w:rFonts w:ascii="Arial" w:hAnsi="Arial" w:cs="Arial"/>
                <w:b/>
                <w:lang w:eastAsia="en-GB"/>
              </w:rPr>
              <w:t>1.b Emerging Frailty</w:t>
            </w:r>
          </w:p>
          <w:p w14:paraId="6B8516F8" w14:textId="77777777" w:rsidR="008871A4" w:rsidRPr="00B1529F" w:rsidRDefault="008871A4" w:rsidP="0024368A">
            <w:pPr>
              <w:autoSpaceDE w:val="0"/>
              <w:autoSpaceDN w:val="0"/>
              <w:adjustRightInd w:val="0"/>
              <w:spacing w:before="60" w:after="60" w:line="240" w:lineRule="atLeast"/>
              <w:jc w:val="both"/>
              <w:rPr>
                <w:rFonts w:ascii="Arial" w:hAnsi="Arial" w:cs="Arial"/>
                <w:i/>
                <w:sz w:val="20"/>
                <w:szCs w:val="20"/>
                <w:lang w:eastAsia="en-GB"/>
              </w:rPr>
            </w:pPr>
            <w:r w:rsidRPr="0077300C">
              <w:rPr>
                <w:rFonts w:ascii="Arial" w:hAnsi="Arial" w:cs="Arial"/>
                <w:i/>
                <w:sz w:val="20"/>
                <w:szCs w:val="20"/>
                <w:lang w:eastAsia="en-GB"/>
              </w:rPr>
              <w:t>This expectation aligns most closely to the Ageing Well and Acute and Restorative Care goals of the Healthy Ageing Strategy</w:t>
            </w:r>
            <w:r>
              <w:rPr>
                <w:rFonts w:ascii="Arial" w:hAnsi="Arial" w:cs="Arial"/>
                <w:i/>
                <w:sz w:val="20"/>
                <w:szCs w:val="20"/>
                <w:lang w:eastAsia="en-GB"/>
              </w:rPr>
              <w:t>.</w:t>
            </w:r>
          </w:p>
          <w:p w14:paraId="6BCF0BBF" w14:textId="77777777" w:rsidR="008871A4" w:rsidRDefault="008871A4" w:rsidP="0024368A">
            <w:pPr>
              <w:autoSpaceDE w:val="0"/>
              <w:autoSpaceDN w:val="0"/>
              <w:adjustRightInd w:val="0"/>
              <w:spacing w:before="120" w:after="60" w:line="240" w:lineRule="atLeast"/>
              <w:ind w:left="595" w:hanging="595"/>
              <w:jc w:val="both"/>
              <w:rPr>
                <w:rFonts w:ascii="Arial" w:hAnsi="Arial" w:cs="Arial"/>
                <w:lang w:eastAsia="en-GB"/>
              </w:rPr>
            </w:pPr>
            <w:r w:rsidRPr="00BA7F0D">
              <w:rPr>
                <w:rFonts w:ascii="Arial" w:eastAsiaTheme="minorHAnsi" w:hAnsi="Arial" w:cs="Arial"/>
              </w:rPr>
              <w:t>•</w:t>
            </w:r>
            <w:r w:rsidRPr="00BA7F0D">
              <w:rPr>
                <w:rFonts w:ascii="Arial" w:eastAsiaTheme="minorHAnsi" w:hAnsi="Arial" w:cs="Arial"/>
              </w:rPr>
              <w:tab/>
            </w:r>
            <w:r w:rsidRPr="00B1529F">
              <w:rPr>
                <w:rFonts w:ascii="Arial" w:eastAsiaTheme="minorHAnsi" w:hAnsi="Arial" w:cs="Arial"/>
              </w:rPr>
              <w:t>Report on key actions in community and primary care settings to improve the    identification</w:t>
            </w:r>
            <w:r>
              <w:rPr>
                <w:rFonts w:ascii="Arial" w:eastAsiaTheme="minorHAnsi" w:hAnsi="Arial" w:cs="Arial"/>
              </w:rPr>
              <w:t xml:space="preserve"> </w:t>
            </w:r>
            <w:r w:rsidRPr="00B1529F">
              <w:rPr>
                <w:rFonts w:ascii="Arial" w:eastAsiaTheme="minorHAnsi" w:hAnsi="Arial" w:cs="Arial"/>
              </w:rPr>
              <w:t>of factors associated with early signs of emerging frailty, with a focus on Māori</w:t>
            </w:r>
            <w:r>
              <w:rPr>
                <w:rStyle w:val="FootnoteReference"/>
                <w:rFonts w:ascii="Arial" w:eastAsiaTheme="minorHAnsi" w:hAnsi="Arial" w:cs="Arial"/>
              </w:rPr>
              <w:footnoteReference w:id="14"/>
            </w:r>
            <w:r w:rsidRPr="00B1529F">
              <w:rPr>
                <w:rFonts w:ascii="Arial" w:eastAsiaTheme="minorHAnsi" w:hAnsi="Arial" w:cs="Arial"/>
              </w:rPr>
              <w:t xml:space="preserve"> and Pacific</w:t>
            </w:r>
            <w:r>
              <w:rPr>
                <w:rStyle w:val="FootnoteReference"/>
                <w:rFonts w:ascii="Arial" w:eastAsiaTheme="minorHAnsi" w:hAnsi="Arial" w:cs="Arial"/>
              </w:rPr>
              <w:footnoteReference w:id="15"/>
            </w:r>
            <w:r w:rsidRPr="00B1529F">
              <w:rPr>
                <w:rFonts w:ascii="Arial" w:eastAsiaTheme="minorHAnsi" w:hAnsi="Arial" w:cs="Arial"/>
              </w:rPr>
              <w:t xml:space="preserve"> peoples; and put interventions</w:t>
            </w:r>
            <w:r w:rsidRPr="00B1529F">
              <w:rPr>
                <w:rFonts w:ascii="Arial" w:hAnsi="Arial" w:cs="Arial"/>
                <w:lang w:eastAsia="en-GB"/>
              </w:rPr>
              <w:t xml:space="preserve"> in place to retain and restore the function of older people</w:t>
            </w:r>
            <w:r>
              <w:rPr>
                <w:rFonts w:ascii="Arial" w:hAnsi="Arial" w:cs="Arial"/>
                <w:lang w:eastAsia="en-GB"/>
              </w:rPr>
              <w:t>.</w:t>
            </w:r>
          </w:p>
          <w:p w14:paraId="01028EB5" w14:textId="77777777" w:rsidR="008871A4" w:rsidRPr="00013367" w:rsidRDefault="008871A4" w:rsidP="0024368A">
            <w:pPr>
              <w:autoSpaceDE w:val="0"/>
              <w:autoSpaceDN w:val="0"/>
              <w:adjustRightInd w:val="0"/>
              <w:spacing w:before="120" w:after="60" w:line="240" w:lineRule="atLeast"/>
              <w:ind w:left="595" w:hanging="277"/>
              <w:jc w:val="both"/>
              <w:rPr>
                <w:rFonts w:ascii="Arial" w:hAnsi="Arial" w:cs="Arial"/>
                <w:lang w:eastAsia="en-GB"/>
              </w:rPr>
            </w:pPr>
            <w:r w:rsidRPr="00013367">
              <w:rPr>
                <w:rFonts w:ascii="Arial" w:hAnsi="Arial" w:cs="Arial"/>
                <w:lang w:eastAsia="en-GB"/>
              </w:rPr>
              <w:t>•</w:t>
            </w:r>
            <w:r w:rsidRPr="00013367">
              <w:rPr>
                <w:rFonts w:ascii="Arial" w:hAnsi="Arial" w:cs="Arial"/>
                <w:lang w:eastAsia="en-GB"/>
              </w:rPr>
              <w:tab/>
              <w:t xml:space="preserve">Report on local and regional activity to use falls data to improve system outcomes as per the </w:t>
            </w:r>
            <w:r w:rsidRPr="0005554E">
              <w:rPr>
                <w:rFonts w:ascii="Arial" w:hAnsi="Arial" w:cs="Arial"/>
                <w:b/>
                <w:bCs/>
                <w:lang w:eastAsia="en-GB"/>
              </w:rPr>
              <w:t>“Live Stronger for Longer”</w:t>
            </w:r>
            <w:r w:rsidRPr="00013367">
              <w:rPr>
                <w:rFonts w:ascii="Arial" w:hAnsi="Arial" w:cs="Arial"/>
                <w:lang w:eastAsia="en-GB"/>
              </w:rPr>
              <w:t xml:space="preserve"> Outcome Framework</w:t>
            </w:r>
            <w:r>
              <w:rPr>
                <w:rFonts w:ascii="Arial" w:hAnsi="Arial" w:cs="Arial"/>
                <w:lang w:eastAsia="en-GB"/>
              </w:rPr>
              <w:t>.</w:t>
            </w:r>
          </w:p>
          <w:p w14:paraId="5A297405" w14:textId="77777777" w:rsidR="008871A4" w:rsidRDefault="008871A4" w:rsidP="0024368A">
            <w:pPr>
              <w:autoSpaceDE w:val="0"/>
              <w:autoSpaceDN w:val="0"/>
              <w:adjustRightInd w:val="0"/>
              <w:spacing w:before="120" w:after="60" w:line="240" w:lineRule="atLeast"/>
              <w:ind w:left="595" w:hanging="277"/>
              <w:jc w:val="both"/>
              <w:rPr>
                <w:rFonts w:ascii="Arial" w:hAnsi="Arial" w:cs="Arial"/>
                <w:lang w:eastAsia="en-GB"/>
              </w:rPr>
            </w:pPr>
            <w:r w:rsidRPr="00013367">
              <w:rPr>
                <w:rFonts w:ascii="Arial" w:hAnsi="Arial" w:cs="Arial"/>
                <w:lang w:eastAsia="en-GB"/>
              </w:rPr>
              <w:t>•</w:t>
            </w:r>
            <w:r w:rsidRPr="00013367">
              <w:rPr>
                <w:rFonts w:ascii="Arial" w:hAnsi="Arial" w:cs="Arial"/>
                <w:lang w:eastAsia="en-GB"/>
              </w:rPr>
              <w:tab/>
              <w:t>Report on activity to promote and increase programme enrolment</w:t>
            </w:r>
            <w:r>
              <w:rPr>
                <w:rFonts w:ascii="Arial" w:hAnsi="Arial" w:cs="Arial"/>
                <w:lang w:eastAsia="en-GB"/>
              </w:rPr>
              <w:t>.</w:t>
            </w:r>
          </w:p>
          <w:p w14:paraId="0354BB7D" w14:textId="77777777" w:rsidR="008871A4" w:rsidRPr="00013367" w:rsidRDefault="008871A4" w:rsidP="0024368A">
            <w:pPr>
              <w:autoSpaceDE w:val="0"/>
              <w:autoSpaceDN w:val="0"/>
              <w:adjustRightInd w:val="0"/>
              <w:spacing w:before="120" w:after="60" w:line="240" w:lineRule="atLeast"/>
              <w:ind w:left="595" w:hanging="595"/>
              <w:jc w:val="both"/>
              <w:rPr>
                <w:rFonts w:ascii="Arial" w:hAnsi="Arial" w:cs="Arial"/>
                <w:lang w:eastAsia="en-GB"/>
              </w:rPr>
            </w:pPr>
            <w:r w:rsidRPr="002300E8">
              <w:rPr>
                <w:rFonts w:ascii="Arial" w:hAnsi="Arial" w:cs="Arial"/>
                <w:lang w:eastAsia="en-GB"/>
              </w:rPr>
              <w:t>Using the reporting template provided:</w:t>
            </w:r>
          </w:p>
          <w:p w14:paraId="64A956EA" w14:textId="77777777" w:rsidR="008871A4" w:rsidRPr="00013367" w:rsidRDefault="008871A4" w:rsidP="008871A4">
            <w:pPr>
              <w:numPr>
                <w:ilvl w:val="0"/>
                <w:numId w:val="61"/>
              </w:numPr>
              <w:autoSpaceDE w:val="0"/>
              <w:autoSpaceDN w:val="0"/>
              <w:adjustRightInd w:val="0"/>
              <w:spacing w:before="120" w:after="60" w:line="240" w:lineRule="atLeast"/>
              <w:ind w:left="601" w:hanging="277"/>
              <w:contextualSpacing/>
              <w:jc w:val="both"/>
              <w:rPr>
                <w:lang w:eastAsia="en-GB"/>
              </w:rPr>
            </w:pPr>
            <w:r w:rsidRPr="00013367">
              <w:rPr>
                <w:rFonts w:ascii="Arial" w:hAnsi="Arial" w:cs="Arial"/>
                <w:lang w:eastAsia="en-GB"/>
              </w:rPr>
              <w:t>Report on practical (and concrete) steps taken to improve processes to capture falls data/information at the point of entry to hospital with the aim to accurately assessing fall related injuries and putting preventative actions in place.</w:t>
            </w:r>
          </w:p>
          <w:p w14:paraId="4F784B2A" w14:textId="77777777" w:rsidR="008871A4" w:rsidRDefault="008871A4" w:rsidP="0024368A">
            <w:pPr>
              <w:autoSpaceDE w:val="0"/>
              <w:autoSpaceDN w:val="0"/>
              <w:adjustRightInd w:val="0"/>
              <w:spacing w:before="120" w:after="60" w:line="240" w:lineRule="atLeast"/>
              <w:ind w:left="595" w:hanging="595"/>
              <w:jc w:val="both"/>
              <w:rPr>
                <w:rFonts w:ascii="Arial" w:hAnsi="Arial" w:cs="Arial"/>
                <w:lang w:eastAsia="en-GB"/>
              </w:rPr>
            </w:pPr>
            <w:r w:rsidRPr="00013367">
              <w:rPr>
                <w:rFonts w:ascii="Arial" w:hAnsi="Arial" w:cs="Arial"/>
                <w:lang w:eastAsia="en-GB"/>
              </w:rPr>
              <w:t>Report the number of older people (65 and over, or younger if identified as a falls risk) that have received these services:</w:t>
            </w:r>
          </w:p>
          <w:p w14:paraId="54E87A46" w14:textId="77777777" w:rsidR="008871A4" w:rsidRPr="00013367" w:rsidRDefault="008871A4" w:rsidP="008871A4">
            <w:pPr>
              <w:numPr>
                <w:ilvl w:val="0"/>
                <w:numId w:val="57"/>
              </w:numPr>
              <w:autoSpaceDE w:val="0"/>
              <w:autoSpaceDN w:val="0"/>
              <w:adjustRightInd w:val="0"/>
              <w:spacing w:before="120" w:after="60" w:line="240" w:lineRule="atLeast"/>
              <w:contextualSpacing/>
              <w:jc w:val="both"/>
              <w:rPr>
                <w:rFonts w:ascii="Arial" w:eastAsiaTheme="minorHAnsi" w:hAnsi="Arial" w:cs="Arial"/>
              </w:rPr>
            </w:pPr>
            <w:r w:rsidRPr="00013367">
              <w:rPr>
                <w:rFonts w:ascii="Arial" w:eastAsiaTheme="minorHAnsi" w:hAnsi="Arial" w:cs="Arial"/>
              </w:rPr>
              <w:t>in-home strength and balance programmes (new starters)</w:t>
            </w:r>
          </w:p>
          <w:p w14:paraId="75A7BE78" w14:textId="77777777" w:rsidR="008871A4" w:rsidRDefault="008871A4" w:rsidP="008871A4">
            <w:pPr>
              <w:numPr>
                <w:ilvl w:val="0"/>
                <w:numId w:val="57"/>
              </w:numPr>
              <w:autoSpaceDE w:val="0"/>
              <w:autoSpaceDN w:val="0"/>
              <w:adjustRightInd w:val="0"/>
              <w:spacing w:before="120" w:after="60" w:line="240" w:lineRule="atLeast"/>
              <w:contextualSpacing/>
              <w:jc w:val="both"/>
              <w:rPr>
                <w:rFonts w:ascii="Arial" w:eastAsiaTheme="minorHAnsi" w:hAnsi="Arial" w:cs="Arial"/>
              </w:rPr>
            </w:pPr>
            <w:r>
              <w:rPr>
                <w:rFonts w:ascii="Arial" w:eastAsiaTheme="minorHAnsi" w:hAnsi="Arial" w:cs="Arial"/>
              </w:rPr>
              <w:t>c</w:t>
            </w:r>
            <w:r w:rsidRPr="00013367">
              <w:rPr>
                <w:rFonts w:ascii="Arial" w:eastAsiaTheme="minorHAnsi" w:hAnsi="Arial" w:cs="Arial"/>
              </w:rPr>
              <w:t>ommunity/group strength and balance programmes</w:t>
            </w:r>
          </w:p>
          <w:p w14:paraId="3F430924" w14:textId="77777777" w:rsidR="008871A4" w:rsidRDefault="008871A4" w:rsidP="0024368A">
            <w:pPr>
              <w:autoSpaceDE w:val="0"/>
              <w:autoSpaceDN w:val="0"/>
              <w:adjustRightInd w:val="0"/>
              <w:spacing w:before="120" w:after="60" w:line="240" w:lineRule="atLeast"/>
              <w:contextualSpacing/>
              <w:jc w:val="both"/>
              <w:rPr>
                <w:rFonts w:ascii="Arial" w:eastAsiaTheme="minorHAnsi" w:hAnsi="Arial" w:cs="Arial"/>
              </w:rPr>
            </w:pPr>
            <w:r w:rsidRPr="00113A92">
              <w:rPr>
                <w:rFonts w:ascii="Arial" w:eastAsiaTheme="minorHAnsi" w:hAnsi="Arial" w:cs="Arial"/>
              </w:rPr>
              <w:t xml:space="preserve">Report the number of people (50 years or over) </w:t>
            </w:r>
            <w:r>
              <w:rPr>
                <w:rFonts w:ascii="Arial" w:eastAsiaTheme="minorHAnsi" w:hAnsi="Arial" w:cs="Arial"/>
              </w:rPr>
              <w:t>who have</w:t>
            </w:r>
          </w:p>
          <w:p w14:paraId="09C27430" w14:textId="77777777" w:rsidR="008871A4" w:rsidRPr="00013367" w:rsidRDefault="008871A4" w:rsidP="008871A4">
            <w:pPr>
              <w:numPr>
                <w:ilvl w:val="0"/>
                <w:numId w:val="57"/>
              </w:numPr>
              <w:autoSpaceDE w:val="0"/>
              <w:autoSpaceDN w:val="0"/>
              <w:adjustRightInd w:val="0"/>
              <w:spacing w:before="120" w:after="60" w:line="240" w:lineRule="atLeast"/>
              <w:contextualSpacing/>
              <w:jc w:val="both"/>
              <w:rPr>
                <w:rFonts w:ascii="Arial" w:eastAsiaTheme="minorHAnsi" w:hAnsi="Arial" w:cs="Arial"/>
              </w:rPr>
            </w:pPr>
            <w:r w:rsidRPr="00113A92">
              <w:rPr>
                <w:rFonts w:ascii="Arial" w:eastAsiaTheme="minorHAnsi" w:hAnsi="Arial" w:cs="Arial"/>
              </w:rPr>
              <w:t xml:space="preserve">received a </w:t>
            </w:r>
            <w:r>
              <w:rPr>
                <w:rFonts w:ascii="Arial" w:eastAsiaTheme="minorHAnsi" w:hAnsi="Arial" w:cs="Arial"/>
              </w:rPr>
              <w:t>DEXA scan</w:t>
            </w:r>
            <w:r w:rsidRPr="00113A92">
              <w:rPr>
                <w:rFonts w:ascii="Arial" w:eastAsiaTheme="minorHAnsi" w:hAnsi="Arial" w:cs="Arial"/>
              </w:rPr>
              <w:t xml:space="preserve"> following identification of a fragility fracture</w:t>
            </w:r>
          </w:p>
          <w:p w14:paraId="03EFFB35" w14:textId="77777777" w:rsidR="008871A4" w:rsidRDefault="008871A4" w:rsidP="008871A4">
            <w:pPr>
              <w:numPr>
                <w:ilvl w:val="0"/>
                <w:numId w:val="57"/>
              </w:numPr>
              <w:autoSpaceDE w:val="0"/>
              <w:autoSpaceDN w:val="0"/>
              <w:adjustRightInd w:val="0"/>
              <w:spacing w:before="120" w:after="60" w:line="240" w:lineRule="atLeast"/>
              <w:contextualSpacing/>
              <w:jc w:val="both"/>
              <w:rPr>
                <w:rFonts w:ascii="Arial" w:eastAsiaTheme="minorHAnsi" w:hAnsi="Arial" w:cs="Arial"/>
              </w:rPr>
            </w:pPr>
            <w:r w:rsidRPr="00113A92">
              <w:rPr>
                <w:rFonts w:ascii="Arial" w:eastAsiaTheme="minorHAnsi" w:hAnsi="Arial" w:cs="Arial"/>
              </w:rPr>
              <w:t>received an infusion of IV Zoledronic acid following identification of a fragility fracture</w:t>
            </w:r>
          </w:p>
          <w:p w14:paraId="2884C259" w14:textId="77777777" w:rsidR="008871A4" w:rsidRDefault="008871A4" w:rsidP="008871A4">
            <w:pPr>
              <w:numPr>
                <w:ilvl w:val="0"/>
                <w:numId w:val="57"/>
              </w:numPr>
              <w:autoSpaceDE w:val="0"/>
              <w:autoSpaceDN w:val="0"/>
              <w:adjustRightInd w:val="0"/>
              <w:spacing w:before="120" w:after="60" w:line="240" w:lineRule="atLeast"/>
              <w:contextualSpacing/>
              <w:jc w:val="both"/>
              <w:rPr>
                <w:rFonts w:ascii="Arial" w:eastAsiaTheme="minorHAnsi" w:hAnsi="Arial" w:cs="Arial"/>
              </w:rPr>
            </w:pPr>
            <w:r>
              <w:rPr>
                <w:rFonts w:ascii="Arial" w:eastAsiaTheme="minorHAnsi" w:hAnsi="Arial" w:cs="Arial"/>
              </w:rPr>
              <w:t>s</w:t>
            </w:r>
            <w:r w:rsidRPr="00013367">
              <w:rPr>
                <w:rFonts w:ascii="Arial" w:eastAsiaTheme="minorHAnsi" w:hAnsi="Arial" w:cs="Arial"/>
              </w:rPr>
              <w:t>een by the fracture liaison service or similar fracture prevention service</w:t>
            </w:r>
            <w:r>
              <w:rPr>
                <w:rFonts w:ascii="Arial" w:eastAsiaTheme="minorHAnsi" w:hAnsi="Arial" w:cs="Arial"/>
              </w:rPr>
              <w:t>.</w:t>
            </w:r>
          </w:p>
          <w:p w14:paraId="08209C9D" w14:textId="77777777" w:rsidR="008871A4" w:rsidRPr="00113A92" w:rsidRDefault="008871A4" w:rsidP="0024368A">
            <w:pPr>
              <w:autoSpaceDE w:val="0"/>
              <w:autoSpaceDN w:val="0"/>
              <w:adjustRightInd w:val="0"/>
              <w:spacing w:before="120" w:after="60" w:line="240" w:lineRule="atLeast"/>
              <w:ind w:left="1287"/>
              <w:contextualSpacing/>
              <w:jc w:val="both"/>
              <w:rPr>
                <w:rFonts w:ascii="Arial" w:eastAsiaTheme="minorHAnsi" w:hAnsi="Arial" w:cs="Arial"/>
              </w:rPr>
            </w:pPr>
          </w:p>
        </w:tc>
      </w:tr>
      <w:tr w:rsidR="008871A4" w:rsidRPr="00013367" w14:paraId="062C81AE" w14:textId="77777777" w:rsidTr="0024368A">
        <w:trPr>
          <w:trHeight w:val="2264"/>
        </w:trPr>
        <w:tc>
          <w:tcPr>
            <w:tcW w:w="9434" w:type="dxa"/>
          </w:tcPr>
          <w:p w14:paraId="3027C736" w14:textId="77777777" w:rsidR="008871A4" w:rsidRDefault="008871A4" w:rsidP="0024368A">
            <w:pPr>
              <w:autoSpaceDE w:val="0"/>
              <w:autoSpaceDN w:val="0"/>
              <w:spacing w:before="60" w:after="60" w:line="240" w:lineRule="atLeast"/>
              <w:jc w:val="both"/>
              <w:rPr>
                <w:rFonts w:ascii="Arial" w:hAnsi="Arial" w:cs="Arial"/>
                <w:b/>
                <w:bCs/>
                <w:sz w:val="22"/>
                <w:szCs w:val="22"/>
              </w:rPr>
            </w:pPr>
            <w:r>
              <w:rPr>
                <w:rFonts w:ascii="Arial" w:hAnsi="Arial" w:cs="Arial"/>
                <w:b/>
                <w:bCs/>
              </w:rPr>
              <w:lastRenderedPageBreak/>
              <w:t>1.c Dementia Services</w:t>
            </w:r>
          </w:p>
          <w:p w14:paraId="011239C3" w14:textId="77777777" w:rsidR="008871A4" w:rsidRDefault="008871A4" w:rsidP="0024368A">
            <w:pPr>
              <w:autoSpaceDE w:val="0"/>
              <w:autoSpaceDN w:val="0"/>
              <w:spacing w:before="60" w:after="60" w:line="240" w:lineRule="atLeast"/>
              <w:jc w:val="both"/>
              <w:rPr>
                <w:rFonts w:ascii="Arial" w:hAnsi="Arial" w:cs="Arial"/>
                <w:i/>
                <w:iCs/>
                <w:sz w:val="20"/>
                <w:szCs w:val="20"/>
                <w:lang w:eastAsia="en-GB"/>
              </w:rPr>
            </w:pPr>
            <w:r w:rsidRPr="0077300C">
              <w:rPr>
                <w:rFonts w:ascii="Arial" w:hAnsi="Arial" w:cs="Arial"/>
                <w:i/>
                <w:iCs/>
                <w:sz w:val="20"/>
                <w:szCs w:val="20"/>
                <w:lang w:eastAsia="en-GB"/>
              </w:rPr>
              <w:t>This expectation aligns most closely to the Living Well with Long-Term Conditions goals of the Healthy Ageing Strategy.</w:t>
            </w:r>
          </w:p>
          <w:p w14:paraId="333EAAD5" w14:textId="77777777" w:rsidR="008871A4" w:rsidRPr="00EE4253" w:rsidRDefault="008871A4" w:rsidP="0024368A">
            <w:pPr>
              <w:autoSpaceDE w:val="0"/>
              <w:autoSpaceDN w:val="0"/>
              <w:adjustRightInd w:val="0"/>
              <w:spacing w:before="60" w:after="60" w:line="240" w:lineRule="atLeast"/>
              <w:ind w:left="596" w:hanging="596"/>
              <w:jc w:val="both"/>
              <w:rPr>
                <w:rFonts w:ascii="Arial" w:hAnsi="Arial" w:cs="Arial"/>
                <w:lang w:eastAsia="en-GB"/>
              </w:rPr>
            </w:pPr>
            <w:r w:rsidRPr="00013367">
              <w:rPr>
                <w:rFonts w:ascii="Arial" w:hAnsi="Arial" w:cs="Arial"/>
                <w:lang w:eastAsia="en-GB"/>
              </w:rPr>
              <w:t>•</w:t>
            </w:r>
            <w:r w:rsidRPr="00013367">
              <w:rPr>
                <w:rFonts w:ascii="Arial" w:hAnsi="Arial" w:cs="Arial"/>
                <w:lang w:eastAsia="en-GB"/>
              </w:rPr>
              <w:tab/>
            </w:r>
            <w:r w:rsidRPr="008F7800">
              <w:rPr>
                <w:rFonts w:ascii="Arial" w:hAnsi="Arial" w:cs="Arial"/>
                <w:lang w:eastAsia="en-GB"/>
              </w:rPr>
              <w:t xml:space="preserve">Report on </w:t>
            </w:r>
            <w:r>
              <w:rPr>
                <w:rFonts w:ascii="Arial" w:hAnsi="Arial" w:cs="Arial"/>
              </w:rPr>
              <w:t>actions to implement key priorities for dementia services</w:t>
            </w:r>
            <w:r w:rsidRPr="00EE4253">
              <w:rPr>
                <w:rFonts w:ascii="Arial" w:hAnsi="Arial" w:cs="Arial"/>
              </w:rPr>
              <w:t>,</w:t>
            </w:r>
            <w:r>
              <w:rPr>
                <w:rFonts w:ascii="Arial" w:hAnsi="Arial" w:cs="Arial"/>
              </w:rPr>
              <w:t xml:space="preserve"> </w:t>
            </w:r>
            <w:r w:rsidRPr="000350C2">
              <w:rPr>
                <w:rFonts w:ascii="Arial" w:hAnsi="Arial" w:cs="Arial"/>
              </w:rPr>
              <w:t xml:space="preserve">including regional priorities that your DHB contributes to, </w:t>
            </w:r>
            <w:r w:rsidRPr="008E185B">
              <w:rPr>
                <w:rFonts w:ascii="Arial" w:hAnsi="Arial" w:cs="Arial"/>
              </w:rPr>
              <w:t xml:space="preserve">that progress the New Zealand Framework for Dementia Care </w:t>
            </w:r>
            <w:r>
              <w:rPr>
                <w:rFonts w:ascii="Arial" w:hAnsi="Arial" w:cs="Arial"/>
              </w:rPr>
              <w:t>and the sector’s priorities in Improving Dementia Services in New Zealand – Dementia Action Plan 2020-2025</w:t>
            </w:r>
            <w:r w:rsidRPr="008F7800">
              <w:rPr>
                <w:rFonts w:ascii="Arial" w:hAnsi="Arial" w:cs="Arial"/>
                <w:lang w:eastAsia="en-GB"/>
              </w:rPr>
              <w:t>.</w:t>
            </w:r>
            <w:r>
              <w:rPr>
                <w:rFonts w:ascii="Arial" w:hAnsi="Arial" w:cs="Arial"/>
                <w:lang w:eastAsia="en-GB"/>
              </w:rPr>
              <w:t xml:space="preserve"> </w:t>
            </w:r>
          </w:p>
        </w:tc>
      </w:tr>
      <w:tr w:rsidR="008871A4" w:rsidRPr="00013367" w14:paraId="6E65C7BA" w14:textId="77777777" w:rsidTr="0024368A">
        <w:trPr>
          <w:trHeight w:val="3340"/>
        </w:trPr>
        <w:tc>
          <w:tcPr>
            <w:tcW w:w="9434" w:type="dxa"/>
          </w:tcPr>
          <w:p w14:paraId="74779616" w14:textId="77777777" w:rsidR="008871A4" w:rsidRDefault="008871A4" w:rsidP="0024368A">
            <w:pPr>
              <w:autoSpaceDE w:val="0"/>
              <w:autoSpaceDN w:val="0"/>
              <w:adjustRightInd w:val="0"/>
              <w:spacing w:before="60" w:after="60" w:line="240" w:lineRule="atLeast"/>
              <w:jc w:val="both"/>
              <w:rPr>
                <w:rFonts w:ascii="Arial" w:hAnsi="Arial" w:cs="Arial"/>
                <w:b/>
                <w:lang w:eastAsia="en-GB"/>
              </w:rPr>
            </w:pPr>
            <w:r w:rsidRPr="00013367">
              <w:rPr>
                <w:rFonts w:ascii="Arial" w:hAnsi="Arial" w:cs="Arial"/>
                <w:b/>
                <w:lang w:eastAsia="en-GB"/>
              </w:rPr>
              <w:t>1.</w:t>
            </w:r>
            <w:r>
              <w:rPr>
                <w:rFonts w:ascii="Arial" w:hAnsi="Arial" w:cs="Arial"/>
                <w:b/>
                <w:lang w:eastAsia="en-GB"/>
              </w:rPr>
              <w:t>d</w:t>
            </w:r>
            <w:r w:rsidRPr="00013367">
              <w:rPr>
                <w:rFonts w:ascii="Arial" w:hAnsi="Arial" w:cs="Arial"/>
                <w:b/>
                <w:lang w:eastAsia="en-GB"/>
              </w:rPr>
              <w:t xml:space="preserve"> Early</w:t>
            </w:r>
            <w:r>
              <w:rPr>
                <w:rFonts w:ascii="Arial" w:hAnsi="Arial" w:cs="Arial"/>
                <w:b/>
                <w:lang w:eastAsia="en-GB"/>
              </w:rPr>
              <w:t xml:space="preserve"> Supported Discharge</w:t>
            </w:r>
          </w:p>
          <w:p w14:paraId="2AC5B015" w14:textId="77777777" w:rsidR="008871A4" w:rsidRPr="00EE45D8" w:rsidRDefault="008871A4" w:rsidP="0024368A">
            <w:pPr>
              <w:autoSpaceDE w:val="0"/>
              <w:autoSpaceDN w:val="0"/>
              <w:adjustRightInd w:val="0"/>
              <w:spacing w:before="60" w:after="60" w:line="240" w:lineRule="atLeast"/>
              <w:jc w:val="both"/>
              <w:rPr>
                <w:rFonts w:ascii="Arial" w:eastAsiaTheme="minorHAnsi" w:hAnsi="Arial" w:cs="Arial"/>
              </w:rPr>
            </w:pPr>
            <w:r w:rsidRPr="0077300C">
              <w:rPr>
                <w:rFonts w:ascii="Arial" w:hAnsi="Arial" w:cs="Arial"/>
                <w:i/>
                <w:sz w:val="20"/>
                <w:szCs w:val="20"/>
                <w:lang w:eastAsia="en-GB"/>
              </w:rPr>
              <w:t>This expectation aligns most closely to Ageing Well and Acute and Restorative Care goals of the Healthy Ageing Strategy.</w:t>
            </w:r>
            <w:r w:rsidRPr="008F7800" w:rsidDel="00997B0F">
              <w:rPr>
                <w:rFonts w:ascii="Arial" w:hAnsi="Arial" w:cs="Arial"/>
                <w:i/>
                <w:sz w:val="20"/>
                <w:szCs w:val="20"/>
                <w:lang w:eastAsia="en-GB"/>
              </w:rPr>
              <w:t xml:space="preserve"> </w:t>
            </w:r>
          </w:p>
          <w:p w14:paraId="7D00EF04" w14:textId="77777777" w:rsidR="008871A4" w:rsidRDefault="008871A4" w:rsidP="0024368A">
            <w:pPr>
              <w:autoSpaceDE w:val="0"/>
              <w:autoSpaceDN w:val="0"/>
              <w:adjustRightInd w:val="0"/>
              <w:spacing w:before="60" w:after="60" w:line="240" w:lineRule="atLeast"/>
              <w:ind w:left="596" w:hanging="596"/>
              <w:jc w:val="both"/>
              <w:rPr>
                <w:rFonts w:ascii="Arial" w:hAnsi="Arial" w:cs="Arial"/>
                <w:lang w:eastAsia="en-GB"/>
              </w:rPr>
            </w:pPr>
            <w:r w:rsidRPr="00013367">
              <w:rPr>
                <w:rFonts w:ascii="Arial" w:hAnsi="Arial" w:cs="Arial"/>
                <w:lang w:eastAsia="en-GB"/>
              </w:rPr>
              <w:t>•</w:t>
            </w:r>
            <w:r w:rsidRPr="00013367">
              <w:rPr>
                <w:rFonts w:ascii="Arial" w:hAnsi="Arial" w:cs="Arial"/>
                <w:lang w:eastAsia="en-GB"/>
              </w:rPr>
              <w:tab/>
            </w:r>
            <w:r w:rsidRPr="008F7800">
              <w:rPr>
                <w:rFonts w:ascii="Arial" w:hAnsi="Arial" w:cs="Arial"/>
                <w:lang w:eastAsia="en-GB"/>
              </w:rPr>
              <w:t>Report on key activity to improve your early supported discharge services.</w:t>
            </w:r>
            <w:r>
              <w:rPr>
                <w:rFonts w:ascii="Arial" w:hAnsi="Arial" w:cs="Arial"/>
                <w:lang w:eastAsia="en-GB"/>
              </w:rPr>
              <w:t xml:space="preserve"> </w:t>
            </w:r>
          </w:p>
          <w:p w14:paraId="27DE610B" w14:textId="77777777" w:rsidR="008871A4" w:rsidRDefault="008871A4" w:rsidP="0024368A">
            <w:pPr>
              <w:autoSpaceDE w:val="0"/>
              <w:autoSpaceDN w:val="0"/>
              <w:adjustRightInd w:val="0"/>
              <w:spacing w:before="60" w:after="60" w:line="240" w:lineRule="atLeast"/>
              <w:ind w:left="596" w:hanging="596"/>
              <w:rPr>
                <w:rFonts w:ascii="Arial" w:hAnsi="Arial" w:cs="Arial"/>
                <w:lang w:eastAsia="en-GB"/>
              </w:rPr>
            </w:pPr>
            <w:r w:rsidRPr="00013367">
              <w:rPr>
                <w:rFonts w:ascii="Arial" w:hAnsi="Arial" w:cs="Arial"/>
                <w:lang w:eastAsia="en-GB"/>
              </w:rPr>
              <w:t>•</w:t>
            </w:r>
            <w:r>
              <w:rPr>
                <w:rFonts w:ascii="Arial" w:hAnsi="Arial" w:cs="Arial"/>
                <w:lang w:eastAsia="en-GB"/>
              </w:rPr>
              <w:t xml:space="preserve">        </w:t>
            </w:r>
            <w:r w:rsidRPr="008F7800">
              <w:rPr>
                <w:rFonts w:ascii="Arial" w:hAnsi="Arial" w:cs="Arial"/>
                <w:lang w:eastAsia="en-GB"/>
              </w:rPr>
              <w:t xml:space="preserve">Report on </w:t>
            </w:r>
            <w:r>
              <w:rPr>
                <w:rFonts w:ascii="Arial" w:hAnsi="Arial" w:cs="Arial"/>
                <w:lang w:eastAsia="en-GB"/>
              </w:rPr>
              <w:t xml:space="preserve">key activity </w:t>
            </w:r>
            <w:r w:rsidRPr="008F7800">
              <w:rPr>
                <w:rFonts w:ascii="Arial" w:hAnsi="Arial" w:cs="Arial"/>
                <w:lang w:eastAsia="en-GB"/>
              </w:rPr>
              <w:t xml:space="preserve">to deliver rehabilitation </w:t>
            </w:r>
            <w:r>
              <w:rPr>
                <w:rFonts w:ascii="Arial" w:hAnsi="Arial" w:cs="Arial"/>
                <w:lang w:eastAsia="en-GB"/>
              </w:rPr>
              <w:t xml:space="preserve">or care </w:t>
            </w:r>
            <w:r w:rsidRPr="008F7800">
              <w:rPr>
                <w:rFonts w:ascii="Arial" w:hAnsi="Arial" w:cs="Arial"/>
                <w:lang w:eastAsia="en-GB"/>
              </w:rPr>
              <w:t>services in the community for patients requiring an integrated response on discharge or to prevent an admission to hospital</w:t>
            </w:r>
            <w:r>
              <w:rPr>
                <w:rFonts w:ascii="Arial" w:hAnsi="Arial" w:cs="Arial"/>
                <w:lang w:eastAsia="en-GB"/>
              </w:rPr>
              <w:t xml:space="preserve">. </w:t>
            </w:r>
          </w:p>
          <w:p w14:paraId="193DAEC0" w14:textId="77777777" w:rsidR="008871A4" w:rsidRPr="00013367" w:rsidRDefault="008871A4" w:rsidP="0024368A">
            <w:pPr>
              <w:autoSpaceDE w:val="0"/>
              <w:autoSpaceDN w:val="0"/>
              <w:adjustRightInd w:val="0"/>
              <w:spacing w:before="60" w:after="60" w:line="240" w:lineRule="atLeast"/>
              <w:ind w:left="596" w:hanging="596"/>
              <w:jc w:val="both"/>
              <w:rPr>
                <w:rFonts w:ascii="Arial" w:hAnsi="Arial" w:cs="Arial"/>
                <w:lang w:eastAsia="en-GB"/>
              </w:rPr>
            </w:pPr>
            <w:r w:rsidRPr="00013367">
              <w:rPr>
                <w:rFonts w:ascii="Arial" w:hAnsi="Arial" w:cs="Arial"/>
                <w:lang w:eastAsia="en-GB"/>
              </w:rPr>
              <w:t>•</w:t>
            </w:r>
            <w:r>
              <w:rPr>
                <w:rFonts w:ascii="Arial" w:hAnsi="Arial" w:cs="Arial"/>
                <w:lang w:eastAsia="en-GB"/>
              </w:rPr>
              <w:t xml:space="preserve">      Report</w:t>
            </w:r>
            <w:r w:rsidRPr="000B1090">
              <w:rPr>
                <w:rFonts w:ascii="Arial" w:hAnsi="Arial" w:cs="Arial"/>
                <w:lang w:eastAsia="en-GB"/>
              </w:rPr>
              <w:t xml:space="preserve"> any challenges your DHB is having in establishing rehabilitation</w:t>
            </w:r>
            <w:r>
              <w:rPr>
                <w:rFonts w:ascii="Arial" w:hAnsi="Arial" w:cs="Arial"/>
                <w:lang w:eastAsia="en-GB"/>
              </w:rPr>
              <w:t xml:space="preserve"> or care</w:t>
            </w:r>
            <w:r w:rsidRPr="000B1090">
              <w:rPr>
                <w:rFonts w:ascii="Arial" w:hAnsi="Arial" w:cs="Arial"/>
                <w:lang w:eastAsia="en-GB"/>
              </w:rPr>
              <w:t xml:space="preserve"> services within the community and what approach your DHB is using to overcome these challenges</w:t>
            </w:r>
            <w:r>
              <w:rPr>
                <w:rFonts w:ascii="Arial" w:hAnsi="Arial" w:cs="Arial"/>
                <w:lang w:eastAsia="en-GB"/>
              </w:rPr>
              <w:t>.</w:t>
            </w:r>
          </w:p>
        </w:tc>
      </w:tr>
      <w:tr w:rsidR="008871A4" w:rsidRPr="00013367" w14:paraId="04D2369B" w14:textId="77777777" w:rsidTr="0024368A">
        <w:trPr>
          <w:trHeight w:val="2121"/>
        </w:trPr>
        <w:tc>
          <w:tcPr>
            <w:tcW w:w="9434" w:type="dxa"/>
          </w:tcPr>
          <w:p w14:paraId="51AC0B74" w14:textId="77777777" w:rsidR="008871A4" w:rsidRDefault="008871A4" w:rsidP="0024368A">
            <w:pPr>
              <w:autoSpaceDE w:val="0"/>
              <w:autoSpaceDN w:val="0"/>
              <w:adjustRightInd w:val="0"/>
              <w:spacing w:before="60" w:after="60" w:line="240" w:lineRule="atLeast"/>
              <w:jc w:val="both"/>
              <w:rPr>
                <w:rFonts w:ascii="Arial" w:hAnsi="Arial" w:cs="Arial"/>
                <w:b/>
                <w:lang w:eastAsia="en-GB"/>
              </w:rPr>
            </w:pPr>
            <w:r>
              <w:rPr>
                <w:rFonts w:ascii="Arial" w:hAnsi="Arial" w:cs="Arial"/>
                <w:b/>
                <w:lang w:eastAsia="en-GB"/>
              </w:rPr>
              <w:t>1.e DHB Identified Action</w:t>
            </w:r>
          </w:p>
          <w:p w14:paraId="504035BC" w14:textId="77777777" w:rsidR="008871A4" w:rsidRDefault="008871A4" w:rsidP="0024368A">
            <w:pPr>
              <w:autoSpaceDE w:val="0"/>
              <w:autoSpaceDN w:val="0"/>
              <w:adjustRightInd w:val="0"/>
              <w:spacing w:before="60" w:after="60" w:line="240" w:lineRule="atLeast"/>
              <w:ind w:left="596" w:hanging="596"/>
              <w:jc w:val="both"/>
              <w:rPr>
                <w:rFonts w:ascii="Arial" w:hAnsi="Arial" w:cs="Arial"/>
                <w:bCs/>
                <w:lang w:eastAsia="en-GB"/>
              </w:rPr>
            </w:pPr>
            <w:r w:rsidRPr="00013367">
              <w:rPr>
                <w:rFonts w:ascii="Arial" w:hAnsi="Arial" w:cs="Arial"/>
                <w:lang w:eastAsia="en-GB"/>
              </w:rPr>
              <w:t>•</w:t>
            </w:r>
            <w:r w:rsidRPr="00013367">
              <w:rPr>
                <w:rFonts w:ascii="Arial" w:hAnsi="Arial" w:cs="Arial"/>
                <w:lang w:eastAsia="en-GB"/>
              </w:rPr>
              <w:tab/>
            </w:r>
            <w:r w:rsidRPr="000B1090">
              <w:rPr>
                <w:rFonts w:ascii="Arial" w:hAnsi="Arial" w:cs="Arial"/>
                <w:bCs/>
                <w:lang w:eastAsia="en-GB"/>
              </w:rPr>
              <w:t>Report on progress during the quarter (in brief) to deliver on one (or more) DHB-identified action (not included above that may or may not be included in the DHB’s Annual Plan) that the DHB has prioritised locally to highlight implementation of the Healthy Ageing Strategy and expect to have the greatest impact on outcomes for older people locally. Older people should be included in service co-design, development and review and other decision-making processes.</w:t>
            </w:r>
          </w:p>
          <w:p w14:paraId="4A5A49E8" w14:textId="77777777" w:rsidR="008871A4" w:rsidRPr="000B1090" w:rsidRDefault="008871A4" w:rsidP="0024368A">
            <w:pPr>
              <w:autoSpaceDE w:val="0"/>
              <w:autoSpaceDN w:val="0"/>
              <w:adjustRightInd w:val="0"/>
              <w:spacing w:before="60" w:after="60" w:line="240" w:lineRule="atLeast"/>
              <w:ind w:left="596" w:hanging="596"/>
              <w:jc w:val="both"/>
              <w:rPr>
                <w:rFonts w:ascii="Arial" w:hAnsi="Arial" w:cs="Arial"/>
                <w:lang w:eastAsia="en-GB"/>
              </w:rPr>
            </w:pPr>
          </w:p>
        </w:tc>
      </w:tr>
    </w:tbl>
    <w:p w14:paraId="0F858C50" w14:textId="77777777" w:rsidR="008871A4" w:rsidRPr="00013367" w:rsidRDefault="008871A4" w:rsidP="008871A4">
      <w:pPr>
        <w:jc w:val="both"/>
        <w:rPr>
          <w:rFonts w:ascii="Arial" w:hAnsi="Arial" w:cs="Arial"/>
          <w:b/>
          <w:u w:val="single"/>
          <w:lang w:eastAsia="en-GB"/>
        </w:rPr>
      </w:pPr>
    </w:p>
    <w:p w14:paraId="0AA39BF8" w14:textId="77777777" w:rsidR="00552CF6" w:rsidRPr="00013367" w:rsidRDefault="00552CF6" w:rsidP="00552CF6">
      <w:pPr>
        <w:autoSpaceDE w:val="0"/>
        <w:autoSpaceDN w:val="0"/>
        <w:adjustRightInd w:val="0"/>
        <w:spacing w:before="120" w:after="120"/>
        <w:rPr>
          <w:rFonts w:ascii="Arial" w:hAnsi="Arial" w:cs="Arial"/>
          <w:lang w:eastAsia="en-GB"/>
        </w:rPr>
      </w:pPr>
    </w:p>
    <w:p w14:paraId="41A33B8E" w14:textId="7B695D14" w:rsidR="00552CF6" w:rsidRPr="00013367" w:rsidRDefault="00C2451A" w:rsidP="00552CF6">
      <w:pPr>
        <w:shd w:val="clear" w:color="auto" w:fill="FFFFFF"/>
        <w:jc w:val="both"/>
        <w:rPr>
          <w:rFonts w:ascii="Arial" w:hAnsi="Arial" w:cs="Arial"/>
          <w:b/>
          <w:lang w:eastAsia="en-GB"/>
        </w:rPr>
      </w:pPr>
      <w:r>
        <w:rPr>
          <w:rFonts w:ascii="Arial" w:hAnsi="Arial" w:cs="Arial"/>
          <w:b/>
          <w:lang w:eastAsia="en-GB"/>
        </w:rPr>
        <w:t xml:space="preserve">Reporting Period </w:t>
      </w:r>
    </w:p>
    <w:p w14:paraId="2E3094D9" w14:textId="77777777" w:rsidR="00552CF6" w:rsidRPr="00013367" w:rsidRDefault="00552CF6" w:rsidP="00552CF6">
      <w:pPr>
        <w:shd w:val="clear" w:color="auto" w:fill="FFFFFF"/>
        <w:jc w:val="both"/>
        <w:rPr>
          <w:rFonts w:ascii="Arial" w:hAnsi="Arial" w:cs="Arial"/>
          <w:lang w:eastAsia="en-GB"/>
        </w:rPr>
      </w:pPr>
      <w:r w:rsidRPr="00013367">
        <w:rPr>
          <w:rFonts w:ascii="Arial" w:hAnsi="Arial" w:cs="Arial"/>
          <w:lang w:eastAsia="en-GB"/>
        </w:rPr>
        <w:t xml:space="preserve">All deliverables within the measure are to be provided as follows: </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2223"/>
        <w:gridCol w:w="6973"/>
      </w:tblGrid>
      <w:tr w:rsidR="00552CF6" w:rsidRPr="00013367" w14:paraId="6347B574" w14:textId="77777777" w:rsidTr="009D6F69">
        <w:trPr>
          <w:trHeight w:val="227"/>
          <w:jc w:val="center"/>
        </w:trPr>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B0FA4" w14:textId="77777777" w:rsidR="00552CF6" w:rsidRPr="00013367" w:rsidRDefault="00552CF6" w:rsidP="009D6F69">
            <w:pPr>
              <w:shd w:val="clear" w:color="auto" w:fill="FFFFFF"/>
              <w:jc w:val="both"/>
              <w:rPr>
                <w:rFonts w:ascii="Arial" w:eastAsia="Calibri" w:hAnsi="Arial" w:cs="Arial"/>
                <w:b/>
                <w:lang w:eastAsia="en-GB"/>
              </w:rPr>
            </w:pPr>
            <w:r w:rsidRPr="00013367">
              <w:rPr>
                <w:rFonts w:ascii="Arial" w:eastAsia="Calibri" w:hAnsi="Arial" w:cs="Arial"/>
                <w:lang w:eastAsia="en-GB"/>
              </w:rPr>
              <w:t xml:space="preserve"> </w:t>
            </w:r>
            <w:r w:rsidRPr="00013367">
              <w:rPr>
                <w:rFonts w:ascii="Arial" w:eastAsia="Calibri" w:hAnsi="Arial" w:cs="Arial"/>
                <w:b/>
                <w:lang w:eastAsia="en-GB"/>
              </w:rPr>
              <w:t xml:space="preserve">Quarter </w:t>
            </w:r>
          </w:p>
        </w:tc>
        <w:tc>
          <w:tcPr>
            <w:tcW w:w="22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3D301" w14:textId="77777777" w:rsidR="00552CF6" w:rsidRPr="00013367" w:rsidRDefault="00552CF6" w:rsidP="009D6F69">
            <w:pPr>
              <w:shd w:val="clear" w:color="auto" w:fill="FFFFFF"/>
              <w:jc w:val="both"/>
              <w:rPr>
                <w:rFonts w:ascii="Arial" w:eastAsia="Calibri" w:hAnsi="Arial" w:cs="Arial"/>
                <w:b/>
                <w:lang w:eastAsia="en-GB"/>
              </w:rPr>
            </w:pPr>
            <w:r w:rsidRPr="00013367">
              <w:rPr>
                <w:rFonts w:ascii="Arial" w:eastAsia="Calibri" w:hAnsi="Arial" w:cs="Arial"/>
                <w:b/>
                <w:lang w:eastAsia="en-GB"/>
              </w:rPr>
              <w:t>For the time period</w:t>
            </w:r>
          </w:p>
        </w:tc>
        <w:tc>
          <w:tcPr>
            <w:tcW w:w="7023" w:type="dxa"/>
            <w:tcBorders>
              <w:top w:val="single" w:sz="4" w:space="0" w:color="auto"/>
              <w:left w:val="single" w:sz="4" w:space="0" w:color="auto"/>
              <w:bottom w:val="single" w:sz="4" w:space="0" w:color="auto"/>
              <w:right w:val="single" w:sz="4" w:space="0" w:color="auto"/>
            </w:tcBorders>
            <w:shd w:val="clear" w:color="auto" w:fill="FFFFFF"/>
            <w:hideMark/>
          </w:tcPr>
          <w:p w14:paraId="1662B1B2" w14:textId="77777777" w:rsidR="00552CF6" w:rsidRPr="00013367" w:rsidRDefault="00552CF6" w:rsidP="009D6F69">
            <w:pPr>
              <w:shd w:val="clear" w:color="auto" w:fill="FFFFFF"/>
              <w:jc w:val="both"/>
              <w:rPr>
                <w:rFonts w:ascii="Arial" w:eastAsia="Calibri" w:hAnsi="Arial" w:cs="Arial"/>
                <w:b/>
                <w:lang w:eastAsia="en-GB"/>
              </w:rPr>
            </w:pPr>
            <w:r w:rsidRPr="00013367">
              <w:rPr>
                <w:rFonts w:ascii="Arial" w:eastAsia="Calibri" w:hAnsi="Arial" w:cs="Arial"/>
                <w:b/>
                <w:lang w:eastAsia="en-GB"/>
              </w:rPr>
              <w:t>Indicator to report on</w:t>
            </w:r>
          </w:p>
        </w:tc>
      </w:tr>
      <w:tr w:rsidR="00552CF6" w:rsidRPr="00013367" w14:paraId="7ABF870B" w14:textId="77777777" w:rsidTr="009D6F69">
        <w:trPr>
          <w:trHeight w:val="311"/>
          <w:jc w:val="center"/>
        </w:trPr>
        <w:tc>
          <w:tcPr>
            <w:tcW w:w="1026" w:type="dxa"/>
            <w:tcBorders>
              <w:top w:val="single" w:sz="4" w:space="0" w:color="auto"/>
              <w:left w:val="single" w:sz="4" w:space="0" w:color="auto"/>
              <w:bottom w:val="single" w:sz="4" w:space="0" w:color="auto"/>
              <w:right w:val="single" w:sz="4" w:space="0" w:color="auto"/>
            </w:tcBorders>
            <w:hideMark/>
          </w:tcPr>
          <w:p w14:paraId="51092165"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 xml:space="preserve">1 </w:t>
            </w:r>
          </w:p>
        </w:tc>
        <w:tc>
          <w:tcPr>
            <w:tcW w:w="2230" w:type="dxa"/>
            <w:tcBorders>
              <w:top w:val="single" w:sz="4" w:space="0" w:color="auto"/>
              <w:left w:val="single" w:sz="4" w:space="0" w:color="auto"/>
              <w:bottom w:val="single" w:sz="4" w:space="0" w:color="auto"/>
              <w:right w:val="single" w:sz="4" w:space="0" w:color="auto"/>
            </w:tcBorders>
            <w:hideMark/>
          </w:tcPr>
          <w:p w14:paraId="6652FC00" w14:textId="77777777" w:rsidR="00552CF6" w:rsidRPr="00013367" w:rsidRDefault="00552CF6" w:rsidP="009D6F69">
            <w:pPr>
              <w:shd w:val="clear" w:color="auto" w:fill="FFFFFF"/>
              <w:rPr>
                <w:rFonts w:ascii="Arial" w:eastAsia="Calibri" w:hAnsi="Arial" w:cs="Arial"/>
                <w:lang w:eastAsia="en-GB"/>
              </w:rPr>
            </w:pPr>
            <w:r w:rsidRPr="00013367">
              <w:rPr>
                <w:rFonts w:ascii="Arial" w:eastAsia="Calibri" w:hAnsi="Arial" w:cs="Arial"/>
                <w:lang w:eastAsia="en-GB"/>
              </w:rPr>
              <w:t>1 July – 30 September</w:t>
            </w:r>
          </w:p>
        </w:tc>
        <w:tc>
          <w:tcPr>
            <w:tcW w:w="7023" w:type="dxa"/>
            <w:tcBorders>
              <w:top w:val="single" w:sz="4" w:space="0" w:color="auto"/>
              <w:left w:val="single" w:sz="4" w:space="0" w:color="auto"/>
              <w:bottom w:val="single" w:sz="4" w:space="0" w:color="auto"/>
              <w:right w:val="single" w:sz="4" w:space="0" w:color="auto"/>
            </w:tcBorders>
            <w:hideMark/>
          </w:tcPr>
          <w:p w14:paraId="189A83D0"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Narrative reports and data where required</w:t>
            </w:r>
          </w:p>
        </w:tc>
      </w:tr>
      <w:tr w:rsidR="00552CF6" w:rsidRPr="00013367" w14:paraId="64471583" w14:textId="77777777" w:rsidTr="009D6F69">
        <w:trPr>
          <w:trHeight w:val="227"/>
          <w:jc w:val="center"/>
        </w:trPr>
        <w:tc>
          <w:tcPr>
            <w:tcW w:w="1026" w:type="dxa"/>
            <w:tcBorders>
              <w:top w:val="single" w:sz="4" w:space="0" w:color="auto"/>
              <w:left w:val="single" w:sz="4" w:space="0" w:color="auto"/>
              <w:bottom w:val="single" w:sz="4" w:space="0" w:color="auto"/>
              <w:right w:val="single" w:sz="4" w:space="0" w:color="auto"/>
            </w:tcBorders>
            <w:hideMark/>
          </w:tcPr>
          <w:p w14:paraId="20ACB1F3"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 xml:space="preserve">2 </w:t>
            </w:r>
          </w:p>
        </w:tc>
        <w:tc>
          <w:tcPr>
            <w:tcW w:w="2230" w:type="dxa"/>
            <w:tcBorders>
              <w:top w:val="single" w:sz="4" w:space="0" w:color="auto"/>
              <w:left w:val="single" w:sz="4" w:space="0" w:color="auto"/>
              <w:bottom w:val="single" w:sz="4" w:space="0" w:color="auto"/>
              <w:right w:val="single" w:sz="4" w:space="0" w:color="auto"/>
            </w:tcBorders>
            <w:hideMark/>
          </w:tcPr>
          <w:p w14:paraId="1C3381FC" w14:textId="77777777" w:rsidR="00552CF6" w:rsidRPr="00013367" w:rsidRDefault="00552CF6" w:rsidP="009D6F69">
            <w:pPr>
              <w:shd w:val="clear" w:color="auto" w:fill="FFFFFF"/>
              <w:rPr>
                <w:rFonts w:ascii="Arial" w:eastAsia="Calibri" w:hAnsi="Arial" w:cs="Arial"/>
                <w:lang w:eastAsia="en-GB"/>
              </w:rPr>
            </w:pPr>
            <w:r w:rsidRPr="00013367">
              <w:rPr>
                <w:rFonts w:ascii="Arial" w:eastAsia="Calibri" w:hAnsi="Arial" w:cs="Arial"/>
                <w:lang w:eastAsia="en-GB"/>
              </w:rPr>
              <w:t xml:space="preserve">1 October – 31 December </w:t>
            </w:r>
          </w:p>
        </w:tc>
        <w:tc>
          <w:tcPr>
            <w:tcW w:w="7023" w:type="dxa"/>
            <w:tcBorders>
              <w:top w:val="single" w:sz="4" w:space="0" w:color="auto"/>
              <w:left w:val="single" w:sz="4" w:space="0" w:color="auto"/>
              <w:bottom w:val="single" w:sz="4" w:space="0" w:color="auto"/>
              <w:right w:val="single" w:sz="4" w:space="0" w:color="auto"/>
            </w:tcBorders>
            <w:hideMark/>
          </w:tcPr>
          <w:p w14:paraId="7F0E57B1"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Narrative reports and data where required</w:t>
            </w:r>
          </w:p>
        </w:tc>
      </w:tr>
      <w:tr w:rsidR="00552CF6" w:rsidRPr="00013367" w14:paraId="0447452F" w14:textId="77777777" w:rsidTr="009D6F69">
        <w:trPr>
          <w:trHeight w:val="227"/>
          <w:jc w:val="center"/>
        </w:trPr>
        <w:tc>
          <w:tcPr>
            <w:tcW w:w="1026" w:type="dxa"/>
            <w:tcBorders>
              <w:top w:val="single" w:sz="4" w:space="0" w:color="auto"/>
              <w:left w:val="single" w:sz="4" w:space="0" w:color="auto"/>
              <w:bottom w:val="single" w:sz="4" w:space="0" w:color="auto"/>
              <w:right w:val="single" w:sz="4" w:space="0" w:color="auto"/>
            </w:tcBorders>
            <w:hideMark/>
          </w:tcPr>
          <w:p w14:paraId="1611384E"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 xml:space="preserve">3  </w:t>
            </w:r>
          </w:p>
        </w:tc>
        <w:tc>
          <w:tcPr>
            <w:tcW w:w="2230" w:type="dxa"/>
            <w:tcBorders>
              <w:top w:val="single" w:sz="4" w:space="0" w:color="auto"/>
              <w:left w:val="single" w:sz="4" w:space="0" w:color="auto"/>
              <w:bottom w:val="single" w:sz="4" w:space="0" w:color="auto"/>
              <w:right w:val="single" w:sz="4" w:space="0" w:color="auto"/>
            </w:tcBorders>
            <w:hideMark/>
          </w:tcPr>
          <w:p w14:paraId="2DA9C986" w14:textId="77777777" w:rsidR="00552CF6" w:rsidRPr="00013367" w:rsidRDefault="00552CF6" w:rsidP="009D6F69">
            <w:pPr>
              <w:shd w:val="clear" w:color="auto" w:fill="FFFFFF"/>
              <w:rPr>
                <w:rFonts w:ascii="Arial" w:eastAsia="Calibri" w:hAnsi="Arial" w:cs="Arial"/>
                <w:lang w:eastAsia="en-GB"/>
              </w:rPr>
            </w:pPr>
            <w:r w:rsidRPr="00013367">
              <w:rPr>
                <w:rFonts w:ascii="Arial" w:eastAsia="Calibri" w:hAnsi="Arial" w:cs="Arial"/>
                <w:lang w:eastAsia="en-GB"/>
              </w:rPr>
              <w:t xml:space="preserve">1 January – 31 March </w:t>
            </w:r>
          </w:p>
        </w:tc>
        <w:tc>
          <w:tcPr>
            <w:tcW w:w="7023" w:type="dxa"/>
            <w:tcBorders>
              <w:top w:val="single" w:sz="4" w:space="0" w:color="auto"/>
              <w:left w:val="single" w:sz="4" w:space="0" w:color="auto"/>
              <w:bottom w:val="single" w:sz="4" w:space="0" w:color="auto"/>
              <w:right w:val="single" w:sz="4" w:space="0" w:color="auto"/>
            </w:tcBorders>
            <w:hideMark/>
          </w:tcPr>
          <w:p w14:paraId="65A4F491"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Narrative reports and data where required</w:t>
            </w:r>
          </w:p>
        </w:tc>
      </w:tr>
      <w:tr w:rsidR="00552CF6" w:rsidRPr="00013367" w14:paraId="58E4BBD3" w14:textId="77777777" w:rsidTr="009D6F69">
        <w:trPr>
          <w:trHeight w:val="227"/>
          <w:jc w:val="center"/>
        </w:trPr>
        <w:tc>
          <w:tcPr>
            <w:tcW w:w="1026" w:type="dxa"/>
            <w:tcBorders>
              <w:top w:val="single" w:sz="4" w:space="0" w:color="auto"/>
              <w:left w:val="single" w:sz="4" w:space="0" w:color="auto"/>
              <w:bottom w:val="single" w:sz="4" w:space="0" w:color="auto"/>
              <w:right w:val="single" w:sz="4" w:space="0" w:color="auto"/>
            </w:tcBorders>
            <w:hideMark/>
          </w:tcPr>
          <w:p w14:paraId="3D35BBC5"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 xml:space="preserve">4  </w:t>
            </w:r>
          </w:p>
        </w:tc>
        <w:tc>
          <w:tcPr>
            <w:tcW w:w="2230" w:type="dxa"/>
            <w:tcBorders>
              <w:top w:val="single" w:sz="4" w:space="0" w:color="auto"/>
              <w:left w:val="single" w:sz="4" w:space="0" w:color="auto"/>
              <w:bottom w:val="single" w:sz="4" w:space="0" w:color="auto"/>
              <w:right w:val="single" w:sz="4" w:space="0" w:color="auto"/>
            </w:tcBorders>
            <w:hideMark/>
          </w:tcPr>
          <w:p w14:paraId="51714809" w14:textId="77777777" w:rsidR="00552CF6" w:rsidRPr="00013367" w:rsidRDefault="00552CF6" w:rsidP="009D6F69">
            <w:pPr>
              <w:shd w:val="clear" w:color="auto" w:fill="FFFFFF"/>
              <w:rPr>
                <w:rFonts w:ascii="Arial" w:eastAsia="Calibri" w:hAnsi="Arial" w:cs="Arial"/>
                <w:lang w:eastAsia="en-GB"/>
              </w:rPr>
            </w:pPr>
            <w:r w:rsidRPr="00013367">
              <w:rPr>
                <w:rFonts w:ascii="Arial" w:eastAsia="Calibri" w:hAnsi="Arial" w:cs="Arial"/>
                <w:lang w:eastAsia="en-GB"/>
              </w:rPr>
              <w:t xml:space="preserve">1 April – 30 June </w:t>
            </w:r>
          </w:p>
        </w:tc>
        <w:tc>
          <w:tcPr>
            <w:tcW w:w="7023" w:type="dxa"/>
            <w:tcBorders>
              <w:top w:val="single" w:sz="4" w:space="0" w:color="auto"/>
              <w:left w:val="single" w:sz="4" w:space="0" w:color="auto"/>
              <w:bottom w:val="single" w:sz="4" w:space="0" w:color="auto"/>
              <w:right w:val="single" w:sz="4" w:space="0" w:color="auto"/>
            </w:tcBorders>
            <w:hideMark/>
          </w:tcPr>
          <w:p w14:paraId="01E56873" w14:textId="77777777" w:rsidR="00552CF6" w:rsidRPr="00013367" w:rsidRDefault="00552CF6" w:rsidP="009D6F69">
            <w:pPr>
              <w:shd w:val="clear" w:color="auto" w:fill="FFFFFF"/>
              <w:jc w:val="both"/>
              <w:rPr>
                <w:rFonts w:ascii="Arial" w:eastAsia="Calibri" w:hAnsi="Arial" w:cs="Arial"/>
                <w:lang w:eastAsia="en-GB"/>
              </w:rPr>
            </w:pPr>
            <w:r w:rsidRPr="00013367">
              <w:rPr>
                <w:rFonts w:ascii="Arial" w:eastAsia="Calibri" w:hAnsi="Arial" w:cs="Arial"/>
                <w:lang w:eastAsia="en-GB"/>
              </w:rPr>
              <w:t>Narrative reports and data where required</w:t>
            </w:r>
          </w:p>
        </w:tc>
      </w:tr>
    </w:tbl>
    <w:p w14:paraId="21F2E9D1" w14:textId="77777777" w:rsidR="0093634F" w:rsidRPr="003060FE" w:rsidRDefault="0093634F" w:rsidP="0093634F">
      <w:pPr>
        <w:keepNext/>
        <w:spacing w:before="120" w:after="60"/>
        <w:outlineLvl w:val="0"/>
        <w:rPr>
          <w:rFonts w:ascii="Arial" w:hAnsi="Arial" w:cs="Arial"/>
          <w:b/>
          <w:i/>
          <w:sz w:val="22"/>
          <w:szCs w:val="22"/>
        </w:rPr>
      </w:pPr>
      <w:bookmarkStart w:id="493" w:name="_Toc4588559"/>
      <w:bookmarkStart w:id="494" w:name="_Toc4588702"/>
      <w:bookmarkStart w:id="495" w:name="_Toc9592030"/>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ascii="Arial" w:hAnsi="Arial" w:cs="Arial"/>
          <w:b/>
          <w:i/>
        </w:rPr>
        <w:lastRenderedPageBreak/>
        <w:t>Outcome priority</w:t>
      </w:r>
      <w:r w:rsidRPr="003060FE">
        <w:rPr>
          <w:rFonts w:ascii="Arial" w:hAnsi="Arial" w:cs="Arial"/>
          <w:b/>
          <w:i/>
        </w:rPr>
        <w:t xml:space="preserve">:  </w:t>
      </w:r>
      <w:r>
        <w:rPr>
          <w:rFonts w:ascii="Arial" w:hAnsi="Arial" w:cs="Arial"/>
          <w:b/>
          <w:i/>
        </w:rPr>
        <w:t>We live longer in good health</w:t>
      </w:r>
      <w:bookmarkEnd w:id="493"/>
      <w:bookmarkEnd w:id="494"/>
      <w:bookmarkEnd w:id="495"/>
      <w:r w:rsidRPr="003060FE">
        <w:rPr>
          <w:rFonts w:ascii="Arial" w:hAnsi="Arial" w:cs="Arial"/>
          <w:b/>
          <w:i/>
        </w:rPr>
        <w:t xml:space="preserve"> </w:t>
      </w:r>
    </w:p>
    <w:p w14:paraId="7F00B915" w14:textId="664BD0EB" w:rsidR="0093634F" w:rsidRDefault="00604F7F" w:rsidP="0093634F">
      <w:pPr>
        <w:pStyle w:val="Heading2"/>
        <w:rPr>
          <w:sz w:val="22"/>
          <w:szCs w:val="22"/>
        </w:rPr>
      </w:pPr>
      <w:bookmarkStart w:id="496" w:name="_Toc4588560"/>
      <w:bookmarkStart w:id="497" w:name="_Toc9592031"/>
      <w:r>
        <w:t>Better population health outcomes supported by a s</w:t>
      </w:r>
      <w:r w:rsidR="0093634F">
        <w:t>trong public health and disability s</w:t>
      </w:r>
      <w:r w:rsidR="0093634F" w:rsidRPr="003F346C">
        <w:t xml:space="preserve">ystem </w:t>
      </w:r>
      <w:bookmarkStart w:id="498" w:name="_Hlk80707443"/>
      <w:r w:rsidR="0093634F">
        <w:t>S</w:t>
      </w:r>
      <w:r w:rsidR="0093634F" w:rsidRPr="003F346C">
        <w:t>S</w:t>
      </w:r>
      <w:r w:rsidR="0093634F">
        <w:t>05</w:t>
      </w:r>
      <w:r w:rsidR="0093634F" w:rsidRPr="003F346C">
        <w:t>: Ambulatory sensitive hospital</w:t>
      </w:r>
      <w:r w:rsidR="0093634F">
        <w:t>isations (ASH adult)</w:t>
      </w:r>
      <w:bookmarkEnd w:id="496"/>
      <w:bookmarkEnd w:id="497"/>
      <w:r w:rsidR="0093634F" w:rsidRPr="00144EEB">
        <w:rPr>
          <w:sz w:val="22"/>
          <w:szCs w:val="22"/>
        </w:rPr>
        <w:t xml:space="preserve"> </w:t>
      </w:r>
    </w:p>
    <w:bookmarkEnd w:id="498"/>
    <w:p w14:paraId="1EEA7578" w14:textId="77777777" w:rsidR="0093634F" w:rsidRPr="008707F0" w:rsidRDefault="0093634F" w:rsidP="0093634F">
      <w:pPr>
        <w:keepNext/>
        <w:spacing w:before="120" w:after="120"/>
        <w:jc w:val="both"/>
        <w:rPr>
          <w:rFonts w:ascii="Arial" w:hAnsi="Arial" w:cs="Arial"/>
          <w:b/>
          <w:sz w:val="22"/>
          <w:szCs w:val="22"/>
        </w:rPr>
      </w:pPr>
      <w:r>
        <w:rPr>
          <w:rFonts w:ascii="Arial" w:hAnsi="Arial" w:cs="Arial"/>
          <w:b/>
          <w:sz w:val="22"/>
          <w:szCs w:val="22"/>
        </w:rPr>
        <w:t>Note - ASH for zero to four-year-olds is a System Level Measure (SLM) and reporting for this age group will occur through SLM improvement plans</w:t>
      </w:r>
    </w:p>
    <w:p w14:paraId="23A92F19" w14:textId="77777777" w:rsidR="0093634F" w:rsidRPr="00D74F1B" w:rsidRDefault="0093634F" w:rsidP="0093634F">
      <w:pPr>
        <w:shd w:val="clear" w:color="auto" w:fill="FFFFFF"/>
        <w:spacing w:before="60" w:after="60"/>
        <w:jc w:val="both"/>
        <w:rPr>
          <w:rFonts w:ascii="Arial" w:hAnsi="Arial" w:cs="Arial"/>
          <w:sz w:val="20"/>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93634F" w:rsidRPr="00B44AD8" w14:paraId="5C03346D" w14:textId="77777777" w:rsidTr="009D6F69">
        <w:tc>
          <w:tcPr>
            <w:tcW w:w="10094" w:type="dxa"/>
            <w:gridSpan w:val="2"/>
            <w:shd w:val="clear" w:color="auto" w:fill="D9D9D9"/>
          </w:tcPr>
          <w:p w14:paraId="2C8095E5" w14:textId="77777777" w:rsidR="0093634F" w:rsidRPr="00B44AD8" w:rsidRDefault="0093634F"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93634F" w:rsidRPr="00B44AD8" w14:paraId="315547E3" w14:textId="77777777" w:rsidTr="009D6F69">
        <w:tc>
          <w:tcPr>
            <w:tcW w:w="2864" w:type="dxa"/>
            <w:shd w:val="clear" w:color="auto" w:fill="auto"/>
          </w:tcPr>
          <w:p w14:paraId="01FF2952" w14:textId="77777777" w:rsidR="0093634F" w:rsidRPr="00B44AD8" w:rsidRDefault="0093634F"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34E0DB99" w14:textId="77777777" w:rsidR="0093634F" w:rsidRPr="00B44AD8" w:rsidRDefault="0093634F"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r>
              <w:rPr>
                <w:rFonts w:ascii="Arial" w:hAnsi="Arial" w:cs="Arial"/>
                <w:sz w:val="20"/>
                <w:szCs w:val="20"/>
              </w:rPr>
              <w:t xml:space="preserve"> ( and SLM Improvement plan)</w:t>
            </w:r>
          </w:p>
        </w:tc>
      </w:tr>
      <w:tr w:rsidR="0093634F" w:rsidRPr="00B44AD8" w14:paraId="01FC80CF" w14:textId="77777777" w:rsidTr="009D6F69">
        <w:trPr>
          <w:trHeight w:val="493"/>
        </w:trPr>
        <w:tc>
          <w:tcPr>
            <w:tcW w:w="2864" w:type="dxa"/>
            <w:shd w:val="clear" w:color="auto" w:fill="auto"/>
          </w:tcPr>
          <w:p w14:paraId="2FB3AF00" w14:textId="77777777" w:rsidR="0093634F" w:rsidRPr="00B44AD8" w:rsidRDefault="0093634F"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1B4D5D2E" w14:textId="7CDC475C" w:rsidR="0093634F" w:rsidRPr="00B44AD8" w:rsidRDefault="00C00846" w:rsidP="00C00846">
            <w:pPr>
              <w:shd w:val="clear" w:color="auto" w:fill="FFFFFF"/>
              <w:spacing w:before="60" w:after="60"/>
              <w:jc w:val="both"/>
              <w:rPr>
                <w:rFonts w:ascii="Arial" w:hAnsi="Arial" w:cs="Arial"/>
                <w:sz w:val="20"/>
                <w:szCs w:val="20"/>
              </w:rPr>
            </w:pPr>
            <w:r>
              <w:rPr>
                <w:rFonts w:ascii="Arial" w:hAnsi="Arial" w:cs="Arial"/>
                <w:sz w:val="20"/>
                <w:szCs w:val="20"/>
              </w:rPr>
              <w:t xml:space="preserve">Six monthly quarters 2 and 4 </w:t>
            </w:r>
            <w:r w:rsidR="0093634F" w:rsidRPr="00D9539F">
              <w:rPr>
                <w:rFonts w:ascii="Arial" w:hAnsi="Arial" w:cs="Arial"/>
                <w:sz w:val="20"/>
                <w:szCs w:val="20"/>
              </w:rPr>
              <w:t xml:space="preserve"> (45-64)</w:t>
            </w:r>
            <w:r w:rsidR="0093634F">
              <w:rPr>
                <w:rFonts w:ascii="Arial" w:hAnsi="Arial" w:cs="Arial"/>
                <w:sz w:val="20"/>
                <w:szCs w:val="20"/>
              </w:rPr>
              <w:t xml:space="preserve"> </w:t>
            </w:r>
          </w:p>
        </w:tc>
      </w:tr>
      <w:tr w:rsidR="0093634F" w:rsidRPr="00B44AD8" w14:paraId="790F74F8" w14:textId="77777777" w:rsidTr="009D6F69">
        <w:tc>
          <w:tcPr>
            <w:tcW w:w="2864" w:type="dxa"/>
            <w:shd w:val="clear" w:color="auto" w:fill="auto"/>
          </w:tcPr>
          <w:p w14:paraId="4EE64989" w14:textId="77777777" w:rsidR="0093634F" w:rsidRPr="00B44AD8" w:rsidRDefault="0093634F"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739FD96C" w14:textId="77777777" w:rsidR="0093634F" w:rsidRPr="00B44AD8" w:rsidRDefault="0093634F" w:rsidP="009D6F69">
            <w:pPr>
              <w:shd w:val="clear" w:color="auto" w:fill="FFFFFF"/>
              <w:spacing w:before="60" w:after="60"/>
              <w:rPr>
                <w:rFonts w:ascii="Arial" w:hAnsi="Arial" w:cs="Arial"/>
                <w:i/>
                <w:sz w:val="20"/>
                <w:szCs w:val="20"/>
              </w:rPr>
            </w:pPr>
            <w:r w:rsidRPr="00B44AD8">
              <w:rPr>
                <w:rFonts w:ascii="Arial" w:hAnsi="Arial" w:cs="Arial"/>
                <w:i/>
                <w:sz w:val="20"/>
                <w:szCs w:val="20"/>
              </w:rPr>
              <w:t xml:space="preserve">Ministry to provide data via NSFL web site </w:t>
            </w:r>
            <w:hyperlink r:id="rId29" w:history="1">
              <w:r w:rsidRPr="00B44AD8">
                <w:rPr>
                  <w:rFonts w:ascii="Arial" w:hAnsi="Arial" w:cs="Arial"/>
                  <w:i/>
                  <w:color w:val="0000FF"/>
                  <w:sz w:val="20"/>
                  <w:szCs w:val="20"/>
                  <w:u w:val="single"/>
                </w:rPr>
                <w:t>http://nsfl.health.govt.nz/accountability/performance-and-monitoring</w:t>
              </w:r>
            </w:hyperlink>
            <w:r w:rsidRPr="00B44AD8">
              <w:rPr>
                <w:rFonts w:ascii="Arial" w:hAnsi="Arial" w:cs="Arial"/>
                <w:i/>
                <w:sz w:val="20"/>
                <w:szCs w:val="20"/>
              </w:rPr>
              <w:t xml:space="preserve"> </w:t>
            </w:r>
          </w:p>
          <w:p w14:paraId="5664EE1B" w14:textId="77777777" w:rsidR="0093634F" w:rsidRPr="00B44AD8" w:rsidRDefault="0093634F" w:rsidP="009D6F69">
            <w:pPr>
              <w:shd w:val="clear" w:color="auto" w:fill="FFFFFF"/>
              <w:spacing w:before="60" w:after="60"/>
              <w:rPr>
                <w:rFonts w:ascii="Arial" w:hAnsi="Arial" w:cs="Arial"/>
                <w:i/>
                <w:sz w:val="20"/>
                <w:szCs w:val="20"/>
              </w:rPr>
            </w:pPr>
            <w:r w:rsidRPr="00B44AD8">
              <w:rPr>
                <w:rFonts w:ascii="Arial" w:hAnsi="Arial" w:cs="Arial"/>
                <w:i/>
                <w:sz w:val="20"/>
                <w:szCs w:val="20"/>
              </w:rPr>
              <w:t>and the DHB quarterly reporting website</w:t>
            </w:r>
          </w:p>
        </w:tc>
      </w:tr>
      <w:tr w:rsidR="0093634F" w:rsidRPr="00B44AD8" w14:paraId="5FEDFB0A" w14:textId="77777777" w:rsidTr="009D6F69">
        <w:trPr>
          <w:trHeight w:val="2182"/>
        </w:trPr>
        <w:tc>
          <w:tcPr>
            <w:tcW w:w="2864" w:type="dxa"/>
            <w:shd w:val="clear" w:color="auto" w:fill="auto"/>
          </w:tcPr>
          <w:p w14:paraId="61075543" w14:textId="77777777" w:rsidR="0093634F" w:rsidRPr="00B44AD8" w:rsidRDefault="0093634F"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715EDF40" w14:textId="77777777" w:rsidR="0093634F" w:rsidRPr="00B44AD8" w:rsidRDefault="0093634F"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93634F" w:rsidRPr="00B44AD8" w14:paraId="3FBFCBC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9A60"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A4618"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93634F" w:rsidRPr="00B44AD8" w14:paraId="34A68E3A"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A6372"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DC71"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93634F" w:rsidRPr="00B44AD8" w14:paraId="3CDB3B80"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233B"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784E"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93634F" w:rsidRPr="00B44AD8" w14:paraId="5B00F303"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67E4F"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6A40" w14:textId="77777777" w:rsidR="0093634F" w:rsidRPr="00B44AD8" w:rsidRDefault="0093634F"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4E77AB28" w14:textId="77777777" w:rsidR="0093634F" w:rsidRPr="00B44AD8" w:rsidRDefault="0093634F" w:rsidP="009D6F69">
            <w:pPr>
              <w:shd w:val="clear" w:color="auto" w:fill="FFFFFF"/>
              <w:spacing w:before="60" w:after="60"/>
              <w:jc w:val="both"/>
              <w:rPr>
                <w:rFonts w:ascii="Arial" w:hAnsi="Arial" w:cs="Arial"/>
                <w:i/>
                <w:sz w:val="16"/>
                <w:szCs w:val="16"/>
              </w:rPr>
            </w:pPr>
          </w:p>
        </w:tc>
      </w:tr>
      <w:tr w:rsidR="0093634F" w:rsidRPr="00B44AD8" w14:paraId="17FDA265" w14:textId="77777777" w:rsidTr="009D6F69">
        <w:trPr>
          <w:trHeight w:val="554"/>
        </w:trPr>
        <w:tc>
          <w:tcPr>
            <w:tcW w:w="2864" w:type="dxa"/>
            <w:shd w:val="clear" w:color="auto" w:fill="auto"/>
          </w:tcPr>
          <w:p w14:paraId="47C4A2D9" w14:textId="77777777" w:rsidR="0093634F" w:rsidRPr="00B44AD8" w:rsidRDefault="0093634F" w:rsidP="009D6F69">
            <w:pPr>
              <w:shd w:val="clear" w:color="auto" w:fill="FFFFFF"/>
              <w:spacing w:before="60" w:after="60"/>
              <w:rPr>
                <w:rFonts w:ascii="Arial" w:hAnsi="Arial" w:cs="Arial"/>
                <w:b/>
                <w:i/>
                <w:sz w:val="20"/>
                <w:szCs w:val="20"/>
              </w:rPr>
            </w:pPr>
            <w:r>
              <w:rPr>
                <w:rFonts w:ascii="Arial" w:hAnsi="Arial" w:cs="Arial"/>
                <w:b/>
                <w:i/>
                <w:sz w:val="20"/>
                <w:szCs w:val="20"/>
              </w:rPr>
              <w:t>Linkages:</w:t>
            </w:r>
            <w:r w:rsidRPr="00D26BE3">
              <w:rPr>
                <w:rFonts w:ascii="Arial" w:hAnsi="Arial" w:cs="Arial"/>
                <w:b/>
                <w:i/>
                <w:sz w:val="20"/>
                <w:szCs w:val="20"/>
              </w:rPr>
              <w:tab/>
            </w:r>
          </w:p>
        </w:tc>
        <w:tc>
          <w:tcPr>
            <w:tcW w:w="7230" w:type="dxa"/>
            <w:shd w:val="clear" w:color="auto" w:fill="auto"/>
          </w:tcPr>
          <w:p w14:paraId="5DA82E1B" w14:textId="77777777" w:rsidR="0093634F" w:rsidRPr="00D26BE3" w:rsidRDefault="0093634F" w:rsidP="009D6F69">
            <w:pPr>
              <w:shd w:val="clear" w:color="auto" w:fill="FFFFFF"/>
              <w:spacing w:before="60" w:after="60"/>
              <w:jc w:val="both"/>
              <w:rPr>
                <w:rFonts w:ascii="Arial" w:hAnsi="Arial" w:cs="Arial"/>
                <w:i/>
                <w:sz w:val="16"/>
                <w:szCs w:val="16"/>
              </w:rPr>
            </w:pPr>
          </w:p>
        </w:tc>
      </w:tr>
    </w:tbl>
    <w:p w14:paraId="784BB556" w14:textId="77777777" w:rsidR="0093634F" w:rsidRPr="003028EF" w:rsidRDefault="0093634F" w:rsidP="0093634F">
      <w:pPr>
        <w:pStyle w:val="SubOne"/>
        <w:shd w:val="clear" w:color="auto" w:fill="FFFFFF"/>
        <w:spacing w:before="60" w:after="60"/>
        <w:jc w:val="both"/>
        <w:rPr>
          <w:i/>
        </w:rPr>
      </w:pPr>
      <w:r w:rsidRPr="005D6BDC">
        <w:t>L</w:t>
      </w:r>
      <w:r>
        <w:t>ink to outcomes and priority areas</w:t>
      </w:r>
    </w:p>
    <w:p w14:paraId="0B788A5F" w14:textId="77777777" w:rsidR="0093634F" w:rsidRPr="0072302C" w:rsidRDefault="0093634F" w:rsidP="0093634F">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2A61282B" w14:textId="77777777" w:rsidR="0093634F" w:rsidRPr="00AE2DAC" w:rsidRDefault="0093634F" w:rsidP="0093634F">
      <w:pPr>
        <w:spacing w:before="60" w:after="60"/>
        <w:jc w:val="both"/>
        <w:rPr>
          <w:rFonts w:ascii="Arial" w:hAnsi="Arial" w:cs="Arial"/>
          <w:sz w:val="22"/>
          <w:szCs w:val="22"/>
        </w:rPr>
      </w:pPr>
      <w:r w:rsidRPr="00AE2DAC">
        <w:rPr>
          <w:rFonts w:ascii="Arial" w:hAnsi="Arial" w:cs="Arial"/>
          <w:sz w:val="22"/>
          <w:szCs w:val="22"/>
        </w:rPr>
        <w:t xml:space="preserve">By </w:t>
      </w:r>
      <w:r>
        <w:rPr>
          <w:rFonts w:ascii="Arial" w:hAnsi="Arial" w:cs="Arial"/>
          <w:sz w:val="22"/>
          <w:szCs w:val="22"/>
        </w:rPr>
        <w:t>reducing unplanned hospital admissions for adults DHBs will support</w:t>
      </w:r>
      <w:r w:rsidRPr="00AE2DAC">
        <w:rPr>
          <w:rFonts w:ascii="Arial" w:hAnsi="Arial" w:cs="Arial"/>
          <w:sz w:val="22"/>
          <w:szCs w:val="22"/>
        </w:rPr>
        <w:t xml:space="preserve"> Government's priority to ensure everyone who is able is earning, learning, </w:t>
      </w:r>
      <w:proofErr w:type="gramStart"/>
      <w:r w:rsidRPr="00AE2DAC">
        <w:rPr>
          <w:rFonts w:ascii="Arial" w:hAnsi="Arial" w:cs="Arial"/>
          <w:sz w:val="22"/>
          <w:szCs w:val="22"/>
        </w:rPr>
        <w:t>caring</w:t>
      </w:r>
      <w:proofErr w:type="gramEnd"/>
      <w:r w:rsidRPr="00AE2DAC">
        <w:rPr>
          <w:rFonts w:ascii="Arial" w:hAnsi="Arial" w:cs="Arial"/>
          <w:sz w:val="22"/>
          <w:szCs w:val="22"/>
        </w:rPr>
        <w:t xml:space="preserve"> or volunteering and our system outcome that we</w:t>
      </w:r>
      <w:r>
        <w:rPr>
          <w:rFonts w:ascii="Arial" w:hAnsi="Arial" w:cs="Arial"/>
          <w:sz w:val="22"/>
          <w:szCs w:val="22"/>
        </w:rPr>
        <w:t xml:space="preserve"> live longer in good health.</w:t>
      </w:r>
    </w:p>
    <w:p w14:paraId="6C4EC24D" w14:textId="77777777" w:rsidR="0093634F" w:rsidRPr="006B357E" w:rsidRDefault="0093634F" w:rsidP="0093634F">
      <w:pPr>
        <w:spacing w:before="60" w:after="60"/>
        <w:jc w:val="both"/>
        <w:rPr>
          <w:rFonts w:ascii="Arial" w:hAnsi="Arial" w:cs="Arial"/>
          <w:sz w:val="22"/>
          <w:szCs w:val="22"/>
          <w:lang w:val="en-US"/>
        </w:rPr>
      </w:pPr>
      <w:r w:rsidRPr="006B357E">
        <w:rPr>
          <w:rFonts w:ascii="Arial" w:hAnsi="Arial" w:cs="Arial"/>
          <w:sz w:val="22"/>
          <w:szCs w:val="22"/>
          <w:lang w:val="en-US"/>
        </w:rPr>
        <w:t xml:space="preserve">Delivery of this measure will require improved integration of </w:t>
      </w:r>
      <w:proofErr w:type="gramStart"/>
      <w:r w:rsidRPr="006B357E">
        <w:rPr>
          <w:rFonts w:ascii="Arial" w:hAnsi="Arial" w:cs="Arial"/>
          <w:sz w:val="22"/>
          <w:szCs w:val="22"/>
          <w:lang w:val="en-US"/>
        </w:rPr>
        <w:t>services, and</w:t>
      </w:r>
      <w:proofErr w:type="gramEnd"/>
      <w:r w:rsidRPr="006B357E">
        <w:rPr>
          <w:rFonts w:ascii="Arial" w:hAnsi="Arial" w:cs="Arial"/>
          <w:sz w:val="22"/>
          <w:szCs w:val="22"/>
          <w:lang w:val="en-US"/>
        </w:rPr>
        <w:t xml:space="preserve"> contribute to a reduction in the total number of unplanned hospital admissions, a substantial proportion of which are ambulatory sensitive. </w:t>
      </w:r>
    </w:p>
    <w:p w14:paraId="2480E528" w14:textId="77777777" w:rsidR="0093634F" w:rsidRDefault="0093634F" w:rsidP="0093634F">
      <w:pPr>
        <w:spacing w:before="60" w:after="60"/>
        <w:jc w:val="both"/>
        <w:rPr>
          <w:rFonts w:ascii="Arial" w:hAnsi="Arial" w:cs="Arial"/>
          <w:b/>
          <w:sz w:val="22"/>
          <w:szCs w:val="22"/>
        </w:rPr>
      </w:pPr>
    </w:p>
    <w:p w14:paraId="7FE3F9A2" w14:textId="77777777" w:rsidR="0093634F" w:rsidRPr="006B357E" w:rsidRDefault="0093634F" w:rsidP="0093634F">
      <w:pPr>
        <w:spacing w:before="60" w:after="60"/>
        <w:jc w:val="both"/>
        <w:rPr>
          <w:rFonts w:ascii="Arial" w:hAnsi="Arial" w:cs="Arial"/>
          <w:b/>
          <w:sz w:val="22"/>
          <w:szCs w:val="22"/>
        </w:rPr>
      </w:pPr>
      <w:r w:rsidRPr="006B357E">
        <w:rPr>
          <w:rFonts w:ascii="Arial" w:hAnsi="Arial" w:cs="Arial"/>
          <w:b/>
          <w:sz w:val="22"/>
          <w:szCs w:val="22"/>
        </w:rPr>
        <w:t>Actions and activities that have a proven impact on this measure</w:t>
      </w:r>
    </w:p>
    <w:p w14:paraId="67ECAE57" w14:textId="77777777" w:rsidR="0093634F" w:rsidRPr="006B357E" w:rsidRDefault="0093634F" w:rsidP="0093634F">
      <w:pPr>
        <w:spacing w:before="60" w:after="60"/>
        <w:jc w:val="both"/>
        <w:rPr>
          <w:rFonts w:ascii="Arial" w:hAnsi="Arial" w:cs="Arial"/>
          <w:sz w:val="22"/>
          <w:szCs w:val="22"/>
        </w:rPr>
      </w:pPr>
      <w:r w:rsidRPr="006B357E">
        <w:rPr>
          <w:rFonts w:ascii="Arial" w:hAnsi="Arial" w:cs="Arial"/>
          <w:sz w:val="22"/>
          <w:szCs w:val="22"/>
        </w:rPr>
        <w:t xml:space="preserve">These actions are best identified through a “whole of system” approach that engages patients and their families, as well as community and </w:t>
      </w:r>
      <w:proofErr w:type="gramStart"/>
      <w:r w:rsidRPr="006B357E">
        <w:rPr>
          <w:rFonts w:ascii="Arial" w:hAnsi="Arial" w:cs="Arial"/>
          <w:sz w:val="22"/>
          <w:szCs w:val="22"/>
        </w:rPr>
        <w:t>hospital based</w:t>
      </w:r>
      <w:proofErr w:type="gramEnd"/>
      <w:r w:rsidRPr="006B357E">
        <w:rPr>
          <w:rFonts w:ascii="Arial" w:hAnsi="Arial" w:cs="Arial"/>
          <w:sz w:val="22"/>
          <w:szCs w:val="22"/>
        </w:rPr>
        <w:t xml:space="preserve"> services. A number of activities have been shown to be effective in reducing avoidable hospitalisations - they include:</w:t>
      </w:r>
    </w:p>
    <w:p w14:paraId="7DE92E6C" w14:textId="77777777" w:rsidR="0093634F" w:rsidRPr="006B357E" w:rsidRDefault="0093634F" w:rsidP="007B3CDE">
      <w:pPr>
        <w:numPr>
          <w:ilvl w:val="0"/>
          <w:numId w:val="24"/>
        </w:numPr>
        <w:spacing w:before="60" w:after="60"/>
        <w:jc w:val="both"/>
        <w:rPr>
          <w:rFonts w:ascii="Arial" w:hAnsi="Arial" w:cs="Arial"/>
          <w:sz w:val="22"/>
          <w:szCs w:val="22"/>
        </w:rPr>
      </w:pPr>
      <w:r w:rsidRPr="006B357E">
        <w:rPr>
          <w:rFonts w:ascii="Arial" w:hAnsi="Arial" w:cs="Arial"/>
          <w:sz w:val="22"/>
          <w:szCs w:val="22"/>
        </w:rPr>
        <w:t>System or institution-wide programmes to improve access to health services, especially for children and other underserved populations.</w:t>
      </w:r>
    </w:p>
    <w:p w14:paraId="75A6D7DF" w14:textId="77777777" w:rsidR="0093634F" w:rsidRPr="006B357E" w:rsidRDefault="0093634F" w:rsidP="007B3CDE">
      <w:pPr>
        <w:numPr>
          <w:ilvl w:val="0"/>
          <w:numId w:val="24"/>
        </w:numPr>
        <w:spacing w:before="60" w:after="60"/>
        <w:jc w:val="both"/>
        <w:rPr>
          <w:rFonts w:ascii="Arial" w:hAnsi="Arial" w:cs="Arial"/>
          <w:sz w:val="22"/>
          <w:szCs w:val="22"/>
        </w:rPr>
      </w:pPr>
      <w:r w:rsidRPr="006B357E">
        <w:rPr>
          <w:rFonts w:ascii="Arial" w:hAnsi="Arial" w:cs="Arial"/>
          <w:sz w:val="22"/>
          <w:szCs w:val="22"/>
        </w:rPr>
        <w:t xml:space="preserve">Comprehensive disease management programmes which are patient-focused and involve multidisciplinary teams. </w:t>
      </w:r>
    </w:p>
    <w:p w14:paraId="1CB482EB" w14:textId="77777777" w:rsidR="0093634F" w:rsidRPr="006B357E" w:rsidRDefault="0093634F" w:rsidP="007B3CDE">
      <w:pPr>
        <w:numPr>
          <w:ilvl w:val="0"/>
          <w:numId w:val="24"/>
        </w:numPr>
        <w:spacing w:before="60" w:after="60"/>
        <w:jc w:val="both"/>
        <w:rPr>
          <w:rFonts w:ascii="Arial" w:hAnsi="Arial" w:cs="Arial"/>
          <w:sz w:val="22"/>
          <w:szCs w:val="22"/>
        </w:rPr>
      </w:pPr>
      <w:r w:rsidRPr="006B357E">
        <w:rPr>
          <w:rFonts w:ascii="Arial" w:hAnsi="Arial" w:cs="Arial"/>
          <w:sz w:val="22"/>
          <w:szCs w:val="22"/>
        </w:rPr>
        <w:t>Education and self-management programmes in association with disease management programmes.</w:t>
      </w:r>
    </w:p>
    <w:p w14:paraId="540F436B" w14:textId="77777777" w:rsidR="0093634F" w:rsidRPr="006B357E" w:rsidRDefault="0093634F" w:rsidP="007B3CDE">
      <w:pPr>
        <w:numPr>
          <w:ilvl w:val="0"/>
          <w:numId w:val="24"/>
        </w:numPr>
        <w:spacing w:before="60" w:after="60"/>
        <w:jc w:val="both"/>
        <w:rPr>
          <w:rFonts w:ascii="Arial" w:hAnsi="Arial" w:cs="Arial"/>
          <w:sz w:val="22"/>
          <w:szCs w:val="22"/>
        </w:rPr>
      </w:pPr>
      <w:r w:rsidRPr="006B357E">
        <w:rPr>
          <w:rFonts w:ascii="Arial" w:hAnsi="Arial" w:cs="Arial"/>
          <w:sz w:val="22"/>
          <w:szCs w:val="22"/>
        </w:rPr>
        <w:t>Disease-specific management programmes, in particular for long-term conditions such asthma and ischaemic heart disease.</w:t>
      </w:r>
    </w:p>
    <w:p w14:paraId="689A35BD" w14:textId="77777777" w:rsidR="0093634F" w:rsidRPr="006B357E" w:rsidRDefault="0093634F" w:rsidP="0093634F">
      <w:pPr>
        <w:spacing w:before="60" w:after="60"/>
        <w:jc w:val="both"/>
        <w:rPr>
          <w:rFonts w:ascii="Arial" w:hAnsi="Arial" w:cs="Arial"/>
          <w:sz w:val="22"/>
          <w:szCs w:val="22"/>
        </w:rPr>
      </w:pPr>
      <w:r w:rsidRPr="006B357E">
        <w:rPr>
          <w:rFonts w:ascii="Arial" w:hAnsi="Arial" w:cs="Arial"/>
          <w:sz w:val="22"/>
          <w:szCs w:val="22"/>
        </w:rPr>
        <w:lastRenderedPageBreak/>
        <w:t>A Systematic Review that identified the effective interventions for reducing these admissions was published in 2008 by the Health Services Assessment Collaboration.</w:t>
      </w:r>
      <w:r w:rsidRPr="006B357E">
        <w:rPr>
          <w:rFonts w:ascii="Arial" w:hAnsi="Arial" w:cs="Arial"/>
          <w:sz w:val="22"/>
          <w:szCs w:val="22"/>
          <w:vertAlign w:val="superscript"/>
        </w:rPr>
        <w:footnoteReference w:id="16"/>
      </w:r>
      <w:r w:rsidRPr="006B357E">
        <w:rPr>
          <w:rFonts w:ascii="Arial" w:hAnsi="Arial" w:cs="Arial"/>
          <w:sz w:val="22"/>
          <w:szCs w:val="22"/>
        </w:rPr>
        <w:t xml:space="preserve"> </w:t>
      </w:r>
    </w:p>
    <w:p w14:paraId="7F0C73A4" w14:textId="77777777" w:rsidR="0093634F" w:rsidRPr="00585457" w:rsidRDefault="0093634F" w:rsidP="0093634F">
      <w:pPr>
        <w:spacing w:before="240" w:after="60"/>
        <w:jc w:val="both"/>
        <w:rPr>
          <w:rFonts w:ascii="Arial" w:hAnsi="Arial" w:cs="Arial"/>
          <w:b/>
          <w:sz w:val="22"/>
          <w:szCs w:val="22"/>
        </w:rPr>
      </w:pPr>
      <w:r w:rsidRPr="00585457">
        <w:rPr>
          <w:rFonts w:ascii="Arial" w:hAnsi="Arial" w:cs="Arial"/>
          <w:b/>
          <w:sz w:val="22"/>
          <w:szCs w:val="22"/>
        </w:rPr>
        <w:t>Deliverable definitions</w:t>
      </w:r>
    </w:p>
    <w:p w14:paraId="1BBD4E92" w14:textId="77777777" w:rsidR="0093634F" w:rsidRPr="006B357E" w:rsidRDefault="0093634F" w:rsidP="0093634F">
      <w:pPr>
        <w:spacing w:before="60" w:after="60"/>
        <w:jc w:val="both"/>
        <w:rPr>
          <w:rFonts w:ascii="Arial" w:hAnsi="Arial" w:cs="Arial"/>
          <w:sz w:val="22"/>
          <w:szCs w:val="22"/>
        </w:rPr>
      </w:pPr>
      <w:r w:rsidRPr="006B357E">
        <w:rPr>
          <w:rFonts w:ascii="Arial" w:hAnsi="Arial" w:cs="Arial"/>
          <w:sz w:val="22"/>
          <w:szCs w:val="22"/>
        </w:rPr>
        <w:t xml:space="preserve">Each DHB is expected to provide a commentary on their latest </w:t>
      </w:r>
      <w:proofErr w:type="gramStart"/>
      <w:r w:rsidRPr="006B357E">
        <w:rPr>
          <w:rFonts w:ascii="Arial" w:hAnsi="Arial" w:cs="Arial"/>
          <w:sz w:val="22"/>
          <w:szCs w:val="22"/>
        </w:rPr>
        <w:t>12 month</w:t>
      </w:r>
      <w:proofErr w:type="gramEnd"/>
      <w:r w:rsidRPr="006B357E">
        <w:rPr>
          <w:rFonts w:ascii="Arial" w:hAnsi="Arial" w:cs="Arial"/>
          <w:sz w:val="22"/>
          <w:szCs w:val="22"/>
        </w:rPr>
        <w:t xml:space="preserve"> ASH data which is available on the nationwide service framework library web site (NSFL) homepage: </w:t>
      </w:r>
      <w:hyperlink r:id="rId30" w:history="1">
        <w:r w:rsidRPr="006B357E">
          <w:rPr>
            <w:sz w:val="22"/>
            <w:szCs w:val="22"/>
            <w:u w:val="single"/>
          </w:rPr>
          <w:t>http://www.nsfl.health.govt.nz/</w:t>
        </w:r>
      </w:hyperlink>
      <w:r w:rsidRPr="006B357E">
        <w:rPr>
          <w:rFonts w:ascii="Arial" w:hAnsi="Arial" w:cs="Arial"/>
          <w:sz w:val="22"/>
          <w:szCs w:val="22"/>
        </w:rPr>
        <w:t>. The data on this site is based on the DHB of domicile population, so all ASH admissions will be captured regardless of which hospital people are admitted to.</w:t>
      </w:r>
    </w:p>
    <w:p w14:paraId="487BF168" w14:textId="77777777" w:rsidR="0093634F" w:rsidRPr="006B357E" w:rsidRDefault="0093634F" w:rsidP="0093634F">
      <w:pPr>
        <w:spacing w:before="60" w:after="60"/>
        <w:jc w:val="both"/>
        <w:rPr>
          <w:rFonts w:ascii="Arial" w:hAnsi="Arial" w:cs="Arial"/>
          <w:sz w:val="22"/>
          <w:szCs w:val="22"/>
        </w:rPr>
      </w:pPr>
    </w:p>
    <w:p w14:paraId="55E90FBA" w14:textId="77777777" w:rsidR="0093634F" w:rsidRPr="006B357E" w:rsidRDefault="0093634F" w:rsidP="0093634F">
      <w:pPr>
        <w:spacing w:before="60" w:after="60"/>
        <w:jc w:val="both"/>
        <w:rPr>
          <w:rFonts w:ascii="Arial" w:hAnsi="Arial" w:cs="Arial"/>
          <w:sz w:val="22"/>
          <w:szCs w:val="22"/>
        </w:rPr>
      </w:pPr>
      <w:r w:rsidRPr="006B357E">
        <w:rPr>
          <w:rFonts w:ascii="Arial" w:hAnsi="Arial" w:cs="Arial"/>
          <w:sz w:val="22"/>
          <w:szCs w:val="22"/>
        </w:rPr>
        <w:t xml:space="preserve">The DHB commentary may include additional district level data that is not captured in the national data collection and also information about local initiatives that are intended to reduce ASH admissions.  </w:t>
      </w:r>
    </w:p>
    <w:p w14:paraId="690D3074" w14:textId="77777777" w:rsidR="0093634F" w:rsidRPr="006B357E" w:rsidRDefault="0093634F" w:rsidP="0093634F">
      <w:pPr>
        <w:spacing w:before="60" w:after="60"/>
        <w:jc w:val="both"/>
        <w:rPr>
          <w:rFonts w:ascii="Arial" w:hAnsi="Arial" w:cs="Arial"/>
          <w:sz w:val="22"/>
          <w:szCs w:val="22"/>
        </w:rPr>
      </w:pPr>
    </w:p>
    <w:p w14:paraId="3A08C2D5" w14:textId="77777777" w:rsidR="0093634F" w:rsidRPr="006B357E" w:rsidRDefault="0093634F" w:rsidP="0093634F">
      <w:pPr>
        <w:spacing w:before="60" w:after="60"/>
        <w:jc w:val="both"/>
        <w:rPr>
          <w:rFonts w:ascii="Arial" w:hAnsi="Arial" w:cs="Arial"/>
          <w:b/>
          <w:sz w:val="22"/>
          <w:szCs w:val="22"/>
        </w:rPr>
      </w:pPr>
      <w:r w:rsidRPr="006B357E">
        <w:rPr>
          <w:rFonts w:ascii="Arial" w:hAnsi="Arial" w:cs="Arial"/>
          <w:b/>
          <w:sz w:val="22"/>
          <w:szCs w:val="22"/>
        </w:rPr>
        <w:t>ASH per 100,000</w:t>
      </w:r>
    </w:p>
    <w:p w14:paraId="7D274668" w14:textId="77777777" w:rsidR="0093634F" w:rsidRDefault="0093634F" w:rsidP="0093634F">
      <w:pPr>
        <w:spacing w:before="60" w:after="60"/>
        <w:jc w:val="both"/>
        <w:rPr>
          <w:rFonts w:ascii="Arial" w:hAnsi="Arial" w:cs="Arial"/>
          <w:b/>
          <w:i/>
          <w:sz w:val="22"/>
          <w:szCs w:val="22"/>
        </w:rPr>
      </w:pPr>
      <w:r w:rsidRPr="006B357E">
        <w:rPr>
          <w:rFonts w:ascii="Arial" w:hAnsi="Arial" w:cs="Arial"/>
          <w:sz w:val="22"/>
          <w:szCs w:val="22"/>
        </w:rPr>
        <w:t>The number of ASH admissions per 100,000 population (DHB and national rates) are provided for two different age groups. These are 45 – 64 years and 0 – 4 years</w:t>
      </w:r>
      <w:r w:rsidRPr="006B357E">
        <w:rPr>
          <w:rFonts w:ascii="Arial" w:hAnsi="Arial" w:cs="Arial"/>
          <w:b/>
          <w:i/>
          <w:sz w:val="22"/>
          <w:szCs w:val="22"/>
        </w:rPr>
        <w:t>.</w:t>
      </w:r>
    </w:p>
    <w:p w14:paraId="66C50C99" w14:textId="77777777" w:rsidR="0093634F" w:rsidRDefault="0093634F" w:rsidP="0093634F">
      <w:pPr>
        <w:spacing w:before="60" w:after="60"/>
        <w:jc w:val="both"/>
        <w:rPr>
          <w:rFonts w:ascii="Arial" w:hAnsi="Arial" w:cs="Arial"/>
          <w:b/>
          <w:sz w:val="22"/>
          <w:szCs w:val="22"/>
        </w:rPr>
      </w:pPr>
    </w:p>
    <w:p w14:paraId="30813D7F" w14:textId="77777777" w:rsidR="0093634F" w:rsidRPr="00423AC5" w:rsidRDefault="0093634F" w:rsidP="0093634F">
      <w:pPr>
        <w:spacing w:before="60" w:after="60"/>
        <w:jc w:val="both"/>
        <w:rPr>
          <w:rFonts w:ascii="Arial" w:hAnsi="Arial" w:cs="Arial"/>
          <w:i/>
        </w:rPr>
      </w:pPr>
      <w:r w:rsidRPr="00423AC5">
        <w:rPr>
          <w:rFonts w:ascii="Arial" w:hAnsi="Arial" w:cs="Arial"/>
          <w:i/>
        </w:rPr>
        <w:t>Please note that</w:t>
      </w:r>
      <w:r w:rsidRPr="00423AC5">
        <w:rPr>
          <w:rFonts w:ascii="Arial" w:hAnsi="Arial" w:cs="Arial"/>
          <w:bCs/>
          <w:i/>
          <w:iCs/>
          <w:kern w:val="32"/>
        </w:rPr>
        <w:t xml:space="preserve"> Ambulatory sensitive hospitalisations</w:t>
      </w:r>
      <w:r>
        <w:rPr>
          <w:rFonts w:ascii="Arial" w:hAnsi="Arial" w:cs="Arial"/>
          <w:bCs/>
          <w:i/>
          <w:iCs/>
          <w:kern w:val="32"/>
        </w:rPr>
        <w:t xml:space="preserve"> (ASH) rates for </w:t>
      </w:r>
      <w:proofErr w:type="gramStart"/>
      <w:r>
        <w:rPr>
          <w:rFonts w:ascii="Arial" w:hAnsi="Arial" w:cs="Arial"/>
          <w:bCs/>
          <w:i/>
          <w:iCs/>
          <w:kern w:val="32"/>
        </w:rPr>
        <w:t>zero to four year olds</w:t>
      </w:r>
      <w:proofErr w:type="gramEnd"/>
      <w:r>
        <w:rPr>
          <w:rFonts w:ascii="Arial" w:hAnsi="Arial" w:cs="Arial"/>
          <w:bCs/>
          <w:i/>
          <w:iCs/>
          <w:kern w:val="32"/>
        </w:rPr>
        <w:t xml:space="preserve"> is a System Level Measure. In relation to the SLM DHBs should identify an improvement milestone that improves on their non-standardised baseline position (this approach also applies to the 45-64 age band target included in the Annual Plan).</w:t>
      </w:r>
    </w:p>
    <w:p w14:paraId="69210AE6" w14:textId="77777777" w:rsidR="0093634F" w:rsidRDefault="0093634F" w:rsidP="0093634F">
      <w:pPr>
        <w:spacing w:before="60" w:after="60"/>
        <w:jc w:val="both"/>
        <w:rPr>
          <w:rFonts w:ascii="Arial" w:hAnsi="Arial" w:cs="Arial"/>
          <w:sz w:val="22"/>
          <w:szCs w:val="22"/>
        </w:rPr>
      </w:pPr>
    </w:p>
    <w:p w14:paraId="33AC0A9F" w14:textId="77777777" w:rsidR="0093634F" w:rsidRPr="006B357E" w:rsidRDefault="0093634F" w:rsidP="0093634F">
      <w:pPr>
        <w:spacing w:before="60" w:after="60"/>
        <w:ind w:left="426"/>
        <w:jc w:val="both"/>
        <w:rPr>
          <w:rFonts w:ascii="Arial" w:hAnsi="Arial" w:cs="Arial"/>
          <w:sz w:val="22"/>
          <w:szCs w:val="22"/>
        </w:rPr>
      </w:pPr>
      <w:r w:rsidRPr="006B357E">
        <w:rPr>
          <w:rFonts w:ascii="Arial" w:hAnsi="Arial" w:cs="Arial"/>
          <w:sz w:val="22"/>
          <w:szCs w:val="22"/>
        </w:rPr>
        <w:t>Each ASH age band total population data is divided into:</w:t>
      </w:r>
    </w:p>
    <w:p w14:paraId="6A205345" w14:textId="77777777" w:rsidR="0093634F" w:rsidRPr="006B357E" w:rsidRDefault="0093634F" w:rsidP="007B3CDE">
      <w:pPr>
        <w:numPr>
          <w:ilvl w:val="0"/>
          <w:numId w:val="26"/>
        </w:numPr>
        <w:spacing w:before="60" w:after="60"/>
        <w:ind w:left="851"/>
        <w:contextualSpacing/>
        <w:jc w:val="both"/>
        <w:rPr>
          <w:rFonts w:ascii="Arial" w:hAnsi="Arial" w:cs="Arial"/>
          <w:sz w:val="22"/>
          <w:szCs w:val="22"/>
        </w:rPr>
      </w:pPr>
      <w:r w:rsidRPr="006B357E">
        <w:rPr>
          <w:rFonts w:ascii="Arial" w:hAnsi="Arial" w:cs="Arial"/>
          <w:sz w:val="22"/>
          <w:szCs w:val="22"/>
        </w:rPr>
        <w:t>Māori</w:t>
      </w:r>
    </w:p>
    <w:p w14:paraId="75277247" w14:textId="77777777" w:rsidR="0093634F" w:rsidRPr="006B357E" w:rsidRDefault="0093634F" w:rsidP="007B3CDE">
      <w:pPr>
        <w:numPr>
          <w:ilvl w:val="0"/>
          <w:numId w:val="26"/>
        </w:numPr>
        <w:spacing w:before="60" w:after="60"/>
        <w:ind w:left="851"/>
        <w:contextualSpacing/>
        <w:jc w:val="both"/>
        <w:rPr>
          <w:rFonts w:ascii="Arial" w:hAnsi="Arial" w:cs="Arial"/>
          <w:sz w:val="22"/>
          <w:szCs w:val="22"/>
        </w:rPr>
      </w:pPr>
      <w:r w:rsidRPr="006B357E">
        <w:rPr>
          <w:rFonts w:ascii="Arial" w:hAnsi="Arial" w:cs="Arial"/>
          <w:sz w:val="22"/>
          <w:szCs w:val="22"/>
        </w:rPr>
        <w:t>Pacific – for the seven DHBs with the highest number of Pacific people. These are: Auckland, Waitemata, Counties Manukau, Waikato, Capital and Coast, Hutt, and Canterbury</w:t>
      </w:r>
    </w:p>
    <w:p w14:paraId="0558036F" w14:textId="77777777" w:rsidR="0093634F" w:rsidRPr="006B357E" w:rsidRDefault="0093634F" w:rsidP="007B3CDE">
      <w:pPr>
        <w:numPr>
          <w:ilvl w:val="0"/>
          <w:numId w:val="26"/>
        </w:numPr>
        <w:spacing w:before="60" w:after="60"/>
        <w:ind w:left="851"/>
        <w:contextualSpacing/>
        <w:jc w:val="both"/>
        <w:rPr>
          <w:rFonts w:ascii="Arial" w:hAnsi="Arial" w:cs="Arial"/>
          <w:sz w:val="22"/>
          <w:szCs w:val="22"/>
        </w:rPr>
      </w:pPr>
      <w:r w:rsidRPr="006B357E">
        <w:rPr>
          <w:rFonts w:ascii="Arial" w:hAnsi="Arial" w:cs="Arial"/>
          <w:sz w:val="22"/>
          <w:szCs w:val="22"/>
        </w:rPr>
        <w:t xml:space="preserve">Other </w:t>
      </w:r>
    </w:p>
    <w:p w14:paraId="1C8873B2" w14:textId="77777777" w:rsidR="0093634F" w:rsidRPr="006B357E" w:rsidRDefault="0093634F" w:rsidP="0093634F">
      <w:pPr>
        <w:spacing w:before="60" w:after="60"/>
        <w:ind w:left="426"/>
        <w:contextualSpacing/>
        <w:jc w:val="both"/>
        <w:rPr>
          <w:rFonts w:ascii="Arial" w:hAnsi="Arial" w:cs="Arial"/>
          <w:sz w:val="22"/>
          <w:szCs w:val="22"/>
        </w:rPr>
      </w:pPr>
    </w:p>
    <w:p w14:paraId="39CB3A3F" w14:textId="77777777" w:rsidR="0093634F" w:rsidRPr="006B357E" w:rsidRDefault="0093634F" w:rsidP="0093634F">
      <w:pPr>
        <w:spacing w:before="60" w:after="60"/>
        <w:ind w:left="426"/>
        <w:jc w:val="both"/>
        <w:rPr>
          <w:rFonts w:ascii="Arial" w:hAnsi="Arial" w:cs="Arial"/>
          <w:sz w:val="22"/>
          <w:szCs w:val="22"/>
        </w:rPr>
      </w:pPr>
    </w:p>
    <w:p w14:paraId="448660C6" w14:textId="77777777" w:rsidR="0093634F" w:rsidRPr="006B357E" w:rsidRDefault="0093634F" w:rsidP="0093634F">
      <w:pPr>
        <w:spacing w:before="60" w:after="60"/>
        <w:ind w:left="426"/>
        <w:jc w:val="both"/>
        <w:rPr>
          <w:rFonts w:ascii="Arial" w:hAnsi="Arial" w:cs="Arial"/>
          <w:sz w:val="22"/>
          <w:szCs w:val="22"/>
        </w:rPr>
      </w:pPr>
      <w:r w:rsidRPr="006B357E">
        <w:rPr>
          <w:rFonts w:ascii="Arial" w:hAnsi="Arial" w:cs="Arial"/>
          <w:sz w:val="22"/>
          <w:szCs w:val="22"/>
        </w:rPr>
        <w:t xml:space="preserve">Additional information can be found on the nationwide services framework library web site </w:t>
      </w:r>
      <w:hyperlink r:id="rId31" w:history="1">
        <w:r w:rsidRPr="006B357E">
          <w:rPr>
            <w:rFonts w:ascii="Arial" w:hAnsi="Arial" w:cs="Arial"/>
            <w:sz w:val="22"/>
            <w:szCs w:val="22"/>
            <w:u w:val="single"/>
          </w:rPr>
          <w:t>www.nsfl.govt.nz</w:t>
        </w:r>
      </w:hyperlink>
      <w:r w:rsidRPr="006B357E">
        <w:rPr>
          <w:rFonts w:ascii="Arial" w:hAnsi="Arial" w:cs="Arial"/>
          <w:sz w:val="22"/>
          <w:szCs w:val="22"/>
        </w:rPr>
        <w:t xml:space="preserve">  including </w:t>
      </w:r>
      <w:proofErr w:type="gramStart"/>
      <w:r w:rsidRPr="006B357E">
        <w:rPr>
          <w:rFonts w:ascii="Arial" w:hAnsi="Arial" w:cs="Arial"/>
          <w:sz w:val="22"/>
          <w:szCs w:val="22"/>
        </w:rPr>
        <w:t>five year</w:t>
      </w:r>
      <w:proofErr w:type="gramEnd"/>
      <w:r w:rsidRPr="006B357E">
        <w:rPr>
          <w:rFonts w:ascii="Arial" w:hAnsi="Arial" w:cs="Arial"/>
          <w:sz w:val="22"/>
          <w:szCs w:val="22"/>
        </w:rPr>
        <w:t xml:space="preserve"> trend data (DHB and national), which together with the condition level data assists with interpretation at a DHB level. </w:t>
      </w:r>
    </w:p>
    <w:p w14:paraId="723B5641" w14:textId="77777777" w:rsidR="0093634F" w:rsidRPr="006B357E" w:rsidRDefault="0093634F" w:rsidP="0093634F">
      <w:pPr>
        <w:ind w:left="426"/>
        <w:jc w:val="both"/>
        <w:rPr>
          <w:rFonts w:ascii="Arial" w:hAnsi="Arial" w:cs="Arial"/>
          <w:sz w:val="22"/>
          <w:szCs w:val="22"/>
        </w:rPr>
      </w:pPr>
      <w:r w:rsidRPr="006B357E">
        <w:rPr>
          <w:rFonts w:ascii="Arial" w:hAnsi="Arial" w:cs="Arial"/>
          <w:b/>
          <w:i/>
          <w:sz w:val="22"/>
          <w:szCs w:val="22"/>
        </w:rPr>
        <w:t xml:space="preserve">Denominator: </w:t>
      </w:r>
    </w:p>
    <w:p w14:paraId="69690302" w14:textId="77777777" w:rsidR="0093634F" w:rsidRPr="006B357E" w:rsidRDefault="0093634F" w:rsidP="0093634F">
      <w:pPr>
        <w:ind w:left="426"/>
        <w:jc w:val="both"/>
        <w:rPr>
          <w:rFonts w:ascii="Arial" w:hAnsi="Arial" w:cs="Arial"/>
          <w:sz w:val="22"/>
          <w:szCs w:val="22"/>
        </w:rPr>
      </w:pPr>
      <w:r w:rsidRPr="006B357E">
        <w:rPr>
          <w:rFonts w:ascii="Arial" w:hAnsi="Arial" w:cs="Arial"/>
          <w:sz w:val="22"/>
          <w:szCs w:val="22"/>
        </w:rPr>
        <w:t xml:space="preserve">The DHB population is derived from Statistics NZ </w:t>
      </w:r>
      <w:r>
        <w:rPr>
          <w:rFonts w:ascii="Arial" w:hAnsi="Arial" w:cs="Arial"/>
          <w:sz w:val="22"/>
          <w:szCs w:val="22"/>
        </w:rPr>
        <w:t>Census data</w:t>
      </w:r>
    </w:p>
    <w:p w14:paraId="7CA54641" w14:textId="77777777" w:rsidR="0093634F" w:rsidRPr="006B357E" w:rsidRDefault="0093634F" w:rsidP="0093634F">
      <w:pPr>
        <w:ind w:left="426"/>
        <w:jc w:val="both"/>
        <w:rPr>
          <w:rFonts w:ascii="Arial" w:hAnsi="Arial" w:cs="Arial"/>
          <w:sz w:val="22"/>
          <w:szCs w:val="22"/>
        </w:rPr>
      </w:pPr>
    </w:p>
    <w:p w14:paraId="6B852658" w14:textId="77777777" w:rsidR="0093634F" w:rsidRDefault="0093634F" w:rsidP="0093634F">
      <w:pPr>
        <w:ind w:left="426"/>
        <w:jc w:val="both"/>
        <w:rPr>
          <w:rFonts w:ascii="Arial" w:hAnsi="Arial" w:cs="Arial"/>
          <w:b/>
          <w:szCs w:val="22"/>
        </w:rPr>
      </w:pPr>
    </w:p>
    <w:p w14:paraId="6E1CEC30" w14:textId="77777777" w:rsidR="0093634F" w:rsidRDefault="0093634F" w:rsidP="0093634F">
      <w:pPr>
        <w:ind w:left="426"/>
        <w:jc w:val="both"/>
        <w:rPr>
          <w:rFonts w:ascii="Arial" w:hAnsi="Arial" w:cs="Arial"/>
          <w:b/>
          <w:szCs w:val="22"/>
        </w:rPr>
      </w:pPr>
    </w:p>
    <w:p w14:paraId="669DCEC4" w14:textId="77777777" w:rsidR="0093634F" w:rsidRPr="006B357E" w:rsidRDefault="0093634F" w:rsidP="0093634F">
      <w:pPr>
        <w:ind w:left="426"/>
        <w:jc w:val="both"/>
        <w:rPr>
          <w:rFonts w:ascii="Arial" w:hAnsi="Arial" w:cs="Arial"/>
          <w:i/>
          <w:szCs w:val="22"/>
        </w:rPr>
      </w:pPr>
      <w:r w:rsidRPr="006B357E">
        <w:rPr>
          <w:rFonts w:ascii="Arial" w:hAnsi="Arial" w:cs="Arial"/>
          <w:b/>
          <w:szCs w:val="22"/>
        </w:rPr>
        <w:t xml:space="preserve">Expectations </w:t>
      </w:r>
    </w:p>
    <w:p w14:paraId="4F12339B" w14:textId="77777777" w:rsidR="0093634F" w:rsidRDefault="0093634F" w:rsidP="0093634F">
      <w:pPr>
        <w:ind w:left="426"/>
        <w:jc w:val="both"/>
        <w:rPr>
          <w:rFonts w:ascii="Arial" w:hAnsi="Arial" w:cs="Arial"/>
          <w:sz w:val="22"/>
          <w:szCs w:val="22"/>
        </w:rPr>
      </w:pPr>
      <w:r w:rsidRPr="00595EFA">
        <w:rPr>
          <w:rFonts w:ascii="Arial" w:hAnsi="Arial" w:cs="Arial"/>
          <w:sz w:val="22"/>
          <w:szCs w:val="22"/>
        </w:rPr>
        <w:t xml:space="preserve">For the 45-64 age group </w:t>
      </w:r>
      <w:r>
        <w:rPr>
          <w:rFonts w:ascii="Arial" w:hAnsi="Arial" w:cs="Arial"/>
          <w:sz w:val="22"/>
          <w:szCs w:val="22"/>
        </w:rPr>
        <w:t xml:space="preserve">DHB Annual plans include targets for the </w:t>
      </w:r>
      <w:r w:rsidRPr="00595EFA">
        <w:rPr>
          <w:rFonts w:ascii="Arial" w:hAnsi="Arial" w:cs="Arial"/>
          <w:sz w:val="22"/>
          <w:szCs w:val="22"/>
        </w:rPr>
        <w:t xml:space="preserve">total population (the Ministry will continue to monitor and assess DHB performance for sub populations against the total population target. Performance for the 0-4 age group is a focus in the SLM improvement plan, when setting targets DHB are expected to refer to the SLM improvement plan in relation to this age group.  </w:t>
      </w:r>
    </w:p>
    <w:p w14:paraId="0852AB90" w14:textId="77777777" w:rsidR="0093634F" w:rsidRPr="006B357E" w:rsidRDefault="0093634F" w:rsidP="0093634F">
      <w:pPr>
        <w:ind w:left="426"/>
        <w:jc w:val="both"/>
        <w:rPr>
          <w:rFonts w:ascii="Arial" w:hAnsi="Arial" w:cs="Arial"/>
          <w:sz w:val="22"/>
          <w:szCs w:val="22"/>
        </w:rPr>
      </w:pPr>
      <w:r>
        <w:rPr>
          <w:rFonts w:ascii="Arial" w:hAnsi="Arial" w:cs="Arial"/>
          <w:sz w:val="22"/>
          <w:szCs w:val="22"/>
        </w:rPr>
        <w:t xml:space="preserve">Performance for the 0-4 age group will be assessed through the SLM improvement plan reporting.  </w:t>
      </w:r>
    </w:p>
    <w:p w14:paraId="668C5627" w14:textId="77777777" w:rsidR="0093634F" w:rsidRDefault="0093634F" w:rsidP="0093634F">
      <w:pPr>
        <w:ind w:left="426"/>
        <w:jc w:val="both"/>
        <w:rPr>
          <w:rFonts w:ascii="Arial" w:hAnsi="Arial" w:cs="Arial"/>
          <w:sz w:val="22"/>
          <w:szCs w:val="22"/>
        </w:rPr>
      </w:pPr>
    </w:p>
    <w:p w14:paraId="30D201C4" w14:textId="77777777" w:rsidR="0093634F" w:rsidRDefault="0093634F" w:rsidP="0093634F">
      <w:pPr>
        <w:ind w:left="426"/>
        <w:jc w:val="both"/>
        <w:rPr>
          <w:rFonts w:ascii="Arial" w:hAnsi="Arial" w:cs="Arial"/>
          <w:sz w:val="22"/>
          <w:szCs w:val="22"/>
        </w:rPr>
      </w:pPr>
    </w:p>
    <w:p w14:paraId="039A8FC1" w14:textId="77777777" w:rsidR="0093634F" w:rsidRPr="006B357E" w:rsidRDefault="0093634F" w:rsidP="0093634F">
      <w:pPr>
        <w:jc w:val="both"/>
        <w:rPr>
          <w:rFonts w:ascii="Arial" w:hAnsi="Arial" w:cs="Arial"/>
          <w:b/>
          <w:szCs w:val="22"/>
        </w:rPr>
      </w:pPr>
      <w:r w:rsidRPr="006B357E">
        <w:rPr>
          <w:rFonts w:ascii="Arial" w:hAnsi="Arial" w:cs="Arial"/>
          <w:b/>
          <w:szCs w:val="22"/>
        </w:rPr>
        <w:t>Additional Data</w:t>
      </w:r>
    </w:p>
    <w:p w14:paraId="5B898088" w14:textId="77777777" w:rsidR="0093634F" w:rsidRPr="006B357E" w:rsidRDefault="0093634F" w:rsidP="0093634F">
      <w:pPr>
        <w:jc w:val="both"/>
        <w:rPr>
          <w:rFonts w:ascii="Arial" w:hAnsi="Arial" w:cs="Arial"/>
          <w:sz w:val="22"/>
          <w:szCs w:val="22"/>
        </w:rPr>
      </w:pPr>
      <w:r w:rsidRPr="006B357E">
        <w:rPr>
          <w:rFonts w:ascii="Arial" w:hAnsi="Arial" w:cs="Arial"/>
          <w:sz w:val="22"/>
          <w:szCs w:val="22"/>
        </w:rPr>
        <w:t>Additional condition level data is available to DHBs through the NSFL website.</w:t>
      </w:r>
    </w:p>
    <w:p w14:paraId="4514BBB2" w14:textId="77777777" w:rsidR="0093634F" w:rsidRPr="006B357E" w:rsidRDefault="0093634F" w:rsidP="0093634F">
      <w:pPr>
        <w:jc w:val="both"/>
        <w:rPr>
          <w:rFonts w:ascii="Arial" w:hAnsi="Arial" w:cs="Arial"/>
          <w:b/>
          <w:szCs w:val="22"/>
        </w:rPr>
      </w:pPr>
    </w:p>
    <w:p w14:paraId="477170C8" w14:textId="77777777" w:rsidR="0093634F" w:rsidRPr="006B357E" w:rsidRDefault="0093634F" w:rsidP="0093634F">
      <w:pPr>
        <w:jc w:val="both"/>
        <w:rPr>
          <w:rFonts w:ascii="Arial" w:hAnsi="Arial" w:cs="Arial"/>
          <w:b/>
          <w:szCs w:val="22"/>
        </w:rPr>
      </w:pPr>
      <w:r w:rsidRPr="006B357E">
        <w:rPr>
          <w:rFonts w:ascii="Arial" w:hAnsi="Arial" w:cs="Arial"/>
          <w:b/>
          <w:szCs w:val="22"/>
        </w:rPr>
        <w:t xml:space="preserve">Reporting Period </w:t>
      </w:r>
    </w:p>
    <w:p w14:paraId="66008FAE" w14:textId="77777777" w:rsidR="0093634F" w:rsidRDefault="0093634F" w:rsidP="0093634F">
      <w:pPr>
        <w:jc w:val="both"/>
        <w:rPr>
          <w:rFonts w:ascii="Arial" w:hAnsi="Arial" w:cs="Arial"/>
          <w:sz w:val="22"/>
          <w:szCs w:val="22"/>
          <w:lang w:val="en-GB"/>
        </w:rPr>
      </w:pPr>
      <w:r>
        <w:rPr>
          <w:rFonts w:ascii="Arial" w:hAnsi="Arial" w:cs="Arial"/>
          <w:sz w:val="22"/>
          <w:szCs w:val="22"/>
          <w:lang w:val="en-GB"/>
        </w:rPr>
        <w:lastRenderedPageBreak/>
        <w:t xml:space="preserve">Annual Plan and SLM </w:t>
      </w:r>
      <w:r w:rsidRPr="00B05012">
        <w:rPr>
          <w:rFonts w:ascii="Arial" w:hAnsi="Arial" w:cs="Arial"/>
          <w:sz w:val="22"/>
          <w:szCs w:val="22"/>
          <w:lang w:val="en-GB"/>
        </w:rPr>
        <w:t xml:space="preserve">Six monthly in the </w:t>
      </w:r>
      <w:r>
        <w:rPr>
          <w:rFonts w:ascii="Arial" w:hAnsi="Arial" w:cs="Arial"/>
          <w:sz w:val="22"/>
          <w:szCs w:val="22"/>
          <w:lang w:val="en-GB"/>
        </w:rPr>
        <w:t>second</w:t>
      </w:r>
      <w:r w:rsidRPr="00B05012">
        <w:rPr>
          <w:rFonts w:ascii="Arial" w:hAnsi="Arial" w:cs="Arial"/>
          <w:sz w:val="22"/>
          <w:szCs w:val="22"/>
          <w:lang w:val="en-GB"/>
        </w:rPr>
        <w:t xml:space="preserve"> and </w:t>
      </w:r>
      <w:r>
        <w:rPr>
          <w:rFonts w:ascii="Arial" w:hAnsi="Arial" w:cs="Arial"/>
          <w:sz w:val="22"/>
          <w:szCs w:val="22"/>
          <w:lang w:val="en-GB"/>
        </w:rPr>
        <w:t>fourth</w:t>
      </w:r>
      <w:r w:rsidRPr="00B05012">
        <w:rPr>
          <w:rFonts w:ascii="Arial" w:hAnsi="Arial" w:cs="Arial"/>
          <w:sz w:val="22"/>
          <w:szCs w:val="22"/>
          <w:lang w:val="en-GB"/>
        </w:rPr>
        <w:t xml:space="preserve"> quarters, (against results based on most complete previous 12 months’ data).</w:t>
      </w:r>
    </w:p>
    <w:p w14:paraId="3E94FD0C" w14:textId="77777777" w:rsidR="0093634F" w:rsidRPr="006B357E" w:rsidRDefault="0093634F" w:rsidP="0093634F">
      <w:pPr>
        <w:spacing w:before="120" w:after="120"/>
        <w:rPr>
          <w:rFonts w:ascii="Arial" w:hAnsi="Arial" w:cs="Arial"/>
          <w:b/>
          <w:szCs w:val="22"/>
        </w:rPr>
      </w:pPr>
      <w:r w:rsidRPr="006B357E">
        <w:rPr>
          <w:rFonts w:ascii="Arial" w:hAnsi="Arial" w:cs="Arial"/>
          <w:b/>
          <w:szCs w:val="22"/>
        </w:rPr>
        <w:t>Assessment Criteria</w:t>
      </w:r>
      <w:r>
        <w:rPr>
          <w:rFonts w:ascii="Arial" w:hAnsi="Arial" w:cs="Arial"/>
          <w:b/>
          <w:szCs w:val="22"/>
        </w:rPr>
        <w:t xml:space="preserve"> (45-64 age group)</w:t>
      </w:r>
    </w:p>
    <w:p w14:paraId="74BC9258" w14:textId="77777777" w:rsidR="0093634F" w:rsidRPr="006B357E" w:rsidRDefault="0093634F" w:rsidP="0093634F">
      <w:pPr>
        <w:spacing w:before="60" w:after="60"/>
        <w:jc w:val="both"/>
        <w:rPr>
          <w:rFonts w:ascii="Arial" w:hAnsi="Arial" w:cs="Arial"/>
          <w:sz w:val="22"/>
          <w:szCs w:val="22"/>
        </w:rPr>
      </w:pPr>
      <w:r w:rsidRPr="006B357E">
        <w:rPr>
          <w:rFonts w:ascii="Arial" w:hAnsi="Arial" w:cs="Arial"/>
          <w:sz w:val="22"/>
          <w:szCs w:val="22"/>
        </w:rPr>
        <w:t>These assessments will be based on analysis of the most complete 12 months rolling data available at the time of the assessment. The following achievement scale will be applied: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6836"/>
      </w:tblGrid>
      <w:tr w:rsidR="0093634F" w:rsidRPr="006B357E" w14:paraId="634A081D" w14:textId="77777777" w:rsidTr="009D6F69">
        <w:tc>
          <w:tcPr>
            <w:tcW w:w="25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14723C6" w14:textId="77777777" w:rsidR="0093634F" w:rsidRPr="006B357E" w:rsidRDefault="0093634F" w:rsidP="009D6F69">
            <w:pPr>
              <w:spacing w:before="60" w:after="60"/>
              <w:jc w:val="both"/>
              <w:rPr>
                <w:rFonts w:ascii="Arial" w:hAnsi="Arial" w:cs="Arial"/>
                <w:b/>
                <w:sz w:val="22"/>
                <w:szCs w:val="22"/>
              </w:rPr>
            </w:pPr>
            <w:r w:rsidRPr="006B357E">
              <w:rPr>
                <w:rFonts w:ascii="Arial" w:hAnsi="Arial" w:cs="Arial"/>
                <w:b/>
                <w:sz w:val="22"/>
                <w:szCs w:val="22"/>
              </w:rPr>
              <w:t xml:space="preserve">Rating: </w:t>
            </w:r>
          </w:p>
        </w:tc>
        <w:tc>
          <w:tcPr>
            <w:tcW w:w="6836" w:type="dxa"/>
            <w:tcBorders>
              <w:top w:val="single" w:sz="4" w:space="0" w:color="auto"/>
              <w:left w:val="single" w:sz="4" w:space="0" w:color="auto"/>
              <w:bottom w:val="single" w:sz="4" w:space="0" w:color="auto"/>
              <w:right w:val="single" w:sz="4" w:space="0" w:color="auto"/>
            </w:tcBorders>
            <w:shd w:val="clear" w:color="auto" w:fill="CCCCCC"/>
            <w:vAlign w:val="center"/>
          </w:tcPr>
          <w:p w14:paraId="21340254" w14:textId="77777777" w:rsidR="0093634F" w:rsidRPr="006B357E" w:rsidRDefault="0093634F" w:rsidP="009D6F69">
            <w:pPr>
              <w:spacing w:before="60" w:after="60"/>
              <w:jc w:val="both"/>
              <w:rPr>
                <w:rFonts w:ascii="Arial" w:hAnsi="Arial" w:cs="Arial"/>
                <w:b/>
                <w:sz w:val="22"/>
                <w:szCs w:val="22"/>
              </w:rPr>
            </w:pPr>
          </w:p>
        </w:tc>
      </w:tr>
      <w:tr w:rsidR="0093634F" w:rsidRPr="006B357E" w14:paraId="33A985D2" w14:textId="77777777" w:rsidTr="009D6F69">
        <w:tc>
          <w:tcPr>
            <w:tcW w:w="2520" w:type="dxa"/>
            <w:tcBorders>
              <w:top w:val="single" w:sz="4" w:space="0" w:color="auto"/>
              <w:left w:val="single" w:sz="4" w:space="0" w:color="auto"/>
              <w:bottom w:val="single" w:sz="4" w:space="0" w:color="auto"/>
              <w:right w:val="single" w:sz="4" w:space="0" w:color="auto"/>
            </w:tcBorders>
            <w:hideMark/>
          </w:tcPr>
          <w:p w14:paraId="2183DA40"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Achieved</w:t>
            </w:r>
          </w:p>
        </w:tc>
        <w:tc>
          <w:tcPr>
            <w:tcW w:w="6836" w:type="dxa"/>
            <w:tcBorders>
              <w:top w:val="single" w:sz="4" w:space="0" w:color="auto"/>
              <w:left w:val="single" w:sz="4" w:space="0" w:color="auto"/>
              <w:bottom w:val="single" w:sz="4" w:space="0" w:color="auto"/>
              <w:right w:val="single" w:sz="4" w:space="0" w:color="auto"/>
            </w:tcBorders>
            <w:hideMark/>
          </w:tcPr>
          <w:p w14:paraId="5A589E5E"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An achieved rating is applied when the DHB has met all the ta</w:t>
            </w:r>
            <w:r>
              <w:rPr>
                <w:rFonts w:ascii="Arial" w:hAnsi="Arial" w:cs="Arial"/>
                <w:sz w:val="22"/>
                <w:szCs w:val="22"/>
              </w:rPr>
              <w:t>rgets agreed in its Annual Plan.</w:t>
            </w:r>
          </w:p>
          <w:p w14:paraId="14C0632E" w14:textId="67F4B105"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 xml:space="preserve">. </w:t>
            </w:r>
          </w:p>
        </w:tc>
      </w:tr>
      <w:tr w:rsidR="0093634F" w:rsidRPr="006B357E" w14:paraId="47D55BC3" w14:textId="77777777" w:rsidTr="009D6F69">
        <w:trPr>
          <w:trHeight w:val="601"/>
        </w:trPr>
        <w:tc>
          <w:tcPr>
            <w:tcW w:w="2520" w:type="dxa"/>
            <w:tcBorders>
              <w:top w:val="single" w:sz="4" w:space="0" w:color="auto"/>
              <w:left w:val="single" w:sz="4" w:space="0" w:color="auto"/>
              <w:right w:val="single" w:sz="4" w:space="0" w:color="auto"/>
            </w:tcBorders>
            <w:hideMark/>
          </w:tcPr>
          <w:p w14:paraId="097FA647"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Partially Achieved</w:t>
            </w:r>
          </w:p>
        </w:tc>
        <w:tc>
          <w:tcPr>
            <w:tcW w:w="6836" w:type="dxa"/>
            <w:tcBorders>
              <w:top w:val="single" w:sz="4" w:space="0" w:color="auto"/>
              <w:left w:val="single" w:sz="4" w:space="0" w:color="auto"/>
              <w:bottom w:val="single" w:sz="4" w:space="0" w:color="auto"/>
              <w:right w:val="single" w:sz="4" w:space="0" w:color="auto"/>
            </w:tcBorders>
            <w:hideMark/>
          </w:tcPr>
          <w:p w14:paraId="011AB53C"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The DHB has not met all of the targets agreed in its Annual Plan.</w:t>
            </w:r>
          </w:p>
          <w:p w14:paraId="78A75E30"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 xml:space="preserve">A realistic resolution plan is provided that demonstrates how the DHB will achieve target ASH rates for Maori and Pacific. </w:t>
            </w:r>
          </w:p>
        </w:tc>
      </w:tr>
      <w:tr w:rsidR="0093634F" w:rsidRPr="006B357E" w14:paraId="61BD001E" w14:textId="77777777" w:rsidTr="009D6F69">
        <w:tc>
          <w:tcPr>
            <w:tcW w:w="2520" w:type="dxa"/>
            <w:tcBorders>
              <w:top w:val="single" w:sz="4" w:space="0" w:color="auto"/>
              <w:left w:val="single" w:sz="4" w:space="0" w:color="auto"/>
              <w:bottom w:val="single" w:sz="4" w:space="0" w:color="auto"/>
              <w:right w:val="single" w:sz="4" w:space="0" w:color="auto"/>
            </w:tcBorders>
            <w:hideMark/>
          </w:tcPr>
          <w:p w14:paraId="5F2E24AD"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Not Achieved</w:t>
            </w:r>
          </w:p>
        </w:tc>
        <w:tc>
          <w:tcPr>
            <w:tcW w:w="6836" w:type="dxa"/>
            <w:tcBorders>
              <w:top w:val="single" w:sz="4" w:space="0" w:color="auto"/>
              <w:left w:val="single" w:sz="4" w:space="0" w:color="auto"/>
              <w:bottom w:val="single" w:sz="4" w:space="0" w:color="auto"/>
              <w:right w:val="single" w:sz="4" w:space="0" w:color="auto"/>
            </w:tcBorders>
            <w:hideMark/>
          </w:tcPr>
          <w:p w14:paraId="0841DCB7" w14:textId="77777777" w:rsidR="0093634F" w:rsidRPr="006B357E" w:rsidRDefault="0093634F" w:rsidP="009D6F69">
            <w:pPr>
              <w:spacing w:before="60" w:after="60"/>
              <w:jc w:val="both"/>
              <w:rPr>
                <w:rFonts w:ascii="Arial" w:hAnsi="Arial" w:cs="Arial"/>
                <w:sz w:val="22"/>
                <w:szCs w:val="22"/>
              </w:rPr>
            </w:pPr>
            <w:r w:rsidRPr="006B357E">
              <w:rPr>
                <w:rFonts w:ascii="Arial" w:hAnsi="Arial" w:cs="Arial"/>
                <w:sz w:val="22"/>
                <w:szCs w:val="22"/>
              </w:rPr>
              <w:t>A realistic resolution plan that demonstrates how the DHB will achieve target ASH rates for Maori and Pacific has not been provided.</w:t>
            </w:r>
          </w:p>
        </w:tc>
      </w:tr>
    </w:tbl>
    <w:p w14:paraId="2076444E" w14:textId="77777777" w:rsidR="00E57192" w:rsidRDefault="00E57192" w:rsidP="00E57192">
      <w:pPr>
        <w:rPr>
          <w:rFonts w:ascii="Arial" w:hAnsi="Arial" w:cs="Arial"/>
          <w:b/>
          <w:i/>
        </w:rPr>
      </w:pPr>
      <w:r>
        <w:rPr>
          <w:rFonts w:ascii="Arial" w:hAnsi="Arial" w:cs="Arial"/>
          <w:b/>
          <w:i/>
        </w:rPr>
        <w:br w:type="page"/>
      </w:r>
    </w:p>
    <w:p w14:paraId="3A7D693E" w14:textId="77777777" w:rsidR="001D70C1" w:rsidRDefault="001D70C1" w:rsidP="001D70C1">
      <w:pPr>
        <w:rPr>
          <w:rFonts w:ascii="Arial" w:hAnsi="Arial" w:cs="Arial"/>
          <w:b/>
          <w:i/>
        </w:rPr>
      </w:pPr>
      <w:bookmarkStart w:id="499" w:name="_Toc368554682"/>
      <w:bookmarkStart w:id="500" w:name="_Toc372633010"/>
      <w:r>
        <w:rPr>
          <w:rFonts w:ascii="Arial" w:hAnsi="Arial" w:cs="Arial"/>
          <w:b/>
          <w:i/>
        </w:rPr>
        <w:lastRenderedPageBreak/>
        <w:t>Outcome priority</w:t>
      </w:r>
      <w:r w:rsidRPr="003060FE">
        <w:rPr>
          <w:rFonts w:ascii="Arial" w:hAnsi="Arial" w:cs="Arial"/>
          <w:b/>
          <w:i/>
        </w:rPr>
        <w:t xml:space="preserve">:  </w:t>
      </w:r>
      <w:r>
        <w:rPr>
          <w:rFonts w:ascii="Arial" w:hAnsi="Arial" w:cs="Arial"/>
          <w:b/>
          <w:i/>
        </w:rPr>
        <w:t>We live longer in good health</w:t>
      </w:r>
    </w:p>
    <w:p w14:paraId="783B410B" w14:textId="26010608" w:rsidR="001D70C1" w:rsidRPr="0051282A" w:rsidRDefault="00604F7F" w:rsidP="001D70C1">
      <w:pPr>
        <w:keepNext/>
        <w:spacing w:before="240" w:after="60"/>
        <w:outlineLvl w:val="0"/>
        <w:rPr>
          <w:rFonts w:ascii="Arial" w:hAnsi="Arial" w:cs="Arial"/>
          <w:bCs/>
          <w:i/>
          <w:iCs/>
          <w:kern w:val="32"/>
        </w:rPr>
      </w:pPr>
      <w:bookmarkStart w:id="501" w:name="_Hlk49860922"/>
      <w:bookmarkStart w:id="502" w:name="_Toc4588561"/>
      <w:bookmarkStart w:id="503" w:name="_Toc9592032"/>
      <w:r w:rsidRPr="00604F7F">
        <w:rPr>
          <w:rStyle w:val="Heading2Char"/>
        </w:rPr>
        <w:t xml:space="preserve">Better population health outcomes supported by a </w:t>
      </w:r>
      <w:r>
        <w:rPr>
          <w:rStyle w:val="Heading2Char"/>
        </w:rPr>
        <w:t>s</w:t>
      </w:r>
      <w:r w:rsidR="001D70C1">
        <w:rPr>
          <w:rStyle w:val="Heading2Char"/>
        </w:rPr>
        <w:t>trong public health and disability system SS06:</w:t>
      </w:r>
      <w:r w:rsidR="001D70C1" w:rsidRPr="00E700FB">
        <w:rPr>
          <w:rStyle w:val="Heading2Char"/>
        </w:rPr>
        <w:t xml:space="preserve"> Better help for smokers to quit in public hospitals</w:t>
      </w:r>
      <w:r w:rsidR="001D70C1">
        <w:rPr>
          <w:rFonts w:ascii="Arial" w:hAnsi="Arial" w:cs="Arial"/>
          <w:b/>
          <w:bCs/>
          <w:i/>
          <w:iCs/>
          <w:kern w:val="32"/>
          <w:sz w:val="28"/>
          <w:szCs w:val="32"/>
        </w:rPr>
        <w:t xml:space="preserve"> </w:t>
      </w:r>
      <w:bookmarkEnd w:id="501"/>
      <w:r w:rsidR="001D70C1" w:rsidRPr="0051282A">
        <w:rPr>
          <w:rFonts w:ascii="Arial" w:hAnsi="Arial" w:cs="Arial"/>
          <w:bCs/>
          <w:i/>
          <w:iCs/>
          <w:kern w:val="32"/>
        </w:rPr>
        <w:t xml:space="preserve">(previous health target </w:t>
      </w:r>
      <w:r w:rsidR="001D70C1">
        <w:rPr>
          <w:rFonts w:ascii="Arial" w:hAnsi="Arial" w:cs="Arial"/>
          <w:bCs/>
          <w:i/>
          <w:iCs/>
          <w:kern w:val="32"/>
        </w:rPr>
        <w:t xml:space="preserve">and </w:t>
      </w:r>
      <w:r w:rsidR="001D70C1" w:rsidRPr="0051282A">
        <w:rPr>
          <w:rFonts w:ascii="Arial" w:hAnsi="Arial" w:cs="Arial"/>
          <w:bCs/>
          <w:i/>
          <w:iCs/>
          <w:kern w:val="32"/>
        </w:rPr>
        <w:t>previously PP31)</w:t>
      </w:r>
      <w:bookmarkEnd w:id="502"/>
      <w:bookmarkEnd w:id="503"/>
    </w:p>
    <w:p w14:paraId="143B34D1" w14:textId="504FA3F4" w:rsidR="001D70C1" w:rsidRPr="0051282A" w:rsidRDefault="001D70C1" w:rsidP="001D70C1">
      <w:pPr>
        <w:keepNext/>
        <w:shd w:val="clear" w:color="auto" w:fill="D6E3BC" w:themeFill="accent3" w:themeFillTint="66"/>
        <w:spacing w:before="240" w:after="60"/>
        <w:outlineLvl w:val="0"/>
        <w:rPr>
          <w:rFonts w:ascii="Arial" w:hAnsi="Arial" w:cs="Arial"/>
          <w:bCs/>
          <w:iCs/>
          <w:kern w:val="32"/>
          <w:sz w:val="22"/>
          <w:szCs w:val="22"/>
        </w:rPr>
      </w:pPr>
      <w:bookmarkStart w:id="504" w:name="_Toc4588562"/>
      <w:bookmarkStart w:id="505" w:name="_Toc4588705"/>
      <w:bookmarkStart w:id="506" w:name="_Toc9592033"/>
      <w:bookmarkStart w:id="507" w:name="_Hlk84409949"/>
      <w:r w:rsidRPr="0051282A">
        <w:rPr>
          <w:rFonts w:ascii="Arial" w:hAnsi="Arial" w:cs="Arial"/>
          <w:bCs/>
          <w:iCs/>
          <w:kern w:val="32"/>
          <w:sz w:val="22"/>
          <w:szCs w:val="22"/>
        </w:rPr>
        <w:t xml:space="preserve">Please note that </w:t>
      </w:r>
      <w:r w:rsidR="00DF5A66">
        <w:rPr>
          <w:rFonts w:ascii="Arial" w:hAnsi="Arial" w:cs="Arial"/>
          <w:bCs/>
          <w:iCs/>
          <w:kern w:val="32"/>
          <w:sz w:val="22"/>
          <w:szCs w:val="22"/>
        </w:rPr>
        <w:t xml:space="preserve">this </w:t>
      </w:r>
      <w:r w:rsidRPr="0051282A">
        <w:rPr>
          <w:rFonts w:ascii="Arial" w:hAnsi="Arial" w:cs="Arial"/>
          <w:bCs/>
          <w:iCs/>
          <w:kern w:val="32"/>
          <w:sz w:val="22"/>
          <w:szCs w:val="22"/>
        </w:rPr>
        <w:t xml:space="preserve">measure will </w:t>
      </w:r>
      <w:r>
        <w:rPr>
          <w:rFonts w:ascii="Arial" w:hAnsi="Arial" w:cs="Arial"/>
          <w:bCs/>
          <w:iCs/>
          <w:kern w:val="32"/>
          <w:sz w:val="22"/>
          <w:szCs w:val="22"/>
        </w:rPr>
        <w:t xml:space="preserve">only </w:t>
      </w:r>
      <w:r w:rsidRPr="0051282A">
        <w:rPr>
          <w:rFonts w:ascii="Arial Mäori" w:hAnsi="Arial Mäori" w:cs="Arial Mäori"/>
          <w:bCs/>
          <w:color w:val="000000"/>
          <w:sz w:val="22"/>
          <w:szCs w:val="22"/>
          <w:lang w:eastAsia="en-NZ"/>
        </w:rPr>
        <w:t>continue</w:t>
      </w:r>
      <w:r w:rsidRPr="0051282A">
        <w:rPr>
          <w:rFonts w:ascii="Arial Mäori" w:hAnsi="Arial Mäori" w:cs="Arial Mäori"/>
          <w:color w:val="000000"/>
          <w:sz w:val="22"/>
          <w:szCs w:val="22"/>
          <w:lang w:eastAsia="en-NZ"/>
        </w:rPr>
        <w:t xml:space="preserve"> to apply for </w:t>
      </w:r>
      <w:r w:rsidRPr="0051282A">
        <w:rPr>
          <w:rFonts w:ascii="Arial Mäori" w:hAnsi="Arial Mäori" w:cs="Arial Mäori"/>
          <w:bCs/>
          <w:color w:val="000000"/>
          <w:sz w:val="22"/>
          <w:szCs w:val="22"/>
          <w:lang w:eastAsia="en-NZ"/>
        </w:rPr>
        <w:t>Capital &amp; Coast, Lakes</w:t>
      </w:r>
      <w:r w:rsidR="00BA09BC">
        <w:rPr>
          <w:rFonts w:ascii="Arial Mäori" w:hAnsi="Arial Mäori" w:cs="Arial Mäori"/>
          <w:bCs/>
          <w:color w:val="000000"/>
          <w:sz w:val="22"/>
          <w:szCs w:val="22"/>
          <w:lang w:eastAsia="en-NZ"/>
        </w:rPr>
        <w:t xml:space="preserve"> and</w:t>
      </w:r>
      <w:r w:rsidRPr="0051282A">
        <w:rPr>
          <w:rFonts w:ascii="Arial Mäori" w:hAnsi="Arial Mäori" w:cs="Arial Mäori"/>
          <w:bCs/>
          <w:color w:val="000000"/>
          <w:sz w:val="22"/>
          <w:szCs w:val="22"/>
          <w:lang w:eastAsia="en-NZ"/>
        </w:rPr>
        <w:t xml:space="preserve"> </w:t>
      </w:r>
      <w:proofErr w:type="spellStart"/>
      <w:r w:rsidRPr="0051282A">
        <w:rPr>
          <w:rFonts w:ascii="Arial Mäori" w:hAnsi="Arial Mäori" w:cs="Arial Mäori"/>
          <w:bCs/>
          <w:color w:val="000000"/>
          <w:sz w:val="22"/>
          <w:szCs w:val="22"/>
          <w:lang w:eastAsia="en-NZ"/>
        </w:rPr>
        <w:t>MidCentral</w:t>
      </w:r>
      <w:proofErr w:type="spellEnd"/>
      <w:r w:rsidRPr="0051282A">
        <w:rPr>
          <w:rFonts w:ascii="Arial Mäori" w:hAnsi="Arial Mäori" w:cs="Arial Mäori"/>
          <w:bCs/>
          <w:color w:val="000000"/>
          <w:sz w:val="22"/>
          <w:szCs w:val="22"/>
          <w:lang w:eastAsia="en-NZ"/>
        </w:rPr>
        <w:t xml:space="preserve"> </w:t>
      </w:r>
      <w:bookmarkEnd w:id="504"/>
      <w:bookmarkEnd w:id="505"/>
      <w:bookmarkEnd w:id="506"/>
      <w:r w:rsidR="00BA09BC">
        <w:rPr>
          <w:rFonts w:ascii="Arial Mäori" w:hAnsi="Arial Mäori" w:cs="Arial Mäori"/>
          <w:bCs/>
          <w:color w:val="000000"/>
          <w:sz w:val="22"/>
          <w:szCs w:val="22"/>
          <w:lang w:eastAsia="en-NZ"/>
        </w:rPr>
        <w:t>DHBs</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1D70C1" w:rsidRPr="00B44AD8" w14:paraId="66396BC7" w14:textId="77777777" w:rsidTr="009D6F69">
        <w:tc>
          <w:tcPr>
            <w:tcW w:w="10094" w:type="dxa"/>
            <w:gridSpan w:val="2"/>
            <w:shd w:val="clear" w:color="auto" w:fill="D9D9D9"/>
          </w:tcPr>
          <w:bookmarkEnd w:id="507"/>
          <w:p w14:paraId="3E65E61B" w14:textId="77777777" w:rsidR="001D70C1" w:rsidRPr="00B44AD8" w:rsidRDefault="001D70C1"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1D70C1" w:rsidRPr="00B44AD8" w14:paraId="772B488C" w14:textId="77777777" w:rsidTr="009D6F69">
        <w:tc>
          <w:tcPr>
            <w:tcW w:w="2864" w:type="dxa"/>
            <w:shd w:val="clear" w:color="auto" w:fill="auto"/>
          </w:tcPr>
          <w:p w14:paraId="43E8A68E" w14:textId="77777777" w:rsidR="001D70C1" w:rsidRPr="00B44AD8" w:rsidRDefault="001D70C1"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4F4A79B1" w14:textId="77777777" w:rsidR="001D70C1" w:rsidRPr="00B44AD8" w:rsidRDefault="001D70C1"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1D70C1" w:rsidRPr="00B44AD8" w14:paraId="372722FB" w14:textId="77777777" w:rsidTr="009D6F69">
        <w:trPr>
          <w:trHeight w:val="493"/>
        </w:trPr>
        <w:tc>
          <w:tcPr>
            <w:tcW w:w="2864" w:type="dxa"/>
            <w:shd w:val="clear" w:color="auto" w:fill="auto"/>
          </w:tcPr>
          <w:p w14:paraId="528B2D7A" w14:textId="77777777" w:rsidR="001D70C1" w:rsidRPr="00B44AD8" w:rsidRDefault="001D70C1"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405C7CA9" w14:textId="77777777" w:rsidR="001D70C1" w:rsidRPr="00B44AD8" w:rsidRDefault="001D70C1" w:rsidP="009D6F69">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1D70C1" w:rsidRPr="00B44AD8" w14:paraId="37932D8D" w14:textId="77777777" w:rsidTr="009D6F69">
        <w:tc>
          <w:tcPr>
            <w:tcW w:w="2864" w:type="dxa"/>
            <w:shd w:val="clear" w:color="auto" w:fill="auto"/>
          </w:tcPr>
          <w:p w14:paraId="7375CAE0" w14:textId="77777777" w:rsidR="001D70C1" w:rsidRPr="00B44AD8" w:rsidRDefault="001D70C1"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08F4EF76" w14:textId="77777777" w:rsidR="001D70C1" w:rsidRPr="00B44AD8" w:rsidRDefault="001D70C1" w:rsidP="009D6F69">
            <w:pPr>
              <w:shd w:val="clear" w:color="auto" w:fill="FFFFFF"/>
              <w:spacing w:before="60" w:after="60"/>
              <w:rPr>
                <w:rFonts w:ascii="Arial" w:hAnsi="Arial" w:cs="Arial"/>
                <w:i/>
                <w:sz w:val="20"/>
                <w:szCs w:val="20"/>
              </w:rPr>
            </w:pPr>
            <w:r>
              <w:rPr>
                <w:rFonts w:ascii="Arial" w:hAnsi="Arial" w:cs="Arial"/>
                <w:i/>
                <w:sz w:val="20"/>
                <w:szCs w:val="20"/>
              </w:rPr>
              <w:t xml:space="preserve">DHBs to provide data and reports as indicated </w:t>
            </w:r>
          </w:p>
        </w:tc>
      </w:tr>
      <w:tr w:rsidR="001D70C1" w:rsidRPr="00B44AD8" w14:paraId="63D62FDE" w14:textId="77777777" w:rsidTr="009D6F69">
        <w:trPr>
          <w:trHeight w:val="2182"/>
        </w:trPr>
        <w:tc>
          <w:tcPr>
            <w:tcW w:w="2864" w:type="dxa"/>
            <w:shd w:val="clear" w:color="auto" w:fill="auto"/>
          </w:tcPr>
          <w:p w14:paraId="24475018" w14:textId="77777777" w:rsidR="001D70C1" w:rsidRPr="00B44AD8" w:rsidRDefault="001D70C1"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5ED86256" w14:textId="77777777" w:rsidR="001D70C1" w:rsidRPr="00B44AD8" w:rsidRDefault="001D70C1"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1D70C1" w:rsidRPr="00B44AD8" w14:paraId="1C15C935"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713C"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C52B"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1D70C1" w:rsidRPr="00B44AD8" w14:paraId="647C35CB"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ADC8"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75A0"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1D70C1" w:rsidRPr="00B44AD8" w14:paraId="2E8E8813"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8F35"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A8B4C"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1D70C1" w:rsidRPr="00B44AD8" w14:paraId="779AC41C"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13D9"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4899" w14:textId="77777777" w:rsidR="001D70C1" w:rsidRPr="00B44AD8" w:rsidRDefault="001D70C1"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07625EA9" w14:textId="77777777" w:rsidR="001D70C1" w:rsidRPr="00B44AD8" w:rsidRDefault="001D70C1" w:rsidP="009D6F69">
            <w:pPr>
              <w:shd w:val="clear" w:color="auto" w:fill="FFFFFF"/>
              <w:spacing w:before="60" w:after="60"/>
              <w:jc w:val="both"/>
              <w:rPr>
                <w:rFonts w:ascii="Arial" w:hAnsi="Arial" w:cs="Arial"/>
                <w:i/>
                <w:sz w:val="16"/>
                <w:szCs w:val="16"/>
              </w:rPr>
            </w:pPr>
          </w:p>
        </w:tc>
      </w:tr>
    </w:tbl>
    <w:p w14:paraId="2AF73383" w14:textId="77777777" w:rsidR="001D70C1" w:rsidRPr="003028EF" w:rsidRDefault="001D70C1" w:rsidP="001D70C1">
      <w:pPr>
        <w:pStyle w:val="SubOne"/>
        <w:shd w:val="clear" w:color="auto" w:fill="FFFFFF"/>
        <w:spacing w:before="60" w:after="60"/>
        <w:jc w:val="both"/>
        <w:rPr>
          <w:i/>
        </w:rPr>
      </w:pPr>
      <w:r w:rsidRPr="005D6BDC">
        <w:t>L</w:t>
      </w:r>
      <w:r>
        <w:t>ink to outcomes and priority areas</w:t>
      </w:r>
    </w:p>
    <w:p w14:paraId="687FF697" w14:textId="77777777" w:rsidR="001D70C1" w:rsidRPr="0072302C" w:rsidRDefault="001D70C1" w:rsidP="001D70C1">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1023DC12" w14:textId="77777777" w:rsidR="001D70C1" w:rsidRPr="00702038" w:rsidRDefault="001D70C1" w:rsidP="001D70C1">
      <w:pPr>
        <w:spacing w:before="60" w:after="60"/>
        <w:jc w:val="both"/>
        <w:rPr>
          <w:rFonts w:ascii="Arial" w:hAnsi="Arial" w:cs="Arial"/>
          <w:sz w:val="22"/>
          <w:szCs w:val="22"/>
          <w:lang w:val="en-US"/>
        </w:rPr>
      </w:pPr>
      <w:r w:rsidRPr="00702038">
        <w:rPr>
          <w:rFonts w:ascii="Arial" w:hAnsi="Arial" w:cs="Arial"/>
          <w:sz w:val="22"/>
          <w:szCs w:val="22"/>
        </w:rPr>
        <w:t>By</w:t>
      </w:r>
      <w:r>
        <w:rPr>
          <w:rFonts w:ascii="Arial" w:hAnsi="Arial" w:cs="Arial"/>
          <w:sz w:val="22"/>
          <w:szCs w:val="22"/>
        </w:rPr>
        <w:t xml:space="preserve"> providing help for smokers to quit </w:t>
      </w:r>
      <w:r w:rsidRPr="00702038">
        <w:rPr>
          <w:rFonts w:ascii="Arial" w:hAnsi="Arial" w:cs="Arial"/>
          <w:sz w:val="22"/>
          <w:szCs w:val="22"/>
        </w:rPr>
        <w:t xml:space="preserve">the DHB will assist in delivery of Government's priority to support healthier, </w:t>
      </w:r>
      <w:proofErr w:type="gramStart"/>
      <w:r w:rsidRPr="00702038">
        <w:rPr>
          <w:rFonts w:ascii="Arial" w:hAnsi="Arial" w:cs="Arial"/>
          <w:sz w:val="22"/>
          <w:szCs w:val="22"/>
        </w:rPr>
        <w:t>safer</w:t>
      </w:r>
      <w:proofErr w:type="gramEnd"/>
      <w:r w:rsidRPr="00702038">
        <w:rPr>
          <w:rFonts w:ascii="Arial" w:hAnsi="Arial" w:cs="Arial"/>
          <w:sz w:val="22"/>
          <w:szCs w:val="22"/>
        </w:rPr>
        <w:t xml:space="preserve"> and more connected communities and our health system outcome</w:t>
      </w:r>
      <w:r>
        <w:rPr>
          <w:rFonts w:ascii="Arial" w:hAnsi="Arial" w:cs="Arial"/>
          <w:sz w:val="22"/>
          <w:szCs w:val="22"/>
        </w:rPr>
        <w:t xml:space="preserve"> that we live longer in good health.</w:t>
      </w:r>
    </w:p>
    <w:p w14:paraId="4ABE5084" w14:textId="77777777" w:rsidR="001D70C1" w:rsidRDefault="001D70C1" w:rsidP="001D70C1">
      <w:pPr>
        <w:spacing w:before="60" w:after="60"/>
        <w:jc w:val="both"/>
        <w:rPr>
          <w:rFonts w:ascii="Arial" w:hAnsi="Arial" w:cs="Arial"/>
          <w:sz w:val="22"/>
          <w:szCs w:val="22"/>
        </w:rPr>
      </w:pPr>
      <w:r>
        <w:rPr>
          <w:rFonts w:ascii="Arial" w:hAnsi="Arial" w:cs="Arial"/>
          <w:sz w:val="22"/>
          <w:szCs w:val="22"/>
        </w:rPr>
        <w:t xml:space="preserve">Achievement of this measure also supports </w:t>
      </w:r>
      <w:r w:rsidRPr="00EA34E5">
        <w:rPr>
          <w:rFonts w:ascii="Arial" w:hAnsi="Arial" w:cs="Arial"/>
          <w:sz w:val="22"/>
          <w:szCs w:val="22"/>
        </w:rPr>
        <w:t>‘a more unified and improved health and disability system’</w:t>
      </w:r>
      <w:r>
        <w:rPr>
          <w:rFonts w:ascii="Arial" w:hAnsi="Arial" w:cs="Arial"/>
          <w:sz w:val="22"/>
          <w:szCs w:val="22"/>
        </w:rPr>
        <w:t xml:space="preserve">.  The measure also supports the Government’s aspirational goal of a </w:t>
      </w:r>
      <w:proofErr w:type="spellStart"/>
      <w:r>
        <w:rPr>
          <w:rFonts w:ascii="Arial" w:hAnsi="Arial" w:cs="Arial"/>
          <w:sz w:val="22"/>
          <w:szCs w:val="22"/>
        </w:rPr>
        <w:t>Smokefree</w:t>
      </w:r>
      <w:proofErr w:type="spellEnd"/>
      <w:r>
        <w:rPr>
          <w:rFonts w:ascii="Arial" w:hAnsi="Arial" w:cs="Arial"/>
          <w:sz w:val="22"/>
          <w:szCs w:val="22"/>
        </w:rPr>
        <w:t xml:space="preserve"> New Zealand by 2025.  Achieving a </w:t>
      </w:r>
      <w:proofErr w:type="spellStart"/>
      <w:r>
        <w:rPr>
          <w:rFonts w:ascii="Arial" w:hAnsi="Arial" w:cs="Arial"/>
          <w:sz w:val="22"/>
          <w:szCs w:val="22"/>
        </w:rPr>
        <w:t>Smokefree</w:t>
      </w:r>
      <w:proofErr w:type="spellEnd"/>
      <w:r>
        <w:rPr>
          <w:rFonts w:ascii="Arial" w:hAnsi="Arial" w:cs="Arial"/>
          <w:sz w:val="22"/>
          <w:szCs w:val="22"/>
        </w:rPr>
        <w:t xml:space="preserve"> New Zealand will mean that: </w:t>
      </w:r>
    </w:p>
    <w:p w14:paraId="0223B7B7" w14:textId="77777777" w:rsidR="001D70C1" w:rsidRPr="00EA34E5" w:rsidRDefault="001D70C1" w:rsidP="00C04FF1">
      <w:pPr>
        <w:numPr>
          <w:ilvl w:val="0"/>
          <w:numId w:val="43"/>
        </w:numPr>
        <w:spacing w:before="60" w:after="60"/>
        <w:jc w:val="both"/>
        <w:rPr>
          <w:rFonts w:ascii="Arial" w:hAnsi="Arial" w:cs="Arial"/>
          <w:sz w:val="22"/>
          <w:szCs w:val="22"/>
        </w:rPr>
      </w:pPr>
      <w:r>
        <w:rPr>
          <w:rFonts w:ascii="Arial" w:hAnsi="Arial" w:cs="Arial"/>
          <w:sz w:val="22"/>
          <w:szCs w:val="22"/>
        </w:rPr>
        <w:t>o</w:t>
      </w:r>
      <w:r w:rsidRPr="00EA34E5">
        <w:rPr>
          <w:rFonts w:ascii="Arial" w:hAnsi="Arial" w:cs="Arial"/>
          <w:sz w:val="22"/>
          <w:szCs w:val="22"/>
        </w:rPr>
        <w:t>ur children and grandchildren will be free from exposure to tobacco and tobacco use</w:t>
      </w:r>
    </w:p>
    <w:p w14:paraId="2F4BA034" w14:textId="77777777" w:rsidR="001D70C1" w:rsidRDefault="001D70C1" w:rsidP="00C04FF1">
      <w:pPr>
        <w:numPr>
          <w:ilvl w:val="0"/>
          <w:numId w:val="43"/>
        </w:numPr>
        <w:spacing w:before="60" w:after="60"/>
        <w:jc w:val="both"/>
        <w:rPr>
          <w:rFonts w:ascii="Arial" w:hAnsi="Arial" w:cs="Arial"/>
          <w:sz w:val="22"/>
          <w:szCs w:val="22"/>
        </w:rPr>
      </w:pPr>
      <w:r>
        <w:rPr>
          <w:rFonts w:ascii="Arial" w:hAnsi="Arial" w:cs="Arial"/>
          <w:sz w:val="22"/>
          <w:szCs w:val="22"/>
        </w:rPr>
        <w:t>t</w:t>
      </w:r>
      <w:r w:rsidRPr="00EA34E5">
        <w:rPr>
          <w:rFonts w:ascii="Arial" w:hAnsi="Arial" w:cs="Arial"/>
          <w:sz w:val="22"/>
          <w:szCs w:val="22"/>
        </w:rPr>
        <w:t xml:space="preserve">he </w:t>
      </w:r>
      <w:r>
        <w:rPr>
          <w:rFonts w:ascii="Arial" w:hAnsi="Arial" w:cs="Arial"/>
          <w:sz w:val="22"/>
          <w:szCs w:val="22"/>
        </w:rPr>
        <w:t>pr</w:t>
      </w:r>
      <w:r w:rsidRPr="00EA34E5">
        <w:rPr>
          <w:rFonts w:ascii="Arial" w:hAnsi="Arial" w:cs="Arial"/>
          <w:sz w:val="22"/>
          <w:szCs w:val="22"/>
        </w:rPr>
        <w:t xml:space="preserve">evalence </w:t>
      </w:r>
      <w:r>
        <w:rPr>
          <w:rFonts w:ascii="Arial" w:hAnsi="Arial" w:cs="Arial"/>
          <w:sz w:val="22"/>
          <w:szCs w:val="22"/>
        </w:rPr>
        <w:t xml:space="preserve">of smoking </w:t>
      </w:r>
      <w:r w:rsidRPr="00EA34E5">
        <w:rPr>
          <w:rFonts w:ascii="Arial" w:hAnsi="Arial" w:cs="Arial"/>
          <w:sz w:val="22"/>
          <w:szCs w:val="22"/>
        </w:rPr>
        <w:t xml:space="preserve">across all populations will be </w:t>
      </w:r>
      <w:r>
        <w:rPr>
          <w:rFonts w:ascii="Arial" w:hAnsi="Arial" w:cs="Arial"/>
          <w:sz w:val="22"/>
          <w:szCs w:val="22"/>
        </w:rPr>
        <w:t xml:space="preserve">less than </w:t>
      </w:r>
      <w:r w:rsidRPr="00EA34E5">
        <w:rPr>
          <w:rFonts w:ascii="Arial" w:hAnsi="Arial" w:cs="Arial"/>
          <w:sz w:val="22"/>
          <w:szCs w:val="22"/>
        </w:rPr>
        <w:t>5</w:t>
      </w:r>
      <w:r>
        <w:rPr>
          <w:rFonts w:ascii="Arial" w:hAnsi="Arial" w:cs="Arial"/>
          <w:sz w:val="22"/>
          <w:szCs w:val="22"/>
        </w:rPr>
        <w:t xml:space="preserve"> percent</w:t>
      </w:r>
    </w:p>
    <w:p w14:paraId="034DB1A1" w14:textId="77777777" w:rsidR="001D70C1" w:rsidRDefault="001D70C1" w:rsidP="00C04FF1">
      <w:pPr>
        <w:numPr>
          <w:ilvl w:val="0"/>
          <w:numId w:val="43"/>
        </w:numPr>
        <w:spacing w:before="60" w:after="60"/>
        <w:jc w:val="both"/>
        <w:rPr>
          <w:rFonts w:ascii="Arial" w:hAnsi="Arial" w:cs="Arial"/>
          <w:sz w:val="22"/>
          <w:szCs w:val="22"/>
        </w:rPr>
      </w:pPr>
      <w:r>
        <w:rPr>
          <w:rFonts w:ascii="Arial" w:hAnsi="Arial" w:cs="Arial"/>
          <w:sz w:val="22"/>
          <w:szCs w:val="22"/>
        </w:rPr>
        <w:t>tobacco will be difficult to sell and supply.</w:t>
      </w:r>
    </w:p>
    <w:p w14:paraId="56A42396" w14:textId="77777777" w:rsidR="001D70C1" w:rsidRDefault="001D70C1" w:rsidP="001D70C1">
      <w:pPr>
        <w:spacing w:before="240" w:after="60"/>
        <w:jc w:val="both"/>
        <w:rPr>
          <w:rFonts w:ascii="Arial" w:hAnsi="Arial" w:cs="Arial"/>
          <w:sz w:val="22"/>
          <w:szCs w:val="22"/>
        </w:rPr>
      </w:pPr>
      <w:r>
        <w:rPr>
          <w:rFonts w:ascii="Arial" w:hAnsi="Arial" w:cs="Arial"/>
          <w:sz w:val="22"/>
          <w:szCs w:val="22"/>
        </w:rPr>
        <w:t xml:space="preserve">At present, tobacco smoking </w:t>
      </w:r>
      <w:r w:rsidRPr="009B2718">
        <w:rPr>
          <w:rFonts w:ascii="Arial" w:hAnsi="Arial" w:cs="Arial"/>
          <w:sz w:val="22"/>
          <w:szCs w:val="22"/>
        </w:rPr>
        <w:t>place</w:t>
      </w:r>
      <w:r>
        <w:rPr>
          <w:rFonts w:ascii="Arial" w:hAnsi="Arial" w:cs="Arial"/>
          <w:sz w:val="22"/>
          <w:szCs w:val="22"/>
        </w:rPr>
        <w:t>s</w:t>
      </w:r>
      <w:r w:rsidRPr="009B2718">
        <w:rPr>
          <w:rFonts w:ascii="Arial" w:hAnsi="Arial" w:cs="Arial"/>
          <w:sz w:val="22"/>
          <w:szCs w:val="22"/>
        </w:rPr>
        <w:t xml:space="preserve"> a significant burden on the health of New Zealander’s and on the New Zealand health system</w:t>
      </w:r>
      <w:r>
        <w:rPr>
          <w:rFonts w:ascii="Arial" w:hAnsi="Arial" w:cs="Arial"/>
          <w:sz w:val="22"/>
          <w:szCs w:val="22"/>
        </w:rPr>
        <w:t xml:space="preserve">.  Tobacco smoking is related to a number of life-threatening diseases, including cardiovascular disease, chronic obstructive pulmonary </w:t>
      </w:r>
      <w:proofErr w:type="gramStart"/>
      <w:r>
        <w:rPr>
          <w:rFonts w:ascii="Arial" w:hAnsi="Arial" w:cs="Arial"/>
          <w:sz w:val="22"/>
          <w:szCs w:val="22"/>
        </w:rPr>
        <w:t>disease</w:t>
      </w:r>
      <w:proofErr w:type="gramEnd"/>
      <w:r>
        <w:rPr>
          <w:rFonts w:ascii="Arial" w:hAnsi="Arial" w:cs="Arial"/>
          <w:sz w:val="22"/>
          <w:szCs w:val="22"/>
        </w:rPr>
        <w:t xml:space="preserve"> and lung cancer.  It </w:t>
      </w:r>
      <w:r w:rsidRPr="009B2718">
        <w:rPr>
          <w:rFonts w:ascii="Arial" w:hAnsi="Arial" w:cs="Arial"/>
          <w:sz w:val="22"/>
          <w:szCs w:val="22"/>
        </w:rPr>
        <w:t xml:space="preserve">also increases pregnant </w:t>
      </w:r>
      <w:r>
        <w:rPr>
          <w:rFonts w:ascii="Arial" w:hAnsi="Arial" w:cs="Arial"/>
          <w:sz w:val="22"/>
          <w:szCs w:val="22"/>
        </w:rPr>
        <w:t>smokers</w:t>
      </w:r>
      <w:r w:rsidRPr="009B2718">
        <w:rPr>
          <w:rFonts w:ascii="Arial" w:hAnsi="Arial" w:cs="Arial"/>
          <w:sz w:val="22"/>
          <w:szCs w:val="22"/>
        </w:rPr>
        <w:t xml:space="preserve">’ risk of miscarriage, premature </w:t>
      </w:r>
      <w:proofErr w:type="gramStart"/>
      <w:r w:rsidRPr="009B2718">
        <w:rPr>
          <w:rFonts w:ascii="Arial" w:hAnsi="Arial" w:cs="Arial"/>
          <w:sz w:val="22"/>
          <w:szCs w:val="22"/>
        </w:rPr>
        <w:t>birth</w:t>
      </w:r>
      <w:proofErr w:type="gramEnd"/>
      <w:r w:rsidRPr="009B2718">
        <w:rPr>
          <w:rFonts w:ascii="Arial" w:hAnsi="Arial" w:cs="Arial"/>
          <w:sz w:val="22"/>
          <w:szCs w:val="22"/>
        </w:rPr>
        <w:t xml:space="preserve"> and low</w:t>
      </w:r>
      <w:r>
        <w:rPr>
          <w:rFonts w:ascii="Arial" w:hAnsi="Arial" w:cs="Arial"/>
          <w:sz w:val="22"/>
          <w:szCs w:val="22"/>
        </w:rPr>
        <w:t xml:space="preserve"> </w:t>
      </w:r>
      <w:r w:rsidRPr="009B2718">
        <w:rPr>
          <w:rFonts w:ascii="Arial" w:hAnsi="Arial" w:cs="Arial"/>
          <w:sz w:val="22"/>
          <w:szCs w:val="22"/>
        </w:rPr>
        <w:t>birth weight</w:t>
      </w:r>
      <w:r>
        <w:rPr>
          <w:rFonts w:ascii="Arial" w:hAnsi="Arial" w:cs="Arial"/>
          <w:sz w:val="22"/>
          <w:szCs w:val="22"/>
        </w:rPr>
        <w:t xml:space="preserve">, as well as their children’s risk of Asthma and Sudden Unexplained Death in Infants (SUDI).   </w:t>
      </w:r>
    </w:p>
    <w:p w14:paraId="71F610E0" w14:textId="77777777" w:rsidR="001D70C1" w:rsidRPr="009B761F" w:rsidRDefault="001D70C1" w:rsidP="001D70C1">
      <w:pPr>
        <w:spacing w:before="60" w:after="60"/>
        <w:jc w:val="both"/>
        <w:rPr>
          <w:rFonts w:ascii="Arial" w:hAnsi="Arial" w:cs="Arial"/>
          <w:i/>
          <w:sz w:val="22"/>
          <w:szCs w:val="22"/>
        </w:rPr>
      </w:pPr>
      <w:r>
        <w:rPr>
          <w:rFonts w:ascii="Arial" w:hAnsi="Arial" w:cs="Arial"/>
          <w:sz w:val="22"/>
          <w:szCs w:val="22"/>
        </w:rPr>
        <w:t xml:space="preserve">Stopping smoking confers immediate health benefits on all people, and is the only way to reduce smokers’ risk of developing a smoking-related disease.  Providing smokers with brief advice </w:t>
      </w:r>
      <w:r w:rsidRPr="00B300FF">
        <w:rPr>
          <w:rFonts w:ascii="Arial" w:hAnsi="Arial" w:cs="Arial"/>
          <w:sz w:val="22"/>
          <w:szCs w:val="22"/>
        </w:rPr>
        <w:t xml:space="preserve">to </w:t>
      </w:r>
      <w:r>
        <w:rPr>
          <w:rFonts w:ascii="Arial" w:hAnsi="Arial" w:cs="Arial"/>
          <w:sz w:val="22"/>
          <w:szCs w:val="22"/>
        </w:rPr>
        <w:t xml:space="preserve">quit increases their chances of making a </w:t>
      </w:r>
      <w:r w:rsidRPr="00B300FF">
        <w:rPr>
          <w:rFonts w:ascii="Arial" w:hAnsi="Arial" w:cs="Arial"/>
          <w:sz w:val="22"/>
          <w:szCs w:val="22"/>
        </w:rPr>
        <w:t>quit attempt.  The chance of th</w:t>
      </w:r>
      <w:r>
        <w:rPr>
          <w:rFonts w:ascii="Arial" w:hAnsi="Arial" w:cs="Arial"/>
          <w:sz w:val="22"/>
          <w:szCs w:val="22"/>
        </w:rPr>
        <w:t xml:space="preserve">at quit </w:t>
      </w:r>
      <w:r w:rsidRPr="00B300FF">
        <w:rPr>
          <w:rFonts w:ascii="Arial" w:hAnsi="Arial" w:cs="Arial"/>
          <w:sz w:val="22"/>
          <w:szCs w:val="22"/>
        </w:rPr>
        <w:t xml:space="preserve">attempt being successful </w:t>
      </w:r>
      <w:r>
        <w:rPr>
          <w:rFonts w:ascii="Arial" w:hAnsi="Arial" w:cs="Arial"/>
          <w:sz w:val="22"/>
          <w:szCs w:val="22"/>
        </w:rPr>
        <w:t>is</w:t>
      </w:r>
      <w:r w:rsidRPr="00B300FF">
        <w:rPr>
          <w:rFonts w:ascii="Arial" w:hAnsi="Arial" w:cs="Arial"/>
          <w:sz w:val="22"/>
          <w:szCs w:val="22"/>
        </w:rPr>
        <w:t xml:space="preserve"> increased if </w:t>
      </w:r>
      <w:r>
        <w:rPr>
          <w:rFonts w:ascii="Arial" w:hAnsi="Arial" w:cs="Arial"/>
          <w:sz w:val="22"/>
          <w:szCs w:val="22"/>
        </w:rPr>
        <w:t>medication</w:t>
      </w:r>
      <w:r w:rsidRPr="00B300FF">
        <w:rPr>
          <w:rFonts w:ascii="Arial" w:hAnsi="Arial" w:cs="Arial"/>
          <w:sz w:val="22"/>
          <w:szCs w:val="22"/>
        </w:rPr>
        <w:t xml:space="preserve"> </w:t>
      </w:r>
      <w:r>
        <w:rPr>
          <w:rFonts w:ascii="Arial" w:hAnsi="Arial" w:cs="Arial"/>
          <w:sz w:val="22"/>
          <w:szCs w:val="22"/>
        </w:rPr>
        <w:t xml:space="preserve">and/or </w:t>
      </w:r>
      <w:r w:rsidRPr="00B300FF">
        <w:rPr>
          <w:rFonts w:ascii="Arial" w:hAnsi="Arial" w:cs="Arial"/>
          <w:sz w:val="22"/>
          <w:szCs w:val="22"/>
        </w:rPr>
        <w:t xml:space="preserve">cessation support </w:t>
      </w:r>
      <w:r>
        <w:rPr>
          <w:rFonts w:ascii="Arial" w:hAnsi="Arial" w:cs="Arial"/>
          <w:sz w:val="22"/>
          <w:szCs w:val="22"/>
        </w:rPr>
        <w:t xml:space="preserve">are also provided.  Most medications roughly double a smoker’s chance of quitting, but using medication in conjunction with a cessation support service (such as the Quitline or an </w:t>
      </w:r>
      <w:proofErr w:type="spellStart"/>
      <w:r>
        <w:rPr>
          <w:rFonts w:ascii="Arial" w:hAnsi="Arial" w:cs="Arial"/>
          <w:sz w:val="22"/>
          <w:szCs w:val="22"/>
        </w:rPr>
        <w:t>Aukati</w:t>
      </w:r>
      <w:proofErr w:type="spellEnd"/>
      <w:r>
        <w:rPr>
          <w:rFonts w:ascii="Arial" w:hAnsi="Arial" w:cs="Arial"/>
          <w:sz w:val="22"/>
          <w:szCs w:val="22"/>
        </w:rPr>
        <w:t xml:space="preserve"> </w:t>
      </w:r>
      <w:proofErr w:type="spellStart"/>
      <w:r>
        <w:rPr>
          <w:rFonts w:ascii="Arial" w:hAnsi="Arial" w:cs="Arial"/>
          <w:sz w:val="22"/>
          <w:szCs w:val="22"/>
        </w:rPr>
        <w:t>KaiPaipa</w:t>
      </w:r>
      <w:proofErr w:type="spellEnd"/>
      <w:r>
        <w:rPr>
          <w:rFonts w:ascii="Arial" w:hAnsi="Arial" w:cs="Arial"/>
          <w:sz w:val="22"/>
          <w:szCs w:val="22"/>
        </w:rPr>
        <w:t xml:space="preserve"> service) can increase a smoker’s chance of quitting by as much as four times.</w:t>
      </w:r>
    </w:p>
    <w:p w14:paraId="07F25AFD" w14:textId="77777777" w:rsidR="001D70C1" w:rsidRDefault="001D70C1" w:rsidP="001D70C1">
      <w:pPr>
        <w:spacing w:before="60" w:after="60"/>
        <w:jc w:val="both"/>
        <w:rPr>
          <w:rFonts w:ascii="Arial" w:hAnsi="Arial" w:cs="Arial"/>
          <w:sz w:val="22"/>
          <w:szCs w:val="22"/>
        </w:rPr>
      </w:pPr>
      <w:r w:rsidRPr="00B300FF">
        <w:rPr>
          <w:rFonts w:ascii="Arial" w:hAnsi="Arial" w:cs="Arial"/>
          <w:sz w:val="22"/>
          <w:szCs w:val="22"/>
        </w:rPr>
        <w:lastRenderedPageBreak/>
        <w:t xml:space="preserve">By ensuring that </w:t>
      </w:r>
      <w:r>
        <w:rPr>
          <w:rFonts w:ascii="Arial" w:hAnsi="Arial" w:cs="Arial"/>
          <w:sz w:val="22"/>
          <w:szCs w:val="22"/>
        </w:rPr>
        <w:t>all h</w:t>
      </w:r>
      <w:r w:rsidRPr="00B300FF">
        <w:rPr>
          <w:rFonts w:ascii="Arial" w:hAnsi="Arial" w:cs="Arial"/>
          <w:sz w:val="22"/>
          <w:szCs w:val="22"/>
        </w:rPr>
        <w:t xml:space="preserve">ealth professionals </w:t>
      </w:r>
      <w:r>
        <w:rPr>
          <w:rFonts w:ascii="Arial" w:hAnsi="Arial" w:cs="Arial"/>
          <w:sz w:val="22"/>
          <w:szCs w:val="22"/>
        </w:rPr>
        <w:t xml:space="preserve">are </w:t>
      </w:r>
      <w:r w:rsidRPr="00B300FF">
        <w:rPr>
          <w:rFonts w:ascii="Arial" w:hAnsi="Arial" w:cs="Arial"/>
          <w:sz w:val="22"/>
          <w:szCs w:val="22"/>
        </w:rPr>
        <w:t xml:space="preserve">routinely </w:t>
      </w:r>
      <w:r>
        <w:rPr>
          <w:rFonts w:ascii="Arial" w:hAnsi="Arial" w:cs="Arial"/>
          <w:sz w:val="22"/>
          <w:szCs w:val="22"/>
        </w:rPr>
        <w:t xml:space="preserve">providing their patients with advice and support to quit, </w:t>
      </w:r>
      <w:r w:rsidRPr="00B300FF">
        <w:rPr>
          <w:rFonts w:ascii="Arial" w:hAnsi="Arial" w:cs="Arial"/>
          <w:sz w:val="22"/>
          <w:szCs w:val="22"/>
        </w:rPr>
        <w:t>DHBs</w:t>
      </w:r>
      <w:r>
        <w:rPr>
          <w:rFonts w:ascii="Arial" w:hAnsi="Arial" w:cs="Arial"/>
          <w:sz w:val="22"/>
          <w:szCs w:val="22"/>
        </w:rPr>
        <w:t xml:space="preserve"> </w:t>
      </w:r>
      <w:r w:rsidRPr="00B300FF">
        <w:rPr>
          <w:rFonts w:ascii="Arial" w:hAnsi="Arial" w:cs="Arial"/>
          <w:sz w:val="22"/>
          <w:szCs w:val="22"/>
        </w:rPr>
        <w:t>are helping to ensure that people receive better health and disability services</w:t>
      </w:r>
      <w:r>
        <w:rPr>
          <w:rFonts w:ascii="Arial" w:hAnsi="Arial" w:cs="Arial"/>
          <w:sz w:val="22"/>
          <w:szCs w:val="22"/>
        </w:rPr>
        <w:t xml:space="preserve">, and live longer and healthier lives.  </w:t>
      </w:r>
    </w:p>
    <w:p w14:paraId="779947E4" w14:textId="77777777" w:rsidR="001D70C1" w:rsidRDefault="001D70C1" w:rsidP="001D70C1">
      <w:pPr>
        <w:spacing w:before="60" w:after="60"/>
        <w:jc w:val="both"/>
        <w:rPr>
          <w:rFonts w:ascii="Arial" w:hAnsi="Arial" w:cs="Arial"/>
          <w:sz w:val="22"/>
          <w:szCs w:val="22"/>
        </w:rPr>
      </w:pPr>
      <w:r w:rsidRPr="00B300FF">
        <w:rPr>
          <w:rFonts w:ascii="Arial" w:hAnsi="Arial" w:cs="Arial"/>
          <w:sz w:val="22"/>
          <w:szCs w:val="22"/>
        </w:rPr>
        <w:t xml:space="preserve">The following </w:t>
      </w:r>
      <w:r>
        <w:rPr>
          <w:rFonts w:ascii="Arial" w:hAnsi="Arial" w:cs="Arial"/>
          <w:sz w:val="22"/>
          <w:szCs w:val="22"/>
        </w:rPr>
        <w:t xml:space="preserve">actions and </w:t>
      </w:r>
      <w:r w:rsidRPr="00B300FF">
        <w:rPr>
          <w:rFonts w:ascii="Arial" w:hAnsi="Arial" w:cs="Arial"/>
          <w:sz w:val="22"/>
          <w:szCs w:val="22"/>
        </w:rPr>
        <w:t xml:space="preserve">activities are examples of initiatives that have </w:t>
      </w:r>
      <w:r>
        <w:rPr>
          <w:rFonts w:ascii="Arial" w:hAnsi="Arial" w:cs="Arial"/>
          <w:sz w:val="22"/>
          <w:szCs w:val="22"/>
        </w:rPr>
        <w:t xml:space="preserve">had </w:t>
      </w:r>
      <w:r w:rsidRPr="00B300FF">
        <w:rPr>
          <w:rFonts w:ascii="Arial" w:hAnsi="Arial" w:cs="Arial"/>
          <w:sz w:val="22"/>
          <w:szCs w:val="22"/>
        </w:rPr>
        <w:t>a</w:t>
      </w:r>
      <w:r>
        <w:rPr>
          <w:rFonts w:ascii="Arial" w:hAnsi="Arial" w:cs="Arial"/>
          <w:sz w:val="22"/>
          <w:szCs w:val="22"/>
        </w:rPr>
        <w:t>n</w:t>
      </w:r>
      <w:r w:rsidRPr="00B300FF">
        <w:rPr>
          <w:rFonts w:ascii="Arial" w:hAnsi="Arial" w:cs="Arial"/>
          <w:sz w:val="22"/>
          <w:szCs w:val="22"/>
        </w:rPr>
        <w:t xml:space="preserve"> impact </w:t>
      </w:r>
      <w:r>
        <w:rPr>
          <w:rFonts w:ascii="Arial" w:hAnsi="Arial" w:cs="Arial"/>
          <w:sz w:val="22"/>
          <w:szCs w:val="22"/>
        </w:rPr>
        <w:t xml:space="preserve">on this measure: </w:t>
      </w:r>
    </w:p>
    <w:p w14:paraId="4E67E792" w14:textId="77777777" w:rsidR="001D70C1" w:rsidRDefault="001D70C1" w:rsidP="00C04FF1">
      <w:pPr>
        <w:numPr>
          <w:ilvl w:val="0"/>
          <w:numId w:val="42"/>
        </w:numPr>
        <w:spacing w:before="60" w:after="60"/>
        <w:jc w:val="both"/>
        <w:rPr>
          <w:rFonts w:ascii="Arial" w:hAnsi="Arial" w:cs="Arial"/>
          <w:sz w:val="22"/>
          <w:szCs w:val="22"/>
        </w:rPr>
      </w:pPr>
      <w:r>
        <w:rPr>
          <w:rFonts w:ascii="Arial" w:hAnsi="Arial" w:cs="Arial"/>
          <w:sz w:val="22"/>
          <w:szCs w:val="22"/>
        </w:rPr>
        <w:t>Mechanisms for capturing data are accessible and easy to use.</w:t>
      </w:r>
    </w:p>
    <w:p w14:paraId="032B9BB1" w14:textId="77777777" w:rsidR="001D70C1" w:rsidRDefault="001D70C1" w:rsidP="00C04FF1">
      <w:pPr>
        <w:numPr>
          <w:ilvl w:val="0"/>
          <w:numId w:val="42"/>
        </w:numPr>
        <w:spacing w:before="60" w:after="60"/>
        <w:jc w:val="both"/>
        <w:rPr>
          <w:rFonts w:ascii="Arial" w:hAnsi="Arial" w:cs="Arial"/>
          <w:sz w:val="22"/>
          <w:szCs w:val="22"/>
        </w:rPr>
      </w:pPr>
      <w:r>
        <w:rPr>
          <w:rFonts w:ascii="Arial" w:hAnsi="Arial" w:cs="Arial"/>
          <w:sz w:val="22"/>
          <w:szCs w:val="22"/>
        </w:rPr>
        <w:t>Methods for referring patients to cessation support services are simple and succinct.</w:t>
      </w:r>
    </w:p>
    <w:p w14:paraId="3B008C00" w14:textId="77777777" w:rsidR="001D70C1" w:rsidRPr="0071617E" w:rsidRDefault="001D70C1" w:rsidP="00C04FF1">
      <w:pPr>
        <w:numPr>
          <w:ilvl w:val="0"/>
          <w:numId w:val="42"/>
        </w:numPr>
        <w:rPr>
          <w:rFonts w:ascii="Arial" w:hAnsi="Arial" w:cs="Arial"/>
          <w:sz w:val="22"/>
          <w:szCs w:val="22"/>
        </w:rPr>
      </w:pPr>
      <w:r>
        <w:rPr>
          <w:rFonts w:ascii="Arial" w:hAnsi="Arial" w:cs="Arial"/>
          <w:sz w:val="22"/>
          <w:szCs w:val="22"/>
        </w:rPr>
        <w:t>S</w:t>
      </w:r>
      <w:r w:rsidRPr="009B2718">
        <w:rPr>
          <w:rFonts w:ascii="Arial" w:hAnsi="Arial" w:cs="Arial"/>
          <w:sz w:val="22"/>
          <w:szCs w:val="22"/>
        </w:rPr>
        <w:t xml:space="preserve">ervices </w:t>
      </w:r>
      <w:r>
        <w:rPr>
          <w:rFonts w:ascii="Arial" w:hAnsi="Arial" w:cs="Arial"/>
          <w:sz w:val="22"/>
          <w:szCs w:val="22"/>
        </w:rPr>
        <w:t xml:space="preserve">are able to </w:t>
      </w:r>
      <w:r w:rsidRPr="009B2718">
        <w:rPr>
          <w:rFonts w:ascii="Arial" w:hAnsi="Arial" w:cs="Arial"/>
          <w:sz w:val="22"/>
          <w:szCs w:val="22"/>
        </w:rPr>
        <w:t xml:space="preserve">monitor their progress </w:t>
      </w:r>
      <w:r>
        <w:rPr>
          <w:rFonts w:ascii="Arial" w:hAnsi="Arial" w:cs="Arial"/>
          <w:sz w:val="22"/>
          <w:szCs w:val="22"/>
        </w:rPr>
        <w:t xml:space="preserve">towards the target </w:t>
      </w:r>
      <w:r w:rsidRPr="009B2718">
        <w:rPr>
          <w:rFonts w:ascii="Arial" w:hAnsi="Arial" w:cs="Arial"/>
          <w:sz w:val="22"/>
          <w:szCs w:val="22"/>
        </w:rPr>
        <w:t>on a regular basis</w:t>
      </w:r>
      <w:r>
        <w:rPr>
          <w:rFonts w:ascii="Arial" w:hAnsi="Arial" w:cs="Arial"/>
          <w:sz w:val="22"/>
          <w:szCs w:val="22"/>
        </w:rPr>
        <w:t>.</w:t>
      </w:r>
    </w:p>
    <w:p w14:paraId="1F07A669" w14:textId="77777777" w:rsidR="001D70C1" w:rsidRDefault="001D70C1" w:rsidP="00C04FF1">
      <w:pPr>
        <w:numPr>
          <w:ilvl w:val="0"/>
          <w:numId w:val="42"/>
        </w:numPr>
        <w:spacing w:before="60" w:after="60"/>
        <w:jc w:val="both"/>
        <w:rPr>
          <w:rFonts w:ascii="Arial" w:hAnsi="Arial" w:cs="Arial"/>
          <w:sz w:val="22"/>
          <w:szCs w:val="22"/>
        </w:rPr>
      </w:pPr>
      <w:proofErr w:type="spellStart"/>
      <w:r>
        <w:rPr>
          <w:rFonts w:ascii="Arial" w:hAnsi="Arial" w:cs="Arial"/>
          <w:sz w:val="22"/>
          <w:szCs w:val="22"/>
        </w:rPr>
        <w:t>Smokefree</w:t>
      </w:r>
      <w:proofErr w:type="spellEnd"/>
      <w:r>
        <w:rPr>
          <w:rFonts w:ascii="Arial" w:hAnsi="Arial" w:cs="Arial"/>
          <w:sz w:val="22"/>
          <w:szCs w:val="22"/>
        </w:rPr>
        <w:t xml:space="preserve"> champions are in place within each ward, </w:t>
      </w:r>
      <w:proofErr w:type="gramStart"/>
      <w:r>
        <w:rPr>
          <w:rFonts w:ascii="Arial" w:hAnsi="Arial" w:cs="Arial"/>
          <w:sz w:val="22"/>
          <w:szCs w:val="22"/>
        </w:rPr>
        <w:t>practice</w:t>
      </w:r>
      <w:proofErr w:type="gramEnd"/>
      <w:r>
        <w:rPr>
          <w:rFonts w:ascii="Arial" w:hAnsi="Arial" w:cs="Arial"/>
          <w:sz w:val="22"/>
          <w:szCs w:val="22"/>
        </w:rPr>
        <w:t xml:space="preserve"> or service to provide motivation, education and support for the target. </w:t>
      </w:r>
    </w:p>
    <w:p w14:paraId="0387BC6D" w14:textId="77777777" w:rsidR="001D70C1" w:rsidRPr="008E4FE3" w:rsidRDefault="001D70C1" w:rsidP="001D70C1">
      <w:pPr>
        <w:pStyle w:val="ListParagraph"/>
        <w:shd w:val="clear" w:color="auto" w:fill="FFFFFF"/>
        <w:spacing w:before="60" w:after="60"/>
        <w:ind w:left="360"/>
        <w:jc w:val="both"/>
        <w:rPr>
          <w:rFonts w:ascii="Arial" w:hAnsi="Arial" w:cs="Arial"/>
          <w:b/>
          <w:sz w:val="22"/>
          <w:szCs w:val="22"/>
        </w:rPr>
      </w:pPr>
    </w:p>
    <w:p w14:paraId="09545082" w14:textId="77777777" w:rsidR="001D70C1" w:rsidRDefault="001D70C1" w:rsidP="001D70C1">
      <w:pPr>
        <w:spacing w:before="60" w:after="60"/>
        <w:jc w:val="both"/>
        <w:rPr>
          <w:rFonts w:ascii="Arial" w:hAnsi="Arial" w:cs="Arial"/>
          <w:b/>
          <w:szCs w:val="22"/>
          <w:lang w:val="en-GB"/>
        </w:rPr>
      </w:pPr>
      <w:r w:rsidRPr="0071617E">
        <w:rPr>
          <w:rFonts w:ascii="Arial" w:hAnsi="Arial" w:cs="Arial"/>
          <w:b/>
          <w:szCs w:val="22"/>
          <w:lang w:val="en-GB"/>
        </w:rPr>
        <w:t>Deliverables</w:t>
      </w:r>
    </w:p>
    <w:p w14:paraId="02A13378"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 xml:space="preserve">Each quarter, </w:t>
      </w:r>
      <w:r w:rsidRPr="0071617E">
        <w:rPr>
          <w:rFonts w:ascii="Arial" w:hAnsi="Arial" w:cs="Arial"/>
          <w:sz w:val="22"/>
          <w:szCs w:val="22"/>
          <w:lang w:val="en-GB"/>
        </w:rPr>
        <w:t>DHB</w:t>
      </w:r>
      <w:r>
        <w:rPr>
          <w:rFonts w:ascii="Arial" w:hAnsi="Arial" w:cs="Arial"/>
          <w:sz w:val="22"/>
          <w:szCs w:val="22"/>
          <w:lang w:val="en-GB"/>
        </w:rPr>
        <w:t>s</w:t>
      </w:r>
      <w:r w:rsidRPr="0071617E">
        <w:rPr>
          <w:rFonts w:ascii="Arial" w:hAnsi="Arial" w:cs="Arial"/>
          <w:sz w:val="22"/>
          <w:szCs w:val="22"/>
          <w:lang w:val="en-GB"/>
        </w:rPr>
        <w:t xml:space="preserve"> </w:t>
      </w:r>
      <w:r>
        <w:rPr>
          <w:rFonts w:ascii="Arial" w:hAnsi="Arial" w:cs="Arial"/>
          <w:sz w:val="22"/>
          <w:szCs w:val="22"/>
          <w:lang w:val="en-GB"/>
        </w:rPr>
        <w:t>will be required to complete the template supplied by the Ministry (numerical and narrative sections must be completed).  L</w:t>
      </w:r>
      <w:r w:rsidRPr="009B2718">
        <w:rPr>
          <w:rFonts w:ascii="Arial" w:hAnsi="Arial" w:cs="Arial"/>
          <w:sz w:val="22"/>
          <w:szCs w:val="22"/>
          <w:lang w:val="en-GB"/>
        </w:rPr>
        <w:t xml:space="preserve">ocal </w:t>
      </w:r>
      <w:r>
        <w:rPr>
          <w:rFonts w:ascii="Arial" w:hAnsi="Arial" w:cs="Arial"/>
          <w:sz w:val="22"/>
          <w:szCs w:val="22"/>
          <w:lang w:val="en-GB"/>
        </w:rPr>
        <w:t>p</w:t>
      </w:r>
      <w:r w:rsidRPr="009B2718">
        <w:rPr>
          <w:rFonts w:ascii="Arial" w:hAnsi="Arial" w:cs="Arial"/>
          <w:sz w:val="22"/>
          <w:szCs w:val="22"/>
          <w:lang w:val="en-GB"/>
        </w:rPr>
        <w:t xml:space="preserve">atient </w:t>
      </w:r>
      <w:r>
        <w:rPr>
          <w:rFonts w:ascii="Arial" w:hAnsi="Arial" w:cs="Arial"/>
          <w:sz w:val="22"/>
          <w:szCs w:val="22"/>
          <w:lang w:val="en-GB"/>
        </w:rPr>
        <w:t>m</w:t>
      </w:r>
      <w:r w:rsidRPr="009B2718">
        <w:rPr>
          <w:rFonts w:ascii="Arial" w:hAnsi="Arial" w:cs="Arial"/>
          <w:sz w:val="22"/>
          <w:szCs w:val="22"/>
          <w:lang w:val="en-GB"/>
        </w:rPr>
        <w:t xml:space="preserve">anagement </w:t>
      </w:r>
      <w:r>
        <w:rPr>
          <w:rFonts w:ascii="Arial" w:hAnsi="Arial" w:cs="Arial"/>
          <w:sz w:val="22"/>
          <w:szCs w:val="22"/>
          <w:lang w:val="en-GB"/>
        </w:rPr>
        <w:t>s</w:t>
      </w:r>
      <w:r w:rsidRPr="009B2718">
        <w:rPr>
          <w:rFonts w:ascii="Arial" w:hAnsi="Arial" w:cs="Arial"/>
          <w:sz w:val="22"/>
          <w:szCs w:val="22"/>
          <w:lang w:val="en-GB"/>
        </w:rPr>
        <w:t xml:space="preserve">ystems </w:t>
      </w:r>
      <w:r>
        <w:rPr>
          <w:rFonts w:ascii="Arial" w:hAnsi="Arial" w:cs="Arial"/>
          <w:sz w:val="22"/>
          <w:szCs w:val="22"/>
          <w:lang w:val="en-GB"/>
        </w:rPr>
        <w:t xml:space="preserve">will be used to capture the necessary data </w:t>
      </w:r>
      <w:r w:rsidRPr="009B2718">
        <w:rPr>
          <w:rFonts w:ascii="Arial" w:hAnsi="Arial" w:cs="Arial"/>
          <w:sz w:val="22"/>
          <w:szCs w:val="22"/>
          <w:lang w:val="en-GB"/>
        </w:rPr>
        <w:t xml:space="preserve">using </w:t>
      </w:r>
      <w:r>
        <w:rPr>
          <w:rFonts w:ascii="Arial" w:hAnsi="Arial" w:cs="Arial"/>
          <w:sz w:val="22"/>
          <w:szCs w:val="22"/>
          <w:lang w:val="en-GB"/>
        </w:rPr>
        <w:t>the relevant ICD-10-AM codes (see table 1)</w:t>
      </w:r>
      <w:r w:rsidRPr="009B2718">
        <w:rPr>
          <w:rFonts w:ascii="Arial" w:hAnsi="Arial" w:cs="Arial"/>
          <w:sz w:val="22"/>
          <w:szCs w:val="22"/>
          <w:lang w:val="en-GB"/>
        </w:rPr>
        <w:t>.</w:t>
      </w:r>
    </w:p>
    <w:p w14:paraId="7D402475" w14:textId="77777777" w:rsidR="001D70C1" w:rsidRDefault="001D70C1" w:rsidP="001D70C1">
      <w:pPr>
        <w:spacing w:before="60" w:after="60"/>
        <w:jc w:val="both"/>
        <w:rPr>
          <w:rFonts w:ascii="Arial" w:hAnsi="Arial" w:cs="Arial"/>
          <w:sz w:val="22"/>
          <w:szCs w:val="22"/>
          <w:lang w:val="en-GB"/>
        </w:rPr>
      </w:pPr>
    </w:p>
    <w:p w14:paraId="20C3A09B"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Table 1: Smoking related ICD-10-AM codes</w:t>
      </w:r>
    </w:p>
    <w:p w14:paraId="0BF52DB5" w14:textId="77777777" w:rsidR="001D70C1" w:rsidRPr="0071617E" w:rsidRDefault="001D70C1" w:rsidP="001D70C1">
      <w:pPr>
        <w:spacing w:before="60" w:after="60"/>
        <w:jc w:val="both"/>
        <w:rPr>
          <w:rFonts w:ascii="Arial" w:hAnsi="Arial" w:cs="Arial"/>
          <w:sz w:val="10"/>
          <w:szCs w:val="22"/>
          <w:lang w:val="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276"/>
        <w:gridCol w:w="7087"/>
      </w:tblGrid>
      <w:tr w:rsidR="001D70C1" w:rsidRPr="009B2718" w14:paraId="7936D1FC" w14:textId="77777777" w:rsidTr="009D6F69">
        <w:trPr>
          <w:tblHeader/>
        </w:trPr>
        <w:tc>
          <w:tcPr>
            <w:tcW w:w="1843" w:type="dxa"/>
            <w:shd w:val="clear" w:color="auto" w:fill="D9D9D9"/>
          </w:tcPr>
          <w:p w14:paraId="57E73299" w14:textId="77777777" w:rsidR="001D70C1" w:rsidRPr="009B2718" w:rsidRDefault="001D70C1" w:rsidP="009D6F69">
            <w:pPr>
              <w:spacing w:after="100" w:afterAutospacing="1"/>
              <w:rPr>
                <w:rFonts w:ascii="Arial" w:hAnsi="Arial" w:cs="Arial"/>
                <w:b/>
                <w:sz w:val="20"/>
                <w:szCs w:val="20"/>
              </w:rPr>
            </w:pPr>
            <w:r w:rsidRPr="009B2718">
              <w:rPr>
                <w:rFonts w:ascii="Arial" w:hAnsi="Arial" w:cs="Arial"/>
                <w:b/>
                <w:sz w:val="20"/>
                <w:szCs w:val="20"/>
              </w:rPr>
              <w:t>Measurement of Target</w:t>
            </w:r>
          </w:p>
        </w:tc>
        <w:tc>
          <w:tcPr>
            <w:tcW w:w="1276" w:type="dxa"/>
            <w:shd w:val="clear" w:color="auto" w:fill="D9D9D9"/>
          </w:tcPr>
          <w:p w14:paraId="5B8CFA1D" w14:textId="77777777" w:rsidR="001D70C1" w:rsidRPr="009B2718" w:rsidRDefault="001D70C1" w:rsidP="009D6F69">
            <w:pPr>
              <w:spacing w:after="100" w:afterAutospacing="1"/>
              <w:rPr>
                <w:rFonts w:ascii="Arial" w:hAnsi="Arial" w:cs="Arial"/>
                <w:b/>
                <w:sz w:val="20"/>
                <w:szCs w:val="20"/>
              </w:rPr>
            </w:pPr>
            <w:r w:rsidRPr="009B2718">
              <w:rPr>
                <w:rFonts w:ascii="Arial" w:hAnsi="Arial" w:cs="Arial"/>
                <w:b/>
                <w:sz w:val="20"/>
                <w:szCs w:val="20"/>
              </w:rPr>
              <w:t xml:space="preserve">ICD Code </w:t>
            </w:r>
          </w:p>
        </w:tc>
        <w:tc>
          <w:tcPr>
            <w:tcW w:w="7087" w:type="dxa"/>
            <w:shd w:val="clear" w:color="auto" w:fill="D9D9D9"/>
          </w:tcPr>
          <w:p w14:paraId="4A63FEE7" w14:textId="77777777" w:rsidR="001D70C1" w:rsidRPr="009B2718" w:rsidRDefault="001D70C1" w:rsidP="009D6F69">
            <w:pPr>
              <w:spacing w:after="100" w:afterAutospacing="1"/>
              <w:rPr>
                <w:rFonts w:ascii="Arial" w:hAnsi="Arial" w:cs="Arial"/>
                <w:b/>
                <w:sz w:val="20"/>
                <w:szCs w:val="20"/>
              </w:rPr>
            </w:pPr>
            <w:r w:rsidRPr="009B2718">
              <w:rPr>
                <w:rFonts w:ascii="Arial" w:hAnsi="Arial" w:cs="Arial"/>
                <w:b/>
                <w:sz w:val="20"/>
                <w:szCs w:val="20"/>
              </w:rPr>
              <w:t>ICD Definition</w:t>
            </w:r>
          </w:p>
        </w:tc>
      </w:tr>
      <w:tr w:rsidR="001D70C1" w:rsidRPr="009B2718" w14:paraId="63416DB5" w14:textId="77777777" w:rsidTr="009D6F69">
        <w:tc>
          <w:tcPr>
            <w:tcW w:w="1843" w:type="dxa"/>
            <w:vMerge w:val="restart"/>
          </w:tcPr>
          <w:p w14:paraId="4722AA3B"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Hospitalised smokers</w:t>
            </w:r>
          </w:p>
        </w:tc>
        <w:tc>
          <w:tcPr>
            <w:tcW w:w="1276" w:type="dxa"/>
          </w:tcPr>
          <w:p w14:paraId="17E972AD"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 xml:space="preserve">F17.1 </w:t>
            </w:r>
          </w:p>
        </w:tc>
        <w:tc>
          <w:tcPr>
            <w:tcW w:w="7087" w:type="dxa"/>
          </w:tcPr>
          <w:p w14:paraId="71E11722" w14:textId="77777777" w:rsidR="001D70C1" w:rsidRPr="009B2718" w:rsidRDefault="001D70C1" w:rsidP="009D6F69">
            <w:pPr>
              <w:spacing w:after="100" w:afterAutospacing="1"/>
              <w:rPr>
                <w:rFonts w:ascii="Arial" w:hAnsi="Arial" w:cs="Arial"/>
                <w:sz w:val="20"/>
                <w:szCs w:val="20"/>
              </w:rPr>
            </w:pPr>
            <w:r w:rsidRPr="009B2718">
              <w:rPr>
                <w:rFonts w:ascii="Arial" w:hAnsi="Arial"/>
                <w:i/>
                <w:sz w:val="20"/>
                <w:szCs w:val="20"/>
              </w:rPr>
              <w:t>Mental and behavioural disorders due to use of tobacco, harmful use</w:t>
            </w:r>
            <w:r w:rsidRPr="009B2718">
              <w:rPr>
                <w:rFonts w:ascii="Arial" w:hAnsi="Arial"/>
                <w:sz w:val="20"/>
                <w:szCs w:val="20"/>
              </w:rPr>
              <w:t xml:space="preserve"> is assigned when a clearly documented relationship exists between a particular condition and smoking.</w:t>
            </w:r>
          </w:p>
        </w:tc>
      </w:tr>
      <w:tr w:rsidR="001D70C1" w:rsidRPr="009B2718" w14:paraId="054C7921" w14:textId="77777777" w:rsidTr="009D6F69">
        <w:tc>
          <w:tcPr>
            <w:tcW w:w="1843" w:type="dxa"/>
            <w:vMerge/>
          </w:tcPr>
          <w:p w14:paraId="601AAA6B" w14:textId="77777777" w:rsidR="001D70C1" w:rsidRPr="009B2718" w:rsidRDefault="001D70C1" w:rsidP="009D6F69">
            <w:pPr>
              <w:spacing w:after="100" w:afterAutospacing="1"/>
              <w:rPr>
                <w:rFonts w:ascii="Arial" w:hAnsi="Arial" w:cs="Arial"/>
                <w:sz w:val="20"/>
                <w:szCs w:val="20"/>
              </w:rPr>
            </w:pPr>
          </w:p>
        </w:tc>
        <w:tc>
          <w:tcPr>
            <w:tcW w:w="1276" w:type="dxa"/>
          </w:tcPr>
          <w:p w14:paraId="7A08B9C3"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F17.2</w:t>
            </w:r>
          </w:p>
        </w:tc>
        <w:tc>
          <w:tcPr>
            <w:tcW w:w="7087" w:type="dxa"/>
          </w:tcPr>
          <w:p w14:paraId="3BCB6773" w14:textId="77777777" w:rsidR="001D70C1" w:rsidRPr="009B2718" w:rsidRDefault="001D70C1" w:rsidP="009D6F69">
            <w:pPr>
              <w:spacing w:after="100" w:afterAutospacing="1"/>
              <w:rPr>
                <w:rFonts w:ascii="Arial" w:hAnsi="Arial" w:cs="Arial"/>
                <w:sz w:val="20"/>
                <w:szCs w:val="20"/>
              </w:rPr>
            </w:pPr>
            <w:r w:rsidRPr="009B2718">
              <w:rPr>
                <w:rFonts w:ascii="Arial" w:hAnsi="Arial"/>
                <w:i/>
                <w:sz w:val="20"/>
                <w:szCs w:val="20"/>
              </w:rPr>
              <w:t>Mental and behavioural disorders due to use of tobacco, dependence syndrome</w:t>
            </w:r>
            <w:r w:rsidRPr="009B2718">
              <w:rPr>
                <w:rFonts w:ascii="Arial" w:hAnsi="Arial"/>
                <w:sz w:val="20"/>
                <w:szCs w:val="20"/>
              </w:rPr>
              <w:t xml:space="preserve"> is assigned only when a formal diagnosis of ‘tobacco dependence syndrome’ has been made.</w:t>
            </w:r>
          </w:p>
        </w:tc>
      </w:tr>
      <w:tr w:rsidR="001D70C1" w:rsidRPr="009B2718" w14:paraId="5774C0CA" w14:textId="77777777" w:rsidTr="009D6F69">
        <w:tc>
          <w:tcPr>
            <w:tcW w:w="1843" w:type="dxa"/>
            <w:vMerge/>
          </w:tcPr>
          <w:p w14:paraId="61CF8C00" w14:textId="77777777" w:rsidR="001D70C1" w:rsidRPr="009B2718" w:rsidRDefault="001D70C1" w:rsidP="009D6F69">
            <w:pPr>
              <w:spacing w:after="100" w:afterAutospacing="1"/>
              <w:rPr>
                <w:rFonts w:ascii="Arial" w:hAnsi="Arial" w:cs="Arial"/>
                <w:sz w:val="20"/>
                <w:szCs w:val="20"/>
              </w:rPr>
            </w:pPr>
          </w:p>
        </w:tc>
        <w:tc>
          <w:tcPr>
            <w:tcW w:w="1276" w:type="dxa"/>
          </w:tcPr>
          <w:p w14:paraId="723AD1DC"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Z72.0</w:t>
            </w:r>
          </w:p>
        </w:tc>
        <w:tc>
          <w:tcPr>
            <w:tcW w:w="7087" w:type="dxa"/>
          </w:tcPr>
          <w:p w14:paraId="5591DA69" w14:textId="77777777" w:rsidR="001D70C1" w:rsidRPr="009B2718" w:rsidRDefault="001D70C1" w:rsidP="009D6F69">
            <w:pPr>
              <w:spacing w:after="100" w:afterAutospacing="1"/>
              <w:rPr>
                <w:rFonts w:ascii="Arial" w:hAnsi="Arial" w:cs="Arial"/>
                <w:sz w:val="20"/>
                <w:szCs w:val="20"/>
              </w:rPr>
            </w:pPr>
            <w:r w:rsidRPr="009B2718">
              <w:rPr>
                <w:rFonts w:ascii="Arial" w:hAnsi="Arial"/>
                <w:i/>
                <w:sz w:val="20"/>
                <w:szCs w:val="20"/>
              </w:rPr>
              <w:t>Tobacco use, current</w:t>
            </w:r>
            <w:r w:rsidRPr="009B2718">
              <w:rPr>
                <w:rFonts w:ascii="Arial" w:hAnsi="Arial"/>
                <w:sz w:val="20"/>
                <w:szCs w:val="20"/>
              </w:rPr>
              <w:t xml:space="preserve"> is assigned if the patient has smoked tobacco within the last month and when there is insufficient documentation available to qualify the assignment of either F17.1 or F17.2.</w:t>
            </w:r>
          </w:p>
        </w:tc>
      </w:tr>
      <w:tr w:rsidR="001D70C1" w:rsidRPr="009B2718" w14:paraId="5A451248" w14:textId="77777777" w:rsidTr="009D6F69">
        <w:trPr>
          <w:trHeight w:val="1234"/>
        </w:trPr>
        <w:tc>
          <w:tcPr>
            <w:tcW w:w="1843" w:type="dxa"/>
          </w:tcPr>
          <w:p w14:paraId="3514ECA3"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Advice and support</w:t>
            </w:r>
          </w:p>
        </w:tc>
        <w:tc>
          <w:tcPr>
            <w:tcW w:w="1276" w:type="dxa"/>
          </w:tcPr>
          <w:p w14:paraId="7EC6E83A" w14:textId="77777777" w:rsidR="001D70C1" w:rsidRPr="009B2718" w:rsidRDefault="001D70C1" w:rsidP="009D6F69">
            <w:pPr>
              <w:spacing w:after="100" w:afterAutospacing="1"/>
              <w:rPr>
                <w:rFonts w:ascii="Arial" w:hAnsi="Arial" w:cs="Arial"/>
                <w:sz w:val="20"/>
                <w:szCs w:val="20"/>
              </w:rPr>
            </w:pPr>
            <w:r w:rsidRPr="009B2718">
              <w:rPr>
                <w:rFonts w:ascii="Arial" w:hAnsi="Arial" w:cs="Arial"/>
                <w:sz w:val="20"/>
                <w:szCs w:val="20"/>
              </w:rPr>
              <w:t>Z71.6</w:t>
            </w:r>
          </w:p>
        </w:tc>
        <w:tc>
          <w:tcPr>
            <w:tcW w:w="7087" w:type="dxa"/>
          </w:tcPr>
          <w:p w14:paraId="2FC7F00F" w14:textId="77777777" w:rsidR="001D70C1" w:rsidRPr="009B2718" w:rsidRDefault="001D70C1" w:rsidP="009D6F69">
            <w:pPr>
              <w:rPr>
                <w:rFonts w:ascii="Arial" w:hAnsi="Arial"/>
                <w:sz w:val="20"/>
                <w:szCs w:val="20"/>
              </w:rPr>
            </w:pPr>
            <w:r w:rsidRPr="009B2718">
              <w:rPr>
                <w:rFonts w:ascii="Arial" w:hAnsi="Arial"/>
                <w:i/>
                <w:sz w:val="20"/>
                <w:szCs w:val="20"/>
              </w:rPr>
              <w:t xml:space="preserve">Counselling for tobacco use disorder </w:t>
            </w:r>
            <w:r w:rsidRPr="009B2718">
              <w:rPr>
                <w:rFonts w:ascii="Arial" w:hAnsi="Arial"/>
                <w:sz w:val="20"/>
                <w:szCs w:val="20"/>
              </w:rPr>
              <w:t>is assigned in addition to a tobacco status code when a health care worker has provided either advice to quit smoking and/or cessation therapy while the patient is in hospital.</w:t>
            </w:r>
          </w:p>
          <w:p w14:paraId="24513403" w14:textId="77777777" w:rsidR="001D70C1" w:rsidRPr="009B2718" w:rsidRDefault="001D70C1" w:rsidP="00C04FF1">
            <w:pPr>
              <w:numPr>
                <w:ilvl w:val="0"/>
                <w:numId w:val="45"/>
              </w:numPr>
              <w:rPr>
                <w:rFonts w:ascii="Arial" w:hAnsi="Arial" w:cs="Arial"/>
                <w:sz w:val="20"/>
                <w:szCs w:val="20"/>
              </w:rPr>
            </w:pPr>
            <w:r w:rsidRPr="009B2718">
              <w:rPr>
                <w:rFonts w:ascii="Arial" w:hAnsi="Arial"/>
                <w:sz w:val="20"/>
                <w:szCs w:val="20"/>
              </w:rPr>
              <w:t xml:space="preserve">For completeness if Z71.6 coding exists in the absence of a code for hospitalised smoker, then apply code Z72.0.  </w:t>
            </w:r>
          </w:p>
        </w:tc>
      </w:tr>
    </w:tbl>
    <w:p w14:paraId="26DB4107"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Those DHBs that do not meet the 95 percent target for the quarter must provide the Ministry with an action plan detailing how they will improve their result, and must begin reporting their results to the Ministry monthly.</w:t>
      </w:r>
    </w:p>
    <w:p w14:paraId="445A8076" w14:textId="77777777" w:rsidR="001D70C1" w:rsidRDefault="001D70C1" w:rsidP="001D70C1">
      <w:pPr>
        <w:spacing w:before="60" w:after="60"/>
        <w:jc w:val="both"/>
        <w:rPr>
          <w:rFonts w:ascii="Arial" w:hAnsi="Arial" w:cs="Arial"/>
          <w:b/>
          <w:szCs w:val="22"/>
          <w:lang w:val="en-GB"/>
        </w:rPr>
      </w:pPr>
      <w:r w:rsidRPr="0071617E">
        <w:rPr>
          <w:rFonts w:ascii="Arial" w:hAnsi="Arial" w:cs="Arial"/>
          <w:b/>
          <w:szCs w:val="22"/>
          <w:lang w:val="en-GB"/>
        </w:rPr>
        <w:t>Eligible population</w:t>
      </w:r>
      <w:r>
        <w:rPr>
          <w:rFonts w:ascii="Arial" w:hAnsi="Arial" w:cs="Arial"/>
          <w:b/>
          <w:szCs w:val="22"/>
          <w:lang w:val="en-GB"/>
        </w:rPr>
        <w:t>s</w:t>
      </w:r>
    </w:p>
    <w:p w14:paraId="5EFEFD51"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A</w:t>
      </w:r>
      <w:r w:rsidRPr="00F92447">
        <w:rPr>
          <w:rFonts w:ascii="Arial" w:hAnsi="Arial" w:cs="Arial"/>
          <w:sz w:val="22"/>
          <w:szCs w:val="22"/>
          <w:lang w:val="en-GB"/>
        </w:rPr>
        <w:t>ll adults</w:t>
      </w:r>
      <w:r>
        <w:rPr>
          <w:rFonts w:ascii="Arial" w:hAnsi="Arial" w:cs="Arial"/>
          <w:sz w:val="22"/>
          <w:szCs w:val="22"/>
          <w:lang w:val="en-GB"/>
        </w:rPr>
        <w:t xml:space="preserve"> who are:</w:t>
      </w:r>
    </w:p>
    <w:p w14:paraId="7748ED15" w14:textId="77777777" w:rsidR="001D70C1" w:rsidRDefault="001D70C1" w:rsidP="00C04FF1">
      <w:pPr>
        <w:numPr>
          <w:ilvl w:val="0"/>
          <w:numId w:val="44"/>
        </w:numPr>
        <w:spacing w:before="60" w:after="60"/>
        <w:jc w:val="both"/>
        <w:rPr>
          <w:rFonts w:ascii="Arial" w:hAnsi="Arial" w:cs="Arial"/>
          <w:sz w:val="22"/>
          <w:szCs w:val="22"/>
          <w:lang w:val="en-GB"/>
        </w:rPr>
      </w:pPr>
      <w:r>
        <w:rPr>
          <w:rFonts w:ascii="Arial" w:hAnsi="Arial" w:cs="Arial"/>
          <w:sz w:val="22"/>
          <w:szCs w:val="22"/>
          <w:lang w:val="en-GB"/>
        </w:rPr>
        <w:t xml:space="preserve">aged </w:t>
      </w:r>
      <w:r w:rsidRPr="00F92447">
        <w:rPr>
          <w:rFonts w:ascii="Arial" w:hAnsi="Arial" w:cs="Arial"/>
          <w:sz w:val="22"/>
          <w:szCs w:val="22"/>
          <w:lang w:val="en-GB"/>
        </w:rPr>
        <w:t>15</w:t>
      </w:r>
      <w:r>
        <w:rPr>
          <w:rFonts w:ascii="Arial" w:hAnsi="Arial" w:cs="Arial"/>
          <w:sz w:val="22"/>
          <w:szCs w:val="22"/>
          <w:lang w:val="en-GB"/>
        </w:rPr>
        <w:t xml:space="preserve"> years and over</w:t>
      </w:r>
    </w:p>
    <w:p w14:paraId="43BC249B" w14:textId="77777777" w:rsidR="001D70C1" w:rsidRDefault="001D70C1" w:rsidP="00C04FF1">
      <w:pPr>
        <w:numPr>
          <w:ilvl w:val="0"/>
          <w:numId w:val="44"/>
        </w:numPr>
        <w:spacing w:before="60" w:after="60"/>
        <w:jc w:val="both"/>
        <w:rPr>
          <w:rFonts w:ascii="Arial" w:hAnsi="Arial" w:cs="Arial"/>
          <w:sz w:val="22"/>
          <w:szCs w:val="22"/>
          <w:lang w:val="en-GB"/>
        </w:rPr>
      </w:pPr>
      <w:r>
        <w:rPr>
          <w:rFonts w:ascii="Arial" w:hAnsi="Arial" w:cs="Arial"/>
          <w:sz w:val="22"/>
          <w:szCs w:val="22"/>
          <w:lang w:val="en-GB"/>
        </w:rPr>
        <w:t>admitted</w:t>
      </w:r>
      <w:r w:rsidRPr="00F92447">
        <w:rPr>
          <w:rFonts w:ascii="Arial" w:hAnsi="Arial" w:cs="Arial"/>
          <w:sz w:val="22"/>
          <w:szCs w:val="22"/>
          <w:lang w:val="en-GB"/>
        </w:rPr>
        <w:t xml:space="preserve"> to hospital either acutely or for elective procedures</w:t>
      </w:r>
    </w:p>
    <w:p w14:paraId="23D53064" w14:textId="77777777" w:rsidR="001D70C1" w:rsidRDefault="001D70C1" w:rsidP="00C04FF1">
      <w:pPr>
        <w:numPr>
          <w:ilvl w:val="0"/>
          <w:numId w:val="44"/>
        </w:numPr>
        <w:spacing w:before="60" w:after="60"/>
        <w:jc w:val="both"/>
        <w:rPr>
          <w:rFonts w:ascii="Arial" w:hAnsi="Arial" w:cs="Arial"/>
          <w:sz w:val="22"/>
          <w:szCs w:val="22"/>
          <w:lang w:val="en-GB"/>
        </w:rPr>
      </w:pPr>
      <w:r>
        <w:rPr>
          <w:rFonts w:ascii="Arial" w:hAnsi="Arial" w:cs="Arial"/>
          <w:sz w:val="22"/>
          <w:szCs w:val="22"/>
          <w:lang w:val="en-GB"/>
        </w:rPr>
        <w:t>admitted as an inpatient; and</w:t>
      </w:r>
    </w:p>
    <w:p w14:paraId="44AE3D40" w14:textId="77777777" w:rsidR="001D70C1" w:rsidRDefault="001D70C1" w:rsidP="00C04FF1">
      <w:pPr>
        <w:numPr>
          <w:ilvl w:val="0"/>
          <w:numId w:val="44"/>
        </w:numPr>
        <w:spacing w:before="60" w:after="60"/>
        <w:jc w:val="both"/>
        <w:rPr>
          <w:rFonts w:ascii="Arial" w:hAnsi="Arial" w:cs="Arial"/>
          <w:sz w:val="22"/>
          <w:szCs w:val="22"/>
          <w:lang w:val="en-GB"/>
        </w:rPr>
      </w:pPr>
      <w:r>
        <w:rPr>
          <w:rFonts w:ascii="Arial" w:hAnsi="Arial" w:cs="Arial"/>
          <w:sz w:val="22"/>
          <w:szCs w:val="22"/>
          <w:lang w:val="en-GB"/>
        </w:rPr>
        <w:t xml:space="preserve">identified as a current tobacco smoker at the time of admission (a current tobacco smoker is someone who has smoked within the last four weeks). </w:t>
      </w:r>
    </w:p>
    <w:p w14:paraId="6B70A0AE" w14:textId="77777777" w:rsidR="001D70C1" w:rsidRPr="0071617E" w:rsidRDefault="001D70C1" w:rsidP="001D70C1">
      <w:pPr>
        <w:spacing w:before="60" w:after="60"/>
        <w:jc w:val="both"/>
        <w:rPr>
          <w:rFonts w:ascii="Arial" w:hAnsi="Arial" w:cs="Arial"/>
          <w:sz w:val="22"/>
          <w:szCs w:val="22"/>
          <w:lang w:val="en-GB"/>
        </w:rPr>
      </w:pPr>
      <w:r w:rsidRPr="0071617E">
        <w:rPr>
          <w:rFonts w:ascii="Arial" w:hAnsi="Arial" w:cs="Arial"/>
          <w:sz w:val="22"/>
          <w:szCs w:val="22"/>
          <w:lang w:val="en-GB"/>
        </w:rPr>
        <w:t>Explanation of terms</w:t>
      </w:r>
    </w:p>
    <w:p w14:paraId="5AD12AA5" w14:textId="77777777" w:rsidR="001D70C1" w:rsidRPr="0071617E" w:rsidRDefault="001D70C1" w:rsidP="001D70C1">
      <w:pPr>
        <w:spacing w:before="60" w:after="60"/>
        <w:jc w:val="both"/>
        <w:rPr>
          <w:rFonts w:ascii="Arial" w:hAnsi="Arial" w:cs="Arial"/>
          <w:sz w:val="22"/>
          <w:szCs w:val="22"/>
          <w:lang w:val="en-GB"/>
        </w:rPr>
      </w:pPr>
      <w:r w:rsidRPr="0071617E">
        <w:rPr>
          <w:rFonts w:ascii="Arial" w:hAnsi="Arial" w:cs="Arial"/>
          <w:sz w:val="22"/>
          <w:szCs w:val="22"/>
          <w:lang w:val="en-GB"/>
        </w:rPr>
        <w:t xml:space="preserve">For the purpose of the hospital target a current smoker is someone who has smoked at all within the last four weeks.  A facility is a place which may be a permanent, </w:t>
      </w:r>
      <w:proofErr w:type="gramStart"/>
      <w:r w:rsidRPr="0071617E">
        <w:rPr>
          <w:rFonts w:ascii="Arial" w:hAnsi="Arial" w:cs="Arial"/>
          <w:sz w:val="22"/>
          <w:szCs w:val="22"/>
          <w:lang w:val="en-GB"/>
        </w:rPr>
        <w:t>temporary</w:t>
      </w:r>
      <w:proofErr w:type="gramEnd"/>
      <w:r w:rsidRPr="0071617E">
        <w:rPr>
          <w:rFonts w:ascii="Arial" w:hAnsi="Arial" w:cs="Arial"/>
          <w:sz w:val="22"/>
          <w:szCs w:val="22"/>
          <w:lang w:val="en-GB"/>
        </w:rPr>
        <w:t xml:space="preserve"> or mobile structure, which health care users attend or are resident in, for the primary purpose of receiving health care or disability support services. This definition excludes supervised hostels, halfway houses, staff residences and rest homes where the rest home is the patient’s usual place of residence.</w:t>
      </w:r>
    </w:p>
    <w:p w14:paraId="255DEA76" w14:textId="77777777" w:rsidR="001D70C1" w:rsidRPr="0071617E" w:rsidRDefault="001D70C1" w:rsidP="001D70C1">
      <w:pPr>
        <w:spacing w:before="60" w:after="60"/>
        <w:jc w:val="both"/>
        <w:rPr>
          <w:rFonts w:ascii="Arial" w:hAnsi="Arial" w:cs="Arial"/>
          <w:sz w:val="22"/>
          <w:szCs w:val="22"/>
          <w:lang w:val="en-GB"/>
        </w:rPr>
      </w:pPr>
      <w:r w:rsidRPr="0071617E">
        <w:rPr>
          <w:rFonts w:ascii="Arial" w:hAnsi="Arial" w:cs="Arial"/>
          <w:sz w:val="22"/>
          <w:szCs w:val="22"/>
          <w:lang w:val="en-GB"/>
        </w:rPr>
        <w:lastRenderedPageBreak/>
        <w:t>For the purposes of data collection for the hospital target, private hospitals are excluded.  Therefore, the facility type includes, but is not limited to, public hospitals, psychiatric hospitals and drug and alcohol treatment facilities.</w:t>
      </w:r>
    </w:p>
    <w:p w14:paraId="1EF887A3" w14:textId="77777777" w:rsidR="001D70C1" w:rsidRDefault="001D70C1" w:rsidP="001D70C1">
      <w:pPr>
        <w:spacing w:before="60" w:after="60"/>
        <w:jc w:val="both"/>
        <w:rPr>
          <w:rFonts w:ascii="Arial" w:hAnsi="Arial" w:cs="Arial"/>
          <w:b/>
          <w:szCs w:val="22"/>
          <w:lang w:val="en-GB"/>
        </w:rPr>
      </w:pPr>
    </w:p>
    <w:p w14:paraId="3F7838BA" w14:textId="77777777" w:rsidR="001D70C1" w:rsidRPr="0071617E" w:rsidRDefault="001D70C1" w:rsidP="001D70C1">
      <w:pPr>
        <w:spacing w:before="60" w:after="60"/>
        <w:jc w:val="both"/>
        <w:rPr>
          <w:rFonts w:ascii="Arial" w:hAnsi="Arial" w:cs="Arial"/>
          <w:b/>
          <w:szCs w:val="22"/>
          <w:lang w:val="en-GB"/>
        </w:rPr>
      </w:pPr>
      <w:r w:rsidRPr="0071617E">
        <w:rPr>
          <w:rFonts w:ascii="Arial" w:hAnsi="Arial" w:cs="Arial"/>
          <w:b/>
          <w:szCs w:val="22"/>
          <w:lang w:val="en-GB"/>
        </w:rPr>
        <w:t>Reporting period</w:t>
      </w:r>
    </w:p>
    <w:p w14:paraId="02252079" w14:textId="77777777" w:rsidR="001D70C1" w:rsidRPr="00F92447" w:rsidRDefault="001D70C1" w:rsidP="001D70C1">
      <w:pPr>
        <w:spacing w:before="60" w:after="60"/>
        <w:jc w:val="both"/>
        <w:rPr>
          <w:rFonts w:ascii="Arial" w:hAnsi="Arial" w:cs="Arial"/>
          <w:sz w:val="22"/>
          <w:szCs w:val="22"/>
          <w:lang w:val="en-GB"/>
        </w:rPr>
      </w:pPr>
      <w:r w:rsidRPr="00F92447">
        <w:rPr>
          <w:rFonts w:ascii="Arial" w:hAnsi="Arial" w:cs="Arial"/>
          <w:sz w:val="22"/>
          <w:szCs w:val="22"/>
          <w:lang w:val="en-GB"/>
        </w:rPr>
        <w:t xml:space="preserve">Quarterly </w:t>
      </w:r>
      <w:r>
        <w:rPr>
          <w:rFonts w:ascii="Arial" w:hAnsi="Arial" w:cs="Arial"/>
          <w:sz w:val="22"/>
          <w:szCs w:val="22"/>
          <w:lang w:val="en-GB"/>
        </w:rPr>
        <w:t>reports</w:t>
      </w:r>
      <w:r w:rsidRPr="00F92447">
        <w:rPr>
          <w:rFonts w:ascii="Arial" w:hAnsi="Arial" w:cs="Arial"/>
          <w:sz w:val="22"/>
          <w:szCs w:val="22"/>
          <w:lang w:val="en-GB"/>
        </w:rPr>
        <w:t xml:space="preserve"> </w:t>
      </w:r>
      <w:r>
        <w:rPr>
          <w:rFonts w:ascii="Arial" w:hAnsi="Arial" w:cs="Arial"/>
          <w:sz w:val="22"/>
          <w:szCs w:val="22"/>
          <w:lang w:val="en-GB"/>
        </w:rPr>
        <w:t xml:space="preserve">must be submitted to the Ministry </w:t>
      </w:r>
      <w:r w:rsidRPr="00F92447">
        <w:rPr>
          <w:rFonts w:ascii="Arial" w:hAnsi="Arial" w:cs="Arial"/>
          <w:sz w:val="22"/>
          <w:szCs w:val="22"/>
          <w:lang w:val="en-GB"/>
        </w:rPr>
        <w:t xml:space="preserve">by the 20th </w:t>
      </w:r>
      <w:r>
        <w:rPr>
          <w:rFonts w:ascii="Arial" w:hAnsi="Arial" w:cs="Arial"/>
          <w:sz w:val="22"/>
          <w:szCs w:val="22"/>
          <w:lang w:val="en-GB"/>
        </w:rPr>
        <w:t>of the month f</w:t>
      </w:r>
      <w:r w:rsidRPr="00F92447">
        <w:rPr>
          <w:rFonts w:ascii="Arial" w:hAnsi="Arial" w:cs="Arial"/>
          <w:sz w:val="22"/>
          <w:szCs w:val="22"/>
          <w:lang w:val="en-GB"/>
        </w:rPr>
        <w:t>ollowing the relevant quarter.</w:t>
      </w:r>
    </w:p>
    <w:p w14:paraId="655B80D2" w14:textId="77777777" w:rsidR="001D70C1" w:rsidRPr="0071617E" w:rsidRDefault="001D70C1" w:rsidP="001D70C1">
      <w:pPr>
        <w:spacing w:before="60" w:after="60"/>
        <w:jc w:val="both"/>
        <w:rPr>
          <w:rFonts w:ascii="Arial" w:hAnsi="Arial" w:cs="Arial"/>
          <w:b/>
          <w:szCs w:val="22"/>
          <w:lang w:val="en-GB"/>
        </w:rPr>
      </w:pPr>
      <w:r w:rsidRPr="0071617E">
        <w:rPr>
          <w:rFonts w:ascii="Arial" w:hAnsi="Arial" w:cs="Arial"/>
          <w:b/>
          <w:szCs w:val="22"/>
          <w:lang w:val="en-GB"/>
        </w:rPr>
        <w:t xml:space="preserve">Expectations </w:t>
      </w:r>
    </w:p>
    <w:p w14:paraId="0269E158"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 xml:space="preserve">All DHBs are expected to maintain performance of 95 percent for the hospital target.  The achievement scale below will be applied to each of the target areas individually every quarter.  </w:t>
      </w:r>
    </w:p>
    <w:p w14:paraId="32F6AA69" w14:textId="77777777" w:rsidR="001D70C1" w:rsidRDefault="001D70C1" w:rsidP="001D70C1">
      <w:pPr>
        <w:spacing w:before="60" w:after="60"/>
        <w:jc w:val="both"/>
        <w:rPr>
          <w:rFonts w:ascii="Arial" w:hAnsi="Arial" w:cs="Arial"/>
          <w:sz w:val="22"/>
          <w:szCs w:val="22"/>
          <w:lang w:val="en-GB"/>
        </w:rPr>
      </w:pPr>
      <w:r>
        <w:rPr>
          <w:rFonts w:ascii="Arial" w:hAnsi="Arial" w:cs="Arial"/>
          <w:sz w:val="22"/>
          <w:szCs w:val="22"/>
          <w:lang w:val="en-GB"/>
        </w:rPr>
        <w:t>Achievement Scale</w:t>
      </w:r>
    </w:p>
    <w:p w14:paraId="3BF455E3" w14:textId="77777777" w:rsidR="001D70C1" w:rsidRPr="0071617E" w:rsidRDefault="001D70C1" w:rsidP="001D70C1">
      <w:pPr>
        <w:spacing w:before="60" w:after="60"/>
        <w:jc w:val="both"/>
        <w:rPr>
          <w:rFonts w:ascii="Arial" w:hAnsi="Arial" w:cs="Arial"/>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920"/>
      </w:tblGrid>
      <w:tr w:rsidR="001D70C1" w:rsidRPr="004950E5" w14:paraId="1D7C0A48" w14:textId="77777777" w:rsidTr="009D6F69">
        <w:tc>
          <w:tcPr>
            <w:tcW w:w="2340" w:type="dxa"/>
            <w:shd w:val="clear" w:color="auto" w:fill="CCCCCC"/>
            <w:vAlign w:val="center"/>
          </w:tcPr>
          <w:p w14:paraId="278FCAD8" w14:textId="77777777" w:rsidR="001D70C1" w:rsidRPr="0071617E" w:rsidRDefault="001D70C1" w:rsidP="009D6F69">
            <w:pPr>
              <w:spacing w:before="60" w:after="60"/>
              <w:jc w:val="both"/>
              <w:rPr>
                <w:rFonts w:ascii="Arial" w:hAnsi="Arial" w:cs="Arial"/>
                <w:b/>
                <w:sz w:val="20"/>
                <w:szCs w:val="22"/>
              </w:rPr>
            </w:pPr>
            <w:r w:rsidRPr="0071617E">
              <w:rPr>
                <w:rFonts w:ascii="Arial" w:hAnsi="Arial" w:cs="Arial"/>
                <w:b/>
                <w:sz w:val="20"/>
                <w:szCs w:val="22"/>
              </w:rPr>
              <w:t>Rating</w:t>
            </w:r>
          </w:p>
        </w:tc>
        <w:tc>
          <w:tcPr>
            <w:tcW w:w="7920" w:type="dxa"/>
            <w:shd w:val="clear" w:color="auto" w:fill="CCCCCC"/>
            <w:vAlign w:val="center"/>
          </w:tcPr>
          <w:p w14:paraId="52659117" w14:textId="77777777" w:rsidR="001D70C1" w:rsidRPr="0071617E" w:rsidRDefault="001D70C1" w:rsidP="009D6F69">
            <w:pPr>
              <w:spacing w:before="60" w:after="60"/>
              <w:jc w:val="both"/>
              <w:rPr>
                <w:rFonts w:ascii="Arial" w:hAnsi="Arial" w:cs="Arial"/>
                <w:b/>
                <w:sz w:val="20"/>
                <w:szCs w:val="22"/>
              </w:rPr>
            </w:pPr>
            <w:r w:rsidRPr="0071617E">
              <w:rPr>
                <w:rFonts w:ascii="Arial" w:hAnsi="Arial" w:cs="Arial"/>
                <w:b/>
                <w:sz w:val="20"/>
                <w:szCs w:val="22"/>
              </w:rPr>
              <w:t>Definition</w:t>
            </w:r>
          </w:p>
        </w:tc>
      </w:tr>
      <w:tr w:rsidR="001D70C1" w:rsidRPr="004950E5" w14:paraId="707597CE" w14:textId="77777777" w:rsidTr="009D6F69">
        <w:tc>
          <w:tcPr>
            <w:tcW w:w="2340" w:type="dxa"/>
            <w:shd w:val="clear" w:color="auto" w:fill="auto"/>
          </w:tcPr>
          <w:p w14:paraId="3AA3275A" w14:textId="77777777" w:rsidR="001D70C1" w:rsidRPr="0071617E" w:rsidRDefault="001D70C1" w:rsidP="009D6F69">
            <w:pPr>
              <w:spacing w:before="60" w:after="60"/>
              <w:jc w:val="both"/>
              <w:rPr>
                <w:rFonts w:ascii="Arial" w:hAnsi="Arial" w:cs="Arial"/>
                <w:sz w:val="20"/>
                <w:szCs w:val="22"/>
              </w:rPr>
            </w:pPr>
            <w:r w:rsidRPr="0071617E">
              <w:rPr>
                <w:rFonts w:ascii="Arial" w:hAnsi="Arial" w:cs="Arial"/>
                <w:sz w:val="20"/>
                <w:szCs w:val="22"/>
              </w:rPr>
              <w:t>Achieved</w:t>
            </w:r>
          </w:p>
        </w:tc>
        <w:tc>
          <w:tcPr>
            <w:tcW w:w="7920" w:type="dxa"/>
            <w:shd w:val="clear" w:color="auto" w:fill="auto"/>
          </w:tcPr>
          <w:p w14:paraId="20296E35" w14:textId="77777777" w:rsidR="001D70C1" w:rsidRPr="0071617E" w:rsidRDefault="001D70C1" w:rsidP="009D6F69">
            <w:pPr>
              <w:spacing w:before="60" w:after="60"/>
              <w:jc w:val="both"/>
              <w:rPr>
                <w:rFonts w:ascii="Arial" w:hAnsi="Arial" w:cs="Arial"/>
                <w:sz w:val="20"/>
                <w:szCs w:val="22"/>
                <w:lang w:val="en-GB"/>
              </w:rPr>
            </w:pPr>
            <w:r w:rsidRPr="0071617E">
              <w:rPr>
                <w:rFonts w:ascii="Arial" w:hAnsi="Arial" w:cs="Arial"/>
                <w:sz w:val="20"/>
                <w:szCs w:val="22"/>
                <w:lang w:val="en-GB"/>
              </w:rPr>
              <w:t xml:space="preserve">The DHB has met the percentage target </w:t>
            </w:r>
          </w:p>
        </w:tc>
      </w:tr>
      <w:tr w:rsidR="001D70C1" w:rsidRPr="004950E5" w14:paraId="34DF0137" w14:textId="77777777" w:rsidTr="009D6F69">
        <w:tblPrEx>
          <w:tblLook w:val="01E0" w:firstRow="1" w:lastRow="1" w:firstColumn="1" w:lastColumn="1" w:noHBand="0" w:noVBand="0"/>
        </w:tblPrEx>
        <w:tc>
          <w:tcPr>
            <w:tcW w:w="2340" w:type="dxa"/>
            <w:shd w:val="clear" w:color="auto" w:fill="auto"/>
          </w:tcPr>
          <w:p w14:paraId="6A4DAEA6" w14:textId="77777777" w:rsidR="001D70C1" w:rsidRPr="0071617E" w:rsidRDefault="001D70C1" w:rsidP="009D6F69">
            <w:pPr>
              <w:spacing w:before="60" w:after="60"/>
              <w:jc w:val="both"/>
              <w:rPr>
                <w:rFonts w:ascii="Arial" w:hAnsi="Arial" w:cs="Arial"/>
                <w:sz w:val="20"/>
                <w:szCs w:val="22"/>
              </w:rPr>
            </w:pPr>
            <w:r w:rsidRPr="0071617E">
              <w:rPr>
                <w:rFonts w:ascii="Arial" w:hAnsi="Arial" w:cs="Arial"/>
                <w:sz w:val="20"/>
                <w:szCs w:val="22"/>
              </w:rPr>
              <w:t>Partial Achievement</w:t>
            </w:r>
          </w:p>
        </w:tc>
        <w:tc>
          <w:tcPr>
            <w:tcW w:w="7920" w:type="dxa"/>
            <w:shd w:val="clear" w:color="auto" w:fill="auto"/>
          </w:tcPr>
          <w:p w14:paraId="4131F70A" w14:textId="77777777" w:rsidR="001D70C1" w:rsidRPr="0071617E" w:rsidRDefault="001D70C1" w:rsidP="009D6F69">
            <w:pPr>
              <w:spacing w:before="60" w:after="60"/>
              <w:jc w:val="both"/>
              <w:rPr>
                <w:rFonts w:ascii="Arial" w:hAnsi="Arial" w:cs="Arial"/>
                <w:sz w:val="20"/>
                <w:szCs w:val="22"/>
                <w:lang w:val="en-GB"/>
              </w:rPr>
            </w:pPr>
            <w:r w:rsidRPr="0071617E">
              <w:rPr>
                <w:rFonts w:ascii="Arial" w:hAnsi="Arial" w:cs="Arial"/>
                <w:sz w:val="20"/>
                <w:szCs w:val="22"/>
                <w:lang w:val="en-GB"/>
              </w:rPr>
              <w:t xml:space="preserve">The DHB has not met target, but has improved on its result from the previous quarter. </w:t>
            </w:r>
          </w:p>
        </w:tc>
      </w:tr>
      <w:tr w:rsidR="001D70C1" w:rsidRPr="004950E5" w14:paraId="62A5A5DA" w14:textId="77777777" w:rsidTr="009D6F69">
        <w:tblPrEx>
          <w:tblLook w:val="01E0" w:firstRow="1" w:lastRow="1" w:firstColumn="1" w:lastColumn="1" w:noHBand="0" w:noVBand="0"/>
        </w:tblPrEx>
        <w:tc>
          <w:tcPr>
            <w:tcW w:w="2340" w:type="dxa"/>
            <w:shd w:val="clear" w:color="auto" w:fill="auto"/>
          </w:tcPr>
          <w:p w14:paraId="6A3E78DD" w14:textId="77777777" w:rsidR="001D70C1" w:rsidRPr="0071617E" w:rsidRDefault="001D70C1" w:rsidP="009D6F69">
            <w:pPr>
              <w:spacing w:before="60" w:after="60"/>
              <w:jc w:val="both"/>
              <w:rPr>
                <w:rFonts w:ascii="Arial" w:hAnsi="Arial" w:cs="Arial"/>
                <w:sz w:val="20"/>
                <w:szCs w:val="22"/>
              </w:rPr>
            </w:pPr>
            <w:r w:rsidRPr="0071617E">
              <w:rPr>
                <w:rFonts w:ascii="Arial" w:hAnsi="Arial" w:cs="Arial"/>
                <w:sz w:val="20"/>
                <w:szCs w:val="22"/>
              </w:rPr>
              <w:t>Not Achieved</w:t>
            </w:r>
          </w:p>
        </w:tc>
        <w:tc>
          <w:tcPr>
            <w:tcW w:w="7920" w:type="dxa"/>
            <w:shd w:val="clear" w:color="auto" w:fill="auto"/>
          </w:tcPr>
          <w:p w14:paraId="79AFA6F9" w14:textId="77777777" w:rsidR="001D70C1" w:rsidRPr="0071617E" w:rsidRDefault="001D70C1" w:rsidP="009D6F69">
            <w:pPr>
              <w:spacing w:before="60" w:after="60"/>
              <w:jc w:val="both"/>
              <w:rPr>
                <w:rFonts w:ascii="Arial" w:hAnsi="Arial" w:cs="Arial"/>
                <w:sz w:val="20"/>
                <w:szCs w:val="22"/>
              </w:rPr>
            </w:pPr>
            <w:r w:rsidRPr="0071617E">
              <w:rPr>
                <w:rFonts w:ascii="Arial" w:hAnsi="Arial" w:cs="Arial"/>
                <w:sz w:val="20"/>
                <w:szCs w:val="22"/>
                <w:lang w:val="en-GB"/>
              </w:rPr>
              <w:t>The DHB has not met target, and its result has dropped since the previous quarter.</w:t>
            </w:r>
          </w:p>
        </w:tc>
      </w:tr>
    </w:tbl>
    <w:p w14:paraId="7B89B568" w14:textId="3E2430A2" w:rsidR="006D0885" w:rsidRDefault="006D0885">
      <w:pPr>
        <w:rPr>
          <w:rFonts w:ascii="Arial" w:hAnsi="Arial" w:cs="Arial"/>
          <w:b/>
          <w:i/>
        </w:rPr>
      </w:pPr>
    </w:p>
    <w:p w14:paraId="52ADA45A" w14:textId="77777777" w:rsidR="007B3CDE" w:rsidRDefault="007B3CDE">
      <w:pPr>
        <w:rPr>
          <w:rFonts w:ascii="Arial" w:hAnsi="Arial" w:cs="Arial"/>
          <w:b/>
          <w:i/>
        </w:rPr>
      </w:pPr>
      <w:r>
        <w:rPr>
          <w:rFonts w:ascii="Arial" w:hAnsi="Arial" w:cs="Arial"/>
          <w:b/>
          <w:i/>
        </w:rPr>
        <w:br w:type="page"/>
      </w:r>
    </w:p>
    <w:p w14:paraId="7BD39F67" w14:textId="77777777" w:rsidR="001D4E24" w:rsidRPr="007B3CDE" w:rsidRDefault="001D4E24" w:rsidP="001D4E24">
      <w:pPr>
        <w:keepNext/>
        <w:spacing w:before="120" w:after="120"/>
        <w:outlineLvl w:val="1"/>
        <w:rPr>
          <w:rFonts w:ascii="Arial" w:hAnsi="Arial" w:cs="Arial"/>
          <w:b/>
          <w:bCs/>
          <w:i/>
          <w:iCs/>
        </w:rPr>
      </w:pPr>
      <w:r w:rsidRPr="007B3CDE">
        <w:rPr>
          <w:rFonts w:ascii="Arial" w:hAnsi="Arial" w:cs="Arial"/>
          <w:b/>
          <w:bCs/>
          <w:i/>
          <w:iCs/>
        </w:rPr>
        <w:lastRenderedPageBreak/>
        <w:t>Outcome priority:  We have improved quality of life</w:t>
      </w:r>
    </w:p>
    <w:p w14:paraId="00972C1B" w14:textId="77777777" w:rsidR="001D4E24" w:rsidRPr="007B3CDE" w:rsidRDefault="001D4E24" w:rsidP="001D4E24">
      <w:pPr>
        <w:keepNext/>
        <w:shd w:val="clear" w:color="auto" w:fill="FFFFFF"/>
        <w:spacing w:before="120" w:after="120"/>
        <w:outlineLvl w:val="0"/>
        <w:rPr>
          <w:rFonts w:ascii="Arial" w:hAnsi="Arial" w:cs="Arial"/>
          <w:b/>
          <w:i/>
          <w:sz w:val="22"/>
          <w:szCs w:val="22"/>
        </w:rPr>
      </w:pPr>
      <w:r w:rsidRPr="00604F7F">
        <w:rPr>
          <w:rStyle w:val="Heading2Char"/>
        </w:rPr>
        <w:t xml:space="preserve">Better population health outcomes supported by a </w:t>
      </w:r>
      <w:r>
        <w:rPr>
          <w:rStyle w:val="Heading2Char"/>
        </w:rPr>
        <w:t xml:space="preserve">strong public health and disability system </w:t>
      </w:r>
      <w:r>
        <w:rPr>
          <w:rFonts w:ascii="Arial" w:hAnsi="Arial" w:cs="Arial"/>
          <w:b/>
          <w:bCs/>
          <w:i/>
          <w:iCs/>
          <w:sz w:val="28"/>
          <w:szCs w:val="28"/>
        </w:rPr>
        <w:t>SS07</w:t>
      </w:r>
      <w:r w:rsidRPr="007B3CDE">
        <w:rPr>
          <w:rFonts w:ascii="Arial" w:hAnsi="Arial" w:cs="Arial"/>
          <w:b/>
          <w:bCs/>
          <w:i/>
          <w:iCs/>
          <w:sz w:val="28"/>
          <w:szCs w:val="28"/>
        </w:rPr>
        <w:t>: Planned Care Measures</w:t>
      </w:r>
    </w:p>
    <w:p w14:paraId="4283BAAF" w14:textId="64092066" w:rsidR="001D4E24" w:rsidRPr="007B3CDE" w:rsidRDefault="001D4E24" w:rsidP="001D4E24">
      <w:pPr>
        <w:keepNext/>
        <w:shd w:val="clear" w:color="auto" w:fill="FFFFFF"/>
        <w:spacing w:before="120" w:after="120"/>
        <w:outlineLvl w:val="1"/>
        <w:rPr>
          <w:rFonts w:ascii="Arial" w:hAnsi="Arial" w:cs="Arial"/>
          <w:b/>
          <w:bCs/>
          <w:i/>
          <w:iCs/>
        </w:rPr>
      </w:pPr>
    </w:p>
    <w:tbl>
      <w:tblPr>
        <w:tblStyle w:val="TableGrid24"/>
        <w:tblW w:w="0" w:type="auto"/>
        <w:tblLook w:val="04A0" w:firstRow="1" w:lastRow="0" w:firstColumn="1" w:lastColumn="0" w:noHBand="0" w:noVBand="1"/>
      </w:tblPr>
      <w:tblGrid>
        <w:gridCol w:w="2830"/>
        <w:gridCol w:w="7343"/>
      </w:tblGrid>
      <w:tr w:rsidR="000D527C" w:rsidRPr="007B3CDE" w14:paraId="4B10757F" w14:textId="77777777" w:rsidTr="00F63418">
        <w:tc>
          <w:tcPr>
            <w:tcW w:w="10173" w:type="dxa"/>
            <w:gridSpan w:val="2"/>
            <w:shd w:val="clear" w:color="auto" w:fill="D9D9D9"/>
          </w:tcPr>
          <w:p w14:paraId="0F58570E" w14:textId="77777777" w:rsidR="000D527C" w:rsidRPr="007B3CDE" w:rsidRDefault="000D527C" w:rsidP="00F63418">
            <w:pPr>
              <w:spacing w:before="120" w:after="120"/>
              <w:jc w:val="center"/>
              <w:rPr>
                <w:rFonts w:ascii="Arial" w:hAnsi="Arial" w:cs="Arial"/>
                <w:b/>
                <w:sz w:val="22"/>
                <w:szCs w:val="22"/>
              </w:rPr>
            </w:pPr>
            <w:r w:rsidRPr="007B3CDE">
              <w:rPr>
                <w:rFonts w:ascii="Arial" w:hAnsi="Arial" w:cs="Arial"/>
                <w:b/>
                <w:sz w:val="22"/>
                <w:szCs w:val="22"/>
              </w:rPr>
              <w:t>Summary Information</w:t>
            </w:r>
          </w:p>
        </w:tc>
      </w:tr>
      <w:tr w:rsidR="000D527C" w:rsidRPr="007B3CDE" w14:paraId="1F8A0721" w14:textId="77777777" w:rsidTr="00F63418">
        <w:tc>
          <w:tcPr>
            <w:tcW w:w="2830" w:type="dxa"/>
          </w:tcPr>
          <w:p w14:paraId="517878EE"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Target/performance expectation:</w:t>
            </w:r>
          </w:p>
        </w:tc>
        <w:tc>
          <w:tcPr>
            <w:tcW w:w="7343" w:type="dxa"/>
          </w:tcPr>
          <w:p w14:paraId="15C41C9A"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Agreed in DHB Annual Plan</w:t>
            </w:r>
          </w:p>
        </w:tc>
      </w:tr>
      <w:tr w:rsidR="000D527C" w:rsidRPr="007B3CDE" w14:paraId="4F75C209" w14:textId="77777777" w:rsidTr="00F63418">
        <w:tc>
          <w:tcPr>
            <w:tcW w:w="2830" w:type="dxa"/>
          </w:tcPr>
          <w:p w14:paraId="0D4045E6"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Reporting frequency:</w:t>
            </w:r>
          </w:p>
        </w:tc>
        <w:tc>
          <w:tcPr>
            <w:tcW w:w="7343" w:type="dxa"/>
          </w:tcPr>
          <w:p w14:paraId="75C631EA"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Quarterly</w:t>
            </w:r>
          </w:p>
        </w:tc>
      </w:tr>
      <w:tr w:rsidR="000D527C" w:rsidRPr="007B3CDE" w14:paraId="3DC76075" w14:textId="77777777" w:rsidTr="00F63418">
        <w:tc>
          <w:tcPr>
            <w:tcW w:w="2830" w:type="dxa"/>
          </w:tcPr>
          <w:p w14:paraId="73A1BFFD"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Source information for reporting provided by:</w:t>
            </w:r>
          </w:p>
        </w:tc>
        <w:tc>
          <w:tcPr>
            <w:tcW w:w="7343" w:type="dxa"/>
          </w:tcPr>
          <w:p w14:paraId="1F4F3C42"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 xml:space="preserve">Multiple (as outlined per Planned Care Measure) </w:t>
            </w:r>
          </w:p>
        </w:tc>
      </w:tr>
      <w:tr w:rsidR="000D527C" w:rsidRPr="007B3CDE" w14:paraId="38D9C323" w14:textId="77777777" w:rsidTr="00F63418">
        <w:tc>
          <w:tcPr>
            <w:tcW w:w="2830" w:type="dxa"/>
          </w:tcPr>
          <w:p w14:paraId="24CC2FFD"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Quarterly reporting:</w:t>
            </w:r>
          </w:p>
        </w:tc>
        <w:tc>
          <w:tcPr>
            <w:tcW w:w="7343" w:type="dxa"/>
          </w:tcPr>
          <w:p w14:paraId="4859BB53" w14:textId="77777777" w:rsidR="000D527C" w:rsidRPr="007B3CDE" w:rsidRDefault="000D527C" w:rsidP="00F63418">
            <w:pPr>
              <w:shd w:val="clear" w:color="auto" w:fill="FFFFFF"/>
              <w:spacing w:before="120" w:after="120"/>
              <w:jc w:val="both"/>
              <w:rPr>
                <w:rFonts w:ascii="Arial" w:hAnsi="Arial" w:cs="Arial"/>
                <w:b/>
                <w:sz w:val="22"/>
                <w:szCs w:val="22"/>
              </w:rPr>
            </w:pPr>
            <w:r w:rsidRPr="007B3CDE">
              <w:rPr>
                <w:rFonts w:ascii="Arial" w:hAnsi="Arial" w:cs="Arial"/>
                <w:b/>
                <w:sz w:val="22"/>
                <w:szCs w:val="22"/>
              </w:rPr>
              <w:t>Delayed Timeframe for Planned Care Measure</w:t>
            </w:r>
          </w:p>
          <w:p w14:paraId="357444C2" w14:textId="77777777" w:rsidR="000D527C" w:rsidRPr="007B3CDE" w:rsidRDefault="000D527C" w:rsidP="00F63418">
            <w:pPr>
              <w:shd w:val="clear" w:color="auto" w:fill="FFFFFF"/>
              <w:spacing w:before="120" w:after="120"/>
              <w:jc w:val="both"/>
              <w:rPr>
                <w:rFonts w:ascii="Arial" w:hAnsi="Arial" w:cs="Arial"/>
                <w:sz w:val="22"/>
                <w:szCs w:val="22"/>
              </w:rPr>
            </w:pPr>
            <w:r w:rsidRPr="007B3CDE">
              <w:rPr>
                <w:rFonts w:ascii="Arial" w:hAnsi="Arial" w:cs="Arial"/>
                <w:sz w:val="22"/>
                <w:szCs w:val="22"/>
              </w:rPr>
              <w:t xml:space="preserve">Reporting for this measure operates on a delayed timetable – not as per the Operational Policy Framework – as the activity needed for reporting is not complete until one month after the quarter ends. </w:t>
            </w:r>
          </w:p>
          <w:p w14:paraId="487E85A4" w14:textId="77777777" w:rsidR="000D527C" w:rsidRPr="007B3CDE" w:rsidRDefault="000D527C" w:rsidP="00F63418">
            <w:pPr>
              <w:shd w:val="clear" w:color="auto" w:fill="FFFFFF"/>
              <w:spacing w:before="120" w:after="120"/>
              <w:jc w:val="both"/>
              <w:rPr>
                <w:rFonts w:ascii="Arial" w:hAnsi="Arial" w:cs="Arial"/>
                <w:b/>
                <w:sz w:val="22"/>
                <w:szCs w:val="22"/>
              </w:rPr>
            </w:pPr>
            <w:r w:rsidRPr="007B3CDE">
              <w:rPr>
                <w:rFonts w:ascii="Arial" w:hAnsi="Arial" w:cs="Arial"/>
                <w:sz w:val="22"/>
                <w:szCs w:val="22"/>
              </w:rPr>
              <w:t xml:space="preserve">Reporting will be made available on the DHB quarterly reporting website and to DHBs via the Electives Services </w:t>
            </w:r>
            <w:proofErr w:type="spellStart"/>
            <w:r w:rsidRPr="007B3CDE">
              <w:rPr>
                <w:rFonts w:ascii="Arial" w:hAnsi="Arial" w:cs="Arial"/>
                <w:sz w:val="22"/>
                <w:szCs w:val="22"/>
              </w:rPr>
              <w:t>Quickr</w:t>
            </w:r>
            <w:proofErr w:type="spellEnd"/>
            <w:r w:rsidRPr="007B3CDE">
              <w:rPr>
                <w:rFonts w:ascii="Arial" w:hAnsi="Arial" w:cs="Arial"/>
                <w:sz w:val="22"/>
                <w:szCs w:val="22"/>
              </w:rPr>
              <w:t xml:space="preserve"> website. Electives Services Managers, and General Managers Funding and Planning will be notified via email that the data is available. Reporting is available on the 1st Monday of the second month following the end of the quarter.</w:t>
            </w:r>
          </w:p>
        </w:tc>
      </w:tr>
    </w:tbl>
    <w:p w14:paraId="151FF866" w14:textId="77777777" w:rsidR="000D527C" w:rsidRPr="007B3CDE" w:rsidRDefault="000D527C" w:rsidP="000D527C">
      <w:pPr>
        <w:shd w:val="clear" w:color="auto" w:fill="FFFFFF"/>
        <w:spacing w:before="360" w:after="120"/>
        <w:jc w:val="both"/>
        <w:rPr>
          <w:rFonts w:ascii="Arial" w:hAnsi="Arial" w:cs="Arial"/>
          <w:b/>
          <w:i/>
          <w:sz w:val="22"/>
          <w:szCs w:val="22"/>
        </w:rPr>
      </w:pPr>
      <w:r w:rsidRPr="007B3CDE">
        <w:rPr>
          <w:rFonts w:ascii="Arial" w:hAnsi="Arial" w:cs="Arial"/>
          <w:b/>
          <w:sz w:val="22"/>
          <w:szCs w:val="22"/>
        </w:rPr>
        <w:t>Link to outcomes and priority areas</w:t>
      </w:r>
    </w:p>
    <w:p w14:paraId="06891D00" w14:textId="77777777" w:rsidR="000D527C" w:rsidRPr="007B3CDE" w:rsidRDefault="000D527C" w:rsidP="000D527C">
      <w:pPr>
        <w:spacing w:before="120" w:after="120"/>
        <w:jc w:val="both"/>
        <w:rPr>
          <w:rFonts w:ascii="Arial" w:hAnsi="Arial" w:cs="Arial"/>
          <w:sz w:val="22"/>
          <w:szCs w:val="22"/>
        </w:rPr>
      </w:pPr>
      <w:r w:rsidRPr="007B3CDE">
        <w:rPr>
          <w:rFonts w:ascii="Arial" w:hAnsi="Arial" w:cs="Arial"/>
          <w:sz w:val="22"/>
          <w:szCs w:val="22"/>
        </w:rPr>
        <w:t xml:space="preserve">Planned Care Vision: ‘New Zealanders receive equitable and timely access to Planned Care Services in the most appropriate setting, which supports improved health </w:t>
      </w:r>
      <w:proofErr w:type="gramStart"/>
      <w:r w:rsidRPr="007B3CDE">
        <w:rPr>
          <w:rFonts w:ascii="Arial" w:hAnsi="Arial" w:cs="Arial"/>
          <w:sz w:val="22"/>
          <w:szCs w:val="22"/>
        </w:rPr>
        <w:t>outcomes’</w:t>
      </w:r>
      <w:proofErr w:type="gramEnd"/>
      <w:r w:rsidRPr="007B3CDE">
        <w:rPr>
          <w:rFonts w:ascii="Arial" w:hAnsi="Arial" w:cs="Arial"/>
          <w:sz w:val="22"/>
          <w:szCs w:val="22"/>
        </w:rPr>
        <w:t xml:space="preserve">. </w:t>
      </w:r>
    </w:p>
    <w:p w14:paraId="552A4877" w14:textId="77777777" w:rsidR="000D527C" w:rsidRPr="007B3CDE" w:rsidRDefault="000D527C" w:rsidP="000D527C">
      <w:pPr>
        <w:spacing w:before="120" w:after="120"/>
        <w:jc w:val="both"/>
        <w:rPr>
          <w:rFonts w:ascii="Arial" w:hAnsi="Arial" w:cs="Arial"/>
          <w:sz w:val="22"/>
          <w:szCs w:val="22"/>
        </w:rPr>
      </w:pPr>
      <w:r w:rsidRPr="007B3CDE">
        <w:rPr>
          <w:rFonts w:ascii="Arial" w:hAnsi="Arial" w:cs="Arial"/>
          <w:sz w:val="22"/>
          <w:szCs w:val="22"/>
        </w:rPr>
        <w:t>Planned Care is a broader concept than medical and surgical services traditionally known as Electives or Arranged services. Planned Care is patient centred and includes a range of treatments funded by DHBs, which can be delivered in both inpatient, outpatient, primary or community settings. It also includes selected early intervention programmes that can prevent or delay the need for more complex healthcare interventions.</w:t>
      </w:r>
    </w:p>
    <w:p w14:paraId="522AD14D" w14:textId="77777777" w:rsidR="000D527C" w:rsidRPr="007B3CDE" w:rsidRDefault="000D527C" w:rsidP="000D527C">
      <w:pPr>
        <w:spacing w:before="120" w:after="120"/>
        <w:jc w:val="both"/>
        <w:rPr>
          <w:rFonts w:ascii="Arial" w:hAnsi="Arial" w:cs="Arial"/>
          <w:sz w:val="22"/>
          <w:szCs w:val="22"/>
        </w:rPr>
      </w:pPr>
      <w:r w:rsidRPr="007B3CDE">
        <w:rPr>
          <w:rFonts w:ascii="Arial" w:hAnsi="Arial" w:cs="Arial"/>
          <w:sz w:val="22"/>
          <w:szCs w:val="22"/>
        </w:rPr>
        <w:t xml:space="preserve">Planned Care is centred around five key principles, which are built on the earlier principles of clarity, </w:t>
      </w:r>
      <w:proofErr w:type="gramStart"/>
      <w:r w:rsidRPr="007B3CDE">
        <w:rPr>
          <w:rFonts w:ascii="Arial" w:hAnsi="Arial" w:cs="Arial"/>
          <w:sz w:val="22"/>
          <w:szCs w:val="22"/>
        </w:rPr>
        <w:t>timeliness</w:t>
      </w:r>
      <w:proofErr w:type="gramEnd"/>
      <w:r w:rsidRPr="007B3CDE">
        <w:rPr>
          <w:rFonts w:ascii="Arial" w:hAnsi="Arial" w:cs="Arial"/>
          <w:sz w:val="22"/>
          <w:szCs w:val="22"/>
        </w:rPr>
        <w:t xml:space="preserve"> and fairness under the Elective Policy. The five principles for Planned Care are:</w:t>
      </w:r>
    </w:p>
    <w:p w14:paraId="4FAC492B" w14:textId="77777777" w:rsidR="000D527C" w:rsidRPr="007B3CDE" w:rsidRDefault="000D527C" w:rsidP="00C04FF1">
      <w:pPr>
        <w:numPr>
          <w:ilvl w:val="0"/>
          <w:numId w:val="106"/>
        </w:numPr>
        <w:spacing w:before="120" w:after="120"/>
        <w:ind w:left="714" w:hanging="357"/>
        <w:jc w:val="both"/>
        <w:rPr>
          <w:rFonts w:ascii="Arial" w:hAnsi="Arial" w:cs="Arial"/>
          <w:sz w:val="22"/>
          <w:szCs w:val="22"/>
        </w:rPr>
      </w:pPr>
      <w:r w:rsidRPr="007B3CDE">
        <w:rPr>
          <w:rFonts w:ascii="Arial" w:hAnsi="Arial" w:cs="Arial"/>
          <w:b/>
          <w:sz w:val="22"/>
          <w:szCs w:val="22"/>
        </w:rPr>
        <w:t>Equity –</w:t>
      </w:r>
      <w:r w:rsidRPr="007B3CDE">
        <w:rPr>
          <w:rFonts w:ascii="Arial" w:hAnsi="Arial" w:cs="Arial"/>
          <w:sz w:val="22"/>
          <w:szCs w:val="22"/>
        </w:rPr>
        <w:t xml:space="preserve"> People will get the healthcare that safely meets their needs, regardless of who they are or where they are.</w:t>
      </w:r>
    </w:p>
    <w:p w14:paraId="1F7FDA6E" w14:textId="77777777" w:rsidR="000D527C" w:rsidRPr="007B3CDE" w:rsidRDefault="000D527C" w:rsidP="00C04FF1">
      <w:pPr>
        <w:numPr>
          <w:ilvl w:val="0"/>
          <w:numId w:val="106"/>
        </w:numPr>
        <w:spacing w:before="120" w:after="120"/>
        <w:ind w:left="714" w:hanging="357"/>
        <w:jc w:val="both"/>
        <w:rPr>
          <w:rFonts w:ascii="Arial" w:hAnsi="Arial" w:cs="Arial"/>
          <w:sz w:val="22"/>
          <w:szCs w:val="22"/>
        </w:rPr>
      </w:pPr>
      <w:r w:rsidRPr="007B3CDE">
        <w:rPr>
          <w:rFonts w:ascii="Arial" w:hAnsi="Arial" w:cs="Arial"/>
          <w:b/>
          <w:sz w:val="22"/>
          <w:szCs w:val="22"/>
        </w:rPr>
        <w:t>Access –</w:t>
      </w:r>
      <w:r w:rsidRPr="007B3CDE">
        <w:rPr>
          <w:rFonts w:ascii="Arial" w:hAnsi="Arial" w:cs="Arial"/>
          <w:sz w:val="22"/>
          <w:szCs w:val="22"/>
        </w:rPr>
        <w:t xml:space="preserve"> People can access the care they need in the right place, with the right health provider. </w:t>
      </w:r>
    </w:p>
    <w:p w14:paraId="06EB5F58" w14:textId="77777777" w:rsidR="000D527C" w:rsidRPr="007B3CDE" w:rsidRDefault="000D527C" w:rsidP="00C04FF1">
      <w:pPr>
        <w:numPr>
          <w:ilvl w:val="0"/>
          <w:numId w:val="106"/>
        </w:numPr>
        <w:spacing w:before="120" w:after="120"/>
        <w:ind w:left="714" w:hanging="357"/>
        <w:jc w:val="both"/>
        <w:rPr>
          <w:rFonts w:ascii="Arial" w:hAnsi="Arial" w:cs="Arial"/>
          <w:sz w:val="22"/>
          <w:szCs w:val="22"/>
        </w:rPr>
      </w:pPr>
      <w:r w:rsidRPr="007B3CDE">
        <w:rPr>
          <w:rFonts w:ascii="Arial" w:hAnsi="Arial" w:cs="Arial"/>
          <w:b/>
          <w:sz w:val="22"/>
          <w:szCs w:val="22"/>
        </w:rPr>
        <w:t>Quality -</w:t>
      </w:r>
      <w:r w:rsidRPr="007B3CDE">
        <w:rPr>
          <w:rFonts w:ascii="Arial" w:hAnsi="Arial" w:cs="Arial"/>
          <w:sz w:val="22"/>
          <w:szCs w:val="22"/>
        </w:rPr>
        <w:t xml:space="preserve"> Services are appropriate, safe, effective, efficient, respectful and support improved health.</w:t>
      </w:r>
    </w:p>
    <w:p w14:paraId="0EB55AFC" w14:textId="77777777" w:rsidR="000D527C" w:rsidRPr="007B3CDE" w:rsidRDefault="000D527C" w:rsidP="00C04FF1">
      <w:pPr>
        <w:numPr>
          <w:ilvl w:val="0"/>
          <w:numId w:val="106"/>
        </w:numPr>
        <w:spacing w:before="120" w:after="120"/>
        <w:ind w:left="714" w:hanging="357"/>
        <w:jc w:val="both"/>
        <w:rPr>
          <w:rFonts w:ascii="Arial" w:hAnsi="Arial" w:cs="Arial"/>
          <w:sz w:val="22"/>
          <w:szCs w:val="22"/>
        </w:rPr>
      </w:pPr>
      <w:r w:rsidRPr="007B3CDE">
        <w:rPr>
          <w:rFonts w:ascii="Arial" w:hAnsi="Arial" w:cs="Arial"/>
          <w:b/>
          <w:sz w:val="22"/>
          <w:szCs w:val="22"/>
        </w:rPr>
        <w:t>Timeliness –</w:t>
      </w:r>
      <w:r w:rsidRPr="007B3CDE">
        <w:rPr>
          <w:rFonts w:ascii="Arial" w:hAnsi="Arial" w:cs="Arial"/>
          <w:sz w:val="22"/>
          <w:szCs w:val="22"/>
        </w:rPr>
        <w:t xml:space="preserve"> People will receive care at the most appropriate time to support improved health and minimise ill-health, </w:t>
      </w:r>
      <w:proofErr w:type="gramStart"/>
      <w:r w:rsidRPr="007B3CDE">
        <w:rPr>
          <w:rFonts w:ascii="Arial" w:hAnsi="Arial" w:cs="Arial"/>
          <w:sz w:val="22"/>
          <w:szCs w:val="22"/>
        </w:rPr>
        <w:t>discomfort</w:t>
      </w:r>
      <w:proofErr w:type="gramEnd"/>
      <w:r w:rsidRPr="007B3CDE">
        <w:rPr>
          <w:rFonts w:ascii="Arial" w:hAnsi="Arial" w:cs="Arial"/>
          <w:sz w:val="22"/>
          <w:szCs w:val="22"/>
        </w:rPr>
        <w:t xml:space="preserve"> and distress.</w:t>
      </w:r>
    </w:p>
    <w:p w14:paraId="5E7028DF" w14:textId="77777777" w:rsidR="000D527C" w:rsidRPr="007B3CDE" w:rsidRDefault="000D527C" w:rsidP="00C04FF1">
      <w:pPr>
        <w:numPr>
          <w:ilvl w:val="0"/>
          <w:numId w:val="106"/>
        </w:numPr>
        <w:spacing w:before="120" w:after="120"/>
        <w:ind w:left="714" w:hanging="357"/>
        <w:jc w:val="both"/>
        <w:rPr>
          <w:rFonts w:ascii="Arial" w:hAnsi="Arial" w:cs="Arial"/>
          <w:sz w:val="22"/>
          <w:szCs w:val="22"/>
        </w:rPr>
      </w:pPr>
      <w:r w:rsidRPr="007B3CDE">
        <w:rPr>
          <w:rFonts w:ascii="Arial" w:hAnsi="Arial" w:cs="Arial"/>
          <w:b/>
          <w:sz w:val="22"/>
          <w:szCs w:val="22"/>
        </w:rPr>
        <w:t>Experience –</w:t>
      </w:r>
      <w:r w:rsidRPr="007B3CDE">
        <w:rPr>
          <w:rFonts w:ascii="Arial" w:hAnsi="Arial" w:cs="Arial"/>
          <w:sz w:val="22"/>
          <w:szCs w:val="22"/>
        </w:rPr>
        <w:t xml:space="preserve"> People and their family or whanau work in partnership with healthcare providers to make informed choices and get the care that is appropriate for their needs, </w:t>
      </w:r>
      <w:proofErr w:type="gramStart"/>
      <w:r w:rsidRPr="007B3CDE">
        <w:rPr>
          <w:rFonts w:ascii="Arial" w:hAnsi="Arial" w:cs="Arial"/>
          <w:sz w:val="22"/>
          <w:szCs w:val="22"/>
        </w:rPr>
        <w:t>rights</w:t>
      </w:r>
      <w:proofErr w:type="gramEnd"/>
      <w:r w:rsidRPr="007B3CDE">
        <w:rPr>
          <w:rFonts w:ascii="Arial" w:hAnsi="Arial" w:cs="Arial"/>
          <w:sz w:val="22"/>
          <w:szCs w:val="22"/>
        </w:rPr>
        <w:t xml:space="preserve"> and preferences.</w:t>
      </w:r>
    </w:p>
    <w:p w14:paraId="0FDCDD1D" w14:textId="77777777" w:rsidR="000D527C" w:rsidRPr="007B3CDE" w:rsidRDefault="000D527C" w:rsidP="000D527C">
      <w:pPr>
        <w:spacing w:before="120" w:after="120"/>
        <w:jc w:val="both"/>
        <w:rPr>
          <w:rFonts w:ascii="Arial" w:hAnsi="Arial" w:cs="Arial"/>
          <w:sz w:val="22"/>
          <w:szCs w:val="22"/>
        </w:rPr>
      </w:pPr>
      <w:r w:rsidRPr="007B3CDE">
        <w:rPr>
          <w:rFonts w:ascii="Arial" w:hAnsi="Arial" w:cs="Arial"/>
          <w:sz w:val="22"/>
          <w:szCs w:val="22"/>
        </w:rPr>
        <w:t>DHBs are expected to provide an exception report on their delivery against the agreed expectations for the Planned Care performance measures, covering:</w:t>
      </w:r>
    </w:p>
    <w:p w14:paraId="271B5CCE" w14:textId="77777777"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Planned Care Interventions</w:t>
      </w:r>
    </w:p>
    <w:p w14:paraId="5FC4184F" w14:textId="77777777"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lastRenderedPageBreak/>
        <w:t>Elective Service Patient Flow Indicators</w:t>
      </w:r>
    </w:p>
    <w:p w14:paraId="00E587DD" w14:textId="77777777"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Diagnostics waiting times – Angiography, Computed Tomography (CT) and Magnetic Resonance Imaging (MRI)</w:t>
      </w:r>
    </w:p>
    <w:p w14:paraId="0099D1C0" w14:textId="77777777"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Ophthalmology Follow-up Waiting Times</w:t>
      </w:r>
    </w:p>
    <w:p w14:paraId="28106987" w14:textId="77777777"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Cardiac Urgency Waiting Times</w:t>
      </w:r>
    </w:p>
    <w:p w14:paraId="18AD168E" w14:textId="60262CC9" w:rsidR="000D527C" w:rsidRPr="00C615A0" w:rsidRDefault="000D527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Planned Care Acute Readmissions</w:t>
      </w:r>
    </w:p>
    <w:p w14:paraId="339101BF" w14:textId="1553B039" w:rsidR="002B1A8C" w:rsidRDefault="002B1A8C" w:rsidP="00C615A0">
      <w:pPr>
        <w:pStyle w:val="ListParagraph"/>
        <w:numPr>
          <w:ilvl w:val="0"/>
          <w:numId w:val="146"/>
        </w:numPr>
        <w:spacing w:before="120" w:after="120"/>
        <w:jc w:val="both"/>
        <w:rPr>
          <w:rFonts w:ascii="Arial" w:hAnsi="Arial" w:cs="Arial"/>
          <w:sz w:val="22"/>
          <w:szCs w:val="22"/>
        </w:rPr>
      </w:pPr>
      <w:r w:rsidRPr="00C615A0">
        <w:rPr>
          <w:rFonts w:ascii="Arial" w:hAnsi="Arial" w:cs="Arial"/>
          <w:sz w:val="22"/>
          <w:szCs w:val="22"/>
        </w:rPr>
        <w:t>Did Not Attend Rates</w:t>
      </w:r>
      <w:r w:rsidR="008D1745" w:rsidRPr="00C615A0">
        <w:rPr>
          <w:rFonts w:ascii="Arial" w:hAnsi="Arial" w:cs="Arial"/>
          <w:sz w:val="22"/>
          <w:szCs w:val="22"/>
        </w:rPr>
        <w:t xml:space="preserve"> for First Specialist Attendance</w:t>
      </w:r>
    </w:p>
    <w:p w14:paraId="4346FABF" w14:textId="175B6538" w:rsidR="000D527C" w:rsidRPr="007B3CDE" w:rsidRDefault="000D527C" w:rsidP="000D527C">
      <w:pPr>
        <w:spacing w:before="120" w:after="120"/>
        <w:rPr>
          <w:rFonts w:ascii="Arial" w:hAnsi="Arial" w:cs="Arial"/>
          <w:i/>
          <w:sz w:val="22"/>
          <w:szCs w:val="22"/>
        </w:rPr>
      </w:pPr>
      <w:r w:rsidRPr="007B3CDE">
        <w:rPr>
          <w:rFonts w:ascii="Arial" w:hAnsi="Arial" w:cs="Arial"/>
          <w:b/>
          <w:i/>
          <w:sz w:val="22"/>
          <w:szCs w:val="22"/>
        </w:rPr>
        <w:t>Note:</w:t>
      </w:r>
      <w:r w:rsidRPr="007B3CDE">
        <w:rPr>
          <w:rFonts w:ascii="Arial" w:hAnsi="Arial" w:cs="Arial"/>
          <w:i/>
          <w:sz w:val="22"/>
          <w:szCs w:val="22"/>
        </w:rPr>
        <w:t xml:space="preserve"> Under the Planned Care Monitoring Framework the following measures have been included which exist within the accountability framework:</w:t>
      </w:r>
    </w:p>
    <w:p w14:paraId="150E5994" w14:textId="77777777" w:rsidR="000D527C" w:rsidRPr="007B3CDE" w:rsidRDefault="000D527C" w:rsidP="00C04FF1">
      <w:pPr>
        <w:numPr>
          <w:ilvl w:val="0"/>
          <w:numId w:val="103"/>
        </w:numPr>
        <w:spacing w:before="120" w:after="120"/>
        <w:contextualSpacing/>
        <w:rPr>
          <w:rFonts w:ascii="Arial" w:hAnsi="Arial" w:cs="Arial"/>
          <w:i/>
          <w:sz w:val="22"/>
          <w:szCs w:val="22"/>
        </w:rPr>
      </w:pPr>
      <w:r w:rsidRPr="007B3CDE">
        <w:rPr>
          <w:rFonts w:ascii="Arial" w:hAnsi="Arial" w:cs="Arial"/>
          <w:i/>
          <w:sz w:val="22"/>
          <w:szCs w:val="22"/>
        </w:rPr>
        <w:t xml:space="preserve">Faster cancer treatment – </w:t>
      </w:r>
      <w:proofErr w:type="gramStart"/>
      <w:r w:rsidRPr="007B3CDE">
        <w:rPr>
          <w:rFonts w:ascii="Arial" w:hAnsi="Arial" w:cs="Arial"/>
          <w:i/>
          <w:sz w:val="22"/>
          <w:szCs w:val="22"/>
        </w:rPr>
        <w:t>31 day</w:t>
      </w:r>
      <w:proofErr w:type="gramEnd"/>
      <w:r w:rsidRPr="007B3CDE">
        <w:rPr>
          <w:rFonts w:ascii="Arial" w:hAnsi="Arial" w:cs="Arial"/>
          <w:i/>
          <w:sz w:val="22"/>
          <w:szCs w:val="22"/>
        </w:rPr>
        <w:t xml:space="preserve"> indicator - which is reported and included under measure SS01</w:t>
      </w:r>
    </w:p>
    <w:p w14:paraId="628F3903" w14:textId="77777777" w:rsidR="000D527C" w:rsidRPr="007B3CDE" w:rsidRDefault="000D527C" w:rsidP="00C04FF1">
      <w:pPr>
        <w:numPr>
          <w:ilvl w:val="0"/>
          <w:numId w:val="103"/>
        </w:numPr>
        <w:spacing w:before="120" w:after="120"/>
        <w:contextualSpacing/>
        <w:rPr>
          <w:rFonts w:ascii="Arial" w:hAnsi="Arial" w:cs="Arial"/>
          <w:i/>
          <w:sz w:val="22"/>
          <w:szCs w:val="22"/>
        </w:rPr>
      </w:pPr>
      <w:r w:rsidRPr="007B3CDE">
        <w:rPr>
          <w:rFonts w:ascii="Arial" w:hAnsi="Arial" w:cs="Arial"/>
          <w:i/>
          <w:sz w:val="22"/>
          <w:szCs w:val="22"/>
        </w:rPr>
        <w:t>System Level Measure (SLM) patient experience of care (Health Quality and Safety Commission (HQSC) inpatient experience survey, and HQSC primary care experience survey – which are reported and included under measure PH01</w:t>
      </w:r>
    </w:p>
    <w:p w14:paraId="2B8B1569" w14:textId="77777777" w:rsidR="000D527C" w:rsidRPr="007B3CDE" w:rsidRDefault="000D527C" w:rsidP="000D527C">
      <w:pPr>
        <w:spacing w:before="120" w:after="120"/>
        <w:rPr>
          <w:rFonts w:ascii="Arial" w:hAnsi="Arial" w:cs="Arial"/>
          <w:i/>
          <w:sz w:val="22"/>
          <w:szCs w:val="22"/>
        </w:rPr>
      </w:pPr>
      <w:r w:rsidRPr="007B3CDE">
        <w:rPr>
          <w:rFonts w:ascii="Arial" w:hAnsi="Arial" w:cs="Arial"/>
          <w:i/>
          <w:sz w:val="22"/>
          <w:szCs w:val="22"/>
        </w:rPr>
        <w:t xml:space="preserve">The Faster cancer treatment – </w:t>
      </w:r>
      <w:proofErr w:type="gramStart"/>
      <w:r w:rsidRPr="007B3CDE">
        <w:rPr>
          <w:rFonts w:ascii="Arial" w:hAnsi="Arial" w:cs="Arial"/>
          <w:i/>
          <w:sz w:val="22"/>
          <w:szCs w:val="22"/>
        </w:rPr>
        <w:t>31 day</w:t>
      </w:r>
      <w:proofErr w:type="gramEnd"/>
      <w:r w:rsidRPr="007B3CDE">
        <w:rPr>
          <w:rFonts w:ascii="Arial" w:hAnsi="Arial" w:cs="Arial"/>
          <w:i/>
          <w:sz w:val="22"/>
          <w:szCs w:val="22"/>
        </w:rPr>
        <w:t xml:space="preserve"> indicator supports the Planned Care principle of </w:t>
      </w:r>
      <w:r w:rsidRPr="007B3CDE">
        <w:rPr>
          <w:rFonts w:ascii="Arial" w:hAnsi="Arial" w:cs="Arial"/>
          <w:b/>
          <w:i/>
          <w:sz w:val="22"/>
          <w:szCs w:val="22"/>
        </w:rPr>
        <w:t>Timeliness ‘</w:t>
      </w:r>
      <w:r w:rsidRPr="007B3CDE">
        <w:rPr>
          <w:rFonts w:ascii="Arial" w:hAnsi="Arial" w:cs="Arial"/>
          <w:i/>
          <w:sz w:val="22"/>
          <w:szCs w:val="22"/>
        </w:rPr>
        <w:t>Patients receive care at the most appropriate time to support improved health.’</w:t>
      </w:r>
    </w:p>
    <w:p w14:paraId="11C13783" w14:textId="77777777" w:rsidR="000D527C" w:rsidRPr="007B3CDE" w:rsidRDefault="000D527C" w:rsidP="000D527C">
      <w:pPr>
        <w:spacing w:before="120" w:after="120"/>
        <w:rPr>
          <w:rFonts w:ascii="Arial" w:hAnsi="Arial" w:cs="Arial"/>
          <w:i/>
          <w:sz w:val="22"/>
          <w:szCs w:val="22"/>
        </w:rPr>
      </w:pPr>
      <w:r w:rsidRPr="007B3CDE">
        <w:rPr>
          <w:rFonts w:ascii="Arial" w:hAnsi="Arial" w:cs="Arial"/>
          <w:i/>
          <w:sz w:val="22"/>
          <w:szCs w:val="22"/>
        </w:rPr>
        <w:t xml:space="preserve">The SLM Patient experience of care supports the Planned Care principle of </w:t>
      </w:r>
      <w:r w:rsidRPr="007B3CDE">
        <w:rPr>
          <w:rFonts w:ascii="Arial" w:hAnsi="Arial" w:cs="Arial"/>
          <w:b/>
          <w:i/>
          <w:sz w:val="22"/>
          <w:szCs w:val="22"/>
        </w:rPr>
        <w:t>Experience ‘</w:t>
      </w:r>
      <w:r w:rsidRPr="007B3CDE">
        <w:rPr>
          <w:rFonts w:ascii="Arial" w:hAnsi="Arial" w:cs="Arial"/>
          <w:i/>
          <w:sz w:val="22"/>
          <w:szCs w:val="22"/>
        </w:rPr>
        <w:t>Patients and their family or whanau will work in partnership with healthcare providers to make informed choices about Planned Care, which is appropriate for their needs.</w:t>
      </w:r>
    </w:p>
    <w:p w14:paraId="3C7B5250" w14:textId="77777777" w:rsidR="000D527C" w:rsidRPr="007B3CDE" w:rsidRDefault="000D527C" w:rsidP="000D527C">
      <w:pPr>
        <w:spacing w:before="360" w:after="120" w:line="259" w:lineRule="auto"/>
        <w:rPr>
          <w:rFonts w:ascii="Arial" w:hAnsi="Arial" w:cs="Arial"/>
          <w:b/>
          <w:sz w:val="22"/>
          <w:szCs w:val="22"/>
        </w:rPr>
      </w:pPr>
      <w:r w:rsidRPr="007B3CDE">
        <w:rPr>
          <w:rFonts w:ascii="Arial" w:hAnsi="Arial" w:cs="Arial"/>
          <w:b/>
          <w:sz w:val="22"/>
          <w:szCs w:val="22"/>
        </w:rPr>
        <w:t>Definitions and Expectations for the Planned Care performance Measures.</w:t>
      </w:r>
    </w:p>
    <w:p w14:paraId="6211A9F7" w14:textId="77777777" w:rsidR="000D527C" w:rsidRPr="007B3CDE" w:rsidRDefault="000D527C" w:rsidP="000D527C">
      <w:pPr>
        <w:spacing w:before="120" w:after="120" w:line="259" w:lineRule="auto"/>
        <w:rPr>
          <w:rFonts w:ascii="Arial" w:hAnsi="Arial" w:cs="Arial"/>
          <w:sz w:val="22"/>
          <w:szCs w:val="22"/>
        </w:rPr>
      </w:pPr>
      <w:r w:rsidRPr="007B3CDE">
        <w:rPr>
          <w:rFonts w:ascii="Arial" w:hAnsi="Arial" w:cs="Arial"/>
          <w:sz w:val="22"/>
          <w:szCs w:val="22"/>
        </w:rPr>
        <w:t>The following information identifies for each of the six Planned Care measures, the principle that the measure links to, the expectations for the measure, the definition of the measure, and the Equity component if this exists.</w:t>
      </w:r>
    </w:p>
    <w:p w14:paraId="5AB25FF1" w14:textId="77777777" w:rsidR="000D527C" w:rsidRPr="007B3CDE" w:rsidRDefault="000D527C" w:rsidP="000D527C">
      <w:pPr>
        <w:spacing w:before="120" w:after="120"/>
        <w:jc w:val="both"/>
        <w:rPr>
          <w:rFonts w:ascii="Arial" w:hAnsi="Arial" w:cs="Arial"/>
          <w:sz w:val="22"/>
          <w:szCs w:val="22"/>
        </w:rPr>
      </w:pPr>
      <w:r w:rsidRPr="007B3CDE">
        <w:rPr>
          <w:rFonts w:ascii="Arial" w:hAnsi="Arial" w:cs="Arial"/>
          <w:sz w:val="22"/>
          <w:szCs w:val="22"/>
        </w:rPr>
        <w:t xml:space="preserve">Reporting for each measure is based on ‘exception’, </w:t>
      </w:r>
      <w:proofErr w:type="spellStart"/>
      <w:r w:rsidRPr="007B3CDE">
        <w:rPr>
          <w:rFonts w:ascii="Arial" w:hAnsi="Arial" w:cs="Arial"/>
          <w:sz w:val="22"/>
          <w:szCs w:val="22"/>
        </w:rPr>
        <w:t>ie</w:t>
      </w:r>
      <w:proofErr w:type="spellEnd"/>
      <w:r w:rsidRPr="007B3CDE">
        <w:rPr>
          <w:rFonts w:ascii="Arial" w:hAnsi="Arial" w:cs="Arial"/>
          <w:sz w:val="22"/>
          <w:szCs w:val="22"/>
        </w:rPr>
        <w:t xml:space="preserve"> Where a DHB is meeting expectations for a measure information is not required for that specific measure.  </w:t>
      </w:r>
    </w:p>
    <w:tbl>
      <w:tblPr>
        <w:tblStyle w:val="TableGrid24"/>
        <w:tblW w:w="9922" w:type="dxa"/>
        <w:tblInd w:w="279" w:type="dxa"/>
        <w:tblLook w:val="04A0" w:firstRow="1" w:lastRow="0" w:firstColumn="1" w:lastColumn="0" w:noHBand="0" w:noVBand="1"/>
      </w:tblPr>
      <w:tblGrid>
        <w:gridCol w:w="1696"/>
        <w:gridCol w:w="8226"/>
      </w:tblGrid>
      <w:tr w:rsidR="000D527C" w:rsidRPr="007B3CDE" w14:paraId="22DB67F0" w14:textId="77777777" w:rsidTr="00F63418">
        <w:tc>
          <w:tcPr>
            <w:tcW w:w="1696" w:type="dxa"/>
            <w:shd w:val="clear" w:color="auto" w:fill="D0CECE"/>
          </w:tcPr>
          <w:p w14:paraId="08177A05"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1:</w:t>
            </w:r>
          </w:p>
        </w:tc>
        <w:tc>
          <w:tcPr>
            <w:tcW w:w="8226" w:type="dxa"/>
            <w:shd w:val="clear" w:color="auto" w:fill="D0CECE"/>
          </w:tcPr>
          <w:p w14:paraId="07B0C0A6"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Interventions</w:t>
            </w:r>
          </w:p>
        </w:tc>
      </w:tr>
      <w:tr w:rsidR="000D527C" w:rsidRPr="007B3CDE" w14:paraId="42F2650D" w14:textId="77777777" w:rsidTr="00F63418">
        <w:tc>
          <w:tcPr>
            <w:tcW w:w="1696" w:type="dxa"/>
          </w:tcPr>
          <w:p w14:paraId="562F2E8A"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6B19417E"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Access </w:t>
            </w:r>
            <w:r w:rsidRPr="007B3CDE">
              <w:rPr>
                <w:rFonts w:ascii="Arial" w:hAnsi="Arial" w:cs="Arial"/>
                <w:i/>
                <w:sz w:val="22"/>
                <w:szCs w:val="22"/>
              </w:rPr>
              <w:t>Patients can access the care they need in the right place, with the right health provider.</w:t>
            </w:r>
          </w:p>
        </w:tc>
      </w:tr>
      <w:tr w:rsidR="000D527C" w:rsidRPr="007B3CDE" w14:paraId="338DC955" w14:textId="77777777" w:rsidTr="00F63418">
        <w:tc>
          <w:tcPr>
            <w:tcW w:w="1696" w:type="dxa"/>
          </w:tcPr>
          <w:p w14:paraId="681B7B50"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Expectations:</w:t>
            </w:r>
          </w:p>
        </w:tc>
        <w:tc>
          <w:tcPr>
            <w:tcW w:w="8226" w:type="dxa"/>
          </w:tcPr>
          <w:p w14:paraId="015692DE"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 xml:space="preserve">Each DHB will identify, and agree with the Ministry of Health, a minimum level of Planned Care interventions to be provided for their population through the 2019/20 Annual Plan and the Planned Care Funding Schedule.  </w:t>
            </w:r>
          </w:p>
          <w:p w14:paraId="714D0A37"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 xml:space="preserve">DHBs will provide 100% of their agreed Planned Care interventions for each quarter. </w:t>
            </w:r>
          </w:p>
        </w:tc>
      </w:tr>
      <w:tr w:rsidR="000D527C" w:rsidRPr="007B3CDE" w14:paraId="5183A7CD" w14:textId="77777777" w:rsidTr="00F63418">
        <w:tc>
          <w:tcPr>
            <w:tcW w:w="1696" w:type="dxa"/>
          </w:tcPr>
          <w:p w14:paraId="61718FBA"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5CA3C835"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 xml:space="preserve">DHBs will set an agreed number of publicly funded interventions for people living within the DHB region. Performance will be measured using data from the National Minimum Data Set (NMDS) and the National Non-Admitted Patient Collection (NNPAC). The measure will include the following: </w:t>
            </w:r>
          </w:p>
          <w:p w14:paraId="124479D7" w14:textId="77777777" w:rsidR="000D527C" w:rsidRPr="007B3CDE" w:rsidRDefault="000D527C" w:rsidP="00C04FF1">
            <w:pPr>
              <w:numPr>
                <w:ilvl w:val="0"/>
                <w:numId w:val="102"/>
              </w:numPr>
              <w:spacing w:before="120" w:after="120"/>
              <w:ind w:left="318" w:hanging="357"/>
              <w:rPr>
                <w:rFonts w:ascii="Arial" w:hAnsi="Arial" w:cs="Arial"/>
                <w:sz w:val="22"/>
                <w:szCs w:val="22"/>
              </w:rPr>
            </w:pPr>
            <w:r w:rsidRPr="007B3CDE">
              <w:rPr>
                <w:rFonts w:ascii="Arial" w:hAnsi="Arial" w:cs="Arial"/>
                <w:b/>
                <w:sz w:val="22"/>
                <w:szCs w:val="22"/>
              </w:rPr>
              <w:t>Inpatient treatment</w:t>
            </w:r>
            <w:r w:rsidRPr="007B3CDE">
              <w:rPr>
                <w:rFonts w:ascii="Arial" w:hAnsi="Arial" w:cs="Arial"/>
                <w:sz w:val="22"/>
                <w:szCs w:val="22"/>
              </w:rPr>
              <w:t xml:space="preserve"> – </w:t>
            </w:r>
            <w:proofErr w:type="spellStart"/>
            <w:r w:rsidRPr="007B3CDE">
              <w:rPr>
                <w:rFonts w:ascii="Arial" w:hAnsi="Arial" w:cs="Arial"/>
                <w:sz w:val="22"/>
                <w:szCs w:val="22"/>
              </w:rPr>
              <w:t>casemix</w:t>
            </w:r>
            <w:proofErr w:type="spellEnd"/>
            <w:r w:rsidRPr="007B3CDE">
              <w:rPr>
                <w:rFonts w:ascii="Arial" w:hAnsi="Arial" w:cs="Arial"/>
                <w:sz w:val="22"/>
                <w:szCs w:val="22"/>
              </w:rPr>
              <w:t xml:space="preserve"> included elective and arranged discharges from a surgical specialty, or from a medical specialty where a surgical procedure has been provided. Procedures are coded to NMDS.</w:t>
            </w:r>
          </w:p>
          <w:p w14:paraId="6802E5C0" w14:textId="77777777" w:rsidR="000D527C" w:rsidRPr="007B3CDE" w:rsidRDefault="000D527C" w:rsidP="00C04FF1">
            <w:pPr>
              <w:numPr>
                <w:ilvl w:val="0"/>
                <w:numId w:val="102"/>
              </w:numPr>
              <w:spacing w:before="120" w:after="120"/>
              <w:ind w:hanging="357"/>
              <w:jc w:val="both"/>
              <w:rPr>
                <w:rFonts w:ascii="Arial" w:hAnsi="Arial" w:cs="Arial"/>
                <w:sz w:val="22"/>
                <w:szCs w:val="22"/>
              </w:rPr>
            </w:pPr>
            <w:r w:rsidRPr="007B3CDE">
              <w:rPr>
                <w:rFonts w:ascii="Arial" w:hAnsi="Arial" w:cs="Arial"/>
                <w:b/>
                <w:sz w:val="22"/>
                <w:szCs w:val="22"/>
              </w:rPr>
              <w:t xml:space="preserve">Minor Interventions </w:t>
            </w:r>
          </w:p>
          <w:p w14:paraId="5234DCE0" w14:textId="77777777" w:rsidR="000D527C" w:rsidRPr="007B3CDE" w:rsidRDefault="000D527C" w:rsidP="00C04FF1">
            <w:pPr>
              <w:numPr>
                <w:ilvl w:val="1"/>
                <w:numId w:val="102"/>
              </w:numPr>
              <w:spacing w:before="120" w:after="120"/>
              <w:ind w:left="743" w:hanging="357"/>
              <w:jc w:val="both"/>
              <w:rPr>
                <w:rFonts w:ascii="Arial" w:hAnsi="Arial" w:cs="Arial"/>
                <w:sz w:val="22"/>
                <w:szCs w:val="22"/>
              </w:rPr>
            </w:pPr>
            <w:r w:rsidRPr="007B3CDE">
              <w:rPr>
                <w:rFonts w:ascii="Arial" w:hAnsi="Arial" w:cs="Arial"/>
                <w:b/>
                <w:sz w:val="22"/>
                <w:szCs w:val="22"/>
              </w:rPr>
              <w:t>Minor Inpatient Interventions</w:t>
            </w:r>
            <w:r w:rsidRPr="007B3CDE">
              <w:rPr>
                <w:rFonts w:ascii="Arial" w:hAnsi="Arial" w:cs="Arial"/>
                <w:sz w:val="22"/>
                <w:szCs w:val="22"/>
              </w:rPr>
              <w:t>: Elective or arranged non-</w:t>
            </w:r>
            <w:proofErr w:type="spellStart"/>
            <w:r w:rsidRPr="007B3CDE">
              <w:rPr>
                <w:rFonts w:ascii="Arial" w:hAnsi="Arial" w:cs="Arial"/>
                <w:sz w:val="22"/>
                <w:szCs w:val="22"/>
              </w:rPr>
              <w:t>casemix</w:t>
            </w:r>
            <w:proofErr w:type="spellEnd"/>
            <w:r w:rsidRPr="007B3CDE">
              <w:rPr>
                <w:rFonts w:ascii="Arial" w:hAnsi="Arial" w:cs="Arial"/>
                <w:sz w:val="22"/>
                <w:szCs w:val="22"/>
              </w:rPr>
              <w:t xml:space="preserve"> surgical procedures, which are completed in an inpatient setting and coded to NMDS.</w:t>
            </w:r>
          </w:p>
          <w:p w14:paraId="510A6D51" w14:textId="77777777" w:rsidR="000D527C" w:rsidRPr="007B3CDE" w:rsidRDefault="000D527C" w:rsidP="00C04FF1">
            <w:pPr>
              <w:numPr>
                <w:ilvl w:val="1"/>
                <w:numId w:val="102"/>
              </w:numPr>
              <w:spacing w:before="120" w:after="120"/>
              <w:ind w:left="743" w:hanging="357"/>
              <w:jc w:val="both"/>
              <w:rPr>
                <w:rFonts w:ascii="Arial" w:hAnsi="Arial" w:cs="Arial"/>
                <w:sz w:val="22"/>
                <w:szCs w:val="22"/>
              </w:rPr>
            </w:pPr>
            <w:r w:rsidRPr="007B3CDE">
              <w:rPr>
                <w:rFonts w:ascii="Arial" w:hAnsi="Arial" w:cs="Arial"/>
                <w:b/>
                <w:sz w:val="22"/>
                <w:szCs w:val="22"/>
              </w:rPr>
              <w:lastRenderedPageBreak/>
              <w:t xml:space="preserve">Outpatient or Community based Interventions: </w:t>
            </w:r>
            <w:r w:rsidRPr="007B3CDE">
              <w:rPr>
                <w:rFonts w:ascii="Arial" w:hAnsi="Arial" w:cs="Arial"/>
                <w:sz w:val="22"/>
                <w:szCs w:val="22"/>
              </w:rPr>
              <w:t>Selected range of</w:t>
            </w:r>
            <w:r w:rsidRPr="007B3CDE">
              <w:rPr>
                <w:rFonts w:ascii="Arial" w:hAnsi="Arial" w:cs="Arial"/>
                <w:b/>
                <w:sz w:val="22"/>
                <w:szCs w:val="22"/>
              </w:rPr>
              <w:t xml:space="preserve"> </w:t>
            </w:r>
            <w:r w:rsidRPr="007B3CDE">
              <w:rPr>
                <w:rFonts w:ascii="Arial" w:hAnsi="Arial" w:cs="Arial"/>
                <w:sz w:val="22"/>
                <w:szCs w:val="22"/>
              </w:rPr>
              <w:t>minor procedures, which are completed in an outpatient or community setting and coded to NNPAC.</w:t>
            </w:r>
          </w:p>
          <w:p w14:paraId="1810A481" w14:textId="77777777" w:rsidR="000D527C" w:rsidRPr="007B3CDE" w:rsidRDefault="000D527C" w:rsidP="00C04FF1">
            <w:pPr>
              <w:numPr>
                <w:ilvl w:val="0"/>
                <w:numId w:val="102"/>
              </w:numPr>
              <w:spacing w:before="120" w:after="120"/>
              <w:ind w:hanging="357"/>
              <w:jc w:val="both"/>
              <w:rPr>
                <w:rFonts w:ascii="Arial" w:hAnsi="Arial" w:cs="Arial"/>
                <w:sz w:val="22"/>
                <w:szCs w:val="22"/>
              </w:rPr>
            </w:pPr>
            <w:r w:rsidRPr="007B3CDE">
              <w:rPr>
                <w:rFonts w:ascii="Arial" w:hAnsi="Arial" w:cs="Arial"/>
                <w:b/>
                <w:sz w:val="22"/>
                <w:szCs w:val="22"/>
              </w:rPr>
              <w:t xml:space="preserve">Non-Surgical Alternatives: </w:t>
            </w:r>
            <w:r w:rsidRPr="007B3CDE">
              <w:rPr>
                <w:rFonts w:ascii="Arial" w:hAnsi="Arial" w:cs="Arial"/>
                <w:sz w:val="22"/>
                <w:szCs w:val="22"/>
              </w:rPr>
              <w:t>Number of patients who have completed the agreed non-surgical alternative programme and this is coded to NNPAC.</w:t>
            </w:r>
          </w:p>
        </w:tc>
      </w:tr>
      <w:tr w:rsidR="000D527C" w:rsidRPr="007B3CDE" w14:paraId="28343053" w14:textId="77777777" w:rsidTr="00F63418">
        <w:tc>
          <w:tcPr>
            <w:tcW w:w="1696" w:type="dxa"/>
          </w:tcPr>
          <w:p w14:paraId="42C9537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Reporting Source and Frequency:</w:t>
            </w:r>
          </w:p>
        </w:tc>
        <w:tc>
          <w:tcPr>
            <w:tcW w:w="8226" w:type="dxa"/>
          </w:tcPr>
          <w:p w14:paraId="4094D174"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DHBs are required to report data at least monthly to NMDS and NNPAC, and ensure data meets the quality standards set out in the current Operational Policy Framework (OPF).</w:t>
            </w:r>
          </w:p>
        </w:tc>
      </w:tr>
      <w:tr w:rsidR="000D527C" w:rsidRPr="007B3CDE" w14:paraId="2D4DD473" w14:textId="77777777" w:rsidTr="00F63418">
        <w:tc>
          <w:tcPr>
            <w:tcW w:w="1696" w:type="dxa"/>
          </w:tcPr>
          <w:p w14:paraId="752EAA2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Equity component:</w:t>
            </w:r>
          </w:p>
        </w:tc>
        <w:tc>
          <w:tcPr>
            <w:tcW w:w="8226" w:type="dxa"/>
          </w:tcPr>
          <w:p w14:paraId="1A43923C"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 xml:space="preserve">Distributional equity analysis will be provided through monthly reporting to show activity by age, gender, </w:t>
            </w:r>
            <w:proofErr w:type="gramStart"/>
            <w:r w:rsidRPr="007B3CDE">
              <w:rPr>
                <w:rFonts w:ascii="Arial" w:hAnsi="Arial" w:cs="Arial"/>
                <w:sz w:val="22"/>
                <w:szCs w:val="22"/>
              </w:rPr>
              <w:t>ethnicity</w:t>
            </w:r>
            <w:proofErr w:type="gramEnd"/>
            <w:r w:rsidRPr="007B3CDE">
              <w:rPr>
                <w:rFonts w:ascii="Arial" w:hAnsi="Arial" w:cs="Arial"/>
                <w:sz w:val="22"/>
                <w:szCs w:val="22"/>
              </w:rPr>
              <w:t xml:space="preserve"> and deprivation groups.</w:t>
            </w:r>
          </w:p>
        </w:tc>
      </w:tr>
    </w:tbl>
    <w:p w14:paraId="1DDC12A7" w14:textId="77777777" w:rsidR="000D527C" w:rsidRPr="007B3CDE"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rsidRPr="007B3CDE" w14:paraId="31FE08D4" w14:textId="77777777" w:rsidTr="00F63418">
        <w:tc>
          <w:tcPr>
            <w:tcW w:w="1696" w:type="dxa"/>
            <w:shd w:val="clear" w:color="auto" w:fill="D0CECE"/>
          </w:tcPr>
          <w:p w14:paraId="1EC4401A"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2:</w:t>
            </w:r>
          </w:p>
        </w:tc>
        <w:tc>
          <w:tcPr>
            <w:tcW w:w="8226" w:type="dxa"/>
            <w:shd w:val="clear" w:color="auto" w:fill="D0CECE"/>
          </w:tcPr>
          <w:p w14:paraId="69DBD818"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Elective Service Patient Flow Indicators</w:t>
            </w:r>
          </w:p>
        </w:tc>
      </w:tr>
      <w:tr w:rsidR="000D527C" w:rsidRPr="007B3CDE" w14:paraId="11371764" w14:textId="77777777" w:rsidTr="00F63418">
        <w:tc>
          <w:tcPr>
            <w:tcW w:w="1696" w:type="dxa"/>
          </w:tcPr>
          <w:p w14:paraId="79A58D5F"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5F2D65FA" w14:textId="77777777" w:rsidR="000D527C" w:rsidRPr="007B3CDE" w:rsidRDefault="000D527C" w:rsidP="00F63418">
            <w:pPr>
              <w:spacing w:before="120" w:after="120"/>
              <w:rPr>
                <w:rFonts w:ascii="Arial" w:hAnsi="Arial" w:cs="Arial"/>
                <w:i/>
                <w:sz w:val="22"/>
                <w:szCs w:val="22"/>
              </w:rPr>
            </w:pPr>
            <w:r w:rsidRPr="007B3CDE">
              <w:rPr>
                <w:rFonts w:ascii="Arial" w:hAnsi="Arial" w:cs="Arial"/>
                <w:b/>
                <w:sz w:val="22"/>
                <w:szCs w:val="22"/>
              </w:rPr>
              <w:t xml:space="preserve">Access </w:t>
            </w:r>
            <w:r w:rsidRPr="007B3CDE">
              <w:rPr>
                <w:rFonts w:ascii="Arial" w:hAnsi="Arial" w:cs="Arial"/>
                <w:i/>
                <w:sz w:val="22"/>
                <w:szCs w:val="22"/>
              </w:rPr>
              <w:t>Patients can access the care they need in the right place, with the right health provider.(ESPIs 3 and 8)</w:t>
            </w:r>
          </w:p>
          <w:p w14:paraId="6BAE1A62" w14:textId="77777777" w:rsidR="000D527C" w:rsidRPr="007B3CDE" w:rsidRDefault="000D527C" w:rsidP="00F63418">
            <w:pPr>
              <w:spacing w:before="120" w:after="120"/>
              <w:rPr>
                <w:rFonts w:ascii="Arial" w:hAnsi="Arial" w:cs="Arial"/>
                <w:i/>
                <w:sz w:val="22"/>
                <w:szCs w:val="22"/>
              </w:rPr>
            </w:pPr>
            <w:r w:rsidRPr="007B3CDE">
              <w:rPr>
                <w:rFonts w:ascii="Arial" w:hAnsi="Arial" w:cs="Arial"/>
                <w:b/>
                <w:sz w:val="22"/>
                <w:szCs w:val="22"/>
              </w:rPr>
              <w:t xml:space="preserve">Timeliness </w:t>
            </w:r>
            <w:r w:rsidRPr="007B3CDE">
              <w:rPr>
                <w:rFonts w:ascii="Arial" w:hAnsi="Arial" w:cs="Arial"/>
                <w:i/>
                <w:sz w:val="22"/>
                <w:szCs w:val="22"/>
              </w:rPr>
              <w:t>Patients receive care at the most appropriate time to support improved health. (ESPIs 1, 2, and 5)</w:t>
            </w:r>
          </w:p>
        </w:tc>
      </w:tr>
      <w:tr w:rsidR="000D527C" w:rsidRPr="007B3CDE" w14:paraId="345BD9AA" w14:textId="77777777" w:rsidTr="00F63418">
        <w:tc>
          <w:tcPr>
            <w:tcW w:w="1696" w:type="dxa"/>
          </w:tcPr>
          <w:p w14:paraId="09891F7D"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Expectations:</w:t>
            </w:r>
          </w:p>
        </w:tc>
        <w:tc>
          <w:tcPr>
            <w:tcW w:w="8226" w:type="dxa"/>
            <w:shd w:val="clear" w:color="auto" w:fill="auto"/>
          </w:tcPr>
          <w:p w14:paraId="6C89AED0"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 xml:space="preserve">DHBs must manage patient flow processes effectively, in line with the principles of Planned Care. Patient flow processes are measured by a suite of performance indicators referred to as Elective Services Patient Flow Indicators (ESPIs).  </w:t>
            </w:r>
          </w:p>
          <w:p w14:paraId="79044870"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Expectations for achievement are set individually for each ESPI and calculated at a DHB level. Yellow results indicate that the expectation has not been met but the DHB’s result is within an agreed ‘buffer’ or tolerance range. Red results indicate that the DHB’s performance is outside the expected range.</w:t>
            </w:r>
          </w:p>
        </w:tc>
      </w:tr>
      <w:tr w:rsidR="000D527C" w:rsidRPr="007B3CDE" w14:paraId="0523E10F" w14:textId="77777777" w:rsidTr="00F63418">
        <w:tc>
          <w:tcPr>
            <w:tcW w:w="1696" w:type="dxa"/>
          </w:tcPr>
          <w:p w14:paraId="42BA14AB"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77B7A9A7"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ESPI 1 - DHB services that appropriately acknowledge and process more than 90% of referrals in 15 calendar days or less</w:t>
            </w:r>
          </w:p>
          <w:p w14:paraId="5BF45B16" w14:textId="77777777" w:rsidR="000D527C" w:rsidRPr="007B3CDE" w:rsidRDefault="000D527C" w:rsidP="00F63418">
            <w:pPr>
              <w:spacing w:before="120" w:after="120"/>
              <w:ind w:left="1881" w:hanging="1559"/>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number of services answering ‘Yes’ in a DHB</w:t>
            </w:r>
          </w:p>
          <w:p w14:paraId="485738BA" w14:textId="77777777" w:rsidR="000D527C" w:rsidRPr="007B3CDE" w:rsidRDefault="000D527C" w:rsidP="00F63418">
            <w:pPr>
              <w:spacing w:before="120" w:after="120"/>
              <w:ind w:left="1881" w:hanging="1559"/>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The total number of services reported to National Booking Reporting System (NBRS)</w:t>
            </w:r>
          </w:p>
          <w:p w14:paraId="55281A53" w14:textId="77777777" w:rsidR="000D527C" w:rsidRPr="007B3CDE" w:rsidRDefault="000D527C" w:rsidP="00F63418">
            <w:pPr>
              <w:autoSpaceDE w:val="0"/>
              <w:autoSpaceDN w:val="0"/>
              <w:adjustRightInd w:val="0"/>
              <w:spacing w:before="120" w:after="120"/>
              <w:ind w:left="1773" w:hanging="1451"/>
              <w:rPr>
                <w:rFonts w:ascii="Arial" w:hAnsi="Arial" w:cs="Arial"/>
                <w:b/>
                <w:bCs/>
                <w:i/>
                <w:iCs/>
                <w:color w:val="000000"/>
                <w:sz w:val="22"/>
                <w:szCs w:val="22"/>
                <w:u w:val="single"/>
              </w:rPr>
            </w:pPr>
            <w:r w:rsidRPr="007B3CDE">
              <w:rPr>
                <w:rFonts w:ascii="Arial" w:hAnsi="Arial" w:cs="Arial"/>
                <w:b/>
                <w:bCs/>
                <w:i/>
                <w:iCs/>
                <w:color w:val="000000"/>
                <w:sz w:val="22"/>
                <w:szCs w:val="22"/>
                <w:u w:val="single"/>
              </w:rPr>
              <w:t>Expectations:</w:t>
            </w:r>
          </w:p>
          <w:p w14:paraId="7E86CB6C" w14:textId="77777777" w:rsidR="000D527C" w:rsidRPr="007B3CDE" w:rsidRDefault="000D527C" w:rsidP="00F63418">
            <w:pPr>
              <w:autoSpaceDE w:val="0"/>
              <w:autoSpaceDN w:val="0"/>
              <w:adjustRightInd w:val="0"/>
              <w:spacing w:before="120" w:after="120"/>
              <w:ind w:left="1773" w:hanging="1451"/>
              <w:rPr>
                <w:rFonts w:ascii="Arial" w:hAnsi="Arial" w:cs="Arial"/>
                <w:color w:val="000000"/>
                <w:sz w:val="22"/>
                <w:szCs w:val="22"/>
              </w:rPr>
            </w:pPr>
            <w:r w:rsidRPr="007B3CDE">
              <w:rPr>
                <w:rFonts w:ascii="Arial" w:hAnsi="Arial" w:cs="Arial"/>
                <w:bCs/>
                <w:i/>
                <w:iCs/>
                <w:color w:val="000000"/>
                <w:sz w:val="22"/>
                <w:szCs w:val="22"/>
              </w:rPr>
              <w:t xml:space="preserve">Green </w:t>
            </w:r>
            <w:r w:rsidRPr="007B3CDE">
              <w:rPr>
                <w:rFonts w:ascii="Arial" w:hAnsi="Arial" w:cs="Arial"/>
                <w:i/>
                <w:iCs/>
                <w:color w:val="000000"/>
                <w:sz w:val="22"/>
                <w:szCs w:val="22"/>
              </w:rPr>
              <w:t xml:space="preserve">Status: </w:t>
            </w:r>
            <w:r w:rsidRPr="007B3CDE">
              <w:rPr>
                <w:rFonts w:ascii="Arial" w:hAnsi="Arial" w:cs="Arial"/>
                <w:i/>
                <w:iCs/>
                <w:color w:val="000000"/>
                <w:sz w:val="22"/>
                <w:szCs w:val="22"/>
              </w:rPr>
              <w:tab/>
              <w:t xml:space="preserve">% is 100% (all) services report Yes (that more than 90% of referrals within the service are processed in 15 calendar days or less) </w:t>
            </w:r>
          </w:p>
          <w:p w14:paraId="1436F64F" w14:textId="77777777" w:rsidR="000D527C" w:rsidRPr="007B3CDE" w:rsidRDefault="000D527C" w:rsidP="00F63418">
            <w:pPr>
              <w:spacing w:before="120" w:after="120"/>
              <w:ind w:left="1773" w:hanging="1451"/>
              <w:rPr>
                <w:rFonts w:ascii="Arial" w:hAnsi="Arial" w:cs="Arial"/>
                <w:sz w:val="22"/>
                <w:szCs w:val="22"/>
              </w:rPr>
            </w:pPr>
            <w:r w:rsidRPr="007B3CDE">
              <w:rPr>
                <w:rFonts w:ascii="Arial" w:hAnsi="Arial" w:cs="Arial"/>
                <w:bCs/>
                <w:i/>
                <w:iCs/>
                <w:sz w:val="22"/>
                <w:szCs w:val="22"/>
              </w:rPr>
              <w:t xml:space="preserve">Yellow </w:t>
            </w:r>
            <w:r w:rsidRPr="007B3CDE">
              <w:rPr>
                <w:rFonts w:ascii="Arial" w:hAnsi="Arial" w:cs="Arial"/>
                <w:i/>
                <w:iCs/>
                <w:sz w:val="22"/>
                <w:szCs w:val="22"/>
              </w:rPr>
              <w:t xml:space="preserve">Status: </w:t>
            </w:r>
            <w:r w:rsidRPr="007B3CDE">
              <w:rPr>
                <w:rFonts w:ascii="Arial" w:hAnsi="Arial" w:cs="Arial"/>
                <w:i/>
                <w:iCs/>
                <w:sz w:val="22"/>
                <w:szCs w:val="22"/>
              </w:rPr>
              <w:tab/>
              <w:t>% is less than 100% of services</w:t>
            </w:r>
          </w:p>
          <w:p w14:paraId="1B93E2C8"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ESPI 2 - Patients waiting longer than four months for their first specialist assessment (FSA)</w:t>
            </w:r>
          </w:p>
          <w:p w14:paraId="136FE156" w14:textId="77777777" w:rsidR="000D527C" w:rsidRPr="007B3CDE" w:rsidRDefault="000D527C" w:rsidP="00F63418">
            <w:pPr>
              <w:spacing w:before="120" w:after="120"/>
              <w:ind w:left="2023"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number of patients waiting &gt; four calendar months for FSA</w:t>
            </w:r>
          </w:p>
          <w:p w14:paraId="46244914" w14:textId="77777777" w:rsidR="000D527C" w:rsidRPr="007B3CDE" w:rsidRDefault="000D527C" w:rsidP="00F63418">
            <w:pPr>
              <w:spacing w:before="120" w:after="120"/>
              <w:ind w:left="2023"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Total number of patients waiting at month end for FSA</w:t>
            </w:r>
          </w:p>
          <w:p w14:paraId="79145DE0" w14:textId="77777777" w:rsidR="000D527C" w:rsidRPr="007B3CDE" w:rsidRDefault="000D527C" w:rsidP="00F63418">
            <w:pPr>
              <w:autoSpaceDE w:val="0"/>
              <w:autoSpaceDN w:val="0"/>
              <w:adjustRightInd w:val="0"/>
              <w:spacing w:before="120" w:after="120"/>
              <w:ind w:left="2023" w:hanging="1559"/>
              <w:rPr>
                <w:rFonts w:ascii="Arial" w:hAnsi="Arial" w:cs="Arial"/>
                <w:b/>
                <w:bCs/>
                <w:i/>
                <w:iCs/>
                <w:color w:val="000000"/>
                <w:sz w:val="22"/>
                <w:szCs w:val="22"/>
                <w:u w:val="single"/>
              </w:rPr>
            </w:pPr>
            <w:r w:rsidRPr="007B3CDE">
              <w:rPr>
                <w:rFonts w:ascii="Arial" w:hAnsi="Arial" w:cs="Arial"/>
                <w:b/>
                <w:bCs/>
                <w:i/>
                <w:iCs/>
                <w:color w:val="000000"/>
                <w:sz w:val="22"/>
                <w:szCs w:val="22"/>
                <w:u w:val="single"/>
              </w:rPr>
              <w:t>Expectations:</w:t>
            </w:r>
          </w:p>
          <w:p w14:paraId="1D6263DF" w14:textId="77777777" w:rsidR="000D527C" w:rsidRPr="007B3CDE" w:rsidRDefault="000D527C" w:rsidP="00F63418">
            <w:pPr>
              <w:spacing w:before="120" w:after="120"/>
              <w:ind w:left="2023" w:hanging="1598"/>
              <w:rPr>
                <w:rFonts w:ascii="Arial" w:hAnsi="Arial" w:cs="Arial"/>
                <w:i/>
                <w:sz w:val="22"/>
                <w:szCs w:val="22"/>
              </w:rPr>
            </w:pPr>
            <w:r w:rsidRPr="007B3CDE">
              <w:rPr>
                <w:rFonts w:ascii="Arial" w:hAnsi="Arial" w:cs="Arial"/>
                <w:i/>
                <w:sz w:val="22"/>
                <w:szCs w:val="22"/>
              </w:rPr>
              <w:t xml:space="preserve">Green Status: </w:t>
            </w:r>
            <w:r w:rsidRPr="007B3CDE">
              <w:rPr>
                <w:rFonts w:ascii="Arial" w:hAnsi="Arial" w:cs="Arial"/>
                <w:i/>
                <w:sz w:val="22"/>
                <w:szCs w:val="22"/>
              </w:rPr>
              <w:tab/>
              <w:t>% is 0% – no patients are waiting over four months for FSA</w:t>
            </w:r>
          </w:p>
          <w:p w14:paraId="629E2179" w14:textId="77777777" w:rsidR="000D527C" w:rsidRPr="007B3CDE" w:rsidRDefault="000D527C" w:rsidP="00F63418">
            <w:pPr>
              <w:spacing w:before="120" w:after="120"/>
              <w:ind w:left="2023" w:hanging="1598"/>
              <w:rPr>
                <w:rFonts w:ascii="Arial" w:hAnsi="Arial" w:cs="Arial"/>
                <w:i/>
                <w:sz w:val="22"/>
                <w:szCs w:val="22"/>
              </w:rPr>
            </w:pPr>
            <w:r w:rsidRPr="007B3CDE">
              <w:rPr>
                <w:rFonts w:ascii="Arial" w:hAnsi="Arial" w:cs="Arial"/>
                <w:i/>
                <w:sz w:val="22"/>
                <w:szCs w:val="22"/>
              </w:rPr>
              <w:lastRenderedPageBreak/>
              <w:t>Yellow Status:</w:t>
            </w:r>
            <w:r w:rsidRPr="007B3CDE">
              <w:rPr>
                <w:rFonts w:ascii="Arial" w:hAnsi="Arial" w:cs="Arial"/>
                <w:i/>
                <w:sz w:val="22"/>
                <w:szCs w:val="22"/>
              </w:rPr>
              <w:tab/>
              <w:t>% is greater than 0% (1 patient or more), but less than 0.4% OR Status % is greater than or equal to 0.4% BUT 10 patients or less are waiting over 4 months</w:t>
            </w:r>
          </w:p>
          <w:p w14:paraId="67771963" w14:textId="77777777" w:rsidR="000D527C" w:rsidRPr="007B3CDE" w:rsidRDefault="000D527C" w:rsidP="00F63418">
            <w:pPr>
              <w:spacing w:before="120" w:after="120"/>
              <w:ind w:left="2023" w:hanging="1598"/>
              <w:rPr>
                <w:rFonts w:ascii="Arial" w:hAnsi="Arial" w:cs="Arial"/>
                <w:i/>
                <w:sz w:val="22"/>
                <w:szCs w:val="22"/>
              </w:rPr>
            </w:pPr>
            <w:r w:rsidRPr="007B3CDE">
              <w:rPr>
                <w:rFonts w:ascii="Arial" w:hAnsi="Arial" w:cs="Arial"/>
                <w:i/>
                <w:sz w:val="22"/>
                <w:szCs w:val="22"/>
              </w:rPr>
              <w:t>Red Status:</w:t>
            </w:r>
            <w:r w:rsidRPr="007B3CDE">
              <w:rPr>
                <w:rFonts w:ascii="Arial" w:hAnsi="Arial" w:cs="Arial"/>
                <w:i/>
                <w:sz w:val="22"/>
                <w:szCs w:val="22"/>
              </w:rPr>
              <w:tab/>
              <w:t>% is greater than or equal to 0.4% AND 11 patients or more are waiting over 4 months</w:t>
            </w:r>
          </w:p>
          <w:p w14:paraId="5F15E386"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ESPI 3 - Patients waiting without a commitment to treatment whose priorities are higher than the actual treatment threshold (</w:t>
            </w:r>
            <w:proofErr w:type="spellStart"/>
            <w:r w:rsidRPr="007B3CDE">
              <w:rPr>
                <w:rFonts w:ascii="Arial" w:hAnsi="Arial" w:cs="Arial"/>
                <w:b/>
                <w:sz w:val="22"/>
                <w:szCs w:val="22"/>
                <w:u w:val="single"/>
              </w:rPr>
              <w:t>aTT</w:t>
            </w:r>
            <w:proofErr w:type="spellEnd"/>
            <w:r w:rsidRPr="007B3CDE">
              <w:rPr>
                <w:rFonts w:ascii="Arial" w:hAnsi="Arial" w:cs="Arial"/>
                <w:b/>
                <w:sz w:val="22"/>
                <w:szCs w:val="22"/>
                <w:u w:val="single"/>
              </w:rPr>
              <w:t>)</w:t>
            </w:r>
          </w:p>
          <w:p w14:paraId="65C66F7B"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 xml:space="preserve">Patients in Active Review with a priority score &gt; the </w:t>
            </w:r>
            <w:proofErr w:type="spellStart"/>
            <w:r w:rsidRPr="007B3CDE">
              <w:rPr>
                <w:rFonts w:ascii="Arial" w:hAnsi="Arial" w:cs="Arial"/>
                <w:sz w:val="22"/>
                <w:szCs w:val="22"/>
              </w:rPr>
              <w:t>aTT</w:t>
            </w:r>
            <w:proofErr w:type="spellEnd"/>
          </w:p>
          <w:p w14:paraId="08AFBFCB"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Total number of patients exited treated in the last 12 months</w:t>
            </w:r>
          </w:p>
          <w:p w14:paraId="595D76C2" w14:textId="77777777" w:rsidR="000D527C" w:rsidRPr="007B3CDE" w:rsidRDefault="000D527C" w:rsidP="00F63418">
            <w:pPr>
              <w:autoSpaceDE w:val="0"/>
              <w:autoSpaceDN w:val="0"/>
              <w:adjustRightInd w:val="0"/>
              <w:spacing w:before="120" w:after="120"/>
              <w:ind w:left="2165" w:hanging="1598"/>
              <w:rPr>
                <w:rFonts w:ascii="Arial" w:hAnsi="Arial" w:cs="Arial"/>
                <w:b/>
                <w:bCs/>
                <w:i/>
                <w:iCs/>
                <w:color w:val="000000"/>
                <w:sz w:val="22"/>
                <w:szCs w:val="22"/>
                <w:u w:val="single"/>
              </w:rPr>
            </w:pPr>
            <w:r w:rsidRPr="007B3CDE">
              <w:rPr>
                <w:rFonts w:ascii="Arial" w:hAnsi="Arial" w:cs="Arial"/>
                <w:b/>
                <w:bCs/>
                <w:i/>
                <w:iCs/>
                <w:color w:val="000000"/>
                <w:sz w:val="22"/>
                <w:szCs w:val="22"/>
                <w:u w:val="single"/>
              </w:rPr>
              <w:t>Expectations:</w:t>
            </w:r>
          </w:p>
          <w:p w14:paraId="71A1CA2A"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 xml:space="preserve">Green Status: </w:t>
            </w:r>
            <w:r w:rsidRPr="007B3CDE">
              <w:rPr>
                <w:rFonts w:ascii="Arial" w:hAnsi="Arial" w:cs="Arial"/>
                <w:i/>
                <w:sz w:val="22"/>
                <w:szCs w:val="22"/>
              </w:rPr>
              <w:tab/>
              <w:t xml:space="preserve">% is 0% - zero patients in Active Review with a priority score above the </w:t>
            </w:r>
            <w:proofErr w:type="spellStart"/>
            <w:r w:rsidRPr="007B3CDE">
              <w:rPr>
                <w:rFonts w:ascii="Arial" w:hAnsi="Arial" w:cs="Arial"/>
                <w:i/>
                <w:sz w:val="22"/>
                <w:szCs w:val="22"/>
              </w:rPr>
              <w:t>aTT</w:t>
            </w:r>
            <w:proofErr w:type="spellEnd"/>
          </w:p>
          <w:p w14:paraId="66D5975B"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Yellow Status:</w:t>
            </w:r>
            <w:r w:rsidRPr="007B3CDE">
              <w:rPr>
                <w:rFonts w:ascii="Arial" w:hAnsi="Arial" w:cs="Arial"/>
                <w:i/>
                <w:sz w:val="22"/>
                <w:szCs w:val="22"/>
              </w:rPr>
              <w:tab/>
              <w:t>% is greater than 0% (1 patient or more), but less than 5% or 10 patients or less</w:t>
            </w:r>
          </w:p>
          <w:p w14:paraId="2B1C5FB1"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i/>
                <w:sz w:val="22"/>
                <w:szCs w:val="22"/>
              </w:rPr>
              <w:t>Red Status:</w:t>
            </w:r>
            <w:r w:rsidRPr="007B3CDE">
              <w:rPr>
                <w:rFonts w:ascii="Arial" w:hAnsi="Arial" w:cs="Arial"/>
                <w:i/>
                <w:sz w:val="22"/>
                <w:szCs w:val="22"/>
              </w:rPr>
              <w:tab/>
              <w:t>% is greater than or equal to 5%, and more than 10 patients</w:t>
            </w:r>
          </w:p>
          <w:p w14:paraId="7A8FD6C6" w14:textId="77777777" w:rsidR="000D527C" w:rsidRPr="007B3CDE" w:rsidRDefault="000D527C" w:rsidP="00F63418">
            <w:pPr>
              <w:spacing w:before="120" w:after="120"/>
              <w:rPr>
                <w:rFonts w:ascii="Arial" w:hAnsi="Arial" w:cs="Arial"/>
                <w:sz w:val="22"/>
                <w:szCs w:val="22"/>
                <w:u w:val="single"/>
              </w:rPr>
            </w:pPr>
            <w:r w:rsidRPr="007B3CDE">
              <w:rPr>
                <w:rFonts w:ascii="Arial" w:hAnsi="Arial" w:cs="Arial"/>
                <w:b/>
                <w:sz w:val="22"/>
                <w:szCs w:val="22"/>
                <w:u w:val="single"/>
              </w:rPr>
              <w:t>ESPI 5 -</w:t>
            </w:r>
            <w:r w:rsidRPr="007B3CDE">
              <w:rPr>
                <w:rFonts w:ascii="Arial" w:hAnsi="Arial" w:cs="Arial"/>
                <w:sz w:val="22"/>
                <w:szCs w:val="22"/>
                <w:u w:val="single"/>
              </w:rPr>
              <w:t xml:space="preserve"> Patients given a commitment to treatment but not treated within four months</w:t>
            </w:r>
          </w:p>
          <w:p w14:paraId="7B2F6316"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number of patients with an Assured status waiting &gt; 120 days</w:t>
            </w:r>
          </w:p>
          <w:p w14:paraId="63F93841"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Total number of patients waiting with an Assured status</w:t>
            </w:r>
          </w:p>
          <w:p w14:paraId="6AEFF9CA" w14:textId="77777777" w:rsidR="000D527C" w:rsidRPr="007B3CDE" w:rsidRDefault="000D527C" w:rsidP="00F63418">
            <w:pPr>
              <w:autoSpaceDE w:val="0"/>
              <w:autoSpaceDN w:val="0"/>
              <w:adjustRightInd w:val="0"/>
              <w:spacing w:before="120" w:after="120"/>
              <w:ind w:left="2165" w:hanging="1598"/>
              <w:rPr>
                <w:rFonts w:ascii="Arial" w:hAnsi="Arial" w:cs="Arial"/>
                <w:b/>
                <w:bCs/>
                <w:i/>
                <w:iCs/>
                <w:color w:val="000000"/>
                <w:sz w:val="22"/>
                <w:szCs w:val="22"/>
                <w:u w:val="single"/>
              </w:rPr>
            </w:pPr>
            <w:r w:rsidRPr="007B3CDE">
              <w:rPr>
                <w:rFonts w:ascii="Arial" w:hAnsi="Arial" w:cs="Arial"/>
                <w:b/>
                <w:bCs/>
                <w:i/>
                <w:iCs/>
                <w:color w:val="000000"/>
                <w:sz w:val="22"/>
                <w:szCs w:val="22"/>
                <w:u w:val="single"/>
              </w:rPr>
              <w:t>Expectations:</w:t>
            </w:r>
          </w:p>
          <w:p w14:paraId="134EB4F8"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 xml:space="preserve">Green Status: </w:t>
            </w:r>
            <w:r w:rsidRPr="007B3CDE">
              <w:rPr>
                <w:rFonts w:ascii="Arial" w:hAnsi="Arial" w:cs="Arial"/>
                <w:i/>
                <w:sz w:val="22"/>
                <w:szCs w:val="22"/>
              </w:rPr>
              <w:tab/>
              <w:t>% is 0% - zero Assured patients are waiting over 120 days for treatment</w:t>
            </w:r>
          </w:p>
          <w:p w14:paraId="4D8147DD"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Yellow Status:</w:t>
            </w:r>
            <w:r w:rsidRPr="007B3CDE">
              <w:rPr>
                <w:rFonts w:ascii="Arial" w:hAnsi="Arial" w:cs="Arial"/>
                <w:i/>
                <w:sz w:val="22"/>
                <w:szCs w:val="22"/>
              </w:rPr>
              <w:tab/>
              <w:t>% is greater than 0% (1 patient or more), but less than 1% OR % is greater than or equal to 1% BUT 10 patients or less are waiting over 120 days</w:t>
            </w:r>
          </w:p>
          <w:p w14:paraId="73AEC4D8"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i/>
                <w:sz w:val="22"/>
                <w:szCs w:val="22"/>
              </w:rPr>
              <w:t>Red Status:</w:t>
            </w:r>
            <w:r w:rsidRPr="007B3CDE">
              <w:rPr>
                <w:rFonts w:ascii="Arial" w:hAnsi="Arial" w:cs="Arial"/>
                <w:i/>
                <w:sz w:val="22"/>
                <w:szCs w:val="22"/>
              </w:rPr>
              <w:tab/>
              <w:t>% is greater than or equal to 1% AND 11 patients or more are waiting over 120 days</w:t>
            </w:r>
          </w:p>
          <w:p w14:paraId="12C29153" w14:textId="77777777" w:rsidR="000D527C" w:rsidRPr="007B3CDE" w:rsidRDefault="000D527C" w:rsidP="00F63418">
            <w:pPr>
              <w:spacing w:before="120" w:after="120"/>
              <w:rPr>
                <w:rFonts w:ascii="Arial" w:hAnsi="Arial" w:cs="Arial"/>
                <w:sz w:val="22"/>
                <w:szCs w:val="22"/>
                <w:u w:val="single"/>
              </w:rPr>
            </w:pPr>
            <w:r w:rsidRPr="007B3CDE">
              <w:rPr>
                <w:rFonts w:ascii="Arial" w:hAnsi="Arial" w:cs="Arial"/>
                <w:b/>
                <w:sz w:val="22"/>
                <w:szCs w:val="22"/>
                <w:u w:val="single"/>
              </w:rPr>
              <w:t>ESPI 8 -</w:t>
            </w:r>
            <w:r w:rsidRPr="007B3CDE">
              <w:rPr>
                <w:rFonts w:ascii="Arial" w:hAnsi="Arial" w:cs="Arial"/>
                <w:sz w:val="22"/>
                <w:szCs w:val="22"/>
                <w:u w:val="single"/>
              </w:rPr>
              <w:t xml:space="preserve"> The proportion of patients who were prioritised using approved nationally recognised processes or tools.</w:t>
            </w:r>
          </w:p>
          <w:p w14:paraId="4D4DE48F"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number of patients prioritised in the month who were prioritised using an approved national or nationally recognised tool</w:t>
            </w:r>
          </w:p>
          <w:p w14:paraId="40461FC2" w14:textId="77777777" w:rsidR="000D527C" w:rsidRPr="007B3CDE" w:rsidRDefault="000D527C" w:rsidP="00F63418">
            <w:pPr>
              <w:spacing w:before="120" w:after="120"/>
              <w:ind w:left="2165" w:hanging="1598"/>
              <w:rPr>
                <w:rFonts w:ascii="Arial" w:hAnsi="Arial" w:cs="Arial"/>
                <w:b/>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Total number of patients prioritised during the month</w:t>
            </w:r>
          </w:p>
          <w:p w14:paraId="5D3D3F33" w14:textId="77777777" w:rsidR="000D527C" w:rsidRPr="007B3CDE" w:rsidRDefault="000D527C" w:rsidP="00F63418">
            <w:pPr>
              <w:autoSpaceDE w:val="0"/>
              <w:autoSpaceDN w:val="0"/>
              <w:adjustRightInd w:val="0"/>
              <w:spacing w:before="120" w:after="120"/>
              <w:ind w:left="2165" w:hanging="1598"/>
              <w:rPr>
                <w:rFonts w:ascii="Arial" w:hAnsi="Arial" w:cs="Arial"/>
                <w:b/>
                <w:bCs/>
                <w:i/>
                <w:iCs/>
                <w:color w:val="000000"/>
                <w:sz w:val="22"/>
                <w:szCs w:val="22"/>
                <w:u w:val="single"/>
              </w:rPr>
            </w:pPr>
            <w:r w:rsidRPr="007B3CDE">
              <w:rPr>
                <w:rFonts w:ascii="Arial" w:hAnsi="Arial" w:cs="Arial"/>
                <w:b/>
                <w:bCs/>
                <w:i/>
                <w:iCs/>
                <w:color w:val="000000"/>
                <w:sz w:val="22"/>
                <w:szCs w:val="22"/>
                <w:u w:val="single"/>
              </w:rPr>
              <w:t>Expectations:</w:t>
            </w:r>
          </w:p>
          <w:p w14:paraId="11AE6CAF"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 xml:space="preserve">Green Status: </w:t>
            </w:r>
            <w:r w:rsidRPr="007B3CDE">
              <w:rPr>
                <w:rFonts w:ascii="Arial" w:hAnsi="Arial" w:cs="Arial"/>
                <w:i/>
                <w:sz w:val="22"/>
                <w:szCs w:val="22"/>
              </w:rPr>
              <w:tab/>
              <w:t>% is 100% - all patients were prioritised using an approved national or nationally recognised prioritisation tool</w:t>
            </w:r>
          </w:p>
          <w:p w14:paraId="6B8C314A" w14:textId="77777777" w:rsidR="000D527C" w:rsidRPr="007B3CDE" w:rsidRDefault="000D527C" w:rsidP="00F63418">
            <w:pPr>
              <w:spacing w:before="120" w:after="120"/>
              <w:ind w:left="2165" w:hanging="1598"/>
              <w:rPr>
                <w:rFonts w:ascii="Arial" w:hAnsi="Arial" w:cs="Arial"/>
                <w:i/>
                <w:sz w:val="22"/>
                <w:szCs w:val="22"/>
              </w:rPr>
            </w:pPr>
            <w:r w:rsidRPr="007B3CDE">
              <w:rPr>
                <w:rFonts w:ascii="Arial" w:hAnsi="Arial" w:cs="Arial"/>
                <w:i/>
                <w:sz w:val="22"/>
                <w:szCs w:val="22"/>
              </w:rPr>
              <w:t>Yellow Status:</w:t>
            </w:r>
            <w:r w:rsidRPr="007B3CDE">
              <w:rPr>
                <w:rFonts w:ascii="Arial" w:hAnsi="Arial" w:cs="Arial"/>
                <w:i/>
                <w:sz w:val="22"/>
                <w:szCs w:val="22"/>
              </w:rPr>
              <w:tab/>
              <w:t>% is greater than 90%, but less than 100%</w:t>
            </w:r>
          </w:p>
          <w:p w14:paraId="7C4BDB2A" w14:textId="77777777" w:rsidR="000D527C" w:rsidRPr="007B3CDE" w:rsidRDefault="000D527C" w:rsidP="00F63418">
            <w:pPr>
              <w:spacing w:before="120" w:after="120"/>
              <w:ind w:left="2165" w:hanging="1598"/>
              <w:rPr>
                <w:rFonts w:ascii="Arial" w:hAnsi="Arial" w:cs="Arial"/>
                <w:b/>
                <w:i/>
                <w:sz w:val="22"/>
                <w:szCs w:val="22"/>
              </w:rPr>
            </w:pPr>
            <w:r w:rsidRPr="007B3CDE">
              <w:rPr>
                <w:rFonts w:ascii="Arial" w:hAnsi="Arial" w:cs="Arial"/>
                <w:i/>
                <w:sz w:val="22"/>
                <w:szCs w:val="22"/>
              </w:rPr>
              <w:t>Red Status:</w:t>
            </w:r>
            <w:r w:rsidRPr="007B3CDE">
              <w:rPr>
                <w:rFonts w:ascii="Arial" w:hAnsi="Arial" w:cs="Arial"/>
                <w:i/>
                <w:sz w:val="22"/>
                <w:szCs w:val="22"/>
              </w:rPr>
              <w:tab/>
              <w:t>% is less than, or equal to, 90%</w:t>
            </w:r>
          </w:p>
        </w:tc>
      </w:tr>
      <w:tr w:rsidR="000D527C" w:rsidRPr="007B3CDE" w14:paraId="1A50ABA4" w14:textId="77777777" w:rsidTr="00F63418">
        <w:tc>
          <w:tcPr>
            <w:tcW w:w="1696" w:type="dxa"/>
          </w:tcPr>
          <w:p w14:paraId="4C7DA73C"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Reporting Source and Frequency:</w:t>
            </w:r>
          </w:p>
        </w:tc>
        <w:tc>
          <w:tcPr>
            <w:tcW w:w="8226" w:type="dxa"/>
          </w:tcPr>
          <w:p w14:paraId="0B8577C6"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 xml:space="preserve">For ESPIs 1 &amp; 2 reporting is provided on the outpatient template and submitted monthly to the operations team at Ministry of Health. For ESPIs 2, 3, 5, and 8 data is sourced from NBRS and DHBs are required to report data at least monthly, and </w:t>
            </w:r>
            <w:r w:rsidRPr="007B3CDE">
              <w:rPr>
                <w:rFonts w:ascii="Arial" w:hAnsi="Arial" w:cs="Arial"/>
                <w:sz w:val="22"/>
                <w:szCs w:val="22"/>
              </w:rPr>
              <w:lastRenderedPageBreak/>
              <w:t>ensure data meets the quality standards set out in the Operational Policy Framework (OPF).</w:t>
            </w:r>
          </w:p>
        </w:tc>
      </w:tr>
      <w:tr w:rsidR="000D527C" w:rsidRPr="007B3CDE" w14:paraId="3FC3B479" w14:textId="77777777" w:rsidTr="00F63418">
        <w:tc>
          <w:tcPr>
            <w:tcW w:w="1696" w:type="dxa"/>
          </w:tcPr>
          <w:p w14:paraId="23D57BB6"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Equity component:</w:t>
            </w:r>
          </w:p>
        </w:tc>
        <w:tc>
          <w:tcPr>
            <w:tcW w:w="8226" w:type="dxa"/>
          </w:tcPr>
          <w:p w14:paraId="4FF7B362" w14:textId="77777777" w:rsidR="000D527C" w:rsidRPr="007B3CDE" w:rsidRDefault="000D527C" w:rsidP="00F63418">
            <w:pPr>
              <w:spacing w:before="120" w:after="120"/>
              <w:rPr>
                <w:rFonts w:ascii="Arial" w:hAnsi="Arial" w:cs="Arial"/>
                <w:i/>
                <w:sz w:val="22"/>
                <w:szCs w:val="22"/>
              </w:rPr>
            </w:pPr>
            <w:r w:rsidRPr="007B3CDE">
              <w:rPr>
                <w:rFonts w:ascii="Arial" w:hAnsi="Arial" w:cs="Arial"/>
                <w:b/>
                <w:i/>
                <w:sz w:val="22"/>
                <w:szCs w:val="22"/>
              </w:rPr>
              <w:t xml:space="preserve">ESPIs 1 and 2 – </w:t>
            </w:r>
            <w:r w:rsidRPr="007B3CDE">
              <w:rPr>
                <w:rFonts w:ascii="Arial" w:hAnsi="Arial" w:cs="Arial"/>
                <w:i/>
                <w:sz w:val="22"/>
                <w:szCs w:val="22"/>
              </w:rPr>
              <w:t>None</w:t>
            </w:r>
          </w:p>
          <w:p w14:paraId="6CA98E44"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i/>
                <w:sz w:val="22"/>
                <w:szCs w:val="22"/>
              </w:rPr>
              <w:t>ESPIs 3, 5, and 8</w:t>
            </w:r>
            <w:r w:rsidRPr="007B3CDE">
              <w:rPr>
                <w:rFonts w:ascii="Arial" w:hAnsi="Arial" w:cs="Arial"/>
                <w:sz w:val="22"/>
                <w:szCs w:val="22"/>
              </w:rPr>
              <w:t xml:space="preserve"> - Distributional equity analysis will be provided through monthly reporting to show activity by age, gender, </w:t>
            </w:r>
            <w:proofErr w:type="gramStart"/>
            <w:r w:rsidRPr="007B3CDE">
              <w:rPr>
                <w:rFonts w:ascii="Arial" w:hAnsi="Arial" w:cs="Arial"/>
                <w:sz w:val="22"/>
                <w:szCs w:val="22"/>
              </w:rPr>
              <w:t>ethnicity</w:t>
            </w:r>
            <w:proofErr w:type="gramEnd"/>
            <w:r w:rsidRPr="007B3CDE">
              <w:rPr>
                <w:rFonts w:ascii="Arial" w:hAnsi="Arial" w:cs="Arial"/>
                <w:sz w:val="22"/>
                <w:szCs w:val="22"/>
              </w:rPr>
              <w:t xml:space="preserve"> and deprivation groups.</w:t>
            </w:r>
          </w:p>
        </w:tc>
      </w:tr>
    </w:tbl>
    <w:p w14:paraId="51EF63D7" w14:textId="77777777" w:rsidR="000D527C" w:rsidRPr="007B3CDE"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rsidRPr="007B3CDE" w14:paraId="29EE6589" w14:textId="77777777" w:rsidTr="00F63418">
        <w:tc>
          <w:tcPr>
            <w:tcW w:w="1696" w:type="dxa"/>
            <w:shd w:val="clear" w:color="auto" w:fill="D0CECE"/>
          </w:tcPr>
          <w:p w14:paraId="67D61FCC"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3:</w:t>
            </w:r>
          </w:p>
        </w:tc>
        <w:tc>
          <w:tcPr>
            <w:tcW w:w="8226" w:type="dxa"/>
            <w:shd w:val="clear" w:color="auto" w:fill="D0CECE"/>
          </w:tcPr>
          <w:p w14:paraId="1C8EB625"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Diagnostics waiting times – Angiography, Computed Tomography (CT) and Magnetic Resonance Imaging (MRI)</w:t>
            </w:r>
          </w:p>
        </w:tc>
      </w:tr>
      <w:tr w:rsidR="000D527C" w:rsidRPr="007B3CDE" w14:paraId="7565AB81" w14:textId="77777777" w:rsidTr="00F63418">
        <w:tc>
          <w:tcPr>
            <w:tcW w:w="1696" w:type="dxa"/>
          </w:tcPr>
          <w:p w14:paraId="39BA062C"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308B91D0"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Timeliness </w:t>
            </w:r>
            <w:r w:rsidRPr="007B3CDE">
              <w:rPr>
                <w:rFonts w:ascii="Arial" w:hAnsi="Arial" w:cs="Arial"/>
                <w:i/>
                <w:sz w:val="22"/>
                <w:szCs w:val="22"/>
              </w:rPr>
              <w:t>Patients receive care at the most appropriate time to support improved health.</w:t>
            </w:r>
          </w:p>
        </w:tc>
      </w:tr>
      <w:tr w:rsidR="000D527C" w:rsidRPr="007B3CDE" w14:paraId="451CCA1C" w14:textId="77777777" w:rsidTr="00F63418">
        <w:tc>
          <w:tcPr>
            <w:tcW w:w="1696" w:type="dxa"/>
          </w:tcPr>
          <w:p w14:paraId="587176FD"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Expectations:</w:t>
            </w:r>
          </w:p>
        </w:tc>
        <w:tc>
          <w:tcPr>
            <w:tcW w:w="8226" w:type="dxa"/>
          </w:tcPr>
          <w:p w14:paraId="13EE9CF5" w14:textId="77777777" w:rsidR="000D527C" w:rsidRPr="007B3CDE" w:rsidRDefault="000D527C" w:rsidP="00F63418">
            <w:pPr>
              <w:keepNext/>
              <w:keepLines/>
              <w:spacing w:before="120" w:after="120"/>
              <w:jc w:val="both"/>
              <w:rPr>
                <w:rFonts w:ascii="Arial" w:hAnsi="Arial" w:cs="Arial"/>
                <w:color w:val="000000"/>
                <w:sz w:val="22"/>
                <w:szCs w:val="22"/>
                <w:u w:val="single"/>
              </w:rPr>
            </w:pPr>
            <w:r w:rsidRPr="007B3CDE">
              <w:rPr>
                <w:rFonts w:ascii="Arial" w:hAnsi="Arial" w:cs="Arial"/>
                <w:b/>
                <w:color w:val="000000"/>
                <w:sz w:val="22"/>
                <w:szCs w:val="22"/>
                <w:u w:val="single"/>
              </w:rPr>
              <w:t>Coronary Angiography</w:t>
            </w:r>
            <w:r w:rsidRPr="007B3CDE">
              <w:rPr>
                <w:rFonts w:ascii="Arial" w:hAnsi="Arial" w:cs="Arial"/>
                <w:color w:val="000000"/>
                <w:sz w:val="22"/>
                <w:szCs w:val="22"/>
                <w:u w:val="single"/>
              </w:rPr>
              <w:t xml:space="preserve"> </w:t>
            </w:r>
          </w:p>
          <w:p w14:paraId="44081CB3" w14:textId="77777777" w:rsidR="000D527C" w:rsidRPr="007B3CDE" w:rsidRDefault="000D527C" w:rsidP="00F63418">
            <w:pPr>
              <w:keepNext/>
              <w:keepLines/>
              <w:spacing w:before="120" w:after="120"/>
              <w:jc w:val="both"/>
              <w:rPr>
                <w:rFonts w:ascii="Arial" w:hAnsi="Arial" w:cs="Arial"/>
                <w:color w:val="000000"/>
                <w:sz w:val="22"/>
                <w:szCs w:val="22"/>
              </w:rPr>
            </w:pPr>
            <w:r w:rsidRPr="007B3CDE">
              <w:rPr>
                <w:rFonts w:ascii="Arial" w:hAnsi="Arial" w:cs="Arial"/>
                <w:color w:val="000000"/>
                <w:sz w:val="22"/>
                <w:szCs w:val="22"/>
                <w:shd w:val="clear" w:color="auto" w:fill="FFFFFF"/>
              </w:rPr>
              <w:t>95%</w:t>
            </w:r>
            <w:r w:rsidRPr="007B3CDE">
              <w:rPr>
                <w:rFonts w:ascii="Arial" w:hAnsi="Arial" w:cs="Arial"/>
                <w:color w:val="000000"/>
                <w:sz w:val="22"/>
                <w:szCs w:val="22"/>
              </w:rPr>
              <w:t xml:space="preserve"> of patients with accepted referrals for elective coronary angiography will receive their procedure within 3 months (90 days)</w:t>
            </w:r>
          </w:p>
          <w:p w14:paraId="0641D3A0" w14:textId="77777777" w:rsidR="000D527C" w:rsidRPr="007B3CDE" w:rsidRDefault="000D527C" w:rsidP="00F63418">
            <w:pPr>
              <w:spacing w:before="120" w:after="120"/>
              <w:rPr>
                <w:rFonts w:ascii="Arial" w:hAnsi="Arial" w:cs="Arial"/>
                <w:b/>
                <w:color w:val="000000"/>
                <w:sz w:val="22"/>
                <w:szCs w:val="22"/>
              </w:rPr>
            </w:pPr>
            <w:r w:rsidRPr="007B3CDE">
              <w:rPr>
                <w:rFonts w:ascii="Arial" w:hAnsi="Arial" w:cs="Arial"/>
                <w:b/>
                <w:sz w:val="22"/>
                <w:szCs w:val="22"/>
                <w:u w:val="single"/>
              </w:rPr>
              <w:t>Computed Tomography (CT)</w:t>
            </w:r>
            <w:r w:rsidRPr="007B3CDE">
              <w:rPr>
                <w:rFonts w:ascii="Arial" w:hAnsi="Arial" w:cs="Arial"/>
                <w:b/>
                <w:color w:val="000000"/>
                <w:sz w:val="22"/>
                <w:szCs w:val="22"/>
              </w:rPr>
              <w:t xml:space="preserve"> </w:t>
            </w:r>
          </w:p>
          <w:p w14:paraId="26605760"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color w:val="000000"/>
                <w:sz w:val="22"/>
                <w:szCs w:val="22"/>
              </w:rPr>
              <w:t xml:space="preserve">95% of patients with accepted referrals for CT scans will receive their scan, </w:t>
            </w:r>
            <w:r w:rsidRPr="007B3CDE">
              <w:rPr>
                <w:rFonts w:ascii="Arial" w:hAnsi="Arial" w:cs="Arial"/>
                <w:sz w:val="22"/>
                <w:szCs w:val="22"/>
              </w:rPr>
              <w:t xml:space="preserve">and the scan results are reported, </w:t>
            </w:r>
            <w:r w:rsidRPr="007B3CDE">
              <w:rPr>
                <w:rFonts w:ascii="Arial" w:hAnsi="Arial" w:cs="Arial"/>
                <w:color w:val="000000"/>
                <w:sz w:val="22"/>
                <w:szCs w:val="22"/>
              </w:rPr>
              <w:t xml:space="preserve">within 6 weeks (42 days). </w:t>
            </w:r>
          </w:p>
          <w:p w14:paraId="5904C4D5"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Magnetic Resonance Imaging (MRI)</w:t>
            </w:r>
          </w:p>
          <w:p w14:paraId="26FFF9BF"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color w:val="000000"/>
                <w:sz w:val="22"/>
                <w:szCs w:val="22"/>
              </w:rPr>
              <w:t xml:space="preserve">90% of patients with accepted referrals for MRI scans will receive their scan, </w:t>
            </w:r>
            <w:r w:rsidRPr="007B3CDE">
              <w:rPr>
                <w:rFonts w:ascii="Arial" w:hAnsi="Arial" w:cs="Arial"/>
                <w:sz w:val="22"/>
                <w:szCs w:val="22"/>
              </w:rPr>
              <w:t>and the scan results are reported,</w:t>
            </w:r>
            <w:r w:rsidRPr="007B3CDE">
              <w:rPr>
                <w:rFonts w:ascii="Arial" w:hAnsi="Arial" w:cs="Arial"/>
                <w:color w:val="000000"/>
                <w:sz w:val="22"/>
                <w:szCs w:val="22"/>
              </w:rPr>
              <w:t xml:space="preserve"> within 6 weeks (42 days). </w:t>
            </w:r>
          </w:p>
        </w:tc>
      </w:tr>
      <w:tr w:rsidR="000D527C" w:rsidRPr="007B3CDE" w14:paraId="2F69D762" w14:textId="77777777" w:rsidTr="00F63418">
        <w:tc>
          <w:tcPr>
            <w:tcW w:w="1696" w:type="dxa"/>
          </w:tcPr>
          <w:p w14:paraId="7C827713"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341F0B1D" w14:textId="77777777" w:rsidR="000D527C" w:rsidRPr="007B3CDE" w:rsidRDefault="000D527C" w:rsidP="00F63418">
            <w:pPr>
              <w:spacing w:before="120" w:after="120"/>
              <w:rPr>
                <w:rFonts w:ascii="Arial" w:hAnsi="Arial" w:cs="Arial"/>
                <w:b/>
                <w:color w:val="000000"/>
                <w:sz w:val="22"/>
                <w:szCs w:val="22"/>
                <w:u w:val="single"/>
              </w:rPr>
            </w:pPr>
            <w:r w:rsidRPr="007B3CDE">
              <w:rPr>
                <w:rFonts w:ascii="Arial" w:hAnsi="Arial" w:cs="Arial"/>
                <w:b/>
                <w:color w:val="000000"/>
                <w:sz w:val="22"/>
                <w:szCs w:val="22"/>
                <w:u w:val="single"/>
              </w:rPr>
              <w:t>Coronary Angiography</w:t>
            </w:r>
          </w:p>
          <w:p w14:paraId="25FA3114" w14:textId="77777777" w:rsidR="000D527C" w:rsidRPr="007B3CDE" w:rsidRDefault="000D527C" w:rsidP="00F63418">
            <w:pPr>
              <w:spacing w:before="120" w:after="120"/>
              <w:ind w:left="39"/>
              <w:rPr>
                <w:rFonts w:ascii="Arial" w:hAnsi="Arial" w:cs="Arial"/>
                <w:sz w:val="22"/>
                <w:szCs w:val="22"/>
              </w:rPr>
            </w:pPr>
            <w:r w:rsidRPr="007B3CDE">
              <w:rPr>
                <w:rFonts w:ascii="Arial" w:hAnsi="Arial" w:cs="Arial"/>
                <w:sz w:val="22"/>
                <w:szCs w:val="22"/>
              </w:rPr>
              <w:t>The proportion of people accepted for elective angiography (defined below) who receive their procedure in 90 days or less.</w:t>
            </w:r>
          </w:p>
          <w:p w14:paraId="0A398211"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 xml:space="preserve">Patients waiting 90 calendar days or less from the Date Certainty Given who have not yet had their angiography procedure, PLUS patients who received their coronary angiography procedure during the month, who waited 90 calendar days or less from the Date Certainty was given. </w:t>
            </w:r>
          </w:p>
          <w:p w14:paraId="5B3F89AF"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The total number of patients waiting for a coronary angiography procedure at the end of the reporting month, PLUS the total number of patients who received their coronary angiography procedure during the reporting month.</w:t>
            </w:r>
          </w:p>
          <w:p w14:paraId="2F91F1AA"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Computed Tomography (CT)</w:t>
            </w:r>
          </w:p>
          <w:p w14:paraId="0CF0E09A"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The proportion of people with accepted referrals for CT scans who receive their scan (and the scan results are reported) in 42 days or less (within 6 weeks).</w:t>
            </w:r>
          </w:p>
          <w:p w14:paraId="0FE51F42"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total number of accepted referrals where people had waited 42 days or less for a CT scan at the end of a calendar month, PLUS the total number of referrals, accepted during the calendar month, where people had their CT scan, and the results were reported, in 42 days or less.</w:t>
            </w:r>
          </w:p>
          <w:p w14:paraId="63ECDA00" w14:textId="77777777" w:rsidR="000D527C" w:rsidRPr="007B3CDE" w:rsidRDefault="000D527C" w:rsidP="00F63418">
            <w:pPr>
              <w:spacing w:before="120" w:after="120"/>
              <w:ind w:left="2165"/>
              <w:rPr>
                <w:rFonts w:ascii="Arial" w:hAnsi="Arial" w:cs="Arial"/>
                <w:i/>
                <w:sz w:val="22"/>
                <w:szCs w:val="22"/>
              </w:rPr>
            </w:pPr>
            <w:r w:rsidRPr="007B3CDE">
              <w:rPr>
                <w:rFonts w:ascii="Arial" w:hAnsi="Arial" w:cs="Arial"/>
                <w:b/>
                <w:i/>
                <w:sz w:val="22"/>
                <w:szCs w:val="22"/>
              </w:rPr>
              <w:lastRenderedPageBreak/>
              <w:t>NOTE:</w:t>
            </w:r>
            <w:r w:rsidRPr="007B3CDE">
              <w:rPr>
                <w:rFonts w:ascii="Arial" w:hAnsi="Arial" w:cs="Arial"/>
                <w:i/>
                <w:sz w:val="22"/>
                <w:szCs w:val="22"/>
              </w:rPr>
              <w:t xml:space="preserve"> Patients who have been scanned but the report is not completed should be considered as ‘still waiting’ and reported as such.</w:t>
            </w:r>
          </w:p>
          <w:p w14:paraId="10742697"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The total number of people with accepted referrals waiting for a CT scan at end of calendar month, PLUS the total number of people who were scanned and the results were reported during the calendar month.</w:t>
            </w:r>
          </w:p>
          <w:p w14:paraId="52F93A9B" w14:textId="77777777" w:rsidR="000D527C" w:rsidRPr="007B3CDE" w:rsidRDefault="000D527C" w:rsidP="00F63418">
            <w:pPr>
              <w:spacing w:before="120" w:after="120"/>
              <w:rPr>
                <w:rFonts w:ascii="Arial" w:hAnsi="Arial" w:cs="Arial"/>
                <w:b/>
                <w:sz w:val="22"/>
                <w:szCs w:val="22"/>
                <w:u w:val="single"/>
              </w:rPr>
            </w:pPr>
            <w:r w:rsidRPr="007B3CDE">
              <w:rPr>
                <w:rFonts w:ascii="Arial" w:hAnsi="Arial" w:cs="Arial"/>
                <w:b/>
                <w:sz w:val="22"/>
                <w:szCs w:val="22"/>
                <w:u w:val="single"/>
              </w:rPr>
              <w:t>Magnetic Resonance Imaging (MRI)</w:t>
            </w:r>
          </w:p>
          <w:p w14:paraId="3E4A3EA6"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The proportion of people with accepted referrals for MRI scans who receive their scan (and the scan results are reported) in 42 days or less (within 6 weeks).</w:t>
            </w:r>
          </w:p>
          <w:p w14:paraId="41524730"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r>
            <w:r w:rsidRPr="007B3CDE">
              <w:rPr>
                <w:rFonts w:ascii="Arial" w:hAnsi="Arial" w:cs="Arial"/>
                <w:sz w:val="22"/>
                <w:szCs w:val="22"/>
              </w:rPr>
              <w:t>The total number of accepted referrals where people had waited 42 days or less for an MRI scan at the end of a calendar month, PLUS the total number of referrals, accepted during the calendar month, where people had their MRI scan, and the results were reported, in 42 days or less.</w:t>
            </w:r>
          </w:p>
          <w:p w14:paraId="0C81D0F6" w14:textId="77777777" w:rsidR="000D527C" w:rsidRPr="007B3CDE" w:rsidRDefault="000D527C" w:rsidP="00F63418">
            <w:pPr>
              <w:spacing w:before="120" w:after="120"/>
              <w:ind w:left="2165"/>
              <w:rPr>
                <w:rFonts w:ascii="Arial" w:hAnsi="Arial" w:cs="Arial"/>
                <w:i/>
                <w:sz w:val="22"/>
                <w:szCs w:val="22"/>
              </w:rPr>
            </w:pPr>
            <w:r w:rsidRPr="007B3CDE">
              <w:rPr>
                <w:rFonts w:ascii="Arial" w:hAnsi="Arial" w:cs="Arial"/>
                <w:b/>
                <w:i/>
                <w:sz w:val="22"/>
                <w:szCs w:val="22"/>
              </w:rPr>
              <w:t>NOTE:</w:t>
            </w:r>
            <w:r w:rsidRPr="007B3CDE">
              <w:rPr>
                <w:rFonts w:ascii="Arial" w:hAnsi="Arial" w:cs="Arial"/>
                <w:i/>
                <w:sz w:val="22"/>
                <w:szCs w:val="22"/>
              </w:rPr>
              <w:t xml:space="preserve"> Patients who have been scanned but the report is not completed should be considered as ‘still waiting’ and reported as such..</w:t>
            </w:r>
          </w:p>
          <w:p w14:paraId="6B3A1CA5" w14:textId="77777777" w:rsidR="000D527C" w:rsidRPr="007B3CDE" w:rsidRDefault="000D527C" w:rsidP="00F63418">
            <w:pPr>
              <w:spacing w:before="120" w:after="120"/>
              <w:ind w:left="2165" w:hanging="1598"/>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The total number of people with accepted referrals waiting for a MRI scan at end of calendar month, PLUS the total number of people who were scanned and the results were reported during the calendar month.</w:t>
            </w:r>
          </w:p>
        </w:tc>
      </w:tr>
      <w:tr w:rsidR="000D527C" w:rsidRPr="007B3CDE" w14:paraId="2D54FA9F" w14:textId="77777777" w:rsidTr="00F63418">
        <w:tc>
          <w:tcPr>
            <w:tcW w:w="1696" w:type="dxa"/>
          </w:tcPr>
          <w:p w14:paraId="0A78A4B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Reporting Source and Frequency:</w:t>
            </w:r>
          </w:p>
        </w:tc>
        <w:tc>
          <w:tcPr>
            <w:tcW w:w="8226" w:type="dxa"/>
          </w:tcPr>
          <w:p w14:paraId="5154D434"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Coronary Angiography – data to be supplied by DHBs to the National Booking Reporting System (NBRS) in accordance with national collection reporting rules</w:t>
            </w:r>
          </w:p>
          <w:p w14:paraId="3E5DBE29"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Computed Tomography and Magnetic Resonance Imaging - each DHB is to provide monthly data on a generic template.  Templates will be due 20 days after the end of the calendar month – a copy of the templates is attached</w:t>
            </w:r>
          </w:p>
        </w:tc>
      </w:tr>
      <w:tr w:rsidR="000D527C" w:rsidRPr="007B3CDE" w14:paraId="6E533D5E" w14:textId="77777777" w:rsidTr="00F63418">
        <w:tc>
          <w:tcPr>
            <w:tcW w:w="1696" w:type="dxa"/>
          </w:tcPr>
          <w:p w14:paraId="301F636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Equity component:</w:t>
            </w:r>
          </w:p>
        </w:tc>
        <w:tc>
          <w:tcPr>
            <w:tcW w:w="8226" w:type="dxa"/>
          </w:tcPr>
          <w:p w14:paraId="3F36393E" w14:textId="77777777" w:rsidR="000D527C" w:rsidRPr="007B3CDE" w:rsidRDefault="000D527C" w:rsidP="00F63418">
            <w:pPr>
              <w:spacing w:before="120" w:after="120"/>
              <w:rPr>
                <w:rFonts w:ascii="Arial" w:hAnsi="Arial" w:cs="Arial"/>
                <w:sz w:val="22"/>
                <w:szCs w:val="22"/>
              </w:rPr>
            </w:pPr>
            <w:r w:rsidRPr="007B3CDE">
              <w:rPr>
                <w:rFonts w:ascii="Arial" w:hAnsi="Arial" w:cs="Arial"/>
                <w:b/>
                <w:i/>
                <w:color w:val="000000"/>
                <w:sz w:val="22"/>
                <w:szCs w:val="22"/>
              </w:rPr>
              <w:t>Coronary Angiography -</w:t>
            </w:r>
            <w:r w:rsidRPr="007B3CDE">
              <w:rPr>
                <w:rFonts w:ascii="Arial" w:hAnsi="Arial" w:cs="Arial"/>
                <w:b/>
                <w:color w:val="000000"/>
                <w:sz w:val="22"/>
                <w:szCs w:val="22"/>
              </w:rPr>
              <w:t xml:space="preserve"> </w:t>
            </w:r>
            <w:r w:rsidRPr="007B3CDE">
              <w:rPr>
                <w:rFonts w:ascii="Arial" w:hAnsi="Arial" w:cs="Arial"/>
                <w:sz w:val="22"/>
                <w:szCs w:val="22"/>
              </w:rPr>
              <w:t xml:space="preserve">Distributional equity analysis will be provided through monthly reporting to show activity by age, gender, </w:t>
            </w:r>
            <w:proofErr w:type="gramStart"/>
            <w:r w:rsidRPr="007B3CDE">
              <w:rPr>
                <w:rFonts w:ascii="Arial" w:hAnsi="Arial" w:cs="Arial"/>
                <w:sz w:val="22"/>
                <w:szCs w:val="22"/>
              </w:rPr>
              <w:t>ethnicity</w:t>
            </w:r>
            <w:proofErr w:type="gramEnd"/>
            <w:r w:rsidRPr="007B3CDE">
              <w:rPr>
                <w:rFonts w:ascii="Arial" w:hAnsi="Arial" w:cs="Arial"/>
                <w:sz w:val="22"/>
                <w:szCs w:val="22"/>
              </w:rPr>
              <w:t xml:space="preserve"> and deprivation groups.</w:t>
            </w:r>
          </w:p>
          <w:p w14:paraId="1E3EE7E7" w14:textId="77777777" w:rsidR="000D527C" w:rsidRPr="007B3CDE" w:rsidRDefault="000D527C" w:rsidP="00F63418">
            <w:pPr>
              <w:spacing w:before="120" w:after="120"/>
              <w:rPr>
                <w:rFonts w:ascii="Arial" w:hAnsi="Arial" w:cs="Arial"/>
                <w:i/>
                <w:sz w:val="22"/>
                <w:szCs w:val="22"/>
              </w:rPr>
            </w:pPr>
            <w:r w:rsidRPr="007B3CDE">
              <w:rPr>
                <w:rFonts w:ascii="Arial" w:hAnsi="Arial" w:cs="Arial"/>
                <w:b/>
                <w:i/>
                <w:sz w:val="22"/>
                <w:szCs w:val="22"/>
              </w:rPr>
              <w:t xml:space="preserve">Computed Tomography (CT) and Magnetic Resonance Imaging (MRI) – </w:t>
            </w:r>
            <w:r w:rsidRPr="007B3CDE">
              <w:rPr>
                <w:rFonts w:ascii="Arial" w:hAnsi="Arial" w:cs="Arial"/>
                <w:i/>
                <w:sz w:val="22"/>
                <w:szCs w:val="22"/>
              </w:rPr>
              <w:t>None</w:t>
            </w:r>
          </w:p>
        </w:tc>
      </w:tr>
    </w:tbl>
    <w:p w14:paraId="0A661EB0" w14:textId="77777777" w:rsidR="000D527C" w:rsidRPr="007B3CDE"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rsidRPr="007B3CDE" w14:paraId="2B2699D8" w14:textId="77777777" w:rsidTr="00F63418">
        <w:tc>
          <w:tcPr>
            <w:tcW w:w="1696" w:type="dxa"/>
            <w:shd w:val="clear" w:color="auto" w:fill="D0CECE"/>
          </w:tcPr>
          <w:p w14:paraId="0AB3E9D5"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4:</w:t>
            </w:r>
          </w:p>
        </w:tc>
        <w:tc>
          <w:tcPr>
            <w:tcW w:w="8226" w:type="dxa"/>
            <w:shd w:val="clear" w:color="auto" w:fill="D0CECE"/>
          </w:tcPr>
          <w:p w14:paraId="331E4415"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Ophthalmology Follow-up Waiting Times</w:t>
            </w:r>
          </w:p>
        </w:tc>
      </w:tr>
      <w:tr w:rsidR="000D527C" w:rsidRPr="007B3CDE" w14:paraId="0E19579A" w14:textId="77777777" w:rsidTr="00F63418">
        <w:tc>
          <w:tcPr>
            <w:tcW w:w="1696" w:type="dxa"/>
          </w:tcPr>
          <w:p w14:paraId="02E8C080"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362D977D"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Timeliness </w:t>
            </w:r>
            <w:r w:rsidRPr="007B3CDE">
              <w:rPr>
                <w:rFonts w:ascii="Arial" w:hAnsi="Arial" w:cs="Arial"/>
                <w:i/>
                <w:sz w:val="22"/>
                <w:szCs w:val="22"/>
              </w:rPr>
              <w:t>Patients receive care at the most appropriate time to support improved health.</w:t>
            </w:r>
          </w:p>
        </w:tc>
      </w:tr>
      <w:tr w:rsidR="000D527C" w:rsidRPr="007B3CDE" w14:paraId="027C56A7" w14:textId="77777777" w:rsidTr="00F63418">
        <w:tc>
          <w:tcPr>
            <w:tcW w:w="1696" w:type="dxa"/>
          </w:tcPr>
          <w:p w14:paraId="7D427A78"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Expectations:</w:t>
            </w:r>
          </w:p>
        </w:tc>
        <w:tc>
          <w:tcPr>
            <w:tcW w:w="8226" w:type="dxa"/>
          </w:tcPr>
          <w:p w14:paraId="7A615164" w14:textId="77777777" w:rsidR="000D527C" w:rsidRPr="007B3CDE" w:rsidRDefault="000D527C" w:rsidP="00F63418">
            <w:pPr>
              <w:spacing w:before="120" w:after="120"/>
              <w:rPr>
                <w:rFonts w:ascii="Arial" w:hAnsi="Arial" w:cs="Arial"/>
                <w:sz w:val="22"/>
                <w:szCs w:val="22"/>
                <w:highlight w:val="yellow"/>
              </w:rPr>
            </w:pPr>
            <w:r w:rsidRPr="007B3CDE">
              <w:rPr>
                <w:rFonts w:ascii="Arial" w:hAnsi="Arial" w:cs="Arial"/>
                <w:sz w:val="22"/>
                <w:szCs w:val="22"/>
              </w:rPr>
              <w:t>No patient will wait more than or equal to 50% longer than the intended time for their appointment. The 'intended time for their appointment' is the recommendation made by the responsible clinician of the timeframe in which the patient should next be reviewed by the ophthalmology service.</w:t>
            </w:r>
          </w:p>
        </w:tc>
      </w:tr>
      <w:tr w:rsidR="000D527C" w:rsidRPr="007B3CDE" w14:paraId="392AC90D" w14:textId="77777777" w:rsidTr="00F63418">
        <w:tc>
          <w:tcPr>
            <w:tcW w:w="1696" w:type="dxa"/>
          </w:tcPr>
          <w:p w14:paraId="7714F8BD"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7A977414" w14:textId="77777777" w:rsidR="000D527C" w:rsidRPr="007B3CDE" w:rsidRDefault="000D527C" w:rsidP="00F63418">
            <w:pPr>
              <w:spacing w:before="120" w:after="120"/>
              <w:ind w:left="1740" w:hanging="1740"/>
              <w:rPr>
                <w:rFonts w:ascii="Arial" w:hAnsi="Arial" w:cs="Arial"/>
                <w:sz w:val="22"/>
                <w:szCs w:val="22"/>
              </w:rPr>
            </w:pPr>
            <w:r w:rsidRPr="007B3CDE">
              <w:rPr>
                <w:rFonts w:ascii="Arial" w:hAnsi="Arial" w:cs="Arial"/>
                <w:b/>
                <w:sz w:val="22"/>
                <w:szCs w:val="22"/>
              </w:rPr>
              <w:t>Numerator:</w:t>
            </w:r>
            <w:r w:rsidRPr="007B3CDE">
              <w:rPr>
                <w:rFonts w:ascii="Arial" w:hAnsi="Arial" w:cs="Arial"/>
                <w:sz w:val="22"/>
                <w:szCs w:val="22"/>
              </w:rPr>
              <w:t xml:space="preserve"> </w:t>
            </w:r>
            <w:r w:rsidRPr="007B3CDE">
              <w:rPr>
                <w:rFonts w:ascii="Arial" w:hAnsi="Arial" w:cs="Arial"/>
                <w:sz w:val="22"/>
                <w:szCs w:val="22"/>
              </w:rPr>
              <w:tab/>
              <w:t xml:space="preserve">all patients with an active record in the Patient Management System for Ophthalmology who have an anticipated future date of service (follow up), or where a patient has been advised they will receive a future follow up appointment, who have been </w:t>
            </w:r>
            <w:r w:rsidRPr="007B3CDE">
              <w:rPr>
                <w:rFonts w:ascii="Arial" w:hAnsi="Arial" w:cs="Arial"/>
                <w:sz w:val="22"/>
                <w:szCs w:val="22"/>
              </w:rPr>
              <w:lastRenderedPageBreak/>
              <w:t xml:space="preserve">waiting greater than or equal to 50% longer than the intended time for their appointment. </w:t>
            </w:r>
          </w:p>
          <w:p w14:paraId="1F4D1921" w14:textId="77777777" w:rsidR="000D527C" w:rsidRPr="007B3CDE" w:rsidRDefault="000D527C" w:rsidP="00F63418">
            <w:pPr>
              <w:spacing w:before="120" w:after="120"/>
              <w:ind w:left="1740"/>
              <w:rPr>
                <w:rFonts w:ascii="Arial" w:hAnsi="Arial" w:cs="Arial"/>
                <w:i/>
                <w:sz w:val="22"/>
                <w:szCs w:val="22"/>
              </w:rPr>
            </w:pPr>
            <w:r w:rsidRPr="007B3CDE">
              <w:rPr>
                <w:rFonts w:ascii="Arial" w:hAnsi="Arial" w:cs="Arial"/>
                <w:i/>
                <w:sz w:val="22"/>
                <w:szCs w:val="22"/>
              </w:rPr>
              <w:t>Example of Numerator: If a patient was intended to be seen for their follow up within 90 days of their previous appointment, but had waited equal to or greater than 135 days without receiving their appointment, then they would be counted in this indicator.</w:t>
            </w:r>
          </w:p>
          <w:p w14:paraId="6BC9D62F" w14:textId="77777777" w:rsidR="000D527C" w:rsidRPr="007B3CDE" w:rsidRDefault="000D527C" w:rsidP="00F63418">
            <w:pPr>
              <w:spacing w:before="120" w:after="120"/>
              <w:ind w:left="1740" w:hanging="1740"/>
              <w:rPr>
                <w:rFonts w:ascii="Arial" w:hAnsi="Arial" w:cs="Arial"/>
                <w:sz w:val="22"/>
                <w:szCs w:val="22"/>
              </w:rPr>
            </w:pPr>
            <w:r w:rsidRPr="007B3CDE">
              <w:rPr>
                <w:rFonts w:ascii="Arial" w:hAnsi="Arial" w:cs="Arial"/>
                <w:b/>
                <w:sz w:val="22"/>
                <w:szCs w:val="22"/>
              </w:rPr>
              <w:t xml:space="preserve">Denominator: </w:t>
            </w:r>
            <w:r w:rsidRPr="007B3CDE">
              <w:rPr>
                <w:rFonts w:ascii="Arial" w:hAnsi="Arial" w:cs="Arial"/>
                <w:b/>
                <w:sz w:val="22"/>
                <w:szCs w:val="22"/>
              </w:rPr>
              <w:tab/>
            </w:r>
            <w:r w:rsidRPr="007B3CDE">
              <w:rPr>
                <w:rFonts w:ascii="Arial" w:hAnsi="Arial" w:cs="Arial"/>
                <w:sz w:val="22"/>
                <w:szCs w:val="22"/>
              </w:rPr>
              <w:t>all patients with an active record in the Patient Management System who have an anticipated future date of service (follow up), or where a patient has been advised they will receive a future follow up appointment</w:t>
            </w:r>
          </w:p>
        </w:tc>
      </w:tr>
      <w:tr w:rsidR="000D527C" w:rsidRPr="007B3CDE" w14:paraId="10E2B162" w14:textId="77777777" w:rsidTr="00F63418">
        <w:tc>
          <w:tcPr>
            <w:tcW w:w="1696" w:type="dxa"/>
          </w:tcPr>
          <w:p w14:paraId="396FDADA"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Equity component:</w:t>
            </w:r>
          </w:p>
        </w:tc>
        <w:tc>
          <w:tcPr>
            <w:tcW w:w="8226" w:type="dxa"/>
          </w:tcPr>
          <w:p w14:paraId="132BC2F3" w14:textId="77777777" w:rsidR="000D527C" w:rsidRPr="007B3CDE" w:rsidRDefault="000D527C" w:rsidP="00F63418">
            <w:pPr>
              <w:spacing w:before="120" w:after="120"/>
              <w:rPr>
                <w:rFonts w:ascii="Arial" w:hAnsi="Arial" w:cs="Arial"/>
                <w:i/>
                <w:sz w:val="22"/>
                <w:szCs w:val="22"/>
              </w:rPr>
            </w:pPr>
            <w:r w:rsidRPr="007B3CDE">
              <w:rPr>
                <w:rFonts w:ascii="Arial" w:hAnsi="Arial" w:cs="Arial"/>
                <w:i/>
                <w:sz w:val="22"/>
                <w:szCs w:val="22"/>
              </w:rPr>
              <w:t>None</w:t>
            </w:r>
          </w:p>
        </w:tc>
      </w:tr>
      <w:tr w:rsidR="000D527C" w:rsidRPr="007B3CDE" w14:paraId="392F1FB7" w14:textId="77777777" w:rsidTr="00F63418">
        <w:tc>
          <w:tcPr>
            <w:tcW w:w="1696" w:type="dxa"/>
          </w:tcPr>
          <w:p w14:paraId="63BBAC8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Reporting Source and Frequency:</w:t>
            </w:r>
          </w:p>
        </w:tc>
        <w:tc>
          <w:tcPr>
            <w:tcW w:w="8226" w:type="dxa"/>
          </w:tcPr>
          <w:p w14:paraId="31D7A704" w14:textId="77777777" w:rsidR="000D527C" w:rsidRPr="007B3CDE" w:rsidRDefault="000D527C" w:rsidP="00F63418">
            <w:pPr>
              <w:spacing w:before="120" w:after="120"/>
              <w:jc w:val="both"/>
              <w:rPr>
                <w:rFonts w:ascii="Arial" w:hAnsi="Arial" w:cs="Arial"/>
                <w:sz w:val="22"/>
                <w:szCs w:val="22"/>
              </w:rPr>
            </w:pPr>
            <w:r w:rsidRPr="007B3CDE">
              <w:rPr>
                <w:rFonts w:ascii="Arial" w:hAnsi="Arial" w:cs="Arial"/>
                <w:sz w:val="22"/>
                <w:szCs w:val="22"/>
              </w:rPr>
              <w:t xml:space="preserve">Reporting is provided on the outpatient template and submitted monthly to the operations team at the Ministry of Health. </w:t>
            </w:r>
          </w:p>
        </w:tc>
      </w:tr>
    </w:tbl>
    <w:p w14:paraId="5FE09276" w14:textId="77777777" w:rsidR="000D527C" w:rsidRPr="007B3CDE"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rsidRPr="007B3CDE" w14:paraId="69CB0BCF" w14:textId="77777777" w:rsidTr="00F63418">
        <w:tc>
          <w:tcPr>
            <w:tcW w:w="1696" w:type="dxa"/>
            <w:shd w:val="clear" w:color="auto" w:fill="D0CECE"/>
          </w:tcPr>
          <w:p w14:paraId="455F90AF"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5:</w:t>
            </w:r>
          </w:p>
        </w:tc>
        <w:tc>
          <w:tcPr>
            <w:tcW w:w="8226" w:type="dxa"/>
            <w:shd w:val="clear" w:color="auto" w:fill="D0CECE"/>
          </w:tcPr>
          <w:p w14:paraId="7E3E5EEA"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Cardiac Urgency Waiting Times</w:t>
            </w:r>
          </w:p>
          <w:p w14:paraId="39CC32F1" w14:textId="77777777" w:rsidR="000D527C" w:rsidRPr="007B3CDE" w:rsidRDefault="000D527C" w:rsidP="00F63418">
            <w:pPr>
              <w:spacing w:before="120" w:after="120"/>
              <w:rPr>
                <w:rFonts w:ascii="Arial" w:hAnsi="Arial" w:cs="Arial"/>
                <w:b/>
                <w:sz w:val="22"/>
                <w:szCs w:val="22"/>
              </w:rPr>
            </w:pPr>
            <w:r w:rsidRPr="007B3CDE">
              <w:rPr>
                <w:rFonts w:ascii="Arial" w:hAnsi="Arial" w:cs="Arial"/>
                <w:i/>
                <w:sz w:val="22"/>
                <w:szCs w:val="22"/>
              </w:rPr>
              <w:t>(Only the Five Cardiac units are required to report for this measure)</w:t>
            </w:r>
          </w:p>
        </w:tc>
      </w:tr>
      <w:tr w:rsidR="000D527C" w:rsidRPr="007B3CDE" w14:paraId="18CCC829" w14:textId="77777777" w:rsidTr="00F63418">
        <w:tc>
          <w:tcPr>
            <w:tcW w:w="1696" w:type="dxa"/>
          </w:tcPr>
          <w:p w14:paraId="2D90F03F"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2C5D77E1"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Timeliness </w:t>
            </w:r>
            <w:r w:rsidRPr="007B3CDE">
              <w:rPr>
                <w:rFonts w:ascii="Arial" w:hAnsi="Arial" w:cs="Arial"/>
                <w:i/>
                <w:sz w:val="22"/>
                <w:szCs w:val="22"/>
              </w:rPr>
              <w:t>Patients receive care at the most appropriate time to support improved health.</w:t>
            </w:r>
          </w:p>
        </w:tc>
      </w:tr>
      <w:tr w:rsidR="000D527C" w:rsidRPr="007B3CDE" w14:paraId="3BCBB513" w14:textId="77777777" w:rsidTr="00F63418">
        <w:tc>
          <w:tcPr>
            <w:tcW w:w="1696" w:type="dxa"/>
          </w:tcPr>
          <w:p w14:paraId="03278312"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Expectations:</w:t>
            </w:r>
          </w:p>
        </w:tc>
        <w:tc>
          <w:tcPr>
            <w:tcW w:w="8226" w:type="dxa"/>
          </w:tcPr>
          <w:p w14:paraId="1DDC0988"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For the five cardiac units (Auckland, Canterbury, Waikato, Capital &amp; Coast, and Southern DHB).  </w:t>
            </w:r>
            <w:r w:rsidRPr="007B3CDE">
              <w:rPr>
                <w:rFonts w:ascii="Arial" w:hAnsi="Arial" w:cs="Arial"/>
                <w:sz w:val="22"/>
                <w:szCs w:val="22"/>
              </w:rPr>
              <w:t>All patients (both acute and elective) will receive their cardiac surgery within the urgency timeframe based on their clinical urgency.  The clinical urgency bands are:</w:t>
            </w:r>
          </w:p>
          <w:p w14:paraId="1D665E88" w14:textId="77777777" w:rsidR="000D527C" w:rsidRPr="007B3CDE" w:rsidRDefault="000D527C" w:rsidP="00C04FF1">
            <w:pPr>
              <w:numPr>
                <w:ilvl w:val="0"/>
                <w:numId w:val="104"/>
              </w:numPr>
              <w:spacing w:before="120" w:after="120"/>
              <w:contextualSpacing/>
              <w:rPr>
                <w:rFonts w:ascii="Arial" w:hAnsi="Arial" w:cs="Arial"/>
                <w:sz w:val="22"/>
                <w:szCs w:val="22"/>
              </w:rPr>
            </w:pPr>
            <w:r w:rsidRPr="007B3CDE">
              <w:rPr>
                <w:rFonts w:ascii="Arial" w:hAnsi="Arial" w:cs="Arial"/>
                <w:sz w:val="22"/>
                <w:szCs w:val="22"/>
              </w:rPr>
              <w:t>Score 50-100 - less than or equal to 72 hours</w:t>
            </w:r>
          </w:p>
          <w:p w14:paraId="7B4553C1" w14:textId="77777777" w:rsidR="000D527C" w:rsidRPr="007B3CDE" w:rsidRDefault="000D527C" w:rsidP="00C04FF1">
            <w:pPr>
              <w:numPr>
                <w:ilvl w:val="0"/>
                <w:numId w:val="104"/>
              </w:numPr>
              <w:spacing w:before="120" w:after="120"/>
              <w:contextualSpacing/>
              <w:rPr>
                <w:rFonts w:ascii="Arial" w:hAnsi="Arial" w:cs="Arial"/>
                <w:sz w:val="22"/>
                <w:szCs w:val="22"/>
              </w:rPr>
            </w:pPr>
            <w:r w:rsidRPr="007B3CDE">
              <w:rPr>
                <w:rFonts w:ascii="Arial" w:hAnsi="Arial" w:cs="Arial"/>
                <w:sz w:val="22"/>
                <w:szCs w:val="22"/>
              </w:rPr>
              <w:t>Score 40-49 - 73 hours - 10 days</w:t>
            </w:r>
          </w:p>
          <w:p w14:paraId="2DAB16D7" w14:textId="77777777" w:rsidR="000D527C" w:rsidRPr="007B3CDE" w:rsidRDefault="000D527C" w:rsidP="00C04FF1">
            <w:pPr>
              <w:numPr>
                <w:ilvl w:val="0"/>
                <w:numId w:val="104"/>
              </w:numPr>
              <w:spacing w:before="120" w:after="120"/>
              <w:contextualSpacing/>
              <w:rPr>
                <w:rFonts w:ascii="Arial" w:hAnsi="Arial" w:cs="Arial"/>
                <w:sz w:val="22"/>
                <w:szCs w:val="22"/>
              </w:rPr>
            </w:pPr>
            <w:r w:rsidRPr="007B3CDE">
              <w:rPr>
                <w:rFonts w:ascii="Arial" w:hAnsi="Arial" w:cs="Arial"/>
                <w:sz w:val="22"/>
                <w:szCs w:val="22"/>
              </w:rPr>
              <w:t>Score 25-39 - 11 days - 30 days</w:t>
            </w:r>
          </w:p>
          <w:p w14:paraId="1797F62C" w14:textId="77777777" w:rsidR="000D527C" w:rsidRPr="007B3CDE" w:rsidRDefault="000D527C" w:rsidP="00C04FF1">
            <w:pPr>
              <w:numPr>
                <w:ilvl w:val="0"/>
                <w:numId w:val="104"/>
              </w:numPr>
              <w:spacing w:before="120" w:after="120"/>
              <w:contextualSpacing/>
              <w:rPr>
                <w:rFonts w:ascii="Arial" w:hAnsi="Arial" w:cs="Arial"/>
                <w:sz w:val="22"/>
                <w:szCs w:val="22"/>
              </w:rPr>
            </w:pPr>
            <w:r w:rsidRPr="007B3CDE">
              <w:rPr>
                <w:rFonts w:ascii="Arial" w:hAnsi="Arial" w:cs="Arial"/>
                <w:sz w:val="22"/>
                <w:szCs w:val="22"/>
              </w:rPr>
              <w:t>Score 0-24 - 31 days - 90 days</w:t>
            </w:r>
          </w:p>
        </w:tc>
      </w:tr>
      <w:tr w:rsidR="000D527C" w:rsidRPr="007B3CDE" w14:paraId="5FEA883A" w14:textId="77777777" w:rsidTr="00F63418">
        <w:tc>
          <w:tcPr>
            <w:tcW w:w="1696" w:type="dxa"/>
          </w:tcPr>
          <w:p w14:paraId="10EE717F"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2684D594" w14:textId="77777777" w:rsidR="000D527C" w:rsidRPr="007B3CDE" w:rsidRDefault="000D527C" w:rsidP="00F63418">
            <w:pPr>
              <w:spacing w:before="120" w:after="120"/>
              <w:ind w:left="1740" w:hanging="1740"/>
              <w:rPr>
                <w:rFonts w:ascii="Arial" w:hAnsi="Arial" w:cs="Arial"/>
                <w:sz w:val="22"/>
                <w:szCs w:val="22"/>
              </w:rPr>
            </w:pPr>
            <w:r w:rsidRPr="007B3CDE">
              <w:rPr>
                <w:rFonts w:ascii="Arial" w:hAnsi="Arial" w:cs="Arial"/>
                <w:b/>
                <w:sz w:val="22"/>
                <w:szCs w:val="22"/>
              </w:rPr>
              <w:t xml:space="preserve">Numerator: </w:t>
            </w:r>
            <w:r w:rsidRPr="007B3CDE">
              <w:rPr>
                <w:rFonts w:ascii="Arial" w:hAnsi="Arial" w:cs="Arial"/>
                <w:b/>
                <w:sz w:val="22"/>
                <w:szCs w:val="22"/>
              </w:rPr>
              <w:tab/>
              <w:t>T</w:t>
            </w:r>
            <w:r w:rsidRPr="007B3CDE">
              <w:rPr>
                <w:rFonts w:ascii="Arial" w:hAnsi="Arial" w:cs="Arial"/>
                <w:sz w:val="22"/>
                <w:szCs w:val="22"/>
              </w:rPr>
              <w:t>he number of patients waiting for cardiac surgery waiting longer than their clinical urgency timeframe.</w:t>
            </w:r>
          </w:p>
          <w:p w14:paraId="51024A55" w14:textId="77777777" w:rsidR="000D527C" w:rsidRPr="007B3CDE" w:rsidRDefault="000D527C" w:rsidP="00F63418">
            <w:pPr>
              <w:tabs>
                <w:tab w:val="left" w:pos="2127"/>
              </w:tabs>
              <w:spacing w:before="120" w:after="120"/>
              <w:ind w:left="1740" w:hanging="1740"/>
              <w:rPr>
                <w:rFonts w:ascii="Arial" w:hAnsi="Arial" w:cs="Arial"/>
                <w:sz w:val="22"/>
                <w:szCs w:val="22"/>
              </w:rPr>
            </w:pPr>
            <w:r w:rsidRPr="007B3CDE">
              <w:rPr>
                <w:rFonts w:ascii="Arial" w:hAnsi="Arial" w:cs="Arial"/>
                <w:b/>
                <w:sz w:val="22"/>
                <w:szCs w:val="22"/>
              </w:rPr>
              <w:t>Denominator:</w:t>
            </w:r>
            <w:r w:rsidRPr="007B3CDE">
              <w:rPr>
                <w:rFonts w:ascii="Arial" w:hAnsi="Arial" w:cs="Arial"/>
                <w:b/>
                <w:sz w:val="22"/>
                <w:szCs w:val="22"/>
              </w:rPr>
              <w:tab/>
            </w:r>
            <w:r w:rsidRPr="007B3CDE">
              <w:rPr>
                <w:rFonts w:ascii="Arial" w:hAnsi="Arial" w:cs="Arial"/>
                <w:sz w:val="22"/>
                <w:szCs w:val="22"/>
              </w:rPr>
              <w:t>All patients waiting for cardiac surgery.</w:t>
            </w:r>
          </w:p>
        </w:tc>
      </w:tr>
      <w:tr w:rsidR="000D527C" w:rsidRPr="007B3CDE" w14:paraId="2E6E312B" w14:textId="77777777" w:rsidTr="00F63418">
        <w:tc>
          <w:tcPr>
            <w:tcW w:w="1696" w:type="dxa"/>
          </w:tcPr>
          <w:p w14:paraId="437901BF"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Equity component:</w:t>
            </w:r>
          </w:p>
        </w:tc>
        <w:tc>
          <w:tcPr>
            <w:tcW w:w="8226" w:type="dxa"/>
          </w:tcPr>
          <w:p w14:paraId="1444CCB6" w14:textId="77777777" w:rsidR="000D527C" w:rsidRPr="007B3CDE" w:rsidRDefault="000D527C" w:rsidP="00F63418">
            <w:pPr>
              <w:spacing w:before="120" w:after="120"/>
              <w:rPr>
                <w:rFonts w:ascii="Arial" w:hAnsi="Arial" w:cs="Arial"/>
                <w:i/>
                <w:sz w:val="22"/>
                <w:szCs w:val="22"/>
              </w:rPr>
            </w:pPr>
            <w:r w:rsidRPr="007B3CDE">
              <w:rPr>
                <w:rFonts w:ascii="Arial" w:hAnsi="Arial" w:cs="Arial"/>
                <w:i/>
                <w:sz w:val="22"/>
                <w:szCs w:val="22"/>
              </w:rPr>
              <w:t>None</w:t>
            </w:r>
          </w:p>
        </w:tc>
      </w:tr>
      <w:tr w:rsidR="000D527C" w:rsidRPr="007B3CDE" w14:paraId="692DB22F" w14:textId="77777777" w:rsidTr="00F63418">
        <w:tc>
          <w:tcPr>
            <w:tcW w:w="1696" w:type="dxa"/>
          </w:tcPr>
          <w:p w14:paraId="54610A4C"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Reporting Source and Frequency:</w:t>
            </w:r>
          </w:p>
        </w:tc>
        <w:tc>
          <w:tcPr>
            <w:tcW w:w="8226" w:type="dxa"/>
          </w:tcPr>
          <w:p w14:paraId="29D4F0FC" w14:textId="77777777" w:rsidR="000D527C" w:rsidRPr="007B3CDE" w:rsidRDefault="000D527C" w:rsidP="00F63418">
            <w:pPr>
              <w:spacing w:before="120" w:after="120"/>
              <w:rPr>
                <w:rFonts w:ascii="Arial" w:hAnsi="Arial" w:cs="Arial"/>
                <w:i/>
                <w:sz w:val="22"/>
                <w:szCs w:val="22"/>
              </w:rPr>
            </w:pPr>
            <w:r w:rsidRPr="007B3CDE">
              <w:rPr>
                <w:rFonts w:ascii="Arial" w:hAnsi="Arial" w:cs="Arial"/>
                <w:sz w:val="22"/>
                <w:szCs w:val="22"/>
              </w:rPr>
              <w:t xml:space="preserve">Reporting is provided weekly to the Elective Team from the five cardiac units (Auckland, Canterbury, Waikato, Capital &amp; Coast, and Southern DHB), results will be supplied for the </w:t>
            </w:r>
            <w:proofErr w:type="gramStart"/>
            <w:r w:rsidRPr="007B3CDE">
              <w:rPr>
                <w:rFonts w:ascii="Arial" w:hAnsi="Arial" w:cs="Arial"/>
                <w:sz w:val="22"/>
                <w:szCs w:val="22"/>
              </w:rPr>
              <w:t>year to date</w:t>
            </w:r>
            <w:proofErr w:type="gramEnd"/>
            <w:r w:rsidRPr="007B3CDE">
              <w:rPr>
                <w:rFonts w:ascii="Arial" w:hAnsi="Arial" w:cs="Arial"/>
                <w:sz w:val="22"/>
                <w:szCs w:val="22"/>
              </w:rPr>
              <w:t xml:space="preserve"> period available.</w:t>
            </w:r>
          </w:p>
        </w:tc>
      </w:tr>
    </w:tbl>
    <w:p w14:paraId="1919AF96" w14:textId="77777777" w:rsidR="000D527C" w:rsidRPr="007B3CDE"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rsidRPr="007B3CDE" w14:paraId="2C2A6E94" w14:textId="77777777" w:rsidTr="00F63418">
        <w:tc>
          <w:tcPr>
            <w:tcW w:w="1696" w:type="dxa"/>
            <w:shd w:val="clear" w:color="auto" w:fill="D0CECE"/>
          </w:tcPr>
          <w:p w14:paraId="0971C04C"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Measure 6:</w:t>
            </w:r>
          </w:p>
        </w:tc>
        <w:tc>
          <w:tcPr>
            <w:tcW w:w="8226" w:type="dxa"/>
            <w:shd w:val="clear" w:color="auto" w:fill="D0CECE"/>
          </w:tcPr>
          <w:p w14:paraId="6BEADCED"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Acute Readmissions</w:t>
            </w:r>
          </w:p>
        </w:tc>
      </w:tr>
      <w:tr w:rsidR="000D527C" w:rsidRPr="007B3CDE" w14:paraId="3A596097" w14:textId="77777777" w:rsidTr="00F63418">
        <w:tc>
          <w:tcPr>
            <w:tcW w:w="1696" w:type="dxa"/>
          </w:tcPr>
          <w:p w14:paraId="72E0EE9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Planned Care Principle:</w:t>
            </w:r>
          </w:p>
        </w:tc>
        <w:tc>
          <w:tcPr>
            <w:tcW w:w="8226" w:type="dxa"/>
          </w:tcPr>
          <w:p w14:paraId="3A2F0ED9" w14:textId="77777777" w:rsidR="000D527C" w:rsidRPr="007B3CDE" w:rsidRDefault="000D527C" w:rsidP="00F63418">
            <w:pPr>
              <w:spacing w:before="120" w:after="120"/>
              <w:rPr>
                <w:rFonts w:ascii="Arial" w:hAnsi="Arial" w:cs="Arial"/>
                <w:sz w:val="22"/>
                <w:szCs w:val="22"/>
              </w:rPr>
            </w:pPr>
            <w:r w:rsidRPr="007B3CDE">
              <w:rPr>
                <w:rFonts w:ascii="Arial" w:hAnsi="Arial" w:cs="Arial"/>
                <w:b/>
                <w:sz w:val="22"/>
                <w:szCs w:val="22"/>
              </w:rPr>
              <w:t xml:space="preserve">Quality </w:t>
            </w:r>
            <w:r w:rsidRPr="007B3CDE">
              <w:rPr>
                <w:rFonts w:ascii="Arial" w:hAnsi="Arial" w:cs="Arial"/>
                <w:i/>
                <w:sz w:val="22"/>
                <w:szCs w:val="22"/>
              </w:rPr>
              <w:t xml:space="preserve">Services are safe, effective, efficient, </w:t>
            </w:r>
            <w:proofErr w:type="gramStart"/>
            <w:r w:rsidRPr="007B3CDE">
              <w:rPr>
                <w:rFonts w:ascii="Arial" w:hAnsi="Arial" w:cs="Arial"/>
                <w:i/>
                <w:sz w:val="22"/>
                <w:szCs w:val="22"/>
              </w:rPr>
              <w:t>appropriate</w:t>
            </w:r>
            <w:proofErr w:type="gramEnd"/>
            <w:r w:rsidRPr="007B3CDE">
              <w:rPr>
                <w:rFonts w:ascii="Arial" w:hAnsi="Arial" w:cs="Arial"/>
                <w:i/>
                <w:sz w:val="22"/>
                <w:szCs w:val="22"/>
              </w:rPr>
              <w:t xml:space="preserve"> and respectful and support improved health outcomes.</w:t>
            </w:r>
          </w:p>
        </w:tc>
      </w:tr>
      <w:tr w:rsidR="000D527C" w:rsidRPr="007B3CDE" w14:paraId="60FE03A5" w14:textId="77777777" w:rsidTr="00F63418">
        <w:tc>
          <w:tcPr>
            <w:tcW w:w="1696" w:type="dxa"/>
          </w:tcPr>
          <w:p w14:paraId="11DB5ED2"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lastRenderedPageBreak/>
              <w:t>Expectations:</w:t>
            </w:r>
          </w:p>
        </w:tc>
        <w:tc>
          <w:tcPr>
            <w:tcW w:w="8226" w:type="dxa"/>
          </w:tcPr>
          <w:p w14:paraId="27D1493A"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 xml:space="preserve">The proportion of patients who were acutely re-admitted post discharge improves from base levels as agreed in the Annual Plan. </w:t>
            </w:r>
          </w:p>
          <w:p w14:paraId="22F2EC9F"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DHBs will be supplied with comparative data on performance relative to other DHBs and suggested target ranges.  There is some flexibility for DHBs to go outside suggested target ranges where DHBs can demonstrate this is in the interests of wider objectives.  (As well as measuring DHB performance against target for the standardised measure, the target will be converted to an unstandardised rate to facilitate DHB measurement of performance between quarters.)</w:t>
            </w:r>
          </w:p>
          <w:p w14:paraId="5C6C4C3A"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Please note: This definition and expectations also applies for over 75 readmissions.</w:t>
            </w:r>
          </w:p>
          <w:p w14:paraId="41B53D50" w14:textId="77777777" w:rsidR="000D527C" w:rsidRPr="007B3CDE" w:rsidRDefault="000D527C" w:rsidP="00F63418">
            <w:pPr>
              <w:spacing w:before="120" w:after="120"/>
              <w:rPr>
                <w:rFonts w:ascii="Arial" w:hAnsi="Arial" w:cs="Arial"/>
                <w:sz w:val="22"/>
                <w:szCs w:val="22"/>
              </w:rPr>
            </w:pPr>
            <w:r w:rsidRPr="007B3CDE">
              <w:rPr>
                <w:rFonts w:ascii="Arial" w:hAnsi="Arial" w:cs="Arial"/>
                <w:sz w:val="22"/>
                <w:szCs w:val="22"/>
              </w:rPr>
              <w:t>DHBs are to state their year-end target.  The Ministry will assume that 25 percent of the improvement towards target can be made each quarter, unless the DHB specifies otherwise.</w:t>
            </w:r>
          </w:p>
        </w:tc>
      </w:tr>
      <w:tr w:rsidR="000D527C" w:rsidRPr="007B3CDE" w14:paraId="3F2EAB77" w14:textId="77777777" w:rsidTr="00F63418">
        <w:tc>
          <w:tcPr>
            <w:tcW w:w="1696" w:type="dxa"/>
          </w:tcPr>
          <w:p w14:paraId="0BDECC21"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Definition:</w:t>
            </w:r>
          </w:p>
        </w:tc>
        <w:tc>
          <w:tcPr>
            <w:tcW w:w="8226" w:type="dxa"/>
          </w:tcPr>
          <w:p w14:paraId="7D49B2C6" w14:textId="77777777" w:rsidR="000D527C" w:rsidRPr="007B3CDE" w:rsidRDefault="000D527C" w:rsidP="00F63418">
            <w:pPr>
              <w:shd w:val="clear" w:color="auto" w:fill="FFFFFF"/>
              <w:spacing w:before="60" w:after="60"/>
              <w:jc w:val="both"/>
              <w:rPr>
                <w:rFonts w:ascii="Arial" w:hAnsi="Arial" w:cs="Arial"/>
                <w:b/>
                <w:i/>
                <w:sz w:val="22"/>
                <w:szCs w:val="22"/>
              </w:rPr>
            </w:pPr>
            <w:r w:rsidRPr="007B3CDE">
              <w:rPr>
                <w:rFonts w:ascii="Arial" w:hAnsi="Arial" w:cs="Arial"/>
                <w:sz w:val="22"/>
                <w:szCs w:val="22"/>
              </w:rPr>
              <w:t>Readmissions are grouped by the DHB of service. Where the admission and readmission occur in different DHBs, the readmission is counted toward the first DHB.</w:t>
            </w:r>
          </w:p>
          <w:p w14:paraId="0F5C5D41" w14:textId="77777777" w:rsidR="000D527C" w:rsidRPr="007B3CDE" w:rsidRDefault="000D527C" w:rsidP="00F63418">
            <w:pPr>
              <w:shd w:val="clear" w:color="auto" w:fill="FFFFFF"/>
              <w:spacing w:before="60" w:after="60"/>
              <w:jc w:val="both"/>
              <w:rPr>
                <w:rFonts w:ascii="Arial" w:hAnsi="Arial" w:cs="Arial"/>
                <w:sz w:val="22"/>
                <w:szCs w:val="22"/>
              </w:rPr>
            </w:pPr>
            <w:r w:rsidRPr="007B3CDE">
              <w:rPr>
                <w:rFonts w:ascii="Arial" w:hAnsi="Arial" w:cs="Arial"/>
                <w:sz w:val="22"/>
                <w:szCs w:val="22"/>
              </w:rPr>
              <w:t>The measure provides both standardised and unstandardized acute readmission to hospital rates for each DHB. The standardised rate is calculated using a regression method, and is designed to control for differences in admissions to DHBs, i.e. ethnicity, age, complexity. The formula used to calculate it is:</w:t>
            </w:r>
          </w:p>
          <w:p w14:paraId="65723BE3" w14:textId="77777777" w:rsidR="000D527C" w:rsidRPr="007B3CDE" w:rsidRDefault="00BA09BC" w:rsidP="00F63418">
            <w:pPr>
              <w:spacing w:before="120" w:after="120"/>
              <w:rPr>
                <w:rFonts w:ascii="Arial" w:hAnsi="Arial" w:cs="Arial"/>
                <w:sz w:val="22"/>
                <w:szCs w:val="22"/>
              </w:rPr>
            </w:pPr>
            <w:r>
              <w:rPr>
                <w:rFonts w:ascii="Arial" w:eastAsia="Times New Roman" w:hAnsi="Arial" w:cs="Arial"/>
                <w:sz w:val="22"/>
                <w:szCs w:val="22"/>
              </w:rPr>
              <w:pict w14:anchorId="0B21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8.25pt" equationxml="&lt;">
                  <v:imagedata r:id="rId32" o:title="" chromakey="white"/>
                </v:shape>
              </w:pict>
            </w:r>
          </w:p>
          <w:p w14:paraId="6A7052EC"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The following admissions are excluded:</w:t>
            </w:r>
          </w:p>
          <w:p w14:paraId="722A114E" w14:textId="77777777" w:rsidR="000D527C" w:rsidRPr="007B3CDE" w:rsidRDefault="000D527C" w:rsidP="00C04FF1">
            <w:pPr>
              <w:numPr>
                <w:ilvl w:val="0"/>
                <w:numId w:val="107"/>
              </w:numPr>
              <w:spacing w:before="120" w:after="120"/>
              <w:contextualSpacing/>
              <w:rPr>
                <w:rFonts w:ascii="Arial" w:hAnsi="Arial" w:cs="Arial"/>
                <w:i/>
                <w:sz w:val="22"/>
                <w:szCs w:val="22"/>
              </w:rPr>
            </w:pPr>
            <w:r w:rsidRPr="007B3CDE">
              <w:rPr>
                <w:rFonts w:ascii="Arial" w:hAnsi="Arial" w:cs="Arial"/>
                <w:sz w:val="22"/>
                <w:szCs w:val="22"/>
              </w:rPr>
              <w:t xml:space="preserve">Where the admissions </w:t>
            </w:r>
            <w:proofErr w:type="gramStart"/>
            <w:r w:rsidRPr="007B3CDE">
              <w:rPr>
                <w:rFonts w:ascii="Arial" w:hAnsi="Arial" w:cs="Arial"/>
                <w:sz w:val="22"/>
                <w:szCs w:val="22"/>
              </w:rPr>
              <w:t>is</w:t>
            </w:r>
            <w:proofErr w:type="gramEnd"/>
            <w:r w:rsidRPr="007B3CDE">
              <w:rPr>
                <w:rFonts w:ascii="Arial" w:hAnsi="Arial" w:cs="Arial"/>
                <w:sz w:val="22"/>
                <w:szCs w:val="22"/>
              </w:rPr>
              <w:t xml:space="preserve"> non-</w:t>
            </w:r>
            <w:proofErr w:type="spellStart"/>
            <w:r w:rsidRPr="007B3CDE">
              <w:rPr>
                <w:rFonts w:ascii="Arial" w:hAnsi="Arial" w:cs="Arial"/>
                <w:sz w:val="22"/>
                <w:szCs w:val="22"/>
              </w:rPr>
              <w:t>casemix</w:t>
            </w:r>
            <w:proofErr w:type="spellEnd"/>
          </w:p>
          <w:p w14:paraId="52E6DAEA" w14:textId="77777777" w:rsidR="000D527C" w:rsidRPr="007B3CDE" w:rsidRDefault="000D527C" w:rsidP="00C04FF1">
            <w:pPr>
              <w:numPr>
                <w:ilvl w:val="0"/>
                <w:numId w:val="107"/>
              </w:numPr>
              <w:spacing w:before="120" w:after="120"/>
              <w:contextualSpacing/>
              <w:rPr>
                <w:rFonts w:ascii="Arial" w:hAnsi="Arial" w:cs="Arial"/>
                <w:sz w:val="22"/>
                <w:szCs w:val="22"/>
              </w:rPr>
            </w:pPr>
            <w:r w:rsidRPr="007B3CDE">
              <w:rPr>
                <w:rFonts w:ascii="Arial" w:hAnsi="Arial" w:cs="Arial"/>
                <w:sz w:val="22"/>
                <w:szCs w:val="22"/>
              </w:rPr>
              <w:t>Where the admission is for palliative care</w:t>
            </w:r>
          </w:p>
          <w:p w14:paraId="7D692D54" w14:textId="77777777" w:rsidR="000D527C" w:rsidRPr="007B3CDE" w:rsidRDefault="000D527C" w:rsidP="00C04FF1">
            <w:pPr>
              <w:numPr>
                <w:ilvl w:val="0"/>
                <w:numId w:val="107"/>
              </w:numPr>
              <w:spacing w:before="120" w:after="120"/>
              <w:contextualSpacing/>
              <w:rPr>
                <w:rFonts w:ascii="Arial" w:hAnsi="Arial" w:cs="Arial"/>
                <w:sz w:val="22"/>
                <w:szCs w:val="22"/>
              </w:rPr>
            </w:pPr>
            <w:r w:rsidRPr="007B3CDE">
              <w:rPr>
                <w:rFonts w:ascii="Arial" w:hAnsi="Arial" w:cs="Arial"/>
                <w:sz w:val="22"/>
                <w:szCs w:val="22"/>
              </w:rPr>
              <w:t>Where the DHB of service is unknown</w:t>
            </w:r>
          </w:p>
          <w:p w14:paraId="46FCE60D" w14:textId="77777777" w:rsidR="000D527C" w:rsidRPr="007B3CDE" w:rsidRDefault="000D527C" w:rsidP="00F63418">
            <w:pPr>
              <w:spacing w:before="120" w:after="120"/>
              <w:rPr>
                <w:rFonts w:ascii="Arial" w:hAnsi="Arial" w:cs="Arial"/>
                <w:b/>
                <w:i/>
                <w:sz w:val="22"/>
                <w:szCs w:val="22"/>
              </w:rPr>
            </w:pPr>
            <w:r w:rsidRPr="007B3CDE">
              <w:rPr>
                <w:rFonts w:ascii="Arial" w:hAnsi="Arial" w:cs="Arial"/>
                <w:b/>
                <w:i/>
                <w:sz w:val="22"/>
                <w:szCs w:val="22"/>
              </w:rPr>
              <w:t>The following readmissions are excluded:</w:t>
            </w:r>
          </w:p>
          <w:p w14:paraId="6F126859"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the readmission is non-acute</w:t>
            </w:r>
          </w:p>
          <w:p w14:paraId="303A0031"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the readmission is more than 28 days from the previous admission</w:t>
            </w:r>
          </w:p>
          <w:p w14:paraId="3C2613F8"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the readmission is within 24 hours and has a transfer flag</w:t>
            </w:r>
          </w:p>
          <w:p w14:paraId="1BD8E577"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the readmission matches a list of planned readmissions</w:t>
            </w:r>
          </w:p>
          <w:p w14:paraId="6AE7CDEF"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the readmission is a statistical readmission</w:t>
            </w:r>
          </w:p>
          <w:p w14:paraId="59D44382" w14:textId="77777777" w:rsidR="000D527C" w:rsidRPr="007B3CDE" w:rsidRDefault="000D527C" w:rsidP="00C04FF1">
            <w:pPr>
              <w:numPr>
                <w:ilvl w:val="0"/>
                <w:numId w:val="108"/>
              </w:numPr>
              <w:spacing w:before="120" w:after="120"/>
              <w:contextualSpacing/>
              <w:rPr>
                <w:rFonts w:ascii="Arial" w:hAnsi="Arial" w:cs="Arial"/>
                <w:sz w:val="22"/>
                <w:szCs w:val="22"/>
              </w:rPr>
            </w:pPr>
            <w:r w:rsidRPr="007B3CDE">
              <w:rPr>
                <w:rFonts w:ascii="Arial" w:hAnsi="Arial" w:cs="Arial"/>
                <w:sz w:val="22"/>
                <w:szCs w:val="22"/>
              </w:rPr>
              <w:t>Where any previous admission ended in the patient’s death</w:t>
            </w:r>
          </w:p>
        </w:tc>
      </w:tr>
      <w:tr w:rsidR="000D527C" w:rsidRPr="007B3CDE" w14:paraId="0C245E63" w14:textId="77777777" w:rsidTr="00F63418">
        <w:tc>
          <w:tcPr>
            <w:tcW w:w="1696" w:type="dxa"/>
          </w:tcPr>
          <w:p w14:paraId="7C74DAE1"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Equity component:</w:t>
            </w:r>
          </w:p>
        </w:tc>
        <w:tc>
          <w:tcPr>
            <w:tcW w:w="8226" w:type="dxa"/>
          </w:tcPr>
          <w:p w14:paraId="29FDE419" w14:textId="77777777" w:rsidR="000D527C" w:rsidRPr="007B3CDE" w:rsidRDefault="000D527C" w:rsidP="00F63418">
            <w:pPr>
              <w:spacing w:before="120" w:after="120"/>
              <w:rPr>
                <w:rFonts w:ascii="Arial" w:hAnsi="Arial" w:cs="Arial"/>
                <w:i/>
                <w:sz w:val="22"/>
                <w:szCs w:val="22"/>
              </w:rPr>
            </w:pPr>
            <w:r w:rsidRPr="007B3CDE">
              <w:rPr>
                <w:rFonts w:ascii="Arial" w:hAnsi="Arial" w:cs="Arial"/>
                <w:i/>
                <w:sz w:val="22"/>
                <w:szCs w:val="22"/>
              </w:rPr>
              <w:t xml:space="preserve">Information will be provided through quarterly data set to show activity by age, gender, </w:t>
            </w:r>
            <w:proofErr w:type="gramStart"/>
            <w:r w:rsidRPr="007B3CDE">
              <w:rPr>
                <w:rFonts w:ascii="Arial" w:hAnsi="Arial" w:cs="Arial"/>
                <w:i/>
                <w:sz w:val="22"/>
                <w:szCs w:val="22"/>
              </w:rPr>
              <w:t>ethnicity</w:t>
            </w:r>
            <w:proofErr w:type="gramEnd"/>
            <w:r w:rsidRPr="007B3CDE">
              <w:rPr>
                <w:rFonts w:ascii="Arial" w:hAnsi="Arial" w:cs="Arial"/>
                <w:i/>
                <w:sz w:val="22"/>
                <w:szCs w:val="22"/>
              </w:rPr>
              <w:t xml:space="preserve"> and deprivation groups, to assist DHBs in understanding any variations in between different population groups.</w:t>
            </w:r>
          </w:p>
        </w:tc>
      </w:tr>
      <w:tr w:rsidR="000D527C" w:rsidRPr="007B3CDE" w14:paraId="5EAAF4DF" w14:textId="77777777" w:rsidTr="00F63418">
        <w:tc>
          <w:tcPr>
            <w:tcW w:w="1696" w:type="dxa"/>
          </w:tcPr>
          <w:p w14:paraId="6A45C47E" w14:textId="77777777" w:rsidR="000D527C" w:rsidRPr="007B3CDE" w:rsidRDefault="000D527C" w:rsidP="00F63418">
            <w:pPr>
              <w:spacing w:before="120" w:after="120"/>
              <w:rPr>
                <w:rFonts w:ascii="Arial" w:hAnsi="Arial" w:cs="Arial"/>
                <w:b/>
                <w:sz w:val="22"/>
                <w:szCs w:val="22"/>
              </w:rPr>
            </w:pPr>
            <w:r w:rsidRPr="007B3CDE">
              <w:rPr>
                <w:rFonts w:ascii="Arial" w:hAnsi="Arial" w:cs="Arial"/>
                <w:b/>
                <w:sz w:val="22"/>
                <w:szCs w:val="22"/>
              </w:rPr>
              <w:t>Reporting Source and Frequency:</w:t>
            </w:r>
          </w:p>
        </w:tc>
        <w:tc>
          <w:tcPr>
            <w:tcW w:w="8226" w:type="dxa"/>
          </w:tcPr>
          <w:p w14:paraId="11900F63" w14:textId="77777777" w:rsidR="000D527C" w:rsidRPr="007B3CDE" w:rsidRDefault="000D527C" w:rsidP="00F63418">
            <w:pPr>
              <w:spacing w:before="120" w:after="120"/>
              <w:rPr>
                <w:rFonts w:ascii="Arial" w:hAnsi="Arial" w:cs="Arial"/>
                <w:i/>
                <w:sz w:val="22"/>
                <w:szCs w:val="22"/>
              </w:rPr>
            </w:pPr>
            <w:r w:rsidRPr="007B3CDE">
              <w:rPr>
                <w:rFonts w:ascii="Arial" w:hAnsi="Arial" w:cs="Arial"/>
                <w:sz w:val="22"/>
                <w:szCs w:val="22"/>
              </w:rPr>
              <w:t xml:space="preserve">Reported quarterly.  Due to the reliance on NMDS data (where the deadline for submission is 21 days after the end of the month of discharge), and due to the time lapse required in order to observe </w:t>
            </w:r>
            <w:proofErr w:type="gramStart"/>
            <w:r w:rsidRPr="007B3CDE">
              <w:rPr>
                <w:rFonts w:ascii="Arial" w:hAnsi="Arial" w:cs="Arial"/>
                <w:sz w:val="22"/>
                <w:szCs w:val="22"/>
              </w:rPr>
              <w:t>28 day</w:t>
            </w:r>
            <w:proofErr w:type="gramEnd"/>
            <w:r w:rsidRPr="007B3CDE">
              <w:rPr>
                <w:rFonts w:ascii="Arial" w:hAnsi="Arial" w:cs="Arial"/>
                <w:sz w:val="22"/>
                <w:szCs w:val="22"/>
              </w:rPr>
              <w:t xml:space="preserve"> readmissions, this measure will operate using data that is one quarter in arrears.</w:t>
            </w:r>
          </w:p>
        </w:tc>
      </w:tr>
    </w:tbl>
    <w:p w14:paraId="5F80F9C8" w14:textId="77777777" w:rsidR="000D527C" w:rsidRDefault="000D527C" w:rsidP="000D527C">
      <w:pPr>
        <w:spacing w:before="120" w:after="120"/>
        <w:rPr>
          <w:rFonts w:ascii="Arial" w:hAnsi="Arial" w:cs="Arial"/>
          <w:sz w:val="22"/>
          <w:szCs w:val="22"/>
        </w:rPr>
      </w:pPr>
    </w:p>
    <w:p w14:paraId="71FB67A3" w14:textId="77777777" w:rsidR="000D527C" w:rsidRDefault="000D527C" w:rsidP="000D527C">
      <w:pPr>
        <w:spacing w:before="120" w:after="120"/>
        <w:rPr>
          <w:rFonts w:ascii="Arial" w:hAnsi="Arial" w:cs="Arial"/>
          <w:sz w:val="22"/>
          <w:szCs w:val="22"/>
        </w:rPr>
      </w:pPr>
    </w:p>
    <w:p w14:paraId="54C3CD54" w14:textId="77777777" w:rsidR="000D527C" w:rsidRDefault="000D527C" w:rsidP="000D527C">
      <w:pPr>
        <w:spacing w:before="120" w:after="120"/>
        <w:rPr>
          <w:rFonts w:ascii="Arial" w:hAnsi="Arial" w:cs="Arial"/>
          <w:sz w:val="22"/>
          <w:szCs w:val="22"/>
        </w:rPr>
      </w:pPr>
    </w:p>
    <w:tbl>
      <w:tblPr>
        <w:tblStyle w:val="TableGrid24"/>
        <w:tblW w:w="9922" w:type="dxa"/>
        <w:tblInd w:w="279" w:type="dxa"/>
        <w:tblLook w:val="04A0" w:firstRow="1" w:lastRow="0" w:firstColumn="1" w:lastColumn="0" w:noHBand="0" w:noVBand="1"/>
      </w:tblPr>
      <w:tblGrid>
        <w:gridCol w:w="1696"/>
        <w:gridCol w:w="8226"/>
      </w:tblGrid>
      <w:tr w:rsidR="000D527C" w14:paraId="696D19B8" w14:textId="77777777" w:rsidTr="00F63418">
        <w:tc>
          <w:tcPr>
            <w:tcW w:w="1696" w:type="dxa"/>
            <w:tcBorders>
              <w:top w:val="single" w:sz="4" w:space="0" w:color="auto"/>
              <w:left w:val="single" w:sz="4" w:space="0" w:color="auto"/>
              <w:bottom w:val="single" w:sz="4" w:space="0" w:color="auto"/>
              <w:right w:val="single" w:sz="4" w:space="0" w:color="auto"/>
            </w:tcBorders>
            <w:shd w:val="clear" w:color="auto" w:fill="D0CECE"/>
            <w:hideMark/>
          </w:tcPr>
          <w:p w14:paraId="76A8E5C1" w14:textId="77777777" w:rsidR="000D527C" w:rsidRDefault="000D527C" w:rsidP="00F63418">
            <w:pPr>
              <w:spacing w:before="120" w:after="120"/>
              <w:rPr>
                <w:rFonts w:ascii="Arial" w:hAnsi="Arial" w:cs="Arial"/>
                <w:b/>
                <w:sz w:val="22"/>
                <w:szCs w:val="22"/>
              </w:rPr>
            </w:pPr>
            <w:bookmarkStart w:id="508" w:name="_Hlk30599849"/>
            <w:r>
              <w:rPr>
                <w:rFonts w:ascii="Arial" w:hAnsi="Arial" w:cs="Arial"/>
                <w:b/>
                <w:sz w:val="22"/>
                <w:szCs w:val="22"/>
              </w:rPr>
              <w:lastRenderedPageBreak/>
              <w:t>Planned Care Measure 7:</w:t>
            </w:r>
          </w:p>
        </w:tc>
        <w:tc>
          <w:tcPr>
            <w:tcW w:w="8226" w:type="dxa"/>
            <w:tcBorders>
              <w:top w:val="single" w:sz="4" w:space="0" w:color="auto"/>
              <w:left w:val="single" w:sz="4" w:space="0" w:color="auto"/>
              <w:bottom w:val="single" w:sz="4" w:space="0" w:color="auto"/>
              <w:right w:val="single" w:sz="4" w:space="0" w:color="auto"/>
            </w:tcBorders>
            <w:shd w:val="clear" w:color="auto" w:fill="D0CECE"/>
            <w:hideMark/>
          </w:tcPr>
          <w:p w14:paraId="48831FF0" w14:textId="77777777" w:rsidR="000D527C" w:rsidRDefault="000D527C" w:rsidP="00F63418">
            <w:pPr>
              <w:spacing w:before="120" w:after="120"/>
              <w:rPr>
                <w:rFonts w:ascii="Arial" w:hAnsi="Arial" w:cs="Arial"/>
                <w:b/>
                <w:sz w:val="22"/>
                <w:szCs w:val="22"/>
              </w:rPr>
            </w:pPr>
            <w:bookmarkStart w:id="509" w:name="_Hlk73095959"/>
            <w:r>
              <w:rPr>
                <w:rFonts w:ascii="Arial" w:hAnsi="Arial" w:cs="Arial"/>
                <w:b/>
                <w:sz w:val="22"/>
                <w:szCs w:val="22"/>
              </w:rPr>
              <w:t xml:space="preserve">Did Not Attend Rates </w:t>
            </w:r>
            <w:bookmarkEnd w:id="509"/>
            <w:r>
              <w:rPr>
                <w:rFonts w:ascii="Arial" w:hAnsi="Arial" w:cs="Arial"/>
                <w:b/>
                <w:sz w:val="22"/>
                <w:szCs w:val="22"/>
              </w:rPr>
              <w:t xml:space="preserve">(DNA) for First Specialist Assessment (FSA) by Ethnicity (Developmental) </w:t>
            </w:r>
          </w:p>
        </w:tc>
      </w:tr>
      <w:tr w:rsidR="000D527C" w14:paraId="6D60E725" w14:textId="77777777" w:rsidTr="00F63418">
        <w:tc>
          <w:tcPr>
            <w:tcW w:w="1696" w:type="dxa"/>
            <w:tcBorders>
              <w:top w:val="single" w:sz="4" w:space="0" w:color="auto"/>
              <w:left w:val="single" w:sz="4" w:space="0" w:color="auto"/>
              <w:bottom w:val="single" w:sz="4" w:space="0" w:color="auto"/>
              <w:right w:val="single" w:sz="4" w:space="0" w:color="auto"/>
            </w:tcBorders>
            <w:hideMark/>
          </w:tcPr>
          <w:p w14:paraId="19809864" w14:textId="77777777" w:rsidR="000D527C" w:rsidRDefault="000D527C" w:rsidP="00F63418">
            <w:pPr>
              <w:spacing w:before="120" w:after="120"/>
              <w:rPr>
                <w:rFonts w:ascii="Arial" w:hAnsi="Arial" w:cs="Arial"/>
                <w:b/>
                <w:sz w:val="22"/>
                <w:szCs w:val="22"/>
              </w:rPr>
            </w:pPr>
            <w:r>
              <w:rPr>
                <w:rFonts w:ascii="Arial" w:hAnsi="Arial" w:cs="Arial"/>
                <w:b/>
                <w:sz w:val="22"/>
                <w:szCs w:val="22"/>
              </w:rPr>
              <w:t>Planned Care Principle:</w:t>
            </w:r>
          </w:p>
        </w:tc>
        <w:tc>
          <w:tcPr>
            <w:tcW w:w="8226" w:type="dxa"/>
            <w:tcBorders>
              <w:top w:val="single" w:sz="4" w:space="0" w:color="auto"/>
              <w:left w:val="single" w:sz="4" w:space="0" w:color="auto"/>
              <w:bottom w:val="single" w:sz="4" w:space="0" w:color="auto"/>
              <w:right w:val="single" w:sz="4" w:space="0" w:color="auto"/>
            </w:tcBorders>
            <w:hideMark/>
          </w:tcPr>
          <w:p w14:paraId="7562E10F" w14:textId="77777777" w:rsidR="000D527C" w:rsidRDefault="000D527C" w:rsidP="00F63418">
            <w:pPr>
              <w:spacing w:before="120" w:after="120"/>
              <w:rPr>
                <w:rFonts w:ascii="Arial" w:hAnsi="Arial" w:cs="Arial"/>
                <w:sz w:val="22"/>
                <w:szCs w:val="22"/>
              </w:rPr>
            </w:pPr>
            <w:r>
              <w:rPr>
                <w:rFonts w:ascii="Arial" w:hAnsi="Arial" w:cs="Arial"/>
                <w:b/>
                <w:sz w:val="22"/>
                <w:szCs w:val="22"/>
              </w:rPr>
              <w:t xml:space="preserve">Equity </w:t>
            </w:r>
            <w:r w:rsidRPr="00AC5F60">
              <w:rPr>
                <w:rFonts w:ascii="Arial" w:hAnsi="Arial" w:cs="Arial"/>
                <w:i/>
                <w:sz w:val="22"/>
                <w:szCs w:val="22"/>
              </w:rPr>
              <w:t>People will get the healthcare that safely meets their needs, regardless of who they are or where they are.</w:t>
            </w:r>
          </w:p>
        </w:tc>
      </w:tr>
      <w:tr w:rsidR="000D527C" w14:paraId="7BC88D7C" w14:textId="77777777" w:rsidTr="00F63418">
        <w:tc>
          <w:tcPr>
            <w:tcW w:w="1696" w:type="dxa"/>
            <w:tcBorders>
              <w:top w:val="single" w:sz="4" w:space="0" w:color="auto"/>
              <w:left w:val="single" w:sz="4" w:space="0" w:color="auto"/>
              <w:bottom w:val="single" w:sz="4" w:space="0" w:color="auto"/>
              <w:right w:val="single" w:sz="4" w:space="0" w:color="auto"/>
            </w:tcBorders>
            <w:hideMark/>
          </w:tcPr>
          <w:p w14:paraId="39906975" w14:textId="77777777" w:rsidR="000D527C" w:rsidRDefault="000D527C" w:rsidP="00F63418">
            <w:pPr>
              <w:spacing w:before="120" w:after="120"/>
              <w:rPr>
                <w:rFonts w:ascii="Arial" w:hAnsi="Arial" w:cs="Arial"/>
                <w:b/>
                <w:sz w:val="22"/>
                <w:szCs w:val="22"/>
              </w:rPr>
            </w:pPr>
            <w:r>
              <w:rPr>
                <w:rFonts w:ascii="Arial" w:hAnsi="Arial" w:cs="Arial"/>
                <w:b/>
                <w:sz w:val="22"/>
                <w:szCs w:val="22"/>
              </w:rPr>
              <w:t>Expectations:</w:t>
            </w:r>
          </w:p>
        </w:tc>
        <w:tc>
          <w:tcPr>
            <w:tcW w:w="8226" w:type="dxa"/>
            <w:tcBorders>
              <w:top w:val="single" w:sz="4" w:space="0" w:color="auto"/>
              <w:left w:val="single" w:sz="4" w:space="0" w:color="auto"/>
              <w:bottom w:val="single" w:sz="4" w:space="0" w:color="auto"/>
              <w:right w:val="single" w:sz="4" w:space="0" w:color="auto"/>
            </w:tcBorders>
            <w:hideMark/>
          </w:tcPr>
          <w:p w14:paraId="742A8072" w14:textId="77777777" w:rsidR="000D527C" w:rsidRPr="004F192E" w:rsidRDefault="000D527C" w:rsidP="00F63418">
            <w:pPr>
              <w:rPr>
                <w:rFonts w:ascii="Arial" w:hAnsi="Arial" w:cs="Arial"/>
                <w:sz w:val="22"/>
                <w:szCs w:val="22"/>
              </w:rPr>
            </w:pPr>
            <w:r w:rsidRPr="004F192E">
              <w:rPr>
                <w:rFonts w:ascii="Arial" w:hAnsi="Arial" w:cs="Arial"/>
                <w:sz w:val="22"/>
                <w:szCs w:val="22"/>
              </w:rPr>
              <w:t>DHBs will be required to identify actions underway to:</w:t>
            </w:r>
          </w:p>
          <w:p w14:paraId="1D8E988A" w14:textId="77777777" w:rsidR="000D527C" w:rsidRPr="004F192E" w:rsidRDefault="000D527C" w:rsidP="00C04FF1">
            <w:pPr>
              <w:pStyle w:val="ListParagraph"/>
              <w:numPr>
                <w:ilvl w:val="0"/>
                <w:numId w:val="127"/>
              </w:numPr>
              <w:spacing w:after="160" w:line="259" w:lineRule="auto"/>
              <w:rPr>
                <w:rFonts w:ascii="Arial" w:hAnsi="Arial" w:cs="Arial"/>
                <w:sz w:val="22"/>
                <w:szCs w:val="22"/>
              </w:rPr>
            </w:pPr>
            <w:r w:rsidRPr="004F192E">
              <w:rPr>
                <w:rFonts w:ascii="Arial" w:hAnsi="Arial" w:cs="Arial"/>
                <w:sz w:val="22"/>
                <w:szCs w:val="22"/>
              </w:rPr>
              <w:t>Ensure that the data used i</w:t>
            </w:r>
            <w:r>
              <w:rPr>
                <w:rFonts w:ascii="Arial" w:hAnsi="Arial" w:cs="Arial"/>
                <w:sz w:val="22"/>
                <w:szCs w:val="22"/>
              </w:rPr>
              <w:t>s</w:t>
            </w:r>
            <w:r w:rsidRPr="004F192E">
              <w:rPr>
                <w:rFonts w:ascii="Arial" w:hAnsi="Arial" w:cs="Arial"/>
                <w:sz w:val="22"/>
                <w:szCs w:val="22"/>
              </w:rPr>
              <w:t xml:space="preserve"> complete and accurate,</w:t>
            </w:r>
          </w:p>
          <w:p w14:paraId="027EBB2E" w14:textId="77777777" w:rsidR="000D527C" w:rsidRPr="004F192E" w:rsidRDefault="000D527C" w:rsidP="00C04FF1">
            <w:pPr>
              <w:pStyle w:val="ListParagraph"/>
              <w:numPr>
                <w:ilvl w:val="0"/>
                <w:numId w:val="127"/>
              </w:numPr>
              <w:spacing w:after="160" w:line="259" w:lineRule="auto"/>
              <w:rPr>
                <w:rFonts w:ascii="Arial" w:hAnsi="Arial" w:cs="Arial"/>
                <w:sz w:val="22"/>
                <w:szCs w:val="22"/>
              </w:rPr>
            </w:pPr>
            <w:r>
              <w:rPr>
                <w:rFonts w:ascii="Arial" w:hAnsi="Arial" w:cs="Arial"/>
                <w:sz w:val="22"/>
                <w:szCs w:val="22"/>
              </w:rPr>
              <w:t>A</w:t>
            </w:r>
            <w:r w:rsidRPr="004F192E">
              <w:rPr>
                <w:rFonts w:ascii="Arial" w:hAnsi="Arial" w:cs="Arial"/>
                <w:sz w:val="22"/>
                <w:szCs w:val="22"/>
              </w:rPr>
              <w:t>ddress the differences in DNA Rates of the respective populations.</w:t>
            </w:r>
          </w:p>
          <w:p w14:paraId="52DF8D68" w14:textId="1C58DA11" w:rsidR="000D527C" w:rsidRPr="004F192E" w:rsidRDefault="000D527C" w:rsidP="008B1F8A">
            <w:pPr>
              <w:shd w:val="clear" w:color="auto" w:fill="FFFF00"/>
              <w:rPr>
                <w:rFonts w:ascii="Arial" w:hAnsi="Arial" w:cs="Arial"/>
                <w:sz w:val="22"/>
                <w:szCs w:val="22"/>
              </w:rPr>
            </w:pPr>
            <w:r w:rsidRPr="004F192E">
              <w:rPr>
                <w:rFonts w:ascii="Arial" w:hAnsi="Arial" w:cs="Arial"/>
                <w:sz w:val="22"/>
                <w:szCs w:val="22"/>
              </w:rPr>
              <w:t xml:space="preserve">There will not be a Target Rate identified for this measure. It will be developmental for establishing baseline rates </w:t>
            </w:r>
          </w:p>
          <w:p w14:paraId="6540A360" w14:textId="77777777" w:rsidR="000D527C" w:rsidRPr="004F192E" w:rsidRDefault="000D527C" w:rsidP="00F63418">
            <w:pPr>
              <w:spacing w:after="160" w:line="259" w:lineRule="auto"/>
              <w:rPr>
                <w:rFonts w:ascii="Arial" w:hAnsi="Arial" w:cs="Arial"/>
                <w:sz w:val="22"/>
                <w:szCs w:val="22"/>
              </w:rPr>
            </w:pPr>
          </w:p>
        </w:tc>
      </w:tr>
      <w:tr w:rsidR="000D527C" w14:paraId="1BC8D9A8" w14:textId="77777777" w:rsidTr="00F63418">
        <w:tc>
          <w:tcPr>
            <w:tcW w:w="1696" w:type="dxa"/>
            <w:tcBorders>
              <w:top w:val="single" w:sz="4" w:space="0" w:color="auto"/>
              <w:left w:val="single" w:sz="4" w:space="0" w:color="auto"/>
              <w:bottom w:val="single" w:sz="4" w:space="0" w:color="auto"/>
              <w:right w:val="single" w:sz="4" w:space="0" w:color="auto"/>
            </w:tcBorders>
            <w:hideMark/>
          </w:tcPr>
          <w:p w14:paraId="57E8D8AA" w14:textId="77777777" w:rsidR="000D527C" w:rsidRDefault="000D527C" w:rsidP="00F63418">
            <w:pPr>
              <w:spacing w:before="120" w:after="120"/>
              <w:rPr>
                <w:rFonts w:ascii="Arial" w:hAnsi="Arial" w:cs="Arial"/>
                <w:b/>
                <w:sz w:val="22"/>
                <w:szCs w:val="22"/>
              </w:rPr>
            </w:pPr>
            <w:r>
              <w:rPr>
                <w:rFonts w:ascii="Arial" w:hAnsi="Arial" w:cs="Arial"/>
                <w:b/>
                <w:sz w:val="22"/>
                <w:szCs w:val="22"/>
              </w:rPr>
              <w:t>Definition:</w:t>
            </w:r>
          </w:p>
        </w:tc>
        <w:tc>
          <w:tcPr>
            <w:tcW w:w="8226" w:type="dxa"/>
            <w:tcBorders>
              <w:top w:val="single" w:sz="4" w:space="0" w:color="auto"/>
              <w:left w:val="single" w:sz="4" w:space="0" w:color="auto"/>
              <w:bottom w:val="single" w:sz="4" w:space="0" w:color="auto"/>
              <w:right w:val="single" w:sz="4" w:space="0" w:color="auto"/>
            </w:tcBorders>
            <w:hideMark/>
          </w:tcPr>
          <w:p w14:paraId="1ACCCD19" w14:textId="77777777" w:rsidR="000D527C" w:rsidRDefault="000D527C" w:rsidP="00F63418">
            <w:pPr>
              <w:rPr>
                <w:rFonts w:ascii="Arial" w:hAnsi="Arial" w:cs="Arial"/>
                <w:sz w:val="22"/>
                <w:szCs w:val="22"/>
              </w:rPr>
            </w:pPr>
            <w:r w:rsidRPr="004F192E">
              <w:rPr>
                <w:rFonts w:ascii="Arial" w:hAnsi="Arial" w:cs="Arial"/>
                <w:sz w:val="22"/>
                <w:szCs w:val="22"/>
              </w:rPr>
              <w:t>N</w:t>
            </w:r>
            <w:r>
              <w:rPr>
                <w:rFonts w:ascii="Arial" w:hAnsi="Arial" w:cs="Arial"/>
                <w:sz w:val="22"/>
                <w:szCs w:val="22"/>
              </w:rPr>
              <w:t xml:space="preserve">ational Patient Flow (NPF) </w:t>
            </w:r>
            <w:r w:rsidRPr="004F192E">
              <w:rPr>
                <w:rFonts w:ascii="Arial" w:hAnsi="Arial" w:cs="Arial"/>
                <w:sz w:val="22"/>
                <w:szCs w:val="22"/>
              </w:rPr>
              <w:t xml:space="preserve">‘Attendance Type’ Codes will be grouped into two </w:t>
            </w:r>
            <w:r>
              <w:rPr>
                <w:rFonts w:ascii="Arial" w:hAnsi="Arial" w:cs="Arial"/>
                <w:sz w:val="22"/>
                <w:szCs w:val="22"/>
              </w:rPr>
              <w:t xml:space="preserve">Attendance </w:t>
            </w:r>
            <w:r w:rsidRPr="004F192E">
              <w:rPr>
                <w:rFonts w:ascii="Arial" w:hAnsi="Arial" w:cs="Arial"/>
                <w:sz w:val="22"/>
                <w:szCs w:val="22"/>
              </w:rPr>
              <w:t>groups.</w:t>
            </w:r>
          </w:p>
          <w:p w14:paraId="3DE4FBAB" w14:textId="77777777" w:rsidR="000D527C" w:rsidRDefault="000D527C" w:rsidP="00C04FF1">
            <w:pPr>
              <w:pStyle w:val="ListParagraph"/>
              <w:numPr>
                <w:ilvl w:val="0"/>
                <w:numId w:val="128"/>
              </w:numPr>
              <w:rPr>
                <w:rFonts w:ascii="Arial" w:hAnsi="Arial" w:cs="Arial"/>
                <w:sz w:val="22"/>
                <w:szCs w:val="22"/>
              </w:rPr>
            </w:pPr>
            <w:r w:rsidRPr="004F192E">
              <w:rPr>
                <w:rFonts w:ascii="Arial" w:hAnsi="Arial" w:cs="Arial"/>
                <w:sz w:val="22"/>
                <w:szCs w:val="22"/>
              </w:rPr>
              <w:t>‘</w:t>
            </w:r>
            <w:r w:rsidRPr="004F192E">
              <w:rPr>
                <w:rFonts w:ascii="Arial" w:hAnsi="Arial" w:cs="Arial"/>
                <w:b/>
                <w:sz w:val="22"/>
                <w:szCs w:val="22"/>
              </w:rPr>
              <w:t>ATT - Attended, service delivered</w:t>
            </w:r>
            <w:r w:rsidRPr="004F192E">
              <w:rPr>
                <w:rFonts w:ascii="Arial" w:hAnsi="Arial" w:cs="Arial"/>
                <w:sz w:val="22"/>
                <w:szCs w:val="22"/>
              </w:rPr>
              <w:t>’ and ‘</w:t>
            </w:r>
            <w:r w:rsidRPr="004F192E">
              <w:rPr>
                <w:rFonts w:ascii="Arial" w:hAnsi="Arial" w:cs="Arial"/>
                <w:b/>
                <w:sz w:val="22"/>
                <w:szCs w:val="22"/>
              </w:rPr>
              <w:t>AND - Attended, service not delivered or incomplete</w:t>
            </w:r>
            <w:r w:rsidRPr="004F192E">
              <w:rPr>
                <w:rFonts w:ascii="Arial" w:hAnsi="Arial" w:cs="Arial"/>
                <w:sz w:val="22"/>
                <w:szCs w:val="22"/>
              </w:rPr>
              <w:t xml:space="preserve">’ are considered </w:t>
            </w:r>
            <w:r w:rsidRPr="004F192E">
              <w:rPr>
                <w:rFonts w:ascii="Arial" w:hAnsi="Arial" w:cs="Arial"/>
                <w:b/>
                <w:sz w:val="22"/>
                <w:szCs w:val="22"/>
              </w:rPr>
              <w:t>Attendances</w:t>
            </w:r>
            <w:r w:rsidRPr="004F192E">
              <w:rPr>
                <w:rFonts w:ascii="Arial" w:hAnsi="Arial" w:cs="Arial"/>
                <w:sz w:val="22"/>
                <w:szCs w:val="22"/>
              </w:rPr>
              <w:t xml:space="preserve"> (ATT/AND) and</w:t>
            </w:r>
          </w:p>
          <w:p w14:paraId="1497A2D2" w14:textId="77777777" w:rsidR="000D527C" w:rsidRPr="004F192E" w:rsidRDefault="000D527C" w:rsidP="00C04FF1">
            <w:pPr>
              <w:pStyle w:val="ListParagraph"/>
              <w:numPr>
                <w:ilvl w:val="0"/>
                <w:numId w:val="128"/>
              </w:numPr>
              <w:rPr>
                <w:rFonts w:ascii="Arial" w:hAnsi="Arial" w:cs="Arial"/>
                <w:sz w:val="22"/>
                <w:szCs w:val="22"/>
              </w:rPr>
            </w:pPr>
            <w:r w:rsidRPr="004F192E">
              <w:rPr>
                <w:rFonts w:ascii="Arial" w:hAnsi="Arial" w:cs="Arial"/>
                <w:sz w:val="22"/>
                <w:szCs w:val="22"/>
              </w:rPr>
              <w:t>‘</w:t>
            </w:r>
            <w:r w:rsidRPr="004F192E">
              <w:rPr>
                <w:rFonts w:ascii="Arial" w:hAnsi="Arial" w:cs="Arial"/>
                <w:b/>
                <w:sz w:val="22"/>
                <w:szCs w:val="22"/>
              </w:rPr>
              <w:t>DNA - Did not attend</w:t>
            </w:r>
            <w:r w:rsidRPr="004F192E">
              <w:rPr>
                <w:rFonts w:ascii="Arial" w:hAnsi="Arial" w:cs="Arial"/>
                <w:sz w:val="22"/>
                <w:szCs w:val="22"/>
              </w:rPr>
              <w:t>’ and ‘</w:t>
            </w:r>
            <w:r w:rsidRPr="004F192E">
              <w:rPr>
                <w:rFonts w:ascii="Arial" w:hAnsi="Arial" w:cs="Arial"/>
                <w:b/>
                <w:sz w:val="22"/>
                <w:szCs w:val="22"/>
              </w:rPr>
              <w:t>DNW - Did not wait’</w:t>
            </w:r>
            <w:r w:rsidRPr="004F192E">
              <w:rPr>
                <w:rFonts w:ascii="Arial" w:hAnsi="Arial" w:cs="Arial"/>
                <w:sz w:val="22"/>
                <w:szCs w:val="22"/>
              </w:rPr>
              <w:t xml:space="preserve"> will be considered </w:t>
            </w:r>
            <w:r w:rsidRPr="004F192E">
              <w:rPr>
                <w:rFonts w:ascii="Arial" w:hAnsi="Arial" w:cs="Arial"/>
                <w:b/>
                <w:sz w:val="22"/>
                <w:szCs w:val="22"/>
              </w:rPr>
              <w:t>Non-Attendances</w:t>
            </w:r>
            <w:r w:rsidRPr="004F192E">
              <w:rPr>
                <w:rFonts w:ascii="Arial" w:hAnsi="Arial" w:cs="Arial"/>
                <w:sz w:val="22"/>
                <w:szCs w:val="22"/>
              </w:rPr>
              <w:t xml:space="preserve"> (DNA/DNW). </w:t>
            </w:r>
          </w:p>
          <w:p w14:paraId="184E01A6" w14:textId="77777777" w:rsidR="000D527C" w:rsidRDefault="000D527C" w:rsidP="00F63418">
            <w:pPr>
              <w:rPr>
                <w:rFonts w:ascii="Arial" w:hAnsi="Arial" w:cs="Arial"/>
                <w:sz w:val="22"/>
                <w:szCs w:val="22"/>
              </w:rPr>
            </w:pPr>
          </w:p>
          <w:p w14:paraId="03A1E8FE" w14:textId="77777777" w:rsidR="000D527C" w:rsidRDefault="000D527C" w:rsidP="00F63418">
            <w:pPr>
              <w:rPr>
                <w:rFonts w:ascii="Arial" w:hAnsi="Arial" w:cs="Arial"/>
                <w:sz w:val="22"/>
                <w:szCs w:val="22"/>
              </w:rPr>
            </w:pPr>
            <w:r w:rsidRPr="004F192E">
              <w:rPr>
                <w:rFonts w:ascii="Arial" w:hAnsi="Arial" w:cs="Arial"/>
                <w:sz w:val="22"/>
                <w:szCs w:val="22"/>
              </w:rPr>
              <w:t xml:space="preserve">The total number and percentage of referrals for each DHB that are reported </w:t>
            </w:r>
            <w:r>
              <w:rPr>
                <w:rFonts w:ascii="Arial" w:hAnsi="Arial" w:cs="Arial"/>
                <w:sz w:val="22"/>
                <w:szCs w:val="22"/>
              </w:rPr>
              <w:t xml:space="preserve">broken down by Maori, Pacific Island and </w:t>
            </w:r>
            <w:proofErr w:type="gramStart"/>
            <w:r>
              <w:rPr>
                <w:rFonts w:ascii="Arial" w:hAnsi="Arial" w:cs="Arial"/>
                <w:sz w:val="22"/>
                <w:szCs w:val="22"/>
              </w:rPr>
              <w:t>Non Maori</w:t>
            </w:r>
            <w:proofErr w:type="gramEnd"/>
            <w:r>
              <w:rPr>
                <w:rFonts w:ascii="Arial" w:hAnsi="Arial" w:cs="Arial"/>
                <w:sz w:val="22"/>
                <w:szCs w:val="22"/>
              </w:rPr>
              <w:t xml:space="preserve">/Non Pacific and Attendance groups </w:t>
            </w:r>
            <w:r w:rsidRPr="004F192E">
              <w:rPr>
                <w:rFonts w:ascii="Arial" w:hAnsi="Arial" w:cs="Arial"/>
                <w:sz w:val="22"/>
                <w:szCs w:val="22"/>
              </w:rPr>
              <w:t xml:space="preserve">will be displayed in the data. </w:t>
            </w:r>
            <w:r>
              <w:rPr>
                <w:rFonts w:ascii="Arial" w:hAnsi="Arial" w:cs="Arial"/>
                <w:sz w:val="22"/>
                <w:szCs w:val="22"/>
              </w:rPr>
              <w:t xml:space="preserve">The Prioritised Ethnicity recorded with the event in NPF will be used. </w:t>
            </w:r>
            <w:r w:rsidRPr="004F192E">
              <w:rPr>
                <w:rFonts w:ascii="Arial" w:hAnsi="Arial" w:cs="Arial"/>
                <w:sz w:val="22"/>
                <w:szCs w:val="22"/>
              </w:rPr>
              <w:t xml:space="preserve">In the first year this measure will use the Submitting DHB as the Reporting DHB. </w:t>
            </w:r>
          </w:p>
          <w:p w14:paraId="757407C6" w14:textId="77777777" w:rsidR="000D527C" w:rsidRDefault="000D527C" w:rsidP="00F63418">
            <w:pPr>
              <w:rPr>
                <w:rFonts w:ascii="Arial" w:hAnsi="Arial" w:cs="Arial"/>
                <w:sz w:val="22"/>
                <w:szCs w:val="22"/>
              </w:rPr>
            </w:pPr>
          </w:p>
          <w:p w14:paraId="7F5B3D46" w14:textId="77777777" w:rsidR="000D527C" w:rsidRDefault="000D527C" w:rsidP="00F63418">
            <w:pPr>
              <w:rPr>
                <w:rFonts w:ascii="Arial" w:hAnsi="Arial" w:cs="Arial"/>
                <w:sz w:val="22"/>
                <w:szCs w:val="22"/>
              </w:rPr>
            </w:pPr>
            <w:r w:rsidRPr="004F192E">
              <w:rPr>
                <w:rFonts w:ascii="Arial" w:hAnsi="Arial" w:cs="Arial"/>
                <w:sz w:val="22"/>
                <w:szCs w:val="22"/>
              </w:rPr>
              <w:t xml:space="preserve">Encounter activities with no Encounter Outcome will be included in this measure. </w:t>
            </w:r>
            <w:r>
              <w:rPr>
                <w:rFonts w:ascii="Arial" w:hAnsi="Arial" w:cs="Arial"/>
                <w:sz w:val="22"/>
                <w:szCs w:val="22"/>
              </w:rPr>
              <w:t xml:space="preserve">The reporting of </w:t>
            </w:r>
            <w:r w:rsidRPr="004F192E">
              <w:rPr>
                <w:rFonts w:ascii="Arial" w:hAnsi="Arial" w:cs="Arial"/>
                <w:sz w:val="22"/>
                <w:szCs w:val="22"/>
              </w:rPr>
              <w:t xml:space="preserve">all </w:t>
            </w:r>
            <w:r>
              <w:rPr>
                <w:rFonts w:ascii="Arial" w:hAnsi="Arial" w:cs="Arial"/>
                <w:sz w:val="22"/>
                <w:szCs w:val="22"/>
              </w:rPr>
              <w:t xml:space="preserve">Attendances and </w:t>
            </w:r>
            <w:proofErr w:type="gramStart"/>
            <w:r>
              <w:rPr>
                <w:rFonts w:ascii="Arial" w:hAnsi="Arial" w:cs="Arial"/>
                <w:sz w:val="22"/>
                <w:szCs w:val="22"/>
              </w:rPr>
              <w:t>Non Attendances</w:t>
            </w:r>
            <w:proofErr w:type="gramEnd"/>
            <w:r>
              <w:rPr>
                <w:rFonts w:ascii="Arial" w:hAnsi="Arial" w:cs="Arial"/>
                <w:sz w:val="22"/>
                <w:szCs w:val="22"/>
              </w:rPr>
              <w:t xml:space="preserve"> </w:t>
            </w:r>
            <w:r w:rsidRPr="004F192E">
              <w:rPr>
                <w:rFonts w:ascii="Arial" w:hAnsi="Arial" w:cs="Arial"/>
                <w:sz w:val="22"/>
                <w:szCs w:val="22"/>
              </w:rPr>
              <w:t>are Mandatory in the collection</w:t>
            </w:r>
            <w:r>
              <w:rPr>
                <w:rFonts w:ascii="Arial" w:hAnsi="Arial" w:cs="Arial"/>
                <w:sz w:val="22"/>
                <w:szCs w:val="22"/>
              </w:rPr>
              <w:t>; therefore</w:t>
            </w:r>
            <w:r w:rsidRPr="004F192E">
              <w:rPr>
                <w:rFonts w:ascii="Arial" w:hAnsi="Arial" w:cs="Arial"/>
                <w:sz w:val="22"/>
                <w:szCs w:val="22"/>
              </w:rPr>
              <w:t xml:space="preserve"> all reported attendances will be counted – i.e</w:t>
            </w:r>
            <w:r>
              <w:rPr>
                <w:rFonts w:ascii="Arial" w:hAnsi="Arial" w:cs="Arial"/>
                <w:sz w:val="22"/>
                <w:szCs w:val="22"/>
              </w:rPr>
              <w:t>.</w:t>
            </w:r>
            <w:r w:rsidRPr="004F192E">
              <w:rPr>
                <w:rFonts w:ascii="Arial" w:hAnsi="Arial" w:cs="Arial"/>
                <w:sz w:val="22"/>
                <w:szCs w:val="22"/>
              </w:rPr>
              <w:t xml:space="preserve"> a patient who DNAs twice and then Attends an FSA will be counted 3 times in this measure.</w:t>
            </w:r>
          </w:p>
          <w:p w14:paraId="6A4A9A7E" w14:textId="77777777" w:rsidR="000D527C" w:rsidRPr="004F192E" w:rsidRDefault="000D527C" w:rsidP="00F63418">
            <w:pPr>
              <w:rPr>
                <w:rFonts w:ascii="Arial" w:hAnsi="Arial" w:cs="Arial"/>
                <w:sz w:val="22"/>
                <w:szCs w:val="22"/>
              </w:rPr>
            </w:pPr>
          </w:p>
          <w:p w14:paraId="4B15BB8C" w14:textId="77777777" w:rsidR="000D527C" w:rsidRPr="004F192E" w:rsidRDefault="000D527C" w:rsidP="00F63418">
            <w:pPr>
              <w:rPr>
                <w:rFonts w:ascii="Arial" w:hAnsi="Arial" w:cs="Arial"/>
                <w:sz w:val="22"/>
                <w:szCs w:val="22"/>
              </w:rPr>
            </w:pPr>
            <w:r w:rsidRPr="004F192E">
              <w:rPr>
                <w:rFonts w:ascii="Arial" w:hAnsi="Arial" w:cs="Arial"/>
                <w:sz w:val="22"/>
                <w:szCs w:val="22"/>
              </w:rPr>
              <w:t xml:space="preserve">All Health Specialties and Purchaser Codes </w:t>
            </w:r>
            <w:r>
              <w:rPr>
                <w:rFonts w:ascii="Arial" w:hAnsi="Arial" w:cs="Arial"/>
                <w:sz w:val="22"/>
                <w:szCs w:val="22"/>
              </w:rPr>
              <w:t xml:space="preserve">with an Encounter Service Type of FSA </w:t>
            </w:r>
            <w:r w:rsidRPr="004F192E">
              <w:rPr>
                <w:rFonts w:ascii="Arial" w:hAnsi="Arial" w:cs="Arial"/>
                <w:sz w:val="22"/>
                <w:szCs w:val="22"/>
              </w:rPr>
              <w:t>reported to NPF will be included in the measure.</w:t>
            </w:r>
          </w:p>
        </w:tc>
      </w:tr>
      <w:tr w:rsidR="000D527C" w14:paraId="43EFAEF4" w14:textId="77777777" w:rsidTr="00F63418">
        <w:tc>
          <w:tcPr>
            <w:tcW w:w="1696" w:type="dxa"/>
            <w:tcBorders>
              <w:top w:val="single" w:sz="4" w:space="0" w:color="auto"/>
              <w:left w:val="single" w:sz="4" w:space="0" w:color="auto"/>
              <w:bottom w:val="single" w:sz="4" w:space="0" w:color="auto"/>
              <w:right w:val="single" w:sz="4" w:space="0" w:color="auto"/>
            </w:tcBorders>
            <w:hideMark/>
          </w:tcPr>
          <w:p w14:paraId="0352B5D0" w14:textId="77777777" w:rsidR="000D527C" w:rsidRDefault="000D527C" w:rsidP="00F63418">
            <w:pPr>
              <w:spacing w:before="120" w:after="120"/>
              <w:rPr>
                <w:rFonts w:ascii="Arial" w:hAnsi="Arial" w:cs="Arial"/>
                <w:b/>
                <w:sz w:val="22"/>
                <w:szCs w:val="22"/>
              </w:rPr>
            </w:pPr>
            <w:r>
              <w:rPr>
                <w:rFonts w:ascii="Arial" w:hAnsi="Arial" w:cs="Arial"/>
                <w:b/>
                <w:sz w:val="22"/>
                <w:szCs w:val="22"/>
              </w:rPr>
              <w:t>Equity component:</w:t>
            </w:r>
          </w:p>
        </w:tc>
        <w:tc>
          <w:tcPr>
            <w:tcW w:w="8226" w:type="dxa"/>
            <w:tcBorders>
              <w:top w:val="single" w:sz="4" w:space="0" w:color="auto"/>
              <w:left w:val="single" w:sz="4" w:space="0" w:color="auto"/>
              <w:bottom w:val="single" w:sz="4" w:space="0" w:color="auto"/>
              <w:right w:val="single" w:sz="4" w:space="0" w:color="auto"/>
            </w:tcBorders>
            <w:hideMark/>
          </w:tcPr>
          <w:p w14:paraId="17158D62" w14:textId="77777777" w:rsidR="000D527C" w:rsidRPr="004F192E" w:rsidRDefault="000D527C" w:rsidP="00F63418">
            <w:pPr>
              <w:spacing w:before="120" w:after="120"/>
              <w:rPr>
                <w:rFonts w:ascii="Arial" w:hAnsi="Arial" w:cs="Arial"/>
                <w:sz w:val="22"/>
                <w:szCs w:val="22"/>
              </w:rPr>
            </w:pPr>
            <w:r w:rsidRPr="004F192E">
              <w:rPr>
                <w:rFonts w:ascii="Arial" w:hAnsi="Arial" w:cs="Arial"/>
                <w:sz w:val="22"/>
                <w:szCs w:val="22"/>
              </w:rPr>
              <w:t xml:space="preserve">This measure identifies variation between </w:t>
            </w:r>
            <w:r>
              <w:rPr>
                <w:rFonts w:ascii="Arial" w:hAnsi="Arial" w:cs="Arial"/>
                <w:sz w:val="22"/>
                <w:szCs w:val="22"/>
              </w:rPr>
              <w:t xml:space="preserve">Maori, Pacific Island and </w:t>
            </w:r>
            <w:proofErr w:type="gramStart"/>
            <w:r>
              <w:rPr>
                <w:rFonts w:ascii="Arial" w:hAnsi="Arial" w:cs="Arial"/>
                <w:sz w:val="22"/>
                <w:szCs w:val="22"/>
              </w:rPr>
              <w:t>Non Maori</w:t>
            </w:r>
            <w:proofErr w:type="gramEnd"/>
            <w:r>
              <w:rPr>
                <w:rFonts w:ascii="Arial" w:hAnsi="Arial" w:cs="Arial"/>
                <w:sz w:val="22"/>
                <w:szCs w:val="22"/>
              </w:rPr>
              <w:t>/Non Pacific</w:t>
            </w:r>
            <w:r w:rsidRPr="004F192E">
              <w:rPr>
                <w:rFonts w:ascii="Arial" w:hAnsi="Arial" w:cs="Arial"/>
                <w:sz w:val="22"/>
                <w:szCs w:val="22"/>
              </w:rPr>
              <w:t xml:space="preserve"> populations in the DNA rate for First Specialist Assessments.</w:t>
            </w:r>
          </w:p>
          <w:p w14:paraId="30DDB183" w14:textId="77777777" w:rsidR="000D527C" w:rsidRPr="004F192E" w:rsidRDefault="000D527C" w:rsidP="00F63418">
            <w:pPr>
              <w:spacing w:before="120" w:after="120"/>
              <w:rPr>
                <w:rFonts w:ascii="Arial" w:hAnsi="Arial" w:cs="Arial"/>
                <w:sz w:val="22"/>
                <w:szCs w:val="22"/>
              </w:rPr>
            </w:pPr>
            <w:r w:rsidRPr="004F192E">
              <w:rPr>
                <w:rFonts w:ascii="Arial" w:hAnsi="Arial" w:cs="Arial"/>
                <w:sz w:val="22"/>
                <w:szCs w:val="22"/>
              </w:rPr>
              <w:t xml:space="preserve">This measure aligns to Objective Two in the Maori Health Action Plan and the objectives of He Korowai </w:t>
            </w:r>
            <w:proofErr w:type="spellStart"/>
            <w:r w:rsidRPr="001C3BD0">
              <w:rPr>
                <w:rFonts w:ascii="Arial" w:hAnsi="Arial" w:cs="Arial"/>
                <w:sz w:val="22"/>
                <w:szCs w:val="22"/>
              </w:rPr>
              <w:t>Oranga</w:t>
            </w:r>
            <w:proofErr w:type="spellEnd"/>
            <w:r w:rsidRPr="001C3BD0">
              <w:rPr>
                <w:rFonts w:ascii="Arial" w:hAnsi="Arial" w:cs="Arial"/>
                <w:sz w:val="22"/>
                <w:szCs w:val="22"/>
                <w:lang w:val="en"/>
              </w:rPr>
              <w:t>: the Māori Health Strategy</w:t>
            </w:r>
            <w:r w:rsidRPr="001C3BD0">
              <w:rPr>
                <w:rFonts w:ascii="Arial" w:hAnsi="Arial" w:cs="Arial"/>
                <w:sz w:val="22"/>
                <w:szCs w:val="22"/>
              </w:rPr>
              <w:t>.</w:t>
            </w:r>
          </w:p>
        </w:tc>
      </w:tr>
      <w:tr w:rsidR="000D527C" w14:paraId="5A7C6EB9" w14:textId="77777777" w:rsidTr="00F63418">
        <w:tc>
          <w:tcPr>
            <w:tcW w:w="1696" w:type="dxa"/>
            <w:tcBorders>
              <w:top w:val="single" w:sz="4" w:space="0" w:color="auto"/>
              <w:left w:val="single" w:sz="4" w:space="0" w:color="auto"/>
              <w:bottom w:val="single" w:sz="4" w:space="0" w:color="auto"/>
              <w:right w:val="single" w:sz="4" w:space="0" w:color="auto"/>
            </w:tcBorders>
            <w:hideMark/>
          </w:tcPr>
          <w:p w14:paraId="5D17A19A" w14:textId="77777777" w:rsidR="000D527C" w:rsidRDefault="000D527C" w:rsidP="00F63418">
            <w:pPr>
              <w:spacing w:before="120" w:after="120"/>
              <w:rPr>
                <w:rFonts w:ascii="Arial" w:hAnsi="Arial" w:cs="Arial"/>
                <w:b/>
                <w:sz w:val="22"/>
                <w:szCs w:val="22"/>
              </w:rPr>
            </w:pPr>
            <w:r>
              <w:rPr>
                <w:rFonts w:ascii="Arial" w:hAnsi="Arial" w:cs="Arial"/>
                <w:b/>
                <w:sz w:val="22"/>
                <w:szCs w:val="22"/>
              </w:rPr>
              <w:t>Reporting Source and Frequency:</w:t>
            </w:r>
          </w:p>
        </w:tc>
        <w:tc>
          <w:tcPr>
            <w:tcW w:w="8226" w:type="dxa"/>
            <w:tcBorders>
              <w:top w:val="single" w:sz="4" w:space="0" w:color="auto"/>
              <w:left w:val="single" w:sz="4" w:space="0" w:color="auto"/>
              <w:bottom w:val="single" w:sz="4" w:space="0" w:color="auto"/>
              <w:right w:val="single" w:sz="4" w:space="0" w:color="auto"/>
            </w:tcBorders>
          </w:tcPr>
          <w:p w14:paraId="6E9F7E6A" w14:textId="634F6276" w:rsidR="000D527C" w:rsidRPr="004F192E" w:rsidRDefault="000D527C" w:rsidP="00F63418">
            <w:pPr>
              <w:spacing w:before="120" w:after="120"/>
              <w:rPr>
                <w:rFonts w:ascii="Arial" w:hAnsi="Arial" w:cs="Arial"/>
                <w:sz w:val="22"/>
                <w:szCs w:val="22"/>
              </w:rPr>
            </w:pPr>
            <w:r w:rsidRPr="004F192E">
              <w:rPr>
                <w:rFonts w:ascii="Arial" w:hAnsi="Arial" w:cs="Arial"/>
                <w:sz w:val="22"/>
                <w:szCs w:val="22"/>
              </w:rPr>
              <w:t xml:space="preserve">Data will be extracted from the NPF Collection and be provided through the Quarterly Reporting database each quarter. For consistency with other NPF measures in Quarterly Reporting data will be for FSA Encounters scheduled for the previous 12 months ending one quarter in arrears. </w:t>
            </w:r>
            <w:proofErr w:type="spellStart"/>
            <w:r w:rsidRPr="004F192E">
              <w:rPr>
                <w:rFonts w:ascii="Arial" w:hAnsi="Arial" w:cs="Arial"/>
                <w:sz w:val="22"/>
                <w:szCs w:val="22"/>
              </w:rPr>
              <w:t>i.e</w:t>
            </w:r>
            <w:proofErr w:type="spellEnd"/>
            <w:r w:rsidRPr="004F192E">
              <w:rPr>
                <w:rFonts w:ascii="Arial" w:hAnsi="Arial" w:cs="Arial"/>
                <w:sz w:val="22"/>
                <w:szCs w:val="22"/>
              </w:rPr>
              <w:t xml:space="preserve"> Quarter 1 202</w:t>
            </w:r>
            <w:r w:rsidR="0059699F">
              <w:rPr>
                <w:rFonts w:ascii="Arial" w:hAnsi="Arial" w:cs="Arial"/>
                <w:sz w:val="22"/>
                <w:szCs w:val="22"/>
              </w:rPr>
              <w:t>1</w:t>
            </w:r>
            <w:r w:rsidRPr="004F192E">
              <w:rPr>
                <w:rFonts w:ascii="Arial" w:hAnsi="Arial" w:cs="Arial"/>
                <w:sz w:val="22"/>
                <w:szCs w:val="22"/>
              </w:rPr>
              <w:t>/2</w:t>
            </w:r>
            <w:r w:rsidR="0059699F">
              <w:rPr>
                <w:rFonts w:ascii="Arial" w:hAnsi="Arial" w:cs="Arial"/>
                <w:sz w:val="22"/>
                <w:szCs w:val="22"/>
              </w:rPr>
              <w:t>2</w:t>
            </w:r>
            <w:r w:rsidRPr="004F192E">
              <w:rPr>
                <w:rFonts w:ascii="Arial" w:hAnsi="Arial" w:cs="Arial"/>
                <w:sz w:val="22"/>
                <w:szCs w:val="22"/>
              </w:rPr>
              <w:t xml:space="preserve"> will be for all FSAs with an ‘Encounter End Date’ between 01 July 20</w:t>
            </w:r>
            <w:r w:rsidR="0059699F">
              <w:rPr>
                <w:rFonts w:ascii="Arial" w:hAnsi="Arial" w:cs="Arial"/>
                <w:sz w:val="22"/>
                <w:szCs w:val="22"/>
              </w:rPr>
              <w:t>20</w:t>
            </w:r>
            <w:r w:rsidRPr="004F192E">
              <w:rPr>
                <w:rFonts w:ascii="Arial" w:hAnsi="Arial" w:cs="Arial"/>
                <w:sz w:val="22"/>
                <w:szCs w:val="22"/>
              </w:rPr>
              <w:t xml:space="preserve"> and 30 June 202</w:t>
            </w:r>
            <w:r w:rsidR="0059699F">
              <w:rPr>
                <w:rFonts w:ascii="Arial" w:hAnsi="Arial" w:cs="Arial"/>
                <w:sz w:val="22"/>
                <w:szCs w:val="22"/>
              </w:rPr>
              <w:t>1</w:t>
            </w:r>
            <w:r w:rsidRPr="004F192E">
              <w:rPr>
                <w:rFonts w:ascii="Arial" w:hAnsi="Arial" w:cs="Arial"/>
                <w:sz w:val="22"/>
                <w:szCs w:val="22"/>
              </w:rPr>
              <w:t>.</w:t>
            </w:r>
          </w:p>
          <w:p w14:paraId="77C190CE" w14:textId="77777777" w:rsidR="000D527C" w:rsidRPr="004F192E" w:rsidRDefault="000D527C" w:rsidP="00F63418">
            <w:pPr>
              <w:rPr>
                <w:rFonts w:ascii="Arial" w:hAnsi="Arial" w:cs="Arial"/>
                <w:sz w:val="22"/>
                <w:szCs w:val="22"/>
              </w:rPr>
            </w:pPr>
            <w:r w:rsidRPr="004F192E">
              <w:rPr>
                <w:rFonts w:ascii="Arial" w:hAnsi="Arial" w:cs="Arial"/>
                <w:sz w:val="22"/>
                <w:szCs w:val="22"/>
              </w:rPr>
              <w:t>DHBs will need to ensure that data is appropriately provided to the N</w:t>
            </w:r>
            <w:r>
              <w:rPr>
                <w:rFonts w:ascii="Arial" w:hAnsi="Arial" w:cs="Arial"/>
                <w:sz w:val="22"/>
                <w:szCs w:val="22"/>
              </w:rPr>
              <w:t>PF</w:t>
            </w:r>
            <w:r w:rsidRPr="004F192E">
              <w:rPr>
                <w:rFonts w:ascii="Arial" w:hAnsi="Arial" w:cs="Arial"/>
                <w:sz w:val="22"/>
                <w:szCs w:val="22"/>
              </w:rPr>
              <w:t xml:space="preserve"> collection in line with the OPF.</w:t>
            </w:r>
          </w:p>
          <w:p w14:paraId="57DD290B" w14:textId="77777777" w:rsidR="000D527C" w:rsidRPr="004F192E" w:rsidRDefault="000D527C" w:rsidP="00F63418">
            <w:pPr>
              <w:spacing w:before="120" w:after="120"/>
              <w:rPr>
                <w:rFonts w:ascii="Arial" w:hAnsi="Arial" w:cs="Arial"/>
                <w:sz w:val="22"/>
                <w:szCs w:val="22"/>
              </w:rPr>
            </w:pPr>
          </w:p>
        </w:tc>
      </w:tr>
    </w:tbl>
    <w:p w14:paraId="72B0A657" w14:textId="77777777" w:rsidR="000D527C" w:rsidRDefault="000D527C" w:rsidP="000D527C">
      <w:pPr>
        <w:spacing w:before="120" w:after="120"/>
        <w:rPr>
          <w:rFonts w:ascii="Arial" w:hAnsi="Arial" w:cs="Arial"/>
          <w:sz w:val="22"/>
          <w:szCs w:val="22"/>
        </w:rPr>
      </w:pPr>
    </w:p>
    <w:p w14:paraId="7DEA5076" w14:textId="77777777" w:rsidR="000D527C" w:rsidRPr="007B3CDE" w:rsidRDefault="000D527C" w:rsidP="000D527C">
      <w:pPr>
        <w:spacing w:before="360" w:after="120" w:line="259" w:lineRule="auto"/>
        <w:rPr>
          <w:rFonts w:ascii="Arial" w:hAnsi="Arial" w:cs="Arial"/>
          <w:b/>
          <w:sz w:val="22"/>
          <w:szCs w:val="22"/>
        </w:rPr>
      </w:pPr>
      <w:r w:rsidRPr="007B3CDE">
        <w:rPr>
          <w:rFonts w:ascii="Arial" w:hAnsi="Arial" w:cs="Arial"/>
          <w:b/>
          <w:sz w:val="22"/>
          <w:szCs w:val="22"/>
        </w:rPr>
        <w:t>Reporting period</w:t>
      </w:r>
    </w:p>
    <w:p w14:paraId="38D38DEF" w14:textId="6B82289F" w:rsidR="00587CBD" w:rsidRPr="00C615A0" w:rsidRDefault="000D527C" w:rsidP="00B52B7F">
      <w:pPr>
        <w:pStyle w:val="ListParagraph"/>
        <w:spacing w:before="120" w:after="120"/>
        <w:ind w:left="0"/>
        <w:jc w:val="both"/>
        <w:rPr>
          <w:rFonts w:ascii="Arial" w:hAnsi="Arial" w:cs="Arial"/>
          <w:sz w:val="22"/>
          <w:szCs w:val="22"/>
        </w:rPr>
      </w:pPr>
      <w:r w:rsidRPr="007B3CDE">
        <w:rPr>
          <w:rFonts w:ascii="Arial" w:hAnsi="Arial" w:cs="Arial"/>
          <w:sz w:val="22"/>
          <w:szCs w:val="22"/>
        </w:rPr>
        <w:t xml:space="preserve">Performance monitoring against this measure will be undertaken </w:t>
      </w:r>
      <w:r w:rsidRPr="007B3CDE">
        <w:rPr>
          <w:rFonts w:ascii="Arial" w:hAnsi="Arial" w:cs="Arial"/>
          <w:b/>
          <w:sz w:val="22"/>
          <w:szCs w:val="22"/>
        </w:rPr>
        <w:t>quarterly</w:t>
      </w:r>
      <w:r w:rsidRPr="007B3CDE">
        <w:rPr>
          <w:rFonts w:ascii="Arial" w:hAnsi="Arial" w:cs="Arial"/>
          <w:sz w:val="22"/>
          <w:szCs w:val="22"/>
        </w:rPr>
        <w:t xml:space="preserve"> via the non-financial performance monitoring framework.  This level of reporting will provide early warnings of any DHB that </w:t>
      </w:r>
      <w:r w:rsidRPr="007B3CDE">
        <w:rPr>
          <w:rFonts w:ascii="Arial" w:hAnsi="Arial" w:cs="Arial"/>
          <w:sz w:val="22"/>
          <w:szCs w:val="22"/>
        </w:rPr>
        <w:lastRenderedPageBreak/>
        <w:t>may be experiencing difficulty in achieving their agreed expectations for the Planned Care measures and provide the opportunity for corrective actions to be undertaken.</w:t>
      </w:r>
      <w:r w:rsidR="00587CBD" w:rsidRPr="00587CBD">
        <w:rPr>
          <w:rFonts w:ascii="Arial" w:hAnsi="Arial" w:cs="Arial"/>
          <w:sz w:val="22"/>
          <w:szCs w:val="22"/>
        </w:rPr>
        <w:t xml:space="preserve"> </w:t>
      </w:r>
    </w:p>
    <w:p w14:paraId="26F8DE32" w14:textId="7D75A2B6" w:rsidR="00587CBD" w:rsidRDefault="00587CBD" w:rsidP="00587CBD">
      <w:pPr>
        <w:shd w:val="clear" w:color="auto" w:fill="D9D9D9" w:themeFill="background1" w:themeFillShade="D9"/>
        <w:spacing w:before="120" w:after="120"/>
        <w:rPr>
          <w:rFonts w:ascii="Arial" w:hAnsi="Arial" w:cs="Arial"/>
          <w:b/>
          <w:i/>
          <w:sz w:val="22"/>
          <w:szCs w:val="22"/>
        </w:rPr>
      </w:pPr>
      <w:r>
        <w:rPr>
          <w:rFonts w:ascii="Arial" w:hAnsi="Arial" w:cs="Arial"/>
          <w:b/>
          <w:i/>
          <w:sz w:val="22"/>
          <w:szCs w:val="22"/>
        </w:rPr>
        <w:t xml:space="preserve">Please note </w:t>
      </w:r>
    </w:p>
    <w:p w14:paraId="618C9887" w14:textId="0EBDF3EB" w:rsidR="00B52B7F" w:rsidRPr="007D6905" w:rsidRDefault="007B4076" w:rsidP="00587CBD">
      <w:pPr>
        <w:shd w:val="clear" w:color="auto" w:fill="D9D9D9" w:themeFill="background1" w:themeFillShade="D9"/>
        <w:spacing w:before="120" w:after="120"/>
        <w:rPr>
          <w:rFonts w:ascii="Arial" w:hAnsi="Arial" w:cs="Arial"/>
          <w:bCs/>
          <w:i/>
          <w:sz w:val="22"/>
          <w:szCs w:val="22"/>
        </w:rPr>
      </w:pPr>
      <w:bookmarkStart w:id="510" w:name="_Hlk73101526"/>
      <w:r w:rsidRPr="007D6905">
        <w:rPr>
          <w:rFonts w:ascii="Arial" w:hAnsi="Arial" w:cs="Arial"/>
          <w:bCs/>
          <w:i/>
          <w:sz w:val="22"/>
          <w:szCs w:val="22"/>
        </w:rPr>
        <w:t>Reporting of</w:t>
      </w:r>
      <w:r w:rsidR="00587CBD" w:rsidRPr="007D6905">
        <w:rPr>
          <w:rFonts w:ascii="Arial" w:hAnsi="Arial" w:cs="Arial"/>
          <w:bCs/>
          <w:i/>
          <w:sz w:val="22"/>
          <w:szCs w:val="22"/>
        </w:rPr>
        <w:t xml:space="preserve"> planned care measures 1-5 is being managed via monthly meetings – only</w:t>
      </w:r>
      <w:r w:rsidR="00EC1849">
        <w:rPr>
          <w:rFonts w:ascii="Arial" w:hAnsi="Arial" w:cs="Arial"/>
          <w:bCs/>
          <w:i/>
          <w:sz w:val="22"/>
          <w:szCs w:val="22"/>
        </w:rPr>
        <w:t xml:space="preserve"> planned care </w:t>
      </w:r>
      <w:r w:rsidR="00587CBD" w:rsidRPr="007D6905">
        <w:rPr>
          <w:rFonts w:ascii="Arial" w:hAnsi="Arial" w:cs="Arial"/>
          <w:bCs/>
          <w:i/>
          <w:sz w:val="22"/>
          <w:szCs w:val="22"/>
        </w:rPr>
        <w:t xml:space="preserve"> 6 and 7 are required to be reported through DHB quarterly reporting processes in 2021/22. </w:t>
      </w:r>
    </w:p>
    <w:bookmarkEnd w:id="510"/>
    <w:p w14:paraId="3470EBDF" w14:textId="32DCF415" w:rsidR="00587CBD" w:rsidRPr="007D6905" w:rsidRDefault="00B52B7F" w:rsidP="00587CBD">
      <w:pPr>
        <w:shd w:val="clear" w:color="auto" w:fill="D9D9D9" w:themeFill="background1" w:themeFillShade="D9"/>
        <w:spacing w:before="120" w:after="120"/>
        <w:rPr>
          <w:rFonts w:ascii="Arial" w:hAnsi="Arial" w:cs="Arial"/>
          <w:bCs/>
          <w:i/>
          <w:sz w:val="22"/>
          <w:szCs w:val="22"/>
        </w:rPr>
      </w:pPr>
      <w:r w:rsidRPr="007D6905">
        <w:rPr>
          <w:rFonts w:ascii="Arial" w:hAnsi="Arial" w:cs="Arial"/>
          <w:bCs/>
          <w:i/>
          <w:sz w:val="22"/>
          <w:szCs w:val="22"/>
        </w:rPr>
        <w:t xml:space="preserve">Reporting for this measure operates on a delayed timetable – not as per the Operational Policy Framework – as the activity needed for reporting is not complete until one month after the quarter ends. Reporting will be made available on the DHB quarterly reporting website and to DHBs via the Electives Services </w:t>
      </w:r>
      <w:proofErr w:type="spellStart"/>
      <w:r w:rsidRPr="007D6905">
        <w:rPr>
          <w:rFonts w:ascii="Arial" w:hAnsi="Arial" w:cs="Arial"/>
          <w:bCs/>
          <w:i/>
          <w:sz w:val="22"/>
          <w:szCs w:val="22"/>
        </w:rPr>
        <w:t>Quickr</w:t>
      </w:r>
      <w:proofErr w:type="spellEnd"/>
      <w:r w:rsidRPr="007D6905">
        <w:rPr>
          <w:rFonts w:ascii="Arial" w:hAnsi="Arial" w:cs="Arial"/>
          <w:bCs/>
          <w:i/>
          <w:sz w:val="22"/>
          <w:szCs w:val="22"/>
        </w:rPr>
        <w:t xml:space="preserve"> website. Electives Services Managers, and General Managers Funding and Planning will be notified via email that the data is available.</w:t>
      </w:r>
    </w:p>
    <w:p w14:paraId="70C2D3C5" w14:textId="77777777" w:rsidR="00B52B7F" w:rsidRDefault="00B52B7F" w:rsidP="00587CBD">
      <w:pPr>
        <w:shd w:val="clear" w:color="auto" w:fill="D9D9D9" w:themeFill="background1" w:themeFillShade="D9"/>
        <w:spacing w:before="120" w:after="120"/>
        <w:rPr>
          <w:rFonts w:ascii="Arial" w:hAnsi="Arial" w:cs="Arial"/>
          <w:b/>
          <w:i/>
          <w:sz w:val="22"/>
          <w:szCs w:val="22"/>
        </w:rPr>
      </w:pPr>
    </w:p>
    <w:bookmarkEnd w:id="508"/>
    <w:p w14:paraId="1F0A4089" w14:textId="77777777" w:rsidR="000D527C" w:rsidRPr="007B3CDE" w:rsidRDefault="000D527C" w:rsidP="000D527C">
      <w:pPr>
        <w:spacing w:before="360" w:after="120" w:line="259" w:lineRule="auto"/>
        <w:rPr>
          <w:rFonts w:ascii="Arial" w:hAnsi="Arial" w:cs="Arial"/>
          <w:b/>
          <w:sz w:val="22"/>
          <w:szCs w:val="22"/>
        </w:rPr>
      </w:pPr>
      <w:r w:rsidRPr="007B3CDE">
        <w:rPr>
          <w:rFonts w:ascii="Arial" w:hAnsi="Arial" w:cs="Arial"/>
          <w:b/>
          <w:sz w:val="22"/>
          <w:szCs w:val="22"/>
        </w:rPr>
        <w:t xml:space="preserve">Performance Ratings for </w:t>
      </w:r>
      <w:r>
        <w:rPr>
          <w:rFonts w:ascii="Arial" w:hAnsi="Arial" w:cs="Arial"/>
          <w:b/>
          <w:sz w:val="22"/>
          <w:szCs w:val="22"/>
        </w:rPr>
        <w:t>SS07</w:t>
      </w:r>
      <w:r w:rsidRPr="007B3CDE">
        <w:rPr>
          <w:rFonts w:ascii="Arial" w:hAnsi="Arial" w:cs="Arial"/>
          <w:b/>
          <w:sz w:val="22"/>
          <w:szCs w:val="22"/>
        </w:rPr>
        <w:t>: Planned Care Measures</w:t>
      </w:r>
    </w:p>
    <w:p w14:paraId="675A8FA0" w14:textId="77777777" w:rsidR="000D527C" w:rsidRPr="007B3CDE" w:rsidRDefault="000D527C" w:rsidP="000D527C">
      <w:pPr>
        <w:shd w:val="clear" w:color="auto" w:fill="FFFFFF"/>
        <w:spacing w:before="120" w:after="120"/>
        <w:jc w:val="both"/>
        <w:rPr>
          <w:rFonts w:ascii="Arial" w:hAnsi="Arial" w:cs="Arial"/>
          <w:sz w:val="22"/>
          <w:szCs w:val="22"/>
        </w:rPr>
      </w:pPr>
      <w:r w:rsidRPr="007B3CDE">
        <w:rPr>
          <w:rFonts w:ascii="Arial" w:hAnsi="Arial" w:cs="Arial"/>
          <w:sz w:val="22"/>
          <w:szCs w:val="22"/>
        </w:rPr>
        <w:t>A single rating will be applied to this performance measure.</w:t>
      </w:r>
    </w:p>
    <w:p w14:paraId="1844CE62" w14:textId="77777777" w:rsidR="000D527C" w:rsidRPr="007B3CDE" w:rsidRDefault="000D527C" w:rsidP="000D527C">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The following achievement scale will be applied.</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895"/>
      </w:tblGrid>
      <w:tr w:rsidR="000D527C" w:rsidRPr="007B3CDE" w14:paraId="630E1A7F" w14:textId="77777777" w:rsidTr="00F63418">
        <w:tc>
          <w:tcPr>
            <w:tcW w:w="2340" w:type="dxa"/>
            <w:tcBorders>
              <w:top w:val="single" w:sz="4" w:space="0" w:color="auto"/>
              <w:left w:val="single" w:sz="4" w:space="0" w:color="auto"/>
              <w:bottom w:val="single" w:sz="4" w:space="0" w:color="auto"/>
              <w:right w:val="single" w:sz="4" w:space="0" w:color="auto"/>
            </w:tcBorders>
            <w:shd w:val="clear" w:color="auto" w:fill="auto"/>
          </w:tcPr>
          <w:p w14:paraId="22AE569A" w14:textId="77777777" w:rsidR="000D527C" w:rsidRPr="007B3CDE" w:rsidRDefault="000D527C" w:rsidP="00F63418">
            <w:pPr>
              <w:keepNext/>
              <w:keepLines/>
              <w:shd w:val="clear" w:color="auto" w:fill="FFFFFF"/>
              <w:spacing w:before="120" w:after="120"/>
              <w:jc w:val="both"/>
              <w:rPr>
                <w:rFonts w:ascii="Arial" w:hAnsi="Arial" w:cs="Arial"/>
                <w:b/>
                <w:sz w:val="22"/>
                <w:szCs w:val="22"/>
              </w:rPr>
            </w:pPr>
            <w:r w:rsidRPr="007B3CDE">
              <w:rPr>
                <w:rFonts w:ascii="Arial" w:hAnsi="Arial" w:cs="Arial"/>
                <w:b/>
                <w:sz w:val="22"/>
                <w:szCs w:val="22"/>
              </w:rPr>
              <w:t xml:space="preserve">Rating: </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153D12FC"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b/>
                <w:sz w:val="22"/>
                <w:szCs w:val="22"/>
              </w:rPr>
              <w:t>Description</w:t>
            </w:r>
          </w:p>
        </w:tc>
      </w:tr>
      <w:tr w:rsidR="000D527C" w:rsidRPr="007B3CDE" w14:paraId="378C75A9" w14:textId="77777777" w:rsidTr="00F63418">
        <w:tc>
          <w:tcPr>
            <w:tcW w:w="2340" w:type="dxa"/>
            <w:tcBorders>
              <w:top w:val="single" w:sz="4" w:space="0" w:color="auto"/>
              <w:left w:val="single" w:sz="4" w:space="0" w:color="auto"/>
              <w:bottom w:val="single" w:sz="4" w:space="0" w:color="auto"/>
              <w:right w:val="single" w:sz="4" w:space="0" w:color="auto"/>
            </w:tcBorders>
            <w:shd w:val="clear" w:color="auto" w:fill="auto"/>
          </w:tcPr>
          <w:p w14:paraId="2F1B68E2"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Achieved</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49936B69"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The DHB has achieved against the agreed expectations for all Planned Care Measures above.</w:t>
            </w:r>
          </w:p>
        </w:tc>
      </w:tr>
      <w:tr w:rsidR="000D527C" w:rsidRPr="007B3CDE" w14:paraId="7B2DAC75" w14:textId="77777777" w:rsidTr="00F63418">
        <w:tc>
          <w:tcPr>
            <w:tcW w:w="2340" w:type="dxa"/>
            <w:tcBorders>
              <w:top w:val="single" w:sz="4" w:space="0" w:color="auto"/>
              <w:left w:val="single" w:sz="4" w:space="0" w:color="auto"/>
              <w:bottom w:val="single" w:sz="4" w:space="0" w:color="auto"/>
              <w:right w:val="single" w:sz="4" w:space="0" w:color="auto"/>
            </w:tcBorders>
            <w:shd w:val="clear" w:color="auto" w:fill="auto"/>
          </w:tcPr>
          <w:p w14:paraId="228A980F"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Partial Achievement</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39F82BC0"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The DHB has either:</w:t>
            </w:r>
          </w:p>
          <w:p w14:paraId="00B3365A" w14:textId="77777777" w:rsidR="000D527C" w:rsidRPr="007B3CDE" w:rsidRDefault="000D527C" w:rsidP="00C04FF1">
            <w:pPr>
              <w:keepNext/>
              <w:keepLines/>
              <w:numPr>
                <w:ilvl w:val="0"/>
                <w:numId w:val="109"/>
              </w:numPr>
              <w:shd w:val="clear" w:color="auto" w:fill="FFFFFF"/>
              <w:spacing w:before="120" w:after="120"/>
              <w:contextualSpacing/>
              <w:jc w:val="both"/>
              <w:rPr>
                <w:rFonts w:ascii="Arial" w:hAnsi="Arial" w:cs="Arial"/>
                <w:sz w:val="22"/>
                <w:szCs w:val="22"/>
              </w:rPr>
            </w:pPr>
            <w:r w:rsidRPr="007B3CDE">
              <w:rPr>
                <w:rFonts w:ascii="Arial" w:hAnsi="Arial" w:cs="Arial"/>
                <w:sz w:val="22"/>
                <w:szCs w:val="22"/>
              </w:rPr>
              <w:t xml:space="preserve">achieved some but not all of the Planned Care Measures </w:t>
            </w:r>
            <w:r w:rsidRPr="007B3CDE">
              <w:rPr>
                <w:rFonts w:ascii="Arial" w:hAnsi="Arial" w:cs="Arial"/>
                <w:b/>
                <w:sz w:val="22"/>
                <w:szCs w:val="22"/>
              </w:rPr>
              <w:t>AND</w:t>
            </w:r>
            <w:r w:rsidRPr="007B3CDE">
              <w:rPr>
                <w:rFonts w:ascii="Arial" w:hAnsi="Arial" w:cs="Arial"/>
                <w:sz w:val="22"/>
                <w:szCs w:val="22"/>
              </w:rPr>
              <w:t xml:space="preserve"> has provided an adequate work-out plan to reach expectations by year-end </w:t>
            </w:r>
            <w:r w:rsidRPr="007B3CDE">
              <w:rPr>
                <w:rFonts w:ascii="Arial" w:hAnsi="Arial" w:cs="Arial"/>
                <w:b/>
                <w:sz w:val="22"/>
                <w:szCs w:val="22"/>
              </w:rPr>
              <w:t>OR</w:t>
            </w:r>
            <w:r w:rsidRPr="007B3CDE">
              <w:rPr>
                <w:rFonts w:ascii="Arial" w:hAnsi="Arial" w:cs="Arial"/>
                <w:sz w:val="22"/>
                <w:szCs w:val="22"/>
              </w:rPr>
              <w:t xml:space="preserve"> </w:t>
            </w:r>
          </w:p>
          <w:p w14:paraId="7638C6C0" w14:textId="77777777" w:rsidR="000D527C" w:rsidRPr="007B3CDE" w:rsidRDefault="000D527C" w:rsidP="00C04FF1">
            <w:pPr>
              <w:keepNext/>
              <w:keepLines/>
              <w:numPr>
                <w:ilvl w:val="0"/>
                <w:numId w:val="109"/>
              </w:numPr>
              <w:shd w:val="clear" w:color="auto" w:fill="FFFFFF"/>
              <w:spacing w:before="120" w:after="120"/>
              <w:contextualSpacing/>
              <w:jc w:val="both"/>
              <w:rPr>
                <w:rFonts w:ascii="Arial" w:hAnsi="Arial" w:cs="Arial"/>
                <w:sz w:val="22"/>
                <w:szCs w:val="22"/>
              </w:rPr>
            </w:pPr>
            <w:r w:rsidRPr="007B3CDE">
              <w:rPr>
                <w:rFonts w:ascii="Arial" w:hAnsi="Arial" w:cs="Arial"/>
                <w:sz w:val="22"/>
                <w:szCs w:val="22"/>
              </w:rPr>
              <w:t>has not achieved any of the Planned Care Measures but has provided an adequate work-out plan to reach expectations by year-end.</w:t>
            </w:r>
          </w:p>
        </w:tc>
      </w:tr>
      <w:tr w:rsidR="000D527C" w:rsidRPr="007B3CDE" w14:paraId="2F9A0804" w14:textId="77777777" w:rsidTr="00F63418">
        <w:tc>
          <w:tcPr>
            <w:tcW w:w="2340" w:type="dxa"/>
            <w:tcBorders>
              <w:top w:val="single" w:sz="4" w:space="0" w:color="auto"/>
              <w:left w:val="single" w:sz="4" w:space="0" w:color="auto"/>
              <w:bottom w:val="single" w:sz="4" w:space="0" w:color="auto"/>
              <w:right w:val="single" w:sz="4" w:space="0" w:color="auto"/>
            </w:tcBorders>
            <w:shd w:val="clear" w:color="auto" w:fill="auto"/>
          </w:tcPr>
          <w:p w14:paraId="223E01DC"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Not Achieved</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3FDA2A6A" w14:textId="77777777" w:rsidR="000D527C" w:rsidRPr="007B3CDE" w:rsidRDefault="000D527C" w:rsidP="00F63418">
            <w:pPr>
              <w:keepNext/>
              <w:keepLines/>
              <w:shd w:val="clear" w:color="auto" w:fill="FFFFFF"/>
              <w:spacing w:before="120" w:after="120"/>
              <w:jc w:val="both"/>
              <w:rPr>
                <w:rFonts w:ascii="Arial" w:hAnsi="Arial" w:cs="Arial"/>
                <w:sz w:val="22"/>
                <w:szCs w:val="22"/>
              </w:rPr>
            </w:pPr>
            <w:r w:rsidRPr="007B3CDE">
              <w:rPr>
                <w:rFonts w:ascii="Arial" w:hAnsi="Arial" w:cs="Arial"/>
                <w:sz w:val="22"/>
                <w:szCs w:val="22"/>
              </w:rPr>
              <w:t xml:space="preserve">The DHB has either not achieved some or all of the Planned Care Measures </w:t>
            </w:r>
            <w:r w:rsidRPr="007B3CDE">
              <w:rPr>
                <w:rFonts w:ascii="Arial" w:hAnsi="Arial" w:cs="Arial"/>
                <w:b/>
                <w:sz w:val="22"/>
                <w:szCs w:val="22"/>
              </w:rPr>
              <w:t>AND</w:t>
            </w:r>
            <w:r w:rsidRPr="007B3CDE">
              <w:rPr>
                <w:rFonts w:ascii="Arial" w:hAnsi="Arial" w:cs="Arial"/>
                <w:sz w:val="22"/>
                <w:szCs w:val="22"/>
              </w:rPr>
              <w:t xml:space="preserve"> has not been able to provide an adequate or suitable work-out plan to reach expectations by year-end </w:t>
            </w:r>
          </w:p>
        </w:tc>
      </w:tr>
    </w:tbl>
    <w:p w14:paraId="43323D52" w14:textId="77777777" w:rsidR="000D527C" w:rsidRDefault="000D527C" w:rsidP="000D527C">
      <w:pPr>
        <w:rPr>
          <w:rFonts w:ascii="Arial" w:hAnsi="Arial" w:cs="Arial"/>
          <w:b/>
          <w:i/>
          <w:sz w:val="22"/>
          <w:szCs w:val="22"/>
        </w:rPr>
      </w:pPr>
    </w:p>
    <w:p w14:paraId="796751A5" w14:textId="77777777" w:rsidR="000D527C" w:rsidRDefault="000D527C" w:rsidP="000D527C">
      <w:pPr>
        <w:rPr>
          <w:rFonts w:ascii="Arial" w:hAnsi="Arial" w:cs="Arial"/>
          <w:b/>
          <w:i/>
          <w:sz w:val="22"/>
          <w:szCs w:val="22"/>
        </w:rPr>
      </w:pPr>
    </w:p>
    <w:p w14:paraId="30DD829C" w14:textId="77777777" w:rsidR="003E1A49" w:rsidRDefault="003E1A49">
      <w:pPr>
        <w:rPr>
          <w:rFonts w:ascii="Arial" w:hAnsi="Arial" w:cs="Arial"/>
          <w:b/>
          <w:i/>
          <w:sz w:val="22"/>
          <w:szCs w:val="22"/>
        </w:rPr>
      </w:pPr>
      <w:r>
        <w:rPr>
          <w:rFonts w:ascii="Arial" w:hAnsi="Arial" w:cs="Arial"/>
          <w:b/>
          <w:i/>
          <w:sz w:val="22"/>
          <w:szCs w:val="22"/>
        </w:rPr>
        <w:br w:type="page"/>
      </w:r>
    </w:p>
    <w:p w14:paraId="526BFB87" w14:textId="00F47651" w:rsidR="0003441E" w:rsidRPr="0066332A" w:rsidRDefault="0003441E" w:rsidP="0003441E">
      <w:pPr>
        <w:pStyle w:val="Heading2"/>
        <w:rPr>
          <w:sz w:val="24"/>
          <w:szCs w:val="24"/>
        </w:rPr>
      </w:pPr>
      <w:bookmarkStart w:id="511" w:name="_Toc4588565"/>
      <w:bookmarkStart w:id="512" w:name="_Toc4588708"/>
      <w:bookmarkStart w:id="513" w:name="_Toc9592034"/>
      <w:r w:rsidRPr="0066332A">
        <w:rPr>
          <w:sz w:val="24"/>
          <w:szCs w:val="24"/>
        </w:rPr>
        <w:lastRenderedPageBreak/>
        <w:t>Priority outcome: We live longer in good health</w:t>
      </w:r>
      <w:bookmarkEnd w:id="511"/>
      <w:bookmarkEnd w:id="512"/>
      <w:bookmarkEnd w:id="513"/>
      <w:r w:rsidRPr="0066332A">
        <w:rPr>
          <w:sz w:val="24"/>
          <w:szCs w:val="24"/>
        </w:rPr>
        <w:t xml:space="preserve"> </w:t>
      </w:r>
    </w:p>
    <w:p w14:paraId="139D4935" w14:textId="36EB607D" w:rsidR="0003441E" w:rsidRDefault="00604F7F" w:rsidP="003A3524">
      <w:pPr>
        <w:pStyle w:val="Heading2"/>
        <w:shd w:val="clear" w:color="auto" w:fill="FFFFFF" w:themeFill="background1"/>
      </w:pPr>
      <w:bookmarkStart w:id="514" w:name="_Toc4588566"/>
      <w:bookmarkStart w:id="515" w:name="_Toc9592035"/>
      <w:r w:rsidRPr="00604F7F">
        <w:t xml:space="preserve">Better population health outcomes supported by a </w:t>
      </w:r>
      <w:r>
        <w:t>s</w:t>
      </w:r>
      <w:r w:rsidR="0003441E" w:rsidRPr="003A3524">
        <w:t xml:space="preserve">trong </w:t>
      </w:r>
      <w:r w:rsidR="00951986" w:rsidRPr="003A3524">
        <w:t xml:space="preserve">and equitable health and disability </w:t>
      </w:r>
      <w:r w:rsidR="0003441E" w:rsidRPr="003A3524">
        <w:t>system SS09: Improving the quality of identity data within the National Health Index (NHI) and data submitted to National Collections</w:t>
      </w:r>
      <w:bookmarkEnd w:id="514"/>
      <w:bookmarkEnd w:id="515"/>
      <w:r w:rsidR="0003441E">
        <w:t xml:space="preserve"> </w:t>
      </w:r>
    </w:p>
    <w:p w14:paraId="72D53384" w14:textId="77777777" w:rsidR="00207E49" w:rsidRPr="002E7678" w:rsidRDefault="00207E49" w:rsidP="0003441E">
      <w:pPr>
        <w:rPr>
          <w:i/>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03441E" w:rsidRPr="00B44AD8" w14:paraId="492959D8" w14:textId="77777777" w:rsidTr="009D6F69">
        <w:tc>
          <w:tcPr>
            <w:tcW w:w="10094" w:type="dxa"/>
            <w:gridSpan w:val="2"/>
            <w:shd w:val="clear" w:color="auto" w:fill="D9D9D9"/>
          </w:tcPr>
          <w:p w14:paraId="000489DB" w14:textId="77777777" w:rsidR="0003441E" w:rsidRPr="00B44AD8" w:rsidRDefault="0003441E" w:rsidP="009D6F69">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03441E" w:rsidRPr="00B44AD8" w14:paraId="313798A3" w14:textId="77777777" w:rsidTr="009D6F69">
        <w:tc>
          <w:tcPr>
            <w:tcW w:w="2864" w:type="dxa"/>
            <w:shd w:val="clear" w:color="auto" w:fill="auto"/>
          </w:tcPr>
          <w:p w14:paraId="526891A7" w14:textId="77777777" w:rsidR="0003441E" w:rsidRPr="00B44AD8" w:rsidRDefault="0003441E"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10A8A7BC" w14:textId="77777777" w:rsidR="0003441E" w:rsidRPr="00B44AD8" w:rsidRDefault="0003441E" w:rsidP="009D6F69">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03441E" w:rsidRPr="00B44AD8" w14:paraId="3C0596FB" w14:textId="77777777" w:rsidTr="009D6F69">
        <w:trPr>
          <w:trHeight w:val="493"/>
        </w:trPr>
        <w:tc>
          <w:tcPr>
            <w:tcW w:w="2864" w:type="dxa"/>
            <w:shd w:val="clear" w:color="auto" w:fill="auto"/>
          </w:tcPr>
          <w:p w14:paraId="3CE767AD" w14:textId="77777777" w:rsidR="0003441E" w:rsidRPr="00B44AD8" w:rsidRDefault="0003441E"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1481361C" w14:textId="77777777" w:rsidR="0003441E" w:rsidRPr="00B44AD8" w:rsidRDefault="0003441E" w:rsidP="009D6F69">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03441E" w:rsidRPr="00B44AD8" w14:paraId="6DDD5227" w14:textId="77777777" w:rsidTr="009D6F69">
        <w:tc>
          <w:tcPr>
            <w:tcW w:w="2864" w:type="dxa"/>
            <w:shd w:val="clear" w:color="auto" w:fill="auto"/>
          </w:tcPr>
          <w:p w14:paraId="3D7DE79C" w14:textId="77777777" w:rsidR="0003441E" w:rsidRPr="00B44AD8" w:rsidRDefault="0003441E"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222B3001" w14:textId="77777777" w:rsidR="0003441E" w:rsidRPr="00B44AD8" w:rsidRDefault="0003441E" w:rsidP="009D6F69">
            <w:pPr>
              <w:shd w:val="clear" w:color="auto" w:fill="FFFFFF"/>
              <w:spacing w:before="60" w:after="60"/>
              <w:rPr>
                <w:rFonts w:ascii="Arial" w:hAnsi="Arial" w:cs="Arial"/>
                <w:i/>
                <w:sz w:val="20"/>
                <w:szCs w:val="20"/>
              </w:rPr>
            </w:pPr>
            <w:r>
              <w:rPr>
                <w:rFonts w:ascii="Arial" w:hAnsi="Arial" w:cs="Arial"/>
                <w:i/>
                <w:sz w:val="20"/>
                <w:szCs w:val="20"/>
              </w:rPr>
              <w:t xml:space="preserve">Reports to be supplied by DHBs as indicated </w:t>
            </w:r>
          </w:p>
        </w:tc>
      </w:tr>
      <w:tr w:rsidR="0003441E" w:rsidRPr="00B44AD8" w14:paraId="671C5807" w14:textId="77777777" w:rsidTr="009D6F69">
        <w:trPr>
          <w:trHeight w:val="2182"/>
        </w:trPr>
        <w:tc>
          <w:tcPr>
            <w:tcW w:w="2864" w:type="dxa"/>
            <w:shd w:val="clear" w:color="auto" w:fill="auto"/>
          </w:tcPr>
          <w:p w14:paraId="5EA5A06C" w14:textId="77777777" w:rsidR="0003441E" w:rsidRPr="00B44AD8" w:rsidRDefault="0003441E"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13082BA0" w14:textId="77777777" w:rsidR="0003441E" w:rsidRPr="00B44AD8" w:rsidRDefault="0003441E"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03441E" w:rsidRPr="00B44AD8" w14:paraId="443887D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E4B2D"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E412"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03441E" w:rsidRPr="00B44AD8" w14:paraId="592BD422"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116E8"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89227"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03441E" w:rsidRPr="00B44AD8" w14:paraId="728C58EE"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00C2"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7D53D"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03441E" w:rsidRPr="00B44AD8" w14:paraId="1E3A8434"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C8AA7"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DEFD" w14:textId="77777777" w:rsidR="0003441E" w:rsidRPr="00B44AD8" w:rsidRDefault="0003441E"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45EE6EC5" w14:textId="77777777" w:rsidR="0003441E" w:rsidRPr="00B44AD8" w:rsidRDefault="0003441E" w:rsidP="009D6F69">
            <w:pPr>
              <w:shd w:val="clear" w:color="auto" w:fill="FFFFFF"/>
              <w:spacing w:before="60" w:after="60"/>
              <w:jc w:val="both"/>
              <w:rPr>
                <w:rFonts w:ascii="Arial" w:hAnsi="Arial" w:cs="Arial"/>
                <w:i/>
                <w:sz w:val="16"/>
                <w:szCs w:val="16"/>
              </w:rPr>
            </w:pPr>
          </w:p>
        </w:tc>
      </w:tr>
    </w:tbl>
    <w:p w14:paraId="4569E3ED" w14:textId="77777777" w:rsidR="0003441E" w:rsidRPr="003028EF" w:rsidRDefault="0003441E" w:rsidP="0003441E">
      <w:pPr>
        <w:pStyle w:val="SubOne"/>
        <w:shd w:val="clear" w:color="auto" w:fill="FFFFFF"/>
        <w:spacing w:before="60" w:after="60"/>
        <w:jc w:val="both"/>
        <w:rPr>
          <w:i/>
        </w:rPr>
      </w:pPr>
      <w:r w:rsidRPr="005D6BDC">
        <w:t>L</w:t>
      </w:r>
      <w:r>
        <w:t>ink to outcomes and priority areas</w:t>
      </w:r>
    </w:p>
    <w:p w14:paraId="0A59DDB5" w14:textId="77777777" w:rsidR="0003441E" w:rsidRDefault="0003441E" w:rsidP="0003441E">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4E0FD9D8" w14:textId="77777777" w:rsidR="001B0F22" w:rsidRDefault="001B0F22" w:rsidP="001B0F22">
      <w:pPr>
        <w:spacing w:before="60" w:after="60"/>
        <w:jc w:val="both"/>
        <w:rPr>
          <w:rFonts w:ascii="Arial" w:hAnsi="Arial" w:cs="Arial"/>
          <w:sz w:val="20"/>
          <w:szCs w:val="20"/>
          <w:lang w:val="en-US"/>
        </w:rPr>
      </w:pPr>
      <w:r w:rsidRPr="002E7678">
        <w:rPr>
          <w:rFonts w:ascii="Arial" w:hAnsi="Arial" w:cs="Arial"/>
          <w:sz w:val="20"/>
          <w:szCs w:val="20"/>
        </w:rPr>
        <w:t xml:space="preserve">By ensuring strong data quality DHBs will support strong service planning and analytics that will in turn help to deliver Government's priority to ensure everyone who is able is earning, learning, </w:t>
      </w:r>
      <w:proofErr w:type="gramStart"/>
      <w:r w:rsidRPr="002E7678">
        <w:rPr>
          <w:rFonts w:ascii="Arial" w:hAnsi="Arial" w:cs="Arial"/>
          <w:sz w:val="20"/>
          <w:szCs w:val="20"/>
        </w:rPr>
        <w:t>caring</w:t>
      </w:r>
      <w:proofErr w:type="gramEnd"/>
      <w:r w:rsidRPr="002E7678">
        <w:rPr>
          <w:rFonts w:ascii="Arial" w:hAnsi="Arial" w:cs="Arial"/>
          <w:sz w:val="20"/>
          <w:szCs w:val="20"/>
        </w:rPr>
        <w:t xml:space="preserve"> or volunteering and our system outcome that we</w:t>
      </w:r>
      <w:r w:rsidRPr="002E7678">
        <w:rPr>
          <w:rFonts w:ascii="Arial" w:hAnsi="Arial" w:cs="Arial"/>
          <w:sz w:val="20"/>
          <w:szCs w:val="20"/>
          <w:lang w:val="en-US"/>
        </w:rPr>
        <w:t xml:space="preserve"> live longer in good health.</w:t>
      </w:r>
    </w:p>
    <w:p w14:paraId="728960B2" w14:textId="512513AD" w:rsidR="001B0F22" w:rsidRDefault="001B0F22" w:rsidP="001B0F22">
      <w:pPr>
        <w:spacing w:before="60" w:after="60"/>
        <w:jc w:val="both"/>
        <w:rPr>
          <w:rFonts w:ascii="Arial" w:hAnsi="Arial" w:cs="Arial"/>
          <w:sz w:val="20"/>
          <w:szCs w:val="20"/>
        </w:rPr>
      </w:pPr>
      <w:r>
        <w:rPr>
          <w:rFonts w:ascii="Arial" w:hAnsi="Arial" w:cs="Arial"/>
          <w:sz w:val="20"/>
          <w:szCs w:val="20"/>
        </w:rPr>
        <w:t>By ensuring the quality of the data it provides to the National Collections Systems, the DHB will enable accessibility in the health system. Quality data supports good policy making, decision-making and planning, ensuring people can obtain health care at the right place and right time taking account of different population needs. This happens through DHBs sharing their information, ensuring their population has the most up to date and accurate demographic data and the monitoring and analysis done by the Ministry of Health and health researchers.</w:t>
      </w:r>
    </w:p>
    <w:p w14:paraId="1B4F8A79" w14:textId="77777777" w:rsidR="001B0F22" w:rsidRDefault="001B0F22" w:rsidP="001B0F22">
      <w:pPr>
        <w:pBdr>
          <w:top w:val="single" w:sz="12" w:space="1" w:color="auto"/>
        </w:pBdr>
        <w:spacing w:before="120" w:after="120"/>
        <w:jc w:val="both"/>
        <w:rPr>
          <w:rFonts w:ascii="Arial" w:hAnsi="Arial" w:cs="Arial"/>
          <w:sz w:val="20"/>
          <w:szCs w:val="20"/>
        </w:rPr>
      </w:pPr>
      <w:r>
        <w:rPr>
          <w:rFonts w:ascii="Arial" w:hAnsi="Arial" w:cs="Arial"/>
          <w:sz w:val="20"/>
          <w:szCs w:val="20"/>
        </w:rPr>
        <w:t>This supports a strong public health system by ensuring the data used in decision making is robust and accurate. Decision making based on high quality data ensures research and policy decisions lead to a healthy population, a high quality of life and a system that is equitable. High quality data underpins all aspects of the health sector</w:t>
      </w:r>
    </w:p>
    <w:p w14:paraId="7BFA8C02"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t xml:space="preserve">DHBs are the primary data stewards of the NHI as the master ‘source of truth’ patient identity system used by all health providers. Ensuring that patient identity is correctly established, confirmed and maintained means that DHBs are able to accurately identify patients, and make sure clinicians can access all relevant health information, previous history and warnings and alerts for them.  This means increased patient safety, leading to the health and disability system and services being trusted and used with confidence.  It also means reduced duplication and consequent reduction of time and effort spent resolving duplicates to maintain unique identifiers.  </w:t>
      </w:r>
    </w:p>
    <w:p w14:paraId="55DA24CF" w14:textId="77777777" w:rsidR="0003441E" w:rsidRPr="007F157F" w:rsidRDefault="0003441E" w:rsidP="0003441E">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Primary health care providers now have the ability to directly maintain and add records to the NHI via the National Enrolment Service. This is a significant shift in practice at the primary care level. DHBs’ data stewardship of the NHI will be extended to their enrolled populations in primary care via the Primary Health Organisation (PHO) Services Agreement and the </w:t>
      </w:r>
      <w:proofErr w:type="gramStart"/>
      <w:r w:rsidRPr="007F157F">
        <w:rPr>
          <w:rFonts w:ascii="Arial" w:eastAsia="Calibri" w:hAnsi="Arial" w:cs="Arial"/>
          <w:sz w:val="20"/>
          <w:szCs w:val="20"/>
        </w:rPr>
        <w:t>Back to Back</w:t>
      </w:r>
      <w:proofErr w:type="gramEnd"/>
      <w:r w:rsidRPr="007F157F">
        <w:rPr>
          <w:rFonts w:ascii="Arial" w:eastAsia="Calibri" w:hAnsi="Arial" w:cs="Arial"/>
          <w:sz w:val="20"/>
          <w:szCs w:val="20"/>
        </w:rPr>
        <w:t xml:space="preserve"> Agreements PHOs have with their contracted primary care providers. Monitoring of NHI quality in the enrolled populations of primary care providers under each DHB will be incorporated in the reporting DHBs receive from the Ministry.</w:t>
      </w:r>
    </w:p>
    <w:p w14:paraId="2CC2EB3F" w14:textId="77777777" w:rsidR="0003441E" w:rsidRPr="007F157F" w:rsidRDefault="0003441E" w:rsidP="0003441E">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By ensuring the quality of the data it provides to the National Collections Systems, the DHB and its contracted primary care providers will impact the outcome of unifying and improving the health and disability system.  Quality data </w:t>
      </w:r>
      <w:r w:rsidRPr="007F157F">
        <w:rPr>
          <w:rFonts w:ascii="Arial" w:eastAsia="Calibri" w:hAnsi="Arial" w:cs="Arial"/>
          <w:sz w:val="20"/>
          <w:szCs w:val="20"/>
        </w:rPr>
        <w:lastRenderedPageBreak/>
        <w:t>supports good policy making, decision-making and planning.  It also helps identify and address issues and improve services across the whole health and disability system through improving hospital productivity.  This happens through DHBs sharing their information, and monitoring and analysis done by the Ministry of Health and health researchers.</w:t>
      </w:r>
    </w:p>
    <w:p w14:paraId="4CC7A5C1" w14:textId="77777777" w:rsidR="0003441E" w:rsidRPr="007F157F" w:rsidRDefault="0003441E" w:rsidP="0003441E">
      <w:pPr>
        <w:spacing w:before="60" w:after="60" w:line="276" w:lineRule="auto"/>
        <w:jc w:val="both"/>
        <w:rPr>
          <w:rFonts w:ascii="Arial" w:eastAsia="Calibri" w:hAnsi="Arial" w:cs="Arial"/>
          <w:b/>
          <w:sz w:val="20"/>
          <w:szCs w:val="20"/>
        </w:rPr>
      </w:pPr>
    </w:p>
    <w:p w14:paraId="222EBD19" w14:textId="77777777" w:rsidR="0003441E" w:rsidRPr="007F157F" w:rsidRDefault="0003441E" w:rsidP="0003441E">
      <w:pPr>
        <w:spacing w:before="60" w:after="60" w:line="276" w:lineRule="auto"/>
        <w:jc w:val="both"/>
        <w:rPr>
          <w:rFonts w:ascii="Arial" w:eastAsia="Calibri" w:hAnsi="Arial" w:cs="Arial"/>
          <w:b/>
          <w:sz w:val="20"/>
          <w:szCs w:val="20"/>
        </w:rPr>
      </w:pPr>
      <w:r w:rsidRPr="007F157F">
        <w:rPr>
          <w:rFonts w:ascii="Arial" w:eastAsia="Calibri" w:hAnsi="Arial" w:cs="Arial"/>
          <w:b/>
          <w:sz w:val="20"/>
          <w:szCs w:val="20"/>
        </w:rPr>
        <w:t>Actions and activities that have a proven impact on this measure:</w:t>
      </w:r>
    </w:p>
    <w:p w14:paraId="761935B4" w14:textId="77777777" w:rsidR="0003441E" w:rsidRPr="007F157F" w:rsidRDefault="0003441E" w:rsidP="0003441E">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Following are the actions and activities that have a proven impact on the indicators within this measure:</w:t>
      </w:r>
    </w:p>
    <w:p w14:paraId="402E417D" w14:textId="77777777" w:rsidR="0003441E" w:rsidRPr="007F157F" w:rsidRDefault="0003441E" w:rsidP="0003441E">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NHI </w:t>
      </w:r>
    </w:p>
    <w:p w14:paraId="49931F11"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New NHI registration in error (causing duplication):  Users of the NHI interface must be fully trained in search and evaluation techniques and receive regular refresher training to maintain skills and knowledge.  DHBs should provide feedback to individuals involved in instances of duplication detected by monitoring. In cases where this has been produced at the primary care level, feedback should be channelled through the contracted primary care provider’s PHO. Business processes should support users in establishment, </w:t>
      </w:r>
      <w:proofErr w:type="gramStart"/>
      <w:r w:rsidRPr="007F157F">
        <w:rPr>
          <w:rFonts w:ascii="Arial" w:eastAsia="Calibri" w:hAnsi="Arial" w:cs="Arial"/>
          <w:sz w:val="20"/>
          <w:szCs w:val="20"/>
        </w:rPr>
        <w:t>confirmation</w:t>
      </w:r>
      <w:proofErr w:type="gramEnd"/>
      <w:r w:rsidRPr="007F157F">
        <w:rPr>
          <w:rFonts w:ascii="Arial" w:eastAsia="Calibri" w:hAnsi="Arial" w:cs="Arial"/>
          <w:sz w:val="20"/>
          <w:szCs w:val="20"/>
        </w:rPr>
        <w:t xml:space="preserve"> and maintenance of identity – e.g. use of forms for patients to record details.  DHB subscribing Patient Management System (PMS) interfaces to the NHI must be compliant with relevant Standards and technical specifications at all times and present correct and meaningful warning and error messages.</w:t>
      </w:r>
    </w:p>
    <w:p w14:paraId="2C1BB408"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Recording of non-specific ethnicity:  Users of the NHI interface must be fully trained in ethnicity collection and recording processes as set out in the Ethnicity Data Protocols for the Health &amp; Disability Sector.  This should include use of the Ethnicity Data Audit Tool described in measure PP32 “Improving the quality of ethnicity data collection in PHO and NHI registers”. DHB’s should provide feedback to individuals involved in instances of recording non-specific values in either new registration or update of records.  Business processes should support users in accurate collection and recording e.g. use of the Standard ethnicity question, follow-up with a presenting patient to obtain specific ethnicity if a referral was received with no or non-specific ethnicity.  DHB subscribing Patient Management System (PMS) interfaces to the NHI must be compliant with relevant Standards and technical specifications at all times.</w:t>
      </w:r>
    </w:p>
    <w:p w14:paraId="3DD65D1D"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Address validation quality:  Users of the NHI interface must be fully trained in recording patient addresses in a way which validate against the Standard.  DHBs should provide feedback to individuals involved in instances of </w:t>
      </w:r>
      <w:proofErr w:type="gramStart"/>
      <w:r w:rsidRPr="007F157F">
        <w:rPr>
          <w:rFonts w:ascii="Arial" w:eastAsia="Calibri" w:hAnsi="Arial" w:cs="Arial"/>
          <w:sz w:val="20"/>
          <w:szCs w:val="20"/>
        </w:rPr>
        <w:t>poor quality</w:t>
      </w:r>
      <w:proofErr w:type="gramEnd"/>
      <w:r w:rsidRPr="007F157F">
        <w:rPr>
          <w:rFonts w:ascii="Arial" w:eastAsia="Calibri" w:hAnsi="Arial" w:cs="Arial"/>
          <w:sz w:val="20"/>
          <w:szCs w:val="20"/>
        </w:rPr>
        <w:t xml:space="preserve"> addresses where validation should have been possible.  Business processes should support users in accurate collection, recording and validation of addresses.   DHB subscribing Patient Management System (PMS) interfaces to the NHI must be compliant with relevant Standards and technical specifications at all times.</w:t>
      </w:r>
    </w:p>
    <w:p w14:paraId="63BF02F1"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Invalid NHI data updates causing potential identity confusion (overlay):  Users of the NHI interface must be fully trained in the process of confirming and maintaining patient identity information i.e. selection of the correct person/record and updates to existing data elements of name, DOB, </w:t>
      </w:r>
      <w:proofErr w:type="gramStart"/>
      <w:r w:rsidRPr="007F157F">
        <w:rPr>
          <w:rFonts w:ascii="Arial" w:eastAsia="Calibri" w:hAnsi="Arial" w:cs="Arial"/>
          <w:sz w:val="20"/>
          <w:szCs w:val="20"/>
        </w:rPr>
        <w:t>gender</w:t>
      </w:r>
      <w:proofErr w:type="gramEnd"/>
      <w:r w:rsidRPr="007F157F">
        <w:rPr>
          <w:rFonts w:ascii="Arial" w:eastAsia="Calibri" w:hAnsi="Arial" w:cs="Arial"/>
          <w:sz w:val="20"/>
          <w:szCs w:val="20"/>
        </w:rPr>
        <w:t xml:space="preserve"> or address.  DHB’s should provide feedback to individuals involved in instances of updates to these data fields that are subsequently confirmed to be invalid.  Business processes should support users in accurate collection and recording of data elements egg, seeking additional confirmation of a change in DOB.  DHB subscribing Patient Management System (PMS) interfaces to the NHI must be compliant with relevant Standards and technical specifications at all times and present correct and meaningful warning and error messages.</w:t>
      </w:r>
    </w:p>
    <w:p w14:paraId="31E0B67C" w14:textId="77777777" w:rsidR="0003441E" w:rsidRPr="007F157F" w:rsidRDefault="0003441E" w:rsidP="0003441E">
      <w:pPr>
        <w:spacing w:before="60" w:after="60" w:line="276" w:lineRule="auto"/>
        <w:ind w:left="720"/>
        <w:jc w:val="both"/>
        <w:rPr>
          <w:rFonts w:ascii="Arial" w:eastAsia="Calibri" w:hAnsi="Arial" w:cs="Arial"/>
          <w:sz w:val="20"/>
          <w:szCs w:val="20"/>
        </w:rPr>
      </w:pPr>
    </w:p>
    <w:p w14:paraId="14C59235" w14:textId="77777777" w:rsidR="0003441E" w:rsidRPr="007F157F" w:rsidRDefault="0003441E" w:rsidP="0003441E">
      <w:pPr>
        <w:spacing w:before="60" w:after="60" w:line="276" w:lineRule="auto"/>
        <w:jc w:val="both"/>
        <w:rPr>
          <w:rFonts w:ascii="Arial" w:eastAsia="Calibri" w:hAnsi="Arial" w:cs="Arial"/>
          <w:sz w:val="20"/>
          <w:szCs w:val="20"/>
        </w:rPr>
      </w:pPr>
    </w:p>
    <w:p w14:paraId="7A86C8F4" w14:textId="77777777" w:rsidR="0003441E" w:rsidRPr="007F157F" w:rsidRDefault="0003441E" w:rsidP="0003441E">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National collections</w:t>
      </w:r>
    </w:p>
    <w:p w14:paraId="1FD82058"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Assessment of data reported to the NMDS.  It is recommended that DHBs monitor the standard classification concepts versus the clinical statements for the specified range of diagnosis codes.  </w:t>
      </w:r>
    </w:p>
    <w:p w14:paraId="415D926E" w14:textId="77777777" w:rsidR="0003441E" w:rsidRPr="007F157F" w:rsidRDefault="0003441E" w:rsidP="0003441E">
      <w:pPr>
        <w:spacing w:before="60" w:after="60" w:line="276" w:lineRule="auto"/>
        <w:ind w:left="720"/>
        <w:jc w:val="both"/>
        <w:rPr>
          <w:rFonts w:ascii="Arial" w:eastAsia="Calibri" w:hAnsi="Arial" w:cs="Arial"/>
          <w:sz w:val="20"/>
          <w:szCs w:val="20"/>
        </w:rPr>
      </w:pPr>
      <w:r w:rsidRPr="007F157F">
        <w:rPr>
          <w:rFonts w:ascii="Arial" w:eastAsia="Calibri" w:hAnsi="Arial" w:cs="Arial"/>
          <w:sz w:val="20"/>
          <w:szCs w:val="20"/>
        </w:rPr>
        <w:t xml:space="preserve">The Ministry encourages DHBs to update their business processes so that detailed information is recorded in the clinical record and is made available to enable clinical coders to extract the detailed clinical statements to improve the clarity and context of the information reported to the NMDS. Where standard classification concepts are reported to the NMDS this is an indication that the clinical record lacked detailed information.   DHBs are encouraged to work with clinical staff and clinical coders to ensure the information recorded in the clinical record provides the specificity for quality clinically coded data to be reported to the NMDS.  </w:t>
      </w:r>
    </w:p>
    <w:p w14:paraId="3DC76439"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lastRenderedPageBreak/>
        <w:t xml:space="preserve">Timeliness of NNPAC data: This is a new measure; however DHBs that are successful on this indicator have a data warehouse which holds data across all of their outpatient services.  They will continually monitor data quality and update their records and have regular communication with other DHBs in their region.   </w:t>
      </w:r>
    </w:p>
    <w:p w14:paraId="255CA584"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NBRS events for exited treated patients match to NNPAC or NMDS events: DHBs that are successful on this indicator have integrated patient management systems for NBRS and outpatient and inpatient data.  They use the data from both sources as part of their patient reporting and internal performance monitoring.  </w:t>
      </w:r>
    </w:p>
    <w:p w14:paraId="6E468561" w14:textId="77777777" w:rsidR="0003441E" w:rsidRPr="007F157F" w:rsidRDefault="0003441E" w:rsidP="00363573">
      <w:pPr>
        <w:numPr>
          <w:ilvl w:val="0"/>
          <w:numId w:val="30"/>
        </w:num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National Collections file load success rate: DHBs that have a high file load success rate for NMDS, NBRS, NNPAC and PRIMHD data are those organisations that have built the business rules into their extracts.  They also use the same data to monitor and report within their own organisations as they report to the national collections; thus any systemic data quality issues are identified before the information is provided to the Ministry of Health.  </w:t>
      </w:r>
    </w:p>
    <w:p w14:paraId="2277BE92" w14:textId="77777777" w:rsidR="0003441E" w:rsidRPr="007F157F" w:rsidRDefault="0003441E" w:rsidP="00363573">
      <w:pPr>
        <w:numPr>
          <w:ilvl w:val="0"/>
          <w:numId w:val="30"/>
        </w:numPr>
        <w:spacing w:before="60" w:after="60" w:line="276" w:lineRule="auto"/>
        <w:jc w:val="both"/>
        <w:rPr>
          <w:rFonts w:ascii="Arial" w:hAnsi="Arial" w:cs="Arial"/>
          <w:sz w:val="20"/>
          <w:szCs w:val="20"/>
        </w:rPr>
      </w:pPr>
      <w:r w:rsidRPr="007F157F">
        <w:rPr>
          <w:rFonts w:ascii="Arial" w:hAnsi="Arial" w:cs="Arial"/>
          <w:sz w:val="20"/>
          <w:szCs w:val="20"/>
        </w:rPr>
        <w:t xml:space="preserve">PRIMHD data quality: PRIMHD data will be assured by a routine internal audit thus any systematic data quality issues are identified before the information is provided to the Ministry of Health.  </w:t>
      </w:r>
    </w:p>
    <w:p w14:paraId="66D6A2E8" w14:textId="77777777" w:rsidR="0003441E" w:rsidRPr="007F157F" w:rsidRDefault="0003441E" w:rsidP="0003441E">
      <w:pPr>
        <w:pBdr>
          <w:top w:val="single" w:sz="12" w:space="1" w:color="auto"/>
        </w:pBdr>
        <w:spacing w:before="120" w:after="120"/>
        <w:jc w:val="both"/>
        <w:rPr>
          <w:rFonts w:ascii="Arial" w:hAnsi="Arial" w:cs="Arial"/>
          <w:b/>
          <w:sz w:val="20"/>
          <w:szCs w:val="20"/>
        </w:rPr>
      </w:pPr>
      <w:proofErr w:type="gramStart"/>
      <w:r w:rsidRPr="007F157F">
        <w:rPr>
          <w:rFonts w:ascii="Arial" w:hAnsi="Arial" w:cs="Arial"/>
          <w:b/>
          <w:sz w:val="20"/>
          <w:szCs w:val="20"/>
        </w:rPr>
        <w:t>Deliverables</w:t>
      </w:r>
      <w:proofErr w:type="gramEnd"/>
      <w:r w:rsidRPr="007F157F">
        <w:rPr>
          <w:rFonts w:ascii="Arial" w:hAnsi="Arial" w:cs="Arial"/>
          <w:b/>
          <w:sz w:val="20"/>
          <w:szCs w:val="20"/>
        </w:rPr>
        <w:t xml:space="preserve"> definitions</w:t>
      </w:r>
    </w:p>
    <w:p w14:paraId="53347D24" w14:textId="77777777" w:rsidR="0003441E" w:rsidRPr="007F157F" w:rsidRDefault="0003441E" w:rsidP="0003441E">
      <w:pPr>
        <w:pBdr>
          <w:top w:val="single" w:sz="12" w:space="1" w:color="auto"/>
        </w:pBdr>
        <w:spacing w:before="120" w:after="120"/>
        <w:jc w:val="both"/>
        <w:rPr>
          <w:rFonts w:ascii="Arial" w:hAnsi="Arial" w:cs="Arial"/>
          <w:sz w:val="20"/>
          <w:szCs w:val="20"/>
        </w:rPr>
      </w:pPr>
      <w:r w:rsidRPr="007F157F">
        <w:rPr>
          <w:rFonts w:ascii="Arial" w:hAnsi="Arial" w:cs="Arial"/>
          <w:sz w:val="20"/>
          <w:szCs w:val="20"/>
        </w:rPr>
        <w:t>This measure has three parts as set out below:</w:t>
      </w:r>
    </w:p>
    <w:p w14:paraId="1FB1A645" w14:textId="77777777" w:rsidR="0003441E" w:rsidRPr="007F157F" w:rsidRDefault="0003441E" w:rsidP="0003441E">
      <w:pPr>
        <w:pBdr>
          <w:top w:val="single" w:sz="12" w:space="1" w:color="auto"/>
        </w:pBdr>
        <w:spacing w:before="120" w:after="120"/>
        <w:jc w:val="both"/>
        <w:rPr>
          <w:rFonts w:ascii="Arial" w:hAnsi="Arial" w:cs="Arial"/>
          <w:sz w:val="20"/>
          <w:szCs w:val="20"/>
        </w:rPr>
      </w:pPr>
      <w:r w:rsidRPr="007F157F">
        <w:rPr>
          <w:rFonts w:ascii="Arial" w:hAnsi="Arial" w:cs="Arial"/>
          <w:b/>
          <w:sz w:val="20"/>
          <w:szCs w:val="20"/>
          <w:highlight w:val="lightGray"/>
        </w:rPr>
        <w:t>Focus area 1</w:t>
      </w:r>
      <w:r w:rsidRPr="007F157F">
        <w:rPr>
          <w:rFonts w:ascii="Arial" w:hAnsi="Arial" w:cs="Arial"/>
          <w:sz w:val="20"/>
          <w:szCs w:val="20"/>
        </w:rPr>
        <w:t>:</w:t>
      </w:r>
      <w:r w:rsidRPr="007F157F">
        <w:rPr>
          <w:rFonts w:ascii="Arial" w:hAnsi="Arial" w:cs="Arial"/>
          <w:bCs/>
          <w:iCs/>
          <w:kern w:val="32"/>
          <w:sz w:val="20"/>
          <w:szCs w:val="20"/>
        </w:rPr>
        <w:t xml:space="preserve"> Improving the quality of identity data within the NHI</w:t>
      </w:r>
    </w:p>
    <w:p w14:paraId="7D4476E2" w14:textId="77777777" w:rsidR="0003441E" w:rsidRPr="007F157F" w:rsidRDefault="0003441E" w:rsidP="0003441E">
      <w:pPr>
        <w:pBdr>
          <w:top w:val="single" w:sz="12" w:space="1" w:color="auto"/>
        </w:pBdr>
        <w:spacing w:before="120" w:after="120"/>
        <w:jc w:val="both"/>
        <w:rPr>
          <w:rFonts w:ascii="Arial" w:hAnsi="Arial" w:cs="Arial"/>
          <w:bCs/>
          <w:iCs/>
          <w:kern w:val="32"/>
          <w:sz w:val="20"/>
          <w:szCs w:val="20"/>
        </w:rPr>
      </w:pPr>
      <w:r w:rsidRPr="007F157F">
        <w:rPr>
          <w:rFonts w:ascii="Arial" w:hAnsi="Arial" w:cs="Arial"/>
          <w:b/>
          <w:sz w:val="20"/>
          <w:szCs w:val="20"/>
          <w:highlight w:val="lightGray"/>
        </w:rPr>
        <w:t>Focus area 2</w:t>
      </w:r>
      <w:r w:rsidRPr="007F157F">
        <w:rPr>
          <w:rFonts w:ascii="Arial" w:hAnsi="Arial" w:cs="Arial"/>
          <w:sz w:val="20"/>
          <w:szCs w:val="20"/>
          <w:highlight w:val="lightGray"/>
        </w:rPr>
        <w:t>:</w:t>
      </w:r>
      <w:r w:rsidRPr="007F157F">
        <w:rPr>
          <w:rFonts w:ascii="Arial" w:hAnsi="Arial" w:cs="Arial"/>
          <w:sz w:val="20"/>
          <w:szCs w:val="20"/>
        </w:rPr>
        <w:t xml:space="preserve"> Improving the quality of d</w:t>
      </w:r>
      <w:r w:rsidRPr="007F157F">
        <w:rPr>
          <w:rFonts w:ascii="Arial" w:hAnsi="Arial" w:cs="Arial"/>
          <w:bCs/>
          <w:iCs/>
          <w:kern w:val="32"/>
          <w:sz w:val="20"/>
          <w:szCs w:val="20"/>
        </w:rPr>
        <w:t xml:space="preserve">ata submitted to National Collections  </w:t>
      </w:r>
    </w:p>
    <w:p w14:paraId="4691C9CA" w14:textId="77777777" w:rsidR="0003441E" w:rsidRPr="007F157F" w:rsidRDefault="0003441E" w:rsidP="0003441E">
      <w:pPr>
        <w:widowControl w:val="0"/>
        <w:tabs>
          <w:tab w:val="num" w:pos="1995"/>
        </w:tabs>
        <w:spacing w:before="60"/>
        <w:ind w:left="1418" w:hanging="1418"/>
        <w:rPr>
          <w:rFonts w:ascii="Arial" w:hAnsi="Arial" w:cs="Arial"/>
          <w:sz w:val="20"/>
          <w:szCs w:val="20"/>
          <w:lang w:eastAsia="en-GB"/>
        </w:rPr>
      </w:pPr>
      <w:r w:rsidRPr="007F157F">
        <w:rPr>
          <w:rFonts w:ascii="Arial" w:hAnsi="Arial" w:cs="Arial"/>
          <w:b/>
          <w:bCs/>
          <w:iCs/>
          <w:kern w:val="32"/>
          <w:sz w:val="20"/>
          <w:szCs w:val="20"/>
          <w:highlight w:val="lightGray"/>
          <w:lang w:eastAsia="en-GB"/>
        </w:rPr>
        <w:t>Focus area 3</w:t>
      </w:r>
      <w:r w:rsidRPr="007F157F">
        <w:rPr>
          <w:rFonts w:ascii="Arial" w:hAnsi="Arial" w:cs="Arial"/>
          <w:bCs/>
          <w:iCs/>
          <w:kern w:val="32"/>
          <w:sz w:val="20"/>
          <w:szCs w:val="20"/>
          <w:highlight w:val="lightGray"/>
          <w:lang w:eastAsia="en-GB"/>
        </w:rPr>
        <w:t>:</w:t>
      </w:r>
      <w:r w:rsidRPr="007F157F">
        <w:rPr>
          <w:rFonts w:ascii="Arial" w:hAnsi="Arial" w:cs="Arial"/>
          <w:bCs/>
          <w:iCs/>
          <w:kern w:val="32"/>
          <w:sz w:val="20"/>
          <w:szCs w:val="20"/>
          <w:lang w:eastAsia="en-GB"/>
        </w:rPr>
        <w:t xml:space="preserve"> Improving the quality of the </w:t>
      </w:r>
      <w:r w:rsidRPr="007F157F">
        <w:rPr>
          <w:rFonts w:ascii="Arial" w:hAnsi="Arial" w:cs="Arial"/>
          <w:sz w:val="20"/>
          <w:szCs w:val="20"/>
          <w:lang w:eastAsia="en-GB"/>
        </w:rPr>
        <w:t>Programme for the Integration of Mental Health data (PRIMHD)</w:t>
      </w:r>
    </w:p>
    <w:p w14:paraId="61F736CD" w14:textId="77777777" w:rsidR="0003441E" w:rsidRPr="007F157F" w:rsidRDefault="0003441E" w:rsidP="0003441E">
      <w:pPr>
        <w:pBdr>
          <w:top w:val="single" w:sz="12" w:space="1" w:color="auto"/>
        </w:pBdr>
        <w:spacing w:before="120" w:after="120"/>
        <w:jc w:val="both"/>
        <w:rPr>
          <w:rFonts w:ascii="Arial" w:hAnsi="Arial" w:cs="Arial"/>
          <w:b/>
          <w:sz w:val="20"/>
          <w:szCs w:val="20"/>
          <w:highlight w:val="lightGray"/>
        </w:rPr>
      </w:pPr>
    </w:p>
    <w:p w14:paraId="63FE504E" w14:textId="77777777" w:rsidR="0003441E" w:rsidRPr="007F157F" w:rsidRDefault="0003441E" w:rsidP="0003441E">
      <w:pPr>
        <w:pBdr>
          <w:top w:val="single" w:sz="12" w:space="1" w:color="auto"/>
        </w:pBdr>
        <w:spacing w:before="120" w:after="120"/>
        <w:jc w:val="both"/>
        <w:rPr>
          <w:rFonts w:ascii="Arial" w:hAnsi="Arial" w:cs="Arial"/>
          <w:b/>
          <w:bCs/>
          <w:iCs/>
          <w:kern w:val="32"/>
          <w:sz w:val="20"/>
          <w:szCs w:val="20"/>
        </w:rPr>
      </w:pPr>
      <w:r w:rsidRPr="007F157F">
        <w:rPr>
          <w:rFonts w:ascii="Arial" w:hAnsi="Arial" w:cs="Arial"/>
          <w:b/>
          <w:sz w:val="20"/>
          <w:szCs w:val="20"/>
          <w:highlight w:val="lightGray"/>
        </w:rPr>
        <w:t>Focus area 1:</w:t>
      </w:r>
      <w:r w:rsidRPr="007F157F">
        <w:rPr>
          <w:rFonts w:ascii="Arial" w:hAnsi="Arial" w:cs="Arial"/>
          <w:b/>
          <w:bCs/>
          <w:iCs/>
          <w:kern w:val="32"/>
          <w:sz w:val="20"/>
          <w:szCs w:val="20"/>
          <w:highlight w:val="lightGray"/>
        </w:rPr>
        <w:t xml:space="preserve"> Improving the quality of identity data within the NHI</w:t>
      </w:r>
    </w:p>
    <w:p w14:paraId="2E5BA783" w14:textId="77777777" w:rsidR="0003441E" w:rsidRPr="007F157F" w:rsidRDefault="0003441E" w:rsidP="0003441E">
      <w:pPr>
        <w:spacing w:before="60" w:after="60"/>
        <w:ind w:left="1440" w:hanging="1440"/>
        <w:jc w:val="both"/>
        <w:rPr>
          <w:rFonts w:ascii="Arial" w:hAnsi="Arial" w:cs="Arial"/>
          <w:sz w:val="20"/>
          <w:szCs w:val="20"/>
          <w:u w:val="single"/>
        </w:rPr>
      </w:pPr>
      <w:r w:rsidRPr="007F157F">
        <w:rPr>
          <w:rFonts w:ascii="Arial" w:hAnsi="Arial" w:cs="Arial"/>
          <w:b/>
          <w:i/>
          <w:sz w:val="20"/>
          <w:szCs w:val="20"/>
        </w:rPr>
        <w:t>Indicator 1:</w:t>
      </w:r>
      <w:r w:rsidRPr="007F157F">
        <w:rPr>
          <w:rFonts w:ascii="Arial" w:hAnsi="Arial" w:cs="Arial"/>
          <w:sz w:val="20"/>
          <w:szCs w:val="20"/>
        </w:rPr>
        <w:t xml:space="preserve"> </w:t>
      </w:r>
      <w:r w:rsidRPr="007F157F">
        <w:rPr>
          <w:rFonts w:ascii="Arial" w:hAnsi="Arial" w:cs="Arial"/>
          <w:sz w:val="20"/>
          <w:szCs w:val="20"/>
        </w:rPr>
        <w:tab/>
        <w:t>New NHI registration in error (causing</w:t>
      </w:r>
      <w:r w:rsidRPr="007F157F">
        <w:rPr>
          <w:rFonts w:ascii="Arial" w:hAnsi="Arial" w:cs="Arial"/>
          <w:sz w:val="20"/>
          <w:szCs w:val="20"/>
          <w:u w:val="single"/>
        </w:rPr>
        <w:t xml:space="preserve"> duplication)</w:t>
      </w:r>
    </w:p>
    <w:p w14:paraId="0D362B01" w14:textId="77777777" w:rsidR="0003441E" w:rsidRPr="007F157F" w:rsidRDefault="0003441E" w:rsidP="0003441E">
      <w:pPr>
        <w:spacing w:before="60" w:after="60"/>
        <w:jc w:val="both"/>
        <w:rPr>
          <w:rFonts w:ascii="Arial" w:hAnsi="Arial" w:cs="Arial"/>
          <w:sz w:val="20"/>
          <w:szCs w:val="20"/>
        </w:rPr>
      </w:pPr>
    </w:p>
    <w:p w14:paraId="721C73BE" w14:textId="77777777" w:rsidR="0003441E" w:rsidRPr="007F157F" w:rsidRDefault="0003441E" w:rsidP="0003441E">
      <w:pPr>
        <w:tabs>
          <w:tab w:val="left" w:pos="3060"/>
        </w:tabs>
        <w:spacing w:before="60" w:after="60"/>
        <w:ind w:left="3060" w:hanging="1620"/>
        <w:jc w:val="both"/>
        <w:rPr>
          <w:rFonts w:ascii="Arial" w:hAnsi="Arial" w:cs="Arial"/>
          <w:sz w:val="20"/>
          <w:szCs w:val="20"/>
        </w:rPr>
      </w:pPr>
      <w:r w:rsidRPr="007F157F">
        <w:rPr>
          <w:rFonts w:ascii="Arial" w:hAnsi="Arial" w:cs="Arial"/>
          <w:b/>
          <w:sz w:val="20"/>
          <w:szCs w:val="20"/>
        </w:rPr>
        <w:t>Numerator:</w:t>
      </w:r>
      <w:r w:rsidRPr="007F157F">
        <w:rPr>
          <w:rFonts w:ascii="Arial" w:hAnsi="Arial" w:cs="Arial"/>
          <w:sz w:val="20"/>
          <w:szCs w:val="20"/>
        </w:rPr>
        <w:tab/>
        <w:t xml:space="preserve">Number of new NHI registrations requiring subsequent linking by MOH per DHB per quarter.  It excludes pre-allocated NHI numbers used, </w:t>
      </w:r>
      <w:proofErr w:type="spellStart"/>
      <w:r w:rsidRPr="007F157F">
        <w:rPr>
          <w:rFonts w:ascii="Arial" w:hAnsi="Arial" w:cs="Arial"/>
          <w:sz w:val="20"/>
          <w:szCs w:val="20"/>
        </w:rPr>
        <w:t>newborn</w:t>
      </w:r>
      <w:proofErr w:type="spellEnd"/>
      <w:r w:rsidRPr="007F157F">
        <w:rPr>
          <w:rFonts w:ascii="Arial" w:hAnsi="Arial" w:cs="Arial"/>
          <w:sz w:val="20"/>
          <w:szCs w:val="20"/>
        </w:rPr>
        <w:t xml:space="preserve"> NHI registrations and unidentified patient NHI registrations. It is cumulative across the quarter.</w:t>
      </w:r>
    </w:p>
    <w:p w14:paraId="48912A92" w14:textId="77777777" w:rsidR="0003441E" w:rsidRPr="007F157F" w:rsidRDefault="0003441E" w:rsidP="0003441E">
      <w:pPr>
        <w:tabs>
          <w:tab w:val="left" w:pos="3060"/>
        </w:tabs>
        <w:spacing w:before="60" w:after="60"/>
        <w:ind w:left="3060" w:hanging="1620"/>
        <w:jc w:val="both"/>
        <w:rPr>
          <w:rFonts w:ascii="Arial" w:hAnsi="Arial" w:cs="Arial"/>
          <w:sz w:val="20"/>
          <w:szCs w:val="20"/>
        </w:rPr>
      </w:pPr>
      <w:r w:rsidRPr="007F157F">
        <w:rPr>
          <w:rFonts w:ascii="Arial" w:hAnsi="Arial" w:cs="Arial"/>
          <w:b/>
          <w:sz w:val="20"/>
          <w:szCs w:val="20"/>
        </w:rPr>
        <w:t>Denominator:</w:t>
      </w:r>
      <w:r w:rsidRPr="007F157F">
        <w:rPr>
          <w:rFonts w:ascii="Arial" w:hAnsi="Arial" w:cs="Arial"/>
          <w:sz w:val="20"/>
          <w:szCs w:val="20"/>
        </w:rPr>
        <w:tab/>
        <w:t xml:space="preserve">Total number of new NHI registrations per DHB per quarter (excluding pre-allocated NHI numbers, </w:t>
      </w:r>
      <w:proofErr w:type="spellStart"/>
      <w:r w:rsidRPr="007F157F">
        <w:rPr>
          <w:rFonts w:ascii="Arial" w:hAnsi="Arial" w:cs="Arial"/>
          <w:sz w:val="20"/>
          <w:szCs w:val="20"/>
        </w:rPr>
        <w:t>newborn</w:t>
      </w:r>
      <w:proofErr w:type="spellEnd"/>
      <w:r w:rsidRPr="007F157F">
        <w:rPr>
          <w:rFonts w:ascii="Arial" w:hAnsi="Arial" w:cs="Arial"/>
          <w:sz w:val="20"/>
          <w:szCs w:val="20"/>
        </w:rPr>
        <w:t xml:space="preserve"> registrations and unidentified patient NHI registrations).</w:t>
      </w:r>
    </w:p>
    <w:p w14:paraId="041B0845" w14:textId="77777777" w:rsidR="0003441E" w:rsidRPr="007F157F" w:rsidRDefault="0003441E" w:rsidP="0003441E">
      <w:pPr>
        <w:tabs>
          <w:tab w:val="left" w:pos="3060"/>
        </w:tabs>
        <w:spacing w:before="60" w:after="60"/>
        <w:ind w:left="3060" w:hanging="1620"/>
        <w:jc w:val="both"/>
        <w:rPr>
          <w:rFonts w:ascii="Arial" w:hAnsi="Arial" w:cs="Arial"/>
          <w:sz w:val="20"/>
          <w:szCs w:val="20"/>
        </w:rPr>
      </w:pPr>
    </w:p>
    <w:p w14:paraId="1C1901C1" w14:textId="77777777" w:rsidR="0003441E" w:rsidRPr="007F157F" w:rsidRDefault="0003441E" w:rsidP="0003441E">
      <w:pPr>
        <w:ind w:left="1440" w:hanging="1440"/>
        <w:rPr>
          <w:rFonts w:ascii="Arial" w:hAnsi="Arial" w:cs="Arial"/>
          <w:sz w:val="20"/>
          <w:szCs w:val="20"/>
          <w:u w:val="single"/>
        </w:rPr>
      </w:pPr>
      <w:r w:rsidRPr="007F157F">
        <w:rPr>
          <w:rFonts w:ascii="Arial" w:hAnsi="Arial" w:cs="Arial"/>
          <w:b/>
          <w:i/>
          <w:sz w:val="20"/>
          <w:szCs w:val="20"/>
        </w:rPr>
        <w:t>Indicator 2</w:t>
      </w:r>
      <w:r w:rsidRPr="007F157F">
        <w:rPr>
          <w:rFonts w:ascii="Arial" w:hAnsi="Arial" w:cs="Arial"/>
          <w:b/>
          <w:sz w:val="20"/>
          <w:szCs w:val="20"/>
        </w:rPr>
        <w:t>:</w:t>
      </w:r>
      <w:r w:rsidRPr="007F157F">
        <w:rPr>
          <w:rFonts w:ascii="Arial" w:hAnsi="Arial" w:cs="Arial"/>
          <w:sz w:val="20"/>
          <w:szCs w:val="20"/>
        </w:rPr>
        <w:t xml:space="preserve"> </w:t>
      </w:r>
      <w:r w:rsidRPr="007F157F">
        <w:rPr>
          <w:rFonts w:ascii="Arial" w:hAnsi="Arial" w:cs="Arial"/>
          <w:sz w:val="20"/>
          <w:szCs w:val="20"/>
        </w:rPr>
        <w:tab/>
      </w:r>
      <w:r w:rsidRPr="007F157F">
        <w:rPr>
          <w:rFonts w:ascii="Arial" w:eastAsia="Calibri" w:hAnsi="Arial" w:cs="Arial"/>
          <w:sz w:val="20"/>
          <w:szCs w:val="20"/>
        </w:rPr>
        <w:t>Recording of non-specific ethnicity</w:t>
      </w:r>
      <w:r w:rsidRPr="007F157F">
        <w:rPr>
          <w:rFonts w:ascii="Arial" w:hAnsi="Arial" w:cs="Arial"/>
          <w:sz w:val="20"/>
          <w:szCs w:val="20"/>
        </w:rPr>
        <w:t xml:space="preserve"> in new NHI registration</w:t>
      </w:r>
    </w:p>
    <w:p w14:paraId="066515EB" w14:textId="77777777" w:rsidR="0003441E" w:rsidRPr="007F157F" w:rsidRDefault="0003441E" w:rsidP="0003441E">
      <w:pPr>
        <w:ind w:left="1440" w:hanging="1440"/>
        <w:rPr>
          <w:rFonts w:ascii="Arial" w:hAnsi="Arial" w:cs="Arial"/>
          <w:sz w:val="20"/>
          <w:szCs w:val="20"/>
        </w:rPr>
      </w:pPr>
      <w:r w:rsidRPr="007F157F">
        <w:rPr>
          <w:rFonts w:ascii="Arial" w:hAnsi="Arial" w:cs="Arial"/>
          <w:sz w:val="20"/>
          <w:szCs w:val="20"/>
          <w:u w:val="single"/>
        </w:rPr>
        <w:t xml:space="preserve"> </w:t>
      </w:r>
    </w:p>
    <w:p w14:paraId="6F0692D0" w14:textId="77777777" w:rsidR="0003441E" w:rsidRPr="007F157F" w:rsidRDefault="0003441E" w:rsidP="0003441E">
      <w:pPr>
        <w:tabs>
          <w:tab w:val="left" w:pos="3060"/>
        </w:tabs>
        <w:spacing w:before="60" w:after="60"/>
        <w:ind w:left="3060" w:hanging="1620"/>
        <w:jc w:val="both"/>
        <w:rPr>
          <w:rFonts w:ascii="Arial" w:hAnsi="Arial" w:cs="Arial"/>
          <w:sz w:val="20"/>
          <w:szCs w:val="20"/>
        </w:rPr>
      </w:pPr>
      <w:r w:rsidRPr="007F157F">
        <w:rPr>
          <w:rFonts w:ascii="Arial" w:hAnsi="Arial" w:cs="Arial"/>
          <w:b/>
          <w:sz w:val="20"/>
          <w:szCs w:val="20"/>
        </w:rPr>
        <w:t>Numerator:</w:t>
      </w:r>
      <w:r w:rsidRPr="007F157F">
        <w:rPr>
          <w:rFonts w:ascii="Arial" w:hAnsi="Arial" w:cs="Arial"/>
          <w:sz w:val="20"/>
          <w:szCs w:val="20"/>
        </w:rPr>
        <w:t xml:space="preserve"> </w:t>
      </w:r>
      <w:r w:rsidRPr="007F157F">
        <w:rPr>
          <w:rFonts w:ascii="Arial" w:hAnsi="Arial" w:cs="Arial"/>
          <w:sz w:val="20"/>
          <w:szCs w:val="20"/>
        </w:rPr>
        <w:tab/>
        <w:t>Total number of new NHI registrations with ethnicity recorded as ‘Not Stated’ (99) or ‘Response Unidentifiable’ (97) per DHB per quarter.  It excludes pre-allocated NHI numbers used and unidentified patient NHI registrations.  It is cumulative across the quarter.</w:t>
      </w:r>
    </w:p>
    <w:p w14:paraId="6A3B2979" w14:textId="77777777" w:rsidR="0003441E" w:rsidRPr="007F157F" w:rsidRDefault="0003441E" w:rsidP="0003441E">
      <w:pPr>
        <w:rPr>
          <w:rFonts w:ascii="Arial" w:hAnsi="Arial" w:cs="Arial"/>
          <w:sz w:val="20"/>
          <w:szCs w:val="20"/>
        </w:rPr>
      </w:pPr>
    </w:p>
    <w:p w14:paraId="7AB30728" w14:textId="77777777" w:rsidR="0003441E" w:rsidRPr="007F157F" w:rsidRDefault="0003441E" w:rsidP="0003441E">
      <w:pPr>
        <w:tabs>
          <w:tab w:val="left" w:pos="1701"/>
          <w:tab w:val="left" w:pos="3060"/>
        </w:tabs>
        <w:spacing w:before="60" w:after="60"/>
        <w:ind w:left="3060" w:hanging="1620"/>
        <w:rPr>
          <w:rFonts w:ascii="Arial" w:hAnsi="Arial" w:cs="Arial"/>
          <w:sz w:val="20"/>
          <w:szCs w:val="20"/>
        </w:rPr>
      </w:pPr>
      <w:r w:rsidRPr="007F157F">
        <w:rPr>
          <w:rFonts w:ascii="Arial" w:hAnsi="Arial" w:cs="Arial"/>
          <w:b/>
          <w:sz w:val="20"/>
          <w:szCs w:val="20"/>
        </w:rPr>
        <w:tab/>
        <w:t>Denominator:</w:t>
      </w:r>
      <w:r w:rsidRPr="007F157F">
        <w:rPr>
          <w:rFonts w:ascii="Arial" w:hAnsi="Arial" w:cs="Arial"/>
          <w:sz w:val="20"/>
          <w:szCs w:val="20"/>
        </w:rPr>
        <w:t xml:space="preserve"> Total number of new NHI registrations per DHB per quarter (excluding pre-allocated NHI numbers, and unidentified patient NHI registrations)</w:t>
      </w:r>
    </w:p>
    <w:p w14:paraId="41268191" w14:textId="77777777" w:rsidR="0003441E" w:rsidRPr="007F157F" w:rsidRDefault="0003441E" w:rsidP="0003441E">
      <w:pPr>
        <w:tabs>
          <w:tab w:val="left" w:pos="3119"/>
        </w:tabs>
        <w:rPr>
          <w:rFonts w:ascii="Arial" w:hAnsi="Arial" w:cs="Arial"/>
          <w:i/>
          <w:sz w:val="20"/>
          <w:szCs w:val="20"/>
        </w:rPr>
      </w:pPr>
    </w:p>
    <w:p w14:paraId="7D457136" w14:textId="77777777" w:rsidR="0003441E" w:rsidRPr="007F157F" w:rsidRDefault="0003441E" w:rsidP="0003441E">
      <w:pPr>
        <w:ind w:left="1440" w:hanging="1440"/>
        <w:rPr>
          <w:rFonts w:ascii="Arial" w:eastAsia="Calibri" w:hAnsi="Arial" w:cs="Arial"/>
          <w:sz w:val="20"/>
          <w:szCs w:val="20"/>
        </w:rPr>
      </w:pPr>
      <w:r w:rsidRPr="007F157F">
        <w:rPr>
          <w:rFonts w:ascii="Arial" w:hAnsi="Arial" w:cs="Arial"/>
          <w:b/>
          <w:i/>
          <w:sz w:val="20"/>
          <w:szCs w:val="20"/>
        </w:rPr>
        <w:t>Indicator 3</w:t>
      </w:r>
      <w:r w:rsidRPr="007F157F">
        <w:rPr>
          <w:rFonts w:ascii="Arial" w:hAnsi="Arial" w:cs="Arial"/>
          <w:b/>
          <w:sz w:val="20"/>
          <w:szCs w:val="20"/>
        </w:rPr>
        <w:t>:</w:t>
      </w:r>
      <w:r w:rsidRPr="007F157F">
        <w:rPr>
          <w:rFonts w:ascii="Arial" w:hAnsi="Arial" w:cs="Arial"/>
          <w:sz w:val="20"/>
          <w:szCs w:val="20"/>
        </w:rPr>
        <w:t xml:space="preserve"> </w:t>
      </w:r>
      <w:r w:rsidRPr="007F157F">
        <w:rPr>
          <w:rFonts w:ascii="Arial" w:hAnsi="Arial" w:cs="Arial"/>
          <w:sz w:val="20"/>
          <w:szCs w:val="20"/>
        </w:rPr>
        <w:tab/>
      </w:r>
      <w:r w:rsidRPr="007F157F">
        <w:rPr>
          <w:rFonts w:ascii="Arial" w:eastAsia="Calibri" w:hAnsi="Arial" w:cs="Arial"/>
          <w:sz w:val="20"/>
          <w:szCs w:val="20"/>
        </w:rPr>
        <w:t xml:space="preserve">Update of specific ethnicity value in existing NHI record with a non-specific value </w:t>
      </w:r>
    </w:p>
    <w:p w14:paraId="6C152724" w14:textId="77777777" w:rsidR="0003441E" w:rsidRPr="007F157F" w:rsidRDefault="0003441E" w:rsidP="0003441E">
      <w:pPr>
        <w:ind w:left="1440" w:hanging="1440"/>
        <w:rPr>
          <w:rFonts w:ascii="Arial" w:hAnsi="Arial" w:cs="Arial"/>
          <w:sz w:val="20"/>
          <w:szCs w:val="20"/>
        </w:rPr>
      </w:pPr>
      <w:r w:rsidRPr="007F157F">
        <w:rPr>
          <w:rFonts w:ascii="Arial" w:hAnsi="Arial" w:cs="Arial"/>
          <w:sz w:val="20"/>
          <w:szCs w:val="20"/>
          <w:u w:val="single"/>
        </w:rPr>
        <w:t xml:space="preserve"> </w:t>
      </w:r>
    </w:p>
    <w:p w14:paraId="028B7A1B" w14:textId="77777777" w:rsidR="0003441E" w:rsidRPr="007F157F" w:rsidRDefault="0003441E" w:rsidP="0003441E">
      <w:pPr>
        <w:tabs>
          <w:tab w:val="left" w:pos="3060"/>
        </w:tabs>
        <w:spacing w:before="60" w:after="60"/>
        <w:ind w:left="3060" w:hanging="1620"/>
        <w:jc w:val="both"/>
        <w:rPr>
          <w:rFonts w:ascii="Arial" w:hAnsi="Arial" w:cs="Arial"/>
          <w:sz w:val="20"/>
          <w:szCs w:val="20"/>
        </w:rPr>
      </w:pPr>
      <w:r w:rsidRPr="007F157F">
        <w:rPr>
          <w:rFonts w:ascii="Arial" w:hAnsi="Arial" w:cs="Arial"/>
          <w:b/>
          <w:sz w:val="20"/>
          <w:szCs w:val="20"/>
        </w:rPr>
        <w:t>Numerator:</w:t>
      </w:r>
      <w:r w:rsidRPr="007F157F">
        <w:rPr>
          <w:rFonts w:ascii="Arial" w:hAnsi="Arial" w:cs="Arial"/>
          <w:sz w:val="20"/>
          <w:szCs w:val="20"/>
        </w:rPr>
        <w:t xml:space="preserve"> </w:t>
      </w:r>
      <w:r w:rsidRPr="007F157F">
        <w:rPr>
          <w:rFonts w:ascii="Arial" w:hAnsi="Arial" w:cs="Arial"/>
          <w:sz w:val="20"/>
          <w:szCs w:val="20"/>
        </w:rPr>
        <w:tab/>
        <w:t>Total number of updates to any ethnicity field in an existing NHI record with a non-specific value (‘Not Stated’ [99] or ‘Response Unidentifiable’ [97]) where a specific value existed in that field, per DHB per quarter</w:t>
      </w:r>
    </w:p>
    <w:p w14:paraId="3BD8122F" w14:textId="77777777" w:rsidR="0003441E" w:rsidRPr="007F157F" w:rsidRDefault="0003441E" w:rsidP="0003441E">
      <w:pPr>
        <w:rPr>
          <w:rFonts w:ascii="Arial" w:hAnsi="Arial" w:cs="Arial"/>
          <w:sz w:val="20"/>
          <w:szCs w:val="20"/>
        </w:rPr>
      </w:pPr>
    </w:p>
    <w:p w14:paraId="6B3E6DA4" w14:textId="77777777" w:rsidR="0003441E" w:rsidRPr="007F157F" w:rsidRDefault="0003441E" w:rsidP="0003441E">
      <w:pPr>
        <w:tabs>
          <w:tab w:val="left" w:pos="1701"/>
          <w:tab w:val="left" w:pos="3060"/>
        </w:tabs>
        <w:spacing w:before="60" w:after="60"/>
        <w:ind w:left="3060" w:hanging="1620"/>
        <w:rPr>
          <w:rFonts w:ascii="Arial" w:hAnsi="Arial" w:cs="Arial"/>
          <w:sz w:val="20"/>
          <w:szCs w:val="20"/>
        </w:rPr>
      </w:pPr>
      <w:r w:rsidRPr="007F157F">
        <w:rPr>
          <w:rFonts w:ascii="Arial" w:hAnsi="Arial" w:cs="Arial"/>
          <w:b/>
          <w:sz w:val="20"/>
          <w:szCs w:val="20"/>
        </w:rPr>
        <w:t>Denominator:</w:t>
      </w:r>
      <w:r w:rsidRPr="007F157F">
        <w:rPr>
          <w:rFonts w:ascii="Arial" w:hAnsi="Arial" w:cs="Arial"/>
          <w:sz w:val="20"/>
          <w:szCs w:val="20"/>
        </w:rPr>
        <w:t xml:space="preserve">  Total number of NHI ethnicity updates per DHB per quarter </w:t>
      </w:r>
    </w:p>
    <w:p w14:paraId="550111E1" w14:textId="77777777" w:rsidR="0003441E" w:rsidRPr="007F157F" w:rsidRDefault="0003441E" w:rsidP="0003441E">
      <w:pPr>
        <w:tabs>
          <w:tab w:val="left" w:pos="1701"/>
          <w:tab w:val="left" w:pos="3060"/>
        </w:tabs>
        <w:spacing w:before="60" w:after="60"/>
        <w:ind w:left="3060" w:hanging="1620"/>
        <w:rPr>
          <w:rFonts w:ascii="Arial" w:hAnsi="Arial" w:cs="Arial"/>
          <w:sz w:val="20"/>
          <w:szCs w:val="20"/>
        </w:rPr>
      </w:pPr>
    </w:p>
    <w:p w14:paraId="2517D4C2" w14:textId="77777777" w:rsidR="0003441E" w:rsidRPr="007F157F" w:rsidRDefault="0003441E" w:rsidP="0003441E">
      <w:pPr>
        <w:ind w:left="1440" w:hanging="1440"/>
        <w:rPr>
          <w:rFonts w:ascii="Arial" w:hAnsi="Arial" w:cs="Arial"/>
          <w:sz w:val="20"/>
          <w:szCs w:val="20"/>
        </w:rPr>
      </w:pPr>
      <w:r w:rsidRPr="007F157F">
        <w:rPr>
          <w:rFonts w:ascii="Arial" w:hAnsi="Arial" w:cs="Arial"/>
          <w:b/>
          <w:i/>
          <w:sz w:val="20"/>
          <w:szCs w:val="20"/>
        </w:rPr>
        <w:t>Indicator 4</w:t>
      </w:r>
      <w:r w:rsidRPr="007F157F">
        <w:rPr>
          <w:rFonts w:ascii="Arial" w:hAnsi="Arial" w:cs="Arial"/>
          <w:b/>
          <w:sz w:val="20"/>
          <w:szCs w:val="20"/>
        </w:rPr>
        <w:t>:</w:t>
      </w:r>
      <w:r w:rsidRPr="007F157F">
        <w:rPr>
          <w:rFonts w:ascii="Arial" w:hAnsi="Arial" w:cs="Arial"/>
          <w:sz w:val="20"/>
          <w:szCs w:val="20"/>
        </w:rPr>
        <w:t xml:space="preserve"> </w:t>
      </w:r>
      <w:r w:rsidRPr="007F157F">
        <w:rPr>
          <w:rFonts w:ascii="Arial" w:hAnsi="Arial" w:cs="Arial"/>
          <w:sz w:val="20"/>
          <w:szCs w:val="20"/>
        </w:rPr>
        <w:tab/>
      </w:r>
      <w:r w:rsidRPr="007F157F">
        <w:rPr>
          <w:rFonts w:ascii="Arial" w:eastAsia="Calibri" w:hAnsi="Arial" w:cs="Arial"/>
          <w:sz w:val="20"/>
          <w:szCs w:val="20"/>
        </w:rPr>
        <w:t xml:space="preserve">Invalid NHI data updates </w:t>
      </w:r>
    </w:p>
    <w:p w14:paraId="1E49DF29" w14:textId="77777777" w:rsidR="0003441E" w:rsidRPr="007F157F" w:rsidRDefault="0003441E" w:rsidP="0003441E">
      <w:pPr>
        <w:ind w:left="1440" w:hanging="1440"/>
        <w:rPr>
          <w:rFonts w:ascii="Arial" w:hAnsi="Arial" w:cs="Arial"/>
          <w:sz w:val="20"/>
          <w:szCs w:val="20"/>
        </w:rPr>
      </w:pPr>
    </w:p>
    <w:p w14:paraId="1302E2B7" w14:textId="77777777" w:rsidR="0003441E" w:rsidRPr="007F157F" w:rsidRDefault="0003441E" w:rsidP="0003441E">
      <w:pPr>
        <w:ind w:left="3119" w:hanging="1440"/>
        <w:rPr>
          <w:rFonts w:ascii="Arial" w:hAnsi="Arial" w:cs="Arial"/>
          <w:sz w:val="20"/>
          <w:szCs w:val="20"/>
        </w:rPr>
      </w:pPr>
      <w:r w:rsidRPr="007F157F">
        <w:rPr>
          <w:rFonts w:ascii="Arial" w:hAnsi="Arial" w:cs="Arial"/>
          <w:b/>
          <w:sz w:val="20"/>
          <w:szCs w:val="20"/>
        </w:rPr>
        <w:lastRenderedPageBreak/>
        <w:t>Numerator:</w:t>
      </w:r>
      <w:r w:rsidRPr="007F157F">
        <w:rPr>
          <w:rFonts w:ascii="Arial" w:hAnsi="Arial" w:cs="Arial"/>
          <w:sz w:val="20"/>
          <w:szCs w:val="20"/>
        </w:rPr>
        <w:t xml:space="preserve"> </w:t>
      </w:r>
      <w:r w:rsidRPr="007F157F">
        <w:rPr>
          <w:rFonts w:ascii="Arial" w:hAnsi="Arial" w:cs="Arial"/>
          <w:bCs/>
          <w:color w:val="000000"/>
          <w:sz w:val="20"/>
          <w:szCs w:val="20"/>
          <w:lang w:eastAsia="en-NZ"/>
        </w:rPr>
        <w:t>Confirmed incorrect updates</w:t>
      </w:r>
      <w:r w:rsidRPr="007F157F">
        <w:rPr>
          <w:rFonts w:ascii="Arial" w:hAnsi="Arial" w:cs="Arial"/>
          <w:sz w:val="20"/>
          <w:szCs w:val="20"/>
        </w:rPr>
        <w:t xml:space="preserve"> </w:t>
      </w:r>
    </w:p>
    <w:p w14:paraId="70C05082" w14:textId="77777777" w:rsidR="0003441E" w:rsidRPr="007F157F" w:rsidRDefault="0003441E" w:rsidP="0003441E">
      <w:pPr>
        <w:tabs>
          <w:tab w:val="left" w:pos="1701"/>
          <w:tab w:val="left" w:pos="3060"/>
        </w:tabs>
        <w:spacing w:before="60" w:after="60"/>
        <w:ind w:left="3060" w:hanging="1620"/>
        <w:rPr>
          <w:rFonts w:ascii="Arial" w:hAnsi="Arial" w:cs="Arial"/>
          <w:sz w:val="20"/>
          <w:szCs w:val="20"/>
        </w:rPr>
      </w:pPr>
      <w:r w:rsidRPr="007F157F">
        <w:rPr>
          <w:rFonts w:ascii="Arial" w:hAnsi="Arial" w:cs="Arial"/>
          <w:b/>
          <w:sz w:val="20"/>
          <w:szCs w:val="20"/>
        </w:rPr>
        <w:tab/>
        <w:t>Denominator:</w:t>
      </w:r>
      <w:r w:rsidRPr="007F157F">
        <w:rPr>
          <w:rFonts w:ascii="Arial" w:hAnsi="Arial" w:cs="Arial"/>
          <w:sz w:val="20"/>
          <w:szCs w:val="20"/>
        </w:rPr>
        <w:t xml:space="preserve"> </w:t>
      </w:r>
      <w:r w:rsidRPr="007F157F">
        <w:rPr>
          <w:rFonts w:ascii="Arial" w:hAnsi="Arial" w:cs="Arial"/>
          <w:bCs/>
          <w:color w:val="000000"/>
          <w:sz w:val="20"/>
          <w:szCs w:val="20"/>
          <w:lang w:eastAsia="en-NZ"/>
        </w:rPr>
        <w:t>Total number of queried updates</w:t>
      </w:r>
      <w:r w:rsidRPr="007F157F">
        <w:rPr>
          <w:rFonts w:ascii="Arial" w:hAnsi="Arial" w:cs="Arial"/>
          <w:sz w:val="20"/>
          <w:szCs w:val="20"/>
        </w:rPr>
        <w:t xml:space="preserve"> </w:t>
      </w:r>
    </w:p>
    <w:p w14:paraId="1CDD76C0" w14:textId="77777777" w:rsidR="0003441E" w:rsidRPr="007F157F" w:rsidRDefault="0003441E" w:rsidP="0003441E">
      <w:pPr>
        <w:rPr>
          <w:rFonts w:ascii="Arial" w:hAnsi="Arial" w:cs="Arial"/>
          <w:sz w:val="20"/>
          <w:szCs w:val="20"/>
        </w:rPr>
      </w:pPr>
    </w:p>
    <w:p w14:paraId="77217066" w14:textId="77777777" w:rsidR="0003441E" w:rsidRPr="007F157F" w:rsidRDefault="0003441E" w:rsidP="0003441E">
      <w:pPr>
        <w:spacing w:before="60" w:after="60"/>
        <w:jc w:val="both"/>
        <w:rPr>
          <w:rFonts w:ascii="Arial" w:hAnsi="Arial" w:cs="Arial"/>
          <w:b/>
          <w:sz w:val="20"/>
          <w:szCs w:val="20"/>
        </w:rPr>
      </w:pPr>
      <w:r w:rsidRPr="007F157F">
        <w:rPr>
          <w:rFonts w:ascii="Arial" w:hAnsi="Arial" w:cs="Arial"/>
          <w:b/>
          <w:sz w:val="20"/>
          <w:szCs w:val="20"/>
        </w:rPr>
        <w:t>Reporting Period</w:t>
      </w:r>
    </w:p>
    <w:p w14:paraId="58E1F24A"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t>To be reported quarterly.</w:t>
      </w:r>
    </w:p>
    <w:p w14:paraId="6F18D6D3" w14:textId="77777777" w:rsidR="0003441E" w:rsidRPr="007F157F" w:rsidRDefault="0003441E" w:rsidP="0003441E">
      <w:pPr>
        <w:spacing w:before="60" w:after="60"/>
        <w:jc w:val="both"/>
        <w:rPr>
          <w:rFonts w:ascii="Arial" w:hAnsi="Arial" w:cs="Arial"/>
          <w:b/>
          <w:sz w:val="20"/>
          <w:szCs w:val="20"/>
        </w:rPr>
      </w:pPr>
      <w:r w:rsidRPr="007F157F">
        <w:rPr>
          <w:rFonts w:ascii="Arial" w:hAnsi="Arial" w:cs="Arial"/>
          <w:b/>
          <w:sz w:val="20"/>
          <w:szCs w:val="20"/>
        </w:rPr>
        <w:t>Expectations</w:t>
      </w:r>
    </w:p>
    <w:p w14:paraId="26F6439B"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t>The table below illustrates the Ministry’s expectations for each measure:</w:t>
      </w:r>
    </w:p>
    <w:p w14:paraId="508C5AF6" w14:textId="77777777" w:rsidR="0003441E" w:rsidRPr="007F157F" w:rsidRDefault="0003441E" w:rsidP="0003441E">
      <w:pPr>
        <w:spacing w:before="60" w:after="60" w:line="276" w:lineRule="auto"/>
        <w:jc w:val="both"/>
        <w:rPr>
          <w:rFonts w:ascii="Arial" w:eastAsia="Calibri" w:hAnsi="Arial" w:cs="Arial"/>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
        <w:gridCol w:w="427"/>
        <w:gridCol w:w="18"/>
        <w:gridCol w:w="1669"/>
        <w:gridCol w:w="570"/>
        <w:gridCol w:w="1234"/>
        <w:gridCol w:w="641"/>
        <w:gridCol w:w="1179"/>
        <w:gridCol w:w="546"/>
        <w:gridCol w:w="1248"/>
        <w:gridCol w:w="627"/>
        <w:gridCol w:w="1267"/>
      </w:tblGrid>
      <w:tr w:rsidR="0003441E" w:rsidRPr="007F157F" w14:paraId="71969B77" w14:textId="77777777" w:rsidTr="009D6F69">
        <w:trPr>
          <w:cantSplit/>
        </w:trPr>
        <w:tc>
          <w:tcPr>
            <w:tcW w:w="356" w:type="pct"/>
            <w:gridSpan w:val="2"/>
            <w:tcBorders>
              <w:top w:val="nil"/>
              <w:left w:val="nil"/>
              <w:bottom w:val="nil"/>
              <w:right w:val="nil"/>
            </w:tcBorders>
          </w:tcPr>
          <w:p w14:paraId="338A7E69"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9" w:type="pct"/>
            <w:gridSpan w:val="2"/>
            <w:tcBorders>
              <w:top w:val="nil"/>
              <w:left w:val="nil"/>
              <w:bottom w:val="nil"/>
              <w:right w:val="nil"/>
            </w:tcBorders>
          </w:tcPr>
          <w:p w14:paraId="63206353"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822" w:type="pct"/>
            <w:tcBorders>
              <w:top w:val="nil"/>
              <w:left w:val="nil"/>
              <w:bottom w:val="nil"/>
              <w:right w:val="single" w:sz="4" w:space="0" w:color="auto"/>
            </w:tcBorders>
          </w:tcPr>
          <w:p w14:paraId="6C8F578B"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3604" w:type="pct"/>
            <w:gridSpan w:val="8"/>
            <w:tcBorders>
              <w:top w:val="single" w:sz="4" w:space="0" w:color="auto"/>
              <w:left w:val="single" w:sz="4" w:space="0" w:color="auto"/>
              <w:bottom w:val="single" w:sz="4" w:space="0" w:color="auto"/>
              <w:right w:val="single" w:sz="4" w:space="0" w:color="auto"/>
            </w:tcBorders>
            <w:shd w:val="clear" w:color="auto" w:fill="C0C0C0"/>
          </w:tcPr>
          <w:p w14:paraId="521E5B04" w14:textId="77777777" w:rsidR="0003441E" w:rsidRPr="007F157F" w:rsidRDefault="0003441E" w:rsidP="009D6F69">
            <w:pPr>
              <w:spacing w:before="60" w:after="60"/>
              <w:jc w:val="center"/>
              <w:outlineLvl w:val="5"/>
              <w:rPr>
                <w:rFonts w:ascii="Arial" w:hAnsi="Arial" w:cs="Arial"/>
                <w:b/>
                <w:bCs/>
                <w:sz w:val="20"/>
                <w:szCs w:val="20"/>
                <w:lang w:val="en-GB"/>
              </w:rPr>
            </w:pPr>
            <w:r w:rsidRPr="007F157F">
              <w:rPr>
                <w:rFonts w:ascii="Arial" w:hAnsi="Arial" w:cs="Arial"/>
                <w:b/>
                <w:bCs/>
                <w:sz w:val="20"/>
                <w:szCs w:val="20"/>
                <w:lang w:val="en-GB"/>
              </w:rPr>
              <w:t>Rating</w:t>
            </w:r>
          </w:p>
        </w:tc>
      </w:tr>
      <w:tr w:rsidR="0003441E" w:rsidRPr="007F157F" w14:paraId="2CCC19F9" w14:textId="77777777" w:rsidTr="009D6F69">
        <w:trPr>
          <w:trHeight w:val="774"/>
        </w:trPr>
        <w:tc>
          <w:tcPr>
            <w:tcW w:w="349" w:type="pct"/>
            <w:tcBorders>
              <w:top w:val="nil"/>
              <w:left w:val="nil"/>
              <w:bottom w:val="single" w:sz="4" w:space="0" w:color="auto"/>
              <w:right w:val="nil"/>
            </w:tcBorders>
          </w:tcPr>
          <w:p w14:paraId="39D71D77"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7" w:type="pct"/>
            <w:gridSpan w:val="2"/>
            <w:tcBorders>
              <w:top w:val="nil"/>
              <w:left w:val="nil"/>
              <w:bottom w:val="single" w:sz="4" w:space="0" w:color="auto"/>
              <w:right w:val="nil"/>
            </w:tcBorders>
          </w:tcPr>
          <w:p w14:paraId="0C92342D"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830" w:type="pct"/>
            <w:gridSpan w:val="2"/>
            <w:tcBorders>
              <w:top w:val="nil"/>
              <w:left w:val="nil"/>
              <w:bottom w:val="single" w:sz="4" w:space="0" w:color="auto"/>
            </w:tcBorders>
          </w:tcPr>
          <w:p w14:paraId="5FE862EF"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888" w:type="pct"/>
            <w:gridSpan w:val="2"/>
            <w:shd w:val="clear" w:color="auto" w:fill="C0C0C0"/>
            <w:vAlign w:val="center"/>
          </w:tcPr>
          <w:p w14:paraId="71285AB1" w14:textId="77777777" w:rsidR="0003441E" w:rsidRPr="007F157F" w:rsidRDefault="0003441E" w:rsidP="009D6F69">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Not Achieved– Escalation Required</w:t>
            </w:r>
          </w:p>
        </w:tc>
        <w:tc>
          <w:tcPr>
            <w:tcW w:w="897" w:type="pct"/>
            <w:gridSpan w:val="2"/>
            <w:shd w:val="clear" w:color="auto" w:fill="C0C0C0"/>
            <w:vAlign w:val="center"/>
          </w:tcPr>
          <w:p w14:paraId="342C1969" w14:textId="77777777" w:rsidR="0003441E" w:rsidRPr="007F157F" w:rsidRDefault="0003441E" w:rsidP="009D6F69">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Partial Achievement</w:t>
            </w:r>
          </w:p>
        </w:tc>
        <w:tc>
          <w:tcPr>
            <w:tcW w:w="884" w:type="pct"/>
            <w:gridSpan w:val="2"/>
            <w:shd w:val="clear" w:color="auto" w:fill="C0C0C0"/>
            <w:vAlign w:val="center"/>
          </w:tcPr>
          <w:p w14:paraId="1AD79435" w14:textId="77777777" w:rsidR="0003441E" w:rsidRPr="007F157F" w:rsidRDefault="0003441E" w:rsidP="009D6F69">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Achieved</w:t>
            </w:r>
          </w:p>
        </w:tc>
        <w:tc>
          <w:tcPr>
            <w:tcW w:w="935" w:type="pct"/>
            <w:gridSpan w:val="2"/>
            <w:shd w:val="clear" w:color="auto" w:fill="C0C0C0"/>
            <w:vAlign w:val="center"/>
          </w:tcPr>
          <w:p w14:paraId="5B5D7E88" w14:textId="77777777" w:rsidR="0003441E" w:rsidRPr="007F157F" w:rsidRDefault="0003441E" w:rsidP="009D6F69">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Outstanding Performer/ Sector Leader</w:t>
            </w:r>
          </w:p>
        </w:tc>
      </w:tr>
      <w:tr w:rsidR="0003441E" w:rsidRPr="007F157F" w14:paraId="15E4B621" w14:textId="77777777" w:rsidTr="009D6F69">
        <w:trPr>
          <w:cantSplit/>
          <w:trHeight w:val="807"/>
        </w:trPr>
        <w:tc>
          <w:tcPr>
            <w:tcW w:w="349" w:type="pct"/>
            <w:vMerge w:val="restart"/>
            <w:shd w:val="clear" w:color="auto" w:fill="E0E0E0"/>
            <w:textDirection w:val="btLr"/>
          </w:tcPr>
          <w:p w14:paraId="2D0D34E2" w14:textId="77777777" w:rsidR="0003441E" w:rsidRPr="007F157F" w:rsidRDefault="0003441E" w:rsidP="009D6F69">
            <w:pPr>
              <w:spacing w:before="60" w:after="60" w:line="276" w:lineRule="auto"/>
              <w:ind w:left="113" w:right="113"/>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Measure</w:t>
            </w:r>
          </w:p>
        </w:tc>
        <w:tc>
          <w:tcPr>
            <w:tcW w:w="217" w:type="pct"/>
            <w:gridSpan w:val="2"/>
            <w:vMerge w:val="restart"/>
            <w:tcBorders>
              <w:right w:val="nil"/>
            </w:tcBorders>
            <w:shd w:val="clear" w:color="auto" w:fill="E0E0E0"/>
          </w:tcPr>
          <w:p w14:paraId="6EB28A41" w14:textId="77777777" w:rsidR="0003441E" w:rsidRPr="007F157F" w:rsidRDefault="0003441E" w:rsidP="009D6F69">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1 </w:t>
            </w:r>
          </w:p>
        </w:tc>
        <w:tc>
          <w:tcPr>
            <w:tcW w:w="830" w:type="pct"/>
            <w:gridSpan w:val="2"/>
            <w:vMerge w:val="restart"/>
            <w:tcBorders>
              <w:left w:val="nil"/>
            </w:tcBorders>
            <w:shd w:val="clear" w:color="auto" w:fill="E0E0E0"/>
          </w:tcPr>
          <w:p w14:paraId="526EDCBE" w14:textId="77777777" w:rsidR="0003441E" w:rsidRPr="007F157F" w:rsidRDefault="0003441E" w:rsidP="009D6F69">
            <w:pPr>
              <w:keepNext/>
              <w:spacing w:before="60" w:after="60"/>
              <w:outlineLvl w:val="3"/>
              <w:rPr>
                <w:rFonts w:ascii="Arial" w:hAnsi="Arial" w:cs="Arial"/>
                <w:bCs/>
                <w:sz w:val="20"/>
                <w:szCs w:val="20"/>
              </w:rPr>
            </w:pPr>
            <w:r w:rsidRPr="007F157F">
              <w:rPr>
                <w:rFonts w:ascii="Arial" w:hAnsi="Arial" w:cs="Arial"/>
                <w:sz w:val="20"/>
                <w:szCs w:val="20"/>
              </w:rPr>
              <w:t xml:space="preserve"> New NHI registration in error</w:t>
            </w:r>
            <w:r w:rsidRPr="007F157F">
              <w:rPr>
                <w:rFonts w:ascii="Arial" w:hAnsi="Arial" w:cs="Arial"/>
                <w:b/>
                <w:bCs/>
                <w:sz w:val="20"/>
                <w:szCs w:val="20"/>
              </w:rPr>
              <w:t xml:space="preserve"> </w:t>
            </w:r>
            <w:r w:rsidRPr="007F157F">
              <w:rPr>
                <w:rFonts w:ascii="Arial" w:hAnsi="Arial" w:cs="Arial"/>
                <w:bCs/>
                <w:sz w:val="20"/>
                <w:szCs w:val="20"/>
              </w:rPr>
              <w:t>(duplication)</w:t>
            </w:r>
          </w:p>
          <w:p w14:paraId="02174C0E" w14:textId="77777777" w:rsidR="0003441E" w:rsidRPr="007F157F" w:rsidRDefault="0003441E" w:rsidP="009D6F69">
            <w:pPr>
              <w:keepNext/>
              <w:spacing w:before="60" w:after="60"/>
              <w:outlineLvl w:val="3"/>
              <w:rPr>
                <w:rFonts w:ascii="Arial" w:hAnsi="Arial" w:cs="Arial"/>
                <w:bCs/>
                <w:sz w:val="20"/>
                <w:szCs w:val="20"/>
              </w:rPr>
            </w:pPr>
          </w:p>
          <w:p w14:paraId="52CD5F32" w14:textId="77777777" w:rsidR="0003441E" w:rsidRPr="007F157F" w:rsidRDefault="0003441E" w:rsidP="009D6F69">
            <w:pPr>
              <w:keepNext/>
              <w:spacing w:before="60" w:after="60"/>
              <w:outlineLvl w:val="3"/>
              <w:rPr>
                <w:rFonts w:ascii="Arial" w:hAnsi="Arial" w:cs="Arial"/>
                <w:b/>
                <w:bCs/>
                <w:sz w:val="20"/>
                <w:szCs w:val="20"/>
              </w:rPr>
            </w:pPr>
            <w:r w:rsidRPr="007F157F">
              <w:rPr>
                <w:rFonts w:ascii="Arial" w:hAnsi="Arial" w:cs="Arial"/>
                <w:b/>
                <w:bCs/>
                <w:sz w:val="20"/>
                <w:szCs w:val="20"/>
              </w:rPr>
              <w:t>SEE NOTE BELOW re</w:t>
            </w:r>
          </w:p>
          <w:p w14:paraId="2BC9DE27" w14:textId="77777777" w:rsidR="0003441E" w:rsidRPr="007F157F" w:rsidRDefault="0003441E" w:rsidP="009D6F69">
            <w:pPr>
              <w:keepNext/>
              <w:spacing w:before="60" w:after="60"/>
              <w:outlineLvl w:val="3"/>
              <w:rPr>
                <w:rFonts w:ascii="Arial" w:eastAsia="Arial Unicode MS" w:hAnsi="Arial" w:cs="Arial"/>
                <w:sz w:val="20"/>
                <w:szCs w:val="20"/>
                <w:lang w:val="en-GB"/>
              </w:rPr>
            </w:pPr>
            <w:r w:rsidRPr="007F157F">
              <w:rPr>
                <w:rFonts w:ascii="Arial" w:hAnsi="Arial" w:cs="Arial"/>
                <w:b/>
                <w:bCs/>
                <w:sz w:val="20"/>
                <w:szCs w:val="20"/>
              </w:rPr>
              <w:t>A, B and C</w:t>
            </w:r>
          </w:p>
        </w:tc>
        <w:tc>
          <w:tcPr>
            <w:tcW w:w="281" w:type="pct"/>
            <w:vAlign w:val="center"/>
          </w:tcPr>
          <w:p w14:paraId="7A5C589A"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A</w:t>
            </w:r>
          </w:p>
        </w:tc>
        <w:tc>
          <w:tcPr>
            <w:tcW w:w="608" w:type="pct"/>
            <w:vAlign w:val="center"/>
          </w:tcPr>
          <w:p w14:paraId="43C0155D"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&gt; 6%</w:t>
            </w:r>
          </w:p>
        </w:tc>
        <w:tc>
          <w:tcPr>
            <w:tcW w:w="316" w:type="pct"/>
            <w:vAlign w:val="center"/>
          </w:tcPr>
          <w:p w14:paraId="3B006FB8"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A</w:t>
            </w:r>
          </w:p>
        </w:tc>
        <w:tc>
          <w:tcPr>
            <w:tcW w:w="581" w:type="pct"/>
            <w:vAlign w:val="center"/>
          </w:tcPr>
          <w:p w14:paraId="1ACAC501" w14:textId="77777777" w:rsidR="0003441E" w:rsidRPr="007F157F" w:rsidRDefault="0003441E" w:rsidP="009D6F69">
            <w:pPr>
              <w:jc w:val="center"/>
              <w:rPr>
                <w:rFonts w:ascii="Arial" w:eastAsia="Arial Unicode MS" w:hAnsi="Arial" w:cs="Arial"/>
                <w:sz w:val="20"/>
                <w:szCs w:val="20"/>
                <w:lang w:val="en-GB"/>
              </w:rPr>
            </w:pPr>
          </w:p>
          <w:p w14:paraId="6FF48510" w14:textId="77777777" w:rsidR="0003441E" w:rsidRPr="007F157F" w:rsidRDefault="0003441E" w:rsidP="009D6F69">
            <w:pPr>
              <w:jc w:val="center"/>
              <w:rPr>
                <w:rFonts w:ascii="Arial" w:hAnsi="Arial" w:cs="Arial"/>
                <w:sz w:val="20"/>
                <w:szCs w:val="20"/>
              </w:rPr>
            </w:pPr>
            <w:r w:rsidRPr="007F157F">
              <w:rPr>
                <w:rFonts w:ascii="Arial" w:eastAsia="Arial Unicode MS" w:hAnsi="Arial" w:cs="Arial"/>
                <w:sz w:val="20"/>
                <w:szCs w:val="20"/>
                <w:lang w:val="en-GB"/>
              </w:rPr>
              <w:t>&gt;4% and &lt;= 6%</w:t>
            </w:r>
          </w:p>
          <w:p w14:paraId="12A19E84"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269" w:type="pct"/>
            <w:vAlign w:val="center"/>
          </w:tcPr>
          <w:p w14:paraId="5D4AF06A"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A</w:t>
            </w:r>
          </w:p>
        </w:tc>
        <w:tc>
          <w:tcPr>
            <w:tcW w:w="615" w:type="pct"/>
            <w:vAlign w:val="center"/>
          </w:tcPr>
          <w:p w14:paraId="1EF5F0C5"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 </w:t>
            </w:r>
          </w:p>
          <w:p w14:paraId="5C227C5F"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&gt;2% and &lt;= 4%</w:t>
            </w:r>
          </w:p>
          <w:p w14:paraId="320A3B4E"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309" w:type="pct"/>
            <w:vAlign w:val="center"/>
          </w:tcPr>
          <w:p w14:paraId="4D91DD4D"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A</w:t>
            </w:r>
          </w:p>
        </w:tc>
        <w:tc>
          <w:tcPr>
            <w:tcW w:w="625" w:type="pct"/>
            <w:vAlign w:val="center"/>
          </w:tcPr>
          <w:p w14:paraId="6FE3B520"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&lt;= 2%</w:t>
            </w:r>
          </w:p>
          <w:p w14:paraId="0DA88AE2"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r>
      <w:tr w:rsidR="0003441E" w:rsidRPr="007F157F" w14:paraId="676CB33C" w14:textId="77777777" w:rsidTr="009D6F69">
        <w:trPr>
          <w:cantSplit/>
          <w:trHeight w:val="566"/>
        </w:trPr>
        <w:tc>
          <w:tcPr>
            <w:tcW w:w="349" w:type="pct"/>
            <w:vMerge/>
            <w:shd w:val="clear" w:color="auto" w:fill="E0E0E0"/>
            <w:textDirection w:val="btLr"/>
          </w:tcPr>
          <w:p w14:paraId="022BC20B" w14:textId="77777777" w:rsidR="0003441E" w:rsidRPr="007F157F" w:rsidRDefault="0003441E" w:rsidP="009D6F69">
            <w:pPr>
              <w:spacing w:before="60" w:after="60" w:line="276" w:lineRule="auto"/>
              <w:ind w:left="113" w:right="113"/>
              <w:jc w:val="center"/>
              <w:rPr>
                <w:rFonts w:ascii="Arial" w:eastAsia="Arial Unicode MS" w:hAnsi="Arial" w:cs="Arial"/>
                <w:b/>
                <w:bCs/>
                <w:sz w:val="20"/>
                <w:szCs w:val="20"/>
                <w:lang w:val="en-GB"/>
              </w:rPr>
            </w:pPr>
          </w:p>
        </w:tc>
        <w:tc>
          <w:tcPr>
            <w:tcW w:w="217" w:type="pct"/>
            <w:gridSpan w:val="2"/>
            <w:vMerge/>
            <w:tcBorders>
              <w:right w:val="nil"/>
            </w:tcBorders>
            <w:shd w:val="clear" w:color="auto" w:fill="E0E0E0"/>
          </w:tcPr>
          <w:p w14:paraId="63BFE05C" w14:textId="77777777" w:rsidR="0003441E" w:rsidRPr="007F157F" w:rsidRDefault="0003441E" w:rsidP="009D6F69">
            <w:pPr>
              <w:spacing w:before="60" w:after="60" w:line="276" w:lineRule="auto"/>
              <w:jc w:val="both"/>
              <w:rPr>
                <w:rFonts w:ascii="Arial" w:eastAsia="Arial Unicode MS" w:hAnsi="Arial" w:cs="Arial"/>
                <w:sz w:val="20"/>
                <w:szCs w:val="20"/>
                <w:lang w:val="en-GB"/>
              </w:rPr>
            </w:pPr>
          </w:p>
        </w:tc>
        <w:tc>
          <w:tcPr>
            <w:tcW w:w="830" w:type="pct"/>
            <w:gridSpan w:val="2"/>
            <w:vMerge/>
            <w:tcBorders>
              <w:left w:val="nil"/>
            </w:tcBorders>
            <w:shd w:val="clear" w:color="auto" w:fill="E0E0E0"/>
          </w:tcPr>
          <w:p w14:paraId="530F0463" w14:textId="77777777" w:rsidR="0003441E" w:rsidRPr="007F157F" w:rsidRDefault="0003441E" w:rsidP="009D6F69">
            <w:pPr>
              <w:keepNext/>
              <w:spacing w:before="60" w:after="60"/>
              <w:outlineLvl w:val="3"/>
              <w:rPr>
                <w:rFonts w:ascii="Arial" w:hAnsi="Arial" w:cs="Arial"/>
                <w:sz w:val="20"/>
                <w:szCs w:val="20"/>
              </w:rPr>
            </w:pPr>
          </w:p>
        </w:tc>
        <w:tc>
          <w:tcPr>
            <w:tcW w:w="281" w:type="pct"/>
            <w:vAlign w:val="center"/>
          </w:tcPr>
          <w:p w14:paraId="02282814"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B</w:t>
            </w:r>
          </w:p>
        </w:tc>
        <w:tc>
          <w:tcPr>
            <w:tcW w:w="608" w:type="pct"/>
            <w:vAlign w:val="center"/>
          </w:tcPr>
          <w:p w14:paraId="59964023"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&gt; 4%</w:t>
            </w:r>
          </w:p>
        </w:tc>
        <w:tc>
          <w:tcPr>
            <w:tcW w:w="316" w:type="pct"/>
            <w:vAlign w:val="center"/>
          </w:tcPr>
          <w:p w14:paraId="74275362"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B</w:t>
            </w:r>
          </w:p>
        </w:tc>
        <w:tc>
          <w:tcPr>
            <w:tcW w:w="581" w:type="pct"/>
            <w:vAlign w:val="center"/>
          </w:tcPr>
          <w:p w14:paraId="23B6D130" w14:textId="77777777" w:rsidR="0003441E" w:rsidRPr="007F157F" w:rsidRDefault="0003441E" w:rsidP="009D6F69">
            <w:pPr>
              <w:jc w:val="center"/>
              <w:rPr>
                <w:rFonts w:ascii="Arial" w:eastAsia="Arial Unicode MS" w:hAnsi="Arial" w:cs="Arial"/>
                <w:sz w:val="20"/>
                <w:szCs w:val="20"/>
                <w:lang w:val="en-GB"/>
              </w:rPr>
            </w:pPr>
          </w:p>
          <w:p w14:paraId="3783D835"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&gt;3% and &lt;= 4%</w:t>
            </w:r>
          </w:p>
          <w:p w14:paraId="580A44D1"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269" w:type="pct"/>
            <w:shd w:val="clear" w:color="auto" w:fill="FFFFCC"/>
            <w:vAlign w:val="center"/>
          </w:tcPr>
          <w:p w14:paraId="1CFEDE6B"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B</w:t>
            </w:r>
          </w:p>
        </w:tc>
        <w:tc>
          <w:tcPr>
            <w:tcW w:w="615" w:type="pct"/>
            <w:shd w:val="clear" w:color="auto" w:fill="FFFFCC"/>
            <w:vAlign w:val="center"/>
          </w:tcPr>
          <w:p w14:paraId="78A77633" w14:textId="77777777" w:rsidR="0003441E" w:rsidRPr="007F157F" w:rsidRDefault="0003441E" w:rsidP="009D6F69">
            <w:pPr>
              <w:jc w:val="center"/>
              <w:rPr>
                <w:rFonts w:ascii="Arial" w:eastAsia="Arial Unicode MS" w:hAnsi="Arial" w:cs="Arial"/>
                <w:sz w:val="20"/>
                <w:szCs w:val="20"/>
                <w:lang w:val="en-GB"/>
              </w:rPr>
            </w:pPr>
          </w:p>
          <w:p w14:paraId="4B6E7FBB"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&gt;1% and &lt; =3%</w:t>
            </w:r>
          </w:p>
          <w:p w14:paraId="692716DA"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309" w:type="pct"/>
            <w:vAlign w:val="center"/>
          </w:tcPr>
          <w:p w14:paraId="1BA494F2"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B</w:t>
            </w:r>
          </w:p>
        </w:tc>
        <w:tc>
          <w:tcPr>
            <w:tcW w:w="625" w:type="pct"/>
            <w:vAlign w:val="center"/>
          </w:tcPr>
          <w:p w14:paraId="13F2C309"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&lt;=1%</w:t>
            </w:r>
          </w:p>
          <w:p w14:paraId="6330EFCF"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r>
      <w:tr w:rsidR="0003441E" w:rsidRPr="007F157F" w14:paraId="7A3EE899" w14:textId="77777777" w:rsidTr="009D6F69">
        <w:trPr>
          <w:cantSplit/>
          <w:trHeight w:val="1086"/>
        </w:trPr>
        <w:tc>
          <w:tcPr>
            <w:tcW w:w="349" w:type="pct"/>
            <w:vMerge/>
            <w:shd w:val="clear" w:color="auto" w:fill="E0E0E0"/>
            <w:textDirection w:val="btLr"/>
          </w:tcPr>
          <w:p w14:paraId="5024F93C" w14:textId="77777777" w:rsidR="0003441E" w:rsidRPr="007F157F" w:rsidRDefault="0003441E" w:rsidP="009D6F69">
            <w:pPr>
              <w:spacing w:before="60" w:after="60" w:line="276" w:lineRule="auto"/>
              <w:ind w:left="113" w:right="113"/>
              <w:jc w:val="center"/>
              <w:rPr>
                <w:rFonts w:ascii="Arial" w:eastAsia="Arial Unicode MS" w:hAnsi="Arial" w:cs="Arial"/>
                <w:b/>
                <w:bCs/>
                <w:sz w:val="20"/>
                <w:szCs w:val="20"/>
                <w:lang w:val="en-GB"/>
              </w:rPr>
            </w:pPr>
          </w:p>
        </w:tc>
        <w:tc>
          <w:tcPr>
            <w:tcW w:w="217" w:type="pct"/>
            <w:gridSpan w:val="2"/>
            <w:vMerge/>
            <w:tcBorders>
              <w:right w:val="nil"/>
            </w:tcBorders>
            <w:shd w:val="clear" w:color="auto" w:fill="E0E0E0"/>
          </w:tcPr>
          <w:p w14:paraId="357A56FA" w14:textId="77777777" w:rsidR="0003441E" w:rsidRPr="007F157F" w:rsidRDefault="0003441E" w:rsidP="009D6F69">
            <w:pPr>
              <w:spacing w:before="60" w:after="60" w:line="276" w:lineRule="auto"/>
              <w:jc w:val="both"/>
              <w:rPr>
                <w:rFonts w:ascii="Arial" w:eastAsia="Arial Unicode MS" w:hAnsi="Arial" w:cs="Arial"/>
                <w:sz w:val="20"/>
                <w:szCs w:val="20"/>
                <w:lang w:val="en-GB"/>
              </w:rPr>
            </w:pPr>
          </w:p>
        </w:tc>
        <w:tc>
          <w:tcPr>
            <w:tcW w:w="830" w:type="pct"/>
            <w:gridSpan w:val="2"/>
            <w:vMerge/>
            <w:tcBorders>
              <w:left w:val="nil"/>
            </w:tcBorders>
            <w:shd w:val="clear" w:color="auto" w:fill="E0E0E0"/>
          </w:tcPr>
          <w:p w14:paraId="3167890A" w14:textId="77777777" w:rsidR="0003441E" w:rsidRPr="007F157F" w:rsidRDefault="0003441E" w:rsidP="009D6F69">
            <w:pPr>
              <w:keepNext/>
              <w:spacing w:before="60" w:after="60"/>
              <w:outlineLvl w:val="3"/>
              <w:rPr>
                <w:rFonts w:ascii="Arial" w:hAnsi="Arial" w:cs="Arial"/>
                <w:sz w:val="20"/>
                <w:szCs w:val="20"/>
              </w:rPr>
            </w:pPr>
          </w:p>
        </w:tc>
        <w:tc>
          <w:tcPr>
            <w:tcW w:w="281" w:type="pct"/>
            <w:vAlign w:val="center"/>
          </w:tcPr>
          <w:p w14:paraId="6C0124C3"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C</w:t>
            </w:r>
          </w:p>
        </w:tc>
        <w:tc>
          <w:tcPr>
            <w:tcW w:w="608" w:type="pct"/>
            <w:vAlign w:val="center"/>
          </w:tcPr>
          <w:p w14:paraId="02EC4EC5" w14:textId="77777777" w:rsidR="0003441E" w:rsidRPr="007F157F" w:rsidRDefault="0003441E" w:rsidP="009D6F69">
            <w:pPr>
              <w:keepNext/>
              <w:spacing w:before="60" w:after="60"/>
              <w:jc w:val="center"/>
              <w:outlineLvl w:val="3"/>
              <w:rPr>
                <w:rFonts w:ascii="Arial" w:eastAsia="Arial Unicode MS" w:hAnsi="Arial" w:cs="Arial"/>
                <w:sz w:val="20"/>
                <w:szCs w:val="20"/>
                <w:lang w:val="en-GB"/>
              </w:rPr>
            </w:pPr>
            <w:r w:rsidRPr="007F157F">
              <w:rPr>
                <w:rFonts w:ascii="Arial" w:eastAsia="Arial Unicode MS" w:hAnsi="Arial" w:cs="Arial"/>
                <w:sz w:val="20"/>
                <w:szCs w:val="20"/>
                <w:lang w:val="en-GB"/>
              </w:rPr>
              <w:t>&gt; 12%</w:t>
            </w:r>
          </w:p>
        </w:tc>
        <w:tc>
          <w:tcPr>
            <w:tcW w:w="316" w:type="pct"/>
            <w:vAlign w:val="center"/>
          </w:tcPr>
          <w:p w14:paraId="3E968DD8"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C</w:t>
            </w:r>
          </w:p>
        </w:tc>
        <w:tc>
          <w:tcPr>
            <w:tcW w:w="581" w:type="pct"/>
            <w:vAlign w:val="center"/>
          </w:tcPr>
          <w:p w14:paraId="30CC6CBE" w14:textId="77777777" w:rsidR="0003441E" w:rsidRPr="007F157F" w:rsidRDefault="0003441E" w:rsidP="009D6F69">
            <w:pPr>
              <w:jc w:val="center"/>
              <w:rPr>
                <w:rFonts w:ascii="Arial" w:eastAsia="Arial Unicode MS" w:hAnsi="Arial" w:cs="Arial"/>
                <w:sz w:val="20"/>
                <w:szCs w:val="20"/>
                <w:lang w:val="en-GB"/>
              </w:rPr>
            </w:pPr>
          </w:p>
          <w:p w14:paraId="2D747444"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&gt;6% and &lt;=12%</w:t>
            </w:r>
          </w:p>
          <w:p w14:paraId="679D13DE"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269" w:type="pct"/>
            <w:vAlign w:val="center"/>
          </w:tcPr>
          <w:p w14:paraId="10100A36"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C</w:t>
            </w:r>
          </w:p>
        </w:tc>
        <w:tc>
          <w:tcPr>
            <w:tcW w:w="615" w:type="pct"/>
            <w:vAlign w:val="center"/>
          </w:tcPr>
          <w:p w14:paraId="526475EF"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 </w:t>
            </w:r>
          </w:p>
          <w:p w14:paraId="730D3421"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&gt;1.5% and</w:t>
            </w:r>
          </w:p>
          <w:p w14:paraId="5C95BBD0"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&lt;= 6%</w:t>
            </w:r>
          </w:p>
          <w:p w14:paraId="77531511"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309" w:type="pct"/>
            <w:vAlign w:val="center"/>
          </w:tcPr>
          <w:p w14:paraId="495C2CB4"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C</w:t>
            </w:r>
          </w:p>
        </w:tc>
        <w:tc>
          <w:tcPr>
            <w:tcW w:w="625" w:type="pct"/>
            <w:vAlign w:val="center"/>
          </w:tcPr>
          <w:p w14:paraId="702BD539" w14:textId="77777777" w:rsidR="0003441E" w:rsidRPr="007F157F" w:rsidRDefault="0003441E" w:rsidP="009D6F69">
            <w:pPr>
              <w:jc w:val="center"/>
              <w:rPr>
                <w:rFonts w:ascii="Arial" w:eastAsia="Arial Unicode MS" w:hAnsi="Arial" w:cs="Arial"/>
                <w:sz w:val="20"/>
                <w:szCs w:val="20"/>
                <w:lang w:val="en-GB"/>
              </w:rPr>
            </w:pPr>
            <w:r w:rsidRPr="007F157F">
              <w:rPr>
                <w:rFonts w:ascii="Arial" w:eastAsia="Arial Unicode MS" w:hAnsi="Arial" w:cs="Arial"/>
                <w:sz w:val="20"/>
                <w:szCs w:val="20"/>
                <w:lang w:val="en-GB"/>
              </w:rPr>
              <w:t>&lt;= 1.5%</w:t>
            </w:r>
          </w:p>
          <w:p w14:paraId="5C9FD1C2"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r>
      <w:tr w:rsidR="0003441E" w:rsidRPr="007F157F" w14:paraId="1347676F" w14:textId="77777777" w:rsidTr="009D6F69">
        <w:trPr>
          <w:cantSplit/>
          <w:trHeight w:val="1009"/>
        </w:trPr>
        <w:tc>
          <w:tcPr>
            <w:tcW w:w="349" w:type="pct"/>
            <w:vMerge/>
            <w:shd w:val="clear" w:color="auto" w:fill="E0E0E0"/>
          </w:tcPr>
          <w:p w14:paraId="5A6E2FB7"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7" w:type="pct"/>
            <w:gridSpan w:val="2"/>
            <w:tcBorders>
              <w:right w:val="nil"/>
            </w:tcBorders>
            <w:shd w:val="clear" w:color="auto" w:fill="E0E0E0"/>
          </w:tcPr>
          <w:p w14:paraId="50295C51" w14:textId="77777777" w:rsidR="0003441E" w:rsidRPr="007F157F" w:rsidRDefault="0003441E" w:rsidP="009D6F69">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2 </w:t>
            </w:r>
          </w:p>
        </w:tc>
        <w:tc>
          <w:tcPr>
            <w:tcW w:w="830" w:type="pct"/>
            <w:gridSpan w:val="2"/>
            <w:tcBorders>
              <w:left w:val="nil"/>
            </w:tcBorders>
            <w:shd w:val="clear" w:color="auto" w:fill="E0E0E0"/>
          </w:tcPr>
          <w:p w14:paraId="5DC76B49" w14:textId="77777777" w:rsidR="0003441E" w:rsidRPr="007F157F" w:rsidRDefault="0003441E" w:rsidP="009D6F69">
            <w:pPr>
              <w:spacing w:before="60" w:after="60" w:line="276" w:lineRule="auto"/>
              <w:rPr>
                <w:rFonts w:ascii="Arial" w:eastAsia="Arial Unicode MS" w:hAnsi="Arial" w:cs="Arial"/>
                <w:b/>
                <w:sz w:val="20"/>
                <w:szCs w:val="20"/>
                <w:lang w:val="en-GB"/>
              </w:rPr>
            </w:pPr>
            <w:r w:rsidRPr="007F157F">
              <w:rPr>
                <w:rFonts w:ascii="Arial" w:eastAsia="Calibri" w:hAnsi="Arial" w:cs="Arial"/>
                <w:sz w:val="20"/>
                <w:szCs w:val="20"/>
              </w:rPr>
              <w:t>Recording of non-specific ethnicity</w:t>
            </w:r>
            <w:r w:rsidRPr="007F157F">
              <w:rPr>
                <w:rFonts w:ascii="Arial" w:hAnsi="Arial" w:cs="Arial"/>
                <w:sz w:val="20"/>
                <w:szCs w:val="20"/>
              </w:rPr>
              <w:t xml:space="preserve"> in new NHI registration</w:t>
            </w:r>
            <w:r w:rsidRPr="007F157F">
              <w:rPr>
                <w:rFonts w:ascii="Arial" w:eastAsia="Arial Unicode MS" w:hAnsi="Arial" w:cs="Arial"/>
                <w:b/>
                <w:sz w:val="20"/>
                <w:szCs w:val="20"/>
                <w:lang w:val="en-GB"/>
              </w:rPr>
              <w:t xml:space="preserve"> </w:t>
            </w:r>
          </w:p>
        </w:tc>
        <w:tc>
          <w:tcPr>
            <w:tcW w:w="888" w:type="pct"/>
            <w:gridSpan w:val="2"/>
            <w:vAlign w:val="center"/>
          </w:tcPr>
          <w:p w14:paraId="466BC3E2" w14:textId="77777777" w:rsidR="0003441E" w:rsidRPr="007F157F" w:rsidRDefault="0003441E" w:rsidP="009D6F69">
            <w:pPr>
              <w:spacing w:before="60" w:after="60" w:line="276" w:lineRule="auto"/>
              <w:jc w:val="center"/>
              <w:rPr>
                <w:rFonts w:ascii="Arial" w:eastAsia="Arial Unicode MS" w:hAnsi="Arial" w:cs="Arial"/>
                <w:sz w:val="20"/>
                <w:szCs w:val="20"/>
                <w:highlight w:val="lightGray"/>
                <w:lang w:val="en-GB"/>
              </w:rPr>
            </w:pPr>
            <w:r w:rsidRPr="007F157F">
              <w:rPr>
                <w:rFonts w:ascii="Arial" w:eastAsia="Arial Unicode MS" w:hAnsi="Arial" w:cs="Arial"/>
                <w:sz w:val="20"/>
                <w:szCs w:val="20"/>
                <w:lang w:val="en-GB"/>
              </w:rPr>
              <w:t>Greater than 4%</w:t>
            </w:r>
          </w:p>
        </w:tc>
        <w:tc>
          <w:tcPr>
            <w:tcW w:w="897" w:type="pct"/>
            <w:gridSpan w:val="2"/>
            <w:vAlign w:val="center"/>
          </w:tcPr>
          <w:p w14:paraId="2F469250"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&gt;2% and &lt; or equal to 4%</w:t>
            </w:r>
          </w:p>
        </w:tc>
        <w:tc>
          <w:tcPr>
            <w:tcW w:w="884" w:type="pct"/>
            <w:gridSpan w:val="2"/>
            <w:shd w:val="clear" w:color="auto" w:fill="FFFFCC"/>
            <w:vAlign w:val="center"/>
          </w:tcPr>
          <w:p w14:paraId="4167DF67"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&gt;0</w:t>
            </w:r>
            <w:r>
              <w:rPr>
                <w:rFonts w:ascii="Arial" w:eastAsia="Arial Unicode MS" w:hAnsi="Arial" w:cs="Arial"/>
                <w:sz w:val="20"/>
                <w:szCs w:val="20"/>
                <w:lang w:val="en-GB"/>
              </w:rPr>
              <w:t>.</w:t>
            </w:r>
            <w:r w:rsidRPr="007F157F">
              <w:rPr>
                <w:rFonts w:ascii="Arial" w:eastAsia="Arial Unicode MS" w:hAnsi="Arial" w:cs="Arial"/>
                <w:sz w:val="20"/>
                <w:szCs w:val="20"/>
                <w:lang w:val="en-GB"/>
              </w:rPr>
              <w:t>5% and &lt; or equal to 2%</w:t>
            </w:r>
          </w:p>
        </w:tc>
        <w:tc>
          <w:tcPr>
            <w:tcW w:w="935" w:type="pct"/>
            <w:gridSpan w:val="2"/>
            <w:vAlign w:val="center"/>
          </w:tcPr>
          <w:p w14:paraId="48F2522D"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&lt; or equal to 0.5% </w:t>
            </w:r>
          </w:p>
        </w:tc>
      </w:tr>
      <w:tr w:rsidR="0003441E" w:rsidRPr="007F157F" w14:paraId="64DEDA9C" w14:textId="77777777" w:rsidTr="009D6F69">
        <w:trPr>
          <w:cantSplit/>
          <w:trHeight w:val="1009"/>
        </w:trPr>
        <w:tc>
          <w:tcPr>
            <w:tcW w:w="349" w:type="pct"/>
            <w:vMerge/>
            <w:shd w:val="clear" w:color="auto" w:fill="E0E0E0"/>
          </w:tcPr>
          <w:p w14:paraId="3557D40F"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7" w:type="pct"/>
            <w:gridSpan w:val="2"/>
            <w:tcBorders>
              <w:right w:val="nil"/>
            </w:tcBorders>
            <w:shd w:val="clear" w:color="auto" w:fill="E0E0E0"/>
          </w:tcPr>
          <w:p w14:paraId="056F08E9" w14:textId="77777777" w:rsidR="0003441E" w:rsidRPr="007F157F" w:rsidRDefault="0003441E" w:rsidP="009D6F69">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3. </w:t>
            </w:r>
          </w:p>
        </w:tc>
        <w:tc>
          <w:tcPr>
            <w:tcW w:w="830" w:type="pct"/>
            <w:gridSpan w:val="2"/>
            <w:tcBorders>
              <w:left w:val="nil"/>
            </w:tcBorders>
            <w:shd w:val="clear" w:color="auto" w:fill="E0E0E0"/>
          </w:tcPr>
          <w:p w14:paraId="0FB594BC" w14:textId="77777777" w:rsidR="0003441E" w:rsidRPr="007F157F" w:rsidRDefault="0003441E" w:rsidP="009D6F69">
            <w:pPr>
              <w:spacing w:before="60" w:after="60" w:line="276" w:lineRule="auto"/>
              <w:rPr>
                <w:rFonts w:ascii="Arial" w:eastAsia="Arial Unicode MS" w:hAnsi="Arial" w:cs="Arial"/>
                <w:sz w:val="20"/>
                <w:szCs w:val="20"/>
                <w:lang w:val="en-GB"/>
              </w:rPr>
            </w:pPr>
            <w:r w:rsidRPr="007F157F">
              <w:rPr>
                <w:rFonts w:ascii="Arial" w:eastAsia="Arial Unicode MS" w:hAnsi="Arial" w:cs="Arial"/>
                <w:sz w:val="20"/>
                <w:szCs w:val="20"/>
                <w:lang w:val="en-GB"/>
              </w:rPr>
              <w:t>Update of specific ethnicity value in existing NHI record with a non-specific value</w:t>
            </w:r>
          </w:p>
        </w:tc>
        <w:tc>
          <w:tcPr>
            <w:tcW w:w="888" w:type="pct"/>
            <w:gridSpan w:val="2"/>
            <w:vAlign w:val="center"/>
          </w:tcPr>
          <w:p w14:paraId="4417ABB7" w14:textId="77777777" w:rsidR="0003441E" w:rsidRPr="007F157F" w:rsidRDefault="0003441E" w:rsidP="009D6F69">
            <w:pPr>
              <w:spacing w:before="60" w:after="60" w:line="276" w:lineRule="auto"/>
              <w:jc w:val="center"/>
              <w:rPr>
                <w:rFonts w:ascii="Arial" w:eastAsia="Arial Unicode MS" w:hAnsi="Arial" w:cs="Arial"/>
                <w:sz w:val="20"/>
                <w:szCs w:val="20"/>
                <w:highlight w:val="yellow"/>
                <w:lang w:val="en-GB"/>
              </w:rPr>
            </w:pPr>
            <w:r w:rsidRPr="007F157F">
              <w:rPr>
                <w:rFonts w:ascii="Arial" w:eastAsia="Arial Unicode MS" w:hAnsi="Arial" w:cs="Arial"/>
                <w:sz w:val="20"/>
                <w:szCs w:val="20"/>
                <w:lang w:val="en-GB"/>
              </w:rPr>
              <w:t>Greater than 4%</w:t>
            </w:r>
          </w:p>
        </w:tc>
        <w:tc>
          <w:tcPr>
            <w:tcW w:w="897" w:type="pct"/>
            <w:gridSpan w:val="2"/>
            <w:vAlign w:val="center"/>
          </w:tcPr>
          <w:p w14:paraId="5B2366E4" w14:textId="77777777" w:rsidR="0003441E" w:rsidRPr="007F157F" w:rsidRDefault="0003441E" w:rsidP="009D6F69">
            <w:pPr>
              <w:spacing w:before="60" w:after="60" w:line="276" w:lineRule="auto"/>
              <w:jc w:val="center"/>
              <w:rPr>
                <w:rFonts w:ascii="Arial" w:eastAsia="Arial Unicode MS" w:hAnsi="Arial" w:cs="Arial"/>
                <w:sz w:val="20"/>
                <w:szCs w:val="20"/>
                <w:highlight w:val="yellow"/>
                <w:lang w:val="en-GB"/>
              </w:rPr>
            </w:pPr>
            <w:r w:rsidRPr="007F157F">
              <w:rPr>
                <w:rFonts w:ascii="Arial" w:eastAsia="Arial Unicode MS" w:hAnsi="Arial" w:cs="Arial"/>
                <w:sz w:val="20"/>
                <w:szCs w:val="20"/>
                <w:lang w:val="en-GB"/>
              </w:rPr>
              <w:t>&gt;2% and &lt; or equal to 4%</w:t>
            </w:r>
          </w:p>
        </w:tc>
        <w:tc>
          <w:tcPr>
            <w:tcW w:w="884" w:type="pct"/>
            <w:gridSpan w:val="2"/>
            <w:shd w:val="clear" w:color="auto" w:fill="FFFFCC"/>
            <w:vAlign w:val="center"/>
          </w:tcPr>
          <w:p w14:paraId="782F29BE" w14:textId="77777777" w:rsidR="0003441E" w:rsidRPr="007F157F" w:rsidRDefault="0003441E" w:rsidP="009D6F69">
            <w:pPr>
              <w:spacing w:before="60" w:after="60" w:line="276" w:lineRule="auto"/>
              <w:jc w:val="center"/>
              <w:rPr>
                <w:rFonts w:ascii="Arial" w:eastAsia="Arial Unicode MS" w:hAnsi="Arial" w:cs="Arial"/>
                <w:sz w:val="20"/>
                <w:szCs w:val="20"/>
                <w:highlight w:val="yellow"/>
                <w:lang w:val="en-GB"/>
              </w:rPr>
            </w:pPr>
            <w:r w:rsidRPr="007F157F">
              <w:rPr>
                <w:rFonts w:ascii="Arial" w:eastAsia="Arial Unicode MS" w:hAnsi="Arial" w:cs="Arial"/>
                <w:sz w:val="20"/>
                <w:szCs w:val="20"/>
                <w:lang w:val="en-GB"/>
              </w:rPr>
              <w:t>&gt;0</w:t>
            </w:r>
            <w:r>
              <w:rPr>
                <w:rFonts w:ascii="Arial" w:eastAsia="Arial Unicode MS" w:hAnsi="Arial" w:cs="Arial"/>
                <w:sz w:val="20"/>
                <w:szCs w:val="20"/>
                <w:lang w:val="en-GB"/>
              </w:rPr>
              <w:t>.</w:t>
            </w:r>
            <w:r w:rsidRPr="007F157F">
              <w:rPr>
                <w:rFonts w:ascii="Arial" w:eastAsia="Arial Unicode MS" w:hAnsi="Arial" w:cs="Arial"/>
                <w:sz w:val="20"/>
                <w:szCs w:val="20"/>
                <w:lang w:val="en-GB"/>
              </w:rPr>
              <w:t>5% and &lt; or equal to 2%</w:t>
            </w:r>
          </w:p>
        </w:tc>
        <w:tc>
          <w:tcPr>
            <w:tcW w:w="935" w:type="pct"/>
            <w:gridSpan w:val="2"/>
            <w:vAlign w:val="center"/>
          </w:tcPr>
          <w:p w14:paraId="446153F6" w14:textId="77777777" w:rsidR="0003441E" w:rsidRPr="007F157F" w:rsidRDefault="0003441E" w:rsidP="009D6F69">
            <w:pPr>
              <w:spacing w:before="60" w:after="60" w:line="276" w:lineRule="auto"/>
              <w:jc w:val="center"/>
              <w:rPr>
                <w:rFonts w:ascii="Arial" w:eastAsia="Arial Unicode MS" w:hAnsi="Arial" w:cs="Arial"/>
                <w:sz w:val="20"/>
                <w:szCs w:val="20"/>
                <w:highlight w:val="yellow"/>
                <w:lang w:val="en-GB"/>
              </w:rPr>
            </w:pPr>
            <w:r w:rsidRPr="007F157F">
              <w:rPr>
                <w:rFonts w:ascii="Arial" w:eastAsia="Arial Unicode MS" w:hAnsi="Arial" w:cs="Arial"/>
                <w:sz w:val="20"/>
                <w:szCs w:val="20"/>
                <w:lang w:val="en-GB"/>
              </w:rPr>
              <w:t>&lt; or equal to 0.5%</w:t>
            </w:r>
          </w:p>
        </w:tc>
      </w:tr>
      <w:tr w:rsidR="0003441E" w:rsidRPr="007F157F" w14:paraId="60AF10EF" w14:textId="77777777" w:rsidTr="009D6F69">
        <w:trPr>
          <w:cantSplit/>
          <w:trHeight w:val="1009"/>
        </w:trPr>
        <w:tc>
          <w:tcPr>
            <w:tcW w:w="349" w:type="pct"/>
            <w:vMerge/>
            <w:shd w:val="clear" w:color="auto" w:fill="E0E0E0"/>
          </w:tcPr>
          <w:p w14:paraId="54756F22"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7" w:type="pct"/>
            <w:gridSpan w:val="2"/>
            <w:tcBorders>
              <w:right w:val="nil"/>
            </w:tcBorders>
            <w:shd w:val="clear" w:color="auto" w:fill="E0E0E0"/>
          </w:tcPr>
          <w:p w14:paraId="38354ABC" w14:textId="77777777" w:rsidR="0003441E" w:rsidRPr="007F157F" w:rsidRDefault="0003441E" w:rsidP="009D6F69">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4.</w:t>
            </w:r>
          </w:p>
        </w:tc>
        <w:tc>
          <w:tcPr>
            <w:tcW w:w="830" w:type="pct"/>
            <w:gridSpan w:val="2"/>
            <w:tcBorders>
              <w:left w:val="nil"/>
            </w:tcBorders>
            <w:shd w:val="clear" w:color="auto" w:fill="E0E0E0"/>
          </w:tcPr>
          <w:p w14:paraId="6F80F0E6" w14:textId="77777777" w:rsidR="0003441E" w:rsidRPr="007F157F" w:rsidRDefault="0003441E" w:rsidP="009D6F69">
            <w:pPr>
              <w:spacing w:before="60" w:after="60" w:line="276" w:lineRule="auto"/>
              <w:rPr>
                <w:rFonts w:ascii="Arial" w:eastAsia="Arial Unicode MS" w:hAnsi="Arial" w:cs="Arial"/>
                <w:sz w:val="20"/>
                <w:szCs w:val="20"/>
                <w:lang w:val="en-GB"/>
              </w:rPr>
            </w:pPr>
            <w:r w:rsidRPr="007F157F">
              <w:rPr>
                <w:rFonts w:ascii="Arial" w:eastAsia="Arial Unicode MS" w:hAnsi="Arial" w:cs="Arial"/>
                <w:sz w:val="20"/>
                <w:szCs w:val="20"/>
                <w:lang w:val="en-GB"/>
              </w:rPr>
              <w:t xml:space="preserve">Validated addresses excluding overseas, unknown and dot (.) in line 1  </w:t>
            </w:r>
          </w:p>
        </w:tc>
        <w:tc>
          <w:tcPr>
            <w:tcW w:w="888" w:type="pct"/>
            <w:gridSpan w:val="2"/>
            <w:vAlign w:val="center"/>
          </w:tcPr>
          <w:p w14:paraId="40A6A941"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&lt; or equal to 70%</w:t>
            </w:r>
          </w:p>
        </w:tc>
        <w:tc>
          <w:tcPr>
            <w:tcW w:w="897" w:type="pct"/>
            <w:gridSpan w:val="2"/>
            <w:vAlign w:val="center"/>
          </w:tcPr>
          <w:p w14:paraId="54B80CA3" w14:textId="77777777" w:rsidR="0003441E" w:rsidRPr="007F157F" w:rsidRDefault="0003441E" w:rsidP="009D6F69">
            <w:pPr>
              <w:rPr>
                <w:rFonts w:ascii="Arial" w:eastAsia="Arial Unicode MS" w:hAnsi="Arial" w:cs="Arial"/>
                <w:sz w:val="20"/>
                <w:szCs w:val="20"/>
                <w:lang w:val="en-GB"/>
              </w:rPr>
            </w:pPr>
            <w:r w:rsidRPr="007F157F">
              <w:rPr>
                <w:rFonts w:ascii="Arial" w:eastAsia="Arial Unicode MS" w:hAnsi="Arial" w:cs="Arial"/>
                <w:sz w:val="20"/>
                <w:szCs w:val="20"/>
                <w:lang w:val="en-GB"/>
              </w:rPr>
              <w:t>&gt;70% and &lt; or equal to 76%</w:t>
            </w:r>
          </w:p>
          <w:p w14:paraId="33C9A3E1"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884" w:type="pct"/>
            <w:gridSpan w:val="2"/>
            <w:shd w:val="clear" w:color="auto" w:fill="FFFFCC"/>
            <w:vAlign w:val="center"/>
          </w:tcPr>
          <w:p w14:paraId="59A0C055" w14:textId="77777777" w:rsidR="0003441E" w:rsidRPr="007F157F" w:rsidRDefault="0003441E" w:rsidP="009D6F69">
            <w:pPr>
              <w:rPr>
                <w:rFonts w:ascii="Arial" w:eastAsia="Arial Unicode MS" w:hAnsi="Arial" w:cs="Arial"/>
                <w:sz w:val="20"/>
                <w:szCs w:val="20"/>
                <w:lang w:val="en-GB"/>
              </w:rPr>
            </w:pPr>
            <w:r w:rsidRPr="007F157F">
              <w:rPr>
                <w:rFonts w:ascii="Arial" w:eastAsia="Arial Unicode MS" w:hAnsi="Arial" w:cs="Arial"/>
                <w:sz w:val="20"/>
                <w:szCs w:val="20"/>
                <w:lang w:val="en-GB"/>
              </w:rPr>
              <w:t>&gt;76% and &lt; or equal to 85%</w:t>
            </w:r>
          </w:p>
          <w:p w14:paraId="06FF75AB"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c>
          <w:tcPr>
            <w:tcW w:w="935" w:type="pct"/>
            <w:gridSpan w:val="2"/>
            <w:vAlign w:val="center"/>
          </w:tcPr>
          <w:p w14:paraId="1151CD1B" w14:textId="77777777" w:rsidR="0003441E" w:rsidRPr="007F157F" w:rsidRDefault="0003441E" w:rsidP="009D6F69">
            <w:pPr>
              <w:rPr>
                <w:rFonts w:ascii="Arial" w:eastAsia="Arial Unicode MS" w:hAnsi="Arial" w:cs="Arial"/>
                <w:sz w:val="20"/>
                <w:szCs w:val="20"/>
                <w:lang w:val="en-GB"/>
              </w:rPr>
            </w:pPr>
            <w:r w:rsidRPr="007F157F">
              <w:rPr>
                <w:rFonts w:ascii="Arial" w:eastAsia="Arial Unicode MS" w:hAnsi="Arial" w:cs="Arial"/>
                <w:sz w:val="20"/>
                <w:szCs w:val="20"/>
                <w:lang w:val="en-GB"/>
              </w:rPr>
              <w:t>Greater than 85%</w:t>
            </w:r>
          </w:p>
          <w:p w14:paraId="0A365031"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p>
        </w:tc>
      </w:tr>
      <w:tr w:rsidR="0003441E" w:rsidRPr="007F157F" w14:paraId="795960F2" w14:textId="77777777" w:rsidTr="009D6F69">
        <w:trPr>
          <w:cantSplit/>
          <w:trHeight w:val="1009"/>
        </w:trPr>
        <w:tc>
          <w:tcPr>
            <w:tcW w:w="349" w:type="pct"/>
            <w:vMerge/>
            <w:shd w:val="clear" w:color="auto" w:fill="E0E0E0"/>
          </w:tcPr>
          <w:p w14:paraId="37299650" w14:textId="77777777" w:rsidR="0003441E" w:rsidRPr="007F157F" w:rsidRDefault="0003441E" w:rsidP="009D6F69">
            <w:pPr>
              <w:spacing w:before="60" w:after="60" w:line="276" w:lineRule="auto"/>
              <w:jc w:val="both"/>
              <w:rPr>
                <w:rFonts w:ascii="Arial" w:eastAsia="Arial Unicode MS" w:hAnsi="Arial" w:cs="Arial"/>
                <w:b/>
                <w:bCs/>
                <w:sz w:val="20"/>
                <w:szCs w:val="20"/>
                <w:lang w:val="en-GB"/>
              </w:rPr>
            </w:pPr>
          </w:p>
        </w:tc>
        <w:tc>
          <w:tcPr>
            <w:tcW w:w="217" w:type="pct"/>
            <w:gridSpan w:val="2"/>
            <w:tcBorders>
              <w:right w:val="nil"/>
            </w:tcBorders>
            <w:shd w:val="clear" w:color="auto" w:fill="E0E0E0"/>
          </w:tcPr>
          <w:p w14:paraId="51784DB5" w14:textId="77777777" w:rsidR="0003441E" w:rsidRPr="007F157F" w:rsidRDefault="0003441E" w:rsidP="009D6F69">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5.  </w:t>
            </w:r>
          </w:p>
        </w:tc>
        <w:tc>
          <w:tcPr>
            <w:tcW w:w="830" w:type="pct"/>
            <w:gridSpan w:val="2"/>
            <w:tcBorders>
              <w:left w:val="nil"/>
            </w:tcBorders>
            <w:shd w:val="clear" w:color="auto" w:fill="E0E0E0"/>
          </w:tcPr>
          <w:p w14:paraId="0F4A0002" w14:textId="77777777" w:rsidR="0003441E" w:rsidRPr="007F157F" w:rsidRDefault="0003441E" w:rsidP="009D6F69">
            <w:pPr>
              <w:spacing w:before="60" w:after="60" w:line="276" w:lineRule="auto"/>
              <w:rPr>
                <w:rFonts w:ascii="Arial" w:eastAsia="Arial Unicode MS" w:hAnsi="Arial" w:cs="Arial"/>
                <w:sz w:val="20"/>
                <w:szCs w:val="20"/>
                <w:lang w:val="en-GB"/>
              </w:rPr>
            </w:pPr>
            <w:r w:rsidRPr="007F157F">
              <w:rPr>
                <w:rFonts w:ascii="Arial" w:eastAsia="Calibri" w:hAnsi="Arial" w:cs="Arial"/>
                <w:sz w:val="20"/>
                <w:szCs w:val="20"/>
              </w:rPr>
              <w:t xml:space="preserve">Invalid NHI data updates </w:t>
            </w:r>
          </w:p>
        </w:tc>
        <w:tc>
          <w:tcPr>
            <w:tcW w:w="888" w:type="pct"/>
            <w:gridSpan w:val="2"/>
            <w:vAlign w:val="center"/>
          </w:tcPr>
          <w:p w14:paraId="24EF0BBE"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Still to be confirmed</w:t>
            </w:r>
          </w:p>
          <w:p w14:paraId="01A248A7"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b/>
                <w:sz w:val="20"/>
                <w:szCs w:val="20"/>
                <w:lang w:val="en-GB"/>
              </w:rPr>
              <w:t>NOTE:</w:t>
            </w:r>
            <w:r w:rsidRPr="007F157F">
              <w:rPr>
                <w:rFonts w:ascii="Arial" w:eastAsia="Arial Unicode MS" w:hAnsi="Arial" w:cs="Arial"/>
                <w:sz w:val="20"/>
                <w:szCs w:val="20"/>
                <w:lang w:val="en-GB"/>
              </w:rPr>
              <w:t xml:space="preserve"> this indicator will not be measured for at least Q1 and Q2 2014-15</w:t>
            </w:r>
          </w:p>
        </w:tc>
        <w:tc>
          <w:tcPr>
            <w:tcW w:w="897" w:type="pct"/>
            <w:gridSpan w:val="2"/>
            <w:vAlign w:val="center"/>
          </w:tcPr>
          <w:p w14:paraId="49C9CCDD"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Still to be confirmed</w:t>
            </w:r>
          </w:p>
        </w:tc>
        <w:tc>
          <w:tcPr>
            <w:tcW w:w="884" w:type="pct"/>
            <w:gridSpan w:val="2"/>
            <w:shd w:val="clear" w:color="auto" w:fill="FFFFCC"/>
            <w:vAlign w:val="center"/>
          </w:tcPr>
          <w:p w14:paraId="5DC51BD7"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Still to be confirmed</w:t>
            </w:r>
          </w:p>
        </w:tc>
        <w:tc>
          <w:tcPr>
            <w:tcW w:w="935" w:type="pct"/>
            <w:gridSpan w:val="2"/>
            <w:vAlign w:val="center"/>
          </w:tcPr>
          <w:p w14:paraId="6DC9FF70" w14:textId="77777777" w:rsidR="0003441E" w:rsidRPr="007F157F" w:rsidRDefault="0003441E" w:rsidP="009D6F69">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Still to be confirmed</w:t>
            </w:r>
          </w:p>
        </w:tc>
      </w:tr>
    </w:tbl>
    <w:p w14:paraId="74E92E74" w14:textId="77777777" w:rsidR="0003441E" w:rsidRPr="007F157F" w:rsidRDefault="0003441E" w:rsidP="0003441E">
      <w:pPr>
        <w:rPr>
          <w:rFonts w:ascii="Arial" w:hAnsi="Arial" w:cs="Arial"/>
          <w:sz w:val="20"/>
          <w:szCs w:val="20"/>
        </w:rPr>
      </w:pPr>
    </w:p>
    <w:p w14:paraId="30A812CD"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lastRenderedPageBreak/>
        <w:t xml:space="preserve">DHB’s have been split into 3 groups for measure 1 based on volumes of new registrations (this is to </w:t>
      </w:r>
      <w:proofErr w:type="gramStart"/>
      <w:r w:rsidRPr="007F157F">
        <w:rPr>
          <w:rFonts w:ascii="Arial" w:hAnsi="Arial" w:cs="Arial"/>
          <w:sz w:val="20"/>
          <w:szCs w:val="20"/>
        </w:rPr>
        <w:t>take into account</w:t>
      </w:r>
      <w:proofErr w:type="gramEnd"/>
      <w:r w:rsidRPr="007F157F">
        <w:rPr>
          <w:rFonts w:ascii="Arial" w:hAnsi="Arial" w:cs="Arial"/>
          <w:sz w:val="20"/>
          <w:szCs w:val="20"/>
        </w:rPr>
        <w:t xml:space="preserve"> the effect of small numbers on percentages to better reflect actual performance) </w:t>
      </w:r>
    </w:p>
    <w:p w14:paraId="3AE60349" w14:textId="77777777" w:rsidR="0003441E" w:rsidRPr="007F157F" w:rsidRDefault="0003441E" w:rsidP="0003441E">
      <w:pPr>
        <w:spacing w:before="60" w:after="60"/>
        <w:jc w:val="both"/>
        <w:rPr>
          <w:rFonts w:ascii="Arial" w:hAnsi="Arial" w:cs="Arial"/>
          <w:sz w:val="20"/>
          <w:szCs w:val="20"/>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14"/>
        <w:gridCol w:w="3075"/>
      </w:tblGrid>
      <w:tr w:rsidR="0003441E" w:rsidRPr="007F157F" w14:paraId="57BC9EC4" w14:textId="77777777" w:rsidTr="009D6F69">
        <w:trPr>
          <w:trHeight w:val="330"/>
          <w:jc w:val="center"/>
        </w:trPr>
        <w:tc>
          <w:tcPr>
            <w:tcW w:w="2898" w:type="dxa"/>
            <w:shd w:val="clear" w:color="auto" w:fill="auto"/>
          </w:tcPr>
          <w:p w14:paraId="2518E5EE" w14:textId="77777777" w:rsidR="0003441E" w:rsidRPr="007F157F" w:rsidRDefault="0003441E" w:rsidP="009D6F69">
            <w:pPr>
              <w:jc w:val="center"/>
              <w:rPr>
                <w:rFonts w:ascii="Arial" w:eastAsia="Calibri" w:hAnsi="Arial" w:cs="Arial"/>
                <w:sz w:val="20"/>
                <w:szCs w:val="20"/>
                <w:highlight w:val="lightGray"/>
              </w:rPr>
            </w:pPr>
            <w:r w:rsidRPr="007F157F">
              <w:rPr>
                <w:rFonts w:ascii="Arial" w:eastAsia="Calibri" w:hAnsi="Arial" w:cs="Arial"/>
                <w:sz w:val="20"/>
                <w:szCs w:val="20"/>
                <w:highlight w:val="lightGray"/>
              </w:rPr>
              <w:t>GROUP A</w:t>
            </w:r>
          </w:p>
        </w:tc>
        <w:tc>
          <w:tcPr>
            <w:tcW w:w="2914" w:type="dxa"/>
            <w:shd w:val="clear" w:color="auto" w:fill="auto"/>
          </w:tcPr>
          <w:p w14:paraId="4739B034" w14:textId="77777777" w:rsidR="0003441E" w:rsidRPr="007F157F" w:rsidRDefault="0003441E" w:rsidP="009D6F69">
            <w:pPr>
              <w:jc w:val="center"/>
              <w:rPr>
                <w:rFonts w:ascii="Arial" w:eastAsia="Calibri" w:hAnsi="Arial" w:cs="Arial"/>
                <w:sz w:val="20"/>
                <w:szCs w:val="20"/>
                <w:highlight w:val="lightGray"/>
              </w:rPr>
            </w:pPr>
            <w:r w:rsidRPr="007F157F">
              <w:rPr>
                <w:rFonts w:ascii="Arial" w:eastAsia="Calibri" w:hAnsi="Arial" w:cs="Arial"/>
                <w:sz w:val="20"/>
                <w:szCs w:val="20"/>
                <w:highlight w:val="lightGray"/>
              </w:rPr>
              <w:t>GROUP B</w:t>
            </w:r>
          </w:p>
        </w:tc>
        <w:tc>
          <w:tcPr>
            <w:tcW w:w="3075" w:type="dxa"/>
            <w:shd w:val="clear" w:color="auto" w:fill="auto"/>
          </w:tcPr>
          <w:p w14:paraId="0B29A571" w14:textId="77777777" w:rsidR="0003441E" w:rsidRPr="007F157F" w:rsidRDefault="0003441E" w:rsidP="009D6F69">
            <w:pPr>
              <w:jc w:val="center"/>
              <w:rPr>
                <w:rFonts w:ascii="Arial" w:eastAsia="Calibri" w:hAnsi="Arial" w:cs="Arial"/>
                <w:sz w:val="20"/>
                <w:szCs w:val="20"/>
                <w:highlight w:val="lightGray"/>
              </w:rPr>
            </w:pPr>
            <w:r w:rsidRPr="007F157F">
              <w:rPr>
                <w:rFonts w:ascii="Arial" w:eastAsia="Calibri" w:hAnsi="Arial" w:cs="Arial"/>
                <w:sz w:val="20"/>
                <w:szCs w:val="20"/>
                <w:highlight w:val="lightGray"/>
              </w:rPr>
              <w:t>GROUP C</w:t>
            </w:r>
          </w:p>
        </w:tc>
      </w:tr>
      <w:tr w:rsidR="0003441E" w:rsidRPr="007F157F" w14:paraId="5F452222" w14:textId="77777777" w:rsidTr="009D6F69">
        <w:trPr>
          <w:trHeight w:val="330"/>
          <w:jc w:val="center"/>
        </w:trPr>
        <w:tc>
          <w:tcPr>
            <w:tcW w:w="2898" w:type="dxa"/>
            <w:shd w:val="clear" w:color="auto" w:fill="auto"/>
          </w:tcPr>
          <w:p w14:paraId="7A23A050"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Auckland</w:t>
            </w:r>
          </w:p>
        </w:tc>
        <w:tc>
          <w:tcPr>
            <w:tcW w:w="2914" w:type="dxa"/>
            <w:shd w:val="clear" w:color="auto" w:fill="auto"/>
          </w:tcPr>
          <w:p w14:paraId="43CA1878"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Bay of Plenty</w:t>
            </w:r>
          </w:p>
        </w:tc>
        <w:tc>
          <w:tcPr>
            <w:tcW w:w="3075" w:type="dxa"/>
            <w:shd w:val="clear" w:color="auto" w:fill="auto"/>
          </w:tcPr>
          <w:p w14:paraId="3B1993BA"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South Canterbury</w:t>
            </w:r>
          </w:p>
        </w:tc>
      </w:tr>
      <w:tr w:rsidR="0003441E" w:rsidRPr="007F157F" w14:paraId="69E15CE8" w14:textId="77777777" w:rsidTr="009D6F69">
        <w:trPr>
          <w:trHeight w:val="312"/>
          <w:jc w:val="center"/>
        </w:trPr>
        <w:tc>
          <w:tcPr>
            <w:tcW w:w="2898" w:type="dxa"/>
            <w:shd w:val="clear" w:color="auto" w:fill="auto"/>
          </w:tcPr>
          <w:p w14:paraId="7A3B4AD7"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 xml:space="preserve">Canterbury </w:t>
            </w:r>
          </w:p>
        </w:tc>
        <w:tc>
          <w:tcPr>
            <w:tcW w:w="2914" w:type="dxa"/>
            <w:shd w:val="clear" w:color="auto" w:fill="auto"/>
          </w:tcPr>
          <w:p w14:paraId="4FB307CD"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Hawkes Bay</w:t>
            </w:r>
          </w:p>
        </w:tc>
        <w:tc>
          <w:tcPr>
            <w:tcW w:w="3075" w:type="dxa"/>
            <w:shd w:val="clear" w:color="auto" w:fill="auto"/>
          </w:tcPr>
          <w:p w14:paraId="223F1A51"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Tairawhiti</w:t>
            </w:r>
          </w:p>
        </w:tc>
      </w:tr>
      <w:tr w:rsidR="0003441E" w:rsidRPr="007F157F" w14:paraId="57B663CF" w14:textId="77777777" w:rsidTr="009D6F69">
        <w:trPr>
          <w:trHeight w:val="330"/>
          <w:jc w:val="center"/>
        </w:trPr>
        <w:tc>
          <w:tcPr>
            <w:tcW w:w="2898" w:type="dxa"/>
            <w:shd w:val="clear" w:color="auto" w:fill="auto"/>
          </w:tcPr>
          <w:p w14:paraId="05B61510"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Capital and Coast</w:t>
            </w:r>
          </w:p>
        </w:tc>
        <w:tc>
          <w:tcPr>
            <w:tcW w:w="2914" w:type="dxa"/>
            <w:shd w:val="clear" w:color="auto" w:fill="auto"/>
          </w:tcPr>
          <w:p w14:paraId="3552C60E"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Hutt Valley</w:t>
            </w:r>
          </w:p>
        </w:tc>
        <w:tc>
          <w:tcPr>
            <w:tcW w:w="3075" w:type="dxa"/>
            <w:shd w:val="clear" w:color="auto" w:fill="auto"/>
          </w:tcPr>
          <w:p w14:paraId="4384C640"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Wairarapa</w:t>
            </w:r>
          </w:p>
        </w:tc>
      </w:tr>
      <w:tr w:rsidR="0003441E" w:rsidRPr="007F157F" w14:paraId="546F31B9" w14:textId="77777777" w:rsidTr="009D6F69">
        <w:trPr>
          <w:trHeight w:val="330"/>
          <w:jc w:val="center"/>
        </w:trPr>
        <w:tc>
          <w:tcPr>
            <w:tcW w:w="2898" w:type="dxa"/>
            <w:shd w:val="clear" w:color="auto" w:fill="auto"/>
          </w:tcPr>
          <w:p w14:paraId="0B1FDEE2"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Counties Manukau</w:t>
            </w:r>
          </w:p>
        </w:tc>
        <w:tc>
          <w:tcPr>
            <w:tcW w:w="2914" w:type="dxa"/>
            <w:shd w:val="clear" w:color="auto" w:fill="auto"/>
          </w:tcPr>
          <w:p w14:paraId="60B6400B"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Lakes</w:t>
            </w:r>
          </w:p>
        </w:tc>
        <w:tc>
          <w:tcPr>
            <w:tcW w:w="3075" w:type="dxa"/>
            <w:shd w:val="clear" w:color="auto" w:fill="auto"/>
          </w:tcPr>
          <w:p w14:paraId="4AC3CBD3"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West Coast</w:t>
            </w:r>
          </w:p>
        </w:tc>
      </w:tr>
      <w:tr w:rsidR="0003441E" w:rsidRPr="007F157F" w14:paraId="4ED3873A" w14:textId="77777777" w:rsidTr="009D6F69">
        <w:trPr>
          <w:trHeight w:val="330"/>
          <w:jc w:val="center"/>
        </w:trPr>
        <w:tc>
          <w:tcPr>
            <w:tcW w:w="2898" w:type="dxa"/>
            <w:shd w:val="clear" w:color="auto" w:fill="auto"/>
          </w:tcPr>
          <w:p w14:paraId="48D35867"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Southern</w:t>
            </w:r>
          </w:p>
        </w:tc>
        <w:tc>
          <w:tcPr>
            <w:tcW w:w="2914" w:type="dxa"/>
            <w:shd w:val="clear" w:color="auto" w:fill="auto"/>
          </w:tcPr>
          <w:p w14:paraId="6EF34B38"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Mid Central</w:t>
            </w:r>
          </w:p>
        </w:tc>
        <w:tc>
          <w:tcPr>
            <w:tcW w:w="3075" w:type="dxa"/>
            <w:shd w:val="clear" w:color="auto" w:fill="auto"/>
          </w:tcPr>
          <w:p w14:paraId="0699A174"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Whanganui</w:t>
            </w:r>
          </w:p>
        </w:tc>
      </w:tr>
      <w:tr w:rsidR="0003441E" w:rsidRPr="007F157F" w14:paraId="1E4CB39B" w14:textId="77777777" w:rsidTr="009D6F69">
        <w:trPr>
          <w:trHeight w:val="312"/>
          <w:jc w:val="center"/>
        </w:trPr>
        <w:tc>
          <w:tcPr>
            <w:tcW w:w="2898" w:type="dxa"/>
            <w:shd w:val="clear" w:color="auto" w:fill="auto"/>
          </w:tcPr>
          <w:p w14:paraId="23F79CBB"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Waikato</w:t>
            </w:r>
          </w:p>
        </w:tc>
        <w:tc>
          <w:tcPr>
            <w:tcW w:w="2914" w:type="dxa"/>
            <w:shd w:val="clear" w:color="auto" w:fill="auto"/>
          </w:tcPr>
          <w:p w14:paraId="6D44718C"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Nelson Marlborough</w:t>
            </w:r>
          </w:p>
        </w:tc>
        <w:tc>
          <w:tcPr>
            <w:tcW w:w="3075" w:type="dxa"/>
            <w:shd w:val="clear" w:color="auto" w:fill="auto"/>
          </w:tcPr>
          <w:p w14:paraId="75C4E9DD" w14:textId="77777777" w:rsidR="0003441E" w:rsidRPr="007F157F" w:rsidRDefault="0003441E" w:rsidP="009D6F69">
            <w:pPr>
              <w:rPr>
                <w:rFonts w:ascii="Arial" w:eastAsia="Calibri" w:hAnsi="Arial" w:cs="Arial"/>
                <w:sz w:val="20"/>
                <w:szCs w:val="20"/>
              </w:rPr>
            </w:pPr>
          </w:p>
        </w:tc>
      </w:tr>
      <w:tr w:rsidR="0003441E" w:rsidRPr="007F157F" w14:paraId="2BE6E878" w14:textId="77777777" w:rsidTr="009D6F69">
        <w:trPr>
          <w:trHeight w:val="348"/>
          <w:jc w:val="center"/>
        </w:trPr>
        <w:tc>
          <w:tcPr>
            <w:tcW w:w="2898" w:type="dxa"/>
            <w:shd w:val="clear" w:color="auto" w:fill="auto"/>
          </w:tcPr>
          <w:p w14:paraId="7F92FF92"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Waitemata</w:t>
            </w:r>
          </w:p>
        </w:tc>
        <w:tc>
          <w:tcPr>
            <w:tcW w:w="2914" w:type="dxa"/>
            <w:shd w:val="clear" w:color="auto" w:fill="auto"/>
          </w:tcPr>
          <w:p w14:paraId="45638212"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Northland</w:t>
            </w:r>
          </w:p>
        </w:tc>
        <w:tc>
          <w:tcPr>
            <w:tcW w:w="3075" w:type="dxa"/>
            <w:shd w:val="clear" w:color="auto" w:fill="auto"/>
          </w:tcPr>
          <w:p w14:paraId="1581B419" w14:textId="77777777" w:rsidR="0003441E" w:rsidRPr="007F157F" w:rsidRDefault="0003441E" w:rsidP="009D6F69">
            <w:pPr>
              <w:rPr>
                <w:rFonts w:ascii="Arial" w:eastAsia="Calibri" w:hAnsi="Arial" w:cs="Arial"/>
                <w:sz w:val="20"/>
                <w:szCs w:val="20"/>
              </w:rPr>
            </w:pPr>
          </w:p>
        </w:tc>
      </w:tr>
      <w:tr w:rsidR="0003441E" w:rsidRPr="007F157F" w14:paraId="09A613A3" w14:textId="77777777" w:rsidTr="009D6F69">
        <w:trPr>
          <w:trHeight w:val="348"/>
          <w:jc w:val="center"/>
        </w:trPr>
        <w:tc>
          <w:tcPr>
            <w:tcW w:w="2898" w:type="dxa"/>
            <w:shd w:val="clear" w:color="auto" w:fill="auto"/>
          </w:tcPr>
          <w:p w14:paraId="5470FEB6" w14:textId="77777777" w:rsidR="0003441E" w:rsidRPr="007F157F" w:rsidRDefault="0003441E" w:rsidP="009D6F69">
            <w:pPr>
              <w:rPr>
                <w:rFonts w:ascii="Arial" w:eastAsia="Calibri" w:hAnsi="Arial" w:cs="Arial"/>
                <w:sz w:val="20"/>
                <w:szCs w:val="20"/>
              </w:rPr>
            </w:pPr>
          </w:p>
        </w:tc>
        <w:tc>
          <w:tcPr>
            <w:tcW w:w="2914" w:type="dxa"/>
            <w:shd w:val="clear" w:color="auto" w:fill="auto"/>
          </w:tcPr>
          <w:p w14:paraId="0DE87206" w14:textId="77777777" w:rsidR="0003441E" w:rsidRPr="007F157F" w:rsidRDefault="0003441E" w:rsidP="009D6F69">
            <w:pPr>
              <w:rPr>
                <w:rFonts w:ascii="Arial" w:eastAsia="Calibri" w:hAnsi="Arial" w:cs="Arial"/>
                <w:sz w:val="20"/>
                <w:szCs w:val="20"/>
              </w:rPr>
            </w:pPr>
            <w:r w:rsidRPr="007F157F">
              <w:rPr>
                <w:rFonts w:ascii="Arial" w:eastAsia="Calibri" w:hAnsi="Arial" w:cs="Arial"/>
                <w:sz w:val="20"/>
                <w:szCs w:val="20"/>
              </w:rPr>
              <w:t>Taranaki</w:t>
            </w:r>
          </w:p>
        </w:tc>
        <w:tc>
          <w:tcPr>
            <w:tcW w:w="3075" w:type="dxa"/>
            <w:shd w:val="clear" w:color="auto" w:fill="auto"/>
          </w:tcPr>
          <w:p w14:paraId="296B04DB" w14:textId="77777777" w:rsidR="0003441E" w:rsidRPr="007F157F" w:rsidRDefault="0003441E" w:rsidP="009D6F69">
            <w:pPr>
              <w:rPr>
                <w:rFonts w:ascii="Arial" w:eastAsia="Calibri" w:hAnsi="Arial" w:cs="Arial"/>
                <w:sz w:val="20"/>
                <w:szCs w:val="20"/>
              </w:rPr>
            </w:pPr>
          </w:p>
        </w:tc>
      </w:tr>
    </w:tbl>
    <w:p w14:paraId="434C1208"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t xml:space="preserve"> </w:t>
      </w:r>
    </w:p>
    <w:p w14:paraId="585C9120" w14:textId="77777777" w:rsidR="0003441E" w:rsidRPr="007F157F" w:rsidRDefault="0003441E" w:rsidP="0003441E">
      <w:pPr>
        <w:spacing w:before="60" w:after="60"/>
        <w:jc w:val="both"/>
        <w:rPr>
          <w:rFonts w:ascii="Arial" w:hAnsi="Arial" w:cs="Arial"/>
          <w:sz w:val="20"/>
          <w:szCs w:val="20"/>
        </w:rPr>
      </w:pPr>
      <w:r w:rsidRPr="007F157F">
        <w:rPr>
          <w:rFonts w:ascii="Arial" w:hAnsi="Arial" w:cs="Arial"/>
          <w:sz w:val="20"/>
          <w:szCs w:val="20"/>
        </w:rPr>
        <w:t>DHBs must provide explanations if ratings are ‘not achieved’ or ‘partially achieved’ and submit plans for improvement and/or remediation.</w:t>
      </w:r>
    </w:p>
    <w:p w14:paraId="723858C1" w14:textId="4C050D18" w:rsidR="0003441E" w:rsidRDefault="0003441E" w:rsidP="0003441E">
      <w:pPr>
        <w:pBdr>
          <w:top w:val="single" w:sz="12" w:space="1" w:color="auto"/>
        </w:pBdr>
        <w:spacing w:before="120" w:after="120"/>
        <w:jc w:val="both"/>
        <w:rPr>
          <w:rFonts w:ascii="Arial" w:hAnsi="Arial" w:cs="Arial"/>
          <w:sz w:val="20"/>
          <w:szCs w:val="20"/>
        </w:rPr>
      </w:pPr>
    </w:p>
    <w:p w14:paraId="66B0C68F" w14:textId="77777777" w:rsidR="00B41E94" w:rsidRPr="007F157F" w:rsidRDefault="00B41E94" w:rsidP="00B41E94">
      <w:pPr>
        <w:pBdr>
          <w:top w:val="single" w:sz="12" w:space="1" w:color="auto"/>
        </w:pBdr>
        <w:spacing w:before="120" w:after="120"/>
        <w:jc w:val="both"/>
        <w:rPr>
          <w:rFonts w:ascii="Arial" w:hAnsi="Arial" w:cs="Arial"/>
          <w:b/>
          <w:bCs/>
          <w:iCs/>
          <w:kern w:val="32"/>
          <w:sz w:val="20"/>
          <w:szCs w:val="20"/>
        </w:rPr>
      </w:pPr>
      <w:r w:rsidRPr="007F157F">
        <w:rPr>
          <w:rFonts w:ascii="Arial" w:hAnsi="Arial" w:cs="Arial"/>
          <w:b/>
          <w:sz w:val="20"/>
          <w:szCs w:val="20"/>
          <w:highlight w:val="lightGray"/>
        </w:rPr>
        <w:t>Focus area 2: Improving the quality of d</w:t>
      </w:r>
      <w:r w:rsidRPr="007F157F">
        <w:rPr>
          <w:rFonts w:ascii="Arial" w:hAnsi="Arial" w:cs="Arial"/>
          <w:b/>
          <w:bCs/>
          <w:iCs/>
          <w:kern w:val="32"/>
          <w:sz w:val="20"/>
          <w:szCs w:val="20"/>
          <w:highlight w:val="lightGray"/>
        </w:rPr>
        <w:t>ata Submitted to National Collections</w:t>
      </w:r>
      <w:r w:rsidRPr="007F157F">
        <w:rPr>
          <w:rFonts w:ascii="Arial" w:hAnsi="Arial" w:cs="Arial"/>
          <w:b/>
          <w:bCs/>
          <w:iCs/>
          <w:kern w:val="32"/>
          <w:sz w:val="20"/>
          <w:szCs w:val="20"/>
        </w:rPr>
        <w:t xml:space="preserve">                   </w:t>
      </w:r>
    </w:p>
    <w:p w14:paraId="26BE3950" w14:textId="77777777" w:rsidR="00B41E94" w:rsidRPr="007F157F"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DHB results from production data reported to the national collections will be the basis for the initial assessments.  All DHBs can provide feedback on their performance.  This will inform the Ministry about data quality activities in the DHB and it will also be </w:t>
      </w:r>
      <w:proofErr w:type="gramStart"/>
      <w:r w:rsidRPr="007F157F">
        <w:rPr>
          <w:rFonts w:ascii="Arial" w:eastAsia="Calibri" w:hAnsi="Arial" w:cs="Arial"/>
          <w:sz w:val="20"/>
          <w:szCs w:val="20"/>
        </w:rPr>
        <w:t>taken into account</w:t>
      </w:r>
      <w:proofErr w:type="gramEnd"/>
      <w:r w:rsidRPr="007F157F">
        <w:rPr>
          <w:rFonts w:ascii="Arial" w:eastAsia="Calibri" w:hAnsi="Arial" w:cs="Arial"/>
          <w:sz w:val="20"/>
          <w:szCs w:val="20"/>
        </w:rPr>
        <w:t xml:space="preserve"> when assigning the final ratings. </w:t>
      </w:r>
    </w:p>
    <w:p w14:paraId="6AA971F9" w14:textId="77777777" w:rsidR="00B41E94" w:rsidRPr="007F157F" w:rsidRDefault="00B41E94" w:rsidP="00B41E94">
      <w:pPr>
        <w:spacing w:before="60" w:after="60" w:line="276" w:lineRule="auto"/>
        <w:jc w:val="both"/>
        <w:rPr>
          <w:rFonts w:ascii="Arial" w:eastAsia="Calibri" w:hAnsi="Arial" w:cs="Arial"/>
          <w:b/>
          <w:i/>
          <w:sz w:val="20"/>
          <w:szCs w:val="20"/>
        </w:rPr>
      </w:pPr>
      <w:r w:rsidRPr="007F157F">
        <w:rPr>
          <w:rFonts w:ascii="Arial" w:eastAsia="Calibri" w:hAnsi="Arial" w:cs="Arial"/>
          <w:b/>
          <w:i/>
          <w:sz w:val="20"/>
          <w:szCs w:val="20"/>
        </w:rPr>
        <w:t>Description:</w:t>
      </w:r>
    </w:p>
    <w:p w14:paraId="01865B57" w14:textId="77777777" w:rsidR="00B41E94" w:rsidRPr="007F157F"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National Collections and Reporting (</w:t>
      </w:r>
      <w:r>
        <w:rPr>
          <w:rFonts w:ascii="Arial" w:eastAsia="Calibri" w:hAnsi="Arial" w:cs="Arial"/>
          <w:sz w:val="20"/>
          <w:szCs w:val="20"/>
        </w:rPr>
        <w:t>Data and Digital</w:t>
      </w:r>
      <w:r w:rsidRPr="007F157F">
        <w:rPr>
          <w:rFonts w:ascii="Arial" w:eastAsia="Calibri" w:hAnsi="Arial" w:cs="Arial"/>
          <w:sz w:val="20"/>
          <w:szCs w:val="20"/>
        </w:rPr>
        <w:t>) have developed a quarterly toolkit showing results for each DHB by measure.</w:t>
      </w:r>
    </w:p>
    <w:p w14:paraId="1A6AD214" w14:textId="77777777" w:rsidR="00B41E94" w:rsidRPr="007F157F" w:rsidRDefault="00B41E94" w:rsidP="00B41E94">
      <w:pPr>
        <w:spacing w:before="60" w:after="60" w:line="276" w:lineRule="auto"/>
        <w:jc w:val="both"/>
        <w:rPr>
          <w:rFonts w:ascii="Arial" w:eastAsia="Calibri" w:hAnsi="Arial" w:cs="Arial"/>
          <w:sz w:val="20"/>
          <w:szCs w:val="20"/>
        </w:rPr>
      </w:pPr>
    </w:p>
    <w:p w14:paraId="0F0A08F6" w14:textId="77777777" w:rsidR="00B41E94"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b/>
          <w:i/>
          <w:sz w:val="20"/>
          <w:szCs w:val="20"/>
        </w:rPr>
        <w:t>Indicator 1:</w:t>
      </w:r>
      <w:r w:rsidRPr="007F157F">
        <w:rPr>
          <w:rFonts w:ascii="Arial" w:eastAsia="Calibri" w:hAnsi="Arial" w:cs="Arial"/>
          <w:sz w:val="20"/>
          <w:szCs w:val="20"/>
        </w:rPr>
        <w:t xml:space="preserve"> </w:t>
      </w:r>
      <w:r w:rsidRPr="007F157F">
        <w:rPr>
          <w:rFonts w:ascii="Arial" w:eastAsia="Calibri" w:hAnsi="Arial" w:cs="Arial"/>
          <w:sz w:val="20"/>
          <w:szCs w:val="20"/>
        </w:rPr>
        <w:tab/>
      </w:r>
      <w:r>
        <w:rPr>
          <w:rFonts w:ascii="Arial" w:eastAsia="Calibri" w:hAnsi="Arial" w:cs="Arial"/>
          <w:sz w:val="20"/>
          <w:szCs w:val="20"/>
          <w:u w:val="single"/>
        </w:rPr>
        <w:t>NPF</w:t>
      </w:r>
      <w:r w:rsidRPr="007F157F">
        <w:rPr>
          <w:rFonts w:ascii="Arial" w:eastAsia="Calibri" w:hAnsi="Arial" w:cs="Arial"/>
          <w:sz w:val="20"/>
          <w:szCs w:val="20"/>
          <w:u w:val="single"/>
        </w:rPr>
        <w:t xml:space="preserve"> collection has accurate dates and links to NNPAC</w:t>
      </w:r>
      <w:r>
        <w:rPr>
          <w:rFonts w:ascii="Arial" w:eastAsia="Calibri" w:hAnsi="Arial" w:cs="Arial"/>
          <w:sz w:val="20"/>
          <w:szCs w:val="20"/>
          <w:u w:val="single"/>
        </w:rPr>
        <w:t>, NBRS</w:t>
      </w:r>
      <w:r w:rsidRPr="007F157F">
        <w:rPr>
          <w:rFonts w:ascii="Arial" w:eastAsia="Calibri" w:hAnsi="Arial" w:cs="Arial"/>
          <w:sz w:val="20"/>
          <w:szCs w:val="20"/>
          <w:u w:val="single"/>
        </w:rPr>
        <w:t xml:space="preserve"> and NMDS</w:t>
      </w:r>
      <w:r>
        <w:rPr>
          <w:rFonts w:ascii="Arial" w:eastAsia="Calibri" w:hAnsi="Arial" w:cs="Arial"/>
          <w:sz w:val="20"/>
          <w:szCs w:val="20"/>
          <w:u w:val="single"/>
        </w:rPr>
        <w:t xml:space="preserve"> for FSA and planned inpatient procedures</w:t>
      </w:r>
      <w:r w:rsidRPr="007F157F">
        <w:rPr>
          <w:rFonts w:ascii="Arial" w:eastAsia="Calibri" w:hAnsi="Arial" w:cs="Arial"/>
          <w:sz w:val="20"/>
          <w:szCs w:val="20"/>
        </w:rPr>
        <w:t>.</w:t>
      </w:r>
    </w:p>
    <w:p w14:paraId="0F066D1F" w14:textId="77777777" w:rsidR="00B41E94" w:rsidRDefault="00B41E94" w:rsidP="00B41E94">
      <w:pPr>
        <w:spacing w:before="60" w:after="60" w:line="276" w:lineRule="auto"/>
        <w:jc w:val="both"/>
        <w:rPr>
          <w:rFonts w:ascii="Arial" w:eastAsia="Calibri" w:hAnsi="Arial" w:cs="Arial"/>
          <w:b/>
          <w:sz w:val="20"/>
          <w:szCs w:val="20"/>
        </w:rPr>
      </w:pPr>
    </w:p>
    <w:p w14:paraId="0494EC62" w14:textId="77777777" w:rsidR="00B41E94" w:rsidRPr="006943CE" w:rsidRDefault="00B41E94" w:rsidP="00B41E94">
      <w:pPr>
        <w:spacing w:before="60" w:after="60" w:line="276" w:lineRule="auto"/>
        <w:jc w:val="both"/>
        <w:rPr>
          <w:rFonts w:ascii="Arial" w:eastAsia="Calibri" w:hAnsi="Arial" w:cs="Arial"/>
          <w:b/>
          <w:sz w:val="20"/>
          <w:szCs w:val="20"/>
        </w:rPr>
      </w:pPr>
      <w:r w:rsidRPr="006943CE">
        <w:rPr>
          <w:rFonts w:ascii="Arial" w:eastAsia="Calibri" w:hAnsi="Arial" w:cs="Arial"/>
          <w:b/>
          <w:sz w:val="20"/>
          <w:szCs w:val="20"/>
        </w:rPr>
        <w:t>NMDS</w:t>
      </w:r>
      <w:r>
        <w:rPr>
          <w:rFonts w:ascii="Arial" w:eastAsia="Calibri" w:hAnsi="Arial" w:cs="Arial"/>
          <w:b/>
          <w:sz w:val="20"/>
          <w:szCs w:val="20"/>
        </w:rPr>
        <w:t xml:space="preserve"> match</w:t>
      </w:r>
    </w:p>
    <w:p w14:paraId="603D2A94" w14:textId="77777777" w:rsidR="00B41E94"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For all patients in </w:t>
      </w:r>
      <w:r>
        <w:rPr>
          <w:rFonts w:ascii="Arial" w:eastAsia="Calibri" w:hAnsi="Arial" w:cs="Arial"/>
          <w:sz w:val="20"/>
          <w:szCs w:val="20"/>
        </w:rPr>
        <w:t xml:space="preserve">the NMDS with a waitlisted procedure event, </w:t>
      </w:r>
      <w:r w:rsidRPr="007F157F">
        <w:rPr>
          <w:rFonts w:ascii="Arial" w:eastAsia="Calibri" w:hAnsi="Arial" w:cs="Arial"/>
          <w:sz w:val="20"/>
          <w:szCs w:val="20"/>
        </w:rPr>
        <w:t xml:space="preserve">there is an </w:t>
      </w:r>
      <w:r>
        <w:rPr>
          <w:rFonts w:ascii="Arial" w:eastAsia="Calibri" w:hAnsi="Arial" w:cs="Arial"/>
          <w:sz w:val="20"/>
          <w:szCs w:val="20"/>
        </w:rPr>
        <w:t>NPF encounter</w:t>
      </w:r>
      <w:r w:rsidRPr="007F157F">
        <w:rPr>
          <w:rFonts w:ascii="Arial" w:eastAsia="Calibri" w:hAnsi="Arial" w:cs="Arial"/>
          <w:sz w:val="20"/>
          <w:szCs w:val="20"/>
        </w:rPr>
        <w:t xml:space="preserve"> with the same procedure date </w:t>
      </w:r>
      <w:r>
        <w:rPr>
          <w:rFonts w:ascii="Arial" w:eastAsia="Calibri" w:hAnsi="Arial" w:cs="Arial"/>
          <w:sz w:val="20"/>
          <w:szCs w:val="20"/>
        </w:rPr>
        <w:t>and</w:t>
      </w:r>
      <w:r w:rsidRPr="007F157F">
        <w:rPr>
          <w:rFonts w:ascii="Arial" w:eastAsia="Calibri" w:hAnsi="Arial" w:cs="Arial"/>
          <w:sz w:val="20"/>
          <w:szCs w:val="20"/>
        </w:rPr>
        <w:t xml:space="preserve"> matching </w:t>
      </w:r>
      <w:r>
        <w:rPr>
          <w:rFonts w:ascii="Arial" w:eastAsia="Calibri" w:hAnsi="Arial" w:cs="Arial"/>
          <w:sz w:val="20"/>
          <w:szCs w:val="20"/>
        </w:rPr>
        <w:t>identifiers.</w:t>
      </w:r>
    </w:p>
    <w:p w14:paraId="25975016" w14:textId="77777777" w:rsidR="00B41E94" w:rsidRPr="007F157F" w:rsidRDefault="00B41E94" w:rsidP="00B41E94">
      <w:pPr>
        <w:tabs>
          <w:tab w:val="left" w:pos="3060"/>
        </w:tabs>
        <w:spacing w:before="60" w:after="60" w:line="276" w:lineRule="auto"/>
        <w:ind w:left="3060" w:hanging="1620"/>
        <w:jc w:val="both"/>
        <w:rPr>
          <w:rFonts w:ascii="Arial" w:eastAsia="Calibri" w:hAnsi="Arial" w:cs="Arial"/>
          <w:sz w:val="20"/>
          <w:szCs w:val="20"/>
        </w:rPr>
      </w:pPr>
      <w:r w:rsidRPr="007F157F">
        <w:rPr>
          <w:rFonts w:ascii="Arial" w:eastAsia="Calibri" w:hAnsi="Arial" w:cs="Arial"/>
          <w:sz w:val="20"/>
          <w:szCs w:val="20"/>
        </w:rPr>
        <w:t>Numerator:</w:t>
      </w:r>
      <w:r w:rsidRPr="007F157F">
        <w:rPr>
          <w:rFonts w:ascii="Arial" w:eastAsia="Calibri" w:hAnsi="Arial" w:cs="Arial"/>
          <w:sz w:val="20"/>
          <w:szCs w:val="20"/>
        </w:rPr>
        <w:tab/>
        <w:t>Total number of</w:t>
      </w:r>
      <w:r>
        <w:rPr>
          <w:rFonts w:ascii="Arial" w:eastAsia="Calibri" w:hAnsi="Arial" w:cs="Arial"/>
          <w:sz w:val="20"/>
          <w:szCs w:val="20"/>
        </w:rPr>
        <w:t xml:space="preserve"> NPF encounters with the same NMDS procedure date and matching NMDS identifiers</w:t>
      </w:r>
      <w:r w:rsidRPr="007F157F">
        <w:rPr>
          <w:rFonts w:ascii="Arial" w:eastAsia="Calibri" w:hAnsi="Arial" w:cs="Arial"/>
          <w:sz w:val="20"/>
          <w:szCs w:val="20"/>
        </w:rPr>
        <w:t xml:space="preserve"> per DHB per quarter.</w:t>
      </w:r>
    </w:p>
    <w:p w14:paraId="38E835C2" w14:textId="77777777" w:rsidR="00B41E94" w:rsidRPr="007F157F" w:rsidRDefault="00B41E94" w:rsidP="00B41E94">
      <w:pPr>
        <w:tabs>
          <w:tab w:val="left" w:pos="3060"/>
        </w:tabs>
        <w:spacing w:before="60" w:after="60" w:line="276" w:lineRule="auto"/>
        <w:ind w:left="3119" w:hanging="1679"/>
        <w:jc w:val="both"/>
        <w:rPr>
          <w:rFonts w:ascii="Arial" w:eastAsia="Calibri" w:hAnsi="Arial" w:cs="Arial"/>
          <w:sz w:val="20"/>
          <w:szCs w:val="20"/>
        </w:rPr>
      </w:pPr>
      <w:r w:rsidRPr="007F157F">
        <w:rPr>
          <w:rFonts w:ascii="Arial" w:eastAsia="Calibri" w:hAnsi="Arial" w:cs="Arial"/>
          <w:sz w:val="20"/>
          <w:szCs w:val="20"/>
        </w:rPr>
        <w:t>Denominator:</w:t>
      </w:r>
      <w:r w:rsidRPr="007F157F">
        <w:rPr>
          <w:rFonts w:ascii="Arial" w:eastAsia="Calibri" w:hAnsi="Arial" w:cs="Arial"/>
          <w:sz w:val="20"/>
          <w:szCs w:val="20"/>
        </w:rPr>
        <w:tab/>
      </w:r>
      <w:r>
        <w:rPr>
          <w:rFonts w:ascii="Arial" w:eastAsia="Calibri" w:hAnsi="Arial" w:cs="Arial"/>
          <w:sz w:val="20"/>
          <w:szCs w:val="20"/>
        </w:rPr>
        <w:t>Total number of NMDS waitlisted procedure events per DHB per quarter</w:t>
      </w:r>
      <w:r w:rsidRPr="007F157F">
        <w:rPr>
          <w:rFonts w:ascii="Arial" w:eastAsia="Calibri" w:hAnsi="Arial" w:cs="Arial"/>
          <w:sz w:val="20"/>
          <w:szCs w:val="20"/>
        </w:rPr>
        <w:t>.</w:t>
      </w:r>
    </w:p>
    <w:p w14:paraId="3F631E2E" w14:textId="77777777" w:rsidR="00B41E94" w:rsidRPr="006943CE" w:rsidRDefault="00B41E94" w:rsidP="00B41E94">
      <w:pPr>
        <w:spacing w:before="60" w:after="60" w:line="276" w:lineRule="auto"/>
        <w:jc w:val="both"/>
        <w:rPr>
          <w:rFonts w:ascii="Arial" w:eastAsia="Calibri" w:hAnsi="Arial" w:cs="Arial"/>
          <w:b/>
          <w:sz w:val="20"/>
          <w:szCs w:val="20"/>
        </w:rPr>
      </w:pPr>
      <w:r w:rsidRPr="007F157F">
        <w:rPr>
          <w:rFonts w:ascii="Arial" w:eastAsia="Calibri" w:hAnsi="Arial" w:cs="Arial"/>
          <w:sz w:val="20"/>
          <w:szCs w:val="20"/>
        </w:rPr>
        <w:t xml:space="preserve"> </w:t>
      </w:r>
      <w:r w:rsidRPr="006943CE">
        <w:rPr>
          <w:rFonts w:ascii="Arial" w:eastAsia="Calibri" w:hAnsi="Arial" w:cs="Arial"/>
          <w:b/>
          <w:sz w:val="20"/>
          <w:szCs w:val="20"/>
        </w:rPr>
        <w:t>NNPAC</w:t>
      </w:r>
      <w:r>
        <w:rPr>
          <w:rFonts w:ascii="Arial" w:eastAsia="Calibri" w:hAnsi="Arial" w:cs="Arial"/>
          <w:b/>
          <w:sz w:val="20"/>
          <w:szCs w:val="20"/>
        </w:rPr>
        <w:t xml:space="preserve"> match</w:t>
      </w:r>
    </w:p>
    <w:p w14:paraId="5889A838" w14:textId="77777777" w:rsidR="00B41E94" w:rsidRPr="007F157F" w:rsidRDefault="00B41E94" w:rsidP="00B41E94">
      <w:pPr>
        <w:spacing w:before="60" w:after="60" w:line="276" w:lineRule="auto"/>
        <w:jc w:val="both"/>
        <w:rPr>
          <w:rFonts w:ascii="Arial" w:eastAsia="Calibri" w:hAnsi="Arial" w:cs="Arial"/>
          <w:sz w:val="20"/>
          <w:szCs w:val="20"/>
        </w:rPr>
      </w:pPr>
      <w:r>
        <w:rPr>
          <w:rFonts w:ascii="Arial" w:eastAsia="Calibri" w:hAnsi="Arial" w:cs="Arial"/>
          <w:sz w:val="20"/>
          <w:szCs w:val="20"/>
        </w:rPr>
        <w:t xml:space="preserve"> For all patients in </w:t>
      </w:r>
      <w:r w:rsidRPr="007F157F">
        <w:rPr>
          <w:rFonts w:ascii="Arial" w:eastAsia="Calibri" w:hAnsi="Arial" w:cs="Arial"/>
          <w:sz w:val="20"/>
          <w:szCs w:val="20"/>
        </w:rPr>
        <w:t>NNPAC</w:t>
      </w:r>
      <w:r>
        <w:rPr>
          <w:rFonts w:ascii="Arial" w:eastAsia="Calibri" w:hAnsi="Arial" w:cs="Arial"/>
          <w:sz w:val="20"/>
          <w:szCs w:val="20"/>
        </w:rPr>
        <w:t xml:space="preserve"> with an attended FSA event, there is an NPF encounter with the same date and matching identifiers</w:t>
      </w:r>
      <w:r w:rsidRPr="007F157F">
        <w:rPr>
          <w:rFonts w:ascii="Arial" w:eastAsia="Calibri" w:hAnsi="Arial" w:cs="Arial"/>
          <w:sz w:val="20"/>
          <w:szCs w:val="20"/>
        </w:rPr>
        <w:t>.</w:t>
      </w:r>
    </w:p>
    <w:p w14:paraId="3407608F" w14:textId="77777777" w:rsidR="00B41E94" w:rsidRPr="007F157F" w:rsidRDefault="00B41E94" w:rsidP="00B41E94">
      <w:pPr>
        <w:tabs>
          <w:tab w:val="left" w:pos="3060"/>
        </w:tabs>
        <w:spacing w:before="60" w:after="60" w:line="276" w:lineRule="auto"/>
        <w:ind w:left="3060" w:hanging="1620"/>
        <w:jc w:val="both"/>
        <w:rPr>
          <w:rFonts w:ascii="Arial" w:eastAsia="Calibri" w:hAnsi="Arial" w:cs="Arial"/>
          <w:sz w:val="20"/>
          <w:szCs w:val="20"/>
        </w:rPr>
      </w:pPr>
      <w:r w:rsidRPr="007F157F">
        <w:rPr>
          <w:rFonts w:ascii="Arial" w:eastAsia="Calibri" w:hAnsi="Arial" w:cs="Arial"/>
          <w:sz w:val="20"/>
          <w:szCs w:val="20"/>
        </w:rPr>
        <w:t>Numerator:</w:t>
      </w:r>
      <w:r w:rsidRPr="007F157F">
        <w:rPr>
          <w:rFonts w:ascii="Arial" w:eastAsia="Calibri" w:hAnsi="Arial" w:cs="Arial"/>
          <w:sz w:val="20"/>
          <w:szCs w:val="20"/>
        </w:rPr>
        <w:tab/>
        <w:t>Total number of</w:t>
      </w:r>
      <w:r>
        <w:rPr>
          <w:rFonts w:ascii="Arial" w:eastAsia="Calibri" w:hAnsi="Arial" w:cs="Arial"/>
          <w:sz w:val="20"/>
          <w:szCs w:val="20"/>
        </w:rPr>
        <w:t xml:space="preserve"> NPF attended encounters with the same date and NNPAC identifiers as in NNPAC per DHB per quarter.</w:t>
      </w:r>
    </w:p>
    <w:p w14:paraId="1A101D3A" w14:textId="77777777" w:rsidR="00B41E94" w:rsidRPr="007F157F" w:rsidRDefault="00B41E94" w:rsidP="00B41E94">
      <w:pPr>
        <w:tabs>
          <w:tab w:val="left" w:pos="3060"/>
        </w:tabs>
        <w:spacing w:before="60" w:after="60" w:line="276" w:lineRule="auto"/>
        <w:ind w:left="3119" w:hanging="1679"/>
        <w:jc w:val="both"/>
        <w:rPr>
          <w:rFonts w:ascii="Arial" w:eastAsia="Calibri" w:hAnsi="Arial" w:cs="Arial"/>
          <w:sz w:val="20"/>
          <w:szCs w:val="20"/>
        </w:rPr>
      </w:pPr>
      <w:r w:rsidRPr="007F157F">
        <w:rPr>
          <w:rFonts w:ascii="Arial" w:eastAsia="Calibri" w:hAnsi="Arial" w:cs="Arial"/>
          <w:sz w:val="20"/>
          <w:szCs w:val="20"/>
        </w:rPr>
        <w:t>Denominator:</w:t>
      </w:r>
      <w:r w:rsidRPr="007F157F">
        <w:rPr>
          <w:rFonts w:ascii="Arial" w:eastAsia="Calibri" w:hAnsi="Arial" w:cs="Arial"/>
          <w:sz w:val="20"/>
          <w:szCs w:val="20"/>
        </w:rPr>
        <w:tab/>
      </w:r>
      <w:r>
        <w:rPr>
          <w:rFonts w:ascii="Arial" w:eastAsia="Calibri" w:hAnsi="Arial" w:cs="Arial"/>
          <w:sz w:val="20"/>
          <w:szCs w:val="20"/>
        </w:rPr>
        <w:t>Total number of NNPAC attended FSA events per DHB per quarter</w:t>
      </w:r>
      <w:r w:rsidRPr="007F157F">
        <w:rPr>
          <w:rFonts w:ascii="Arial" w:eastAsia="Calibri" w:hAnsi="Arial" w:cs="Arial"/>
          <w:sz w:val="20"/>
          <w:szCs w:val="20"/>
        </w:rPr>
        <w:t>.</w:t>
      </w:r>
    </w:p>
    <w:p w14:paraId="773DF449" w14:textId="77777777" w:rsidR="00B41E94" w:rsidRDefault="00B41E94" w:rsidP="00B41E94">
      <w:pPr>
        <w:tabs>
          <w:tab w:val="left" w:pos="1418"/>
        </w:tabs>
        <w:spacing w:before="60" w:after="60" w:line="276" w:lineRule="auto"/>
        <w:ind w:left="1440"/>
        <w:jc w:val="both"/>
        <w:rPr>
          <w:rFonts w:ascii="Arial" w:eastAsia="Calibri" w:hAnsi="Arial" w:cs="Arial"/>
          <w:i/>
          <w:sz w:val="20"/>
          <w:szCs w:val="20"/>
        </w:rPr>
      </w:pPr>
    </w:p>
    <w:p w14:paraId="1ED199E5" w14:textId="77777777" w:rsidR="00B41E94" w:rsidRDefault="00B41E94" w:rsidP="00B41E94">
      <w:pPr>
        <w:spacing w:before="60" w:after="60" w:line="276" w:lineRule="auto"/>
        <w:jc w:val="both"/>
        <w:rPr>
          <w:rFonts w:ascii="Arial" w:eastAsia="Calibri" w:hAnsi="Arial" w:cs="Arial"/>
          <w:sz w:val="20"/>
          <w:szCs w:val="20"/>
        </w:rPr>
      </w:pPr>
    </w:p>
    <w:p w14:paraId="0B5040AB" w14:textId="77777777" w:rsidR="00B41E94" w:rsidRDefault="00B41E94" w:rsidP="00B41E94">
      <w:pPr>
        <w:spacing w:before="60" w:after="60" w:line="276" w:lineRule="auto"/>
        <w:jc w:val="both"/>
        <w:rPr>
          <w:rFonts w:ascii="Arial" w:eastAsia="Calibri" w:hAnsi="Arial" w:cs="Arial"/>
          <w:b/>
          <w:sz w:val="20"/>
          <w:szCs w:val="20"/>
        </w:rPr>
      </w:pPr>
    </w:p>
    <w:p w14:paraId="087C1394" w14:textId="77777777" w:rsidR="00B41E94" w:rsidRDefault="00B41E94" w:rsidP="00B41E94">
      <w:pPr>
        <w:spacing w:before="60" w:after="60" w:line="276" w:lineRule="auto"/>
        <w:jc w:val="both"/>
        <w:rPr>
          <w:rFonts w:ascii="Arial" w:eastAsia="Calibri" w:hAnsi="Arial" w:cs="Arial"/>
          <w:b/>
          <w:sz w:val="20"/>
          <w:szCs w:val="20"/>
        </w:rPr>
      </w:pPr>
    </w:p>
    <w:p w14:paraId="14E760B5" w14:textId="77777777" w:rsidR="00B41E94" w:rsidRDefault="00B41E94" w:rsidP="00B41E94">
      <w:pPr>
        <w:spacing w:before="60" w:after="60" w:line="276" w:lineRule="auto"/>
        <w:jc w:val="both"/>
        <w:rPr>
          <w:rFonts w:ascii="Arial" w:eastAsia="Calibri" w:hAnsi="Arial" w:cs="Arial"/>
          <w:b/>
          <w:sz w:val="20"/>
          <w:szCs w:val="20"/>
        </w:rPr>
      </w:pPr>
    </w:p>
    <w:p w14:paraId="3DEB0A49" w14:textId="77777777" w:rsidR="00B41E94" w:rsidRDefault="00B41E94" w:rsidP="00B41E94">
      <w:pPr>
        <w:spacing w:before="60" w:after="60" w:line="276" w:lineRule="auto"/>
        <w:jc w:val="both"/>
        <w:rPr>
          <w:rFonts w:ascii="Arial" w:eastAsia="Calibri" w:hAnsi="Arial" w:cs="Arial"/>
          <w:b/>
          <w:sz w:val="20"/>
          <w:szCs w:val="20"/>
        </w:rPr>
      </w:pPr>
    </w:p>
    <w:p w14:paraId="6A09A5F4" w14:textId="0B75B69B" w:rsidR="00B41E94" w:rsidRDefault="00B41E94" w:rsidP="00B41E94">
      <w:pPr>
        <w:spacing w:before="60" w:after="60" w:line="276" w:lineRule="auto"/>
        <w:jc w:val="both"/>
        <w:rPr>
          <w:rFonts w:ascii="Arial" w:eastAsia="Calibri" w:hAnsi="Arial" w:cs="Arial"/>
          <w:b/>
          <w:sz w:val="20"/>
          <w:szCs w:val="20"/>
        </w:rPr>
      </w:pPr>
      <w:r w:rsidRPr="00196C2D">
        <w:rPr>
          <w:rFonts w:ascii="Arial" w:eastAsia="Calibri" w:hAnsi="Arial" w:cs="Arial"/>
          <w:b/>
          <w:sz w:val="20"/>
          <w:szCs w:val="20"/>
        </w:rPr>
        <w:lastRenderedPageBreak/>
        <w:t>NBRS Match</w:t>
      </w:r>
    </w:p>
    <w:p w14:paraId="0F307196" w14:textId="77777777" w:rsidR="00B41E94" w:rsidRDefault="00B41E94" w:rsidP="00B41E94">
      <w:pPr>
        <w:spacing w:before="60" w:after="60" w:line="276" w:lineRule="auto"/>
        <w:jc w:val="both"/>
        <w:rPr>
          <w:rFonts w:ascii="Arial" w:eastAsia="Calibri" w:hAnsi="Arial" w:cs="Arial"/>
          <w:b/>
          <w:sz w:val="20"/>
          <w:szCs w:val="20"/>
        </w:rPr>
      </w:pPr>
      <w:r>
        <w:rPr>
          <w:rFonts w:ascii="Arial" w:eastAsia="Calibri" w:hAnsi="Arial" w:cs="Arial"/>
          <w:b/>
          <w:sz w:val="20"/>
          <w:szCs w:val="20"/>
        </w:rPr>
        <w:t>For all patients in NBRS with an exited booking, there is an NPF activity record with the same date and matching equivalent outcome.</w:t>
      </w:r>
    </w:p>
    <w:p w14:paraId="50824934" w14:textId="77777777" w:rsidR="00B41E94" w:rsidRDefault="00B41E94" w:rsidP="00B41E94">
      <w:pPr>
        <w:spacing w:before="60" w:after="60" w:line="276" w:lineRule="auto"/>
        <w:ind w:left="3060" w:hanging="1620"/>
        <w:jc w:val="both"/>
        <w:rPr>
          <w:rFonts w:ascii="Arial" w:eastAsia="Calibri" w:hAnsi="Arial" w:cs="Arial"/>
          <w:b/>
          <w:sz w:val="20"/>
          <w:szCs w:val="20"/>
        </w:rPr>
      </w:pPr>
      <w:r>
        <w:rPr>
          <w:rFonts w:ascii="Arial" w:eastAsia="Calibri" w:hAnsi="Arial" w:cs="Arial"/>
          <w:b/>
          <w:sz w:val="20"/>
          <w:szCs w:val="20"/>
        </w:rPr>
        <w:t>Numerator:</w:t>
      </w:r>
      <w:r>
        <w:rPr>
          <w:rFonts w:ascii="Arial" w:eastAsia="Calibri" w:hAnsi="Arial" w:cs="Arial"/>
          <w:b/>
          <w:sz w:val="20"/>
          <w:szCs w:val="20"/>
        </w:rPr>
        <w:tab/>
        <w:t>Total number of NPF activity records with the same date and   matching equivalent outcomes as in NBRS per DHB per quarter.</w:t>
      </w:r>
    </w:p>
    <w:p w14:paraId="313F3532" w14:textId="77777777" w:rsidR="00B41E94" w:rsidRPr="00196C2D" w:rsidRDefault="00B41E94" w:rsidP="00B41E94">
      <w:pPr>
        <w:spacing w:before="60" w:after="60" w:line="276" w:lineRule="auto"/>
        <w:ind w:left="3060" w:hanging="1620"/>
        <w:jc w:val="both"/>
        <w:rPr>
          <w:rFonts w:ascii="Arial" w:eastAsia="Calibri" w:hAnsi="Arial" w:cs="Arial"/>
          <w:b/>
          <w:sz w:val="20"/>
          <w:szCs w:val="20"/>
        </w:rPr>
      </w:pPr>
      <w:r>
        <w:rPr>
          <w:rFonts w:ascii="Arial" w:eastAsia="Calibri" w:hAnsi="Arial" w:cs="Arial"/>
          <w:b/>
          <w:sz w:val="20"/>
          <w:szCs w:val="20"/>
        </w:rPr>
        <w:t>Denominator:</w:t>
      </w:r>
      <w:r>
        <w:rPr>
          <w:rFonts w:ascii="Arial" w:eastAsia="Calibri" w:hAnsi="Arial" w:cs="Arial"/>
          <w:b/>
          <w:sz w:val="20"/>
          <w:szCs w:val="20"/>
        </w:rPr>
        <w:tab/>
        <w:t>Total number of NBRS exits per DHB per quarter.</w:t>
      </w:r>
    </w:p>
    <w:p w14:paraId="60E888D1" w14:textId="77777777" w:rsidR="00B41E94" w:rsidRDefault="00B41E94" w:rsidP="00B41E94">
      <w:pPr>
        <w:tabs>
          <w:tab w:val="left" w:pos="1418"/>
        </w:tabs>
        <w:spacing w:before="60" w:after="60" w:line="276" w:lineRule="auto"/>
        <w:ind w:left="1440"/>
        <w:jc w:val="both"/>
        <w:rPr>
          <w:rFonts w:ascii="Arial" w:eastAsia="Calibri" w:hAnsi="Arial" w:cs="Arial"/>
          <w:i/>
          <w:sz w:val="20"/>
          <w:szCs w:val="20"/>
        </w:rPr>
      </w:pPr>
    </w:p>
    <w:p w14:paraId="53D5A8F8" w14:textId="77777777" w:rsidR="00B41E94" w:rsidRPr="007F157F" w:rsidRDefault="00B41E94" w:rsidP="00B41E94">
      <w:pPr>
        <w:tabs>
          <w:tab w:val="left" w:pos="1418"/>
        </w:tabs>
        <w:spacing w:before="60" w:after="60" w:line="276" w:lineRule="auto"/>
        <w:ind w:left="1440"/>
        <w:jc w:val="both"/>
        <w:rPr>
          <w:rFonts w:ascii="Arial" w:eastAsia="Calibri" w:hAnsi="Arial" w:cs="Arial"/>
          <w:i/>
          <w:sz w:val="20"/>
          <w:szCs w:val="20"/>
        </w:rPr>
      </w:pPr>
      <w:r w:rsidRPr="007F157F">
        <w:rPr>
          <w:rFonts w:ascii="Arial" w:eastAsia="Calibri" w:hAnsi="Arial" w:cs="Arial"/>
          <w:i/>
          <w:sz w:val="20"/>
          <w:szCs w:val="20"/>
        </w:rPr>
        <w:t xml:space="preserve">Note: The rating for this measure will be an average of the rating across </w:t>
      </w:r>
      <w:r>
        <w:rPr>
          <w:rFonts w:ascii="Arial" w:eastAsia="Calibri" w:hAnsi="Arial" w:cs="Arial"/>
          <w:i/>
          <w:sz w:val="20"/>
          <w:szCs w:val="20"/>
        </w:rPr>
        <w:t xml:space="preserve">3 </w:t>
      </w:r>
      <w:r w:rsidRPr="007F157F">
        <w:rPr>
          <w:rFonts w:ascii="Arial" w:eastAsia="Calibri" w:hAnsi="Arial" w:cs="Arial"/>
          <w:i/>
          <w:sz w:val="20"/>
          <w:szCs w:val="20"/>
        </w:rPr>
        <w:t>collections.</w:t>
      </w:r>
      <w:r w:rsidRPr="007F157F">
        <w:rPr>
          <w:rFonts w:ascii="Arial" w:eastAsia="Calibri" w:hAnsi="Arial" w:cs="Arial"/>
          <w:i/>
          <w:color w:val="FF0000"/>
          <w:sz w:val="20"/>
          <w:szCs w:val="20"/>
        </w:rPr>
        <w:t xml:space="preserve"> </w:t>
      </w:r>
      <w:r w:rsidRPr="007F157F">
        <w:rPr>
          <w:rFonts w:ascii="Arial" w:eastAsia="Calibri" w:hAnsi="Arial" w:cs="Arial"/>
          <w:i/>
          <w:sz w:val="20"/>
          <w:szCs w:val="20"/>
        </w:rPr>
        <w:t>A breakdown of the percentage and rating for each individual collection will be provided.</w:t>
      </w:r>
    </w:p>
    <w:p w14:paraId="46C01347" w14:textId="77777777" w:rsidR="00B41E94" w:rsidRPr="007F157F" w:rsidRDefault="00B41E94" w:rsidP="00B41E94">
      <w:pPr>
        <w:spacing w:before="60" w:after="60" w:line="276" w:lineRule="auto"/>
        <w:jc w:val="both"/>
        <w:rPr>
          <w:rFonts w:ascii="Arial" w:eastAsia="Calibri" w:hAnsi="Arial" w:cs="Arial"/>
          <w:sz w:val="20"/>
          <w:szCs w:val="20"/>
        </w:rPr>
      </w:pPr>
    </w:p>
    <w:p w14:paraId="51B054D2" w14:textId="77777777" w:rsidR="00B41E94" w:rsidRPr="007F157F" w:rsidRDefault="00B41E94" w:rsidP="00B41E94">
      <w:pPr>
        <w:spacing w:before="60" w:after="60" w:line="276" w:lineRule="auto"/>
        <w:jc w:val="both"/>
        <w:rPr>
          <w:rFonts w:ascii="Arial" w:eastAsia="Calibri" w:hAnsi="Arial" w:cs="Arial"/>
          <w:sz w:val="20"/>
          <w:szCs w:val="20"/>
          <w:u w:val="single"/>
        </w:rPr>
      </w:pPr>
      <w:r w:rsidRPr="007F157F">
        <w:rPr>
          <w:rFonts w:ascii="Arial" w:eastAsia="Calibri" w:hAnsi="Arial" w:cs="Arial"/>
          <w:b/>
          <w:i/>
          <w:sz w:val="20"/>
          <w:szCs w:val="20"/>
        </w:rPr>
        <w:t>Indicator 2:</w:t>
      </w:r>
      <w:r w:rsidRPr="007F157F">
        <w:rPr>
          <w:rFonts w:ascii="Arial" w:eastAsia="Calibri" w:hAnsi="Arial" w:cs="Arial"/>
          <w:sz w:val="20"/>
          <w:szCs w:val="20"/>
        </w:rPr>
        <w:tab/>
      </w:r>
      <w:r w:rsidRPr="007F157F">
        <w:rPr>
          <w:rFonts w:ascii="Arial" w:eastAsia="Calibri" w:hAnsi="Arial" w:cs="Arial"/>
          <w:sz w:val="20"/>
          <w:szCs w:val="20"/>
          <w:u w:val="single"/>
        </w:rPr>
        <w:t xml:space="preserve">National Collections </w:t>
      </w:r>
      <w:r>
        <w:rPr>
          <w:rFonts w:ascii="Arial" w:eastAsia="Calibri" w:hAnsi="Arial" w:cs="Arial"/>
          <w:sz w:val="20"/>
          <w:szCs w:val="20"/>
          <w:u w:val="single"/>
        </w:rPr>
        <w:t>Completeness</w:t>
      </w:r>
    </w:p>
    <w:p w14:paraId="74B2E7CF" w14:textId="77777777" w:rsidR="00B41E94" w:rsidRPr="007F157F" w:rsidRDefault="00B41E94" w:rsidP="00B41E94">
      <w:pPr>
        <w:tabs>
          <w:tab w:val="left" w:pos="3060"/>
        </w:tabs>
        <w:spacing w:before="60" w:after="60" w:line="276" w:lineRule="auto"/>
        <w:ind w:left="3060" w:hanging="1620"/>
        <w:jc w:val="both"/>
        <w:rPr>
          <w:rFonts w:ascii="Arial" w:eastAsia="Calibri" w:hAnsi="Arial" w:cs="Arial"/>
          <w:sz w:val="20"/>
          <w:szCs w:val="20"/>
        </w:rPr>
      </w:pPr>
      <w:r w:rsidRPr="007F157F">
        <w:rPr>
          <w:rFonts w:ascii="Arial" w:eastAsia="Calibri" w:hAnsi="Arial" w:cs="Arial"/>
          <w:sz w:val="20"/>
          <w:szCs w:val="20"/>
        </w:rPr>
        <w:t>Numerator:</w:t>
      </w:r>
      <w:r w:rsidRPr="007F157F">
        <w:rPr>
          <w:rFonts w:ascii="Arial" w:eastAsia="Calibri" w:hAnsi="Arial" w:cs="Arial"/>
          <w:sz w:val="20"/>
          <w:szCs w:val="20"/>
        </w:rPr>
        <w:tab/>
        <w:t>Number of PRIMHD, NMDS, NNPAC</w:t>
      </w:r>
      <w:r>
        <w:rPr>
          <w:rFonts w:ascii="Arial" w:eastAsia="Calibri" w:hAnsi="Arial" w:cs="Arial"/>
          <w:sz w:val="20"/>
          <w:szCs w:val="20"/>
        </w:rPr>
        <w:t>, and PRIMARY MATERNITY</w:t>
      </w:r>
      <w:r w:rsidRPr="007F157F">
        <w:rPr>
          <w:rFonts w:ascii="Arial" w:eastAsia="Calibri" w:hAnsi="Arial" w:cs="Arial"/>
          <w:sz w:val="20"/>
          <w:szCs w:val="20"/>
        </w:rPr>
        <w:t xml:space="preserve"> records submitted per DHB per quarter.</w:t>
      </w:r>
    </w:p>
    <w:p w14:paraId="0E73E325" w14:textId="77777777" w:rsidR="00B41E94" w:rsidRPr="007F157F" w:rsidRDefault="00B41E94" w:rsidP="00B41E94">
      <w:pPr>
        <w:tabs>
          <w:tab w:val="left" w:pos="3060"/>
        </w:tabs>
        <w:spacing w:before="60" w:after="60" w:line="276" w:lineRule="auto"/>
        <w:ind w:left="3119" w:hanging="1679"/>
        <w:jc w:val="both"/>
        <w:rPr>
          <w:rFonts w:ascii="Arial" w:eastAsia="Calibri" w:hAnsi="Arial" w:cs="Arial"/>
          <w:sz w:val="20"/>
          <w:szCs w:val="20"/>
        </w:rPr>
      </w:pPr>
      <w:r w:rsidRPr="007F157F">
        <w:rPr>
          <w:rFonts w:ascii="Arial" w:eastAsia="Calibri" w:hAnsi="Arial" w:cs="Arial"/>
          <w:sz w:val="20"/>
          <w:szCs w:val="20"/>
        </w:rPr>
        <w:t>Denominator:</w:t>
      </w:r>
      <w:r w:rsidRPr="007F157F">
        <w:rPr>
          <w:rFonts w:ascii="Arial" w:eastAsia="Calibri" w:hAnsi="Arial" w:cs="Arial"/>
          <w:sz w:val="20"/>
          <w:szCs w:val="20"/>
        </w:rPr>
        <w:tab/>
        <w:t>Tota</w:t>
      </w:r>
      <w:r>
        <w:rPr>
          <w:rFonts w:ascii="Arial" w:eastAsia="Calibri" w:hAnsi="Arial" w:cs="Arial"/>
          <w:sz w:val="20"/>
          <w:szCs w:val="20"/>
        </w:rPr>
        <w:t xml:space="preserve">l number of PRIMHD, NMDS, NNPAC, </w:t>
      </w:r>
      <w:r w:rsidRPr="007F157F">
        <w:rPr>
          <w:rFonts w:ascii="Arial" w:eastAsia="Calibri" w:hAnsi="Arial" w:cs="Arial"/>
          <w:sz w:val="20"/>
          <w:szCs w:val="20"/>
        </w:rPr>
        <w:t xml:space="preserve">and </w:t>
      </w:r>
      <w:r>
        <w:rPr>
          <w:rFonts w:ascii="Arial" w:eastAsia="Calibri" w:hAnsi="Arial" w:cs="Arial"/>
          <w:sz w:val="20"/>
          <w:szCs w:val="20"/>
        </w:rPr>
        <w:t>PRIMARY MATERNITY</w:t>
      </w:r>
      <w:r w:rsidRPr="007F157F">
        <w:rPr>
          <w:rFonts w:ascii="Arial" w:eastAsia="Calibri" w:hAnsi="Arial" w:cs="Arial"/>
          <w:sz w:val="20"/>
          <w:szCs w:val="20"/>
        </w:rPr>
        <w:t xml:space="preserve"> records submitted per DHB </w:t>
      </w:r>
      <w:r>
        <w:rPr>
          <w:rFonts w:ascii="Arial" w:eastAsia="Calibri" w:hAnsi="Arial" w:cs="Arial"/>
          <w:sz w:val="20"/>
          <w:szCs w:val="20"/>
        </w:rPr>
        <w:t>for the previous financial year’s quarter</w:t>
      </w:r>
      <w:r w:rsidRPr="007F157F">
        <w:rPr>
          <w:rFonts w:ascii="Arial" w:eastAsia="Calibri" w:hAnsi="Arial" w:cs="Arial"/>
          <w:sz w:val="20"/>
          <w:szCs w:val="20"/>
        </w:rPr>
        <w:t>.</w:t>
      </w:r>
    </w:p>
    <w:p w14:paraId="0EDDA822" w14:textId="77777777" w:rsidR="00B41E94" w:rsidRPr="007F157F" w:rsidRDefault="00B41E94" w:rsidP="00B41E94">
      <w:pPr>
        <w:tabs>
          <w:tab w:val="left" w:pos="1418"/>
        </w:tabs>
        <w:spacing w:before="60" w:after="60" w:line="276" w:lineRule="auto"/>
        <w:ind w:left="1440"/>
        <w:jc w:val="both"/>
        <w:rPr>
          <w:rFonts w:ascii="Arial" w:eastAsia="Calibri" w:hAnsi="Arial" w:cs="Arial"/>
          <w:i/>
          <w:sz w:val="20"/>
          <w:szCs w:val="20"/>
        </w:rPr>
      </w:pPr>
      <w:r w:rsidRPr="007F157F">
        <w:rPr>
          <w:rFonts w:ascii="Arial" w:eastAsia="Calibri" w:hAnsi="Arial" w:cs="Arial"/>
          <w:i/>
          <w:sz w:val="20"/>
          <w:szCs w:val="20"/>
        </w:rPr>
        <w:t xml:space="preserve">Note: The rating for this measure will be an average of the rating across all </w:t>
      </w:r>
      <w:r>
        <w:rPr>
          <w:rFonts w:ascii="Arial" w:eastAsia="Calibri" w:hAnsi="Arial" w:cs="Arial"/>
          <w:i/>
          <w:sz w:val="20"/>
          <w:szCs w:val="20"/>
        </w:rPr>
        <w:t>4</w:t>
      </w:r>
      <w:r w:rsidRPr="007F157F">
        <w:rPr>
          <w:rFonts w:ascii="Arial" w:eastAsia="Calibri" w:hAnsi="Arial" w:cs="Arial"/>
          <w:i/>
          <w:sz w:val="20"/>
          <w:szCs w:val="20"/>
        </w:rPr>
        <w:t xml:space="preserve"> collections.</w:t>
      </w:r>
      <w:r w:rsidRPr="007F157F">
        <w:rPr>
          <w:rFonts w:ascii="Arial" w:eastAsia="Calibri" w:hAnsi="Arial" w:cs="Arial"/>
          <w:i/>
          <w:color w:val="FF0000"/>
          <w:sz w:val="20"/>
          <w:szCs w:val="20"/>
        </w:rPr>
        <w:t xml:space="preserve"> </w:t>
      </w:r>
      <w:r w:rsidRPr="007F157F">
        <w:rPr>
          <w:rFonts w:ascii="Arial" w:eastAsia="Calibri" w:hAnsi="Arial" w:cs="Arial"/>
          <w:i/>
          <w:sz w:val="20"/>
          <w:szCs w:val="20"/>
        </w:rPr>
        <w:t>A breakdown of the percentage and rating for each individual collection will be provided.</w:t>
      </w:r>
      <w:r w:rsidRPr="009675F9">
        <w:rPr>
          <w:rFonts w:ascii="Arial" w:eastAsiaTheme="minorHAnsi" w:hAnsi="Arial" w:cs="Arial"/>
          <w:i/>
          <w:iCs/>
          <w:color w:val="0000FF"/>
          <w:sz w:val="20"/>
          <w:szCs w:val="20"/>
        </w:rPr>
        <w:t xml:space="preserve"> </w:t>
      </w:r>
      <w:r w:rsidRPr="009675F9">
        <w:rPr>
          <w:rFonts w:ascii="Arial" w:eastAsiaTheme="minorHAnsi" w:hAnsi="Arial" w:cs="Arial"/>
          <w:i/>
          <w:iCs/>
          <w:sz w:val="20"/>
          <w:szCs w:val="20"/>
        </w:rPr>
        <w:t>Where a DHB has long-standing completeness issues the percentage will be calculated using an appropriate denominator figure.</w:t>
      </w:r>
    </w:p>
    <w:p w14:paraId="6887E1D6" w14:textId="77777777" w:rsidR="00B41E94" w:rsidRPr="007F157F" w:rsidRDefault="00B41E94" w:rsidP="00B41E94">
      <w:pPr>
        <w:tabs>
          <w:tab w:val="left" w:pos="3060"/>
        </w:tabs>
        <w:spacing w:before="60" w:after="60" w:line="276" w:lineRule="auto"/>
        <w:ind w:left="3119" w:hanging="1679"/>
        <w:jc w:val="both"/>
        <w:rPr>
          <w:rFonts w:ascii="Arial" w:eastAsia="Calibri" w:hAnsi="Arial" w:cs="Arial"/>
          <w:sz w:val="20"/>
          <w:szCs w:val="20"/>
        </w:rPr>
      </w:pPr>
    </w:p>
    <w:p w14:paraId="3FEFC581" w14:textId="77777777" w:rsidR="00B41E94" w:rsidRPr="007F157F" w:rsidRDefault="00B41E94" w:rsidP="00B41E94">
      <w:pPr>
        <w:autoSpaceDE w:val="0"/>
        <w:autoSpaceDN w:val="0"/>
        <w:adjustRightInd w:val="0"/>
        <w:spacing w:after="200" w:line="276" w:lineRule="auto"/>
        <w:rPr>
          <w:rFonts w:ascii="Arial" w:eastAsia="Calibri" w:hAnsi="Arial" w:cs="Arial"/>
          <w:sz w:val="20"/>
          <w:szCs w:val="20"/>
        </w:rPr>
      </w:pPr>
      <w:r w:rsidRPr="007F157F">
        <w:rPr>
          <w:rFonts w:ascii="Arial" w:eastAsia="Calibri" w:hAnsi="Arial" w:cs="Arial"/>
          <w:b/>
          <w:i/>
          <w:sz w:val="20"/>
          <w:szCs w:val="20"/>
        </w:rPr>
        <w:t>Indic</w:t>
      </w:r>
      <w:r>
        <w:rPr>
          <w:rFonts w:ascii="Arial" w:eastAsia="Calibri" w:hAnsi="Arial" w:cs="Arial"/>
          <w:b/>
          <w:i/>
          <w:sz w:val="20"/>
          <w:szCs w:val="20"/>
        </w:rPr>
        <w:t>a</w:t>
      </w:r>
      <w:r w:rsidRPr="007F157F">
        <w:rPr>
          <w:rFonts w:ascii="Arial" w:eastAsia="Calibri" w:hAnsi="Arial" w:cs="Arial"/>
          <w:b/>
          <w:i/>
          <w:sz w:val="20"/>
          <w:szCs w:val="20"/>
        </w:rPr>
        <w:t>tor 3:</w:t>
      </w:r>
      <w:r w:rsidRPr="007F157F">
        <w:rPr>
          <w:rFonts w:ascii="Arial" w:eastAsia="Calibri" w:hAnsi="Arial" w:cs="Arial"/>
          <w:sz w:val="20"/>
          <w:szCs w:val="20"/>
        </w:rPr>
        <w:tab/>
      </w:r>
      <w:r w:rsidRPr="007F157F">
        <w:rPr>
          <w:rFonts w:ascii="Arial" w:eastAsia="Calibri" w:hAnsi="Arial" w:cs="Arial"/>
          <w:sz w:val="20"/>
          <w:szCs w:val="20"/>
          <w:u w:val="single"/>
        </w:rPr>
        <w:t>Assessment of data reported to the National Minimum Data Set (NMDS)</w:t>
      </w:r>
    </w:p>
    <w:p w14:paraId="6C78BBE1" w14:textId="77777777" w:rsidR="00B41E94" w:rsidRPr="00660002" w:rsidRDefault="00B41E94" w:rsidP="00B41E94">
      <w:pPr>
        <w:tabs>
          <w:tab w:val="left" w:pos="3060"/>
        </w:tabs>
        <w:spacing w:before="60" w:after="60" w:line="276" w:lineRule="auto"/>
        <w:ind w:left="3060" w:hanging="1620"/>
        <w:jc w:val="both"/>
        <w:rPr>
          <w:rFonts w:ascii="Arial" w:eastAsia="Calibri" w:hAnsi="Arial" w:cs="Arial"/>
          <w:sz w:val="20"/>
          <w:szCs w:val="20"/>
        </w:rPr>
      </w:pPr>
      <w:r w:rsidRPr="00660002">
        <w:rPr>
          <w:rFonts w:ascii="Arial" w:eastAsia="Calibri" w:hAnsi="Arial" w:cs="Arial"/>
          <w:sz w:val="20"/>
          <w:szCs w:val="20"/>
        </w:rPr>
        <w:t xml:space="preserve">Numerator: </w:t>
      </w:r>
      <w:r w:rsidRPr="00660002">
        <w:rPr>
          <w:rFonts w:ascii="Arial" w:eastAsia="Calibri" w:hAnsi="Arial" w:cs="Arial"/>
          <w:sz w:val="20"/>
          <w:szCs w:val="20"/>
        </w:rPr>
        <w:tab/>
        <w:t>Number of clinical statements for specific diagnosis codes (</w:t>
      </w:r>
      <w:r w:rsidRPr="00E07CEB">
        <w:rPr>
          <w:rFonts w:ascii="Arial" w:eastAsia="Calibri" w:hAnsi="Arial" w:cs="Arial"/>
          <w:sz w:val="20"/>
          <w:szCs w:val="20"/>
        </w:rPr>
        <w:t>M00 to M99, S00 to T98, E8979, E898, G9731-G9739, G978, H5911-H5919, H5989, H952, H958, I9731-I9739, I9789, J9564-J9569, J9589, K9163, K9164, K9169, K9189, N9961, N9962, N9967-N9969, N9989, U50 to Y98</w:t>
      </w:r>
      <w:r w:rsidRPr="00660002">
        <w:rPr>
          <w:rFonts w:ascii="Arial" w:eastAsia="Calibri" w:hAnsi="Arial" w:cs="Arial"/>
          <w:sz w:val="20"/>
          <w:szCs w:val="20"/>
        </w:rPr>
        <w:t xml:space="preserve"> (</w:t>
      </w:r>
      <w:r>
        <w:rPr>
          <w:rFonts w:ascii="Arial" w:eastAsia="Calibri" w:hAnsi="Arial" w:cs="Arial"/>
          <w:sz w:val="20"/>
          <w:szCs w:val="20"/>
        </w:rPr>
        <w:t>(with some code exclusions</w:t>
      </w:r>
      <w:r w:rsidRPr="00660002">
        <w:rPr>
          <w:rFonts w:ascii="Arial" w:eastAsia="Calibri" w:hAnsi="Arial" w:cs="Arial"/>
          <w:sz w:val="20"/>
          <w:szCs w:val="20"/>
        </w:rPr>
        <w:t>)</w:t>
      </w:r>
      <w:r>
        <w:rPr>
          <w:rFonts w:ascii="Arial" w:eastAsia="Calibri" w:hAnsi="Arial" w:cs="Arial"/>
          <w:sz w:val="20"/>
          <w:szCs w:val="20"/>
        </w:rPr>
        <w:t>)</w:t>
      </w:r>
      <w:r w:rsidRPr="00660002">
        <w:rPr>
          <w:rFonts w:ascii="Arial" w:eastAsia="Calibri" w:hAnsi="Arial" w:cs="Arial"/>
          <w:sz w:val="20"/>
          <w:szCs w:val="20"/>
        </w:rPr>
        <w:t xml:space="preserve"> per DHB per quarter.</w:t>
      </w:r>
    </w:p>
    <w:p w14:paraId="6ECC94A8" w14:textId="77777777" w:rsidR="00B41E94" w:rsidRPr="00660002" w:rsidRDefault="00B41E94" w:rsidP="00B41E94">
      <w:pPr>
        <w:tabs>
          <w:tab w:val="left" w:pos="3060"/>
        </w:tabs>
        <w:spacing w:before="60" w:after="60" w:line="276" w:lineRule="auto"/>
        <w:ind w:left="3060" w:hanging="1620"/>
        <w:jc w:val="both"/>
        <w:rPr>
          <w:rFonts w:ascii="Arial" w:eastAsia="Calibri" w:hAnsi="Arial" w:cs="Arial"/>
          <w:sz w:val="20"/>
          <w:szCs w:val="20"/>
        </w:rPr>
      </w:pPr>
    </w:p>
    <w:p w14:paraId="396FDCDB" w14:textId="77777777" w:rsidR="00B41E94" w:rsidRPr="00660002" w:rsidRDefault="00B41E94" w:rsidP="00B41E94">
      <w:pPr>
        <w:tabs>
          <w:tab w:val="left" w:pos="3060"/>
        </w:tabs>
        <w:spacing w:before="60" w:after="60" w:line="276" w:lineRule="auto"/>
        <w:ind w:left="3060" w:hanging="1620"/>
        <w:jc w:val="both"/>
        <w:rPr>
          <w:rFonts w:ascii="Arial" w:eastAsia="Calibri" w:hAnsi="Arial" w:cs="Arial"/>
          <w:sz w:val="20"/>
          <w:szCs w:val="20"/>
        </w:rPr>
      </w:pPr>
      <w:r w:rsidRPr="00660002">
        <w:rPr>
          <w:rFonts w:ascii="Arial" w:eastAsia="Calibri" w:hAnsi="Arial" w:cs="Arial"/>
          <w:sz w:val="20"/>
          <w:szCs w:val="20"/>
        </w:rPr>
        <w:t xml:space="preserve">Denominator: </w:t>
      </w:r>
      <w:r w:rsidRPr="00660002">
        <w:rPr>
          <w:rFonts w:ascii="Arial" w:eastAsia="Calibri" w:hAnsi="Arial" w:cs="Arial"/>
          <w:sz w:val="20"/>
          <w:szCs w:val="20"/>
        </w:rPr>
        <w:tab/>
        <w:t>Total number of specific diagnosis codes (</w:t>
      </w:r>
      <w:r w:rsidRPr="00E07CEB">
        <w:rPr>
          <w:rFonts w:ascii="Arial" w:eastAsia="Calibri" w:hAnsi="Arial" w:cs="Arial"/>
          <w:sz w:val="20"/>
          <w:szCs w:val="20"/>
        </w:rPr>
        <w:t>M00 to M99, S00 to T98, E8979, E898, G9731-G9739, G978, H5911-H5919, H5989, H952, H958, I9731-I9739, I9789, J9564-J9569, J9589, K9163, K9164, K9169, K9189, N9961, N9962, N9967-N9969, N9989, U50 to Y98</w:t>
      </w:r>
      <w:r w:rsidRPr="00660002">
        <w:rPr>
          <w:rFonts w:ascii="Arial" w:eastAsia="Calibri" w:hAnsi="Arial" w:cs="Arial"/>
          <w:sz w:val="20"/>
          <w:szCs w:val="20"/>
        </w:rPr>
        <w:t xml:space="preserve"> (</w:t>
      </w:r>
      <w:r>
        <w:rPr>
          <w:rFonts w:ascii="Arial" w:eastAsia="Calibri" w:hAnsi="Arial" w:cs="Arial"/>
          <w:sz w:val="20"/>
          <w:szCs w:val="20"/>
        </w:rPr>
        <w:t>with some code exclusions)</w:t>
      </w:r>
      <w:r w:rsidRPr="00660002">
        <w:rPr>
          <w:rFonts w:ascii="Arial" w:eastAsia="Calibri" w:hAnsi="Arial" w:cs="Arial"/>
          <w:sz w:val="20"/>
          <w:szCs w:val="20"/>
        </w:rPr>
        <w:t>) per DHB per quarter.</w:t>
      </w:r>
    </w:p>
    <w:p w14:paraId="13787FB9" w14:textId="77777777" w:rsidR="00B41E94" w:rsidRPr="007F157F" w:rsidRDefault="00B41E94" w:rsidP="00B41E94">
      <w:pPr>
        <w:tabs>
          <w:tab w:val="left" w:pos="3060"/>
        </w:tabs>
        <w:spacing w:before="60" w:after="60" w:line="276" w:lineRule="auto"/>
        <w:ind w:left="3060" w:hanging="1620"/>
        <w:jc w:val="both"/>
        <w:rPr>
          <w:rFonts w:ascii="Arial" w:eastAsia="Calibri" w:hAnsi="Arial" w:cs="Arial"/>
          <w:sz w:val="20"/>
          <w:szCs w:val="20"/>
        </w:rPr>
      </w:pPr>
    </w:p>
    <w:p w14:paraId="10C89E99" w14:textId="77777777" w:rsidR="00B41E94" w:rsidRPr="007F157F" w:rsidRDefault="00B41E94" w:rsidP="00B41E94">
      <w:pPr>
        <w:spacing w:before="60" w:after="60" w:line="276" w:lineRule="auto"/>
        <w:jc w:val="both"/>
        <w:rPr>
          <w:rFonts w:ascii="Arial" w:eastAsia="Calibri" w:hAnsi="Arial" w:cs="Arial"/>
          <w:b/>
          <w:i/>
          <w:sz w:val="20"/>
          <w:szCs w:val="20"/>
        </w:rPr>
      </w:pPr>
    </w:p>
    <w:p w14:paraId="7B790482" w14:textId="77777777" w:rsidR="00B41E94" w:rsidRPr="007F157F" w:rsidRDefault="00B41E94" w:rsidP="00B41E94">
      <w:pPr>
        <w:spacing w:before="60" w:after="60" w:line="276" w:lineRule="auto"/>
        <w:jc w:val="both"/>
        <w:rPr>
          <w:rFonts w:ascii="Arial" w:eastAsia="Calibri" w:hAnsi="Arial" w:cs="Arial"/>
          <w:b/>
          <w:i/>
          <w:sz w:val="20"/>
          <w:szCs w:val="20"/>
        </w:rPr>
      </w:pPr>
    </w:p>
    <w:p w14:paraId="6CAEE084" w14:textId="77777777" w:rsidR="00B41E94" w:rsidRPr="007F157F" w:rsidRDefault="00B41E94" w:rsidP="00B41E94">
      <w:pPr>
        <w:spacing w:before="60" w:after="60" w:line="276" w:lineRule="auto"/>
        <w:jc w:val="both"/>
        <w:rPr>
          <w:rFonts w:ascii="Arial" w:eastAsia="Calibri" w:hAnsi="Arial" w:cs="Arial"/>
          <w:b/>
          <w:i/>
          <w:sz w:val="20"/>
          <w:szCs w:val="20"/>
        </w:rPr>
      </w:pPr>
      <w:r w:rsidRPr="007F157F">
        <w:rPr>
          <w:rFonts w:ascii="Arial" w:eastAsia="Calibri" w:hAnsi="Arial" w:cs="Arial"/>
          <w:b/>
          <w:i/>
          <w:sz w:val="20"/>
          <w:szCs w:val="20"/>
        </w:rPr>
        <w:t>Explanation of terms</w:t>
      </w:r>
    </w:p>
    <w:p w14:paraId="0BE81A5F"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trike/>
          <w:sz w:val="20"/>
          <w:szCs w:val="20"/>
        </w:rPr>
      </w:pPr>
    </w:p>
    <w:p w14:paraId="62487012"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z w:val="20"/>
          <w:szCs w:val="20"/>
        </w:rPr>
      </w:pPr>
      <w:r w:rsidRPr="007F157F">
        <w:rPr>
          <w:rFonts w:ascii="Arial" w:eastAsia="Calibri" w:hAnsi="Arial" w:cs="Arial"/>
          <w:sz w:val="20"/>
          <w:szCs w:val="20"/>
        </w:rPr>
        <w:t>Assessment of data reported to the NMDS</w:t>
      </w:r>
      <w:r w:rsidRPr="007F157F">
        <w:rPr>
          <w:rFonts w:ascii="Arial" w:eastAsia="Calibri" w:hAnsi="Arial" w:cs="Arial"/>
          <w:sz w:val="20"/>
          <w:szCs w:val="20"/>
        </w:rPr>
        <w:tab/>
      </w:r>
    </w:p>
    <w:p w14:paraId="10006046"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z w:val="20"/>
          <w:szCs w:val="20"/>
        </w:rPr>
      </w:pPr>
      <w:r w:rsidRPr="007F157F">
        <w:rPr>
          <w:rFonts w:ascii="Arial" w:eastAsia="Calibri" w:hAnsi="Arial" w:cs="Arial"/>
          <w:sz w:val="20"/>
          <w:szCs w:val="20"/>
        </w:rPr>
        <w:tab/>
        <w:t>This measure refers to the distinction between the use of standard classification concepts (as per ICD-10-AM) and clinical statements</w:t>
      </w:r>
      <w:r w:rsidRPr="007F157F">
        <w:rPr>
          <w:rFonts w:ascii="Arial" w:eastAsia="Calibri" w:hAnsi="Arial" w:cs="Arial"/>
          <w:color w:val="FF0000"/>
          <w:sz w:val="20"/>
          <w:szCs w:val="20"/>
        </w:rPr>
        <w:t xml:space="preserve"> </w:t>
      </w:r>
      <w:r w:rsidRPr="007F157F">
        <w:rPr>
          <w:rFonts w:ascii="Arial" w:eastAsia="Calibri" w:hAnsi="Arial" w:cs="Arial"/>
          <w:sz w:val="20"/>
          <w:szCs w:val="20"/>
        </w:rPr>
        <w:t>for specific diagnosis</w:t>
      </w:r>
      <w:r w:rsidRPr="007F157F">
        <w:rPr>
          <w:rFonts w:ascii="Arial" w:eastAsia="Calibri" w:hAnsi="Arial" w:cs="Arial"/>
          <w:color w:val="FF0000"/>
          <w:sz w:val="20"/>
          <w:szCs w:val="20"/>
        </w:rPr>
        <w:t xml:space="preserve"> </w:t>
      </w:r>
      <w:r w:rsidRPr="007F157F">
        <w:rPr>
          <w:rFonts w:ascii="Arial" w:eastAsia="Calibri" w:hAnsi="Arial" w:cs="Arial"/>
          <w:sz w:val="20"/>
          <w:szCs w:val="20"/>
        </w:rPr>
        <w:t xml:space="preserve">codes submitted to the NMDS.  Standard classification concepts limit the usefulness of data, as they lack detail and specificity.  DHBs are, therefore, encouraged to record and report clinical statements by adding detailed text extracted from the clinical record to improve the clarity and context of the information reported.  </w:t>
      </w:r>
      <w:r w:rsidRPr="007F157F">
        <w:rPr>
          <w:rFonts w:ascii="Arial" w:eastAsia="Calibri" w:hAnsi="Arial" w:cs="Arial"/>
          <w:color w:val="FF0000"/>
          <w:sz w:val="20"/>
          <w:szCs w:val="20"/>
        </w:rPr>
        <w:tab/>
      </w:r>
      <w:r w:rsidRPr="007F157F">
        <w:rPr>
          <w:rFonts w:ascii="Arial" w:eastAsia="Calibri" w:hAnsi="Arial" w:cs="Arial"/>
          <w:sz w:val="20"/>
          <w:szCs w:val="20"/>
        </w:rPr>
        <w:t>This measure focuses on musculoskeletal diagnoses, injuries, poisonings and certain other consequences of external cause</w:t>
      </w:r>
      <w:r>
        <w:rPr>
          <w:rFonts w:ascii="Arial" w:eastAsia="Calibri" w:hAnsi="Arial" w:cs="Arial"/>
          <w:sz w:val="20"/>
          <w:szCs w:val="20"/>
        </w:rPr>
        <w:t xml:space="preserve">, procedural </w:t>
      </w:r>
      <w:proofErr w:type="gramStart"/>
      <w:r>
        <w:rPr>
          <w:rFonts w:ascii="Arial" w:eastAsia="Calibri" w:hAnsi="Arial" w:cs="Arial"/>
          <w:sz w:val="20"/>
          <w:szCs w:val="20"/>
        </w:rPr>
        <w:t>complications</w:t>
      </w:r>
      <w:proofErr w:type="gramEnd"/>
      <w:r w:rsidRPr="007F157F">
        <w:rPr>
          <w:rFonts w:ascii="Arial" w:eastAsia="Calibri" w:hAnsi="Arial" w:cs="Arial"/>
          <w:sz w:val="20"/>
          <w:szCs w:val="20"/>
        </w:rPr>
        <w:t xml:space="preserve"> and external cause i.e. those in the range </w:t>
      </w:r>
      <w:r w:rsidRPr="00E07CEB">
        <w:rPr>
          <w:rFonts w:ascii="Arial" w:eastAsia="Calibri" w:hAnsi="Arial" w:cs="Arial"/>
          <w:sz w:val="20"/>
          <w:szCs w:val="20"/>
        </w:rPr>
        <w:t>M00 to M99, S00 to T98, E8979, E898, G9731-G9739, G978, H5911-</w:t>
      </w:r>
      <w:r w:rsidRPr="00E07CEB">
        <w:rPr>
          <w:rFonts w:ascii="Arial" w:eastAsia="Calibri" w:hAnsi="Arial" w:cs="Arial"/>
          <w:sz w:val="20"/>
          <w:szCs w:val="20"/>
        </w:rPr>
        <w:lastRenderedPageBreak/>
        <w:t>H5919, H5989, H952, H958, I9731-I9739, I9789, J9564-J9569, J9589, K9163, K9164, K9169, K9189, N9961, N9962, N9967-N9969, N9989, U50 to Y98</w:t>
      </w:r>
      <w:r w:rsidRPr="007F157F">
        <w:rPr>
          <w:rFonts w:ascii="Arial" w:eastAsia="Calibri" w:hAnsi="Arial" w:cs="Arial"/>
          <w:sz w:val="20"/>
          <w:szCs w:val="20"/>
        </w:rPr>
        <w:t xml:space="preserve"> (</w:t>
      </w:r>
      <w:r>
        <w:rPr>
          <w:rFonts w:ascii="Arial" w:eastAsia="Calibri" w:hAnsi="Arial" w:cs="Arial"/>
          <w:sz w:val="20"/>
          <w:szCs w:val="20"/>
        </w:rPr>
        <w:t>with some code exclusions – these can be found in Appendix A of the toolkit</w:t>
      </w:r>
      <w:r w:rsidRPr="007F157F">
        <w:rPr>
          <w:rFonts w:ascii="Arial" w:eastAsia="Calibri" w:hAnsi="Arial" w:cs="Arial"/>
          <w:sz w:val="20"/>
          <w:szCs w:val="20"/>
        </w:rPr>
        <w:t xml:space="preserve">).  </w:t>
      </w:r>
    </w:p>
    <w:p w14:paraId="797A08F6"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z w:val="20"/>
          <w:szCs w:val="20"/>
        </w:rPr>
      </w:pPr>
    </w:p>
    <w:p w14:paraId="59B6B3A9"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z w:val="20"/>
          <w:szCs w:val="20"/>
        </w:rPr>
      </w:pPr>
      <w:r>
        <w:rPr>
          <w:rFonts w:ascii="Arial" w:eastAsia="Calibri" w:hAnsi="Arial" w:cs="Arial"/>
          <w:sz w:val="20"/>
          <w:szCs w:val="20"/>
        </w:rPr>
        <w:t xml:space="preserve">NPF </w:t>
      </w:r>
      <w:r w:rsidRPr="007F157F">
        <w:rPr>
          <w:rFonts w:ascii="Arial" w:eastAsia="Calibri" w:hAnsi="Arial" w:cs="Arial"/>
          <w:sz w:val="20"/>
          <w:szCs w:val="20"/>
        </w:rPr>
        <w:t>links to NNPAC and NMDS</w:t>
      </w:r>
      <w:r w:rsidRPr="007F157F">
        <w:rPr>
          <w:rFonts w:ascii="Arial" w:eastAsia="Calibri" w:hAnsi="Arial" w:cs="Arial"/>
          <w:sz w:val="20"/>
          <w:szCs w:val="20"/>
        </w:rPr>
        <w:tab/>
      </w:r>
      <w:r>
        <w:rPr>
          <w:rFonts w:ascii="Arial" w:eastAsia="Calibri" w:hAnsi="Arial" w:cs="Arial"/>
          <w:sz w:val="20"/>
          <w:szCs w:val="20"/>
        </w:rPr>
        <w:t>NPF</w:t>
      </w:r>
      <w:r w:rsidRPr="007F157F">
        <w:rPr>
          <w:rFonts w:ascii="Arial" w:eastAsia="Calibri" w:hAnsi="Arial" w:cs="Arial"/>
          <w:sz w:val="20"/>
          <w:szCs w:val="20"/>
        </w:rPr>
        <w:t xml:space="preserve"> data is used to </w:t>
      </w:r>
      <w:r>
        <w:rPr>
          <w:rFonts w:ascii="Arial" w:eastAsia="Calibri" w:hAnsi="Arial" w:cs="Arial"/>
          <w:sz w:val="20"/>
          <w:szCs w:val="20"/>
        </w:rPr>
        <w:t>report referrals to secondary care services and the outcome of these referrals</w:t>
      </w:r>
      <w:r w:rsidRPr="007F157F">
        <w:rPr>
          <w:rFonts w:ascii="Arial" w:eastAsia="Calibri" w:hAnsi="Arial" w:cs="Arial"/>
          <w:sz w:val="20"/>
          <w:szCs w:val="20"/>
        </w:rPr>
        <w:t xml:space="preserve">.  The links between </w:t>
      </w:r>
      <w:r>
        <w:rPr>
          <w:rFonts w:ascii="Arial" w:eastAsia="Calibri" w:hAnsi="Arial" w:cs="Arial"/>
          <w:sz w:val="20"/>
          <w:szCs w:val="20"/>
        </w:rPr>
        <w:t>NPF</w:t>
      </w:r>
      <w:r w:rsidRPr="007F157F">
        <w:rPr>
          <w:rFonts w:ascii="Arial" w:eastAsia="Calibri" w:hAnsi="Arial" w:cs="Arial"/>
          <w:sz w:val="20"/>
          <w:szCs w:val="20"/>
        </w:rPr>
        <w:t xml:space="preserve"> and NMDS/NNPAC</w:t>
      </w:r>
      <w:r>
        <w:rPr>
          <w:rFonts w:ascii="Arial" w:eastAsia="Calibri" w:hAnsi="Arial" w:cs="Arial"/>
          <w:sz w:val="20"/>
          <w:szCs w:val="20"/>
        </w:rPr>
        <w:t>/NBRS</w:t>
      </w:r>
      <w:r w:rsidRPr="007F157F">
        <w:rPr>
          <w:rFonts w:ascii="Arial" w:eastAsia="Calibri" w:hAnsi="Arial" w:cs="Arial"/>
          <w:sz w:val="20"/>
          <w:szCs w:val="20"/>
        </w:rPr>
        <w:t xml:space="preserve"> provides high quality information about the </w:t>
      </w:r>
      <w:r>
        <w:rPr>
          <w:rFonts w:ascii="Arial" w:eastAsia="Calibri" w:hAnsi="Arial" w:cs="Arial"/>
          <w:sz w:val="20"/>
          <w:szCs w:val="20"/>
        </w:rPr>
        <w:t>outcome of the referrals and the DHB management of patient flow</w:t>
      </w:r>
      <w:r w:rsidRPr="007F157F">
        <w:rPr>
          <w:rFonts w:ascii="Arial" w:eastAsia="Calibri" w:hAnsi="Arial" w:cs="Arial"/>
          <w:sz w:val="20"/>
          <w:szCs w:val="20"/>
        </w:rPr>
        <w:t xml:space="preserve">. This ability to trace a patient’s </w:t>
      </w:r>
      <w:r>
        <w:rPr>
          <w:rFonts w:ascii="Arial" w:eastAsia="Calibri" w:hAnsi="Arial" w:cs="Arial"/>
          <w:sz w:val="20"/>
          <w:szCs w:val="20"/>
        </w:rPr>
        <w:t>referral</w:t>
      </w:r>
      <w:r w:rsidRPr="007F157F">
        <w:rPr>
          <w:rFonts w:ascii="Arial" w:eastAsia="Calibri" w:hAnsi="Arial" w:cs="Arial"/>
          <w:sz w:val="20"/>
          <w:szCs w:val="20"/>
        </w:rPr>
        <w:t xml:space="preserve"> across the national collections is </w:t>
      </w:r>
      <w:r>
        <w:rPr>
          <w:rFonts w:ascii="Arial" w:eastAsia="Calibri" w:hAnsi="Arial" w:cs="Arial"/>
          <w:sz w:val="20"/>
          <w:szCs w:val="20"/>
        </w:rPr>
        <w:t>essential to understand and enable informed decision making to support the effective delivery of publicly funded specialist care</w:t>
      </w:r>
      <w:r w:rsidRPr="007F157F">
        <w:rPr>
          <w:rFonts w:ascii="Arial" w:eastAsia="Calibri" w:hAnsi="Arial" w:cs="Arial"/>
          <w:sz w:val="20"/>
          <w:szCs w:val="20"/>
        </w:rPr>
        <w:t xml:space="preserve">. </w:t>
      </w:r>
    </w:p>
    <w:p w14:paraId="5117429E" w14:textId="77777777" w:rsidR="00B41E94" w:rsidRPr="007F157F" w:rsidRDefault="00B41E94" w:rsidP="00B41E94">
      <w:pPr>
        <w:spacing w:before="60" w:after="60" w:line="276" w:lineRule="auto"/>
        <w:jc w:val="both"/>
        <w:rPr>
          <w:rFonts w:ascii="Arial" w:eastAsia="Calibri" w:hAnsi="Arial" w:cs="Arial"/>
          <w:sz w:val="20"/>
          <w:szCs w:val="20"/>
        </w:rPr>
      </w:pPr>
    </w:p>
    <w:p w14:paraId="04639AA4" w14:textId="77777777" w:rsidR="00B41E94" w:rsidRPr="007F157F" w:rsidRDefault="00B41E94" w:rsidP="00B41E94">
      <w:pPr>
        <w:spacing w:before="60" w:after="60" w:line="276" w:lineRule="auto"/>
        <w:jc w:val="both"/>
        <w:rPr>
          <w:rFonts w:ascii="Arial" w:eastAsia="Calibri" w:hAnsi="Arial" w:cs="Arial"/>
          <w:sz w:val="20"/>
          <w:szCs w:val="20"/>
        </w:rPr>
      </w:pPr>
    </w:p>
    <w:p w14:paraId="7C3046FD" w14:textId="77777777" w:rsidR="00B41E94" w:rsidRPr="007F157F" w:rsidRDefault="00B41E94" w:rsidP="00B41E94">
      <w:pPr>
        <w:tabs>
          <w:tab w:val="left" w:pos="4140"/>
        </w:tabs>
        <w:spacing w:before="60" w:after="60" w:line="276" w:lineRule="auto"/>
        <w:ind w:left="4140" w:hanging="4140"/>
        <w:jc w:val="both"/>
        <w:rPr>
          <w:rFonts w:ascii="Arial" w:eastAsia="Calibri" w:hAnsi="Arial" w:cs="Arial"/>
          <w:sz w:val="20"/>
          <w:szCs w:val="20"/>
        </w:rPr>
      </w:pPr>
      <w:r w:rsidRPr="007F157F">
        <w:rPr>
          <w:rFonts w:ascii="Arial" w:eastAsia="Calibri" w:hAnsi="Arial" w:cs="Arial"/>
          <w:sz w:val="20"/>
          <w:szCs w:val="20"/>
        </w:rPr>
        <w:t xml:space="preserve">National Collections </w:t>
      </w:r>
      <w:r>
        <w:rPr>
          <w:rFonts w:ascii="Arial" w:eastAsia="Calibri" w:hAnsi="Arial" w:cs="Arial"/>
          <w:sz w:val="20"/>
          <w:szCs w:val="20"/>
        </w:rPr>
        <w:t>Completeness</w:t>
      </w:r>
      <w:r w:rsidRPr="007F157F">
        <w:rPr>
          <w:rFonts w:ascii="Arial" w:eastAsia="Calibri" w:hAnsi="Arial" w:cs="Arial"/>
          <w:sz w:val="20"/>
          <w:szCs w:val="20"/>
        </w:rPr>
        <w:tab/>
        <w:t xml:space="preserve">This is the </w:t>
      </w:r>
      <w:r>
        <w:rPr>
          <w:rFonts w:ascii="Arial" w:eastAsia="Calibri" w:hAnsi="Arial" w:cs="Arial"/>
          <w:sz w:val="20"/>
          <w:szCs w:val="20"/>
        </w:rPr>
        <w:t xml:space="preserve">completeness </w:t>
      </w:r>
      <w:r w:rsidRPr="007F157F">
        <w:rPr>
          <w:rFonts w:ascii="Arial" w:eastAsia="Calibri" w:hAnsi="Arial" w:cs="Arial"/>
          <w:sz w:val="20"/>
          <w:szCs w:val="20"/>
        </w:rPr>
        <w:t xml:space="preserve">of </w:t>
      </w:r>
      <w:r>
        <w:rPr>
          <w:rFonts w:ascii="Arial" w:eastAsia="Calibri" w:hAnsi="Arial" w:cs="Arial"/>
          <w:sz w:val="20"/>
          <w:szCs w:val="20"/>
        </w:rPr>
        <w:t>PRIMHD, NMDS, NNPAC, and PRIMARY MATERNITY</w:t>
      </w:r>
      <w:r w:rsidRPr="007F157F">
        <w:rPr>
          <w:rFonts w:ascii="Arial" w:eastAsia="Calibri" w:hAnsi="Arial" w:cs="Arial"/>
          <w:sz w:val="20"/>
          <w:szCs w:val="20"/>
        </w:rPr>
        <w:t xml:space="preserve"> records submitted by the DHB in the quarter.  DHBs are required to </w:t>
      </w:r>
      <w:r>
        <w:rPr>
          <w:rFonts w:ascii="Arial" w:eastAsia="Calibri" w:hAnsi="Arial" w:cs="Arial"/>
          <w:sz w:val="20"/>
          <w:szCs w:val="20"/>
        </w:rPr>
        <w:t>submit timely, high quality information to the national collections to ensure accurate and efficient reporting from the Ministry.</w:t>
      </w:r>
    </w:p>
    <w:p w14:paraId="632047B4" w14:textId="77777777" w:rsidR="00B41E94" w:rsidRPr="007F157F" w:rsidRDefault="00B41E94" w:rsidP="00B41E94">
      <w:pPr>
        <w:spacing w:before="60" w:after="60" w:line="276" w:lineRule="auto"/>
        <w:jc w:val="both"/>
        <w:rPr>
          <w:rFonts w:ascii="Arial" w:eastAsia="Calibri" w:hAnsi="Arial" w:cs="Arial"/>
          <w:sz w:val="20"/>
          <w:szCs w:val="20"/>
        </w:rPr>
      </w:pPr>
    </w:p>
    <w:p w14:paraId="686B9E87" w14:textId="77777777" w:rsidR="00B41E94" w:rsidRPr="007F157F"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DHBs should explain their improvement plans for where their ratings fall into the ‘not achieved’ or ‘partially achieved’ levels. </w:t>
      </w:r>
    </w:p>
    <w:p w14:paraId="03AD8E98" w14:textId="77777777" w:rsidR="00B41E94" w:rsidRPr="007F157F" w:rsidRDefault="00B41E94" w:rsidP="00B41E94">
      <w:pPr>
        <w:spacing w:before="60" w:after="60" w:line="276" w:lineRule="auto"/>
        <w:jc w:val="both"/>
        <w:rPr>
          <w:rFonts w:ascii="Arial" w:eastAsia="Calibri" w:hAnsi="Arial" w:cs="Arial"/>
          <w:sz w:val="20"/>
          <w:szCs w:val="20"/>
        </w:rPr>
      </w:pPr>
    </w:p>
    <w:p w14:paraId="3443FFC3" w14:textId="77777777" w:rsidR="00B41E94" w:rsidRPr="007F157F" w:rsidRDefault="00B41E94" w:rsidP="00B41E94">
      <w:pPr>
        <w:spacing w:before="60" w:after="60" w:line="276" w:lineRule="auto"/>
        <w:jc w:val="both"/>
        <w:rPr>
          <w:rFonts w:ascii="Arial" w:eastAsia="Calibri" w:hAnsi="Arial" w:cs="Arial"/>
          <w:b/>
          <w:sz w:val="20"/>
          <w:szCs w:val="20"/>
        </w:rPr>
      </w:pPr>
      <w:r w:rsidRPr="007F157F">
        <w:rPr>
          <w:rFonts w:ascii="Arial" w:eastAsia="Calibri" w:hAnsi="Arial" w:cs="Arial"/>
          <w:b/>
          <w:sz w:val="20"/>
          <w:szCs w:val="20"/>
        </w:rPr>
        <w:t>Reporting Period</w:t>
      </w:r>
    </w:p>
    <w:p w14:paraId="2FB7AB91" w14:textId="77777777" w:rsidR="00B41E94" w:rsidRPr="007F157F"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 xml:space="preserve">To be reported quarterly, with a toolkit placed on the </w:t>
      </w:r>
      <w:proofErr w:type="spellStart"/>
      <w:r w:rsidRPr="007F157F">
        <w:rPr>
          <w:rFonts w:ascii="Arial" w:eastAsia="Calibri" w:hAnsi="Arial" w:cs="Arial"/>
          <w:sz w:val="20"/>
          <w:szCs w:val="20"/>
        </w:rPr>
        <w:t>Quickplace</w:t>
      </w:r>
      <w:proofErr w:type="spellEnd"/>
      <w:r w:rsidRPr="007F157F">
        <w:rPr>
          <w:rFonts w:ascii="Arial" w:eastAsia="Calibri" w:hAnsi="Arial" w:cs="Arial"/>
          <w:sz w:val="20"/>
          <w:szCs w:val="20"/>
        </w:rPr>
        <w:t xml:space="preserve"> website.</w:t>
      </w:r>
    </w:p>
    <w:p w14:paraId="343D9758" w14:textId="77777777" w:rsidR="00B41E94" w:rsidRPr="007F157F" w:rsidRDefault="00B41E94" w:rsidP="00B41E94">
      <w:pPr>
        <w:rPr>
          <w:rFonts w:ascii="Arial" w:eastAsia="Calibri" w:hAnsi="Arial" w:cs="Arial"/>
          <w:b/>
          <w:sz w:val="20"/>
          <w:szCs w:val="20"/>
        </w:rPr>
      </w:pPr>
    </w:p>
    <w:p w14:paraId="39E3D141" w14:textId="77777777" w:rsidR="00B41E94" w:rsidRPr="007F157F" w:rsidRDefault="00B41E94" w:rsidP="00B41E94">
      <w:pPr>
        <w:spacing w:before="60" w:after="60" w:line="276" w:lineRule="auto"/>
        <w:jc w:val="both"/>
        <w:rPr>
          <w:rFonts w:ascii="Arial" w:eastAsia="Calibri" w:hAnsi="Arial" w:cs="Arial"/>
          <w:b/>
          <w:sz w:val="20"/>
          <w:szCs w:val="20"/>
        </w:rPr>
      </w:pPr>
      <w:r w:rsidRPr="007F157F">
        <w:rPr>
          <w:rFonts w:ascii="Arial" w:eastAsia="Calibri" w:hAnsi="Arial" w:cs="Arial"/>
          <w:b/>
          <w:sz w:val="20"/>
          <w:szCs w:val="20"/>
        </w:rPr>
        <w:t>Expectations</w:t>
      </w:r>
    </w:p>
    <w:p w14:paraId="73DF6C9F" w14:textId="77777777" w:rsidR="00B41E94" w:rsidRPr="007F157F" w:rsidRDefault="00B41E94" w:rsidP="00B41E94">
      <w:pPr>
        <w:spacing w:before="60" w:after="60" w:line="276" w:lineRule="auto"/>
        <w:jc w:val="both"/>
        <w:rPr>
          <w:rFonts w:ascii="Arial" w:eastAsia="Calibri" w:hAnsi="Arial" w:cs="Arial"/>
          <w:sz w:val="20"/>
          <w:szCs w:val="20"/>
        </w:rPr>
      </w:pPr>
      <w:r w:rsidRPr="007F157F">
        <w:rPr>
          <w:rFonts w:ascii="Arial" w:eastAsia="Calibri" w:hAnsi="Arial" w:cs="Arial"/>
          <w:sz w:val="20"/>
          <w:szCs w:val="20"/>
        </w:rPr>
        <w:t>The table below illustrates National Collections and Reporting’s expectations for each measure:</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71"/>
        <w:gridCol w:w="1578"/>
        <w:gridCol w:w="1880"/>
        <w:gridCol w:w="1900"/>
        <w:gridCol w:w="1870"/>
        <w:gridCol w:w="1892"/>
      </w:tblGrid>
      <w:tr w:rsidR="00B41E94" w:rsidRPr="007F157F" w14:paraId="546567E3" w14:textId="77777777" w:rsidTr="004B1778">
        <w:trPr>
          <w:cantSplit/>
        </w:trPr>
        <w:tc>
          <w:tcPr>
            <w:tcW w:w="345" w:type="pct"/>
            <w:tcBorders>
              <w:top w:val="nil"/>
              <w:left w:val="nil"/>
              <w:bottom w:val="nil"/>
              <w:right w:val="nil"/>
            </w:tcBorders>
          </w:tcPr>
          <w:p w14:paraId="5D5710F0"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182" w:type="pct"/>
            <w:tcBorders>
              <w:top w:val="nil"/>
              <w:left w:val="nil"/>
              <w:bottom w:val="nil"/>
              <w:right w:val="nil"/>
            </w:tcBorders>
          </w:tcPr>
          <w:p w14:paraId="7031A6B8"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774" w:type="pct"/>
            <w:tcBorders>
              <w:top w:val="nil"/>
              <w:left w:val="nil"/>
              <w:bottom w:val="nil"/>
            </w:tcBorders>
          </w:tcPr>
          <w:p w14:paraId="3BD5D163"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3699" w:type="pct"/>
            <w:gridSpan w:val="4"/>
            <w:shd w:val="clear" w:color="auto" w:fill="C0C0C0"/>
          </w:tcPr>
          <w:p w14:paraId="14CE9637" w14:textId="77777777" w:rsidR="00B41E94" w:rsidRPr="007F157F" w:rsidRDefault="00B41E94" w:rsidP="004B1778">
            <w:pPr>
              <w:spacing w:before="60" w:after="60"/>
              <w:jc w:val="center"/>
              <w:outlineLvl w:val="5"/>
              <w:rPr>
                <w:rFonts w:ascii="Arial" w:hAnsi="Arial" w:cs="Arial"/>
                <w:b/>
                <w:bCs/>
                <w:sz w:val="20"/>
                <w:szCs w:val="20"/>
                <w:lang w:val="en-GB"/>
              </w:rPr>
            </w:pPr>
            <w:r w:rsidRPr="007F157F">
              <w:rPr>
                <w:rFonts w:ascii="Arial" w:hAnsi="Arial" w:cs="Arial"/>
                <w:b/>
                <w:bCs/>
                <w:sz w:val="20"/>
                <w:szCs w:val="20"/>
                <w:lang w:val="en-GB"/>
              </w:rPr>
              <w:t>Rating</w:t>
            </w:r>
          </w:p>
        </w:tc>
      </w:tr>
      <w:tr w:rsidR="00B41E94" w:rsidRPr="007F157F" w14:paraId="6C87C2CB" w14:textId="77777777" w:rsidTr="004B1778">
        <w:tc>
          <w:tcPr>
            <w:tcW w:w="345" w:type="pct"/>
            <w:tcBorders>
              <w:top w:val="nil"/>
              <w:left w:val="nil"/>
              <w:bottom w:val="single" w:sz="4" w:space="0" w:color="auto"/>
              <w:right w:val="nil"/>
            </w:tcBorders>
          </w:tcPr>
          <w:p w14:paraId="514F5A3D"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182" w:type="pct"/>
            <w:tcBorders>
              <w:top w:val="nil"/>
              <w:left w:val="nil"/>
              <w:bottom w:val="single" w:sz="4" w:space="0" w:color="auto"/>
              <w:right w:val="nil"/>
            </w:tcBorders>
          </w:tcPr>
          <w:p w14:paraId="6C45A9C7"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774" w:type="pct"/>
            <w:tcBorders>
              <w:top w:val="nil"/>
              <w:left w:val="nil"/>
              <w:bottom w:val="single" w:sz="4" w:space="0" w:color="auto"/>
            </w:tcBorders>
          </w:tcPr>
          <w:p w14:paraId="478F2C68" w14:textId="77777777" w:rsidR="00B41E94" w:rsidRPr="00417928" w:rsidRDefault="00B41E94" w:rsidP="004B1778">
            <w:pPr>
              <w:spacing w:before="60" w:after="60" w:line="276" w:lineRule="auto"/>
              <w:jc w:val="both"/>
              <w:rPr>
                <w:rFonts w:ascii="Arial" w:eastAsia="Arial Unicode MS" w:hAnsi="Arial" w:cs="Arial"/>
                <w:b/>
                <w:bCs/>
                <w:sz w:val="20"/>
                <w:szCs w:val="20"/>
                <w:lang w:val="en-GB"/>
              </w:rPr>
            </w:pPr>
          </w:p>
        </w:tc>
        <w:tc>
          <w:tcPr>
            <w:tcW w:w="922" w:type="pct"/>
            <w:shd w:val="clear" w:color="auto" w:fill="C0C0C0"/>
            <w:vAlign w:val="center"/>
          </w:tcPr>
          <w:p w14:paraId="5AA76806" w14:textId="77777777" w:rsidR="00B41E94" w:rsidRPr="007F157F" w:rsidRDefault="00B41E94" w:rsidP="004B1778">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Not Achieved– Escalation Required</w:t>
            </w:r>
          </w:p>
        </w:tc>
        <w:tc>
          <w:tcPr>
            <w:tcW w:w="932" w:type="pct"/>
            <w:shd w:val="clear" w:color="auto" w:fill="C0C0C0"/>
            <w:vAlign w:val="center"/>
          </w:tcPr>
          <w:p w14:paraId="634E8AA4" w14:textId="77777777" w:rsidR="00B41E94" w:rsidRPr="007F157F" w:rsidRDefault="00B41E94" w:rsidP="004B1778">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Partial Achievement</w:t>
            </w:r>
          </w:p>
        </w:tc>
        <w:tc>
          <w:tcPr>
            <w:tcW w:w="917" w:type="pct"/>
            <w:shd w:val="clear" w:color="auto" w:fill="C0C0C0"/>
            <w:vAlign w:val="center"/>
          </w:tcPr>
          <w:p w14:paraId="572994F6" w14:textId="77777777" w:rsidR="00B41E94" w:rsidRPr="007F157F" w:rsidRDefault="00B41E94" w:rsidP="004B1778">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Achieved</w:t>
            </w:r>
          </w:p>
        </w:tc>
        <w:tc>
          <w:tcPr>
            <w:tcW w:w="929" w:type="pct"/>
            <w:shd w:val="clear" w:color="auto" w:fill="C0C0C0"/>
            <w:vAlign w:val="center"/>
          </w:tcPr>
          <w:p w14:paraId="714483F8" w14:textId="77777777" w:rsidR="00B41E94" w:rsidRPr="007F157F" w:rsidRDefault="00B41E94" w:rsidP="004B1778">
            <w:pPr>
              <w:spacing w:before="60" w:after="60" w:line="276" w:lineRule="auto"/>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Outstanding Performer/ Sector Leader</w:t>
            </w:r>
          </w:p>
        </w:tc>
      </w:tr>
      <w:tr w:rsidR="00B41E94" w:rsidRPr="007F157F" w14:paraId="7EB5312F" w14:textId="77777777" w:rsidTr="004B1778">
        <w:trPr>
          <w:cantSplit/>
          <w:trHeight w:val="680"/>
        </w:trPr>
        <w:tc>
          <w:tcPr>
            <w:tcW w:w="345" w:type="pct"/>
            <w:vMerge w:val="restart"/>
            <w:shd w:val="clear" w:color="auto" w:fill="E0E0E0"/>
            <w:textDirection w:val="btLr"/>
          </w:tcPr>
          <w:p w14:paraId="2F48CFC5" w14:textId="77777777" w:rsidR="00B41E94" w:rsidRPr="007F157F" w:rsidRDefault="00B41E94" w:rsidP="004B1778">
            <w:pPr>
              <w:spacing w:before="60" w:after="60" w:line="276" w:lineRule="auto"/>
              <w:ind w:left="113" w:right="113"/>
              <w:jc w:val="center"/>
              <w:rPr>
                <w:rFonts w:ascii="Arial" w:eastAsia="Arial Unicode MS" w:hAnsi="Arial" w:cs="Arial"/>
                <w:b/>
                <w:bCs/>
                <w:sz w:val="20"/>
                <w:szCs w:val="20"/>
                <w:lang w:val="en-GB"/>
              </w:rPr>
            </w:pPr>
            <w:r w:rsidRPr="007F157F">
              <w:rPr>
                <w:rFonts w:ascii="Arial" w:eastAsia="Arial Unicode MS" w:hAnsi="Arial" w:cs="Arial"/>
                <w:b/>
                <w:bCs/>
                <w:sz w:val="20"/>
                <w:szCs w:val="20"/>
                <w:lang w:val="en-GB"/>
              </w:rPr>
              <w:t>Measure</w:t>
            </w:r>
          </w:p>
        </w:tc>
        <w:tc>
          <w:tcPr>
            <w:tcW w:w="182" w:type="pct"/>
            <w:tcBorders>
              <w:right w:val="nil"/>
            </w:tcBorders>
            <w:shd w:val="clear" w:color="auto" w:fill="E0E0E0"/>
          </w:tcPr>
          <w:p w14:paraId="1757934F" w14:textId="77777777" w:rsidR="00B41E94" w:rsidRPr="007F157F" w:rsidRDefault="00B41E94" w:rsidP="004B1778">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1 </w:t>
            </w:r>
          </w:p>
        </w:tc>
        <w:tc>
          <w:tcPr>
            <w:tcW w:w="774" w:type="pct"/>
            <w:tcBorders>
              <w:left w:val="nil"/>
            </w:tcBorders>
            <w:shd w:val="clear" w:color="auto" w:fill="E0E0E0"/>
          </w:tcPr>
          <w:p w14:paraId="15BAEFE7" w14:textId="77777777" w:rsidR="00B41E94" w:rsidRPr="00417928" w:rsidRDefault="00B41E94" w:rsidP="004B1778">
            <w:pPr>
              <w:keepNext/>
              <w:spacing w:before="60" w:after="60"/>
              <w:outlineLvl w:val="3"/>
              <w:rPr>
                <w:rFonts w:ascii="Arial" w:eastAsia="Arial Unicode MS" w:hAnsi="Arial" w:cs="Arial"/>
                <w:b/>
                <w:sz w:val="20"/>
                <w:szCs w:val="20"/>
                <w:lang w:val="en-GB"/>
              </w:rPr>
            </w:pPr>
            <w:r w:rsidRPr="00417928">
              <w:rPr>
                <w:rFonts w:ascii="Arial" w:eastAsia="Calibri" w:hAnsi="Arial" w:cs="Arial"/>
                <w:b/>
                <w:sz w:val="20"/>
                <w:szCs w:val="20"/>
              </w:rPr>
              <w:t>NPF collection has accurate dates and links to NNPAC and NMDS for FSA and planned inpatient procedures</w:t>
            </w:r>
            <w:r w:rsidRPr="00417928">
              <w:rPr>
                <w:rFonts w:ascii="Arial" w:hAnsi="Arial" w:cs="Arial"/>
                <w:b/>
                <w:bCs/>
                <w:sz w:val="20"/>
                <w:szCs w:val="20"/>
              </w:rPr>
              <w:t>.</w:t>
            </w:r>
          </w:p>
        </w:tc>
        <w:tc>
          <w:tcPr>
            <w:tcW w:w="922" w:type="pct"/>
            <w:vAlign w:val="center"/>
          </w:tcPr>
          <w:p w14:paraId="3F923F38"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Less than</w:t>
            </w:r>
          </w:p>
          <w:p w14:paraId="68901A1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Pr>
                <w:rFonts w:ascii="Arial" w:eastAsia="Arial Unicode MS" w:hAnsi="Arial" w:cs="Arial"/>
                <w:sz w:val="20"/>
                <w:szCs w:val="20"/>
                <w:lang w:val="en-GB"/>
              </w:rPr>
              <w:t>85</w:t>
            </w:r>
            <w:r w:rsidRPr="007F157F">
              <w:rPr>
                <w:rFonts w:ascii="Arial" w:eastAsia="Arial Unicode MS" w:hAnsi="Arial" w:cs="Arial"/>
                <w:sz w:val="20"/>
                <w:szCs w:val="20"/>
                <w:lang w:val="en-GB"/>
              </w:rPr>
              <w:t xml:space="preserve">% </w:t>
            </w:r>
          </w:p>
        </w:tc>
        <w:tc>
          <w:tcPr>
            <w:tcW w:w="932" w:type="pct"/>
            <w:vAlign w:val="center"/>
          </w:tcPr>
          <w:p w14:paraId="7B44C607"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85</w:t>
            </w:r>
            <w:r w:rsidRPr="007F157F">
              <w:rPr>
                <w:rFonts w:ascii="Arial" w:eastAsia="Arial Unicode MS" w:hAnsi="Arial" w:cs="Arial"/>
                <w:sz w:val="20"/>
                <w:szCs w:val="20"/>
                <w:lang w:val="en-GB"/>
              </w:rPr>
              <w:t>% and less than 9</w:t>
            </w:r>
            <w:r>
              <w:rPr>
                <w:rFonts w:ascii="Arial" w:eastAsia="Arial Unicode MS" w:hAnsi="Arial" w:cs="Arial"/>
                <w:sz w:val="20"/>
                <w:szCs w:val="20"/>
                <w:lang w:val="en-GB"/>
              </w:rPr>
              <w:t>0</w:t>
            </w:r>
            <w:r w:rsidRPr="007F157F">
              <w:rPr>
                <w:rFonts w:ascii="Arial" w:eastAsia="Arial Unicode MS" w:hAnsi="Arial" w:cs="Arial"/>
                <w:sz w:val="20"/>
                <w:szCs w:val="20"/>
                <w:lang w:val="en-GB"/>
              </w:rPr>
              <w:t xml:space="preserve"> %</w:t>
            </w:r>
          </w:p>
        </w:tc>
        <w:tc>
          <w:tcPr>
            <w:tcW w:w="917" w:type="pct"/>
            <w:vAlign w:val="center"/>
          </w:tcPr>
          <w:p w14:paraId="186E022A"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90</w:t>
            </w:r>
            <w:r w:rsidRPr="007F157F">
              <w:rPr>
                <w:rFonts w:ascii="Arial" w:eastAsia="Arial Unicode MS" w:hAnsi="Arial" w:cs="Arial"/>
                <w:sz w:val="20"/>
                <w:szCs w:val="20"/>
                <w:lang w:val="en-GB"/>
              </w:rPr>
              <w:t>% and less than</w:t>
            </w:r>
            <w:r>
              <w:rPr>
                <w:rFonts w:ascii="Arial" w:eastAsia="Arial Unicode MS" w:hAnsi="Arial" w:cs="Arial"/>
                <w:sz w:val="20"/>
                <w:szCs w:val="20"/>
                <w:lang w:val="en-GB"/>
              </w:rPr>
              <w:t>9</w:t>
            </w:r>
            <w:r w:rsidRPr="007F157F">
              <w:rPr>
                <w:rFonts w:ascii="Arial" w:eastAsia="Arial Unicode MS" w:hAnsi="Arial" w:cs="Arial"/>
                <w:sz w:val="20"/>
                <w:szCs w:val="20"/>
                <w:lang w:val="en-GB"/>
              </w:rPr>
              <w:t>5 %</w:t>
            </w:r>
          </w:p>
        </w:tc>
        <w:tc>
          <w:tcPr>
            <w:tcW w:w="929" w:type="pct"/>
            <w:vAlign w:val="center"/>
          </w:tcPr>
          <w:p w14:paraId="4F55D668" w14:textId="77777777" w:rsidR="00B41E94"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9</w:t>
            </w:r>
            <w:r w:rsidRPr="007F157F">
              <w:rPr>
                <w:rFonts w:ascii="Arial" w:eastAsia="Arial Unicode MS" w:hAnsi="Arial" w:cs="Arial"/>
                <w:sz w:val="20"/>
                <w:szCs w:val="20"/>
                <w:lang w:val="en-GB"/>
              </w:rPr>
              <w:t>5%</w:t>
            </w:r>
          </w:p>
          <w:p w14:paraId="2B0F22C2"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p>
        </w:tc>
      </w:tr>
      <w:tr w:rsidR="00B41E94" w:rsidRPr="007F157F" w14:paraId="5F43F953" w14:textId="77777777" w:rsidTr="004B1778">
        <w:trPr>
          <w:cantSplit/>
          <w:trHeight w:val="680"/>
        </w:trPr>
        <w:tc>
          <w:tcPr>
            <w:tcW w:w="345" w:type="pct"/>
            <w:vMerge/>
            <w:shd w:val="clear" w:color="auto" w:fill="E0E0E0"/>
          </w:tcPr>
          <w:p w14:paraId="082CC792"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182" w:type="pct"/>
            <w:tcBorders>
              <w:right w:val="nil"/>
            </w:tcBorders>
            <w:shd w:val="clear" w:color="auto" w:fill="E0E0E0"/>
          </w:tcPr>
          <w:p w14:paraId="38F0EA4E" w14:textId="77777777" w:rsidR="00B41E94" w:rsidRPr="007F157F" w:rsidRDefault="00B41E94" w:rsidP="004B1778">
            <w:pPr>
              <w:spacing w:before="60" w:after="60" w:line="276" w:lineRule="auto"/>
              <w:jc w:val="both"/>
              <w:rPr>
                <w:rFonts w:ascii="Arial" w:eastAsia="Arial Unicode MS" w:hAnsi="Arial" w:cs="Arial"/>
                <w:sz w:val="20"/>
                <w:szCs w:val="20"/>
                <w:lang w:val="en-GB"/>
              </w:rPr>
            </w:pPr>
            <w:r w:rsidRPr="007F157F">
              <w:rPr>
                <w:rFonts w:ascii="Arial" w:eastAsia="Arial Unicode MS" w:hAnsi="Arial" w:cs="Arial"/>
                <w:sz w:val="20"/>
                <w:szCs w:val="20"/>
                <w:lang w:val="en-GB"/>
              </w:rPr>
              <w:t xml:space="preserve">2 </w:t>
            </w:r>
          </w:p>
        </w:tc>
        <w:tc>
          <w:tcPr>
            <w:tcW w:w="774" w:type="pct"/>
            <w:tcBorders>
              <w:left w:val="nil"/>
            </w:tcBorders>
            <w:shd w:val="clear" w:color="auto" w:fill="E0E0E0"/>
          </w:tcPr>
          <w:p w14:paraId="0D598A01" w14:textId="77777777" w:rsidR="00B41E94" w:rsidRPr="007F157F" w:rsidRDefault="00B41E94" w:rsidP="004B1778">
            <w:pPr>
              <w:spacing w:before="60" w:after="60" w:line="276" w:lineRule="auto"/>
              <w:jc w:val="both"/>
              <w:rPr>
                <w:rFonts w:ascii="Arial" w:eastAsia="Calibri" w:hAnsi="Arial" w:cs="Arial"/>
                <w:b/>
                <w:sz w:val="20"/>
                <w:szCs w:val="20"/>
              </w:rPr>
            </w:pPr>
            <w:r w:rsidRPr="007F157F">
              <w:rPr>
                <w:rFonts w:ascii="Arial" w:eastAsia="Calibri" w:hAnsi="Arial" w:cs="Arial"/>
                <w:b/>
                <w:sz w:val="20"/>
                <w:szCs w:val="20"/>
              </w:rPr>
              <w:t xml:space="preserve">National Collections </w:t>
            </w:r>
            <w:r>
              <w:rPr>
                <w:rFonts w:ascii="Arial" w:eastAsia="Calibri" w:hAnsi="Arial" w:cs="Arial"/>
                <w:b/>
                <w:sz w:val="20"/>
                <w:szCs w:val="20"/>
              </w:rPr>
              <w:t>completeness</w:t>
            </w:r>
          </w:p>
          <w:p w14:paraId="3F100FC5" w14:textId="77777777" w:rsidR="00B41E94" w:rsidRPr="007F157F" w:rsidRDefault="00B41E94" w:rsidP="004B1778">
            <w:pPr>
              <w:spacing w:before="60" w:after="60" w:line="276" w:lineRule="auto"/>
              <w:rPr>
                <w:rFonts w:ascii="Arial" w:eastAsia="Arial Unicode MS" w:hAnsi="Arial" w:cs="Arial"/>
                <w:sz w:val="20"/>
                <w:szCs w:val="20"/>
                <w:lang w:val="en-GB"/>
              </w:rPr>
            </w:pPr>
          </w:p>
        </w:tc>
        <w:tc>
          <w:tcPr>
            <w:tcW w:w="922" w:type="pct"/>
            <w:vAlign w:val="center"/>
          </w:tcPr>
          <w:p w14:paraId="6639D66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Less than</w:t>
            </w:r>
          </w:p>
          <w:p w14:paraId="53E20A99"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9</w:t>
            </w:r>
            <w:r>
              <w:rPr>
                <w:rFonts w:ascii="Arial" w:eastAsia="Arial Unicode MS" w:hAnsi="Arial" w:cs="Arial"/>
                <w:sz w:val="20"/>
                <w:szCs w:val="20"/>
                <w:lang w:val="en-GB"/>
              </w:rPr>
              <w:t>0</w:t>
            </w:r>
            <w:r w:rsidRPr="007F157F">
              <w:rPr>
                <w:rFonts w:ascii="Arial" w:eastAsia="Arial Unicode MS" w:hAnsi="Arial" w:cs="Arial"/>
                <w:sz w:val="20"/>
                <w:szCs w:val="20"/>
                <w:lang w:val="en-GB"/>
              </w:rPr>
              <w:t xml:space="preserve">% </w:t>
            </w:r>
          </w:p>
        </w:tc>
        <w:tc>
          <w:tcPr>
            <w:tcW w:w="932" w:type="pct"/>
            <w:vAlign w:val="center"/>
          </w:tcPr>
          <w:p w14:paraId="21BD74BD"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Greater than or equal to 9</w:t>
            </w:r>
            <w:r>
              <w:rPr>
                <w:rFonts w:ascii="Arial" w:eastAsia="Arial Unicode MS" w:hAnsi="Arial" w:cs="Arial"/>
                <w:sz w:val="20"/>
                <w:szCs w:val="20"/>
                <w:lang w:val="en-GB"/>
              </w:rPr>
              <w:t>0</w:t>
            </w:r>
            <w:r w:rsidRPr="007F157F">
              <w:rPr>
                <w:rFonts w:ascii="Arial" w:eastAsia="Arial Unicode MS" w:hAnsi="Arial" w:cs="Arial"/>
                <w:sz w:val="20"/>
                <w:szCs w:val="20"/>
                <w:lang w:val="en-GB"/>
              </w:rPr>
              <w:t>% and less than 9</w:t>
            </w:r>
            <w:r>
              <w:rPr>
                <w:rFonts w:ascii="Arial" w:eastAsia="Arial Unicode MS" w:hAnsi="Arial" w:cs="Arial"/>
                <w:sz w:val="20"/>
                <w:szCs w:val="20"/>
                <w:lang w:val="en-GB"/>
              </w:rPr>
              <w:t>4.5</w:t>
            </w:r>
            <w:r w:rsidRPr="007F157F">
              <w:rPr>
                <w:rFonts w:ascii="Arial" w:eastAsia="Arial Unicode MS" w:hAnsi="Arial" w:cs="Arial"/>
                <w:sz w:val="20"/>
                <w:szCs w:val="20"/>
                <w:lang w:val="en-GB"/>
              </w:rPr>
              <w:t xml:space="preserve"> %</w:t>
            </w:r>
          </w:p>
        </w:tc>
        <w:tc>
          <w:tcPr>
            <w:tcW w:w="917" w:type="pct"/>
            <w:vAlign w:val="center"/>
          </w:tcPr>
          <w:p w14:paraId="7C34326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94.5</w:t>
            </w:r>
            <w:r w:rsidRPr="007F157F">
              <w:rPr>
                <w:rFonts w:ascii="Arial" w:eastAsia="Arial Unicode MS" w:hAnsi="Arial" w:cs="Arial"/>
                <w:sz w:val="20"/>
                <w:szCs w:val="20"/>
                <w:lang w:val="en-GB"/>
              </w:rPr>
              <w:t xml:space="preserve">% and less than </w:t>
            </w:r>
            <w:r>
              <w:rPr>
                <w:rFonts w:ascii="Arial" w:eastAsia="Arial Unicode MS" w:hAnsi="Arial" w:cs="Arial"/>
                <w:sz w:val="20"/>
                <w:szCs w:val="20"/>
                <w:lang w:val="en-GB"/>
              </w:rPr>
              <w:t>97</w:t>
            </w:r>
            <w:r w:rsidRPr="007F157F">
              <w:rPr>
                <w:rFonts w:ascii="Arial" w:eastAsia="Arial Unicode MS" w:hAnsi="Arial" w:cs="Arial"/>
                <w:sz w:val="20"/>
                <w:szCs w:val="20"/>
                <w:lang w:val="en-GB"/>
              </w:rPr>
              <w:t>.5 %</w:t>
            </w:r>
          </w:p>
        </w:tc>
        <w:tc>
          <w:tcPr>
            <w:tcW w:w="929" w:type="pct"/>
            <w:vAlign w:val="center"/>
          </w:tcPr>
          <w:p w14:paraId="797D8428"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97.5</w:t>
            </w:r>
          </w:p>
        </w:tc>
      </w:tr>
      <w:tr w:rsidR="00B41E94" w:rsidRPr="007F157F" w14:paraId="05908F2A" w14:textId="77777777" w:rsidTr="004B1778">
        <w:trPr>
          <w:cantSplit/>
          <w:trHeight w:val="680"/>
        </w:trPr>
        <w:tc>
          <w:tcPr>
            <w:tcW w:w="345" w:type="pct"/>
            <w:vMerge/>
            <w:shd w:val="clear" w:color="auto" w:fill="E0E0E0"/>
          </w:tcPr>
          <w:p w14:paraId="4DC0DCAA"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182" w:type="pct"/>
            <w:tcBorders>
              <w:right w:val="nil"/>
            </w:tcBorders>
            <w:shd w:val="clear" w:color="auto" w:fill="E0E0E0"/>
          </w:tcPr>
          <w:p w14:paraId="7ADE34BB" w14:textId="77777777" w:rsidR="00B41E94" w:rsidRPr="007F157F" w:rsidRDefault="00B41E94" w:rsidP="004B1778">
            <w:pPr>
              <w:spacing w:before="60" w:after="60" w:line="276" w:lineRule="auto"/>
              <w:jc w:val="both"/>
              <w:rPr>
                <w:rFonts w:ascii="Arial" w:eastAsia="Arial Unicode MS" w:hAnsi="Arial" w:cs="Arial"/>
                <w:b/>
                <w:sz w:val="20"/>
                <w:szCs w:val="20"/>
                <w:lang w:val="en-GB"/>
              </w:rPr>
            </w:pPr>
            <w:r w:rsidRPr="007F157F">
              <w:rPr>
                <w:rFonts w:ascii="Arial" w:eastAsia="Arial Unicode MS" w:hAnsi="Arial" w:cs="Arial"/>
                <w:b/>
                <w:sz w:val="20"/>
                <w:szCs w:val="20"/>
                <w:lang w:val="en-GB"/>
              </w:rPr>
              <w:t xml:space="preserve">3 </w:t>
            </w:r>
          </w:p>
        </w:tc>
        <w:tc>
          <w:tcPr>
            <w:tcW w:w="774" w:type="pct"/>
            <w:tcBorders>
              <w:left w:val="nil"/>
            </w:tcBorders>
            <w:shd w:val="clear" w:color="auto" w:fill="E0E0E0"/>
          </w:tcPr>
          <w:p w14:paraId="3999D502" w14:textId="77777777" w:rsidR="00B41E94" w:rsidRPr="007F157F" w:rsidRDefault="00B41E94" w:rsidP="004B1778">
            <w:pPr>
              <w:spacing w:before="60" w:after="60" w:line="276" w:lineRule="auto"/>
              <w:rPr>
                <w:rFonts w:ascii="Arial" w:eastAsia="Arial Unicode MS" w:hAnsi="Arial" w:cs="Arial"/>
                <w:b/>
                <w:strike/>
                <w:color w:val="FF0000"/>
                <w:sz w:val="20"/>
                <w:szCs w:val="20"/>
                <w:lang w:val="en-GB"/>
              </w:rPr>
            </w:pPr>
            <w:r w:rsidRPr="007F157F">
              <w:rPr>
                <w:rFonts w:ascii="Arial" w:eastAsia="Arial Unicode MS" w:hAnsi="Arial" w:cs="Arial"/>
                <w:b/>
                <w:sz w:val="20"/>
                <w:szCs w:val="20"/>
                <w:lang w:val="en-GB"/>
              </w:rPr>
              <w:t xml:space="preserve"> Assessment of data reported to the NMDS</w:t>
            </w:r>
          </w:p>
        </w:tc>
        <w:tc>
          <w:tcPr>
            <w:tcW w:w="922" w:type="pct"/>
            <w:vAlign w:val="center"/>
          </w:tcPr>
          <w:p w14:paraId="5D8D76EE"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Less than </w:t>
            </w:r>
            <w:r>
              <w:rPr>
                <w:rFonts w:ascii="Arial" w:eastAsia="Arial Unicode MS" w:hAnsi="Arial" w:cs="Arial"/>
                <w:sz w:val="20"/>
                <w:szCs w:val="20"/>
                <w:lang w:val="en-GB"/>
              </w:rPr>
              <w:t>75</w:t>
            </w:r>
            <w:r w:rsidRPr="007F157F">
              <w:rPr>
                <w:rFonts w:ascii="Arial" w:eastAsia="Arial Unicode MS" w:hAnsi="Arial" w:cs="Arial"/>
                <w:sz w:val="20"/>
                <w:szCs w:val="20"/>
                <w:lang w:val="en-GB"/>
              </w:rPr>
              <w:t>%</w:t>
            </w:r>
          </w:p>
        </w:tc>
        <w:tc>
          <w:tcPr>
            <w:tcW w:w="932" w:type="pct"/>
            <w:vAlign w:val="center"/>
          </w:tcPr>
          <w:p w14:paraId="1718741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sidRPr="007F157F">
              <w:rPr>
                <w:rFonts w:ascii="Arial" w:eastAsia="Arial Unicode MS" w:hAnsi="Arial" w:cs="Arial"/>
                <w:sz w:val="20"/>
                <w:szCs w:val="20"/>
                <w:lang w:val="en-GB"/>
              </w:rPr>
              <w:t xml:space="preserve">Greater than or equal to </w:t>
            </w:r>
            <w:r>
              <w:rPr>
                <w:rFonts w:ascii="Arial" w:eastAsia="Arial Unicode MS" w:hAnsi="Arial" w:cs="Arial"/>
                <w:sz w:val="20"/>
                <w:szCs w:val="20"/>
                <w:lang w:val="en-GB"/>
              </w:rPr>
              <w:t>75</w:t>
            </w:r>
            <w:r w:rsidRPr="007F157F">
              <w:rPr>
                <w:rFonts w:ascii="Arial" w:eastAsia="Arial Unicode MS" w:hAnsi="Arial" w:cs="Arial"/>
                <w:sz w:val="20"/>
                <w:szCs w:val="20"/>
                <w:lang w:val="en-GB"/>
              </w:rPr>
              <w:t xml:space="preserve">% and less than </w:t>
            </w:r>
            <w:r>
              <w:rPr>
                <w:rFonts w:ascii="Arial" w:eastAsia="Arial Unicode MS" w:hAnsi="Arial" w:cs="Arial"/>
                <w:sz w:val="20"/>
                <w:szCs w:val="20"/>
                <w:lang w:val="en-GB"/>
              </w:rPr>
              <w:t>85</w:t>
            </w:r>
            <w:r w:rsidRPr="007F157F">
              <w:rPr>
                <w:rFonts w:ascii="Arial" w:eastAsia="Arial Unicode MS" w:hAnsi="Arial" w:cs="Arial"/>
                <w:sz w:val="20"/>
                <w:szCs w:val="20"/>
                <w:lang w:val="en-GB"/>
              </w:rPr>
              <w:t>%</w:t>
            </w:r>
          </w:p>
        </w:tc>
        <w:tc>
          <w:tcPr>
            <w:tcW w:w="917" w:type="pct"/>
            <w:vAlign w:val="center"/>
          </w:tcPr>
          <w:p w14:paraId="202936FF"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Pr>
                <w:rFonts w:ascii="Arial" w:eastAsia="Arial Unicode MS" w:hAnsi="Arial" w:cs="Arial"/>
                <w:sz w:val="20"/>
                <w:szCs w:val="20"/>
                <w:lang w:val="en-GB"/>
              </w:rPr>
              <w:t>Greater than or equal to 85% and less than 95%</w:t>
            </w:r>
          </w:p>
        </w:tc>
        <w:tc>
          <w:tcPr>
            <w:tcW w:w="929" w:type="pct"/>
            <w:vAlign w:val="center"/>
          </w:tcPr>
          <w:p w14:paraId="682F9C6A"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r>
              <w:rPr>
                <w:rFonts w:ascii="Arial" w:eastAsia="Arial Unicode MS" w:hAnsi="Arial" w:cs="Arial"/>
                <w:sz w:val="20"/>
                <w:szCs w:val="20"/>
                <w:lang w:val="en-GB"/>
              </w:rPr>
              <w:t>Greater than or equal to 95%</w:t>
            </w:r>
          </w:p>
        </w:tc>
      </w:tr>
      <w:tr w:rsidR="00B41E94" w:rsidRPr="007F157F" w14:paraId="1FD177AD" w14:textId="77777777" w:rsidTr="004B1778">
        <w:trPr>
          <w:cantSplit/>
          <w:trHeight w:val="680"/>
        </w:trPr>
        <w:tc>
          <w:tcPr>
            <w:tcW w:w="345" w:type="pct"/>
            <w:vMerge/>
            <w:shd w:val="clear" w:color="auto" w:fill="E0E0E0"/>
          </w:tcPr>
          <w:p w14:paraId="15D0ED04" w14:textId="77777777" w:rsidR="00B41E94" w:rsidRPr="007F157F" w:rsidRDefault="00B41E94" w:rsidP="004B1778">
            <w:pPr>
              <w:spacing w:before="60" w:after="60" w:line="276" w:lineRule="auto"/>
              <w:jc w:val="both"/>
              <w:rPr>
                <w:rFonts w:ascii="Arial" w:eastAsia="Arial Unicode MS" w:hAnsi="Arial" w:cs="Arial"/>
                <w:b/>
                <w:bCs/>
                <w:sz w:val="20"/>
                <w:szCs w:val="20"/>
                <w:lang w:val="en-GB"/>
              </w:rPr>
            </w:pPr>
          </w:p>
        </w:tc>
        <w:tc>
          <w:tcPr>
            <w:tcW w:w="182" w:type="pct"/>
            <w:tcBorders>
              <w:right w:val="nil"/>
            </w:tcBorders>
            <w:shd w:val="clear" w:color="auto" w:fill="E0E0E0"/>
          </w:tcPr>
          <w:p w14:paraId="0B21731F" w14:textId="77777777" w:rsidR="00B41E94" w:rsidRPr="007F157F" w:rsidRDefault="00B41E94" w:rsidP="004B1778">
            <w:pPr>
              <w:spacing w:before="60" w:after="60" w:line="276" w:lineRule="auto"/>
              <w:jc w:val="both"/>
              <w:rPr>
                <w:rFonts w:ascii="Arial" w:eastAsia="Arial Unicode MS" w:hAnsi="Arial" w:cs="Arial"/>
                <w:b/>
                <w:sz w:val="20"/>
                <w:szCs w:val="20"/>
                <w:lang w:val="en-GB"/>
              </w:rPr>
            </w:pPr>
          </w:p>
        </w:tc>
        <w:tc>
          <w:tcPr>
            <w:tcW w:w="774" w:type="pct"/>
            <w:tcBorders>
              <w:left w:val="nil"/>
            </w:tcBorders>
            <w:shd w:val="clear" w:color="auto" w:fill="E0E0E0"/>
          </w:tcPr>
          <w:p w14:paraId="1D4A1660" w14:textId="77777777" w:rsidR="00B41E94" w:rsidRPr="007F157F" w:rsidRDefault="00B41E94" w:rsidP="004B1778">
            <w:pPr>
              <w:spacing w:before="60" w:after="60" w:line="276" w:lineRule="auto"/>
              <w:rPr>
                <w:rFonts w:ascii="Arial" w:eastAsia="Arial Unicode MS" w:hAnsi="Arial" w:cs="Arial"/>
                <w:b/>
                <w:sz w:val="20"/>
                <w:szCs w:val="20"/>
                <w:lang w:val="en-GB"/>
              </w:rPr>
            </w:pPr>
          </w:p>
        </w:tc>
        <w:tc>
          <w:tcPr>
            <w:tcW w:w="922" w:type="pct"/>
            <w:vAlign w:val="center"/>
          </w:tcPr>
          <w:p w14:paraId="3E49178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p>
        </w:tc>
        <w:tc>
          <w:tcPr>
            <w:tcW w:w="932" w:type="pct"/>
            <w:vAlign w:val="center"/>
          </w:tcPr>
          <w:p w14:paraId="15174CF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p>
        </w:tc>
        <w:tc>
          <w:tcPr>
            <w:tcW w:w="917" w:type="pct"/>
            <w:vAlign w:val="center"/>
          </w:tcPr>
          <w:p w14:paraId="39EF58F2"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p>
        </w:tc>
        <w:tc>
          <w:tcPr>
            <w:tcW w:w="929" w:type="pct"/>
            <w:vAlign w:val="center"/>
          </w:tcPr>
          <w:p w14:paraId="2E3419E0" w14:textId="77777777" w:rsidR="00B41E94" w:rsidRPr="007F157F" w:rsidRDefault="00B41E94" w:rsidP="004B1778">
            <w:pPr>
              <w:spacing w:before="60" w:after="60" w:line="276" w:lineRule="auto"/>
              <w:jc w:val="center"/>
              <w:rPr>
                <w:rFonts w:ascii="Arial" w:eastAsia="Arial Unicode MS" w:hAnsi="Arial" w:cs="Arial"/>
                <w:sz w:val="20"/>
                <w:szCs w:val="20"/>
                <w:lang w:val="en-GB"/>
              </w:rPr>
            </w:pPr>
          </w:p>
        </w:tc>
      </w:tr>
    </w:tbl>
    <w:p w14:paraId="41E8DE65" w14:textId="77777777" w:rsidR="00B41E94" w:rsidRDefault="00B41E94" w:rsidP="00B41E94">
      <w:pPr>
        <w:spacing w:before="60" w:after="60" w:line="276" w:lineRule="auto"/>
        <w:jc w:val="both"/>
        <w:rPr>
          <w:rFonts w:ascii="Arial" w:eastAsia="Calibri" w:hAnsi="Arial" w:cs="Arial"/>
          <w:sz w:val="20"/>
          <w:szCs w:val="20"/>
        </w:rPr>
      </w:pPr>
    </w:p>
    <w:p w14:paraId="78D42BEE" w14:textId="7EA63DF9" w:rsidR="00B41E94" w:rsidRDefault="00B41E94" w:rsidP="0003441E">
      <w:pPr>
        <w:pBdr>
          <w:top w:val="single" w:sz="12" w:space="1" w:color="auto"/>
        </w:pBdr>
        <w:spacing w:before="120" w:after="120"/>
        <w:jc w:val="both"/>
        <w:rPr>
          <w:rFonts w:ascii="Arial" w:hAnsi="Arial" w:cs="Arial"/>
          <w:sz w:val="20"/>
          <w:szCs w:val="20"/>
        </w:rPr>
      </w:pPr>
    </w:p>
    <w:p w14:paraId="4AA464AE" w14:textId="1FB73E5B" w:rsidR="00B41E94" w:rsidRDefault="00B41E94" w:rsidP="0003441E">
      <w:pPr>
        <w:pBdr>
          <w:top w:val="single" w:sz="12" w:space="1" w:color="auto"/>
        </w:pBdr>
        <w:spacing w:before="120" w:after="120"/>
        <w:jc w:val="both"/>
        <w:rPr>
          <w:rFonts w:ascii="Arial" w:hAnsi="Arial" w:cs="Arial"/>
          <w:sz w:val="20"/>
          <w:szCs w:val="20"/>
        </w:rPr>
      </w:pPr>
    </w:p>
    <w:p w14:paraId="53DFE60D" w14:textId="77777777" w:rsidR="00B41E94" w:rsidRPr="007F157F" w:rsidRDefault="00B41E94" w:rsidP="0003441E">
      <w:pPr>
        <w:pBdr>
          <w:top w:val="single" w:sz="12" w:space="1" w:color="auto"/>
        </w:pBdr>
        <w:spacing w:before="120" w:after="120"/>
        <w:jc w:val="both"/>
        <w:rPr>
          <w:rFonts w:ascii="Arial" w:hAnsi="Arial" w:cs="Arial"/>
          <w:sz w:val="20"/>
          <w:szCs w:val="20"/>
        </w:rPr>
      </w:pPr>
    </w:p>
    <w:p w14:paraId="4188A0ED" w14:textId="77777777" w:rsidR="0003441E" w:rsidRPr="007F157F" w:rsidRDefault="0003441E" w:rsidP="0003441E">
      <w:pPr>
        <w:spacing w:after="200" w:line="276" w:lineRule="auto"/>
        <w:rPr>
          <w:rFonts w:ascii="Arial" w:hAnsi="Arial"/>
          <w:b/>
          <w:szCs w:val="20"/>
          <w:lang w:eastAsia="en-GB"/>
        </w:rPr>
      </w:pPr>
      <w:r w:rsidRPr="007F157F">
        <w:rPr>
          <w:rFonts w:ascii="Arial" w:hAnsi="Arial" w:cs="Arial"/>
          <w:b/>
          <w:bCs/>
          <w:iCs/>
          <w:kern w:val="32"/>
          <w:sz w:val="22"/>
          <w:szCs w:val="20"/>
          <w:highlight w:val="lightGray"/>
          <w:lang w:eastAsia="en-GB"/>
        </w:rPr>
        <w:t xml:space="preserve">Focus area 3: Improving the quality of the </w:t>
      </w:r>
      <w:r w:rsidRPr="007F157F">
        <w:rPr>
          <w:rFonts w:ascii="Arial" w:hAnsi="Arial"/>
          <w:b/>
          <w:szCs w:val="20"/>
          <w:highlight w:val="lightGray"/>
          <w:lang w:eastAsia="en-GB"/>
        </w:rPr>
        <w:t>Programme for the Integration of Mental Health data (PRIMHD)</w:t>
      </w:r>
    </w:p>
    <w:p w14:paraId="31928162" w14:textId="77777777" w:rsidR="0003441E" w:rsidRPr="007F157F" w:rsidRDefault="0003441E" w:rsidP="0003441E">
      <w:pPr>
        <w:spacing w:before="60" w:after="60"/>
        <w:jc w:val="both"/>
        <w:rPr>
          <w:rFonts w:ascii="Arial" w:hAnsi="Arial" w:cs="Arial"/>
          <w:sz w:val="22"/>
          <w:szCs w:val="22"/>
          <w:u w:val="single"/>
        </w:rPr>
      </w:pPr>
      <w:r w:rsidRPr="007F157F">
        <w:rPr>
          <w:rFonts w:ascii="Arial" w:hAnsi="Arial" w:cs="Arial"/>
          <w:b/>
          <w:i/>
          <w:sz w:val="22"/>
          <w:szCs w:val="22"/>
        </w:rPr>
        <w:t>Indicator 1:</w:t>
      </w:r>
      <w:r w:rsidRPr="007F157F">
        <w:rPr>
          <w:rFonts w:ascii="Arial" w:hAnsi="Arial" w:cs="Arial"/>
          <w:sz w:val="22"/>
          <w:szCs w:val="22"/>
        </w:rPr>
        <w:tab/>
      </w:r>
      <w:r w:rsidRPr="007F157F">
        <w:rPr>
          <w:rFonts w:ascii="Arial" w:hAnsi="Arial" w:cs="Arial"/>
          <w:sz w:val="22"/>
          <w:szCs w:val="22"/>
          <w:u w:val="single"/>
        </w:rPr>
        <w:t>PRIMHD data quality</w:t>
      </w:r>
    </w:p>
    <w:p w14:paraId="5C7A6BE9" w14:textId="77777777" w:rsidR="0003441E" w:rsidRPr="007F157F" w:rsidRDefault="0003441E" w:rsidP="0003441E">
      <w:pPr>
        <w:spacing w:before="60" w:after="60"/>
        <w:jc w:val="both"/>
        <w:rPr>
          <w:rFonts w:ascii="Arial" w:hAnsi="Arial" w:cs="Arial"/>
          <w:sz w:val="22"/>
          <w:szCs w:val="22"/>
        </w:rPr>
      </w:pPr>
    </w:p>
    <w:p w14:paraId="5F8AA548" w14:textId="77777777" w:rsidR="0003441E" w:rsidRPr="007F157F" w:rsidRDefault="0003441E" w:rsidP="0003441E">
      <w:pPr>
        <w:spacing w:before="60" w:after="60"/>
        <w:jc w:val="both"/>
        <w:rPr>
          <w:rFonts w:ascii="Arial" w:hAnsi="Arial" w:cs="Arial"/>
          <w:sz w:val="22"/>
          <w:szCs w:val="22"/>
        </w:rPr>
      </w:pPr>
      <w:r w:rsidRPr="007F157F">
        <w:rPr>
          <w:rFonts w:ascii="Arial" w:hAnsi="Arial" w:cs="Arial"/>
          <w:sz w:val="22"/>
          <w:szCs w:val="22"/>
        </w:rPr>
        <w:t>Please provide date(s) of routine data quality audits and corrective actions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305"/>
      </w:tblGrid>
      <w:tr w:rsidR="0003441E" w:rsidRPr="007F157F" w14:paraId="61F6D1E3" w14:textId="77777777" w:rsidTr="009D6F69">
        <w:tc>
          <w:tcPr>
            <w:tcW w:w="2943" w:type="dxa"/>
            <w:shd w:val="clear" w:color="auto" w:fill="auto"/>
          </w:tcPr>
          <w:p w14:paraId="64F39A9D" w14:textId="77777777" w:rsidR="0003441E" w:rsidRPr="007F157F" w:rsidRDefault="0003441E" w:rsidP="009D6F69">
            <w:pPr>
              <w:spacing w:before="60" w:after="60"/>
              <w:jc w:val="both"/>
              <w:rPr>
                <w:rFonts w:ascii="Arial" w:hAnsi="Arial" w:cs="Arial"/>
                <w:sz w:val="22"/>
                <w:szCs w:val="22"/>
              </w:rPr>
            </w:pPr>
            <w:r w:rsidRPr="007F157F">
              <w:rPr>
                <w:rFonts w:ascii="Arial" w:hAnsi="Arial" w:cs="Arial"/>
                <w:sz w:val="22"/>
                <w:szCs w:val="22"/>
              </w:rPr>
              <w:t>Dates(s) of routine audit(s)</w:t>
            </w:r>
          </w:p>
        </w:tc>
        <w:tc>
          <w:tcPr>
            <w:tcW w:w="7477" w:type="dxa"/>
            <w:shd w:val="clear" w:color="auto" w:fill="auto"/>
          </w:tcPr>
          <w:p w14:paraId="707F629B" w14:textId="77777777" w:rsidR="0003441E" w:rsidRPr="007F157F" w:rsidRDefault="0003441E" w:rsidP="009D6F69">
            <w:pPr>
              <w:spacing w:before="60" w:after="60"/>
              <w:jc w:val="both"/>
              <w:rPr>
                <w:rFonts w:ascii="Arial" w:hAnsi="Arial" w:cs="Arial"/>
                <w:sz w:val="22"/>
                <w:szCs w:val="22"/>
              </w:rPr>
            </w:pPr>
            <w:r w:rsidRPr="007F157F">
              <w:rPr>
                <w:rFonts w:ascii="Arial" w:hAnsi="Arial" w:cs="Arial"/>
                <w:sz w:val="22"/>
                <w:szCs w:val="22"/>
              </w:rPr>
              <w:t>Corrective actions (if no corrective actions please indicate – NIL)</w:t>
            </w:r>
          </w:p>
        </w:tc>
      </w:tr>
      <w:tr w:rsidR="0003441E" w:rsidRPr="007F157F" w14:paraId="6E8FC30F" w14:textId="77777777" w:rsidTr="009D6F69">
        <w:trPr>
          <w:trHeight w:val="201"/>
        </w:trPr>
        <w:tc>
          <w:tcPr>
            <w:tcW w:w="2943" w:type="dxa"/>
            <w:shd w:val="clear" w:color="auto" w:fill="auto"/>
          </w:tcPr>
          <w:p w14:paraId="54DEDBCA" w14:textId="77777777" w:rsidR="0003441E" w:rsidRPr="007F157F" w:rsidRDefault="0003441E" w:rsidP="009D6F69">
            <w:pPr>
              <w:spacing w:before="60" w:after="60"/>
              <w:jc w:val="both"/>
              <w:rPr>
                <w:rFonts w:ascii="Arial" w:hAnsi="Arial" w:cs="Arial"/>
                <w:i/>
                <w:sz w:val="18"/>
                <w:szCs w:val="18"/>
              </w:rPr>
            </w:pPr>
          </w:p>
        </w:tc>
        <w:tc>
          <w:tcPr>
            <w:tcW w:w="7477" w:type="dxa"/>
            <w:shd w:val="clear" w:color="auto" w:fill="auto"/>
          </w:tcPr>
          <w:p w14:paraId="04A2A48F" w14:textId="77777777" w:rsidR="0003441E" w:rsidRPr="007F157F" w:rsidRDefault="0003441E" w:rsidP="009D6F69">
            <w:pPr>
              <w:spacing w:before="60" w:after="60"/>
              <w:jc w:val="both"/>
              <w:rPr>
                <w:rFonts w:ascii="Arial" w:hAnsi="Arial" w:cs="Arial"/>
                <w:i/>
                <w:sz w:val="18"/>
                <w:szCs w:val="18"/>
              </w:rPr>
            </w:pPr>
          </w:p>
        </w:tc>
      </w:tr>
      <w:tr w:rsidR="0003441E" w:rsidRPr="007F157F" w14:paraId="41D0F3A2" w14:textId="77777777" w:rsidTr="009D6F69">
        <w:tc>
          <w:tcPr>
            <w:tcW w:w="2943" w:type="dxa"/>
            <w:shd w:val="clear" w:color="auto" w:fill="auto"/>
          </w:tcPr>
          <w:p w14:paraId="1C3B10BC" w14:textId="77777777" w:rsidR="0003441E" w:rsidRPr="007F157F" w:rsidRDefault="0003441E" w:rsidP="009D6F69">
            <w:pPr>
              <w:spacing w:before="60" w:after="60"/>
              <w:jc w:val="both"/>
              <w:rPr>
                <w:rFonts w:ascii="Arial" w:hAnsi="Arial" w:cs="Arial"/>
                <w:i/>
                <w:sz w:val="18"/>
                <w:szCs w:val="18"/>
              </w:rPr>
            </w:pPr>
          </w:p>
        </w:tc>
        <w:tc>
          <w:tcPr>
            <w:tcW w:w="7477" w:type="dxa"/>
            <w:shd w:val="clear" w:color="auto" w:fill="auto"/>
          </w:tcPr>
          <w:p w14:paraId="20FDC08F" w14:textId="77777777" w:rsidR="0003441E" w:rsidRPr="007F157F" w:rsidRDefault="0003441E" w:rsidP="009D6F69">
            <w:pPr>
              <w:spacing w:before="60" w:after="60"/>
              <w:jc w:val="both"/>
              <w:rPr>
                <w:rFonts w:ascii="Arial" w:hAnsi="Arial" w:cs="Arial"/>
                <w:i/>
                <w:sz w:val="18"/>
                <w:szCs w:val="18"/>
              </w:rPr>
            </w:pPr>
          </w:p>
        </w:tc>
      </w:tr>
    </w:tbl>
    <w:p w14:paraId="081F64D9" w14:textId="77777777" w:rsidR="0003441E" w:rsidRPr="007F157F" w:rsidRDefault="0003441E" w:rsidP="0003441E">
      <w:pPr>
        <w:spacing w:before="60" w:after="60"/>
        <w:jc w:val="both"/>
        <w:rPr>
          <w:rFonts w:ascii="Arial" w:hAnsi="Arial" w:cs="Arial"/>
          <w:b/>
          <w:i/>
          <w:sz w:val="18"/>
          <w:szCs w:val="18"/>
        </w:rPr>
      </w:pPr>
    </w:p>
    <w:p w14:paraId="376C87E3" w14:textId="77777777" w:rsidR="0003441E" w:rsidRPr="007F157F" w:rsidRDefault="0003441E" w:rsidP="0003441E">
      <w:pPr>
        <w:rPr>
          <w:rFonts w:ascii="Arial" w:hAnsi="Arial" w:cs="Arial"/>
          <w:b/>
          <w:i/>
          <w:sz w:val="22"/>
          <w:szCs w:val="22"/>
        </w:rPr>
      </w:pPr>
    </w:p>
    <w:p w14:paraId="59A5EC00" w14:textId="77777777" w:rsidR="0003441E" w:rsidRPr="007F157F" w:rsidRDefault="0003441E" w:rsidP="0003441E">
      <w:pPr>
        <w:spacing w:before="60" w:after="60"/>
        <w:jc w:val="both"/>
        <w:rPr>
          <w:rFonts w:ascii="Arial" w:hAnsi="Arial" w:cs="Arial"/>
          <w:b/>
          <w:i/>
          <w:sz w:val="22"/>
          <w:szCs w:val="22"/>
        </w:rPr>
      </w:pPr>
      <w:r w:rsidRPr="007F157F">
        <w:rPr>
          <w:rFonts w:ascii="Arial" w:hAnsi="Arial" w:cs="Arial"/>
          <w:b/>
          <w:i/>
          <w:sz w:val="22"/>
          <w:szCs w:val="22"/>
        </w:rPr>
        <w:t>Explanation of terms</w:t>
      </w:r>
    </w:p>
    <w:p w14:paraId="4D5BA25A" w14:textId="77777777" w:rsidR="0003441E" w:rsidRPr="007F157F" w:rsidRDefault="0003441E" w:rsidP="0003441E">
      <w:pPr>
        <w:tabs>
          <w:tab w:val="left" w:pos="4140"/>
        </w:tabs>
        <w:spacing w:before="60" w:after="60"/>
        <w:ind w:left="4140" w:hanging="4140"/>
        <w:jc w:val="both"/>
        <w:rPr>
          <w:rFonts w:ascii="Arial" w:hAnsi="Arial" w:cs="Arial"/>
          <w:sz w:val="22"/>
          <w:szCs w:val="22"/>
        </w:rPr>
      </w:pPr>
      <w:r w:rsidRPr="007F157F">
        <w:rPr>
          <w:rFonts w:ascii="Arial" w:hAnsi="Arial" w:cs="Arial"/>
          <w:sz w:val="22"/>
          <w:szCs w:val="22"/>
        </w:rPr>
        <w:t>PRIMHD data quality</w:t>
      </w:r>
      <w:r w:rsidRPr="007F157F">
        <w:rPr>
          <w:rFonts w:ascii="Arial" w:hAnsi="Arial" w:cs="Arial"/>
          <w:sz w:val="22"/>
          <w:szCs w:val="22"/>
        </w:rPr>
        <w:tab/>
        <w:t xml:space="preserve">DHB provider arm services undertake routine audits to ensure PRIMHD data is accurate. These routine audits will have  a particular focus on Mental Health Act data. </w:t>
      </w:r>
    </w:p>
    <w:p w14:paraId="4F70352E" w14:textId="77777777" w:rsidR="0003441E" w:rsidRPr="007F157F" w:rsidRDefault="0003441E" w:rsidP="0003441E">
      <w:pPr>
        <w:spacing w:before="60" w:after="60"/>
        <w:jc w:val="both"/>
        <w:rPr>
          <w:rFonts w:ascii="Arial" w:hAnsi="Arial" w:cs="Arial"/>
          <w:b/>
          <w:sz w:val="22"/>
          <w:szCs w:val="22"/>
        </w:rPr>
      </w:pPr>
    </w:p>
    <w:p w14:paraId="1EB5016D" w14:textId="77777777" w:rsidR="0003441E" w:rsidRPr="007F157F" w:rsidRDefault="0003441E" w:rsidP="0003441E">
      <w:pPr>
        <w:spacing w:before="60" w:after="60"/>
        <w:jc w:val="both"/>
        <w:rPr>
          <w:rFonts w:ascii="Arial" w:hAnsi="Arial" w:cs="Arial"/>
          <w:b/>
          <w:sz w:val="22"/>
          <w:szCs w:val="22"/>
        </w:rPr>
      </w:pPr>
      <w:r w:rsidRPr="007F157F">
        <w:rPr>
          <w:rFonts w:ascii="Arial" w:hAnsi="Arial" w:cs="Arial"/>
          <w:b/>
          <w:sz w:val="22"/>
          <w:szCs w:val="22"/>
        </w:rPr>
        <w:t>Reporting Period</w:t>
      </w:r>
    </w:p>
    <w:p w14:paraId="210472AA" w14:textId="77777777" w:rsidR="0003441E" w:rsidRPr="007F157F" w:rsidRDefault="0003441E" w:rsidP="0003441E">
      <w:pPr>
        <w:spacing w:before="60" w:after="60"/>
        <w:jc w:val="both"/>
        <w:rPr>
          <w:rFonts w:ascii="Arial" w:hAnsi="Arial" w:cs="Arial"/>
          <w:sz w:val="22"/>
          <w:szCs w:val="22"/>
        </w:rPr>
      </w:pPr>
      <w:r w:rsidRPr="007F157F">
        <w:rPr>
          <w:rFonts w:ascii="Arial" w:hAnsi="Arial" w:cs="Arial"/>
          <w:sz w:val="22"/>
          <w:szCs w:val="22"/>
        </w:rPr>
        <w:t xml:space="preserve">To be reported quarterly, a toolkit will be placed on the </w:t>
      </w:r>
      <w:proofErr w:type="spellStart"/>
      <w:r w:rsidRPr="007F157F">
        <w:rPr>
          <w:rFonts w:ascii="Arial" w:hAnsi="Arial" w:cs="Arial"/>
          <w:sz w:val="22"/>
          <w:szCs w:val="22"/>
        </w:rPr>
        <w:t>Quickplace</w:t>
      </w:r>
      <w:proofErr w:type="spellEnd"/>
      <w:r w:rsidRPr="007F157F">
        <w:rPr>
          <w:rFonts w:ascii="Arial" w:hAnsi="Arial" w:cs="Arial"/>
          <w:sz w:val="22"/>
          <w:szCs w:val="22"/>
        </w:rPr>
        <w:t xml:space="preserve"> website.</w:t>
      </w:r>
    </w:p>
    <w:p w14:paraId="42AFA2D9" w14:textId="77777777" w:rsidR="0003441E" w:rsidRPr="007F157F" w:rsidRDefault="0003441E" w:rsidP="0003441E">
      <w:pPr>
        <w:spacing w:before="60" w:after="60"/>
        <w:jc w:val="both"/>
        <w:rPr>
          <w:rFonts w:ascii="Arial" w:hAnsi="Arial" w:cs="Arial"/>
          <w:b/>
          <w:sz w:val="22"/>
          <w:szCs w:val="22"/>
        </w:rPr>
      </w:pPr>
    </w:p>
    <w:p w14:paraId="6707366C" w14:textId="77777777" w:rsidR="0003441E" w:rsidRPr="007F157F" w:rsidRDefault="0003441E" w:rsidP="0003441E">
      <w:pPr>
        <w:spacing w:before="60" w:after="60"/>
        <w:jc w:val="both"/>
        <w:rPr>
          <w:rFonts w:ascii="Arial" w:hAnsi="Arial" w:cs="Arial"/>
          <w:b/>
          <w:sz w:val="22"/>
          <w:szCs w:val="22"/>
        </w:rPr>
      </w:pPr>
      <w:r w:rsidRPr="007F157F">
        <w:rPr>
          <w:rFonts w:ascii="Arial" w:hAnsi="Arial" w:cs="Arial"/>
          <w:b/>
          <w:sz w:val="22"/>
          <w:szCs w:val="22"/>
        </w:rPr>
        <w:t>Expectations</w:t>
      </w:r>
    </w:p>
    <w:p w14:paraId="1ABFB40A" w14:textId="77777777" w:rsidR="0003441E" w:rsidRPr="007F157F" w:rsidRDefault="0003441E" w:rsidP="0003441E">
      <w:pPr>
        <w:spacing w:before="60" w:after="60"/>
        <w:jc w:val="both"/>
        <w:rPr>
          <w:rFonts w:ascii="Arial" w:eastAsia="Calibri" w:hAnsi="Arial" w:cs="Arial"/>
          <w:sz w:val="22"/>
          <w:szCs w:val="22"/>
        </w:rPr>
      </w:pPr>
      <w:r w:rsidRPr="007F157F">
        <w:rPr>
          <w:rFonts w:ascii="Arial" w:hAnsi="Arial" w:cs="Arial"/>
          <w:sz w:val="22"/>
          <w:szCs w:val="22"/>
        </w:rPr>
        <w:t>The table below illustrates National Collections and Reporting’s expectations for each measure:</w:t>
      </w:r>
      <w:r w:rsidRPr="007F157F">
        <w:rPr>
          <w:rFonts w:ascii="Arial" w:eastAsia="Calibri" w:hAnsi="Arial"/>
          <w:szCs w:val="22"/>
        </w:rPr>
        <w:t xml:space="preserve"> </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67"/>
        <w:gridCol w:w="1223"/>
        <w:gridCol w:w="1909"/>
        <w:gridCol w:w="2184"/>
        <w:gridCol w:w="1909"/>
        <w:gridCol w:w="1739"/>
      </w:tblGrid>
      <w:tr w:rsidR="0003441E" w:rsidRPr="007F157F" w14:paraId="2E80CC69" w14:textId="77777777" w:rsidTr="009D6F69">
        <w:trPr>
          <w:cantSplit/>
          <w:trHeight w:val="413"/>
        </w:trPr>
        <w:tc>
          <w:tcPr>
            <w:tcW w:w="347" w:type="pct"/>
            <w:tcBorders>
              <w:top w:val="nil"/>
              <w:left w:val="nil"/>
              <w:bottom w:val="nil"/>
              <w:right w:val="nil"/>
            </w:tcBorders>
          </w:tcPr>
          <w:p w14:paraId="476A9F33"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183" w:type="pct"/>
            <w:tcBorders>
              <w:top w:val="nil"/>
              <w:left w:val="nil"/>
              <w:bottom w:val="nil"/>
              <w:right w:val="nil"/>
            </w:tcBorders>
          </w:tcPr>
          <w:p w14:paraId="606A50E0"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610" w:type="pct"/>
            <w:tcBorders>
              <w:top w:val="nil"/>
              <w:left w:val="nil"/>
              <w:bottom w:val="nil"/>
            </w:tcBorders>
          </w:tcPr>
          <w:p w14:paraId="69AD8A0C"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3860" w:type="pct"/>
            <w:gridSpan w:val="4"/>
            <w:shd w:val="clear" w:color="auto" w:fill="C0C0C0"/>
          </w:tcPr>
          <w:p w14:paraId="4195E50C" w14:textId="77777777" w:rsidR="0003441E" w:rsidRPr="007F157F" w:rsidRDefault="0003441E" w:rsidP="009D6F69">
            <w:pPr>
              <w:spacing w:before="60" w:after="60"/>
              <w:jc w:val="center"/>
              <w:outlineLvl w:val="5"/>
              <w:rPr>
                <w:rFonts w:ascii="Arial" w:hAnsi="Arial" w:cs="Arial"/>
                <w:b/>
                <w:bCs/>
                <w:sz w:val="22"/>
                <w:szCs w:val="22"/>
                <w:lang w:val="en-GB"/>
              </w:rPr>
            </w:pPr>
            <w:r w:rsidRPr="007F157F">
              <w:rPr>
                <w:rFonts w:ascii="Arial" w:hAnsi="Arial" w:cs="Arial"/>
                <w:b/>
                <w:bCs/>
                <w:sz w:val="22"/>
                <w:szCs w:val="22"/>
                <w:lang w:val="en-GB"/>
              </w:rPr>
              <w:t>Rating</w:t>
            </w:r>
          </w:p>
        </w:tc>
      </w:tr>
      <w:tr w:rsidR="0003441E" w:rsidRPr="007F157F" w14:paraId="08ABB465" w14:textId="77777777" w:rsidTr="009D6F69">
        <w:trPr>
          <w:trHeight w:val="958"/>
        </w:trPr>
        <w:tc>
          <w:tcPr>
            <w:tcW w:w="347" w:type="pct"/>
            <w:tcBorders>
              <w:top w:val="nil"/>
              <w:left w:val="nil"/>
              <w:bottom w:val="single" w:sz="4" w:space="0" w:color="auto"/>
              <w:right w:val="nil"/>
            </w:tcBorders>
          </w:tcPr>
          <w:p w14:paraId="1E2EA3D3"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183" w:type="pct"/>
            <w:tcBorders>
              <w:top w:val="nil"/>
              <w:left w:val="nil"/>
              <w:bottom w:val="single" w:sz="4" w:space="0" w:color="auto"/>
              <w:right w:val="nil"/>
            </w:tcBorders>
          </w:tcPr>
          <w:p w14:paraId="7E4F9AA8"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610" w:type="pct"/>
            <w:tcBorders>
              <w:top w:val="nil"/>
              <w:left w:val="nil"/>
              <w:bottom w:val="single" w:sz="4" w:space="0" w:color="auto"/>
            </w:tcBorders>
          </w:tcPr>
          <w:p w14:paraId="4EED2A66"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c>
          <w:tcPr>
            <w:tcW w:w="952" w:type="pct"/>
            <w:shd w:val="clear" w:color="auto" w:fill="C0C0C0"/>
            <w:vAlign w:val="center"/>
          </w:tcPr>
          <w:p w14:paraId="7B805F32" w14:textId="77777777" w:rsidR="0003441E" w:rsidRPr="007F157F" w:rsidRDefault="0003441E" w:rsidP="009D6F69">
            <w:pPr>
              <w:spacing w:before="60" w:after="60" w:line="276" w:lineRule="auto"/>
              <w:jc w:val="center"/>
              <w:rPr>
                <w:rFonts w:ascii="Arial" w:eastAsia="Arial Unicode MS" w:hAnsi="Arial" w:cs="Arial"/>
                <w:b/>
                <w:bCs/>
                <w:sz w:val="22"/>
                <w:szCs w:val="22"/>
                <w:lang w:val="en-GB"/>
              </w:rPr>
            </w:pPr>
            <w:r w:rsidRPr="007F157F">
              <w:rPr>
                <w:rFonts w:ascii="Arial" w:eastAsia="Arial Unicode MS" w:hAnsi="Arial" w:cs="Arial"/>
                <w:b/>
                <w:bCs/>
                <w:sz w:val="22"/>
                <w:szCs w:val="22"/>
                <w:lang w:val="en-GB"/>
              </w:rPr>
              <w:t>Not Achieved– Escalation Required</w:t>
            </w:r>
          </w:p>
        </w:tc>
        <w:tc>
          <w:tcPr>
            <w:tcW w:w="1089" w:type="pct"/>
            <w:shd w:val="clear" w:color="auto" w:fill="C0C0C0"/>
            <w:vAlign w:val="center"/>
          </w:tcPr>
          <w:p w14:paraId="06D100B2" w14:textId="77777777" w:rsidR="0003441E" w:rsidRPr="007F157F" w:rsidRDefault="0003441E" w:rsidP="009D6F69">
            <w:pPr>
              <w:spacing w:before="60" w:after="60" w:line="276" w:lineRule="auto"/>
              <w:jc w:val="center"/>
              <w:rPr>
                <w:rFonts w:ascii="Arial" w:eastAsia="Arial Unicode MS" w:hAnsi="Arial" w:cs="Arial"/>
                <w:b/>
                <w:bCs/>
                <w:sz w:val="22"/>
                <w:szCs w:val="22"/>
                <w:lang w:val="en-GB"/>
              </w:rPr>
            </w:pPr>
            <w:r w:rsidRPr="007F157F">
              <w:rPr>
                <w:rFonts w:ascii="Arial" w:eastAsia="Arial Unicode MS" w:hAnsi="Arial" w:cs="Arial"/>
                <w:b/>
                <w:bCs/>
                <w:sz w:val="22"/>
                <w:szCs w:val="22"/>
                <w:lang w:val="en-GB"/>
              </w:rPr>
              <w:t>Partial Achievement</w:t>
            </w:r>
          </w:p>
        </w:tc>
        <w:tc>
          <w:tcPr>
            <w:tcW w:w="952" w:type="pct"/>
            <w:shd w:val="clear" w:color="auto" w:fill="C0C0C0"/>
            <w:vAlign w:val="center"/>
          </w:tcPr>
          <w:p w14:paraId="1B146623" w14:textId="77777777" w:rsidR="0003441E" w:rsidRPr="007F157F" w:rsidRDefault="0003441E" w:rsidP="009D6F69">
            <w:pPr>
              <w:spacing w:before="60" w:after="60" w:line="276" w:lineRule="auto"/>
              <w:jc w:val="center"/>
              <w:rPr>
                <w:rFonts w:ascii="Arial" w:eastAsia="Arial Unicode MS" w:hAnsi="Arial" w:cs="Arial"/>
                <w:b/>
                <w:bCs/>
                <w:sz w:val="22"/>
                <w:szCs w:val="22"/>
                <w:lang w:val="en-GB"/>
              </w:rPr>
            </w:pPr>
            <w:r w:rsidRPr="007F157F">
              <w:rPr>
                <w:rFonts w:ascii="Arial" w:eastAsia="Arial Unicode MS" w:hAnsi="Arial" w:cs="Arial"/>
                <w:b/>
                <w:bCs/>
                <w:sz w:val="22"/>
                <w:szCs w:val="22"/>
                <w:lang w:val="en-GB"/>
              </w:rPr>
              <w:t>Achieved</w:t>
            </w:r>
          </w:p>
        </w:tc>
        <w:tc>
          <w:tcPr>
            <w:tcW w:w="867" w:type="pct"/>
            <w:shd w:val="clear" w:color="auto" w:fill="C0C0C0"/>
            <w:vAlign w:val="center"/>
          </w:tcPr>
          <w:p w14:paraId="789F0C67" w14:textId="77777777" w:rsidR="0003441E" w:rsidRPr="007F157F" w:rsidRDefault="0003441E" w:rsidP="009D6F69">
            <w:pPr>
              <w:spacing w:before="60" w:after="60" w:line="276" w:lineRule="auto"/>
              <w:jc w:val="center"/>
              <w:rPr>
                <w:rFonts w:ascii="Arial" w:eastAsia="Arial Unicode MS" w:hAnsi="Arial" w:cs="Arial"/>
                <w:b/>
                <w:bCs/>
                <w:sz w:val="22"/>
                <w:szCs w:val="22"/>
                <w:lang w:val="en-GB"/>
              </w:rPr>
            </w:pPr>
            <w:r w:rsidRPr="007F157F">
              <w:rPr>
                <w:rFonts w:ascii="Arial" w:eastAsia="Arial Unicode MS" w:hAnsi="Arial" w:cs="Arial"/>
                <w:b/>
                <w:bCs/>
                <w:sz w:val="22"/>
                <w:szCs w:val="22"/>
                <w:lang w:val="en-GB"/>
              </w:rPr>
              <w:t>Outstanding Performer/ Sector Leader</w:t>
            </w:r>
          </w:p>
        </w:tc>
      </w:tr>
      <w:tr w:rsidR="0003441E" w:rsidRPr="007F157F" w14:paraId="4906B37E" w14:textId="77777777" w:rsidTr="009D6F69">
        <w:trPr>
          <w:cantSplit/>
          <w:trHeight w:val="1217"/>
        </w:trPr>
        <w:tc>
          <w:tcPr>
            <w:tcW w:w="347" w:type="pct"/>
            <w:vMerge w:val="restart"/>
            <w:shd w:val="clear" w:color="auto" w:fill="E0E0E0"/>
            <w:textDirection w:val="btLr"/>
          </w:tcPr>
          <w:p w14:paraId="3E344C9A" w14:textId="77777777" w:rsidR="0003441E" w:rsidRPr="007F157F" w:rsidRDefault="0003441E" w:rsidP="009D6F69">
            <w:pPr>
              <w:spacing w:before="60" w:after="60" w:line="276" w:lineRule="auto"/>
              <w:ind w:left="113" w:right="113"/>
              <w:jc w:val="center"/>
              <w:rPr>
                <w:rFonts w:ascii="Arial" w:eastAsia="Arial Unicode MS" w:hAnsi="Arial" w:cs="Arial"/>
                <w:b/>
                <w:bCs/>
                <w:sz w:val="18"/>
                <w:szCs w:val="18"/>
                <w:lang w:val="en-GB"/>
              </w:rPr>
            </w:pPr>
            <w:r w:rsidRPr="007F157F">
              <w:rPr>
                <w:rFonts w:ascii="Arial" w:eastAsia="Arial Unicode MS" w:hAnsi="Arial" w:cs="Arial"/>
                <w:b/>
                <w:bCs/>
                <w:sz w:val="18"/>
                <w:szCs w:val="18"/>
                <w:lang w:val="en-GB"/>
              </w:rPr>
              <w:t>Measure</w:t>
            </w:r>
          </w:p>
        </w:tc>
        <w:tc>
          <w:tcPr>
            <w:tcW w:w="183" w:type="pct"/>
            <w:tcBorders>
              <w:right w:val="nil"/>
            </w:tcBorders>
            <w:shd w:val="clear" w:color="auto" w:fill="E0E0E0"/>
          </w:tcPr>
          <w:p w14:paraId="776B757A" w14:textId="77777777" w:rsidR="0003441E" w:rsidRPr="007F157F" w:rsidRDefault="0003441E" w:rsidP="009D6F69">
            <w:pPr>
              <w:spacing w:before="60" w:after="60" w:line="276" w:lineRule="auto"/>
              <w:jc w:val="both"/>
              <w:rPr>
                <w:rFonts w:ascii="Arial" w:eastAsia="Arial Unicode MS" w:hAnsi="Arial" w:cs="Arial"/>
                <w:sz w:val="22"/>
                <w:szCs w:val="22"/>
                <w:lang w:val="en-GB"/>
              </w:rPr>
            </w:pPr>
            <w:r w:rsidRPr="007F157F">
              <w:rPr>
                <w:rFonts w:ascii="Arial" w:eastAsia="Arial Unicode MS" w:hAnsi="Arial" w:cs="Arial"/>
                <w:sz w:val="22"/>
                <w:szCs w:val="22"/>
                <w:lang w:val="en-GB"/>
              </w:rPr>
              <w:t xml:space="preserve">2 </w:t>
            </w:r>
          </w:p>
        </w:tc>
        <w:tc>
          <w:tcPr>
            <w:tcW w:w="610" w:type="pct"/>
            <w:tcBorders>
              <w:left w:val="nil"/>
            </w:tcBorders>
            <w:shd w:val="clear" w:color="auto" w:fill="E0E0E0"/>
          </w:tcPr>
          <w:p w14:paraId="7086B8BC" w14:textId="77777777" w:rsidR="0003441E" w:rsidRPr="007F157F" w:rsidRDefault="0003441E" w:rsidP="009D6F69">
            <w:pPr>
              <w:keepNext/>
              <w:spacing w:before="60" w:after="60"/>
              <w:outlineLvl w:val="3"/>
              <w:rPr>
                <w:rFonts w:ascii="Arial" w:hAnsi="Arial" w:cs="Arial"/>
                <w:sz w:val="22"/>
                <w:szCs w:val="22"/>
              </w:rPr>
            </w:pPr>
            <w:r w:rsidRPr="007F157F">
              <w:rPr>
                <w:rFonts w:ascii="Arial" w:hAnsi="Arial" w:cs="Arial"/>
                <w:sz w:val="22"/>
                <w:szCs w:val="22"/>
              </w:rPr>
              <w:t>PRIMHD data quality</w:t>
            </w:r>
          </w:p>
          <w:p w14:paraId="7B6A0864" w14:textId="77777777" w:rsidR="0003441E" w:rsidRPr="007F157F" w:rsidRDefault="0003441E" w:rsidP="009D6F69">
            <w:pPr>
              <w:keepNext/>
              <w:spacing w:before="60" w:after="60"/>
              <w:outlineLvl w:val="3"/>
              <w:rPr>
                <w:rFonts w:ascii="Arial" w:hAnsi="Arial" w:cs="Arial"/>
                <w:sz w:val="22"/>
                <w:szCs w:val="22"/>
              </w:rPr>
            </w:pPr>
          </w:p>
          <w:p w14:paraId="2DD0ED86" w14:textId="77777777" w:rsidR="0003441E" w:rsidRPr="007F157F" w:rsidRDefault="0003441E" w:rsidP="009D6F69">
            <w:pPr>
              <w:keepNext/>
              <w:spacing w:before="60" w:after="60"/>
              <w:outlineLvl w:val="3"/>
              <w:rPr>
                <w:rFonts w:ascii="Arial" w:hAnsi="Arial" w:cs="Arial"/>
                <w:sz w:val="22"/>
                <w:szCs w:val="22"/>
              </w:rPr>
            </w:pPr>
          </w:p>
          <w:p w14:paraId="4334F7A2" w14:textId="77777777" w:rsidR="0003441E" w:rsidRPr="007F157F" w:rsidRDefault="0003441E" w:rsidP="009D6F69">
            <w:pPr>
              <w:keepNext/>
              <w:spacing w:before="60" w:after="60"/>
              <w:outlineLvl w:val="3"/>
              <w:rPr>
                <w:rFonts w:ascii="Arial" w:hAnsi="Arial" w:cs="Arial"/>
                <w:sz w:val="22"/>
                <w:szCs w:val="22"/>
              </w:rPr>
            </w:pPr>
          </w:p>
          <w:p w14:paraId="620CE667" w14:textId="77777777" w:rsidR="0003441E" w:rsidRPr="007F157F" w:rsidRDefault="0003441E" w:rsidP="009D6F69">
            <w:pPr>
              <w:keepNext/>
              <w:spacing w:before="60" w:after="60"/>
              <w:outlineLvl w:val="3"/>
              <w:rPr>
                <w:rFonts w:ascii="Arial" w:eastAsia="Arial Unicode MS" w:hAnsi="Arial" w:cs="Arial"/>
                <w:sz w:val="22"/>
                <w:szCs w:val="22"/>
                <w:lang w:val="en-GB"/>
              </w:rPr>
            </w:pPr>
          </w:p>
        </w:tc>
        <w:tc>
          <w:tcPr>
            <w:tcW w:w="952" w:type="pct"/>
            <w:vAlign w:val="center"/>
          </w:tcPr>
          <w:p w14:paraId="23EFF47B" w14:textId="77777777" w:rsidR="0003441E" w:rsidRPr="007F157F" w:rsidRDefault="0003441E" w:rsidP="009D6F69">
            <w:pPr>
              <w:spacing w:before="60" w:after="60" w:line="276" w:lineRule="auto"/>
              <w:jc w:val="center"/>
              <w:rPr>
                <w:rFonts w:ascii="Arial" w:eastAsia="Arial Unicode MS" w:hAnsi="Arial" w:cs="Arial"/>
                <w:sz w:val="22"/>
                <w:szCs w:val="22"/>
                <w:lang w:val="en-GB"/>
              </w:rPr>
            </w:pPr>
            <w:r w:rsidRPr="007F157F">
              <w:rPr>
                <w:rFonts w:ascii="Arial" w:eastAsia="Arial Unicode MS" w:hAnsi="Arial" w:cs="Arial"/>
                <w:sz w:val="22"/>
                <w:szCs w:val="22"/>
                <w:lang w:val="en-GB"/>
              </w:rPr>
              <w:t>No routine audits undertaken</w:t>
            </w:r>
          </w:p>
        </w:tc>
        <w:tc>
          <w:tcPr>
            <w:tcW w:w="1089" w:type="pct"/>
            <w:vAlign w:val="center"/>
          </w:tcPr>
          <w:p w14:paraId="4782DE36" w14:textId="77777777" w:rsidR="0003441E" w:rsidRPr="007F157F" w:rsidRDefault="0003441E" w:rsidP="009D6F69">
            <w:pPr>
              <w:spacing w:before="60" w:after="60" w:line="276" w:lineRule="auto"/>
              <w:jc w:val="center"/>
              <w:rPr>
                <w:rFonts w:ascii="Arial" w:eastAsia="Arial Unicode MS" w:hAnsi="Arial" w:cs="Arial"/>
                <w:sz w:val="22"/>
                <w:szCs w:val="22"/>
                <w:lang w:val="en-GB"/>
              </w:rPr>
            </w:pPr>
            <w:r w:rsidRPr="007F157F">
              <w:rPr>
                <w:rFonts w:ascii="Arial" w:eastAsia="Arial Unicode MS" w:hAnsi="Arial" w:cs="Arial"/>
                <w:sz w:val="22"/>
                <w:szCs w:val="22"/>
                <w:lang w:val="en-GB"/>
              </w:rPr>
              <w:t xml:space="preserve">Routine audits undertaken but  inadequate information on corrective actions  </w:t>
            </w:r>
          </w:p>
        </w:tc>
        <w:tc>
          <w:tcPr>
            <w:tcW w:w="952" w:type="pct"/>
            <w:vAlign w:val="center"/>
          </w:tcPr>
          <w:p w14:paraId="02939B0F" w14:textId="77777777" w:rsidR="0003441E" w:rsidRPr="007F157F" w:rsidRDefault="0003441E" w:rsidP="009D6F69">
            <w:pPr>
              <w:spacing w:before="60" w:after="60" w:line="276" w:lineRule="auto"/>
              <w:jc w:val="center"/>
              <w:rPr>
                <w:rFonts w:ascii="Arial" w:eastAsia="Arial Unicode MS" w:hAnsi="Arial" w:cs="Arial"/>
                <w:sz w:val="22"/>
                <w:szCs w:val="22"/>
                <w:lang w:val="en-GB"/>
              </w:rPr>
            </w:pPr>
            <w:r w:rsidRPr="007F157F">
              <w:rPr>
                <w:rFonts w:ascii="Arial" w:eastAsia="Arial Unicode MS" w:hAnsi="Arial" w:cs="Arial"/>
                <w:sz w:val="22"/>
                <w:szCs w:val="22"/>
                <w:lang w:val="en-GB"/>
              </w:rPr>
              <w:t>Routine audits with appropriate corrective actions  where required</w:t>
            </w:r>
          </w:p>
        </w:tc>
        <w:tc>
          <w:tcPr>
            <w:tcW w:w="867" w:type="pct"/>
            <w:vAlign w:val="center"/>
          </w:tcPr>
          <w:p w14:paraId="73B02EF7" w14:textId="77777777" w:rsidR="0003441E" w:rsidRPr="007F157F" w:rsidRDefault="0003441E" w:rsidP="009D6F69">
            <w:pPr>
              <w:spacing w:before="60" w:after="60" w:line="276" w:lineRule="auto"/>
              <w:jc w:val="center"/>
              <w:rPr>
                <w:rFonts w:ascii="Arial" w:eastAsia="Arial Unicode MS" w:hAnsi="Arial" w:cs="Arial"/>
                <w:sz w:val="22"/>
                <w:szCs w:val="22"/>
                <w:lang w:val="en-GB"/>
              </w:rPr>
            </w:pPr>
            <w:r w:rsidRPr="007F157F">
              <w:rPr>
                <w:rFonts w:ascii="Arial" w:eastAsia="Arial Unicode MS" w:hAnsi="Arial" w:cs="Arial"/>
                <w:sz w:val="22"/>
                <w:szCs w:val="22"/>
                <w:lang w:val="en-GB"/>
              </w:rPr>
              <w:t>Routine audits undertaken and no corrective actions  where required</w:t>
            </w:r>
          </w:p>
        </w:tc>
      </w:tr>
      <w:tr w:rsidR="0003441E" w:rsidRPr="007F157F" w14:paraId="7F7DE239" w14:textId="77777777" w:rsidTr="009D6F69">
        <w:trPr>
          <w:gridAfter w:val="6"/>
          <w:wAfter w:w="4653" w:type="pct"/>
          <w:cantSplit/>
          <w:trHeight w:val="411"/>
        </w:trPr>
        <w:tc>
          <w:tcPr>
            <w:tcW w:w="347" w:type="pct"/>
            <w:vMerge/>
            <w:shd w:val="clear" w:color="auto" w:fill="E0E0E0"/>
          </w:tcPr>
          <w:p w14:paraId="2120B9A0" w14:textId="77777777" w:rsidR="0003441E" w:rsidRPr="007F157F" w:rsidRDefault="0003441E" w:rsidP="009D6F69">
            <w:pPr>
              <w:spacing w:before="60" w:after="60" w:line="276" w:lineRule="auto"/>
              <w:jc w:val="both"/>
              <w:rPr>
                <w:rFonts w:ascii="Arial" w:eastAsia="Arial Unicode MS" w:hAnsi="Arial" w:cs="Arial"/>
                <w:b/>
                <w:bCs/>
                <w:sz w:val="22"/>
                <w:szCs w:val="22"/>
                <w:lang w:val="en-GB"/>
              </w:rPr>
            </w:pPr>
          </w:p>
        </w:tc>
      </w:tr>
    </w:tbl>
    <w:p w14:paraId="6BB9A45D" w14:textId="77777777" w:rsidR="009659C5" w:rsidRPr="00901B6E" w:rsidRDefault="009659C5" w:rsidP="009659C5">
      <w:pPr>
        <w:spacing w:before="120" w:after="120"/>
        <w:rPr>
          <w:rFonts w:ascii="Arial" w:hAnsi="Arial" w:cs="Arial"/>
          <w:b/>
          <w:i/>
        </w:rPr>
      </w:pPr>
      <w:r w:rsidRPr="00901B6E">
        <w:rPr>
          <w:rFonts w:ascii="Arial" w:hAnsi="Arial" w:cs="Arial"/>
          <w:b/>
          <w:i/>
        </w:rPr>
        <w:lastRenderedPageBreak/>
        <w:t>Outcome priority: We have improved quality of life</w:t>
      </w:r>
    </w:p>
    <w:p w14:paraId="4BE380FD" w14:textId="747ABC8C" w:rsidR="009659C5" w:rsidRPr="0018086E" w:rsidRDefault="00604F7F" w:rsidP="009659C5">
      <w:pPr>
        <w:spacing w:before="120" w:after="120"/>
        <w:rPr>
          <w:rFonts w:ascii="Arial" w:hAnsi="Arial" w:cs="Arial"/>
          <w:b/>
          <w:i/>
          <w:sz w:val="28"/>
          <w:szCs w:val="28"/>
        </w:rPr>
      </w:pPr>
      <w:r w:rsidRPr="00604F7F">
        <w:rPr>
          <w:rFonts w:ascii="Arial" w:hAnsi="Arial" w:cs="Arial"/>
          <w:b/>
          <w:i/>
          <w:sz w:val="28"/>
          <w:szCs w:val="28"/>
        </w:rPr>
        <w:t xml:space="preserve">Better population health outcomes supported by a </w:t>
      </w:r>
      <w:r>
        <w:rPr>
          <w:rFonts w:ascii="Arial" w:hAnsi="Arial" w:cs="Arial"/>
          <w:b/>
          <w:i/>
          <w:sz w:val="28"/>
          <w:szCs w:val="28"/>
        </w:rPr>
        <w:t>s</w:t>
      </w:r>
      <w:r w:rsidR="009659C5">
        <w:rPr>
          <w:rFonts w:ascii="Arial" w:hAnsi="Arial" w:cs="Arial"/>
          <w:b/>
          <w:i/>
          <w:sz w:val="28"/>
          <w:szCs w:val="28"/>
        </w:rPr>
        <w:t xml:space="preserve">trong and equitable health and disability system SS10: </w:t>
      </w:r>
      <w:r w:rsidR="009659C5" w:rsidRPr="0018086E">
        <w:rPr>
          <w:rFonts w:ascii="Arial" w:hAnsi="Arial" w:cs="Arial"/>
          <w:b/>
          <w:i/>
          <w:sz w:val="28"/>
          <w:szCs w:val="28"/>
        </w:rPr>
        <w:t>Shorter stays in Emergency Departments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52"/>
        <w:gridCol w:w="2434"/>
        <w:gridCol w:w="2786"/>
      </w:tblGrid>
      <w:tr w:rsidR="009659C5" w:rsidRPr="00D77CF3" w14:paraId="209D5979" w14:textId="77777777" w:rsidTr="009D6F69">
        <w:tc>
          <w:tcPr>
            <w:tcW w:w="10440" w:type="dxa"/>
            <w:gridSpan w:val="4"/>
            <w:shd w:val="clear" w:color="auto" w:fill="D9D9D9"/>
          </w:tcPr>
          <w:p w14:paraId="13AE4BC4" w14:textId="77777777" w:rsidR="009659C5" w:rsidRPr="00D77CF3" w:rsidRDefault="009659C5" w:rsidP="009D6F69">
            <w:pPr>
              <w:spacing w:before="60" w:after="60"/>
              <w:jc w:val="center"/>
              <w:rPr>
                <w:rFonts w:ascii="Arial" w:hAnsi="Arial" w:cs="Arial"/>
                <w:b/>
                <w:sz w:val="22"/>
                <w:szCs w:val="22"/>
              </w:rPr>
            </w:pPr>
            <w:r w:rsidRPr="00D77CF3">
              <w:rPr>
                <w:rFonts w:ascii="Arial" w:hAnsi="Arial" w:cs="Arial"/>
                <w:b/>
                <w:sz w:val="22"/>
                <w:szCs w:val="22"/>
              </w:rPr>
              <w:t>Summary information</w:t>
            </w:r>
          </w:p>
        </w:tc>
      </w:tr>
      <w:tr w:rsidR="009659C5" w:rsidRPr="00D77CF3" w14:paraId="3A14291F" w14:textId="77777777" w:rsidTr="009D6F69">
        <w:tc>
          <w:tcPr>
            <w:tcW w:w="10440" w:type="dxa"/>
            <w:gridSpan w:val="4"/>
          </w:tcPr>
          <w:p w14:paraId="4F7E446F"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b/>
                <w:sz w:val="22"/>
                <w:szCs w:val="22"/>
              </w:rPr>
              <w:t xml:space="preserve">Indicator: </w:t>
            </w:r>
            <w:r w:rsidRPr="00D77CF3">
              <w:rPr>
                <w:rFonts w:ascii="Arial" w:hAnsi="Arial" w:cs="Arial"/>
                <w:sz w:val="22"/>
                <w:szCs w:val="22"/>
              </w:rPr>
              <w:t xml:space="preserve">95 percent of patients will be admitted, discharged, or transferred from an Emergency Department (ED) within six hours.  </w:t>
            </w:r>
          </w:p>
        </w:tc>
      </w:tr>
      <w:tr w:rsidR="009659C5" w:rsidRPr="00D77CF3" w14:paraId="32CB895D" w14:textId="77777777" w:rsidTr="009D6F69">
        <w:tc>
          <w:tcPr>
            <w:tcW w:w="5220" w:type="dxa"/>
            <w:gridSpan w:val="2"/>
          </w:tcPr>
          <w:p w14:paraId="327A5916" w14:textId="77777777" w:rsidR="009659C5" w:rsidRPr="00D77CF3" w:rsidRDefault="009659C5" w:rsidP="009D6F69">
            <w:pPr>
              <w:spacing w:before="60" w:after="60"/>
              <w:jc w:val="both"/>
              <w:rPr>
                <w:rFonts w:ascii="Arial" w:hAnsi="Arial" w:cs="Arial"/>
                <w:b/>
                <w:i/>
                <w:sz w:val="22"/>
                <w:szCs w:val="22"/>
              </w:rPr>
            </w:pPr>
            <w:r w:rsidRPr="00D77CF3">
              <w:rPr>
                <w:rFonts w:ascii="Arial" w:hAnsi="Arial" w:cs="Arial"/>
                <w:b/>
                <w:i/>
                <w:sz w:val="22"/>
                <w:szCs w:val="22"/>
              </w:rPr>
              <w:t>Measures</w:t>
            </w:r>
          </w:p>
        </w:tc>
        <w:tc>
          <w:tcPr>
            <w:tcW w:w="5220" w:type="dxa"/>
            <w:gridSpan w:val="2"/>
          </w:tcPr>
          <w:p w14:paraId="1AB87E21" w14:textId="77777777" w:rsidR="009659C5" w:rsidRPr="00D77CF3" w:rsidRDefault="009659C5" w:rsidP="009D6F69">
            <w:pPr>
              <w:spacing w:before="60" w:after="60"/>
              <w:jc w:val="both"/>
              <w:rPr>
                <w:rFonts w:ascii="Arial" w:hAnsi="Arial" w:cs="Arial"/>
                <w:b/>
                <w:i/>
                <w:sz w:val="22"/>
                <w:szCs w:val="22"/>
              </w:rPr>
            </w:pPr>
            <w:r w:rsidRPr="00D77CF3">
              <w:rPr>
                <w:rFonts w:ascii="Arial" w:hAnsi="Arial" w:cs="Arial"/>
                <w:b/>
                <w:i/>
                <w:sz w:val="22"/>
                <w:szCs w:val="22"/>
              </w:rPr>
              <w:t>Reporting</w:t>
            </w:r>
          </w:p>
        </w:tc>
      </w:tr>
      <w:tr w:rsidR="009659C5" w:rsidRPr="00D77CF3" w14:paraId="5FDE1DD7" w14:textId="77777777" w:rsidTr="009D6F69">
        <w:tc>
          <w:tcPr>
            <w:tcW w:w="1368" w:type="dxa"/>
          </w:tcPr>
          <w:p w14:paraId="4561724D"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Type:</w:t>
            </w:r>
          </w:p>
        </w:tc>
        <w:tc>
          <w:tcPr>
            <w:tcW w:w="3852" w:type="dxa"/>
          </w:tcPr>
          <w:p w14:paraId="466AD2AF" w14:textId="77777777" w:rsidR="009659C5" w:rsidRPr="00D77CF3" w:rsidRDefault="009659C5" w:rsidP="009D6F69">
            <w:pPr>
              <w:spacing w:before="60" w:after="60"/>
              <w:jc w:val="both"/>
              <w:rPr>
                <w:rFonts w:ascii="Arial" w:hAnsi="Arial" w:cs="Arial"/>
                <w:b/>
                <w:i/>
                <w:sz w:val="18"/>
                <w:szCs w:val="18"/>
              </w:rPr>
            </w:pPr>
            <w:r w:rsidRPr="00D77CF3">
              <w:rPr>
                <w:rFonts w:ascii="Arial" w:hAnsi="Arial" w:cs="Arial"/>
                <w:b/>
                <w:sz w:val="22"/>
                <w:szCs w:val="22"/>
              </w:rPr>
              <w:t>Output</w:t>
            </w:r>
          </w:p>
        </w:tc>
        <w:tc>
          <w:tcPr>
            <w:tcW w:w="2434" w:type="dxa"/>
          </w:tcPr>
          <w:p w14:paraId="0B214DD5"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Type:</w:t>
            </w:r>
          </w:p>
        </w:tc>
        <w:tc>
          <w:tcPr>
            <w:tcW w:w="2786" w:type="dxa"/>
          </w:tcPr>
          <w:p w14:paraId="17B39815"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Data and exception</w:t>
            </w:r>
          </w:p>
        </w:tc>
      </w:tr>
      <w:tr w:rsidR="009659C5" w:rsidRPr="00D77CF3" w14:paraId="41C40D19" w14:textId="77777777" w:rsidTr="009D6F69">
        <w:tc>
          <w:tcPr>
            <w:tcW w:w="1368" w:type="dxa"/>
          </w:tcPr>
          <w:p w14:paraId="672BB47E"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Target:</w:t>
            </w:r>
          </w:p>
        </w:tc>
        <w:tc>
          <w:tcPr>
            <w:tcW w:w="3852" w:type="dxa"/>
          </w:tcPr>
          <w:p w14:paraId="12B83B7D"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95%</w:t>
            </w:r>
          </w:p>
        </w:tc>
        <w:tc>
          <w:tcPr>
            <w:tcW w:w="2434" w:type="dxa"/>
          </w:tcPr>
          <w:p w14:paraId="40CEEB99"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Reporting frequency:</w:t>
            </w:r>
          </w:p>
        </w:tc>
        <w:tc>
          <w:tcPr>
            <w:tcW w:w="2786" w:type="dxa"/>
          </w:tcPr>
          <w:p w14:paraId="5D312778" w14:textId="77777777" w:rsidR="009659C5" w:rsidRPr="00D77CF3" w:rsidRDefault="009659C5" w:rsidP="009D6F69">
            <w:pPr>
              <w:tabs>
                <w:tab w:val="center" w:pos="1285"/>
              </w:tabs>
              <w:spacing w:before="60" w:after="60"/>
              <w:jc w:val="both"/>
              <w:rPr>
                <w:rFonts w:ascii="Arial" w:hAnsi="Arial" w:cs="Arial"/>
                <w:sz w:val="22"/>
                <w:szCs w:val="22"/>
              </w:rPr>
            </w:pPr>
            <w:r w:rsidRPr="00D77CF3">
              <w:rPr>
                <w:rFonts w:ascii="Arial" w:hAnsi="Arial" w:cs="Arial"/>
                <w:sz w:val="22"/>
                <w:szCs w:val="22"/>
              </w:rPr>
              <w:t>Quarterly</w:t>
            </w:r>
          </w:p>
        </w:tc>
      </w:tr>
      <w:tr w:rsidR="009659C5" w:rsidRPr="00D77CF3" w14:paraId="7C35E808" w14:textId="77777777" w:rsidTr="009D6F69">
        <w:tc>
          <w:tcPr>
            <w:tcW w:w="5220" w:type="dxa"/>
            <w:gridSpan w:val="2"/>
          </w:tcPr>
          <w:p w14:paraId="19373E25" w14:textId="77777777" w:rsidR="009659C5" w:rsidRPr="00D77CF3" w:rsidRDefault="009659C5" w:rsidP="009D6F69">
            <w:pPr>
              <w:spacing w:before="60" w:after="60"/>
              <w:jc w:val="both"/>
              <w:rPr>
                <w:rFonts w:ascii="Arial" w:hAnsi="Arial" w:cs="Arial"/>
                <w:b/>
                <w:i/>
                <w:sz w:val="22"/>
                <w:szCs w:val="22"/>
              </w:rPr>
            </w:pPr>
            <w:r w:rsidRPr="00D77CF3">
              <w:rPr>
                <w:rFonts w:ascii="Arial" w:hAnsi="Arial" w:cs="Arial"/>
                <w:b/>
                <w:i/>
                <w:sz w:val="22"/>
                <w:szCs w:val="22"/>
              </w:rPr>
              <w:t>Source data/template for reporting provided by:</w:t>
            </w:r>
          </w:p>
        </w:tc>
        <w:tc>
          <w:tcPr>
            <w:tcW w:w="5220" w:type="dxa"/>
            <w:gridSpan w:val="2"/>
          </w:tcPr>
          <w:p w14:paraId="7757BE8C" w14:textId="77777777" w:rsidR="009659C5" w:rsidRPr="00D77CF3" w:rsidRDefault="009659C5" w:rsidP="009D6F69">
            <w:pPr>
              <w:spacing w:before="60" w:after="60"/>
              <w:jc w:val="both"/>
              <w:rPr>
                <w:rFonts w:ascii="Arial" w:hAnsi="Arial" w:cs="Arial"/>
                <w:i/>
                <w:sz w:val="22"/>
                <w:szCs w:val="22"/>
              </w:rPr>
            </w:pPr>
            <w:r w:rsidRPr="00D77CF3">
              <w:rPr>
                <w:rFonts w:ascii="Arial" w:hAnsi="Arial" w:cs="Arial"/>
                <w:i/>
                <w:sz w:val="22"/>
                <w:szCs w:val="22"/>
              </w:rPr>
              <w:t>Data provided by DHBs, template on NSFL</w:t>
            </w:r>
          </w:p>
        </w:tc>
      </w:tr>
    </w:tbl>
    <w:p w14:paraId="3B137FC1" w14:textId="77777777" w:rsidR="009659C5" w:rsidRPr="00D77CF3" w:rsidRDefault="009659C5" w:rsidP="009659C5">
      <w:pPr>
        <w:spacing w:before="60" w:after="60"/>
        <w:rPr>
          <w:rFonts w:ascii="Arial" w:hAnsi="Arial" w:cs="Arial"/>
          <w:sz w:val="22"/>
          <w:szCs w:val="22"/>
        </w:rPr>
      </w:pPr>
    </w:p>
    <w:p w14:paraId="7618EAE6" w14:textId="77777777" w:rsidR="009659C5" w:rsidRPr="00D77CF3" w:rsidRDefault="009659C5" w:rsidP="009659C5">
      <w:pPr>
        <w:spacing w:before="60" w:after="60"/>
        <w:jc w:val="both"/>
        <w:rPr>
          <w:rFonts w:ascii="Arial" w:hAnsi="Arial" w:cs="Arial"/>
          <w:b/>
          <w:szCs w:val="22"/>
        </w:rPr>
      </w:pPr>
      <w:r w:rsidRPr="00D77CF3">
        <w:rPr>
          <w:rFonts w:ascii="Arial" w:hAnsi="Arial" w:cs="Arial"/>
          <w:b/>
          <w:szCs w:val="22"/>
        </w:rPr>
        <w:t>Link to outcomes</w:t>
      </w:r>
    </w:p>
    <w:p w14:paraId="34F866F3" w14:textId="77777777" w:rsidR="009659C5" w:rsidRPr="0072302C" w:rsidRDefault="009659C5" w:rsidP="009659C5">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3892599C" w14:textId="77777777" w:rsidR="009659C5" w:rsidRPr="0018086E" w:rsidRDefault="009659C5" w:rsidP="009659C5">
      <w:pPr>
        <w:spacing w:before="60" w:after="60"/>
        <w:jc w:val="both"/>
        <w:rPr>
          <w:rFonts w:ascii="Arial" w:hAnsi="Arial" w:cs="Arial"/>
          <w:sz w:val="22"/>
          <w:szCs w:val="22"/>
        </w:rPr>
      </w:pPr>
      <w:r w:rsidRPr="0018086E">
        <w:rPr>
          <w:rFonts w:ascii="Arial" w:hAnsi="Arial" w:cs="Arial"/>
          <w:sz w:val="22"/>
          <w:szCs w:val="22"/>
        </w:rPr>
        <w:t xml:space="preserve">By </w:t>
      </w:r>
      <w:r>
        <w:rPr>
          <w:rFonts w:ascii="Arial" w:hAnsi="Arial" w:cs="Arial"/>
          <w:sz w:val="22"/>
          <w:szCs w:val="22"/>
        </w:rPr>
        <w:t xml:space="preserve">delivering shorter stays in emergency departments DHBs </w:t>
      </w:r>
      <w:r w:rsidRPr="0018086E">
        <w:rPr>
          <w:rFonts w:ascii="Arial" w:hAnsi="Arial" w:cs="Arial"/>
          <w:sz w:val="22"/>
          <w:szCs w:val="22"/>
        </w:rPr>
        <w:t xml:space="preserve">will assist in delivery of Government's priority to support healthier, </w:t>
      </w:r>
      <w:proofErr w:type="gramStart"/>
      <w:r w:rsidRPr="0018086E">
        <w:rPr>
          <w:rFonts w:ascii="Arial" w:hAnsi="Arial" w:cs="Arial"/>
          <w:sz w:val="22"/>
          <w:szCs w:val="22"/>
        </w:rPr>
        <w:t>safer</w:t>
      </w:r>
      <w:proofErr w:type="gramEnd"/>
      <w:r w:rsidRPr="0018086E">
        <w:rPr>
          <w:rFonts w:ascii="Arial" w:hAnsi="Arial" w:cs="Arial"/>
          <w:sz w:val="22"/>
          <w:szCs w:val="22"/>
        </w:rPr>
        <w:t xml:space="preserve"> and more connected communities and our health system outcome</w:t>
      </w:r>
      <w:r>
        <w:rPr>
          <w:rFonts w:ascii="Arial" w:hAnsi="Arial" w:cs="Arial"/>
          <w:sz w:val="22"/>
          <w:szCs w:val="22"/>
        </w:rPr>
        <w:t xml:space="preserve"> that we have improved quality of life.</w:t>
      </w:r>
    </w:p>
    <w:p w14:paraId="61848DA3" w14:textId="77777777" w:rsidR="009659C5" w:rsidRPr="00D77CF3" w:rsidRDefault="009659C5" w:rsidP="009659C5">
      <w:pPr>
        <w:spacing w:before="60" w:after="60"/>
        <w:jc w:val="both"/>
        <w:rPr>
          <w:rFonts w:ascii="Arial" w:hAnsi="Arial" w:cs="Arial"/>
          <w:sz w:val="22"/>
          <w:szCs w:val="22"/>
          <w:lang w:val="en-GB"/>
        </w:rPr>
      </w:pPr>
      <w:r w:rsidRPr="00D77CF3">
        <w:rPr>
          <w:rFonts w:ascii="Arial" w:hAnsi="Arial" w:cs="Arial"/>
          <w:sz w:val="22"/>
          <w:szCs w:val="22"/>
        </w:rPr>
        <w:t xml:space="preserve">Delivery against this measure supports the health and disability system outcome of ‘New Zealanders living longer, healthier and more independent </w:t>
      </w:r>
      <w:proofErr w:type="gramStart"/>
      <w:r w:rsidRPr="00D77CF3">
        <w:rPr>
          <w:rFonts w:ascii="Arial" w:hAnsi="Arial" w:cs="Arial"/>
          <w:sz w:val="22"/>
          <w:szCs w:val="22"/>
        </w:rPr>
        <w:t>lives’</w:t>
      </w:r>
      <w:proofErr w:type="gramEnd"/>
      <w:r w:rsidRPr="00D77CF3">
        <w:rPr>
          <w:rFonts w:ascii="Arial" w:hAnsi="Arial" w:cs="Arial"/>
          <w:sz w:val="22"/>
          <w:szCs w:val="22"/>
        </w:rPr>
        <w:t xml:space="preserve">. Long stays in emergency departments (EDs) are linked to overcrowding of the ED, negative clinical outcomes and compromised standards of privacy and dignity for patients.  Less time spent waiting and receiving treatment in the emergency department therefore improves the health services DHBs are able to provide.  It also impacts on the Ministerial priority of improved hospital productivity by ensuring resources are used effectively and efficiently.  Reducing ED length of stay will improve the public’s confidence in being able to access services when they need to, increasing their level of trust in health services, as well as improving the outcomes from those services.  </w:t>
      </w:r>
    </w:p>
    <w:p w14:paraId="353A897F" w14:textId="77777777" w:rsidR="009659C5" w:rsidRPr="00D77CF3" w:rsidRDefault="009659C5" w:rsidP="009659C5">
      <w:pPr>
        <w:spacing w:before="60" w:after="60"/>
        <w:jc w:val="both"/>
        <w:rPr>
          <w:rFonts w:ascii="Arial" w:hAnsi="Arial" w:cs="Arial"/>
          <w:sz w:val="22"/>
          <w:szCs w:val="22"/>
        </w:rPr>
      </w:pPr>
    </w:p>
    <w:p w14:paraId="21B99A77"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 xml:space="preserve">Increasing performance on this measure will also result in a more unified health and disability system, because a coordinated, whole of system response is needed to address the factors across the whole system that influence ED length of stay.  Through the intermediate outcomes the target contributes to the </w:t>
      </w:r>
      <w:proofErr w:type="gramStart"/>
      <w:r w:rsidRPr="00D77CF3">
        <w:rPr>
          <w:rFonts w:ascii="Arial" w:hAnsi="Arial" w:cs="Arial"/>
          <w:sz w:val="22"/>
          <w:szCs w:val="22"/>
        </w:rPr>
        <w:t>high level</w:t>
      </w:r>
      <w:proofErr w:type="gramEnd"/>
      <w:r w:rsidRPr="00D77CF3">
        <w:rPr>
          <w:rFonts w:ascii="Arial" w:hAnsi="Arial" w:cs="Arial"/>
          <w:sz w:val="22"/>
          <w:szCs w:val="22"/>
        </w:rPr>
        <w:t xml:space="preserve"> outcome of New Zealanders living longer, healthier and more independent lives</w:t>
      </w:r>
    </w:p>
    <w:p w14:paraId="68678C16" w14:textId="77777777" w:rsidR="009659C5" w:rsidRPr="00D77CF3" w:rsidRDefault="009659C5" w:rsidP="009659C5">
      <w:pPr>
        <w:spacing w:before="60" w:after="60"/>
        <w:jc w:val="both"/>
        <w:rPr>
          <w:rFonts w:ascii="Arial" w:hAnsi="Arial" w:cs="Arial"/>
          <w:sz w:val="22"/>
          <w:szCs w:val="22"/>
        </w:rPr>
      </w:pPr>
    </w:p>
    <w:p w14:paraId="6776256C"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The following actions and activities are examples of initiatives that have a proven impact on this measure:</w:t>
      </w:r>
    </w:p>
    <w:p w14:paraId="3A867C9F" w14:textId="77777777" w:rsidR="009659C5" w:rsidRPr="00D77CF3" w:rsidRDefault="009659C5" w:rsidP="00C04FF1">
      <w:pPr>
        <w:numPr>
          <w:ilvl w:val="0"/>
          <w:numId w:val="65"/>
        </w:numPr>
        <w:spacing w:before="60" w:after="60"/>
        <w:jc w:val="both"/>
        <w:rPr>
          <w:rFonts w:ascii="Arial" w:hAnsi="Arial" w:cs="Arial"/>
          <w:sz w:val="22"/>
          <w:szCs w:val="22"/>
        </w:rPr>
      </w:pPr>
      <w:r w:rsidRPr="00D77CF3">
        <w:rPr>
          <w:rFonts w:ascii="Arial" w:hAnsi="Arial" w:cs="Arial"/>
          <w:sz w:val="22"/>
          <w:szCs w:val="22"/>
        </w:rPr>
        <w:t>Good diagnostic work to identify the main factors impacting on ED length of stay, therefore ensuring that the main bottlenecks and constraints are addressed first.</w:t>
      </w:r>
    </w:p>
    <w:p w14:paraId="5467B82D" w14:textId="77777777" w:rsidR="009659C5" w:rsidRPr="00D77CF3" w:rsidRDefault="009659C5" w:rsidP="00C04FF1">
      <w:pPr>
        <w:numPr>
          <w:ilvl w:val="0"/>
          <w:numId w:val="65"/>
        </w:numPr>
        <w:spacing w:before="60" w:after="60"/>
        <w:jc w:val="both"/>
        <w:rPr>
          <w:rFonts w:ascii="Arial" w:hAnsi="Arial" w:cs="Arial"/>
          <w:sz w:val="22"/>
          <w:szCs w:val="22"/>
        </w:rPr>
      </w:pPr>
      <w:r w:rsidRPr="00D77CF3">
        <w:rPr>
          <w:rFonts w:ascii="Arial" w:hAnsi="Arial" w:cs="Arial"/>
          <w:sz w:val="22"/>
          <w:szCs w:val="22"/>
        </w:rPr>
        <w:t xml:space="preserve">Implementing programmes such as </w:t>
      </w:r>
      <w:r w:rsidRPr="00D77CF3">
        <w:rPr>
          <w:rFonts w:ascii="Arial" w:hAnsi="Arial" w:cs="Arial"/>
          <w:i/>
          <w:sz w:val="22"/>
          <w:szCs w:val="22"/>
        </w:rPr>
        <w:t>The Productive Ward – Releasing Time to Care</w:t>
      </w:r>
      <w:r w:rsidRPr="00D77CF3">
        <w:rPr>
          <w:rFonts w:ascii="Arial" w:hAnsi="Arial" w:cs="Arial"/>
          <w:sz w:val="22"/>
          <w:szCs w:val="22"/>
        </w:rPr>
        <w:t xml:space="preserve"> or </w:t>
      </w:r>
      <w:r w:rsidRPr="00D77CF3">
        <w:rPr>
          <w:rFonts w:ascii="Arial" w:hAnsi="Arial" w:cs="Arial"/>
          <w:i/>
          <w:sz w:val="22"/>
          <w:szCs w:val="22"/>
        </w:rPr>
        <w:t>Optimising the Patient Journey</w:t>
      </w:r>
      <w:r w:rsidRPr="00D77CF3">
        <w:rPr>
          <w:rFonts w:ascii="Arial" w:hAnsi="Arial" w:cs="Arial"/>
          <w:sz w:val="22"/>
          <w:szCs w:val="22"/>
        </w:rPr>
        <w:t xml:space="preserve"> which, among other things, help to improve the flow from ED through the hospital by freeing up resources.  </w:t>
      </w:r>
    </w:p>
    <w:p w14:paraId="2A117D13" w14:textId="77777777" w:rsidR="009659C5" w:rsidRPr="00D77CF3" w:rsidRDefault="009659C5" w:rsidP="00C04FF1">
      <w:pPr>
        <w:numPr>
          <w:ilvl w:val="0"/>
          <w:numId w:val="65"/>
        </w:numPr>
        <w:spacing w:before="60" w:after="60"/>
        <w:jc w:val="both"/>
        <w:rPr>
          <w:rFonts w:ascii="Arial" w:hAnsi="Arial" w:cs="Arial"/>
          <w:sz w:val="22"/>
          <w:szCs w:val="22"/>
        </w:rPr>
      </w:pPr>
      <w:r w:rsidRPr="00D77CF3">
        <w:rPr>
          <w:rFonts w:ascii="Arial" w:hAnsi="Arial" w:cs="Arial"/>
          <w:sz w:val="22"/>
          <w:szCs w:val="22"/>
        </w:rPr>
        <w:t xml:space="preserve">Organising services differently so that non urgent cases can be treated more quickly. </w:t>
      </w:r>
    </w:p>
    <w:p w14:paraId="7BF81CDD" w14:textId="77777777" w:rsidR="009659C5" w:rsidRPr="00D77CF3" w:rsidRDefault="009659C5" w:rsidP="00C04FF1">
      <w:pPr>
        <w:numPr>
          <w:ilvl w:val="0"/>
          <w:numId w:val="65"/>
        </w:numPr>
        <w:spacing w:before="60" w:after="60"/>
        <w:jc w:val="both"/>
        <w:rPr>
          <w:rFonts w:ascii="Arial" w:hAnsi="Arial" w:cs="Arial"/>
          <w:sz w:val="22"/>
          <w:szCs w:val="22"/>
        </w:rPr>
      </w:pPr>
      <w:r w:rsidRPr="00D77CF3">
        <w:rPr>
          <w:rFonts w:ascii="Arial" w:hAnsi="Arial" w:cs="Arial"/>
          <w:sz w:val="22"/>
          <w:szCs w:val="22"/>
        </w:rPr>
        <w:t>Improving the pathways that patients take through the community, ED and hospital when getting treated for common conditions.</w:t>
      </w:r>
    </w:p>
    <w:p w14:paraId="787837C1" w14:textId="77777777" w:rsidR="009659C5" w:rsidRPr="00D77CF3" w:rsidRDefault="009659C5" w:rsidP="00C04FF1">
      <w:pPr>
        <w:numPr>
          <w:ilvl w:val="0"/>
          <w:numId w:val="65"/>
        </w:numPr>
        <w:spacing w:before="60" w:after="60"/>
        <w:jc w:val="both"/>
        <w:rPr>
          <w:rFonts w:ascii="Arial" w:hAnsi="Arial" w:cs="Arial"/>
          <w:sz w:val="22"/>
          <w:szCs w:val="22"/>
        </w:rPr>
      </w:pPr>
      <w:r w:rsidRPr="00D77CF3">
        <w:rPr>
          <w:rFonts w:ascii="Arial" w:hAnsi="Arial" w:cs="Arial"/>
          <w:sz w:val="22"/>
          <w:szCs w:val="22"/>
        </w:rPr>
        <w:t>Improving hospital processes, like the discharging of patients, to help free up hospital beds that patients can move into after their ED treatment.</w:t>
      </w:r>
    </w:p>
    <w:p w14:paraId="36FFCF7D" w14:textId="77777777" w:rsidR="009659C5" w:rsidRPr="00D77CF3" w:rsidRDefault="009659C5" w:rsidP="004D05BD">
      <w:pPr>
        <w:spacing w:before="60" w:after="60"/>
        <w:ind w:left="720"/>
        <w:jc w:val="both"/>
        <w:rPr>
          <w:rFonts w:ascii="Arial" w:hAnsi="Arial" w:cs="Arial"/>
          <w:sz w:val="22"/>
          <w:szCs w:val="22"/>
        </w:rPr>
      </w:pPr>
    </w:p>
    <w:p w14:paraId="0EC7C94D" w14:textId="77777777" w:rsidR="009659C5" w:rsidRDefault="009659C5" w:rsidP="009659C5">
      <w:pPr>
        <w:pBdr>
          <w:top w:val="single" w:sz="12" w:space="1" w:color="auto"/>
        </w:pBdr>
        <w:spacing w:before="60" w:after="60"/>
        <w:rPr>
          <w:rFonts w:ascii="Arial" w:hAnsi="Arial" w:cs="Arial"/>
          <w:b/>
          <w:szCs w:val="22"/>
        </w:rPr>
      </w:pPr>
    </w:p>
    <w:p w14:paraId="21824F1D" w14:textId="77777777" w:rsidR="009659C5" w:rsidRDefault="009659C5" w:rsidP="009659C5">
      <w:pPr>
        <w:pBdr>
          <w:top w:val="single" w:sz="12" w:space="1" w:color="auto"/>
        </w:pBdr>
        <w:spacing w:before="60" w:after="60"/>
        <w:rPr>
          <w:rFonts w:ascii="Arial" w:hAnsi="Arial" w:cs="Arial"/>
          <w:b/>
          <w:szCs w:val="22"/>
        </w:rPr>
      </w:pPr>
    </w:p>
    <w:p w14:paraId="1F21D198" w14:textId="77777777" w:rsidR="009659C5" w:rsidRPr="00D77CF3" w:rsidRDefault="009659C5" w:rsidP="009659C5">
      <w:pPr>
        <w:pBdr>
          <w:top w:val="single" w:sz="12" w:space="1" w:color="auto"/>
        </w:pBdr>
        <w:spacing w:before="60" w:after="60"/>
        <w:rPr>
          <w:rFonts w:ascii="Arial" w:hAnsi="Arial" w:cs="Arial"/>
          <w:b/>
          <w:szCs w:val="22"/>
        </w:rPr>
      </w:pPr>
      <w:r w:rsidRPr="00D77CF3">
        <w:rPr>
          <w:rFonts w:ascii="Arial" w:hAnsi="Arial" w:cs="Arial"/>
          <w:b/>
          <w:szCs w:val="22"/>
        </w:rPr>
        <w:lastRenderedPageBreak/>
        <w:t>Deliverables</w:t>
      </w:r>
    </w:p>
    <w:p w14:paraId="6F7287B0" w14:textId="77777777" w:rsidR="009659C5" w:rsidRPr="00D77CF3" w:rsidRDefault="009659C5" w:rsidP="009659C5">
      <w:pPr>
        <w:jc w:val="both"/>
        <w:rPr>
          <w:rFonts w:ascii="Arial" w:hAnsi="Arial"/>
          <w:sz w:val="22"/>
          <w:szCs w:val="22"/>
        </w:rPr>
      </w:pPr>
      <w:r w:rsidRPr="00D77CF3">
        <w:rPr>
          <w:rFonts w:ascii="Arial" w:hAnsi="Arial"/>
          <w:sz w:val="22"/>
          <w:szCs w:val="22"/>
        </w:rPr>
        <w:t xml:space="preserve">Each DHB will be required to submit the following data to the Ministry on a quarterly basis for each of their ED facilities of level 3 and above, and some agreed level 2 facilities: </w:t>
      </w:r>
    </w:p>
    <w:p w14:paraId="17CC521E" w14:textId="77777777" w:rsidR="009659C5" w:rsidRPr="00D77CF3" w:rsidRDefault="009659C5" w:rsidP="009659C5">
      <w:pPr>
        <w:jc w:val="both"/>
        <w:rPr>
          <w:rFonts w:ascii="Arial" w:hAnsi="Arial"/>
          <w:sz w:val="22"/>
          <w:szCs w:val="22"/>
        </w:rPr>
      </w:pPr>
    </w:p>
    <w:p w14:paraId="14770106" w14:textId="77777777" w:rsidR="009659C5" w:rsidRPr="00D77CF3" w:rsidRDefault="009659C5" w:rsidP="00C04FF1">
      <w:pPr>
        <w:numPr>
          <w:ilvl w:val="0"/>
          <w:numId w:val="69"/>
        </w:numPr>
        <w:tabs>
          <w:tab w:val="num" w:pos="540"/>
        </w:tabs>
        <w:ind w:left="540"/>
        <w:jc w:val="both"/>
        <w:rPr>
          <w:rFonts w:ascii="Arial" w:hAnsi="Arial"/>
          <w:sz w:val="22"/>
          <w:szCs w:val="22"/>
        </w:rPr>
      </w:pPr>
      <w:r w:rsidRPr="00D77CF3">
        <w:rPr>
          <w:rFonts w:ascii="Arial" w:hAnsi="Arial"/>
          <w:i/>
          <w:sz w:val="22"/>
          <w:szCs w:val="22"/>
        </w:rPr>
        <w:t>Numerator:</w:t>
      </w:r>
      <w:r w:rsidRPr="00D77CF3">
        <w:rPr>
          <w:rFonts w:ascii="Arial" w:hAnsi="Arial"/>
          <w:sz w:val="22"/>
          <w:szCs w:val="22"/>
        </w:rPr>
        <w:t xml:space="preserve"> number of patient presentations to the ED with an ED length of stay less than six hours, and </w:t>
      </w:r>
    </w:p>
    <w:p w14:paraId="346EF888" w14:textId="77777777" w:rsidR="009659C5" w:rsidRPr="00D77CF3" w:rsidRDefault="009659C5" w:rsidP="00C04FF1">
      <w:pPr>
        <w:numPr>
          <w:ilvl w:val="0"/>
          <w:numId w:val="69"/>
        </w:numPr>
        <w:tabs>
          <w:tab w:val="num" w:pos="540"/>
        </w:tabs>
        <w:ind w:left="540"/>
        <w:jc w:val="both"/>
        <w:rPr>
          <w:rFonts w:ascii="Arial" w:hAnsi="Arial"/>
          <w:sz w:val="22"/>
          <w:szCs w:val="22"/>
        </w:rPr>
      </w:pPr>
      <w:r w:rsidRPr="00D77CF3">
        <w:rPr>
          <w:rFonts w:ascii="Arial" w:hAnsi="Arial"/>
          <w:i/>
          <w:sz w:val="22"/>
          <w:szCs w:val="22"/>
        </w:rPr>
        <w:t>Denominator:</w:t>
      </w:r>
      <w:r w:rsidRPr="00D77CF3">
        <w:rPr>
          <w:rFonts w:ascii="Arial" w:hAnsi="Arial"/>
          <w:sz w:val="22"/>
          <w:szCs w:val="22"/>
        </w:rPr>
        <w:t xml:space="preserve"> number of patient presentations to the ED.  </w:t>
      </w:r>
    </w:p>
    <w:p w14:paraId="20413979" w14:textId="77777777" w:rsidR="009659C5" w:rsidRPr="00D77CF3" w:rsidRDefault="009659C5" w:rsidP="009659C5">
      <w:pPr>
        <w:jc w:val="both"/>
        <w:rPr>
          <w:rFonts w:ascii="Arial" w:hAnsi="Arial"/>
          <w:sz w:val="22"/>
          <w:szCs w:val="22"/>
        </w:rPr>
      </w:pPr>
    </w:p>
    <w:p w14:paraId="0146960D" w14:textId="77777777" w:rsidR="009659C5" w:rsidRPr="00D77CF3" w:rsidRDefault="009659C5" w:rsidP="009659C5">
      <w:pPr>
        <w:autoSpaceDE w:val="0"/>
        <w:autoSpaceDN w:val="0"/>
        <w:adjustRightInd w:val="0"/>
        <w:spacing w:before="120" w:after="120"/>
        <w:jc w:val="both"/>
        <w:rPr>
          <w:rFonts w:ascii="Arial" w:hAnsi="Arial" w:cs="Arial"/>
          <w:b/>
          <w:bCs/>
          <w:color w:val="000000"/>
          <w:sz w:val="22"/>
          <w:szCs w:val="22"/>
          <w:u w:val="single"/>
        </w:rPr>
      </w:pPr>
      <w:r w:rsidRPr="00D77CF3">
        <w:rPr>
          <w:rFonts w:ascii="Arial" w:hAnsi="Arial"/>
          <w:sz w:val="22"/>
          <w:szCs w:val="22"/>
        </w:rPr>
        <w:t>A reporting template will be supplied by the Ministry for the reporting of this data.</w:t>
      </w:r>
      <w:r w:rsidRPr="00D77CF3">
        <w:rPr>
          <w:rFonts w:ascii="Arial" w:hAnsi="Arial" w:cs="Arial"/>
          <w:b/>
          <w:bCs/>
          <w:color w:val="000000"/>
          <w:sz w:val="22"/>
          <w:szCs w:val="22"/>
          <w:u w:val="single"/>
        </w:rPr>
        <w:t xml:space="preserve"> Information is to be reported for total DHB population, </w:t>
      </w:r>
      <w:proofErr w:type="gramStart"/>
      <w:r w:rsidRPr="00D77CF3">
        <w:rPr>
          <w:rFonts w:ascii="Arial" w:hAnsi="Arial" w:cs="Arial"/>
          <w:b/>
          <w:bCs/>
          <w:color w:val="000000"/>
          <w:sz w:val="22"/>
          <w:szCs w:val="22"/>
          <w:u w:val="single"/>
        </w:rPr>
        <w:t>Māori</w:t>
      </w:r>
      <w:proofErr w:type="gramEnd"/>
      <w:r w:rsidRPr="00D77CF3">
        <w:rPr>
          <w:rFonts w:ascii="Arial" w:hAnsi="Arial" w:cs="Arial"/>
          <w:b/>
          <w:bCs/>
          <w:color w:val="000000"/>
          <w:sz w:val="22"/>
          <w:szCs w:val="22"/>
          <w:u w:val="single"/>
        </w:rPr>
        <w:t xml:space="preserve"> and Pacific.</w:t>
      </w:r>
    </w:p>
    <w:p w14:paraId="22DE4E15" w14:textId="77777777" w:rsidR="009659C5" w:rsidRPr="00D77CF3" w:rsidRDefault="009659C5" w:rsidP="009659C5">
      <w:pPr>
        <w:jc w:val="both"/>
        <w:rPr>
          <w:rFonts w:ascii="Arial" w:hAnsi="Arial"/>
          <w:sz w:val="22"/>
          <w:szCs w:val="22"/>
        </w:rPr>
      </w:pPr>
      <w:r w:rsidRPr="00D77CF3">
        <w:rPr>
          <w:rFonts w:ascii="Arial" w:hAnsi="Arial"/>
          <w:sz w:val="22"/>
          <w:szCs w:val="22"/>
        </w:rPr>
        <w:t>Those DHBs that do not meet the 95 percent target for the quarter must also provide narrative comment on:</w:t>
      </w:r>
    </w:p>
    <w:p w14:paraId="456642B3" w14:textId="77777777" w:rsidR="009659C5" w:rsidRPr="00D77CF3" w:rsidRDefault="009659C5" w:rsidP="00C04FF1">
      <w:pPr>
        <w:numPr>
          <w:ilvl w:val="0"/>
          <w:numId w:val="73"/>
        </w:numPr>
        <w:jc w:val="both"/>
        <w:rPr>
          <w:rFonts w:ascii="Arial" w:hAnsi="Arial"/>
          <w:sz w:val="22"/>
          <w:szCs w:val="22"/>
        </w:rPr>
      </w:pPr>
      <w:r w:rsidRPr="00D77CF3">
        <w:rPr>
          <w:rFonts w:ascii="Arial" w:hAnsi="Arial"/>
          <w:sz w:val="22"/>
          <w:szCs w:val="22"/>
        </w:rPr>
        <w:t>the activities undertaken during the quarter to meet the target and improve the quality of acute care</w:t>
      </w:r>
    </w:p>
    <w:p w14:paraId="7F199EA8" w14:textId="77777777" w:rsidR="009659C5" w:rsidRPr="00D77CF3" w:rsidRDefault="009659C5" w:rsidP="00C04FF1">
      <w:pPr>
        <w:numPr>
          <w:ilvl w:val="0"/>
          <w:numId w:val="73"/>
        </w:numPr>
        <w:jc w:val="both"/>
        <w:rPr>
          <w:rFonts w:ascii="Arial" w:hAnsi="Arial"/>
          <w:sz w:val="22"/>
          <w:szCs w:val="22"/>
        </w:rPr>
      </w:pPr>
      <w:r w:rsidRPr="00D77CF3">
        <w:rPr>
          <w:rFonts w:ascii="Arial" w:hAnsi="Arial"/>
          <w:sz w:val="22"/>
          <w:szCs w:val="22"/>
        </w:rPr>
        <w:t>any difficulties encountered during the quarter</w:t>
      </w:r>
    </w:p>
    <w:p w14:paraId="14E8A272" w14:textId="77777777" w:rsidR="009659C5" w:rsidRPr="00D77CF3" w:rsidRDefault="009659C5" w:rsidP="00C04FF1">
      <w:pPr>
        <w:numPr>
          <w:ilvl w:val="0"/>
          <w:numId w:val="73"/>
        </w:numPr>
        <w:jc w:val="both"/>
        <w:rPr>
          <w:rFonts w:ascii="Arial" w:hAnsi="Arial"/>
          <w:sz w:val="22"/>
          <w:szCs w:val="22"/>
        </w:rPr>
      </w:pPr>
      <w:r w:rsidRPr="00D77CF3">
        <w:rPr>
          <w:rFonts w:ascii="Arial" w:hAnsi="Arial"/>
          <w:sz w:val="22"/>
          <w:szCs w:val="22"/>
        </w:rPr>
        <w:t>the activities planned for the coming quarter to meet the target and improve the quality of acute care</w:t>
      </w:r>
    </w:p>
    <w:p w14:paraId="3BACBC5E" w14:textId="77777777" w:rsidR="009659C5" w:rsidRPr="00D77CF3" w:rsidRDefault="009659C5" w:rsidP="00C04FF1">
      <w:pPr>
        <w:numPr>
          <w:ilvl w:val="0"/>
          <w:numId w:val="73"/>
        </w:numPr>
        <w:jc w:val="both"/>
        <w:rPr>
          <w:rFonts w:ascii="Arial" w:hAnsi="Arial"/>
          <w:sz w:val="22"/>
          <w:szCs w:val="22"/>
        </w:rPr>
      </w:pPr>
      <w:r w:rsidRPr="00D77CF3">
        <w:rPr>
          <w:rFonts w:ascii="Arial" w:hAnsi="Arial"/>
          <w:sz w:val="22"/>
          <w:szCs w:val="22"/>
        </w:rPr>
        <w:t>their progress with implementing the ED Quality Framework.</w:t>
      </w:r>
    </w:p>
    <w:p w14:paraId="6CC32A87" w14:textId="77777777" w:rsidR="009659C5" w:rsidRPr="00D77CF3" w:rsidRDefault="009659C5" w:rsidP="009659C5">
      <w:pPr>
        <w:jc w:val="both"/>
        <w:rPr>
          <w:rFonts w:ascii="Arial" w:hAnsi="Arial"/>
          <w:sz w:val="22"/>
          <w:szCs w:val="22"/>
        </w:rPr>
      </w:pPr>
    </w:p>
    <w:p w14:paraId="164368B8" w14:textId="77777777" w:rsidR="009659C5" w:rsidRPr="00D77CF3" w:rsidRDefault="009659C5" w:rsidP="009659C5">
      <w:pPr>
        <w:spacing w:after="60"/>
        <w:jc w:val="both"/>
        <w:rPr>
          <w:rFonts w:ascii="Arial" w:hAnsi="Arial"/>
          <w:b/>
          <w:i/>
          <w:sz w:val="22"/>
          <w:szCs w:val="22"/>
        </w:rPr>
      </w:pPr>
      <w:r w:rsidRPr="00D77CF3">
        <w:rPr>
          <w:rFonts w:ascii="Arial" w:hAnsi="Arial"/>
          <w:b/>
          <w:i/>
          <w:sz w:val="22"/>
          <w:szCs w:val="22"/>
        </w:rPr>
        <w:t xml:space="preserve">National Non-Admitted Patient Collection (NNPAC) </w:t>
      </w:r>
    </w:p>
    <w:p w14:paraId="33150F12" w14:textId="77777777" w:rsidR="009659C5" w:rsidRPr="00D77CF3" w:rsidRDefault="009659C5" w:rsidP="009659C5">
      <w:pPr>
        <w:jc w:val="both"/>
        <w:rPr>
          <w:rFonts w:ascii="Arial" w:hAnsi="Arial" w:cs="Arial"/>
          <w:sz w:val="22"/>
          <w:szCs w:val="22"/>
          <w:lang w:val="en-GB"/>
        </w:rPr>
      </w:pPr>
      <w:r w:rsidRPr="00D77CF3">
        <w:rPr>
          <w:rFonts w:ascii="Arial" w:hAnsi="Arial"/>
          <w:sz w:val="22"/>
          <w:szCs w:val="22"/>
        </w:rPr>
        <w:t xml:space="preserve">Since 1 July 2009 the National Non-Admitted Patient Collection (NNPAC) database has included fields for the recording of data relating to the Shorter Stays in ED Health Target.  The Ministry will continue to compare the numerator and denominator data provided each quarter by DHBs with the corresponding data obtained from NNPAC.  The Ministry </w:t>
      </w:r>
      <w:r w:rsidRPr="00D77CF3">
        <w:rPr>
          <w:rFonts w:ascii="Arial" w:hAnsi="Arial" w:cs="Arial"/>
          <w:sz w:val="22"/>
          <w:szCs w:val="22"/>
          <w:lang w:val="en-GB"/>
        </w:rPr>
        <w:t>will then engage as needed with DHBs outside of the reporting process to examine and rectify any differences between these data sources.</w:t>
      </w:r>
    </w:p>
    <w:p w14:paraId="49EFF02B" w14:textId="77777777" w:rsidR="009659C5" w:rsidRPr="00D77CF3" w:rsidRDefault="009659C5" w:rsidP="009659C5">
      <w:pPr>
        <w:spacing w:before="60" w:after="60"/>
        <w:jc w:val="both"/>
        <w:rPr>
          <w:rFonts w:ascii="Arial" w:hAnsi="Arial"/>
          <w:sz w:val="22"/>
          <w:szCs w:val="22"/>
        </w:rPr>
      </w:pPr>
    </w:p>
    <w:p w14:paraId="14DD782B" w14:textId="77777777" w:rsidR="009659C5" w:rsidRPr="00D77CF3" w:rsidRDefault="009659C5" w:rsidP="009659C5">
      <w:pPr>
        <w:spacing w:before="60" w:after="60"/>
        <w:jc w:val="both"/>
        <w:rPr>
          <w:rFonts w:ascii="Arial" w:hAnsi="Arial"/>
          <w:b/>
        </w:rPr>
      </w:pPr>
      <w:r w:rsidRPr="00D77CF3">
        <w:rPr>
          <w:rFonts w:ascii="Arial" w:hAnsi="Arial"/>
          <w:b/>
        </w:rPr>
        <w:t>Definitions</w:t>
      </w:r>
    </w:p>
    <w:p w14:paraId="0F57B53C" w14:textId="77777777" w:rsidR="009659C5" w:rsidRPr="00D77CF3" w:rsidRDefault="009659C5" w:rsidP="009659C5">
      <w:pPr>
        <w:spacing w:before="60" w:after="60"/>
        <w:jc w:val="both"/>
        <w:rPr>
          <w:rFonts w:ascii="Arial" w:hAnsi="Arial" w:cs="Arial"/>
          <w:b/>
          <w:i/>
          <w:sz w:val="22"/>
          <w:szCs w:val="22"/>
        </w:rPr>
      </w:pPr>
      <w:r w:rsidRPr="00D77CF3">
        <w:rPr>
          <w:rFonts w:ascii="Arial" w:hAnsi="Arial" w:cs="Arial"/>
          <w:b/>
          <w:i/>
          <w:sz w:val="22"/>
          <w:szCs w:val="22"/>
        </w:rPr>
        <w:t>Explanation of terms:</w:t>
      </w:r>
    </w:p>
    <w:p w14:paraId="32D06756"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ED length of stay</w:t>
      </w:r>
      <w:r w:rsidRPr="00D77CF3">
        <w:rPr>
          <w:rFonts w:ascii="Arial" w:hAnsi="Arial" w:cs="Arial"/>
          <w:sz w:val="22"/>
          <w:szCs w:val="22"/>
        </w:rPr>
        <w:t xml:space="preserve"> for a patient equals the time period from </w:t>
      </w:r>
      <w:r w:rsidRPr="00D77CF3">
        <w:rPr>
          <w:rFonts w:ascii="Arial" w:hAnsi="Arial" w:cs="Arial"/>
          <w:i/>
          <w:sz w:val="22"/>
          <w:szCs w:val="22"/>
        </w:rPr>
        <w:t>time of presentation</w:t>
      </w:r>
      <w:r w:rsidRPr="00D77CF3">
        <w:rPr>
          <w:rFonts w:ascii="Arial" w:hAnsi="Arial" w:cs="Arial"/>
          <w:sz w:val="22"/>
          <w:szCs w:val="22"/>
        </w:rPr>
        <w:t xml:space="preserve">, to </w:t>
      </w:r>
      <w:r w:rsidRPr="00D77CF3">
        <w:rPr>
          <w:rFonts w:ascii="Arial" w:hAnsi="Arial" w:cs="Arial"/>
          <w:i/>
          <w:sz w:val="22"/>
          <w:szCs w:val="22"/>
        </w:rPr>
        <w:t>time of admission</w:t>
      </w:r>
      <w:r w:rsidRPr="00D77CF3">
        <w:rPr>
          <w:rFonts w:ascii="Arial" w:hAnsi="Arial" w:cs="Arial"/>
          <w:sz w:val="22"/>
          <w:szCs w:val="22"/>
        </w:rPr>
        <w:t xml:space="preserve">, </w:t>
      </w:r>
      <w:proofErr w:type="gramStart"/>
      <w:r w:rsidRPr="00D77CF3">
        <w:rPr>
          <w:rFonts w:ascii="Arial" w:hAnsi="Arial" w:cs="Arial"/>
          <w:i/>
          <w:sz w:val="22"/>
          <w:szCs w:val="22"/>
        </w:rPr>
        <w:t>discharge</w:t>
      </w:r>
      <w:proofErr w:type="gramEnd"/>
      <w:r w:rsidRPr="00D77CF3">
        <w:rPr>
          <w:rFonts w:ascii="Arial" w:hAnsi="Arial" w:cs="Arial"/>
          <w:sz w:val="22"/>
          <w:szCs w:val="22"/>
        </w:rPr>
        <w:t xml:space="preserve"> or </w:t>
      </w:r>
      <w:r w:rsidRPr="00D77CF3">
        <w:rPr>
          <w:rFonts w:ascii="Arial" w:hAnsi="Arial" w:cs="Arial"/>
          <w:i/>
          <w:sz w:val="22"/>
          <w:szCs w:val="22"/>
        </w:rPr>
        <w:t>transfer</w:t>
      </w:r>
      <w:r w:rsidRPr="00D77CF3">
        <w:rPr>
          <w:rFonts w:ascii="Arial" w:hAnsi="Arial" w:cs="Arial"/>
          <w:sz w:val="22"/>
          <w:szCs w:val="22"/>
        </w:rPr>
        <w:t>.</w:t>
      </w:r>
    </w:p>
    <w:p w14:paraId="00190BFD"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Time of presentation</w:t>
      </w:r>
      <w:r w:rsidRPr="00D77CF3">
        <w:rPr>
          <w:rFonts w:ascii="Arial" w:hAnsi="Arial" w:cs="Arial"/>
          <w:sz w:val="22"/>
          <w:szCs w:val="22"/>
        </w:rPr>
        <w:t xml:space="preserve"> is the time of first contact between the patient and the triage nurse or clerical staff, whichever comes first.</w:t>
      </w:r>
    </w:p>
    <w:p w14:paraId="5BED8FCC"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Time of admission</w:t>
      </w:r>
      <w:r w:rsidRPr="00D77CF3">
        <w:rPr>
          <w:rFonts w:ascii="Arial" w:hAnsi="Arial" w:cs="Arial"/>
          <w:sz w:val="22"/>
          <w:szCs w:val="22"/>
        </w:rPr>
        <w:t xml:space="preserve"> is the time at which the patient is physically moved from ED to an </w:t>
      </w:r>
      <w:r w:rsidRPr="00D77CF3">
        <w:rPr>
          <w:rFonts w:ascii="Arial" w:hAnsi="Arial" w:cs="Arial"/>
          <w:i/>
          <w:sz w:val="22"/>
          <w:szCs w:val="22"/>
        </w:rPr>
        <w:t>inpatient ward,</w:t>
      </w:r>
      <w:r w:rsidRPr="00D77CF3">
        <w:rPr>
          <w:rFonts w:ascii="Arial" w:hAnsi="Arial" w:cs="Arial"/>
          <w:sz w:val="22"/>
          <w:szCs w:val="22"/>
        </w:rPr>
        <w:t xml:space="preserve"> or the time at which a patient begins a period of </w:t>
      </w:r>
      <w:r w:rsidRPr="00D77CF3">
        <w:rPr>
          <w:rFonts w:ascii="Arial" w:hAnsi="Arial" w:cs="Arial"/>
          <w:i/>
          <w:sz w:val="22"/>
          <w:szCs w:val="22"/>
        </w:rPr>
        <w:t>formal observation</w:t>
      </w:r>
      <w:r w:rsidRPr="00D77CF3">
        <w:rPr>
          <w:rFonts w:ascii="Arial" w:hAnsi="Arial" w:cs="Arial"/>
          <w:sz w:val="22"/>
          <w:szCs w:val="22"/>
        </w:rPr>
        <w:t>.  The physical move will follow, or be concurrent with, a formal admission protocol, but it is the patient movement that stops the clock, not associated administrative decisions or tasks.</w:t>
      </w:r>
    </w:p>
    <w:p w14:paraId="43B2695D"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Inpatient wards</w:t>
      </w:r>
      <w:r w:rsidRPr="00D77CF3">
        <w:rPr>
          <w:rFonts w:ascii="Arial" w:hAnsi="Arial" w:cs="Arial"/>
          <w:sz w:val="22"/>
          <w:szCs w:val="22"/>
        </w:rPr>
        <w:t xml:space="preserve"> include ED Observation Units or Inpatient Assessment Units (or units with a similar function)</w:t>
      </w:r>
      <w:r w:rsidRPr="00D77CF3">
        <w:rPr>
          <w:rFonts w:ascii="Arial" w:hAnsi="Arial" w:cs="Arial"/>
          <w:sz w:val="22"/>
          <w:szCs w:val="22"/>
          <w:vertAlign w:val="superscript"/>
        </w:rPr>
        <w:footnoteReference w:id="17"/>
      </w:r>
      <w:r w:rsidRPr="00D77CF3">
        <w:rPr>
          <w:rFonts w:ascii="Arial" w:hAnsi="Arial" w:cs="Arial"/>
          <w:sz w:val="22"/>
          <w:szCs w:val="22"/>
        </w:rPr>
        <w:t>.  Under certain circumstances, a ‘decant’ ward designed to deal with surge capacity will qualify as an inpatient ward.  Key criteria are that patients should be in beds rather than on trolleys, and be under the care of appropriate clinical staff.</w:t>
      </w:r>
    </w:p>
    <w:p w14:paraId="2E80FD9C"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Formal observation</w:t>
      </w:r>
      <w:r w:rsidRPr="00D77CF3">
        <w:rPr>
          <w:rFonts w:ascii="Arial" w:hAnsi="Arial" w:cs="Arial"/>
          <w:sz w:val="22"/>
          <w:szCs w:val="22"/>
        </w:rPr>
        <w:t xml:space="preserve"> means that patients are in an ED observation bed, an observation unit, or similar.  Key criteria are that the area or unit should have dedicated staffing, have patients in beds rather than on trolleys, and be located in a dedicated space.  Limited exceptions to these criteria, to allow patients to be ‘observed’ in a monitored environment, should be formally approved by the Clinical Director of the ED and discussed with the National Clinical Director of ED Services.  </w:t>
      </w:r>
    </w:p>
    <w:p w14:paraId="258E27EF"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Time of discharge</w:t>
      </w:r>
      <w:r w:rsidRPr="00D77CF3">
        <w:rPr>
          <w:rFonts w:ascii="Arial" w:hAnsi="Arial" w:cs="Arial"/>
          <w:sz w:val="22"/>
          <w:szCs w:val="22"/>
        </w:rPr>
        <w:t xml:space="preserve"> is the time at which a patient being discharged from the ED to the community physically leaves the ED.  For the avoidance of confusion, if a patient’s treatment is finished and they are waiting in the ED facilities only as a consequence of their personal transport arrangements for pickup, they can be treated as discharged for the purposes of this measure.</w:t>
      </w:r>
    </w:p>
    <w:p w14:paraId="599EC2A1" w14:textId="77777777" w:rsidR="009659C5" w:rsidRPr="00D77CF3" w:rsidRDefault="009659C5" w:rsidP="00C04FF1">
      <w:pPr>
        <w:numPr>
          <w:ilvl w:val="0"/>
          <w:numId w:val="67"/>
        </w:numPr>
        <w:tabs>
          <w:tab w:val="num" w:pos="540"/>
        </w:tabs>
        <w:ind w:left="540"/>
        <w:jc w:val="both"/>
        <w:rPr>
          <w:rFonts w:ascii="Arial" w:hAnsi="Arial" w:cs="Arial"/>
          <w:sz w:val="22"/>
          <w:szCs w:val="22"/>
        </w:rPr>
      </w:pPr>
      <w:r w:rsidRPr="00D77CF3">
        <w:rPr>
          <w:rFonts w:ascii="Arial" w:hAnsi="Arial" w:cs="Arial"/>
          <w:i/>
          <w:sz w:val="22"/>
          <w:szCs w:val="22"/>
        </w:rPr>
        <w:t>Time of transfer</w:t>
      </w:r>
      <w:r w:rsidRPr="00D77CF3">
        <w:rPr>
          <w:rFonts w:ascii="Arial" w:hAnsi="Arial" w:cs="Arial"/>
          <w:sz w:val="22"/>
          <w:szCs w:val="22"/>
        </w:rPr>
        <w:t xml:space="preserve"> is the time at which a patient being transferred to another facility physically leaves the ED. While a patient is still in the ED, either receiving ongoing care, or awaiting transport, ED </w:t>
      </w:r>
      <w:r w:rsidRPr="00D77CF3">
        <w:rPr>
          <w:rFonts w:ascii="Arial" w:hAnsi="Arial" w:cs="Arial"/>
          <w:sz w:val="22"/>
          <w:szCs w:val="22"/>
        </w:rPr>
        <w:lastRenderedPageBreak/>
        <w:t>length of stay continues. Time of transfer can only be recorded when the patient physically leaves the ED.</w:t>
      </w:r>
    </w:p>
    <w:p w14:paraId="3A9D8D47" w14:textId="77777777" w:rsidR="009659C5" w:rsidRPr="00D77CF3" w:rsidRDefault="009659C5" w:rsidP="009659C5">
      <w:pPr>
        <w:jc w:val="both"/>
        <w:rPr>
          <w:rFonts w:ascii="Arial" w:hAnsi="Arial" w:cs="Arial"/>
          <w:sz w:val="22"/>
          <w:szCs w:val="22"/>
        </w:rPr>
      </w:pPr>
    </w:p>
    <w:p w14:paraId="4941C11F" w14:textId="77777777" w:rsidR="009659C5" w:rsidRPr="00D77CF3" w:rsidRDefault="009659C5" w:rsidP="009659C5">
      <w:pPr>
        <w:spacing w:after="60"/>
        <w:jc w:val="both"/>
        <w:rPr>
          <w:rFonts w:ascii="Arial" w:hAnsi="Arial" w:cs="Arial"/>
          <w:b/>
          <w:i/>
          <w:sz w:val="22"/>
          <w:szCs w:val="22"/>
        </w:rPr>
      </w:pPr>
      <w:r w:rsidRPr="00D77CF3">
        <w:rPr>
          <w:rFonts w:ascii="Arial" w:hAnsi="Arial" w:cs="Arial"/>
          <w:b/>
          <w:i/>
          <w:sz w:val="22"/>
          <w:szCs w:val="22"/>
        </w:rPr>
        <w:t>Inclusions and exclusions:</w:t>
      </w:r>
    </w:p>
    <w:p w14:paraId="7A9AA46A" w14:textId="77777777" w:rsidR="009659C5" w:rsidRPr="00D77CF3" w:rsidRDefault="009659C5" w:rsidP="00C04FF1">
      <w:pPr>
        <w:numPr>
          <w:ilvl w:val="0"/>
          <w:numId w:val="68"/>
        </w:numPr>
        <w:tabs>
          <w:tab w:val="left" w:pos="540"/>
        </w:tabs>
        <w:ind w:left="540"/>
        <w:jc w:val="both"/>
        <w:rPr>
          <w:rFonts w:ascii="Arial" w:hAnsi="Arial" w:cs="Arial"/>
          <w:sz w:val="22"/>
          <w:szCs w:val="22"/>
        </w:rPr>
      </w:pPr>
      <w:r w:rsidRPr="00D77CF3">
        <w:rPr>
          <w:rFonts w:ascii="Arial" w:hAnsi="Arial" w:cs="Arial"/>
          <w:sz w:val="22"/>
          <w:szCs w:val="22"/>
        </w:rPr>
        <w:t>Data provided to the Ministry will be provided at facility level for all EDs of level 3 and above, and those agreed level 2, within each DHB, according to the role delineation model as elaborated in the ED service specification.  Where a DHB has more than one facility, the overall percentage calculated for the DHB will be a weighted result, not a simple average of the results of individual facilities. The performance of individual facilities has been reported from Quarter 1, 2013/14.</w:t>
      </w:r>
    </w:p>
    <w:p w14:paraId="19A274C4" w14:textId="77777777" w:rsidR="009659C5" w:rsidRPr="00D77CF3" w:rsidRDefault="009659C5" w:rsidP="00C04FF1">
      <w:pPr>
        <w:numPr>
          <w:ilvl w:val="0"/>
          <w:numId w:val="68"/>
        </w:numPr>
        <w:tabs>
          <w:tab w:val="left" w:pos="540"/>
        </w:tabs>
        <w:ind w:left="540"/>
        <w:jc w:val="both"/>
        <w:rPr>
          <w:rFonts w:ascii="Arial" w:hAnsi="Arial" w:cs="Arial"/>
          <w:sz w:val="22"/>
          <w:szCs w:val="22"/>
        </w:rPr>
      </w:pPr>
      <w:r w:rsidRPr="00D77CF3">
        <w:rPr>
          <w:rFonts w:ascii="Arial" w:hAnsi="Arial" w:cs="Arial"/>
          <w:sz w:val="22"/>
          <w:szCs w:val="22"/>
        </w:rPr>
        <w:t xml:space="preserve">All presentations between </w:t>
      </w:r>
      <w:smartTag w:uri="urn:schemas-microsoft-com:office:smarttags" w:element="PlaceName">
        <w:smartTagPr>
          <w:attr w:name="Minute" w:val="0"/>
          <w:attr w:name="Hour" w:val="0"/>
        </w:smartTagPr>
        <w:r w:rsidRPr="00D77CF3">
          <w:rPr>
            <w:rFonts w:ascii="Arial" w:hAnsi="Arial" w:cs="Arial"/>
            <w:sz w:val="22"/>
            <w:szCs w:val="22"/>
          </w:rPr>
          <w:t>00:00</w:t>
        </w:r>
      </w:smartTag>
      <w:r w:rsidRPr="00D77CF3">
        <w:rPr>
          <w:rFonts w:ascii="Arial" w:hAnsi="Arial" w:cs="Arial"/>
          <w:sz w:val="22"/>
          <w:szCs w:val="22"/>
        </w:rPr>
        <w:t xml:space="preserve"> hours on the first day of the quarter, and </w:t>
      </w:r>
      <w:smartTag w:uri="urn:schemas-microsoft-com:office:smarttags" w:element="PlaceName">
        <w:smartTagPr>
          <w:attr w:name="Minute" w:val="0"/>
          <w:attr w:name="Hour" w:val="0"/>
        </w:smartTagPr>
        <w:r w:rsidRPr="00D77CF3">
          <w:rPr>
            <w:rFonts w:ascii="Arial" w:hAnsi="Arial" w:cs="Arial"/>
            <w:sz w:val="22"/>
            <w:szCs w:val="22"/>
          </w:rPr>
          <w:t>00:00</w:t>
        </w:r>
      </w:smartTag>
      <w:r w:rsidRPr="00D77CF3">
        <w:rPr>
          <w:rFonts w:ascii="Arial" w:hAnsi="Arial" w:cs="Arial"/>
          <w:sz w:val="22"/>
          <w:szCs w:val="22"/>
        </w:rPr>
        <w:t xml:space="preserve"> hours on the first day of the next quarter, are included except:</w:t>
      </w:r>
    </w:p>
    <w:p w14:paraId="0866393B" w14:textId="77777777" w:rsidR="009659C5" w:rsidRPr="00D77CF3" w:rsidRDefault="009659C5" w:rsidP="00C04FF1">
      <w:pPr>
        <w:numPr>
          <w:ilvl w:val="0"/>
          <w:numId w:val="66"/>
        </w:numPr>
        <w:ind w:left="1080"/>
        <w:jc w:val="both"/>
        <w:rPr>
          <w:rFonts w:ascii="Arial" w:hAnsi="Arial" w:cs="Arial"/>
          <w:sz w:val="22"/>
          <w:szCs w:val="22"/>
          <w:lang w:val="en-GB"/>
        </w:rPr>
      </w:pPr>
      <w:r w:rsidRPr="00D77CF3">
        <w:rPr>
          <w:rFonts w:ascii="Arial" w:hAnsi="Arial" w:cs="Arial"/>
          <w:sz w:val="22"/>
          <w:szCs w:val="22"/>
          <w:lang w:val="en-GB"/>
        </w:rPr>
        <w:t>Patients who do not wait for treatment; these will be removed from both the denominator and the numerator.</w:t>
      </w:r>
    </w:p>
    <w:p w14:paraId="54AE3E7C" w14:textId="77777777" w:rsidR="009659C5" w:rsidRPr="00D77CF3" w:rsidRDefault="009659C5" w:rsidP="00C04FF1">
      <w:pPr>
        <w:numPr>
          <w:ilvl w:val="0"/>
          <w:numId w:val="66"/>
        </w:numPr>
        <w:ind w:left="1080"/>
        <w:jc w:val="both"/>
        <w:rPr>
          <w:rFonts w:ascii="Arial" w:hAnsi="Arial" w:cs="Arial"/>
          <w:sz w:val="22"/>
          <w:szCs w:val="22"/>
          <w:lang w:val="en-GB"/>
        </w:rPr>
      </w:pPr>
      <w:r w:rsidRPr="00D77CF3">
        <w:rPr>
          <w:rFonts w:ascii="Arial" w:hAnsi="Arial" w:cs="Arial"/>
          <w:sz w:val="22"/>
          <w:szCs w:val="22"/>
          <w:lang w:val="en-GB"/>
        </w:rPr>
        <w:t>GP referrals that are assessed at the ED triage desk (using the Australasian Triage Scale), but are then directed to an Admission and Planning Unit or similar unit without further ED intervention.  Here the term ‘ED intervention, sufficient for inclusion in the measure, can encompass more detailed nursing assessment (over and above triage) and minor procedures such as analgesia or administration of intravenous fluids, for instance.</w:t>
      </w:r>
    </w:p>
    <w:p w14:paraId="3BA001C6" w14:textId="77777777" w:rsidR="009659C5" w:rsidRPr="00D77CF3" w:rsidRDefault="009659C5" w:rsidP="00C04FF1">
      <w:pPr>
        <w:numPr>
          <w:ilvl w:val="0"/>
          <w:numId w:val="66"/>
        </w:numPr>
        <w:ind w:left="1080"/>
        <w:jc w:val="both"/>
        <w:rPr>
          <w:rFonts w:ascii="Arial" w:hAnsi="Arial" w:cs="Arial"/>
          <w:sz w:val="22"/>
          <w:szCs w:val="22"/>
          <w:lang w:val="en-GB"/>
        </w:rPr>
      </w:pPr>
      <w:r w:rsidRPr="00D77CF3">
        <w:rPr>
          <w:rFonts w:ascii="Arial" w:hAnsi="Arial" w:cs="Arial"/>
          <w:sz w:val="22"/>
          <w:szCs w:val="22"/>
          <w:lang w:val="en-GB"/>
        </w:rPr>
        <w:t>Patients that present to the ED for pre-arranged outpatient-style treatment.</w:t>
      </w:r>
    </w:p>
    <w:p w14:paraId="0470E3E6" w14:textId="77777777" w:rsidR="009659C5" w:rsidRPr="00D77CF3" w:rsidRDefault="009659C5" w:rsidP="009659C5">
      <w:pPr>
        <w:tabs>
          <w:tab w:val="num" w:pos="1260"/>
        </w:tabs>
        <w:ind w:left="540" w:hanging="360"/>
        <w:jc w:val="both"/>
        <w:rPr>
          <w:rFonts w:ascii="Arial" w:hAnsi="Arial" w:cs="Arial"/>
          <w:sz w:val="22"/>
          <w:szCs w:val="22"/>
        </w:rPr>
      </w:pPr>
      <w:r w:rsidRPr="00D77CF3">
        <w:rPr>
          <w:rFonts w:ascii="Arial" w:hAnsi="Arial"/>
          <w:sz w:val="22"/>
          <w:szCs w:val="22"/>
        </w:rPr>
        <w:t>3.</w:t>
      </w:r>
      <w:r w:rsidRPr="00D77CF3">
        <w:rPr>
          <w:rFonts w:ascii="Arial" w:hAnsi="Arial"/>
          <w:sz w:val="22"/>
          <w:szCs w:val="22"/>
        </w:rPr>
        <w:tab/>
        <w:t xml:space="preserve">No exceptions from measurement are made for particular clinical conditions.  </w:t>
      </w:r>
    </w:p>
    <w:p w14:paraId="79E38F4C" w14:textId="77777777" w:rsidR="009659C5" w:rsidRPr="00D77CF3" w:rsidRDefault="009659C5" w:rsidP="009659C5">
      <w:pPr>
        <w:jc w:val="both"/>
        <w:rPr>
          <w:rFonts w:ascii="Arial" w:hAnsi="Arial" w:cs="Arial"/>
          <w:sz w:val="22"/>
          <w:szCs w:val="22"/>
        </w:rPr>
      </w:pPr>
    </w:p>
    <w:p w14:paraId="29FD3EE9" w14:textId="77777777" w:rsidR="009659C5" w:rsidRPr="00D77CF3" w:rsidRDefault="009659C5" w:rsidP="009659C5">
      <w:pPr>
        <w:jc w:val="both"/>
        <w:rPr>
          <w:rFonts w:ascii="Arial" w:hAnsi="Arial" w:cs="Arial"/>
          <w:sz w:val="22"/>
          <w:szCs w:val="22"/>
        </w:rPr>
      </w:pPr>
      <w:r w:rsidRPr="00D77CF3">
        <w:rPr>
          <w:rFonts w:ascii="Arial" w:hAnsi="Arial"/>
          <w:sz w:val="22"/>
          <w:szCs w:val="22"/>
        </w:rPr>
        <w:t>In certain situations it may be that good clinical practice or a particular service model will compromise the ability to meet Health Target expectations.  Where this situation arises, the Ministry will discuss this with the DHB affected and the definition can be re-interpreted on a case-by-case basis where relevant.</w:t>
      </w:r>
    </w:p>
    <w:p w14:paraId="7363447D" w14:textId="77777777" w:rsidR="009659C5" w:rsidRPr="00D77CF3" w:rsidRDefault="009659C5" w:rsidP="009659C5">
      <w:pPr>
        <w:spacing w:before="60" w:after="60"/>
        <w:jc w:val="both"/>
        <w:rPr>
          <w:rFonts w:ascii="Arial" w:hAnsi="Arial" w:cs="Arial"/>
          <w:sz w:val="22"/>
          <w:szCs w:val="22"/>
        </w:rPr>
      </w:pPr>
    </w:p>
    <w:p w14:paraId="42475311" w14:textId="77777777" w:rsidR="009659C5" w:rsidRPr="00D77CF3" w:rsidRDefault="009659C5" w:rsidP="009659C5">
      <w:pPr>
        <w:spacing w:before="60" w:after="60"/>
        <w:jc w:val="both"/>
        <w:rPr>
          <w:rFonts w:ascii="Arial" w:hAnsi="Arial" w:cs="Arial"/>
          <w:b/>
        </w:rPr>
      </w:pPr>
      <w:r w:rsidRPr="00D77CF3">
        <w:rPr>
          <w:rFonts w:ascii="Arial" w:hAnsi="Arial" w:cs="Arial"/>
          <w:b/>
        </w:rPr>
        <w:t>Expectations</w:t>
      </w:r>
    </w:p>
    <w:p w14:paraId="454A7D21" w14:textId="77777777" w:rsidR="009659C5" w:rsidRPr="00D77CF3" w:rsidRDefault="009659C5" w:rsidP="009659C5">
      <w:pPr>
        <w:spacing w:before="60"/>
        <w:jc w:val="both"/>
        <w:rPr>
          <w:rFonts w:ascii="Arial" w:hAnsi="Arial"/>
          <w:sz w:val="22"/>
          <w:szCs w:val="22"/>
        </w:rPr>
      </w:pPr>
      <w:r w:rsidRPr="00D77CF3">
        <w:rPr>
          <w:rFonts w:ascii="Arial" w:hAnsi="Arial"/>
          <w:sz w:val="22"/>
          <w:szCs w:val="22"/>
        </w:rPr>
        <w:t xml:space="preserve">All DHBs are expected to achieve the target percentage for this Health Target.  </w:t>
      </w:r>
    </w:p>
    <w:p w14:paraId="55AF3F8B" w14:textId="77777777" w:rsidR="009659C5" w:rsidRPr="00D77CF3" w:rsidRDefault="009659C5" w:rsidP="009659C5">
      <w:pPr>
        <w:jc w:val="both"/>
        <w:rPr>
          <w:rFonts w:ascii="Arial" w:hAnsi="Arial" w:cs="Arial"/>
          <w:sz w:val="22"/>
          <w:szCs w:val="22"/>
        </w:rPr>
      </w:pPr>
    </w:p>
    <w:p w14:paraId="3F258832" w14:textId="77777777" w:rsidR="009659C5" w:rsidRPr="00D77CF3" w:rsidRDefault="009659C5" w:rsidP="009659C5">
      <w:pPr>
        <w:jc w:val="both"/>
        <w:rPr>
          <w:rFonts w:ascii="Arial" w:hAnsi="Arial"/>
          <w:sz w:val="22"/>
          <w:szCs w:val="22"/>
        </w:rPr>
      </w:pPr>
      <w:r w:rsidRPr="00D77CF3">
        <w:rPr>
          <w:rFonts w:ascii="Arial" w:hAnsi="Arial"/>
          <w:sz w:val="22"/>
          <w:szCs w:val="22"/>
        </w:rPr>
        <w:t>The following achievement scale will be applied during quarters one to three:</w:t>
      </w:r>
    </w:p>
    <w:p w14:paraId="1DE6B1B2" w14:textId="77777777" w:rsidR="009659C5" w:rsidRPr="00D77CF3" w:rsidRDefault="009659C5" w:rsidP="009659C5">
      <w:pPr>
        <w:jc w:val="both"/>
        <w:rPr>
          <w:rFonts w:ascii="Arial" w:hAnsi="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8100"/>
      </w:tblGrid>
      <w:tr w:rsidR="009659C5" w:rsidRPr="00D77CF3" w14:paraId="0892ECE5" w14:textId="77777777" w:rsidTr="009D6F69">
        <w:tc>
          <w:tcPr>
            <w:tcW w:w="2160" w:type="dxa"/>
            <w:shd w:val="clear" w:color="auto" w:fill="CCCCCC"/>
            <w:vAlign w:val="center"/>
          </w:tcPr>
          <w:p w14:paraId="363BB0BD" w14:textId="77777777" w:rsidR="009659C5" w:rsidRPr="00D77CF3" w:rsidRDefault="009659C5" w:rsidP="009D6F69">
            <w:pPr>
              <w:spacing w:before="60" w:after="60"/>
              <w:rPr>
                <w:rFonts w:ascii="Arial" w:hAnsi="Arial" w:cs="Arial"/>
                <w:b/>
                <w:sz w:val="22"/>
                <w:szCs w:val="22"/>
              </w:rPr>
            </w:pPr>
            <w:r w:rsidRPr="00D77CF3">
              <w:rPr>
                <w:rFonts w:ascii="Arial" w:hAnsi="Arial" w:cs="Arial"/>
                <w:b/>
                <w:sz w:val="22"/>
                <w:szCs w:val="22"/>
              </w:rPr>
              <w:t xml:space="preserve">Rating: </w:t>
            </w:r>
          </w:p>
        </w:tc>
        <w:tc>
          <w:tcPr>
            <w:tcW w:w="8100" w:type="dxa"/>
            <w:shd w:val="clear" w:color="auto" w:fill="CCCCCC"/>
            <w:vAlign w:val="center"/>
          </w:tcPr>
          <w:p w14:paraId="2AF8098B" w14:textId="77777777" w:rsidR="009659C5" w:rsidRPr="00D77CF3" w:rsidRDefault="009659C5" w:rsidP="009D6F69">
            <w:pPr>
              <w:spacing w:before="60" w:after="60"/>
              <w:rPr>
                <w:rFonts w:ascii="Arial" w:hAnsi="Arial" w:cs="Arial"/>
                <w:b/>
                <w:sz w:val="22"/>
                <w:szCs w:val="22"/>
              </w:rPr>
            </w:pPr>
          </w:p>
        </w:tc>
      </w:tr>
      <w:tr w:rsidR="009659C5" w:rsidRPr="00D77CF3" w14:paraId="4B663AD7" w14:textId="77777777" w:rsidTr="009D6F69">
        <w:tc>
          <w:tcPr>
            <w:tcW w:w="2160" w:type="dxa"/>
          </w:tcPr>
          <w:p w14:paraId="0796C70A"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Achieved</w:t>
            </w:r>
          </w:p>
        </w:tc>
        <w:tc>
          <w:tcPr>
            <w:tcW w:w="8100" w:type="dxa"/>
          </w:tcPr>
          <w:p w14:paraId="3E5E86CD" w14:textId="77777777" w:rsidR="009659C5" w:rsidRPr="00D77CF3" w:rsidRDefault="009659C5" w:rsidP="009D6F69">
            <w:pPr>
              <w:spacing w:before="60" w:after="60"/>
              <w:rPr>
                <w:rFonts w:ascii="Arial" w:hAnsi="Arial" w:cs="Arial"/>
                <w:sz w:val="22"/>
                <w:szCs w:val="22"/>
              </w:rPr>
            </w:pPr>
            <w:r w:rsidRPr="00D77CF3">
              <w:rPr>
                <w:rFonts w:ascii="Arial" w:hAnsi="Arial"/>
                <w:sz w:val="22"/>
                <w:szCs w:val="22"/>
              </w:rPr>
              <w:t>The DHB has met the target percentage for the quarter</w:t>
            </w:r>
          </w:p>
        </w:tc>
      </w:tr>
      <w:tr w:rsidR="009659C5" w:rsidRPr="00D77CF3" w14:paraId="02981E5D" w14:textId="77777777" w:rsidTr="009D6F69">
        <w:tc>
          <w:tcPr>
            <w:tcW w:w="2160" w:type="dxa"/>
          </w:tcPr>
          <w:p w14:paraId="2BEC382D"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Partially Achieved</w:t>
            </w:r>
          </w:p>
        </w:tc>
        <w:tc>
          <w:tcPr>
            <w:tcW w:w="8100" w:type="dxa"/>
          </w:tcPr>
          <w:p w14:paraId="2033E9AC" w14:textId="77777777" w:rsidR="009659C5" w:rsidRPr="00D77CF3" w:rsidRDefault="009659C5" w:rsidP="009D6F69">
            <w:pPr>
              <w:spacing w:before="60" w:after="60"/>
              <w:rPr>
                <w:rFonts w:ascii="Arial" w:hAnsi="Arial"/>
                <w:sz w:val="22"/>
                <w:szCs w:val="22"/>
              </w:rPr>
            </w:pPr>
            <w:r w:rsidRPr="00D77CF3">
              <w:rPr>
                <w:rFonts w:ascii="Arial" w:hAnsi="Arial"/>
                <w:sz w:val="22"/>
                <w:szCs w:val="22"/>
              </w:rPr>
              <w:t xml:space="preserve">The DHB has not met the target percentage but the narrative comments provided satisfy the assessor that the DHB is on track to compliance. </w:t>
            </w:r>
          </w:p>
        </w:tc>
      </w:tr>
      <w:tr w:rsidR="009659C5" w:rsidRPr="00D77CF3" w14:paraId="2DB59BCA" w14:textId="77777777" w:rsidTr="009D6F69">
        <w:tc>
          <w:tcPr>
            <w:tcW w:w="2160" w:type="dxa"/>
          </w:tcPr>
          <w:p w14:paraId="20D19613"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Not Achieved</w:t>
            </w:r>
          </w:p>
        </w:tc>
        <w:tc>
          <w:tcPr>
            <w:tcW w:w="8100" w:type="dxa"/>
          </w:tcPr>
          <w:p w14:paraId="23772AE7" w14:textId="77777777" w:rsidR="009659C5" w:rsidRPr="00D77CF3" w:rsidRDefault="009659C5" w:rsidP="009D6F69">
            <w:pPr>
              <w:tabs>
                <w:tab w:val="num" w:pos="540"/>
              </w:tabs>
              <w:spacing w:before="60" w:after="60"/>
              <w:rPr>
                <w:rFonts w:ascii="Arial" w:hAnsi="Arial"/>
                <w:sz w:val="22"/>
                <w:szCs w:val="22"/>
              </w:rPr>
            </w:pPr>
            <w:r w:rsidRPr="00D77CF3">
              <w:rPr>
                <w:rFonts w:ascii="Arial" w:hAnsi="Arial"/>
                <w:sz w:val="22"/>
                <w:szCs w:val="22"/>
              </w:rPr>
              <w:t>The DHB has not met the target percentage for the quarter and the narrative comments provided do not satisfy the assessor that the DHB is on track to compliance.</w:t>
            </w:r>
          </w:p>
        </w:tc>
      </w:tr>
    </w:tbl>
    <w:p w14:paraId="2B264CE1" w14:textId="77777777" w:rsidR="009659C5" w:rsidRPr="00D77CF3" w:rsidRDefault="009659C5" w:rsidP="009659C5">
      <w:pPr>
        <w:rPr>
          <w:rFonts w:ascii="Arial" w:hAnsi="Arial" w:cs="Arial"/>
          <w:sz w:val="22"/>
          <w:szCs w:val="22"/>
        </w:rPr>
      </w:pPr>
    </w:p>
    <w:p w14:paraId="77602BED" w14:textId="77777777" w:rsidR="009659C5" w:rsidRPr="00D77CF3" w:rsidRDefault="009659C5" w:rsidP="009659C5">
      <w:pPr>
        <w:jc w:val="both"/>
        <w:rPr>
          <w:rFonts w:ascii="Arial" w:hAnsi="Arial"/>
          <w:sz w:val="22"/>
          <w:szCs w:val="22"/>
        </w:rPr>
      </w:pPr>
      <w:r w:rsidRPr="00D77CF3">
        <w:rPr>
          <w:rFonts w:ascii="Arial" w:hAnsi="Arial"/>
          <w:sz w:val="22"/>
          <w:szCs w:val="22"/>
        </w:rPr>
        <w:t xml:space="preserve">Only </w:t>
      </w:r>
      <w:r w:rsidRPr="00D77CF3">
        <w:rPr>
          <w:rFonts w:ascii="Arial" w:hAnsi="Arial"/>
          <w:i/>
          <w:sz w:val="22"/>
          <w:szCs w:val="22"/>
        </w:rPr>
        <w:t>Achieved</w:t>
      </w:r>
      <w:r w:rsidRPr="00D77CF3">
        <w:rPr>
          <w:rFonts w:ascii="Arial" w:hAnsi="Arial"/>
          <w:sz w:val="22"/>
          <w:szCs w:val="22"/>
        </w:rPr>
        <w:t xml:space="preserve"> or </w:t>
      </w:r>
      <w:r w:rsidRPr="00D77CF3">
        <w:rPr>
          <w:rFonts w:ascii="Arial" w:hAnsi="Arial"/>
          <w:i/>
          <w:sz w:val="22"/>
          <w:szCs w:val="22"/>
        </w:rPr>
        <w:t>Not Achieved</w:t>
      </w:r>
      <w:r w:rsidRPr="00D77CF3">
        <w:rPr>
          <w:rFonts w:ascii="Arial" w:hAnsi="Arial"/>
          <w:sz w:val="22"/>
          <w:szCs w:val="22"/>
        </w:rPr>
        <w:t xml:space="preserve"> ratings will be awarded in quarter four based on whether the DHB has achieved or not achieved the target. </w:t>
      </w:r>
    </w:p>
    <w:p w14:paraId="3F821B48" w14:textId="77777777" w:rsidR="009659C5" w:rsidRPr="00D77CF3" w:rsidRDefault="009659C5" w:rsidP="009659C5">
      <w:pPr>
        <w:rPr>
          <w:rFonts w:ascii="Arial" w:hAnsi="Arial" w:cs="Arial"/>
          <w:sz w:val="22"/>
          <w:szCs w:val="22"/>
        </w:rPr>
      </w:pPr>
    </w:p>
    <w:p w14:paraId="7D5D807B" w14:textId="77777777" w:rsidR="009659C5" w:rsidRPr="00D77CF3" w:rsidRDefault="009659C5" w:rsidP="009659C5">
      <w:pPr>
        <w:spacing w:before="60" w:after="60"/>
        <w:jc w:val="both"/>
        <w:rPr>
          <w:rFonts w:ascii="Arial" w:hAnsi="Arial" w:cs="Arial"/>
          <w:b/>
        </w:rPr>
      </w:pPr>
      <w:r w:rsidRPr="00D77CF3">
        <w:rPr>
          <w:rFonts w:ascii="Arial" w:hAnsi="Arial" w:cs="Arial"/>
          <w:b/>
        </w:rPr>
        <w:t>Additional performance measures to be monitored internally</w:t>
      </w:r>
    </w:p>
    <w:p w14:paraId="1283E979" w14:textId="77777777" w:rsidR="009659C5" w:rsidRDefault="009659C5" w:rsidP="009659C5">
      <w:pPr>
        <w:keepNext/>
        <w:shd w:val="clear" w:color="auto" w:fill="FFFFFF"/>
        <w:outlineLvl w:val="0"/>
        <w:rPr>
          <w:rFonts w:ascii="Arial" w:hAnsi="Arial"/>
          <w:sz w:val="22"/>
          <w:szCs w:val="22"/>
        </w:rPr>
      </w:pPr>
      <w:bookmarkStart w:id="516" w:name="_Toc4588567"/>
      <w:bookmarkStart w:id="517" w:name="_Toc4588710"/>
      <w:bookmarkStart w:id="518" w:name="_Toc9592036"/>
      <w:r w:rsidRPr="00D77CF3">
        <w:rPr>
          <w:rFonts w:ascii="Arial" w:hAnsi="Arial" w:cs="Arial"/>
          <w:sz w:val="22"/>
          <w:szCs w:val="22"/>
        </w:rPr>
        <w:t xml:space="preserve">In addition to the target, each DHB is expected to collect and internally monitor their performance against a range of more specific quality measures.  </w:t>
      </w:r>
      <w:r w:rsidRPr="00D77CF3">
        <w:rPr>
          <w:rFonts w:ascii="Arial" w:hAnsi="Arial"/>
          <w:sz w:val="22"/>
          <w:szCs w:val="22"/>
        </w:rPr>
        <w:t>The monitoring of additional performance measures is intended to complement the Short Stays in ED health target by providing a concrete and comparable measure of the quality and outcomes of acute care.  As the purpose is to inform internal DHB improvement and quality, DHB performance against these measures is not required to be routinely reported to the Ministry.  However, the Ministry may request to review them if there are concerns about performance or quality.  The selected measures should span the spectrum of acute care – from primary care, through secondary services (including ED), to post-hospital primary and community care.</w:t>
      </w:r>
      <w:bookmarkEnd w:id="516"/>
      <w:bookmarkEnd w:id="517"/>
      <w:bookmarkEnd w:id="518"/>
      <w:r w:rsidRPr="00D77CF3">
        <w:rPr>
          <w:rFonts w:ascii="Arial" w:hAnsi="Arial"/>
          <w:sz w:val="22"/>
          <w:szCs w:val="22"/>
        </w:rPr>
        <w:t xml:space="preserve">  </w:t>
      </w:r>
    </w:p>
    <w:p w14:paraId="4CED4157" w14:textId="77777777" w:rsidR="009659C5" w:rsidRDefault="009659C5" w:rsidP="009659C5">
      <w:pPr>
        <w:keepNext/>
        <w:shd w:val="clear" w:color="auto" w:fill="FFFFFF"/>
        <w:outlineLvl w:val="0"/>
        <w:rPr>
          <w:rFonts w:ascii="Arial" w:hAnsi="Arial"/>
          <w:sz w:val="22"/>
          <w:szCs w:val="22"/>
        </w:rPr>
      </w:pPr>
    </w:p>
    <w:p w14:paraId="5A2E9F11" w14:textId="77777777" w:rsidR="009659C5" w:rsidRDefault="009659C5">
      <w:pPr>
        <w:rPr>
          <w:rFonts w:ascii="Arial" w:hAnsi="Arial"/>
          <w:sz w:val="22"/>
          <w:szCs w:val="22"/>
        </w:rPr>
      </w:pPr>
      <w:r>
        <w:rPr>
          <w:rFonts w:ascii="Arial" w:hAnsi="Arial"/>
          <w:sz w:val="22"/>
          <w:szCs w:val="22"/>
        </w:rPr>
        <w:br w:type="page"/>
      </w:r>
    </w:p>
    <w:p w14:paraId="6A999DB6" w14:textId="77777777" w:rsidR="009659C5" w:rsidRPr="00A450C5" w:rsidRDefault="009659C5" w:rsidP="009659C5">
      <w:pPr>
        <w:spacing w:before="120"/>
        <w:jc w:val="both"/>
        <w:rPr>
          <w:rFonts w:ascii="Arial" w:hAnsi="Arial" w:cs="Arial"/>
          <w:b/>
          <w:bCs/>
          <w:i/>
          <w:kern w:val="32"/>
        </w:rPr>
      </w:pPr>
      <w:r w:rsidRPr="00A450C5">
        <w:rPr>
          <w:rFonts w:ascii="Arial" w:hAnsi="Arial" w:cs="Arial"/>
          <w:b/>
          <w:bCs/>
          <w:i/>
          <w:kern w:val="32"/>
        </w:rPr>
        <w:lastRenderedPageBreak/>
        <w:t>Outcome priority: We have improved quality of life</w:t>
      </w:r>
    </w:p>
    <w:p w14:paraId="224447AE" w14:textId="4CCE2D17" w:rsidR="009659C5" w:rsidRDefault="00604F7F" w:rsidP="009659C5">
      <w:pPr>
        <w:spacing w:before="120"/>
        <w:jc w:val="both"/>
        <w:rPr>
          <w:rFonts w:ascii="Arial" w:hAnsi="Arial" w:cs="Arial"/>
          <w:b/>
          <w:bCs/>
          <w:i/>
          <w:kern w:val="32"/>
          <w:sz w:val="28"/>
          <w:szCs w:val="28"/>
        </w:rPr>
      </w:pPr>
      <w:r w:rsidRPr="00604F7F">
        <w:rPr>
          <w:rFonts w:ascii="Arial" w:hAnsi="Arial" w:cs="Arial"/>
          <w:b/>
          <w:bCs/>
          <w:i/>
          <w:kern w:val="32"/>
          <w:sz w:val="28"/>
          <w:szCs w:val="28"/>
        </w:rPr>
        <w:t xml:space="preserve">Better population health outcomes supported by a </w:t>
      </w:r>
      <w:r>
        <w:rPr>
          <w:rFonts w:ascii="Arial" w:hAnsi="Arial" w:cs="Arial"/>
          <w:b/>
          <w:bCs/>
          <w:i/>
          <w:kern w:val="32"/>
          <w:sz w:val="28"/>
          <w:szCs w:val="28"/>
        </w:rPr>
        <w:t>s</w:t>
      </w:r>
      <w:r w:rsidR="009659C5" w:rsidRPr="009659C5">
        <w:rPr>
          <w:rFonts w:ascii="Arial" w:hAnsi="Arial" w:cs="Arial"/>
          <w:b/>
          <w:bCs/>
          <w:i/>
          <w:kern w:val="32"/>
          <w:sz w:val="28"/>
          <w:szCs w:val="28"/>
        </w:rPr>
        <w:t>trong and equitable health and disability system SS11: Faster cancer treatment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780"/>
        <w:gridCol w:w="2340"/>
        <w:gridCol w:w="2880"/>
      </w:tblGrid>
      <w:tr w:rsidR="009659C5" w:rsidRPr="00D77CF3" w14:paraId="04262D6A" w14:textId="77777777" w:rsidTr="009D6F69">
        <w:tc>
          <w:tcPr>
            <w:tcW w:w="10440" w:type="dxa"/>
            <w:gridSpan w:val="4"/>
            <w:shd w:val="clear" w:color="auto" w:fill="D9D9D9"/>
          </w:tcPr>
          <w:p w14:paraId="307E9BA7" w14:textId="77777777" w:rsidR="009659C5" w:rsidRPr="00D77CF3" w:rsidRDefault="009659C5" w:rsidP="009D6F69">
            <w:pPr>
              <w:spacing w:before="60" w:after="60"/>
              <w:jc w:val="center"/>
              <w:rPr>
                <w:rFonts w:ascii="Arial" w:hAnsi="Arial" w:cs="Arial"/>
                <w:b/>
                <w:sz w:val="22"/>
                <w:szCs w:val="22"/>
                <w:highlight w:val="yellow"/>
              </w:rPr>
            </w:pPr>
            <w:r w:rsidRPr="00D77CF3">
              <w:rPr>
                <w:rFonts w:ascii="Arial" w:hAnsi="Arial" w:cs="Arial"/>
                <w:b/>
                <w:sz w:val="22"/>
                <w:szCs w:val="22"/>
              </w:rPr>
              <w:t>Summary information</w:t>
            </w:r>
          </w:p>
        </w:tc>
      </w:tr>
      <w:tr w:rsidR="009659C5" w:rsidRPr="00D77CF3" w14:paraId="352D3F02" w14:textId="77777777" w:rsidTr="009D6F69">
        <w:tc>
          <w:tcPr>
            <w:tcW w:w="10440" w:type="dxa"/>
            <w:gridSpan w:val="4"/>
            <w:shd w:val="clear" w:color="auto" w:fill="auto"/>
          </w:tcPr>
          <w:p w14:paraId="47A8E385" w14:textId="77777777" w:rsidR="009659C5" w:rsidRPr="00D77CF3" w:rsidRDefault="009659C5" w:rsidP="009D6F69">
            <w:pPr>
              <w:spacing w:before="60" w:after="60"/>
              <w:rPr>
                <w:rFonts w:ascii="Arial" w:hAnsi="Arial" w:cs="Arial"/>
                <w:sz w:val="22"/>
                <w:szCs w:val="22"/>
                <w:highlight w:val="yellow"/>
              </w:rPr>
            </w:pPr>
            <w:r w:rsidRPr="00D77CF3">
              <w:rPr>
                <w:rFonts w:ascii="Arial" w:hAnsi="Arial" w:cs="Arial"/>
                <w:b/>
                <w:sz w:val="22"/>
                <w:szCs w:val="22"/>
              </w:rPr>
              <w:t xml:space="preserve">Indicator: </w:t>
            </w:r>
            <w:r w:rsidRPr="00D77CF3">
              <w:rPr>
                <w:rFonts w:ascii="Arial" w:hAnsi="Arial" w:cs="Arial"/>
                <w:sz w:val="22"/>
                <w:szCs w:val="22"/>
              </w:rPr>
              <w:t>90 percent of patients to receive their first cancer treatment (or other management) within 62 days of being referred with a high suspicion of cancer and a need to be seen within two weeks.</w:t>
            </w:r>
          </w:p>
        </w:tc>
      </w:tr>
      <w:tr w:rsidR="009659C5" w:rsidRPr="00D77CF3" w14:paraId="20C616FA" w14:textId="77777777" w:rsidTr="009D6F69">
        <w:tc>
          <w:tcPr>
            <w:tcW w:w="5220" w:type="dxa"/>
            <w:gridSpan w:val="2"/>
            <w:shd w:val="clear" w:color="auto" w:fill="auto"/>
          </w:tcPr>
          <w:p w14:paraId="23D6F377" w14:textId="77777777" w:rsidR="009659C5" w:rsidRPr="00D77CF3" w:rsidRDefault="009659C5" w:rsidP="009D6F69">
            <w:pPr>
              <w:spacing w:before="60" w:after="60"/>
              <w:rPr>
                <w:rFonts w:ascii="Arial" w:hAnsi="Arial" w:cs="Arial"/>
                <w:b/>
                <w:i/>
                <w:sz w:val="22"/>
                <w:szCs w:val="22"/>
              </w:rPr>
            </w:pPr>
            <w:r w:rsidRPr="00D77CF3">
              <w:rPr>
                <w:rFonts w:ascii="Arial" w:hAnsi="Arial" w:cs="Arial"/>
                <w:b/>
                <w:i/>
                <w:sz w:val="22"/>
                <w:szCs w:val="22"/>
              </w:rPr>
              <w:t>Measures</w:t>
            </w:r>
          </w:p>
        </w:tc>
        <w:tc>
          <w:tcPr>
            <w:tcW w:w="5220" w:type="dxa"/>
            <w:gridSpan w:val="2"/>
            <w:shd w:val="clear" w:color="auto" w:fill="auto"/>
          </w:tcPr>
          <w:p w14:paraId="0846D781" w14:textId="77777777" w:rsidR="009659C5" w:rsidRPr="00D77CF3" w:rsidRDefault="009659C5" w:rsidP="009D6F69">
            <w:pPr>
              <w:spacing w:before="60" w:after="60"/>
              <w:rPr>
                <w:rFonts w:ascii="Arial" w:hAnsi="Arial" w:cs="Arial"/>
                <w:b/>
                <w:i/>
                <w:sz w:val="22"/>
                <w:szCs w:val="22"/>
              </w:rPr>
            </w:pPr>
            <w:r w:rsidRPr="00D77CF3">
              <w:rPr>
                <w:rFonts w:ascii="Arial" w:hAnsi="Arial" w:cs="Arial"/>
                <w:b/>
                <w:i/>
                <w:sz w:val="22"/>
                <w:szCs w:val="22"/>
              </w:rPr>
              <w:t>Reporting</w:t>
            </w:r>
          </w:p>
        </w:tc>
      </w:tr>
      <w:tr w:rsidR="009659C5" w:rsidRPr="00D77CF3" w14:paraId="28F770FD" w14:textId="77777777" w:rsidTr="009D6F69">
        <w:tc>
          <w:tcPr>
            <w:tcW w:w="1440" w:type="dxa"/>
            <w:shd w:val="clear" w:color="auto" w:fill="auto"/>
          </w:tcPr>
          <w:p w14:paraId="6A6C479D"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Type:</w:t>
            </w:r>
          </w:p>
        </w:tc>
        <w:tc>
          <w:tcPr>
            <w:tcW w:w="3780" w:type="dxa"/>
            <w:shd w:val="clear" w:color="auto" w:fill="auto"/>
          </w:tcPr>
          <w:p w14:paraId="57044739" w14:textId="77777777" w:rsidR="009659C5" w:rsidRPr="00D77CF3" w:rsidRDefault="009659C5" w:rsidP="009D6F69">
            <w:pPr>
              <w:spacing w:before="60" w:after="60"/>
              <w:rPr>
                <w:rFonts w:ascii="Arial" w:hAnsi="Arial" w:cs="Arial"/>
                <w:b/>
                <w:sz w:val="22"/>
                <w:szCs w:val="22"/>
              </w:rPr>
            </w:pPr>
            <w:r w:rsidRPr="00D77CF3">
              <w:rPr>
                <w:rFonts w:ascii="Arial" w:hAnsi="Arial" w:cs="Arial"/>
                <w:b/>
                <w:sz w:val="22"/>
                <w:szCs w:val="22"/>
              </w:rPr>
              <w:t>Output</w:t>
            </w:r>
          </w:p>
        </w:tc>
        <w:tc>
          <w:tcPr>
            <w:tcW w:w="2340" w:type="dxa"/>
            <w:shd w:val="clear" w:color="auto" w:fill="auto"/>
          </w:tcPr>
          <w:p w14:paraId="5A2D32D7"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Type:</w:t>
            </w:r>
          </w:p>
        </w:tc>
        <w:tc>
          <w:tcPr>
            <w:tcW w:w="2880" w:type="dxa"/>
            <w:shd w:val="clear" w:color="auto" w:fill="auto"/>
          </w:tcPr>
          <w:p w14:paraId="130459D8"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Data and exception report</w:t>
            </w:r>
          </w:p>
        </w:tc>
      </w:tr>
      <w:tr w:rsidR="009659C5" w:rsidRPr="00D77CF3" w14:paraId="70374A93" w14:textId="77777777" w:rsidTr="009D6F69">
        <w:tc>
          <w:tcPr>
            <w:tcW w:w="1440" w:type="dxa"/>
            <w:shd w:val="clear" w:color="auto" w:fill="auto"/>
          </w:tcPr>
          <w:p w14:paraId="37B65242"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Target</w:t>
            </w:r>
          </w:p>
        </w:tc>
        <w:tc>
          <w:tcPr>
            <w:tcW w:w="3780" w:type="dxa"/>
            <w:shd w:val="clear" w:color="auto" w:fill="auto"/>
          </w:tcPr>
          <w:p w14:paraId="687E783A" w14:textId="77777777" w:rsidR="009659C5" w:rsidRPr="00D77CF3" w:rsidRDefault="009659C5" w:rsidP="009D6F69">
            <w:pPr>
              <w:spacing w:before="60" w:after="60"/>
              <w:rPr>
                <w:rFonts w:ascii="Arial" w:hAnsi="Arial" w:cs="Arial"/>
                <w:sz w:val="22"/>
                <w:szCs w:val="22"/>
                <w:highlight w:val="yellow"/>
              </w:rPr>
            </w:pPr>
            <w:r w:rsidRPr="00D77CF3">
              <w:rPr>
                <w:rFonts w:ascii="Arial" w:hAnsi="Arial" w:cs="Arial"/>
                <w:sz w:val="22"/>
                <w:szCs w:val="22"/>
              </w:rPr>
              <w:t>Targets set in DHB Annual Plans</w:t>
            </w:r>
          </w:p>
        </w:tc>
        <w:tc>
          <w:tcPr>
            <w:tcW w:w="2340" w:type="dxa"/>
            <w:shd w:val="clear" w:color="auto" w:fill="auto"/>
          </w:tcPr>
          <w:p w14:paraId="56D7497F"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Reporting frequency:</w:t>
            </w:r>
          </w:p>
        </w:tc>
        <w:tc>
          <w:tcPr>
            <w:tcW w:w="2880" w:type="dxa"/>
            <w:shd w:val="clear" w:color="auto" w:fill="auto"/>
          </w:tcPr>
          <w:p w14:paraId="1C2B73B7"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Quarterly</w:t>
            </w:r>
          </w:p>
          <w:p w14:paraId="4A030082"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(monthly data submission via secure FTP)</w:t>
            </w:r>
          </w:p>
        </w:tc>
      </w:tr>
      <w:tr w:rsidR="009659C5" w:rsidRPr="00D77CF3" w14:paraId="5D041049" w14:textId="77777777" w:rsidTr="009D6F69">
        <w:tc>
          <w:tcPr>
            <w:tcW w:w="5220" w:type="dxa"/>
            <w:gridSpan w:val="2"/>
            <w:shd w:val="clear" w:color="auto" w:fill="auto"/>
          </w:tcPr>
          <w:p w14:paraId="1434D0F5" w14:textId="77777777" w:rsidR="009659C5" w:rsidRPr="00D77CF3" w:rsidRDefault="009659C5" w:rsidP="009D6F69">
            <w:pPr>
              <w:spacing w:before="60" w:after="60"/>
              <w:rPr>
                <w:rFonts w:ascii="Arial" w:hAnsi="Arial" w:cs="Arial"/>
                <w:b/>
                <w:i/>
                <w:sz w:val="22"/>
                <w:szCs w:val="22"/>
                <w:highlight w:val="yellow"/>
              </w:rPr>
            </w:pPr>
            <w:r w:rsidRPr="00D77CF3">
              <w:rPr>
                <w:rFonts w:ascii="Arial" w:hAnsi="Arial" w:cs="Arial"/>
                <w:b/>
                <w:i/>
                <w:sz w:val="22"/>
                <w:szCs w:val="22"/>
              </w:rPr>
              <w:t>Source data/template for reporting provided by:</w:t>
            </w:r>
          </w:p>
        </w:tc>
        <w:tc>
          <w:tcPr>
            <w:tcW w:w="5220" w:type="dxa"/>
            <w:gridSpan w:val="2"/>
            <w:shd w:val="clear" w:color="auto" w:fill="auto"/>
          </w:tcPr>
          <w:p w14:paraId="4940FBAE" w14:textId="77777777" w:rsidR="009659C5" w:rsidRPr="00D77CF3" w:rsidRDefault="009659C5" w:rsidP="009D6F69">
            <w:pPr>
              <w:spacing w:before="60" w:after="60"/>
              <w:rPr>
                <w:rFonts w:ascii="Arial" w:hAnsi="Arial" w:cs="Arial"/>
                <w:sz w:val="22"/>
                <w:szCs w:val="22"/>
              </w:rPr>
            </w:pPr>
            <w:r w:rsidRPr="00D77CF3">
              <w:rPr>
                <w:rFonts w:ascii="Arial" w:hAnsi="Arial" w:cs="Arial"/>
                <w:sz w:val="22"/>
                <w:szCs w:val="22"/>
              </w:rPr>
              <w:t xml:space="preserve">Data to be supplied by DHBs. For detailed information on the reporting process refer to </w:t>
            </w:r>
            <w:r w:rsidRPr="00D77CF3">
              <w:rPr>
                <w:rFonts w:ascii="Arial" w:hAnsi="Arial" w:cs="Arial"/>
                <w:i/>
                <w:sz w:val="22"/>
                <w:szCs w:val="22"/>
              </w:rPr>
              <w:t>Faster Cancer Treatment Indicators: Business Rules and Data Definitions</w:t>
            </w:r>
            <w:r w:rsidRPr="00D77CF3">
              <w:rPr>
                <w:rFonts w:ascii="Arial" w:hAnsi="Arial" w:cs="Arial"/>
                <w:sz w:val="22"/>
                <w:szCs w:val="22"/>
              </w:rPr>
              <w:t xml:space="preserve"> on the NSFL</w:t>
            </w:r>
          </w:p>
        </w:tc>
      </w:tr>
    </w:tbl>
    <w:p w14:paraId="7FF1A4B2" w14:textId="77777777" w:rsidR="009659C5" w:rsidRPr="00D77CF3" w:rsidRDefault="009659C5" w:rsidP="009659C5">
      <w:pPr>
        <w:spacing w:before="240" w:after="120"/>
        <w:jc w:val="both"/>
        <w:rPr>
          <w:rFonts w:ascii="Arial" w:hAnsi="Arial" w:cs="Arial"/>
          <w:b/>
          <w:i/>
          <w:sz w:val="22"/>
          <w:szCs w:val="22"/>
        </w:rPr>
      </w:pPr>
      <w:r w:rsidRPr="00D77CF3">
        <w:rPr>
          <w:rFonts w:ascii="Arial" w:hAnsi="Arial" w:cs="Arial"/>
          <w:b/>
          <w:sz w:val="22"/>
          <w:szCs w:val="22"/>
        </w:rPr>
        <w:t xml:space="preserve">Link to outcomes </w:t>
      </w:r>
    </w:p>
    <w:p w14:paraId="74483B3E" w14:textId="77777777" w:rsidR="009659C5" w:rsidRPr="0072302C" w:rsidRDefault="009659C5" w:rsidP="009659C5">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1215C006" w14:textId="77777777" w:rsidR="009659C5" w:rsidRDefault="009659C5" w:rsidP="009659C5">
      <w:pPr>
        <w:spacing w:before="60" w:after="60"/>
        <w:jc w:val="both"/>
        <w:rPr>
          <w:rFonts w:ascii="Arial" w:hAnsi="Arial" w:cs="Arial"/>
          <w:sz w:val="22"/>
          <w:szCs w:val="22"/>
        </w:rPr>
      </w:pPr>
      <w:r>
        <w:rPr>
          <w:rFonts w:ascii="Arial" w:hAnsi="Arial" w:cs="Arial"/>
          <w:sz w:val="22"/>
          <w:szCs w:val="22"/>
        </w:rPr>
        <w:t xml:space="preserve">Faster cancer treatment is part of our </w:t>
      </w:r>
      <w:r w:rsidRPr="00891315">
        <w:rPr>
          <w:rFonts w:ascii="Arial" w:hAnsi="Arial" w:cs="Arial"/>
          <w:sz w:val="22"/>
          <w:szCs w:val="22"/>
        </w:rPr>
        <w:t xml:space="preserve">system focus on improved health through the best use of resources and will support Government's priority to ensure everyone who is able is earning, learning, caring or volunteering and our system outcome that we </w:t>
      </w:r>
      <w:r>
        <w:rPr>
          <w:rFonts w:ascii="Arial" w:hAnsi="Arial" w:cs="Arial"/>
          <w:sz w:val="22"/>
          <w:szCs w:val="22"/>
        </w:rPr>
        <w:t>have improved quality of life</w:t>
      </w:r>
      <w:r w:rsidRPr="00891315">
        <w:rPr>
          <w:rFonts w:ascii="Arial" w:hAnsi="Arial" w:cs="Arial"/>
          <w:sz w:val="22"/>
          <w:szCs w:val="22"/>
        </w:rPr>
        <w:t>.</w:t>
      </w:r>
    </w:p>
    <w:p w14:paraId="67745B74" w14:textId="77777777" w:rsidR="009659C5" w:rsidRPr="00D77CF3" w:rsidRDefault="009659C5" w:rsidP="009659C5">
      <w:pPr>
        <w:jc w:val="both"/>
        <w:rPr>
          <w:rFonts w:ascii="Arial" w:hAnsi="Arial" w:cs="Arial"/>
          <w:sz w:val="22"/>
          <w:szCs w:val="22"/>
        </w:rPr>
      </w:pPr>
    </w:p>
    <w:p w14:paraId="561DC0D2" w14:textId="7FF7D509" w:rsidR="009659C5" w:rsidRPr="0072302C" w:rsidRDefault="009659C5" w:rsidP="004A405C">
      <w:pPr>
        <w:jc w:val="both"/>
        <w:rPr>
          <w:rFonts w:ascii="Arial" w:hAnsi="Arial" w:cs="Arial"/>
          <w:sz w:val="22"/>
          <w:szCs w:val="22"/>
        </w:rPr>
      </w:pPr>
      <w:r w:rsidRPr="00D77CF3">
        <w:rPr>
          <w:rFonts w:ascii="Arial" w:hAnsi="Arial" w:cs="Arial"/>
          <w:sz w:val="22"/>
          <w:szCs w:val="22"/>
        </w:rPr>
        <w:t xml:space="preserve">The Faster cancer treatment health target takes a pathway approach to care, to facilitate improved hospital productivity by ensuring resources are used effectively and efficiently. DHBs working towards achievement of this target supports public trust in the health and disability system; and that these services can be used with confidence. </w:t>
      </w:r>
      <w:r w:rsidRPr="00D77CF3">
        <w:rPr>
          <w:rFonts w:ascii="Arial" w:hAnsi="Arial" w:cs="Arial"/>
          <w:sz w:val="22"/>
          <w:szCs w:val="22"/>
          <w:lang w:val="en-US"/>
        </w:rPr>
        <w:t xml:space="preserve">Implementation of the Faster cancer treatment health target requires existing capacity and resources to be </w:t>
      </w:r>
      <w:proofErr w:type="spellStart"/>
      <w:r w:rsidRPr="00D77CF3">
        <w:rPr>
          <w:rFonts w:ascii="Arial" w:hAnsi="Arial" w:cs="Arial"/>
          <w:sz w:val="22"/>
          <w:szCs w:val="22"/>
          <w:lang w:val="en-US"/>
        </w:rPr>
        <w:t>maximised</w:t>
      </w:r>
      <w:proofErr w:type="spellEnd"/>
      <w:r w:rsidRPr="00D77CF3">
        <w:rPr>
          <w:rFonts w:ascii="Arial" w:hAnsi="Arial" w:cs="Arial"/>
          <w:sz w:val="22"/>
          <w:szCs w:val="22"/>
          <w:lang w:val="en-US"/>
        </w:rPr>
        <w:t xml:space="preserve">, this results in </w:t>
      </w:r>
      <w:r w:rsidRPr="00D77CF3">
        <w:rPr>
          <w:rFonts w:ascii="Arial" w:hAnsi="Arial" w:cs="Arial"/>
          <w:sz w:val="22"/>
          <w:szCs w:val="22"/>
        </w:rPr>
        <w:t>effective and efficient use of resources and supports the key planning consideration of value for money.</w:t>
      </w:r>
      <w:r w:rsidR="004A405C">
        <w:rPr>
          <w:rFonts w:ascii="Arial" w:hAnsi="Arial" w:cs="Arial"/>
          <w:sz w:val="22"/>
          <w:szCs w:val="22"/>
        </w:rPr>
        <w:t xml:space="preserve"> </w:t>
      </w:r>
      <w:r w:rsidRPr="00D77CF3">
        <w:rPr>
          <w:rFonts w:ascii="Arial" w:hAnsi="Arial" w:cs="Arial"/>
          <w:sz w:val="22"/>
          <w:szCs w:val="22"/>
          <w:lang w:val="en-US"/>
        </w:rPr>
        <w:t xml:space="preserve">Implementing the overall Faster cancer treatment </w:t>
      </w:r>
      <w:proofErr w:type="spellStart"/>
      <w:r w:rsidRPr="00D77CF3">
        <w:rPr>
          <w:rFonts w:ascii="Arial" w:hAnsi="Arial" w:cs="Arial"/>
          <w:sz w:val="22"/>
          <w:szCs w:val="22"/>
          <w:lang w:val="en-US"/>
        </w:rPr>
        <w:t>programme</w:t>
      </w:r>
      <w:proofErr w:type="spellEnd"/>
      <w:r w:rsidRPr="00D77CF3">
        <w:rPr>
          <w:rFonts w:ascii="Arial" w:hAnsi="Arial" w:cs="Arial"/>
          <w:sz w:val="22"/>
          <w:szCs w:val="22"/>
          <w:lang w:val="en-US"/>
        </w:rPr>
        <w:t xml:space="preserve"> supports </w:t>
      </w:r>
      <w:r w:rsidRPr="0072302C">
        <w:rPr>
          <w:rFonts w:ascii="Arial" w:hAnsi="Arial" w:cs="Arial"/>
          <w:sz w:val="22"/>
          <w:szCs w:val="22"/>
        </w:rPr>
        <w:t xml:space="preserve">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6E25FCE8" w14:textId="77777777" w:rsidR="004A405C" w:rsidRDefault="004A405C" w:rsidP="009659C5">
      <w:pPr>
        <w:jc w:val="both"/>
        <w:rPr>
          <w:rFonts w:ascii="Arial" w:hAnsi="Arial" w:cs="Arial"/>
          <w:sz w:val="22"/>
          <w:szCs w:val="22"/>
          <w:lang w:val="en-US"/>
        </w:rPr>
      </w:pPr>
    </w:p>
    <w:p w14:paraId="4E7B29A8" w14:textId="61B4BF91" w:rsidR="009659C5" w:rsidRPr="00D77CF3" w:rsidRDefault="009659C5" w:rsidP="009659C5">
      <w:pPr>
        <w:jc w:val="both"/>
        <w:rPr>
          <w:rFonts w:ascii="Arial" w:hAnsi="Arial" w:cs="Arial"/>
          <w:sz w:val="22"/>
          <w:szCs w:val="22"/>
          <w:lang w:val="en-US"/>
        </w:rPr>
      </w:pPr>
      <w:r w:rsidRPr="00D77CF3">
        <w:rPr>
          <w:rFonts w:ascii="Arial" w:hAnsi="Arial" w:cs="Arial"/>
          <w:sz w:val="22"/>
          <w:szCs w:val="22"/>
          <w:lang w:val="en-US"/>
        </w:rPr>
        <w:t xml:space="preserve">Cancer treatment is provided across all DHBs, although not all DHBs provide all services. This requires DHBs to collaborate across boundaries to ensure services are integrated and patients receive a seamless service.  </w:t>
      </w:r>
    </w:p>
    <w:p w14:paraId="65F9E50D" w14:textId="77777777" w:rsidR="009659C5" w:rsidRPr="00D77CF3" w:rsidRDefault="009659C5" w:rsidP="009659C5">
      <w:pPr>
        <w:jc w:val="both"/>
        <w:rPr>
          <w:rFonts w:ascii="Arial" w:hAnsi="Arial" w:cs="Arial"/>
          <w:b/>
          <w:sz w:val="22"/>
          <w:szCs w:val="22"/>
        </w:rPr>
      </w:pPr>
    </w:p>
    <w:p w14:paraId="3ED50774"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Actions to deliver improved performance in this focus area include:</w:t>
      </w:r>
    </w:p>
    <w:p w14:paraId="0D8BBDEB" w14:textId="77777777" w:rsidR="009659C5" w:rsidRPr="00D77CF3" w:rsidRDefault="009659C5" w:rsidP="00363573">
      <w:pPr>
        <w:numPr>
          <w:ilvl w:val="0"/>
          <w:numId w:val="32"/>
        </w:numPr>
        <w:spacing w:before="60" w:after="60"/>
        <w:jc w:val="both"/>
        <w:rPr>
          <w:rFonts w:ascii="Arial" w:hAnsi="Arial" w:cs="Arial"/>
          <w:sz w:val="22"/>
          <w:szCs w:val="22"/>
        </w:rPr>
      </w:pPr>
      <w:r w:rsidRPr="00D77CF3">
        <w:rPr>
          <w:rFonts w:ascii="Arial" w:hAnsi="Arial" w:cs="Arial"/>
          <w:sz w:val="22"/>
          <w:szCs w:val="22"/>
        </w:rPr>
        <w:t xml:space="preserve">use of the </w:t>
      </w:r>
      <w:r w:rsidRPr="00D77CF3">
        <w:rPr>
          <w:rFonts w:ascii="Arial" w:hAnsi="Arial" w:cs="Arial"/>
          <w:i/>
          <w:sz w:val="22"/>
          <w:szCs w:val="22"/>
        </w:rPr>
        <w:t>Faster Cancer Treatment Indicators: Business Rules and Data Definitions</w:t>
      </w:r>
      <w:r w:rsidRPr="00D77CF3">
        <w:rPr>
          <w:rFonts w:ascii="Arial" w:hAnsi="Arial" w:cs="Arial"/>
          <w:sz w:val="22"/>
          <w:szCs w:val="22"/>
        </w:rPr>
        <w:t xml:space="preserve"> and </w:t>
      </w:r>
      <w:r w:rsidRPr="00D77CF3">
        <w:rPr>
          <w:rFonts w:ascii="Arial" w:hAnsi="Arial" w:cs="Arial"/>
          <w:i/>
          <w:sz w:val="22"/>
          <w:szCs w:val="22"/>
        </w:rPr>
        <w:t>High suspicion of cancer definitions</w:t>
      </w:r>
      <w:r w:rsidRPr="00D77CF3">
        <w:rPr>
          <w:rFonts w:ascii="Arial" w:hAnsi="Arial" w:cs="Arial"/>
          <w:sz w:val="22"/>
          <w:szCs w:val="22"/>
        </w:rPr>
        <w:t xml:space="preserve"> to ensure consistency of reporting</w:t>
      </w:r>
    </w:p>
    <w:p w14:paraId="45018C81" w14:textId="77777777" w:rsidR="009659C5" w:rsidRPr="00D77CF3" w:rsidRDefault="009659C5" w:rsidP="00363573">
      <w:pPr>
        <w:numPr>
          <w:ilvl w:val="0"/>
          <w:numId w:val="32"/>
        </w:numPr>
        <w:spacing w:before="60" w:after="60"/>
        <w:jc w:val="both"/>
        <w:rPr>
          <w:rFonts w:ascii="Arial" w:hAnsi="Arial" w:cs="Arial"/>
          <w:sz w:val="22"/>
          <w:szCs w:val="22"/>
        </w:rPr>
      </w:pPr>
      <w:r w:rsidRPr="00D77CF3">
        <w:rPr>
          <w:rFonts w:ascii="Arial" w:hAnsi="Arial" w:cs="Arial"/>
          <w:sz w:val="22"/>
          <w:szCs w:val="22"/>
        </w:rPr>
        <w:t>improve the quality of data (volume of patients, number of tumour types, types of first treatment) captured</w:t>
      </w:r>
    </w:p>
    <w:p w14:paraId="67780A2D" w14:textId="77777777" w:rsidR="009659C5" w:rsidRPr="00D77CF3" w:rsidRDefault="009659C5" w:rsidP="00363573">
      <w:pPr>
        <w:numPr>
          <w:ilvl w:val="0"/>
          <w:numId w:val="32"/>
        </w:numPr>
        <w:spacing w:before="60" w:after="60"/>
        <w:jc w:val="both"/>
        <w:rPr>
          <w:rFonts w:ascii="Arial" w:hAnsi="Arial" w:cs="Arial"/>
          <w:sz w:val="22"/>
          <w:szCs w:val="22"/>
        </w:rPr>
      </w:pPr>
      <w:r w:rsidRPr="00D77CF3">
        <w:rPr>
          <w:rFonts w:ascii="Arial" w:hAnsi="Arial" w:cs="Arial"/>
          <w:sz w:val="22"/>
          <w:szCs w:val="22"/>
        </w:rPr>
        <w:t>analysis of the data to identify areas for system and process improvement along the patient pathway, and any differences in access or timeliness by ethnicity or geography</w:t>
      </w:r>
    </w:p>
    <w:p w14:paraId="032B4DF9" w14:textId="77777777" w:rsidR="009659C5" w:rsidRPr="00D77CF3" w:rsidRDefault="009659C5" w:rsidP="00C04FF1">
      <w:pPr>
        <w:numPr>
          <w:ilvl w:val="0"/>
          <w:numId w:val="72"/>
        </w:numPr>
        <w:spacing w:before="60" w:after="60"/>
        <w:jc w:val="both"/>
        <w:rPr>
          <w:rFonts w:ascii="Arial" w:hAnsi="Arial" w:cs="Arial"/>
          <w:sz w:val="22"/>
          <w:szCs w:val="22"/>
        </w:rPr>
      </w:pPr>
      <w:r w:rsidRPr="00D77CF3">
        <w:rPr>
          <w:rFonts w:ascii="Arial" w:hAnsi="Arial" w:cs="Arial"/>
          <w:sz w:val="22"/>
          <w:szCs w:val="22"/>
        </w:rPr>
        <w:t>review and re-design of the booking and scheduling of appointments for patients with a high suspicion of cancer, including use of single point of referral to streamline referral route</w:t>
      </w:r>
    </w:p>
    <w:p w14:paraId="2F5AF2F8" w14:textId="77777777" w:rsidR="009659C5" w:rsidRPr="00D77CF3" w:rsidRDefault="009659C5" w:rsidP="00C04FF1">
      <w:pPr>
        <w:numPr>
          <w:ilvl w:val="0"/>
          <w:numId w:val="72"/>
        </w:numPr>
        <w:spacing w:before="60" w:after="60"/>
        <w:jc w:val="both"/>
        <w:rPr>
          <w:rFonts w:ascii="Arial" w:hAnsi="Arial" w:cs="Arial"/>
          <w:sz w:val="22"/>
          <w:szCs w:val="22"/>
        </w:rPr>
      </w:pPr>
      <w:r w:rsidRPr="00D77CF3">
        <w:rPr>
          <w:rFonts w:ascii="Arial" w:hAnsi="Arial" w:cs="Arial"/>
          <w:sz w:val="22"/>
          <w:szCs w:val="22"/>
        </w:rPr>
        <w:t>implement fast-track access to all necessary diagnostic scans and investigations</w:t>
      </w:r>
    </w:p>
    <w:p w14:paraId="4F27DFB3" w14:textId="77777777" w:rsidR="009659C5" w:rsidRPr="00D77CF3" w:rsidRDefault="009659C5" w:rsidP="00C04FF1">
      <w:pPr>
        <w:numPr>
          <w:ilvl w:val="0"/>
          <w:numId w:val="72"/>
        </w:numPr>
        <w:spacing w:before="60" w:after="60"/>
        <w:jc w:val="both"/>
        <w:rPr>
          <w:rFonts w:ascii="Arial" w:hAnsi="Arial" w:cs="Arial"/>
          <w:sz w:val="22"/>
          <w:szCs w:val="22"/>
        </w:rPr>
      </w:pPr>
      <w:r w:rsidRPr="00D77CF3">
        <w:rPr>
          <w:rFonts w:ascii="Arial" w:hAnsi="Arial" w:cs="Arial"/>
          <w:sz w:val="22"/>
          <w:szCs w:val="22"/>
        </w:rPr>
        <w:t>develop rapid reporting and communication of results of diagnostic scans and investigations</w:t>
      </w:r>
    </w:p>
    <w:p w14:paraId="47BDAB12" w14:textId="77777777" w:rsidR="009659C5" w:rsidRPr="00D77CF3" w:rsidRDefault="009659C5" w:rsidP="00C04FF1">
      <w:pPr>
        <w:numPr>
          <w:ilvl w:val="0"/>
          <w:numId w:val="72"/>
        </w:numPr>
        <w:spacing w:before="60" w:after="60"/>
        <w:jc w:val="both"/>
        <w:rPr>
          <w:rFonts w:ascii="Arial" w:hAnsi="Arial" w:cs="Arial"/>
          <w:b/>
          <w:sz w:val="22"/>
          <w:szCs w:val="22"/>
        </w:rPr>
      </w:pPr>
      <w:r w:rsidRPr="00D77CF3">
        <w:rPr>
          <w:rFonts w:ascii="Arial" w:hAnsi="Arial" w:cs="Arial"/>
          <w:sz w:val="22"/>
          <w:szCs w:val="22"/>
        </w:rPr>
        <w:lastRenderedPageBreak/>
        <w:t>review and re-design of the coordination of treatment processes and booking processes to ensure optimal use of capacity.</w:t>
      </w:r>
    </w:p>
    <w:p w14:paraId="5258B199" w14:textId="77777777" w:rsidR="009659C5" w:rsidRPr="00D77CF3" w:rsidRDefault="009659C5" w:rsidP="009659C5">
      <w:pPr>
        <w:spacing w:before="60" w:after="60"/>
        <w:jc w:val="both"/>
        <w:rPr>
          <w:rFonts w:ascii="Arial" w:hAnsi="Arial" w:cs="Arial"/>
          <w:b/>
          <w:sz w:val="22"/>
          <w:szCs w:val="22"/>
        </w:rPr>
      </w:pPr>
      <w:r w:rsidRPr="00D77CF3">
        <w:rPr>
          <w:rFonts w:ascii="Arial" w:hAnsi="Arial" w:cs="Arial"/>
          <w:b/>
          <w:sz w:val="22"/>
          <w:szCs w:val="22"/>
        </w:rPr>
        <w:t>Deliverables</w:t>
      </w:r>
    </w:p>
    <w:p w14:paraId="2FA20F2D" w14:textId="77777777" w:rsidR="009659C5" w:rsidRPr="00D77CF3" w:rsidRDefault="009659C5" w:rsidP="009659C5">
      <w:pPr>
        <w:spacing w:after="60"/>
        <w:jc w:val="both"/>
        <w:rPr>
          <w:rFonts w:ascii="Arial" w:hAnsi="Arial" w:cs="Arial"/>
          <w:sz w:val="22"/>
          <w:szCs w:val="22"/>
        </w:rPr>
      </w:pPr>
      <w:r w:rsidRPr="00D77CF3">
        <w:rPr>
          <w:rFonts w:ascii="Arial" w:hAnsi="Arial" w:cs="Arial"/>
          <w:sz w:val="22"/>
          <w:szCs w:val="22"/>
        </w:rPr>
        <w:t xml:space="preserve">DHBs will be required to supply data monthly (within 20 days of the end of the month) via secure file transfer protocol on the length of time taken for patients referred with a high-suspicion of cancer </w:t>
      </w:r>
      <w:r w:rsidRPr="00D77CF3">
        <w:rPr>
          <w:rFonts w:ascii="Arial" w:hAnsi="Arial" w:cs="Arial"/>
          <w:i/>
          <w:sz w:val="22"/>
          <w:szCs w:val="22"/>
        </w:rPr>
        <w:t>and</w:t>
      </w:r>
      <w:r w:rsidRPr="00D77CF3">
        <w:rPr>
          <w:rFonts w:ascii="Arial" w:hAnsi="Arial" w:cs="Arial"/>
          <w:sz w:val="22"/>
          <w:szCs w:val="22"/>
        </w:rPr>
        <w:t xml:space="preserve"> a need to be seen within two weeks to receive their first cancer treatment (or other management). </w:t>
      </w:r>
    </w:p>
    <w:p w14:paraId="772D0DF5" w14:textId="77777777" w:rsidR="009659C5" w:rsidRPr="00D77CF3" w:rsidRDefault="009659C5" w:rsidP="009659C5">
      <w:pPr>
        <w:spacing w:before="60" w:after="60"/>
        <w:jc w:val="both"/>
        <w:rPr>
          <w:rFonts w:ascii="Arial" w:hAnsi="Arial" w:cs="Arial"/>
          <w:sz w:val="22"/>
          <w:szCs w:val="22"/>
        </w:rPr>
      </w:pPr>
    </w:p>
    <w:p w14:paraId="167D5D54"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 xml:space="preserve">Detailed information on the definitions, inclusions and process for submitting data to the Ministry of Health is outlined in </w:t>
      </w:r>
      <w:r w:rsidRPr="00D77CF3">
        <w:rPr>
          <w:rFonts w:ascii="Arial" w:hAnsi="Arial" w:cs="Arial"/>
          <w:i/>
          <w:sz w:val="22"/>
          <w:szCs w:val="22"/>
        </w:rPr>
        <w:t>Faster Cancer Treatment Indicators: Business Rules and Data Definitions</w:t>
      </w:r>
      <w:r w:rsidRPr="00D77CF3">
        <w:rPr>
          <w:rFonts w:ascii="Arial" w:hAnsi="Arial" w:cs="Arial"/>
          <w:sz w:val="22"/>
          <w:szCs w:val="22"/>
        </w:rPr>
        <w:t xml:space="preserve"> available from: http://nsfl.health.govt.nz/accountability/performance-and-monitoring/business-rules-and-templates-reporting/faster-cancer. </w:t>
      </w:r>
    </w:p>
    <w:p w14:paraId="62721397" w14:textId="77777777" w:rsidR="009659C5" w:rsidRPr="00D77CF3" w:rsidRDefault="009659C5" w:rsidP="009659C5">
      <w:pPr>
        <w:spacing w:before="60" w:after="60"/>
        <w:rPr>
          <w:rFonts w:ascii="Arial" w:hAnsi="Arial" w:cs="Arial"/>
          <w:sz w:val="22"/>
          <w:szCs w:val="22"/>
        </w:rPr>
      </w:pPr>
    </w:p>
    <w:p w14:paraId="4D666AE9" w14:textId="77777777" w:rsidR="009659C5" w:rsidRPr="00D77CF3" w:rsidRDefault="009659C5" w:rsidP="009659C5">
      <w:pPr>
        <w:rPr>
          <w:rFonts w:ascii="Arial" w:hAnsi="Arial" w:cs="Arial"/>
          <w:sz w:val="22"/>
          <w:szCs w:val="22"/>
        </w:rPr>
      </w:pPr>
      <w:r w:rsidRPr="00D77CF3">
        <w:rPr>
          <w:rFonts w:ascii="Arial" w:hAnsi="Arial" w:cs="Arial"/>
          <w:sz w:val="22"/>
          <w:szCs w:val="22"/>
        </w:rPr>
        <w:t>The DHB of domicile is responsible for collecting and reporting information on their domiciled population even if it is not the DHB of:</w:t>
      </w:r>
    </w:p>
    <w:p w14:paraId="6D204B6D" w14:textId="77777777" w:rsidR="009659C5" w:rsidRPr="00D77CF3" w:rsidRDefault="009659C5" w:rsidP="00C04FF1">
      <w:pPr>
        <w:numPr>
          <w:ilvl w:val="0"/>
          <w:numId w:val="36"/>
        </w:numPr>
        <w:ind w:left="709" w:hanging="357"/>
        <w:rPr>
          <w:rFonts w:ascii="Arial" w:hAnsi="Arial" w:cs="Arial"/>
          <w:sz w:val="22"/>
          <w:szCs w:val="22"/>
        </w:rPr>
      </w:pPr>
      <w:r w:rsidRPr="00D77CF3">
        <w:rPr>
          <w:rFonts w:ascii="Arial" w:hAnsi="Arial" w:cs="Arial"/>
          <w:sz w:val="22"/>
          <w:szCs w:val="22"/>
        </w:rPr>
        <w:t>receipt of referral</w:t>
      </w:r>
    </w:p>
    <w:p w14:paraId="0AFA8C30" w14:textId="77777777" w:rsidR="009659C5" w:rsidRPr="00D77CF3" w:rsidRDefault="009659C5" w:rsidP="00C04FF1">
      <w:pPr>
        <w:numPr>
          <w:ilvl w:val="0"/>
          <w:numId w:val="36"/>
        </w:numPr>
        <w:ind w:left="709" w:hanging="357"/>
        <w:rPr>
          <w:rFonts w:ascii="Arial" w:hAnsi="Arial" w:cs="Arial"/>
          <w:sz w:val="22"/>
          <w:szCs w:val="22"/>
        </w:rPr>
      </w:pPr>
      <w:r w:rsidRPr="00D77CF3">
        <w:rPr>
          <w:rFonts w:ascii="Arial" w:hAnsi="Arial" w:cs="Arial"/>
          <w:sz w:val="22"/>
          <w:szCs w:val="22"/>
        </w:rPr>
        <w:t>service.</w:t>
      </w:r>
    </w:p>
    <w:p w14:paraId="48E0BD04" w14:textId="77777777" w:rsidR="009659C5" w:rsidRPr="00D77CF3" w:rsidRDefault="009659C5" w:rsidP="009659C5">
      <w:pPr>
        <w:spacing w:before="60" w:after="60"/>
        <w:jc w:val="both"/>
        <w:rPr>
          <w:rFonts w:ascii="Arial" w:hAnsi="Arial" w:cs="Arial"/>
          <w:sz w:val="22"/>
          <w:szCs w:val="22"/>
        </w:rPr>
      </w:pPr>
    </w:p>
    <w:p w14:paraId="70C02967" w14:textId="77777777" w:rsidR="009659C5" w:rsidRPr="00D77CF3" w:rsidRDefault="009659C5" w:rsidP="009659C5">
      <w:pPr>
        <w:spacing w:before="60" w:after="60"/>
        <w:jc w:val="both"/>
        <w:rPr>
          <w:rFonts w:ascii="Arial" w:hAnsi="Arial" w:cs="Arial"/>
          <w:i/>
          <w:sz w:val="22"/>
          <w:szCs w:val="22"/>
        </w:rPr>
      </w:pPr>
      <w:r w:rsidRPr="00D77CF3">
        <w:rPr>
          <w:rFonts w:ascii="Arial" w:hAnsi="Arial" w:cs="Arial"/>
          <w:sz w:val="22"/>
          <w:szCs w:val="22"/>
        </w:rPr>
        <w:t>No further quantitative reporting is required as part of the quarterly reporting process.</w:t>
      </w:r>
    </w:p>
    <w:p w14:paraId="1701444A" w14:textId="77777777" w:rsidR="009659C5" w:rsidRPr="00D77CF3" w:rsidRDefault="009659C5" w:rsidP="009659C5">
      <w:pPr>
        <w:spacing w:before="60" w:after="60"/>
        <w:jc w:val="both"/>
        <w:rPr>
          <w:rFonts w:ascii="Arial" w:hAnsi="Arial" w:cs="Arial"/>
          <w:sz w:val="22"/>
          <w:szCs w:val="22"/>
        </w:rPr>
      </w:pPr>
    </w:p>
    <w:p w14:paraId="26A585B4"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 xml:space="preserve">DHBs are required to submit a quarterly qualitative report through the quarterly reporting database outlining: </w:t>
      </w:r>
    </w:p>
    <w:p w14:paraId="3707146C" w14:textId="77777777" w:rsidR="009659C5" w:rsidRPr="00D77CF3" w:rsidRDefault="009659C5" w:rsidP="00C04FF1">
      <w:pPr>
        <w:numPr>
          <w:ilvl w:val="0"/>
          <w:numId w:val="40"/>
        </w:numPr>
        <w:spacing w:before="60" w:after="60"/>
        <w:contextualSpacing/>
        <w:jc w:val="both"/>
        <w:rPr>
          <w:rFonts w:ascii="Arial" w:hAnsi="Arial" w:cs="Arial"/>
          <w:sz w:val="22"/>
          <w:szCs w:val="22"/>
        </w:rPr>
      </w:pPr>
      <w:r w:rsidRPr="00D77CF3">
        <w:rPr>
          <w:rFonts w:ascii="Arial" w:hAnsi="Arial" w:cs="Arial"/>
          <w:sz w:val="22"/>
          <w:szCs w:val="22"/>
        </w:rPr>
        <w:t>the activities being undertaken to ensure data quality and volumes</w:t>
      </w:r>
    </w:p>
    <w:p w14:paraId="25A73865" w14:textId="77777777" w:rsidR="009659C5" w:rsidRPr="00D77CF3" w:rsidRDefault="009659C5" w:rsidP="00C04FF1">
      <w:pPr>
        <w:numPr>
          <w:ilvl w:val="0"/>
          <w:numId w:val="40"/>
        </w:numPr>
        <w:spacing w:before="60" w:after="60"/>
        <w:contextualSpacing/>
        <w:jc w:val="both"/>
        <w:rPr>
          <w:rFonts w:ascii="Arial" w:hAnsi="Arial" w:cs="Arial"/>
          <w:sz w:val="22"/>
          <w:szCs w:val="22"/>
        </w:rPr>
      </w:pPr>
      <w:r w:rsidRPr="00D77CF3">
        <w:rPr>
          <w:rFonts w:ascii="Arial" w:hAnsi="Arial" w:cs="Arial"/>
          <w:sz w:val="22"/>
          <w:szCs w:val="22"/>
        </w:rPr>
        <w:t>delays identified along the cancer pathway and challenges with implementing Faster cancer treatment</w:t>
      </w:r>
    </w:p>
    <w:p w14:paraId="1B2B4745" w14:textId="77777777" w:rsidR="009659C5" w:rsidRPr="00D77CF3" w:rsidRDefault="009659C5" w:rsidP="00C04FF1">
      <w:pPr>
        <w:numPr>
          <w:ilvl w:val="0"/>
          <w:numId w:val="40"/>
        </w:numPr>
        <w:spacing w:before="60" w:after="60"/>
        <w:contextualSpacing/>
        <w:jc w:val="both"/>
        <w:rPr>
          <w:rFonts w:ascii="Arial" w:hAnsi="Arial" w:cs="Arial"/>
          <w:sz w:val="22"/>
          <w:szCs w:val="22"/>
        </w:rPr>
      </w:pPr>
      <w:r w:rsidRPr="00D77CF3">
        <w:rPr>
          <w:rFonts w:ascii="Arial" w:hAnsi="Arial" w:cs="Arial"/>
          <w:sz w:val="22"/>
          <w:szCs w:val="22"/>
        </w:rPr>
        <w:t>breaches of the 62 day indicator, and analysis of reasons that contributed to the delay</w:t>
      </w:r>
    </w:p>
    <w:p w14:paraId="6659EDF7" w14:textId="77777777" w:rsidR="009659C5" w:rsidRPr="00D77CF3" w:rsidRDefault="009659C5" w:rsidP="00C04FF1">
      <w:pPr>
        <w:numPr>
          <w:ilvl w:val="0"/>
          <w:numId w:val="40"/>
        </w:numPr>
        <w:spacing w:before="60" w:after="60"/>
        <w:contextualSpacing/>
        <w:jc w:val="both"/>
        <w:rPr>
          <w:rFonts w:ascii="Arial" w:hAnsi="Arial" w:cs="Arial"/>
          <w:sz w:val="22"/>
          <w:szCs w:val="22"/>
        </w:rPr>
      </w:pPr>
      <w:r w:rsidRPr="00D77CF3">
        <w:rPr>
          <w:rFonts w:ascii="Arial" w:hAnsi="Arial" w:cs="Arial"/>
          <w:sz w:val="22"/>
          <w:szCs w:val="22"/>
        </w:rPr>
        <w:t>actions taken and planned in response to the delays and challenges identified.</w:t>
      </w:r>
    </w:p>
    <w:p w14:paraId="230B1D03" w14:textId="77777777" w:rsidR="009659C5" w:rsidRPr="00D77CF3" w:rsidRDefault="009659C5" w:rsidP="009659C5">
      <w:pPr>
        <w:spacing w:before="60" w:after="60"/>
        <w:jc w:val="both"/>
        <w:rPr>
          <w:rFonts w:ascii="Arial" w:hAnsi="Arial" w:cs="Arial"/>
          <w:sz w:val="22"/>
          <w:szCs w:val="22"/>
        </w:rPr>
      </w:pPr>
    </w:p>
    <w:p w14:paraId="7C64AE5D" w14:textId="77777777" w:rsidR="009659C5" w:rsidRPr="00D77CF3" w:rsidRDefault="009659C5" w:rsidP="009659C5">
      <w:pPr>
        <w:spacing w:before="60" w:after="60"/>
        <w:jc w:val="both"/>
        <w:rPr>
          <w:rFonts w:ascii="Arial" w:hAnsi="Arial" w:cs="Arial"/>
          <w:b/>
          <w:sz w:val="22"/>
          <w:szCs w:val="22"/>
        </w:rPr>
      </w:pPr>
      <w:r w:rsidRPr="00D77CF3">
        <w:rPr>
          <w:rFonts w:ascii="Arial" w:hAnsi="Arial" w:cs="Arial"/>
          <w:b/>
          <w:sz w:val="22"/>
          <w:szCs w:val="22"/>
        </w:rPr>
        <w:t>Inclusions and exclusions</w:t>
      </w:r>
    </w:p>
    <w:p w14:paraId="4448D49F"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Data provided to the Ministry will include a delay code for all patients breaching the 62 day timeframe:</w:t>
      </w:r>
    </w:p>
    <w:p w14:paraId="3911ADEE" w14:textId="77777777" w:rsidR="009659C5" w:rsidRPr="00D77CF3" w:rsidRDefault="009659C5" w:rsidP="00C04FF1">
      <w:pPr>
        <w:numPr>
          <w:ilvl w:val="0"/>
          <w:numId w:val="80"/>
        </w:numPr>
        <w:spacing w:before="60" w:after="60"/>
        <w:contextualSpacing/>
        <w:jc w:val="both"/>
        <w:rPr>
          <w:rFonts w:ascii="Arial" w:eastAsiaTheme="minorEastAsia" w:hAnsi="Arial" w:cs="Arial"/>
          <w:sz w:val="22"/>
          <w:szCs w:val="22"/>
          <w:lang w:val="en-US"/>
        </w:rPr>
      </w:pPr>
      <w:r w:rsidRPr="00D77CF3">
        <w:rPr>
          <w:rFonts w:ascii="Arial" w:eastAsiaTheme="minorEastAsia" w:hAnsi="Arial" w:cs="Arial"/>
          <w:sz w:val="22"/>
          <w:szCs w:val="22"/>
          <w:lang w:val="en-US"/>
        </w:rPr>
        <w:t>Patient reason (chosen to delay)</w:t>
      </w:r>
    </w:p>
    <w:p w14:paraId="764A58F3" w14:textId="77777777" w:rsidR="009659C5" w:rsidRPr="00D77CF3" w:rsidRDefault="009659C5" w:rsidP="00C04FF1">
      <w:pPr>
        <w:numPr>
          <w:ilvl w:val="0"/>
          <w:numId w:val="80"/>
        </w:numPr>
        <w:spacing w:before="60" w:after="60"/>
        <w:contextualSpacing/>
        <w:jc w:val="both"/>
        <w:rPr>
          <w:rFonts w:ascii="Arial" w:eastAsiaTheme="minorEastAsia" w:hAnsi="Arial" w:cs="Arial"/>
          <w:sz w:val="22"/>
          <w:szCs w:val="22"/>
          <w:lang w:val="en-US"/>
        </w:rPr>
      </w:pPr>
      <w:r w:rsidRPr="00D77CF3">
        <w:rPr>
          <w:rFonts w:ascii="Arial" w:eastAsiaTheme="minorEastAsia" w:hAnsi="Arial" w:cs="Arial"/>
          <w:sz w:val="22"/>
          <w:szCs w:val="22"/>
          <w:lang w:val="en-US"/>
        </w:rPr>
        <w:t>Clinical consideration (co-morbidities)</w:t>
      </w:r>
    </w:p>
    <w:p w14:paraId="1D436C26" w14:textId="77777777" w:rsidR="009659C5" w:rsidRPr="00D77CF3" w:rsidRDefault="009659C5" w:rsidP="00C04FF1">
      <w:pPr>
        <w:numPr>
          <w:ilvl w:val="0"/>
          <w:numId w:val="80"/>
        </w:numPr>
        <w:spacing w:before="60" w:after="60"/>
        <w:contextualSpacing/>
        <w:jc w:val="both"/>
        <w:rPr>
          <w:rFonts w:ascii="Arial" w:eastAsiaTheme="minorEastAsia" w:hAnsi="Arial" w:cs="Arial"/>
          <w:sz w:val="22"/>
          <w:szCs w:val="22"/>
          <w:lang w:val="en-US"/>
        </w:rPr>
      </w:pPr>
      <w:r w:rsidRPr="00D77CF3">
        <w:rPr>
          <w:rFonts w:ascii="Arial" w:eastAsiaTheme="minorEastAsia" w:hAnsi="Arial" w:cs="Arial"/>
          <w:sz w:val="22"/>
          <w:szCs w:val="22"/>
          <w:lang w:val="en-US"/>
        </w:rPr>
        <w:t>Capacity Constraint  (resulting from lack of resources (theatre, equipment, facilities or workforce) or process constraint including administrative errors).</w:t>
      </w:r>
    </w:p>
    <w:p w14:paraId="3E98A9AC" w14:textId="77777777" w:rsidR="009659C5" w:rsidRPr="00D77CF3" w:rsidRDefault="009659C5" w:rsidP="009659C5">
      <w:pPr>
        <w:spacing w:before="60" w:after="60"/>
        <w:jc w:val="both"/>
        <w:rPr>
          <w:rFonts w:ascii="Arial" w:hAnsi="Arial" w:cs="Arial"/>
          <w:sz w:val="22"/>
          <w:szCs w:val="22"/>
        </w:rPr>
      </w:pPr>
    </w:p>
    <w:p w14:paraId="01B20A59" w14:textId="77777777" w:rsidR="009659C5" w:rsidRPr="00D77CF3" w:rsidRDefault="009659C5" w:rsidP="009659C5">
      <w:pPr>
        <w:spacing w:before="60" w:after="60"/>
        <w:jc w:val="both"/>
        <w:rPr>
          <w:rFonts w:ascii="Arial" w:hAnsi="Arial" w:cs="Arial"/>
          <w:sz w:val="22"/>
          <w:szCs w:val="22"/>
        </w:rPr>
      </w:pPr>
      <w:r w:rsidRPr="00D77CF3">
        <w:rPr>
          <w:rFonts w:ascii="Arial" w:hAnsi="Arial" w:cs="Arial"/>
          <w:sz w:val="22"/>
          <w:szCs w:val="22"/>
        </w:rPr>
        <w:t>All patient data submitted by DHBs is included in the Health Target result, except:</w:t>
      </w:r>
    </w:p>
    <w:p w14:paraId="2643AA29" w14:textId="77777777" w:rsidR="009659C5" w:rsidRPr="00D77CF3" w:rsidRDefault="009659C5" w:rsidP="00C04FF1">
      <w:pPr>
        <w:numPr>
          <w:ilvl w:val="0"/>
          <w:numId w:val="79"/>
        </w:numPr>
        <w:spacing w:before="60" w:after="60"/>
        <w:contextualSpacing/>
        <w:jc w:val="both"/>
        <w:rPr>
          <w:rFonts w:ascii="Arial" w:eastAsiaTheme="minorEastAsia" w:hAnsi="Arial" w:cs="Arial"/>
          <w:sz w:val="22"/>
          <w:szCs w:val="22"/>
          <w:lang w:val="en-US"/>
        </w:rPr>
      </w:pPr>
      <w:r w:rsidRPr="00D77CF3">
        <w:rPr>
          <w:rFonts w:ascii="Arial" w:eastAsiaTheme="minorEastAsia" w:hAnsi="Arial" w:cs="Arial"/>
          <w:sz w:val="22"/>
          <w:szCs w:val="22"/>
          <w:lang w:val="en-US"/>
        </w:rPr>
        <w:t>Patients with a patient reason delay code; these will be removed from the denominator</w:t>
      </w:r>
    </w:p>
    <w:p w14:paraId="0CE3B8B9" w14:textId="77777777" w:rsidR="009659C5" w:rsidRPr="00D77CF3" w:rsidRDefault="009659C5" w:rsidP="00C04FF1">
      <w:pPr>
        <w:numPr>
          <w:ilvl w:val="0"/>
          <w:numId w:val="79"/>
        </w:numPr>
        <w:spacing w:before="60" w:after="60"/>
        <w:contextualSpacing/>
        <w:jc w:val="both"/>
        <w:rPr>
          <w:rFonts w:ascii="Arial" w:eastAsiaTheme="minorEastAsia" w:hAnsi="Arial" w:cs="Arial"/>
          <w:sz w:val="22"/>
          <w:szCs w:val="22"/>
          <w:lang w:val="en-US"/>
        </w:rPr>
      </w:pPr>
      <w:r w:rsidRPr="00D77CF3">
        <w:rPr>
          <w:rFonts w:ascii="Arial" w:eastAsiaTheme="minorEastAsia" w:hAnsi="Arial" w:cs="Arial"/>
          <w:sz w:val="22"/>
          <w:szCs w:val="22"/>
          <w:lang w:val="en-US"/>
        </w:rPr>
        <w:t>Patients with a clinical consideration delay code; these will be removed from the denominator</w:t>
      </w:r>
    </w:p>
    <w:p w14:paraId="173242D0" w14:textId="77777777" w:rsidR="009659C5" w:rsidRPr="00D77CF3" w:rsidRDefault="009659C5" w:rsidP="009659C5">
      <w:pPr>
        <w:spacing w:before="60" w:after="60"/>
        <w:jc w:val="both"/>
        <w:rPr>
          <w:rFonts w:ascii="Arial" w:hAnsi="Arial" w:cs="Arial"/>
          <w:b/>
          <w:sz w:val="22"/>
          <w:szCs w:val="22"/>
        </w:rPr>
      </w:pPr>
    </w:p>
    <w:p w14:paraId="7E39E27A" w14:textId="77777777" w:rsidR="009659C5" w:rsidRPr="00D77CF3" w:rsidRDefault="009659C5" w:rsidP="009659C5">
      <w:pPr>
        <w:spacing w:before="60" w:after="60"/>
        <w:jc w:val="both"/>
        <w:rPr>
          <w:rFonts w:ascii="Arial" w:hAnsi="Arial" w:cs="Arial"/>
          <w:b/>
          <w:sz w:val="22"/>
          <w:szCs w:val="22"/>
        </w:rPr>
      </w:pPr>
      <w:r w:rsidRPr="00D77CF3">
        <w:rPr>
          <w:rFonts w:ascii="Arial" w:hAnsi="Arial" w:cs="Arial"/>
          <w:b/>
          <w:sz w:val="22"/>
          <w:szCs w:val="22"/>
        </w:rPr>
        <w:t>Reporting period</w:t>
      </w:r>
    </w:p>
    <w:p w14:paraId="0DB25603" w14:textId="77777777" w:rsidR="009659C5" w:rsidRPr="00D77CF3" w:rsidRDefault="009659C5" w:rsidP="009659C5">
      <w:pPr>
        <w:spacing w:before="60" w:after="120"/>
        <w:rPr>
          <w:rFonts w:ascii="Arial" w:hAnsi="Arial" w:cs="Arial"/>
          <w:sz w:val="22"/>
          <w:szCs w:val="22"/>
        </w:rPr>
      </w:pPr>
      <w:r w:rsidRPr="00D77CF3">
        <w:rPr>
          <w:rFonts w:ascii="Arial" w:hAnsi="Arial" w:cs="Arial"/>
          <w:sz w:val="22"/>
          <w:szCs w:val="22"/>
        </w:rPr>
        <w:t xml:space="preserve">DHB achievement of the Faster cancer treatment health target will be calculated based on six months rolling data as outlined in the table below: </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671"/>
      </w:tblGrid>
      <w:tr w:rsidR="009659C5" w:rsidRPr="00D77CF3" w14:paraId="4D4B865B" w14:textId="77777777" w:rsidTr="009D6F69">
        <w:trPr>
          <w:jc w:val="center"/>
        </w:trPr>
        <w:tc>
          <w:tcPr>
            <w:tcW w:w="2547" w:type="dxa"/>
            <w:shd w:val="clear" w:color="auto" w:fill="CCCCCC"/>
            <w:vAlign w:val="center"/>
          </w:tcPr>
          <w:p w14:paraId="0D9A75F4" w14:textId="77777777" w:rsidR="009659C5" w:rsidRPr="00D77CF3" w:rsidRDefault="009659C5" w:rsidP="009D6F69">
            <w:pPr>
              <w:spacing w:before="60" w:after="60"/>
              <w:jc w:val="both"/>
              <w:rPr>
                <w:rFonts w:ascii="Arial" w:hAnsi="Arial" w:cs="Arial"/>
                <w:b/>
                <w:sz w:val="22"/>
                <w:szCs w:val="22"/>
              </w:rPr>
            </w:pPr>
            <w:r w:rsidRPr="00D77CF3">
              <w:rPr>
                <w:rFonts w:ascii="Arial" w:hAnsi="Arial" w:cs="Arial"/>
                <w:b/>
                <w:sz w:val="22"/>
                <w:szCs w:val="22"/>
              </w:rPr>
              <w:t xml:space="preserve">Reporting quarter </w:t>
            </w:r>
          </w:p>
        </w:tc>
        <w:tc>
          <w:tcPr>
            <w:tcW w:w="7671" w:type="dxa"/>
            <w:shd w:val="clear" w:color="auto" w:fill="CCCCCC"/>
            <w:vAlign w:val="center"/>
          </w:tcPr>
          <w:p w14:paraId="79ABC257" w14:textId="77777777" w:rsidR="009659C5" w:rsidRPr="00D77CF3" w:rsidRDefault="009659C5" w:rsidP="009D6F69">
            <w:pPr>
              <w:spacing w:before="60" w:after="60"/>
              <w:jc w:val="both"/>
              <w:rPr>
                <w:rFonts w:ascii="Arial" w:hAnsi="Arial" w:cs="Arial"/>
                <w:b/>
                <w:sz w:val="22"/>
                <w:szCs w:val="22"/>
              </w:rPr>
            </w:pPr>
            <w:r w:rsidRPr="00D77CF3">
              <w:rPr>
                <w:rFonts w:ascii="Arial" w:hAnsi="Arial" w:cs="Arial"/>
                <w:b/>
                <w:sz w:val="22"/>
                <w:szCs w:val="22"/>
              </w:rPr>
              <w:t>Achievement based on patients receiving their first cancer treatment between:</w:t>
            </w:r>
          </w:p>
        </w:tc>
      </w:tr>
      <w:tr w:rsidR="009659C5" w:rsidRPr="00D77CF3" w14:paraId="0DA6976E" w14:textId="77777777" w:rsidTr="009D6F69">
        <w:trPr>
          <w:jc w:val="center"/>
        </w:trPr>
        <w:tc>
          <w:tcPr>
            <w:tcW w:w="2547" w:type="dxa"/>
            <w:shd w:val="clear" w:color="auto" w:fill="auto"/>
          </w:tcPr>
          <w:p w14:paraId="656E298C"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Quarter 1</w:t>
            </w:r>
          </w:p>
        </w:tc>
        <w:tc>
          <w:tcPr>
            <w:tcW w:w="7671" w:type="dxa"/>
            <w:shd w:val="clear" w:color="auto" w:fill="auto"/>
          </w:tcPr>
          <w:p w14:paraId="4E3CCD8E"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 xml:space="preserve">1 April – 30 September </w:t>
            </w:r>
          </w:p>
        </w:tc>
      </w:tr>
      <w:tr w:rsidR="009659C5" w:rsidRPr="00D77CF3" w14:paraId="22FDDF9F" w14:textId="77777777" w:rsidTr="009D6F69">
        <w:tblPrEx>
          <w:tblLook w:val="01E0" w:firstRow="1" w:lastRow="1" w:firstColumn="1" w:lastColumn="1" w:noHBand="0" w:noVBand="0"/>
        </w:tblPrEx>
        <w:trPr>
          <w:jc w:val="center"/>
        </w:trPr>
        <w:tc>
          <w:tcPr>
            <w:tcW w:w="2547" w:type="dxa"/>
            <w:shd w:val="clear" w:color="auto" w:fill="auto"/>
          </w:tcPr>
          <w:p w14:paraId="4B0C1E71"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Quarter 2</w:t>
            </w:r>
          </w:p>
        </w:tc>
        <w:tc>
          <w:tcPr>
            <w:tcW w:w="7671" w:type="dxa"/>
            <w:shd w:val="clear" w:color="auto" w:fill="auto"/>
          </w:tcPr>
          <w:p w14:paraId="2AF8B9D5"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 xml:space="preserve">1 July – 31 December </w:t>
            </w:r>
          </w:p>
        </w:tc>
      </w:tr>
      <w:tr w:rsidR="009659C5" w:rsidRPr="00D77CF3" w14:paraId="39F3A6B7" w14:textId="77777777" w:rsidTr="009D6F69">
        <w:tblPrEx>
          <w:tblLook w:val="01E0" w:firstRow="1" w:lastRow="1" w:firstColumn="1" w:lastColumn="1" w:noHBand="0" w:noVBand="0"/>
        </w:tblPrEx>
        <w:trPr>
          <w:jc w:val="center"/>
        </w:trPr>
        <w:tc>
          <w:tcPr>
            <w:tcW w:w="2547" w:type="dxa"/>
            <w:shd w:val="clear" w:color="auto" w:fill="auto"/>
          </w:tcPr>
          <w:p w14:paraId="007895EE"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Quarter 3</w:t>
            </w:r>
          </w:p>
        </w:tc>
        <w:tc>
          <w:tcPr>
            <w:tcW w:w="7671" w:type="dxa"/>
            <w:shd w:val="clear" w:color="auto" w:fill="auto"/>
          </w:tcPr>
          <w:p w14:paraId="2D1C83A9"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1 October -  31 March</w:t>
            </w:r>
          </w:p>
        </w:tc>
      </w:tr>
      <w:tr w:rsidR="009659C5" w:rsidRPr="00D77CF3" w14:paraId="02768F2B" w14:textId="77777777" w:rsidTr="009D6F69">
        <w:tblPrEx>
          <w:tblLook w:val="01E0" w:firstRow="1" w:lastRow="1" w:firstColumn="1" w:lastColumn="1" w:noHBand="0" w:noVBand="0"/>
        </w:tblPrEx>
        <w:trPr>
          <w:jc w:val="center"/>
        </w:trPr>
        <w:tc>
          <w:tcPr>
            <w:tcW w:w="2547" w:type="dxa"/>
            <w:shd w:val="clear" w:color="auto" w:fill="auto"/>
          </w:tcPr>
          <w:p w14:paraId="534F81EC"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Quarter 4</w:t>
            </w:r>
          </w:p>
        </w:tc>
        <w:tc>
          <w:tcPr>
            <w:tcW w:w="7671" w:type="dxa"/>
            <w:shd w:val="clear" w:color="auto" w:fill="auto"/>
          </w:tcPr>
          <w:p w14:paraId="2C382F2D" w14:textId="77777777" w:rsidR="009659C5" w:rsidRPr="00D77CF3" w:rsidRDefault="009659C5" w:rsidP="009D6F69">
            <w:pPr>
              <w:spacing w:before="60" w:after="60"/>
              <w:jc w:val="both"/>
              <w:rPr>
                <w:rFonts w:ascii="Arial" w:hAnsi="Arial" w:cs="Arial"/>
                <w:sz w:val="22"/>
                <w:szCs w:val="22"/>
              </w:rPr>
            </w:pPr>
            <w:r w:rsidRPr="00D77CF3">
              <w:rPr>
                <w:rFonts w:ascii="Arial" w:hAnsi="Arial" w:cs="Arial"/>
                <w:sz w:val="22"/>
                <w:szCs w:val="22"/>
              </w:rPr>
              <w:t xml:space="preserve">1 January – 30 June </w:t>
            </w:r>
          </w:p>
        </w:tc>
      </w:tr>
    </w:tbl>
    <w:p w14:paraId="195F127B" w14:textId="77777777" w:rsidR="009659C5" w:rsidRPr="00D77CF3" w:rsidRDefault="009659C5" w:rsidP="009659C5">
      <w:pPr>
        <w:spacing w:before="60" w:after="60"/>
        <w:jc w:val="both"/>
        <w:rPr>
          <w:rFonts w:ascii="Arial" w:hAnsi="Arial" w:cs="Arial"/>
          <w:b/>
          <w:sz w:val="22"/>
          <w:szCs w:val="22"/>
        </w:rPr>
      </w:pPr>
    </w:p>
    <w:p w14:paraId="6F54B274" w14:textId="77777777" w:rsidR="009659C5" w:rsidRPr="00D77CF3" w:rsidRDefault="009659C5" w:rsidP="009659C5">
      <w:pPr>
        <w:spacing w:before="60" w:after="60"/>
        <w:jc w:val="both"/>
        <w:rPr>
          <w:rFonts w:ascii="Arial" w:hAnsi="Arial" w:cs="Arial"/>
          <w:b/>
          <w:sz w:val="22"/>
          <w:szCs w:val="22"/>
        </w:rPr>
      </w:pPr>
    </w:p>
    <w:p w14:paraId="1F4EFEB5" w14:textId="77777777" w:rsidR="009659C5" w:rsidRPr="00D77CF3" w:rsidRDefault="009659C5" w:rsidP="009659C5">
      <w:pPr>
        <w:spacing w:before="60" w:after="60"/>
        <w:jc w:val="both"/>
        <w:rPr>
          <w:rFonts w:ascii="Arial" w:hAnsi="Arial" w:cs="Arial"/>
          <w:b/>
          <w:sz w:val="22"/>
          <w:szCs w:val="22"/>
        </w:rPr>
      </w:pPr>
    </w:p>
    <w:p w14:paraId="348E3541" w14:textId="77777777" w:rsidR="009659C5" w:rsidRPr="00D77CF3" w:rsidRDefault="009659C5" w:rsidP="009659C5">
      <w:pPr>
        <w:spacing w:before="60" w:after="60"/>
        <w:jc w:val="both"/>
        <w:rPr>
          <w:rFonts w:ascii="Arial" w:hAnsi="Arial" w:cs="Arial"/>
          <w:b/>
          <w:sz w:val="22"/>
          <w:szCs w:val="22"/>
        </w:rPr>
      </w:pPr>
    </w:p>
    <w:p w14:paraId="4E9DCDBD" w14:textId="77777777" w:rsidR="009659C5" w:rsidRPr="00D77CF3" w:rsidRDefault="009659C5" w:rsidP="009659C5">
      <w:pPr>
        <w:spacing w:before="60" w:after="60"/>
        <w:jc w:val="both"/>
        <w:rPr>
          <w:rFonts w:ascii="Arial" w:hAnsi="Arial" w:cs="Arial"/>
          <w:b/>
          <w:sz w:val="22"/>
          <w:szCs w:val="22"/>
        </w:rPr>
      </w:pPr>
      <w:r w:rsidRPr="00D77CF3">
        <w:rPr>
          <w:rFonts w:ascii="Arial" w:hAnsi="Arial" w:cs="Arial"/>
          <w:b/>
          <w:sz w:val="22"/>
          <w:szCs w:val="22"/>
        </w:rPr>
        <w:t>Expectations:</w:t>
      </w:r>
    </w:p>
    <w:p w14:paraId="16EA9E4F" w14:textId="77777777" w:rsidR="009659C5" w:rsidRPr="00D77CF3" w:rsidRDefault="009659C5" w:rsidP="009659C5">
      <w:pPr>
        <w:spacing w:before="60" w:after="120"/>
        <w:jc w:val="both"/>
        <w:rPr>
          <w:rFonts w:ascii="Arial" w:hAnsi="Arial" w:cs="Arial"/>
          <w:sz w:val="22"/>
          <w:szCs w:val="22"/>
        </w:rPr>
      </w:pPr>
      <w:r w:rsidRPr="00D77CF3">
        <w:rPr>
          <w:rFonts w:ascii="Arial" w:hAnsi="Arial" w:cs="Arial"/>
          <w:sz w:val="22"/>
          <w:szCs w:val="22"/>
        </w:rPr>
        <w:t>The following achievement scale will be applied:</w:t>
      </w:r>
    </w:p>
    <w:tbl>
      <w:tblPr>
        <w:tblW w:w="10376" w:type="dxa"/>
        <w:tblInd w:w="-8" w:type="dxa"/>
        <w:tblLayout w:type="fixed"/>
        <w:tblLook w:val="00A0" w:firstRow="1" w:lastRow="0" w:firstColumn="1" w:lastColumn="0" w:noHBand="0" w:noVBand="0"/>
      </w:tblPr>
      <w:tblGrid>
        <w:gridCol w:w="2636"/>
        <w:gridCol w:w="7740"/>
      </w:tblGrid>
      <w:tr w:rsidR="009659C5" w:rsidRPr="00D77CF3" w14:paraId="45F063A2" w14:textId="77777777" w:rsidTr="009D6F69">
        <w:tc>
          <w:tcPr>
            <w:tcW w:w="2636"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1C7FD96" w14:textId="77777777" w:rsidR="009659C5" w:rsidRPr="00D77CF3" w:rsidRDefault="009659C5" w:rsidP="009D6F69">
            <w:pPr>
              <w:autoSpaceDE w:val="0"/>
              <w:autoSpaceDN w:val="0"/>
              <w:adjustRightInd w:val="0"/>
              <w:spacing w:before="120" w:after="120"/>
              <w:jc w:val="both"/>
              <w:rPr>
                <w:rFonts w:ascii="Arial" w:hAnsi="Arial" w:cs="Arial"/>
                <w:b/>
                <w:bCs/>
                <w:color w:val="000000"/>
                <w:sz w:val="22"/>
                <w:szCs w:val="22"/>
                <w:lang w:eastAsia="en-NZ"/>
              </w:rPr>
            </w:pPr>
            <w:r w:rsidRPr="00D77CF3">
              <w:rPr>
                <w:rFonts w:ascii="Arial" w:hAnsi="Arial" w:cs="Arial"/>
                <w:b/>
                <w:bCs/>
                <w:color w:val="000000"/>
                <w:sz w:val="22"/>
                <w:szCs w:val="22"/>
                <w:lang w:eastAsia="en-NZ"/>
              </w:rPr>
              <w:t xml:space="preserve">Rating: </w:t>
            </w:r>
          </w:p>
        </w:tc>
        <w:tc>
          <w:tcPr>
            <w:tcW w:w="7740"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305848DF" w14:textId="77777777" w:rsidR="009659C5" w:rsidRPr="00D77CF3" w:rsidRDefault="009659C5" w:rsidP="009D6F69">
            <w:pPr>
              <w:autoSpaceDE w:val="0"/>
              <w:autoSpaceDN w:val="0"/>
              <w:adjustRightInd w:val="0"/>
              <w:rPr>
                <w:rFonts w:ascii="Arial" w:hAnsi="Arial" w:cs="Arial"/>
                <w:b/>
                <w:bCs/>
                <w:color w:val="000000"/>
                <w:sz w:val="22"/>
                <w:szCs w:val="22"/>
                <w:lang w:eastAsia="en-NZ"/>
              </w:rPr>
            </w:pPr>
          </w:p>
        </w:tc>
      </w:tr>
      <w:tr w:rsidR="009659C5" w:rsidRPr="00D77CF3" w14:paraId="62ED22EA" w14:textId="77777777" w:rsidTr="009D6F69">
        <w:tc>
          <w:tcPr>
            <w:tcW w:w="2636" w:type="dxa"/>
            <w:tcBorders>
              <w:top w:val="single" w:sz="6" w:space="0" w:color="000000"/>
              <w:left w:val="single" w:sz="6" w:space="0" w:color="000000"/>
              <w:bottom w:val="single" w:sz="6" w:space="0" w:color="000000"/>
              <w:right w:val="single" w:sz="6" w:space="0" w:color="000000"/>
            </w:tcBorders>
          </w:tcPr>
          <w:p w14:paraId="322B28C7" w14:textId="77777777" w:rsidR="009659C5" w:rsidRPr="00D77CF3" w:rsidRDefault="009659C5" w:rsidP="009D6F69">
            <w:pPr>
              <w:autoSpaceDE w:val="0"/>
              <w:autoSpaceDN w:val="0"/>
              <w:adjustRightInd w:val="0"/>
              <w:spacing w:before="120" w:after="120"/>
              <w:jc w:val="both"/>
              <w:rPr>
                <w:rFonts w:ascii="Arial" w:hAnsi="Arial" w:cs="Arial"/>
                <w:color w:val="000000"/>
                <w:sz w:val="22"/>
                <w:szCs w:val="22"/>
                <w:lang w:eastAsia="en-NZ"/>
              </w:rPr>
            </w:pPr>
            <w:r w:rsidRPr="00D77CF3">
              <w:rPr>
                <w:rFonts w:ascii="Arial" w:hAnsi="Arial" w:cs="Arial"/>
                <w:color w:val="000000"/>
                <w:sz w:val="22"/>
                <w:szCs w:val="22"/>
                <w:lang w:eastAsia="en-NZ"/>
              </w:rPr>
              <w:t>Achieved</w:t>
            </w:r>
          </w:p>
        </w:tc>
        <w:tc>
          <w:tcPr>
            <w:tcW w:w="7740" w:type="dxa"/>
            <w:tcBorders>
              <w:top w:val="single" w:sz="6" w:space="0" w:color="000000"/>
              <w:left w:val="single" w:sz="6" w:space="0" w:color="000000"/>
              <w:bottom w:val="single" w:sz="6" w:space="0" w:color="000000"/>
              <w:right w:val="single" w:sz="6" w:space="0" w:color="000000"/>
            </w:tcBorders>
          </w:tcPr>
          <w:p w14:paraId="3CC8157D" w14:textId="77777777" w:rsidR="009659C5" w:rsidRPr="00D77CF3" w:rsidRDefault="009659C5" w:rsidP="009D6F69">
            <w:pPr>
              <w:keepNext/>
              <w:keepLines/>
              <w:autoSpaceDE w:val="0"/>
              <w:autoSpaceDN w:val="0"/>
              <w:adjustRightInd w:val="0"/>
              <w:spacing w:before="120" w:after="120"/>
              <w:jc w:val="both"/>
              <w:rPr>
                <w:rFonts w:ascii="Arial" w:hAnsi="Arial" w:cs="Arial"/>
                <w:sz w:val="22"/>
                <w:szCs w:val="22"/>
                <w:lang w:eastAsia="en-NZ"/>
              </w:rPr>
            </w:pPr>
            <w:r w:rsidRPr="00D77CF3">
              <w:rPr>
                <w:rFonts w:ascii="Arial" w:hAnsi="Arial" w:cs="Arial"/>
                <w:sz w:val="22"/>
                <w:szCs w:val="22"/>
                <w:lang w:eastAsia="en-NZ"/>
              </w:rPr>
              <w:t>will apply where the DHB has met the target percentage.</w:t>
            </w:r>
          </w:p>
        </w:tc>
      </w:tr>
      <w:tr w:rsidR="009659C5" w:rsidRPr="00D77CF3" w14:paraId="7B087688" w14:textId="77777777" w:rsidTr="009D6F69">
        <w:tc>
          <w:tcPr>
            <w:tcW w:w="2636" w:type="dxa"/>
            <w:tcBorders>
              <w:top w:val="single" w:sz="6" w:space="0" w:color="000000"/>
              <w:left w:val="single" w:sz="6" w:space="0" w:color="000000"/>
              <w:bottom w:val="single" w:sz="6" w:space="0" w:color="000000"/>
              <w:right w:val="single" w:sz="6" w:space="0" w:color="000000"/>
            </w:tcBorders>
          </w:tcPr>
          <w:p w14:paraId="3E61684A" w14:textId="77777777" w:rsidR="009659C5" w:rsidRPr="00D77CF3" w:rsidRDefault="009659C5" w:rsidP="009D6F69">
            <w:pPr>
              <w:autoSpaceDE w:val="0"/>
              <w:autoSpaceDN w:val="0"/>
              <w:adjustRightInd w:val="0"/>
              <w:spacing w:before="120" w:after="120"/>
              <w:jc w:val="both"/>
              <w:rPr>
                <w:rFonts w:ascii="Arial" w:hAnsi="Arial" w:cs="Arial"/>
                <w:color w:val="000000"/>
                <w:sz w:val="22"/>
                <w:szCs w:val="22"/>
                <w:lang w:eastAsia="en-NZ"/>
              </w:rPr>
            </w:pPr>
            <w:r w:rsidRPr="00D77CF3">
              <w:rPr>
                <w:rFonts w:ascii="Arial" w:hAnsi="Arial" w:cs="Arial"/>
                <w:color w:val="000000"/>
                <w:sz w:val="22"/>
                <w:szCs w:val="22"/>
                <w:lang w:eastAsia="en-NZ"/>
              </w:rPr>
              <w:t>Partially Achieved</w:t>
            </w:r>
          </w:p>
        </w:tc>
        <w:tc>
          <w:tcPr>
            <w:tcW w:w="7740" w:type="dxa"/>
            <w:tcBorders>
              <w:top w:val="single" w:sz="6" w:space="0" w:color="000000"/>
              <w:left w:val="single" w:sz="6" w:space="0" w:color="000000"/>
              <w:bottom w:val="single" w:sz="6" w:space="0" w:color="000000"/>
              <w:right w:val="single" w:sz="6" w:space="0" w:color="000000"/>
            </w:tcBorders>
          </w:tcPr>
          <w:p w14:paraId="39EAAD55" w14:textId="77777777" w:rsidR="009659C5" w:rsidRPr="00D77CF3" w:rsidRDefault="009659C5" w:rsidP="009D6F69">
            <w:pPr>
              <w:autoSpaceDE w:val="0"/>
              <w:autoSpaceDN w:val="0"/>
              <w:adjustRightInd w:val="0"/>
              <w:spacing w:before="120" w:after="120"/>
              <w:jc w:val="both"/>
              <w:rPr>
                <w:rFonts w:ascii="Arial" w:hAnsi="Arial" w:cs="Arial"/>
                <w:sz w:val="22"/>
                <w:szCs w:val="22"/>
                <w:lang w:eastAsia="en-NZ"/>
              </w:rPr>
            </w:pPr>
            <w:r w:rsidRPr="00D77CF3">
              <w:rPr>
                <w:rFonts w:ascii="Arial" w:hAnsi="Arial" w:cs="Arial"/>
                <w:sz w:val="22"/>
                <w:szCs w:val="22"/>
                <w:lang w:eastAsia="en-NZ"/>
              </w:rPr>
              <w:t>will apply where the DHB has not met the target percentage but achievement has improved compared to the previous quarter and the narrative comment satisfies the assessor that the DHB is on track to meet the target.</w:t>
            </w:r>
          </w:p>
        </w:tc>
      </w:tr>
      <w:tr w:rsidR="009659C5" w:rsidRPr="00D77CF3" w14:paraId="356A8C84" w14:textId="77777777" w:rsidTr="009D6F69">
        <w:tc>
          <w:tcPr>
            <w:tcW w:w="2636" w:type="dxa"/>
            <w:tcBorders>
              <w:top w:val="single" w:sz="6" w:space="0" w:color="000000"/>
              <w:left w:val="single" w:sz="6" w:space="0" w:color="000000"/>
              <w:bottom w:val="single" w:sz="6" w:space="0" w:color="000000"/>
              <w:right w:val="single" w:sz="6" w:space="0" w:color="000000"/>
            </w:tcBorders>
          </w:tcPr>
          <w:p w14:paraId="0EB84BC0" w14:textId="77777777" w:rsidR="009659C5" w:rsidRPr="00D77CF3" w:rsidRDefault="009659C5" w:rsidP="009D6F69">
            <w:pPr>
              <w:autoSpaceDE w:val="0"/>
              <w:autoSpaceDN w:val="0"/>
              <w:adjustRightInd w:val="0"/>
              <w:spacing w:before="120" w:after="120"/>
              <w:jc w:val="both"/>
              <w:rPr>
                <w:rFonts w:ascii="Arial" w:hAnsi="Arial" w:cs="Arial"/>
                <w:color w:val="000000"/>
                <w:sz w:val="22"/>
                <w:szCs w:val="22"/>
                <w:lang w:eastAsia="en-NZ"/>
              </w:rPr>
            </w:pPr>
            <w:r w:rsidRPr="00D77CF3">
              <w:rPr>
                <w:rFonts w:ascii="Arial" w:hAnsi="Arial" w:cs="Arial"/>
                <w:color w:val="000000"/>
                <w:sz w:val="22"/>
                <w:szCs w:val="22"/>
                <w:lang w:eastAsia="en-NZ"/>
              </w:rPr>
              <w:t>Not Achieved</w:t>
            </w:r>
          </w:p>
        </w:tc>
        <w:tc>
          <w:tcPr>
            <w:tcW w:w="7740" w:type="dxa"/>
            <w:tcBorders>
              <w:top w:val="single" w:sz="6" w:space="0" w:color="000000"/>
              <w:left w:val="single" w:sz="6" w:space="0" w:color="000000"/>
              <w:bottom w:val="single" w:sz="6" w:space="0" w:color="000000"/>
              <w:right w:val="single" w:sz="6" w:space="0" w:color="000000"/>
            </w:tcBorders>
          </w:tcPr>
          <w:p w14:paraId="4F3EC078" w14:textId="77777777" w:rsidR="009659C5" w:rsidRPr="00D77CF3" w:rsidRDefault="009659C5" w:rsidP="009D6F69">
            <w:pPr>
              <w:autoSpaceDE w:val="0"/>
              <w:autoSpaceDN w:val="0"/>
              <w:adjustRightInd w:val="0"/>
              <w:spacing w:before="120" w:after="120"/>
              <w:jc w:val="both"/>
              <w:rPr>
                <w:rFonts w:ascii="Arial" w:hAnsi="Arial" w:cs="Arial"/>
                <w:sz w:val="22"/>
                <w:szCs w:val="22"/>
                <w:lang w:eastAsia="en-NZ"/>
              </w:rPr>
            </w:pPr>
            <w:r w:rsidRPr="00D77CF3">
              <w:rPr>
                <w:rFonts w:ascii="Arial" w:hAnsi="Arial" w:cs="Arial"/>
                <w:sz w:val="22"/>
                <w:szCs w:val="22"/>
                <w:lang w:eastAsia="en-NZ"/>
              </w:rPr>
              <w:t>will apply where the DHB has not met the target percentage and achievement has decreased compared to the previous quarter and/or the narrative comment does not satisfy the assessor that the DHB is on track to meet the target.</w:t>
            </w:r>
          </w:p>
        </w:tc>
      </w:tr>
    </w:tbl>
    <w:p w14:paraId="7EE2C612" w14:textId="44F08517" w:rsidR="00E2735C" w:rsidRPr="0036121D" w:rsidRDefault="007D5A67" w:rsidP="009659C5">
      <w:pPr>
        <w:keepNext/>
        <w:shd w:val="clear" w:color="auto" w:fill="FFFFFF"/>
        <w:outlineLvl w:val="0"/>
        <w:rPr>
          <w:rFonts w:ascii="Arial" w:hAnsi="Arial" w:cs="Arial"/>
          <w:color w:val="000000"/>
          <w:sz w:val="22"/>
          <w:szCs w:val="22"/>
          <w:lang w:eastAsia="en-NZ"/>
        </w:rPr>
      </w:pPr>
      <w:r>
        <w:rPr>
          <w:rFonts w:ascii="Arial" w:hAnsi="Arial" w:cs="Arial"/>
          <w:b/>
          <w:i/>
        </w:rPr>
        <w:br w:type="page"/>
      </w:r>
      <w:bookmarkEnd w:id="499"/>
      <w:bookmarkEnd w:id="500"/>
    </w:p>
    <w:p w14:paraId="155D4FA4" w14:textId="77777777" w:rsidR="00E35DB4" w:rsidRPr="00110AF1" w:rsidRDefault="00E35DB4" w:rsidP="00270DDC">
      <w:pPr>
        <w:pStyle w:val="Heading2"/>
      </w:pPr>
      <w:r w:rsidRPr="00110AF1">
        <w:lastRenderedPageBreak/>
        <w:t xml:space="preserve">Outcome priority:  We have equity for Maori and other groups </w:t>
      </w:r>
    </w:p>
    <w:p w14:paraId="29188F77" w14:textId="51E9C69B" w:rsidR="009D6F69" w:rsidRPr="003A078B" w:rsidRDefault="00604F7F" w:rsidP="003A078B">
      <w:pPr>
        <w:pStyle w:val="Heading2"/>
      </w:pPr>
      <w:bookmarkStart w:id="519" w:name="_Toc4588568"/>
      <w:bookmarkStart w:id="520" w:name="_Toc9592037"/>
      <w:r w:rsidRPr="003A078B">
        <w:t>Better population health outcomes supported by a s</w:t>
      </w:r>
      <w:r w:rsidR="009D6F69" w:rsidRPr="003A078B">
        <w:t>trong and equitable health and disability system SS12: Engagement and obligations as a Treaty partner</w:t>
      </w:r>
      <w:bookmarkEnd w:id="519"/>
      <w:bookmarkEnd w:id="520"/>
      <w:r w:rsidR="009D6F69" w:rsidRPr="003A078B">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7371"/>
      </w:tblGrid>
      <w:tr w:rsidR="009D6F69" w:rsidRPr="00B44AD8" w14:paraId="7F391593" w14:textId="77777777" w:rsidTr="009D6F69">
        <w:tc>
          <w:tcPr>
            <w:tcW w:w="9527" w:type="dxa"/>
            <w:gridSpan w:val="2"/>
            <w:shd w:val="clear" w:color="auto" w:fill="D9D9D9"/>
          </w:tcPr>
          <w:p w14:paraId="3E0FCD05" w14:textId="77A7D546" w:rsidR="009D6F69" w:rsidRPr="00B44AD8" w:rsidRDefault="009D6F69" w:rsidP="009D6F69">
            <w:pPr>
              <w:shd w:val="clear" w:color="auto" w:fill="FFFFFF"/>
              <w:spacing w:before="60" w:after="60"/>
              <w:jc w:val="center"/>
              <w:rPr>
                <w:rFonts w:ascii="Arial" w:hAnsi="Arial" w:cs="Arial"/>
                <w:b/>
              </w:rPr>
            </w:pPr>
            <w:r w:rsidRPr="00784823">
              <w:t xml:space="preserve"> </w:t>
            </w:r>
            <w:r w:rsidRPr="00B44AD8">
              <w:rPr>
                <w:rFonts w:ascii="Arial" w:hAnsi="Arial" w:cs="Arial"/>
                <w:b/>
              </w:rPr>
              <w:t>Summary information</w:t>
            </w:r>
          </w:p>
        </w:tc>
      </w:tr>
      <w:tr w:rsidR="009D6F69" w:rsidRPr="00B44AD8" w14:paraId="29F8F0A9" w14:textId="77777777" w:rsidTr="009D6F69">
        <w:tc>
          <w:tcPr>
            <w:tcW w:w="2156" w:type="dxa"/>
            <w:shd w:val="clear" w:color="auto" w:fill="auto"/>
          </w:tcPr>
          <w:p w14:paraId="4BFDA3A9" w14:textId="77777777" w:rsidR="009D6F69" w:rsidRPr="00B44AD8" w:rsidRDefault="009D6F69" w:rsidP="009D6F69">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371" w:type="dxa"/>
            <w:shd w:val="clear" w:color="auto" w:fill="auto"/>
          </w:tcPr>
          <w:p w14:paraId="5C7C5C97" w14:textId="77777777" w:rsidR="009D6F69" w:rsidRPr="00B44AD8" w:rsidRDefault="009D6F69" w:rsidP="009D6F69">
            <w:pPr>
              <w:shd w:val="clear" w:color="auto" w:fill="FFFFFF"/>
              <w:spacing w:before="60" w:after="60"/>
              <w:jc w:val="both"/>
              <w:rPr>
                <w:rFonts w:ascii="Arial" w:hAnsi="Arial" w:cs="Arial"/>
                <w:b/>
                <w:i/>
                <w:sz w:val="20"/>
                <w:szCs w:val="20"/>
              </w:rPr>
            </w:pPr>
            <w:r>
              <w:rPr>
                <w:rFonts w:ascii="Arial" w:hAnsi="Arial" w:cs="Arial"/>
                <w:sz w:val="20"/>
                <w:szCs w:val="20"/>
              </w:rPr>
              <w:t>DHBs are meeting their Treaty of Waitangi obligations specified in t</w:t>
            </w:r>
            <w:r w:rsidRPr="003F016B">
              <w:rPr>
                <w:rFonts w:ascii="Arial" w:hAnsi="Arial" w:cs="Arial"/>
                <w:sz w:val="20"/>
                <w:szCs w:val="20"/>
              </w:rPr>
              <w:t>he New Zealand Public Health and Disability Act 2000</w:t>
            </w:r>
          </w:p>
        </w:tc>
      </w:tr>
      <w:tr w:rsidR="009D6F69" w:rsidRPr="00B44AD8" w14:paraId="4FA0780B" w14:textId="77777777" w:rsidTr="009D6F69">
        <w:trPr>
          <w:trHeight w:val="493"/>
        </w:trPr>
        <w:tc>
          <w:tcPr>
            <w:tcW w:w="2156" w:type="dxa"/>
            <w:shd w:val="clear" w:color="auto" w:fill="auto"/>
          </w:tcPr>
          <w:p w14:paraId="4E355B23" w14:textId="77777777" w:rsidR="009D6F69" w:rsidRPr="00B44AD8" w:rsidRDefault="009D6F69" w:rsidP="009D6F69">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371" w:type="dxa"/>
            <w:shd w:val="clear" w:color="auto" w:fill="auto"/>
          </w:tcPr>
          <w:p w14:paraId="6FF61C16" w14:textId="77777777" w:rsidR="009D6F69" w:rsidRPr="00B44AD8" w:rsidRDefault="009D6F69" w:rsidP="009D6F69">
            <w:pPr>
              <w:shd w:val="clear" w:color="auto" w:fill="FFFFFF"/>
              <w:spacing w:before="60" w:after="60"/>
              <w:jc w:val="both"/>
              <w:rPr>
                <w:rFonts w:ascii="Arial" w:hAnsi="Arial" w:cs="Arial"/>
                <w:sz w:val="20"/>
                <w:szCs w:val="20"/>
              </w:rPr>
            </w:pPr>
            <w:r>
              <w:rPr>
                <w:rFonts w:ascii="Arial" w:hAnsi="Arial" w:cs="Arial"/>
                <w:sz w:val="20"/>
                <w:szCs w:val="20"/>
              </w:rPr>
              <w:t>Six monthly quarter two and four</w:t>
            </w:r>
          </w:p>
        </w:tc>
      </w:tr>
      <w:tr w:rsidR="009D6F69" w:rsidRPr="00B44AD8" w14:paraId="131A6E11" w14:textId="77777777" w:rsidTr="009D6F69">
        <w:tc>
          <w:tcPr>
            <w:tcW w:w="2156" w:type="dxa"/>
            <w:shd w:val="clear" w:color="auto" w:fill="auto"/>
          </w:tcPr>
          <w:p w14:paraId="5A2A282B" w14:textId="77777777" w:rsidR="009D6F69" w:rsidRPr="00B44AD8" w:rsidRDefault="009D6F69" w:rsidP="009D6F69">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371" w:type="dxa"/>
            <w:shd w:val="clear" w:color="auto" w:fill="auto"/>
          </w:tcPr>
          <w:p w14:paraId="1E53E239" w14:textId="77777777" w:rsidR="009D6F69" w:rsidRPr="00946B3B" w:rsidRDefault="009D6F69" w:rsidP="009D6F69">
            <w:pPr>
              <w:shd w:val="clear" w:color="auto" w:fill="FFFFFF"/>
              <w:spacing w:before="60" w:after="60"/>
              <w:rPr>
                <w:rFonts w:ascii="Arial" w:hAnsi="Arial" w:cs="Arial"/>
                <w:sz w:val="20"/>
                <w:szCs w:val="20"/>
              </w:rPr>
            </w:pPr>
            <w:r w:rsidRPr="00946B3B">
              <w:rPr>
                <w:rFonts w:ascii="Arial" w:hAnsi="Arial" w:cs="Arial"/>
                <w:sz w:val="20"/>
                <w:szCs w:val="20"/>
              </w:rPr>
              <w:t xml:space="preserve">DHBs to provide </w:t>
            </w:r>
            <w:r>
              <w:rPr>
                <w:rFonts w:ascii="Arial" w:hAnsi="Arial" w:cs="Arial"/>
                <w:sz w:val="20"/>
                <w:szCs w:val="20"/>
              </w:rPr>
              <w:t>information</w:t>
            </w:r>
            <w:r w:rsidRPr="00946B3B">
              <w:rPr>
                <w:rFonts w:ascii="Arial" w:hAnsi="Arial" w:cs="Arial"/>
                <w:sz w:val="20"/>
                <w:szCs w:val="20"/>
              </w:rPr>
              <w:t xml:space="preserve"> and progress updates as outlined</w:t>
            </w:r>
          </w:p>
        </w:tc>
      </w:tr>
      <w:tr w:rsidR="009D6F69" w:rsidRPr="00B44AD8" w14:paraId="62725FBA" w14:textId="77777777" w:rsidTr="009D6F69">
        <w:trPr>
          <w:trHeight w:val="2182"/>
        </w:trPr>
        <w:tc>
          <w:tcPr>
            <w:tcW w:w="2156" w:type="dxa"/>
            <w:shd w:val="clear" w:color="auto" w:fill="auto"/>
          </w:tcPr>
          <w:p w14:paraId="77FD2EFB" w14:textId="77777777" w:rsidR="009D6F69" w:rsidRPr="00B44AD8" w:rsidRDefault="009D6F69" w:rsidP="009D6F69">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371" w:type="dxa"/>
            <w:shd w:val="clear" w:color="auto" w:fill="auto"/>
          </w:tcPr>
          <w:p w14:paraId="470044DA" w14:textId="77777777" w:rsidR="009D6F69" w:rsidRDefault="009D6F69" w:rsidP="009D6F69">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9D6F69" w:rsidRPr="00B44AD8" w14:paraId="475ED716"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27CC"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9BDAF"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20th of the month following the end of the quarter</w:t>
                  </w:r>
                </w:p>
              </w:tc>
            </w:tr>
            <w:tr w:rsidR="009D6F69" w:rsidRPr="00B44AD8" w14:paraId="17B741DC"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E5224"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FF2D"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8-10 working days from receiving reports</w:t>
                  </w:r>
                </w:p>
              </w:tc>
            </w:tr>
            <w:tr w:rsidR="009D6F69" w:rsidRPr="00B44AD8" w14:paraId="2116C5BC"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4699"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F45D5"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5 working days from receiving initial ratings</w:t>
                  </w:r>
                </w:p>
              </w:tc>
            </w:tr>
            <w:tr w:rsidR="009D6F69" w:rsidRPr="00B44AD8" w14:paraId="2D8E3E17" w14:textId="77777777" w:rsidTr="009D6F69">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C9079"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F16E5" w14:textId="77777777" w:rsidR="009D6F69" w:rsidRPr="00B44AD8" w:rsidRDefault="009D6F69" w:rsidP="009D6F69">
                  <w:pPr>
                    <w:ind w:left="205" w:hanging="205"/>
                    <w:rPr>
                      <w:rFonts w:ascii="Calibri" w:hAnsi="Calibri"/>
                      <w:sz w:val="20"/>
                      <w:szCs w:val="20"/>
                    </w:rPr>
                  </w:pPr>
                  <w:r w:rsidRPr="00B44AD8">
                    <w:rPr>
                      <w:rFonts w:ascii="Calibri" w:hAnsi="Calibri"/>
                      <w:sz w:val="20"/>
                      <w:szCs w:val="20"/>
                    </w:rPr>
                    <w:t>4-5 working days from receiving DHB feedback</w:t>
                  </w:r>
                </w:p>
              </w:tc>
            </w:tr>
          </w:tbl>
          <w:p w14:paraId="44F0BC3E" w14:textId="77777777" w:rsidR="009D6F69" w:rsidRPr="00B44AD8" w:rsidRDefault="009D6F69" w:rsidP="009D6F69">
            <w:pPr>
              <w:shd w:val="clear" w:color="auto" w:fill="FFFFFF"/>
              <w:spacing w:before="60" w:after="60"/>
              <w:jc w:val="both"/>
              <w:rPr>
                <w:rFonts w:ascii="Arial" w:hAnsi="Arial" w:cs="Arial"/>
                <w:i/>
                <w:sz w:val="16"/>
                <w:szCs w:val="16"/>
              </w:rPr>
            </w:pPr>
            <w:r>
              <w:rPr>
                <w:rFonts w:ascii="Arial" w:hAnsi="Arial" w:cs="Arial"/>
                <w:i/>
                <w:sz w:val="16"/>
                <w:szCs w:val="16"/>
              </w:rPr>
              <w:t xml:space="preserve"> </w:t>
            </w:r>
          </w:p>
        </w:tc>
      </w:tr>
    </w:tbl>
    <w:p w14:paraId="58CF4E2B" w14:textId="77777777" w:rsidR="009D6F69" w:rsidRPr="00C10ACB" w:rsidRDefault="009D6F69" w:rsidP="009D6F69">
      <w:pPr>
        <w:pStyle w:val="SubOne"/>
        <w:keepNext/>
        <w:shd w:val="clear" w:color="auto" w:fill="FFFFFF"/>
        <w:spacing w:before="240" w:after="0"/>
        <w:jc w:val="both"/>
        <w:rPr>
          <w:i/>
          <w:szCs w:val="24"/>
        </w:rPr>
      </w:pPr>
      <w:r w:rsidRPr="00C10ACB">
        <w:rPr>
          <w:szCs w:val="24"/>
        </w:rPr>
        <w:t>Link to outcomes and priority areas</w:t>
      </w:r>
    </w:p>
    <w:p w14:paraId="23F69B2B" w14:textId="77777777" w:rsidR="009D6F69" w:rsidRPr="008E2BBA" w:rsidRDefault="009D6F69" w:rsidP="009D6F69">
      <w:pPr>
        <w:spacing w:before="240"/>
        <w:jc w:val="both"/>
        <w:rPr>
          <w:rFonts w:ascii="Arial" w:hAnsi="Arial" w:cs="Arial"/>
          <w:sz w:val="22"/>
          <w:szCs w:val="22"/>
        </w:rPr>
      </w:pPr>
      <w:r w:rsidRPr="008E2BBA">
        <w:rPr>
          <w:rFonts w:ascii="Arial" w:hAnsi="Arial" w:cs="Arial"/>
          <w:sz w:val="22"/>
          <w:szCs w:val="22"/>
        </w:rPr>
        <w:t xml:space="preserve">Delivery of this measure supports the overarching goal of </w:t>
      </w:r>
      <w:proofErr w:type="spellStart"/>
      <w:r w:rsidRPr="008E2BBA">
        <w:rPr>
          <w:rFonts w:ascii="Arial" w:hAnsi="Arial" w:cs="Arial"/>
          <w:sz w:val="22"/>
          <w:szCs w:val="22"/>
        </w:rPr>
        <w:t>Pae</w:t>
      </w:r>
      <w:proofErr w:type="spellEnd"/>
      <w:r w:rsidRPr="008E2BBA">
        <w:rPr>
          <w:rFonts w:ascii="Arial" w:hAnsi="Arial" w:cs="Arial"/>
          <w:sz w:val="22"/>
          <w:szCs w:val="22"/>
        </w:rPr>
        <w:t xml:space="preserve"> Ora - Healthy Futures for Māori from </w:t>
      </w:r>
      <w:proofErr w:type="spellStart"/>
      <w:r w:rsidRPr="008E2BBA">
        <w:rPr>
          <w:rFonts w:ascii="Arial" w:hAnsi="Arial" w:cs="Arial"/>
          <w:sz w:val="22"/>
          <w:szCs w:val="22"/>
        </w:rPr>
        <w:t>He</w:t>
      </w:r>
      <w:proofErr w:type="spellEnd"/>
      <w:r w:rsidRPr="008E2BBA">
        <w:rPr>
          <w:rFonts w:ascii="Arial" w:hAnsi="Arial" w:cs="Arial"/>
          <w:sz w:val="22"/>
          <w:szCs w:val="22"/>
        </w:rPr>
        <w:t xml:space="preserve"> Korowai </w:t>
      </w:r>
      <w:proofErr w:type="spellStart"/>
      <w:r w:rsidRPr="008E2BBA">
        <w:rPr>
          <w:rFonts w:ascii="Arial" w:hAnsi="Arial" w:cs="Arial"/>
          <w:sz w:val="22"/>
          <w:szCs w:val="22"/>
        </w:rPr>
        <w:t>Oranga</w:t>
      </w:r>
      <w:proofErr w:type="spellEnd"/>
      <w:r w:rsidRPr="008E2BBA">
        <w:rPr>
          <w:rFonts w:ascii="Arial" w:hAnsi="Arial" w:cs="Arial"/>
          <w:sz w:val="22"/>
          <w:szCs w:val="22"/>
        </w:rPr>
        <w:t xml:space="preserve">, through the pathway of Te Ara </w:t>
      </w:r>
      <w:proofErr w:type="spellStart"/>
      <w:r w:rsidRPr="008E2BBA">
        <w:rPr>
          <w:rFonts w:ascii="Arial" w:hAnsi="Arial" w:cs="Arial"/>
          <w:sz w:val="22"/>
          <w:szCs w:val="22"/>
        </w:rPr>
        <w:t>Tuarua</w:t>
      </w:r>
      <w:proofErr w:type="spellEnd"/>
      <w:r w:rsidRPr="008E2BBA">
        <w:rPr>
          <w:rFonts w:ascii="Arial" w:hAnsi="Arial" w:cs="Arial"/>
          <w:sz w:val="22"/>
          <w:szCs w:val="22"/>
        </w:rPr>
        <w:t xml:space="preserve"> – Pathway 2: Māori participation in the health and disability sector.</w:t>
      </w:r>
    </w:p>
    <w:p w14:paraId="46AB8867" w14:textId="77777777" w:rsidR="009D6F69" w:rsidRPr="008E2BBA" w:rsidRDefault="009D6F69" w:rsidP="009D6F69">
      <w:pPr>
        <w:spacing w:before="240"/>
        <w:jc w:val="both"/>
        <w:rPr>
          <w:rFonts w:ascii="Arial" w:hAnsi="Arial" w:cs="Arial"/>
          <w:sz w:val="22"/>
          <w:szCs w:val="22"/>
        </w:rPr>
      </w:pPr>
      <w:r w:rsidRPr="008E2BBA">
        <w:rPr>
          <w:rFonts w:ascii="Arial" w:hAnsi="Arial" w:cs="Arial"/>
          <w:sz w:val="22"/>
          <w:szCs w:val="22"/>
        </w:rPr>
        <w:t>Through strong engagement and ensuring that they deliver on their Treaty obligations</w:t>
      </w:r>
      <w:r w:rsidRPr="008E2BBA">
        <w:rPr>
          <w:rStyle w:val="FootnoteReference"/>
          <w:rFonts w:ascii="Arial" w:hAnsi="Arial" w:cs="Arial"/>
          <w:sz w:val="22"/>
          <w:szCs w:val="22"/>
        </w:rPr>
        <w:footnoteReference w:id="18"/>
      </w:r>
      <w:r w:rsidRPr="008E2BBA">
        <w:rPr>
          <w:rFonts w:ascii="Arial" w:hAnsi="Arial" w:cs="Arial"/>
          <w:sz w:val="22"/>
          <w:szCs w:val="22"/>
        </w:rPr>
        <w:t xml:space="preserve"> (Part 1, section 4 of the NZPHD Act), DHBs will support Government's priority to ensure everyone who is able is earning, learning, caring or volunteering. </w:t>
      </w:r>
    </w:p>
    <w:p w14:paraId="3D9CB1B5" w14:textId="77777777" w:rsidR="009D6F69" w:rsidRPr="008E2BBA" w:rsidRDefault="009D6F69" w:rsidP="009D6F69">
      <w:pPr>
        <w:spacing w:before="240"/>
        <w:jc w:val="both"/>
        <w:rPr>
          <w:rFonts w:ascii="Arial" w:hAnsi="Arial" w:cs="Arial"/>
          <w:sz w:val="22"/>
          <w:szCs w:val="22"/>
        </w:rPr>
      </w:pPr>
      <w:r w:rsidRPr="008E2BBA">
        <w:rPr>
          <w:rFonts w:ascii="Arial" w:hAnsi="Arial" w:cs="Arial"/>
          <w:sz w:val="22"/>
          <w:szCs w:val="22"/>
        </w:rPr>
        <w:t>DHBs have specific actions in the New Zealand Public Health and Disability Act 2000 (the Act) that relate directly to this measure, particularly:</w:t>
      </w:r>
    </w:p>
    <w:p w14:paraId="3F5A41DF" w14:textId="77777777" w:rsidR="009D6F69" w:rsidRPr="009D6F69" w:rsidRDefault="009D6F69" w:rsidP="00C04FF1">
      <w:pPr>
        <w:pStyle w:val="ListParagraph"/>
        <w:numPr>
          <w:ilvl w:val="0"/>
          <w:numId w:val="91"/>
        </w:numPr>
        <w:spacing w:before="240"/>
        <w:contextualSpacing w:val="0"/>
        <w:jc w:val="both"/>
        <w:rPr>
          <w:rFonts w:ascii="Arial" w:hAnsi="Arial" w:cs="Arial"/>
          <w:sz w:val="22"/>
          <w:szCs w:val="22"/>
        </w:rPr>
      </w:pPr>
      <w:r w:rsidRPr="009D6F69">
        <w:rPr>
          <w:rFonts w:ascii="Arial" w:hAnsi="Arial" w:cs="Arial"/>
          <w:sz w:val="22"/>
          <w:szCs w:val="22"/>
        </w:rPr>
        <w:t>Section 23 Functions of DHBs</w:t>
      </w:r>
    </w:p>
    <w:p w14:paraId="049DEF0B" w14:textId="77777777" w:rsidR="009D6F69" w:rsidRPr="009D6F69" w:rsidRDefault="009D6F69" w:rsidP="009D6F69">
      <w:pPr>
        <w:pStyle w:val="ListParagraph"/>
        <w:spacing w:before="240"/>
        <w:ind w:left="1276" w:hanging="556"/>
        <w:rPr>
          <w:rFonts w:ascii="Arial" w:hAnsi="Arial" w:cs="Arial"/>
          <w:sz w:val="22"/>
          <w:szCs w:val="22"/>
        </w:rPr>
      </w:pPr>
      <w:r w:rsidRPr="009D6F69">
        <w:rPr>
          <w:rFonts w:ascii="Arial" w:hAnsi="Arial" w:cs="Arial"/>
          <w:sz w:val="22"/>
          <w:szCs w:val="22"/>
        </w:rPr>
        <w:t>(1)</w:t>
      </w:r>
      <w:r w:rsidRPr="009D6F69">
        <w:rPr>
          <w:rFonts w:ascii="Arial" w:hAnsi="Arial" w:cs="Arial"/>
          <w:sz w:val="22"/>
          <w:szCs w:val="22"/>
        </w:rPr>
        <w:tab/>
        <w:t>For the purpose of pursuing its objectives, each DHB has the following functions:</w:t>
      </w:r>
    </w:p>
    <w:p w14:paraId="39E8231B" w14:textId="77777777" w:rsidR="009D6F69" w:rsidRPr="009D6F69" w:rsidRDefault="009D6F69" w:rsidP="009D6F69">
      <w:pPr>
        <w:pStyle w:val="ListParagraph"/>
        <w:shd w:val="clear" w:color="auto" w:fill="FFFFFF"/>
        <w:spacing w:before="240"/>
        <w:ind w:left="1843" w:right="227" w:hanging="409"/>
        <w:rPr>
          <w:rFonts w:ascii="Arial" w:hAnsi="Arial" w:cs="Arial"/>
          <w:sz w:val="22"/>
          <w:szCs w:val="22"/>
          <w:lang w:eastAsia="en-NZ"/>
        </w:rPr>
      </w:pPr>
      <w:r w:rsidRPr="009D6F69">
        <w:rPr>
          <w:rFonts w:ascii="Arial" w:hAnsi="Arial" w:cs="Arial"/>
          <w:sz w:val="22"/>
          <w:szCs w:val="22"/>
          <w:lang w:eastAsia="en-NZ"/>
        </w:rPr>
        <w:t>(d)</w:t>
      </w:r>
      <w:r w:rsidRPr="009D6F69">
        <w:rPr>
          <w:rFonts w:ascii="Arial" w:hAnsi="Arial" w:cs="Arial"/>
          <w:sz w:val="22"/>
          <w:szCs w:val="22"/>
          <w:lang w:eastAsia="en-NZ"/>
        </w:rPr>
        <w:tab/>
        <w:t>to establish and maintain processes to enable Māori to participate in, and contribute to, strategies for Māori health improvement:</w:t>
      </w:r>
    </w:p>
    <w:p w14:paraId="19979FCC" w14:textId="77777777" w:rsidR="009D6F69" w:rsidRPr="009D6F69" w:rsidRDefault="009D6F69" w:rsidP="009D6F69">
      <w:pPr>
        <w:pStyle w:val="ListParagraph"/>
        <w:shd w:val="clear" w:color="auto" w:fill="FFFFFF"/>
        <w:ind w:left="1843" w:right="227" w:hanging="409"/>
        <w:rPr>
          <w:rFonts w:ascii="Arial" w:hAnsi="Arial" w:cs="Arial"/>
          <w:sz w:val="22"/>
          <w:szCs w:val="22"/>
          <w:lang w:eastAsia="en-NZ"/>
        </w:rPr>
      </w:pPr>
      <w:r w:rsidRPr="009D6F69">
        <w:rPr>
          <w:rFonts w:ascii="Arial" w:hAnsi="Arial" w:cs="Arial"/>
          <w:sz w:val="22"/>
          <w:szCs w:val="22"/>
          <w:lang w:eastAsia="en-NZ"/>
        </w:rPr>
        <w:t>(e)</w:t>
      </w:r>
      <w:r w:rsidRPr="009D6F69">
        <w:rPr>
          <w:rFonts w:ascii="Arial" w:hAnsi="Arial" w:cs="Arial"/>
          <w:sz w:val="22"/>
          <w:szCs w:val="22"/>
          <w:lang w:eastAsia="en-NZ"/>
        </w:rPr>
        <w:tab/>
        <w:t>to continue to foster the development of Māori capacity for participating in the health and disability sector and for providing for the needs of Maori:</w:t>
      </w:r>
    </w:p>
    <w:p w14:paraId="68DA188B" w14:textId="77777777" w:rsidR="009D6F69" w:rsidRPr="009D6F69" w:rsidRDefault="009D6F69" w:rsidP="009D6F69">
      <w:pPr>
        <w:pStyle w:val="ListParagraph"/>
        <w:shd w:val="clear" w:color="auto" w:fill="FFFFFF"/>
        <w:ind w:left="1843" w:right="227" w:hanging="409"/>
        <w:rPr>
          <w:rFonts w:ascii="Arial" w:hAnsi="Arial" w:cs="Arial"/>
          <w:sz w:val="22"/>
          <w:szCs w:val="22"/>
          <w:lang w:eastAsia="en-NZ"/>
        </w:rPr>
      </w:pPr>
      <w:r w:rsidRPr="009D6F69">
        <w:rPr>
          <w:rFonts w:ascii="Arial" w:hAnsi="Arial" w:cs="Arial"/>
          <w:sz w:val="22"/>
          <w:szCs w:val="22"/>
          <w:lang w:eastAsia="en-NZ"/>
        </w:rPr>
        <w:t>(f)</w:t>
      </w:r>
      <w:r w:rsidRPr="009D6F69">
        <w:rPr>
          <w:rFonts w:ascii="Arial" w:hAnsi="Arial" w:cs="Arial"/>
          <w:sz w:val="22"/>
          <w:szCs w:val="22"/>
          <w:lang w:eastAsia="en-NZ"/>
        </w:rPr>
        <w:tab/>
        <w:t>to provide relevant information to Māori for the purposes of paragraphs (d) and (e).</w:t>
      </w:r>
    </w:p>
    <w:p w14:paraId="11EC789F" w14:textId="77777777" w:rsidR="009D6F69" w:rsidRPr="009D6F69" w:rsidRDefault="009D6F69" w:rsidP="009D6F69">
      <w:pPr>
        <w:spacing w:before="240"/>
        <w:jc w:val="both"/>
        <w:rPr>
          <w:rFonts w:ascii="Arial" w:hAnsi="Arial" w:cs="Arial"/>
          <w:sz w:val="22"/>
          <w:szCs w:val="22"/>
          <w:lang w:val="en-US"/>
        </w:rPr>
      </w:pPr>
      <w:r w:rsidRPr="009D6F69">
        <w:rPr>
          <w:rFonts w:ascii="Arial" w:hAnsi="Arial" w:cs="Arial"/>
          <w:sz w:val="22"/>
          <w:szCs w:val="22"/>
          <w:lang w:val="en-US"/>
        </w:rPr>
        <w:t>DHBs have specific Treaty obligations specified in the Act that relate directly to this measure, particularly:</w:t>
      </w:r>
    </w:p>
    <w:p w14:paraId="37DC235C" w14:textId="77777777" w:rsidR="009D6F69" w:rsidRPr="009D6F69" w:rsidRDefault="009D6F69" w:rsidP="00C04FF1">
      <w:pPr>
        <w:pStyle w:val="ListParagraph"/>
        <w:numPr>
          <w:ilvl w:val="0"/>
          <w:numId w:val="88"/>
        </w:numPr>
        <w:spacing w:before="240"/>
        <w:contextualSpacing w:val="0"/>
        <w:jc w:val="both"/>
        <w:rPr>
          <w:rFonts w:ascii="Arial" w:hAnsi="Arial" w:cs="Arial"/>
          <w:sz w:val="22"/>
          <w:szCs w:val="22"/>
          <w:lang w:val="en-US"/>
        </w:rPr>
      </w:pPr>
      <w:r w:rsidRPr="009D6F69">
        <w:rPr>
          <w:rFonts w:ascii="Arial" w:hAnsi="Arial" w:cs="Arial"/>
          <w:sz w:val="22"/>
          <w:szCs w:val="22"/>
          <w:lang w:val="en-US"/>
        </w:rPr>
        <w:t>Section 34: Community and public health advisory committees</w:t>
      </w:r>
    </w:p>
    <w:p w14:paraId="134551B9" w14:textId="77777777" w:rsidR="009D6F69" w:rsidRPr="009D6F69" w:rsidRDefault="009D6F69" w:rsidP="00C04FF1">
      <w:pPr>
        <w:pStyle w:val="ListParagraph"/>
        <w:numPr>
          <w:ilvl w:val="0"/>
          <w:numId w:val="88"/>
        </w:numPr>
        <w:contextualSpacing w:val="0"/>
        <w:jc w:val="both"/>
        <w:rPr>
          <w:rFonts w:ascii="Arial" w:hAnsi="Arial" w:cs="Arial"/>
          <w:sz w:val="22"/>
          <w:szCs w:val="22"/>
          <w:lang w:val="en-US"/>
        </w:rPr>
      </w:pPr>
      <w:r w:rsidRPr="009D6F69">
        <w:rPr>
          <w:rFonts w:ascii="Arial" w:hAnsi="Arial" w:cs="Arial"/>
          <w:sz w:val="22"/>
          <w:szCs w:val="22"/>
          <w:lang w:val="en-US"/>
        </w:rPr>
        <w:t>Section 35: Disability support advisory committees</w:t>
      </w:r>
    </w:p>
    <w:p w14:paraId="655CDCC1" w14:textId="77777777" w:rsidR="009D6F69" w:rsidRPr="009D6F69" w:rsidRDefault="009D6F69" w:rsidP="00C04FF1">
      <w:pPr>
        <w:pStyle w:val="ListParagraph"/>
        <w:numPr>
          <w:ilvl w:val="0"/>
          <w:numId w:val="88"/>
        </w:numPr>
        <w:contextualSpacing w:val="0"/>
        <w:jc w:val="both"/>
        <w:rPr>
          <w:rFonts w:ascii="Arial" w:hAnsi="Arial" w:cs="Arial"/>
          <w:sz w:val="22"/>
          <w:szCs w:val="22"/>
          <w:lang w:val="en-US"/>
        </w:rPr>
      </w:pPr>
      <w:r w:rsidRPr="009D6F69">
        <w:rPr>
          <w:rFonts w:ascii="Arial" w:hAnsi="Arial" w:cs="Arial"/>
          <w:sz w:val="22"/>
          <w:szCs w:val="22"/>
          <w:lang w:val="en-US"/>
        </w:rPr>
        <w:t>Section 36: Hospital advisory committees</w:t>
      </w:r>
    </w:p>
    <w:p w14:paraId="368DBAF2" w14:textId="77777777" w:rsidR="009D6F69" w:rsidRPr="009D6F69" w:rsidRDefault="009D6F69" w:rsidP="00C04FF1">
      <w:pPr>
        <w:pStyle w:val="ListParagraph"/>
        <w:numPr>
          <w:ilvl w:val="0"/>
          <w:numId w:val="88"/>
        </w:numPr>
        <w:contextualSpacing w:val="0"/>
        <w:jc w:val="both"/>
        <w:rPr>
          <w:rFonts w:ascii="Arial" w:hAnsi="Arial" w:cs="Arial"/>
          <w:sz w:val="22"/>
          <w:szCs w:val="22"/>
          <w:lang w:val="en-US"/>
        </w:rPr>
      </w:pPr>
      <w:r w:rsidRPr="009D6F69">
        <w:rPr>
          <w:rFonts w:ascii="Arial" w:hAnsi="Arial" w:cs="Arial"/>
          <w:sz w:val="22"/>
          <w:szCs w:val="22"/>
          <w:lang w:val="en-US"/>
        </w:rPr>
        <w:t>Schedule 3, Section 5: Training relating to members’ obligations and duties</w:t>
      </w:r>
    </w:p>
    <w:p w14:paraId="76499FCA" w14:textId="6B40F136" w:rsidR="009D6F69" w:rsidRPr="0095169D" w:rsidRDefault="009D6F69" w:rsidP="009D6F69">
      <w:pPr>
        <w:pStyle w:val="SubOne"/>
        <w:keepNext/>
        <w:shd w:val="clear" w:color="auto" w:fill="FFFFFF"/>
        <w:spacing w:before="240" w:after="0"/>
        <w:jc w:val="both"/>
      </w:pPr>
      <w:r>
        <w:lastRenderedPageBreak/>
        <w:t>Expectations</w:t>
      </w:r>
    </w:p>
    <w:p w14:paraId="01840C56" w14:textId="77E91218" w:rsidR="009D6F69" w:rsidRPr="008E2BBA" w:rsidRDefault="008E2BBA" w:rsidP="009D6F69">
      <w:pPr>
        <w:spacing w:before="240"/>
        <w:jc w:val="both"/>
        <w:rPr>
          <w:rFonts w:ascii="Arial" w:hAnsi="Arial" w:cs="Arial"/>
          <w:sz w:val="22"/>
          <w:szCs w:val="22"/>
          <w:lang w:val="en-US"/>
        </w:rPr>
      </w:pPr>
      <w:r>
        <w:rPr>
          <w:rFonts w:ascii="Arial" w:hAnsi="Arial" w:cs="Arial"/>
          <w:sz w:val="22"/>
          <w:szCs w:val="22"/>
          <w:lang w:val="en-US"/>
        </w:rPr>
        <w:t xml:space="preserve">The Minister of Health has </w:t>
      </w:r>
      <w:r w:rsidR="009D6F69" w:rsidRPr="008E2BBA">
        <w:rPr>
          <w:rFonts w:ascii="Arial" w:hAnsi="Arial" w:cs="Arial"/>
          <w:sz w:val="22"/>
          <w:szCs w:val="22"/>
          <w:lang w:val="en-US"/>
        </w:rPr>
        <w:t>specified</w:t>
      </w:r>
      <w:r>
        <w:rPr>
          <w:rFonts w:ascii="Arial" w:hAnsi="Arial" w:cs="Arial"/>
          <w:sz w:val="22"/>
          <w:szCs w:val="22"/>
          <w:lang w:val="en-US"/>
        </w:rPr>
        <w:t>:</w:t>
      </w:r>
      <w:r w:rsidR="009D6F69" w:rsidRPr="008E2BBA">
        <w:rPr>
          <w:rFonts w:ascii="Arial" w:hAnsi="Arial" w:cs="Arial"/>
          <w:sz w:val="22"/>
          <w:szCs w:val="22"/>
          <w:lang w:val="en-US"/>
        </w:rPr>
        <w:t xml:space="preserve"> </w:t>
      </w:r>
    </w:p>
    <w:p w14:paraId="41D9EDC6" w14:textId="77777777" w:rsidR="009D6F69" w:rsidRDefault="009D6F69" w:rsidP="009D6F69">
      <w:pPr>
        <w:spacing w:before="240"/>
        <w:ind w:left="567"/>
        <w:jc w:val="both"/>
        <w:rPr>
          <w:rFonts w:ascii="Arial" w:hAnsi="Arial" w:cs="Arial"/>
          <w:i/>
          <w:lang w:val="en-US"/>
        </w:rPr>
      </w:pPr>
      <w:r w:rsidRPr="008E2BBA">
        <w:rPr>
          <w:rFonts w:ascii="Arial" w:hAnsi="Arial" w:cs="Arial"/>
          <w:i/>
          <w:sz w:val="22"/>
          <w:szCs w:val="22"/>
          <w:lang w:val="en-US"/>
        </w:rPr>
        <w:t>Māori-Crown relations is a priority for this Government and I expect your DHB to meet your Treaty of Waitangi obligations as specified in the New Zealand Public Health and Disability Act 2000. I am expecting you to report on progress with how you are meeting these obligations as part of your Annual Plan reporting</w:t>
      </w:r>
      <w:r w:rsidRPr="009A7A04">
        <w:rPr>
          <w:rFonts w:ascii="Arial" w:hAnsi="Arial" w:cs="Arial"/>
          <w:i/>
          <w:lang w:val="en-US"/>
        </w:rPr>
        <w:t>.</w:t>
      </w:r>
    </w:p>
    <w:p w14:paraId="6083970D" w14:textId="2FADBA61" w:rsidR="009D6F69" w:rsidRPr="00CB52D0" w:rsidRDefault="009D6F69" w:rsidP="009D6F69">
      <w:pPr>
        <w:pStyle w:val="SubOne"/>
        <w:keepNext/>
        <w:shd w:val="clear" w:color="auto" w:fill="FFFFFF"/>
        <w:spacing w:before="240" w:after="0"/>
        <w:jc w:val="both"/>
      </w:pPr>
      <w:r>
        <w:t>Deliverables</w:t>
      </w:r>
    </w:p>
    <w:p w14:paraId="3346B606" w14:textId="36D3D8FB" w:rsidR="009D6F69" w:rsidRPr="009F0C55" w:rsidRDefault="009D6F69" w:rsidP="009D6F69">
      <w:pPr>
        <w:pStyle w:val="SubOne"/>
        <w:keepNext/>
        <w:shd w:val="clear" w:color="auto" w:fill="FFFFFF"/>
        <w:spacing w:before="240" w:after="0"/>
        <w:jc w:val="both"/>
        <w:rPr>
          <w:i/>
        </w:rPr>
      </w:pPr>
      <w:r>
        <w:rPr>
          <w:i/>
        </w:rPr>
        <w:t>1.Engagement with Māori</w:t>
      </w:r>
    </w:p>
    <w:p w14:paraId="3AC1D806" w14:textId="77777777" w:rsidR="009D6F69" w:rsidRDefault="009D6F69" w:rsidP="009D6F69">
      <w:pPr>
        <w:pStyle w:val="SubOne"/>
        <w:keepNext/>
        <w:shd w:val="clear" w:color="auto" w:fill="FFFFFF"/>
        <w:spacing w:before="240" w:after="0"/>
        <w:jc w:val="both"/>
        <w:rPr>
          <w:b w:val="0"/>
          <w:sz w:val="22"/>
        </w:rPr>
      </w:pPr>
      <w:r>
        <w:rPr>
          <w:b w:val="0"/>
          <w:sz w:val="22"/>
        </w:rPr>
        <w:t xml:space="preserve">In accordance with sections 4, 23 (1) (d) and (e) and Chapter 6 of the OPF, </w:t>
      </w:r>
      <w:r w:rsidRPr="009F0C55">
        <w:rPr>
          <w:b w:val="0"/>
          <w:sz w:val="22"/>
        </w:rPr>
        <w:t xml:space="preserve">provide a narrative on how your DHB is </w:t>
      </w:r>
      <w:r>
        <w:rPr>
          <w:b w:val="0"/>
          <w:sz w:val="22"/>
        </w:rPr>
        <w:t>implementing the following:</w:t>
      </w:r>
    </w:p>
    <w:p w14:paraId="398941D6" w14:textId="77777777" w:rsidR="009D6F69" w:rsidRDefault="009D6F69" w:rsidP="00C04FF1">
      <w:pPr>
        <w:pStyle w:val="SubOne"/>
        <w:numPr>
          <w:ilvl w:val="0"/>
          <w:numId w:val="92"/>
        </w:numPr>
        <w:shd w:val="clear" w:color="auto" w:fill="FFFFFF"/>
        <w:spacing w:before="240" w:after="0"/>
        <w:ind w:left="714" w:hanging="357"/>
        <w:jc w:val="both"/>
        <w:rPr>
          <w:b w:val="0"/>
          <w:sz w:val="22"/>
        </w:rPr>
      </w:pPr>
      <w:r>
        <w:rPr>
          <w:b w:val="0"/>
          <w:sz w:val="22"/>
        </w:rPr>
        <w:t>the Treaty of Waitangi principles (participation, protection and partnership)</w:t>
      </w:r>
    </w:p>
    <w:p w14:paraId="61AF788B" w14:textId="77777777" w:rsidR="009D6F69" w:rsidRDefault="009D6F69" w:rsidP="00C04FF1">
      <w:pPr>
        <w:pStyle w:val="SubOne"/>
        <w:numPr>
          <w:ilvl w:val="0"/>
          <w:numId w:val="92"/>
        </w:numPr>
        <w:shd w:val="clear" w:color="auto" w:fill="FFFFFF"/>
        <w:spacing w:before="0" w:after="0"/>
        <w:ind w:left="714" w:hanging="357"/>
        <w:jc w:val="both"/>
        <w:rPr>
          <w:b w:val="0"/>
          <w:sz w:val="22"/>
        </w:rPr>
      </w:pPr>
      <w:r>
        <w:rPr>
          <w:b w:val="0"/>
          <w:sz w:val="22"/>
        </w:rPr>
        <w:t>enabling Māori participation</w:t>
      </w:r>
    </w:p>
    <w:p w14:paraId="23B0697B" w14:textId="77777777" w:rsidR="009D6F69" w:rsidRDefault="009D6F69" w:rsidP="00C04FF1">
      <w:pPr>
        <w:pStyle w:val="SubOne"/>
        <w:numPr>
          <w:ilvl w:val="0"/>
          <w:numId w:val="92"/>
        </w:numPr>
        <w:shd w:val="clear" w:color="auto" w:fill="FFFFFF"/>
        <w:spacing w:before="0" w:after="0"/>
        <w:ind w:left="714" w:hanging="357"/>
        <w:jc w:val="both"/>
        <w:rPr>
          <w:b w:val="0"/>
          <w:sz w:val="22"/>
        </w:rPr>
      </w:pPr>
      <w:r>
        <w:rPr>
          <w:b w:val="0"/>
          <w:sz w:val="22"/>
        </w:rPr>
        <w:t>fostering the development of Māori capacity for participating in the health and disability sector</w:t>
      </w:r>
    </w:p>
    <w:p w14:paraId="41CB4643" w14:textId="77777777" w:rsidR="009D6F69" w:rsidRPr="009F0C55" w:rsidRDefault="009D6F69" w:rsidP="00C04FF1">
      <w:pPr>
        <w:pStyle w:val="SubOne"/>
        <w:numPr>
          <w:ilvl w:val="0"/>
          <w:numId w:val="92"/>
        </w:numPr>
        <w:shd w:val="clear" w:color="auto" w:fill="FFFFFF"/>
        <w:spacing w:before="0" w:after="0"/>
        <w:ind w:left="714" w:hanging="357"/>
        <w:jc w:val="both"/>
        <w:rPr>
          <w:b w:val="0"/>
          <w:sz w:val="22"/>
        </w:rPr>
      </w:pPr>
      <w:r>
        <w:rPr>
          <w:b w:val="0"/>
          <w:sz w:val="22"/>
        </w:rPr>
        <w:t xml:space="preserve">how information is provided to Māori for fulfilling these functions. </w:t>
      </w:r>
    </w:p>
    <w:p w14:paraId="2E53431F" w14:textId="3DE95A63" w:rsidR="009D6F69" w:rsidRPr="00CB52D0" w:rsidRDefault="009D6F69" w:rsidP="009D6F69">
      <w:pPr>
        <w:pStyle w:val="SubOne"/>
        <w:keepNext/>
        <w:shd w:val="clear" w:color="auto" w:fill="FFFFFF"/>
        <w:spacing w:before="240" w:after="0"/>
        <w:jc w:val="both"/>
        <w:rPr>
          <w:i/>
        </w:rPr>
      </w:pPr>
      <w:r>
        <w:rPr>
          <w:i/>
        </w:rPr>
        <w:t>2.</w:t>
      </w:r>
      <w:r w:rsidRPr="00CB52D0">
        <w:rPr>
          <w:i/>
        </w:rPr>
        <w:t>Community and public health advisory committee, Disability support advisory committees and Hospital advisory committees</w:t>
      </w:r>
    </w:p>
    <w:p w14:paraId="4B42BA60" w14:textId="77777777" w:rsidR="009D6F69" w:rsidRPr="009D6F69" w:rsidRDefault="009D6F69" w:rsidP="009D6F69">
      <w:pPr>
        <w:spacing w:before="240"/>
        <w:jc w:val="both"/>
        <w:rPr>
          <w:rFonts w:ascii="Arial" w:hAnsi="Arial" w:cs="Arial"/>
          <w:sz w:val="22"/>
          <w:szCs w:val="22"/>
          <w:lang w:val="en-US"/>
        </w:rPr>
      </w:pPr>
      <w:r w:rsidRPr="009D6F69">
        <w:rPr>
          <w:rFonts w:ascii="Arial" w:hAnsi="Arial" w:cs="Arial"/>
          <w:sz w:val="22"/>
          <w:szCs w:val="22"/>
          <w:lang w:val="en-US"/>
        </w:rPr>
        <w:t>In accordance with sections 34, 35 and 36 of the Act, these committees “must provide for Māori representation on the committee.” For each of these committees the DHB must list, as at the last day of the quarter the report is for:</w:t>
      </w:r>
    </w:p>
    <w:p w14:paraId="59F4E4F7" w14:textId="77777777" w:rsidR="009D6F69" w:rsidRPr="009D6F69" w:rsidRDefault="009D6F69" w:rsidP="00C04FF1">
      <w:pPr>
        <w:pStyle w:val="ListParagraph"/>
        <w:numPr>
          <w:ilvl w:val="0"/>
          <w:numId w:val="89"/>
        </w:numPr>
        <w:spacing w:before="240"/>
        <w:contextualSpacing w:val="0"/>
        <w:jc w:val="both"/>
        <w:rPr>
          <w:rFonts w:ascii="Arial" w:hAnsi="Arial" w:cs="Arial"/>
          <w:sz w:val="22"/>
          <w:szCs w:val="22"/>
          <w:lang w:val="en-US"/>
        </w:rPr>
      </w:pPr>
      <w:r w:rsidRPr="009D6F69">
        <w:rPr>
          <w:rFonts w:ascii="Arial" w:hAnsi="Arial" w:cs="Arial"/>
          <w:sz w:val="22"/>
          <w:szCs w:val="22"/>
          <w:lang w:val="en-US"/>
        </w:rPr>
        <w:t>the name of each member of the committee</w:t>
      </w:r>
    </w:p>
    <w:p w14:paraId="2300CDBF" w14:textId="77777777" w:rsidR="009D6F69" w:rsidRPr="009D6F69" w:rsidRDefault="009D6F69" w:rsidP="00C04FF1">
      <w:pPr>
        <w:pStyle w:val="ListParagraph"/>
        <w:numPr>
          <w:ilvl w:val="0"/>
          <w:numId w:val="89"/>
        </w:numPr>
        <w:contextualSpacing w:val="0"/>
        <w:jc w:val="both"/>
        <w:rPr>
          <w:rFonts w:ascii="Arial" w:hAnsi="Arial" w:cs="Arial"/>
          <w:sz w:val="22"/>
          <w:szCs w:val="22"/>
          <w:lang w:val="en-US"/>
        </w:rPr>
      </w:pPr>
      <w:r w:rsidRPr="009D6F69">
        <w:rPr>
          <w:rFonts w:ascii="Arial" w:hAnsi="Arial" w:cs="Arial"/>
          <w:sz w:val="22"/>
          <w:szCs w:val="22"/>
          <w:lang w:val="en-US"/>
        </w:rPr>
        <w:t>whether that member identifies as being Māori (in accordance with HISO 10001:2017 Ethnicity Data Protocols)</w:t>
      </w:r>
    </w:p>
    <w:p w14:paraId="70E1CF15" w14:textId="77777777" w:rsidR="009D6F69" w:rsidRPr="009D6F69" w:rsidRDefault="009D6F69" w:rsidP="00C04FF1">
      <w:pPr>
        <w:pStyle w:val="ListParagraph"/>
        <w:numPr>
          <w:ilvl w:val="0"/>
          <w:numId w:val="89"/>
        </w:numPr>
        <w:contextualSpacing w:val="0"/>
        <w:jc w:val="both"/>
        <w:rPr>
          <w:rFonts w:ascii="Arial" w:hAnsi="Arial" w:cs="Arial"/>
          <w:sz w:val="22"/>
          <w:szCs w:val="22"/>
          <w:lang w:val="en-US"/>
        </w:rPr>
      </w:pPr>
      <w:r w:rsidRPr="009D6F69">
        <w:rPr>
          <w:rFonts w:ascii="Arial" w:hAnsi="Arial" w:cs="Arial"/>
          <w:sz w:val="22"/>
          <w:szCs w:val="22"/>
          <w:lang w:val="en-US"/>
        </w:rPr>
        <w:t xml:space="preserve">the members Iwi affiliations (in accordance with the </w:t>
      </w:r>
      <w:proofErr w:type="spellStart"/>
      <w:r w:rsidRPr="009D6F69">
        <w:rPr>
          <w:rFonts w:ascii="Arial" w:hAnsi="Arial" w:cs="Arial"/>
          <w:sz w:val="22"/>
          <w:szCs w:val="22"/>
          <w:lang w:val="en-US"/>
        </w:rPr>
        <w:t>StatsNZ</w:t>
      </w:r>
      <w:proofErr w:type="spellEnd"/>
      <w:r w:rsidRPr="009D6F69">
        <w:rPr>
          <w:rFonts w:ascii="Arial" w:hAnsi="Arial" w:cs="Arial"/>
          <w:sz w:val="22"/>
          <w:szCs w:val="22"/>
          <w:lang w:val="en-US"/>
        </w:rPr>
        <w:t xml:space="preserve"> Iwi Statistical Standard 2017)</w:t>
      </w:r>
    </w:p>
    <w:p w14:paraId="21D24966" w14:textId="77777777" w:rsidR="009D6F69" w:rsidRPr="00C10ACB" w:rsidRDefault="009D6F69" w:rsidP="009D6F69">
      <w:pPr>
        <w:spacing w:before="120"/>
        <w:jc w:val="both"/>
        <w:rPr>
          <w:rFonts w:ascii="Arial" w:hAnsi="Arial" w:cs="Arial"/>
          <w:lang w:val="en-US"/>
        </w:rPr>
      </w:pPr>
      <w:r w:rsidRPr="009D6F69">
        <w:rPr>
          <w:rFonts w:ascii="Arial" w:hAnsi="Arial" w:cs="Arial"/>
          <w:sz w:val="22"/>
          <w:szCs w:val="22"/>
          <w:lang w:val="en-US"/>
        </w:rPr>
        <w:t>Report must also compare the proportion of Māori representation on each committees with the proportion of the District’s population that identifies as Māori.</w:t>
      </w:r>
    </w:p>
    <w:p w14:paraId="1B568FC5" w14:textId="3C3D5DB0" w:rsidR="009D6F69" w:rsidRPr="00CB52D0" w:rsidRDefault="009D6F69" w:rsidP="009D6F69">
      <w:pPr>
        <w:pStyle w:val="SubOne"/>
        <w:keepNext/>
        <w:shd w:val="clear" w:color="auto" w:fill="FFFFFF"/>
        <w:spacing w:before="240" w:after="0"/>
        <w:jc w:val="both"/>
        <w:rPr>
          <w:i/>
        </w:rPr>
      </w:pPr>
      <w:r>
        <w:rPr>
          <w:i/>
        </w:rPr>
        <w:t>3.</w:t>
      </w:r>
      <w:r w:rsidRPr="00CB52D0">
        <w:rPr>
          <w:i/>
        </w:rPr>
        <w:t>Training relating to members’ obligations and duties</w:t>
      </w:r>
    </w:p>
    <w:p w14:paraId="62D63781" w14:textId="77777777" w:rsidR="009D6F69" w:rsidRPr="009D6F69" w:rsidRDefault="009D6F69" w:rsidP="009D6F69">
      <w:pPr>
        <w:spacing w:before="240"/>
        <w:jc w:val="both"/>
        <w:rPr>
          <w:rFonts w:ascii="Arial" w:hAnsi="Arial" w:cs="Arial"/>
          <w:sz w:val="22"/>
          <w:szCs w:val="22"/>
          <w:lang w:val="en-US"/>
        </w:rPr>
      </w:pPr>
      <w:r w:rsidRPr="009D6F69">
        <w:rPr>
          <w:rFonts w:ascii="Arial" w:hAnsi="Arial" w:cs="Arial"/>
          <w:sz w:val="22"/>
          <w:szCs w:val="22"/>
          <w:lang w:val="en-US"/>
        </w:rPr>
        <w:t>In accordance with Schedule 3, Section 5, Clause 2 of the Act, DHBs must submit a report about its board, as at the last day of the quarter the report is for, listing:</w:t>
      </w:r>
    </w:p>
    <w:p w14:paraId="4F1C3FE1" w14:textId="77777777" w:rsidR="009D6F69" w:rsidRPr="009D6F69" w:rsidRDefault="009D6F69" w:rsidP="00C04FF1">
      <w:pPr>
        <w:pStyle w:val="ListParagraph"/>
        <w:numPr>
          <w:ilvl w:val="0"/>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the name of each member of the board</w:t>
      </w:r>
    </w:p>
    <w:p w14:paraId="09CB89C9" w14:textId="77777777" w:rsidR="009D6F69" w:rsidRPr="009D6F69" w:rsidRDefault="009D6F69" w:rsidP="00C04FF1">
      <w:pPr>
        <w:pStyle w:val="ListParagraph"/>
        <w:numPr>
          <w:ilvl w:val="0"/>
          <w:numId w:val="90"/>
        </w:numPr>
        <w:contextualSpacing w:val="0"/>
        <w:jc w:val="both"/>
        <w:rPr>
          <w:rFonts w:ascii="Arial" w:hAnsi="Arial" w:cs="Arial"/>
          <w:sz w:val="22"/>
          <w:szCs w:val="22"/>
          <w:lang w:val="en-US"/>
        </w:rPr>
      </w:pPr>
      <w:r w:rsidRPr="009D6F69">
        <w:rPr>
          <w:rFonts w:ascii="Arial" w:hAnsi="Arial" w:cs="Arial"/>
          <w:sz w:val="22"/>
          <w:szCs w:val="22"/>
          <w:lang w:val="en-US"/>
        </w:rPr>
        <w:t>whether that member identifies as being Māori (in accordance with HISO 10001:2017 Ethnicity Data Protocols)</w:t>
      </w:r>
    </w:p>
    <w:p w14:paraId="60719ED6" w14:textId="77777777" w:rsidR="009D6F69" w:rsidRPr="009D6F69" w:rsidRDefault="009D6F69" w:rsidP="00C04FF1">
      <w:pPr>
        <w:pStyle w:val="ListParagraph"/>
        <w:numPr>
          <w:ilvl w:val="0"/>
          <w:numId w:val="90"/>
        </w:numPr>
        <w:contextualSpacing w:val="0"/>
        <w:jc w:val="both"/>
        <w:rPr>
          <w:rFonts w:ascii="Arial" w:hAnsi="Arial" w:cs="Arial"/>
          <w:sz w:val="22"/>
          <w:szCs w:val="22"/>
          <w:lang w:val="en-US"/>
        </w:rPr>
      </w:pPr>
      <w:r w:rsidRPr="009D6F69">
        <w:rPr>
          <w:rFonts w:ascii="Arial" w:hAnsi="Arial" w:cs="Arial"/>
          <w:sz w:val="22"/>
          <w:szCs w:val="22"/>
          <w:lang w:val="en-US"/>
        </w:rPr>
        <w:t xml:space="preserve">the members Iwi affiliations (in accordance with the </w:t>
      </w:r>
      <w:proofErr w:type="spellStart"/>
      <w:r w:rsidRPr="009D6F69">
        <w:rPr>
          <w:rFonts w:ascii="Arial" w:hAnsi="Arial" w:cs="Arial"/>
          <w:sz w:val="22"/>
          <w:szCs w:val="22"/>
          <w:lang w:val="en-US"/>
        </w:rPr>
        <w:t>StatsNZ</w:t>
      </w:r>
      <w:proofErr w:type="spellEnd"/>
      <w:r w:rsidRPr="009D6F69">
        <w:rPr>
          <w:rFonts w:ascii="Arial" w:hAnsi="Arial" w:cs="Arial"/>
          <w:sz w:val="22"/>
          <w:szCs w:val="22"/>
          <w:lang w:val="en-US"/>
        </w:rPr>
        <w:t xml:space="preserve"> Iwi Statistical Standard 2017)</w:t>
      </w:r>
    </w:p>
    <w:p w14:paraId="01E76824" w14:textId="77777777" w:rsidR="009D6F69" w:rsidRPr="009D6F69" w:rsidRDefault="009D6F69" w:rsidP="00C04FF1">
      <w:pPr>
        <w:pStyle w:val="ListParagraph"/>
        <w:numPr>
          <w:ilvl w:val="0"/>
          <w:numId w:val="90"/>
        </w:numPr>
        <w:contextualSpacing w:val="0"/>
        <w:jc w:val="both"/>
        <w:rPr>
          <w:rFonts w:ascii="Arial" w:hAnsi="Arial" w:cs="Arial"/>
          <w:sz w:val="22"/>
          <w:szCs w:val="22"/>
          <w:lang w:val="en-US"/>
        </w:rPr>
      </w:pPr>
      <w:r w:rsidRPr="009D6F69">
        <w:rPr>
          <w:rFonts w:ascii="Arial" w:hAnsi="Arial" w:cs="Arial"/>
          <w:sz w:val="22"/>
          <w:szCs w:val="22"/>
          <w:lang w:val="en-US"/>
        </w:rPr>
        <w:t>the date on which each member of the board most recently came into office as a member of the board</w:t>
      </w:r>
    </w:p>
    <w:p w14:paraId="2592CBE0" w14:textId="77777777" w:rsidR="009D6F69" w:rsidRPr="009D6F69" w:rsidRDefault="009D6F69" w:rsidP="00C04FF1">
      <w:pPr>
        <w:pStyle w:val="ListParagraph"/>
        <w:numPr>
          <w:ilvl w:val="0"/>
          <w:numId w:val="90"/>
        </w:numPr>
        <w:contextualSpacing w:val="0"/>
        <w:jc w:val="both"/>
        <w:rPr>
          <w:rFonts w:ascii="Arial" w:hAnsi="Arial" w:cs="Arial"/>
          <w:sz w:val="22"/>
          <w:szCs w:val="22"/>
          <w:lang w:val="en-US"/>
        </w:rPr>
      </w:pPr>
      <w:r w:rsidRPr="009D6F69">
        <w:rPr>
          <w:rFonts w:ascii="Arial" w:hAnsi="Arial" w:cs="Arial"/>
          <w:sz w:val="22"/>
          <w:szCs w:val="22"/>
          <w:lang w:val="en-US"/>
        </w:rPr>
        <w:t>the members familiarity with the obligations and duties of a member of the board, specifically:</w:t>
      </w:r>
    </w:p>
    <w:p w14:paraId="0BA41CF5" w14:textId="77777777" w:rsidR="009D6F69" w:rsidRPr="009D6F69" w:rsidRDefault="009D6F69" w:rsidP="00C04FF1">
      <w:pPr>
        <w:pStyle w:val="ListParagraph"/>
        <w:numPr>
          <w:ilvl w:val="1"/>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self-rated familiarity on a 1 to 5 scale where 1 is very-unfamiliar and 5 is very familiar</w:t>
      </w:r>
    </w:p>
    <w:p w14:paraId="31F79F8C"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nature of the training (if any) the member has undertaken on the obligations and duties of a member of the board</w:t>
      </w:r>
    </w:p>
    <w:p w14:paraId="03B08EB6"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date that training was completed or the date by which it is expected to have been completed</w:t>
      </w:r>
    </w:p>
    <w:p w14:paraId="275F8F38" w14:textId="77777777" w:rsidR="009D6F69" w:rsidRPr="009D6F69" w:rsidRDefault="009D6F69" w:rsidP="00C04FF1">
      <w:pPr>
        <w:pStyle w:val="ListParagraph"/>
        <w:numPr>
          <w:ilvl w:val="0"/>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lastRenderedPageBreak/>
        <w:t>the members familiarity with Maori health issues, specifically:</w:t>
      </w:r>
    </w:p>
    <w:p w14:paraId="18062C8A" w14:textId="77777777" w:rsidR="009D6F69" w:rsidRPr="009D6F69" w:rsidRDefault="009D6F69" w:rsidP="00C04FF1">
      <w:pPr>
        <w:pStyle w:val="ListParagraph"/>
        <w:numPr>
          <w:ilvl w:val="1"/>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self-rated familiarity on a 1 to 5 scale where 1 is very-unfamiliar and 5 is very familiar</w:t>
      </w:r>
    </w:p>
    <w:p w14:paraId="3FE771C4"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nature of the training (if any) the member has undertaken on the Māori health issues</w:t>
      </w:r>
    </w:p>
    <w:p w14:paraId="2D04388E"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date that training was completed or the date by which it is expected to have been completed</w:t>
      </w:r>
    </w:p>
    <w:p w14:paraId="15FA7CF3" w14:textId="77777777" w:rsidR="009D6F69" w:rsidRPr="009D6F69" w:rsidRDefault="009D6F69" w:rsidP="00C04FF1">
      <w:pPr>
        <w:pStyle w:val="ListParagraph"/>
        <w:numPr>
          <w:ilvl w:val="0"/>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the members familiarity with the Treaty of Waitangi, specifically:</w:t>
      </w:r>
    </w:p>
    <w:p w14:paraId="45983631" w14:textId="77777777" w:rsidR="009D6F69" w:rsidRPr="009D6F69" w:rsidRDefault="009D6F69" w:rsidP="00C04FF1">
      <w:pPr>
        <w:pStyle w:val="ListParagraph"/>
        <w:numPr>
          <w:ilvl w:val="1"/>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self-rated familiarity on a 1 to 5 scale where 1 is very-unfamiliar and 5 is very familiar</w:t>
      </w:r>
    </w:p>
    <w:p w14:paraId="7B63CD50"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nature of the training (if any) the member has undertaken on the Treaty</w:t>
      </w:r>
    </w:p>
    <w:p w14:paraId="3EC87C42"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date that training was completed or the date by which it is expected to have been completed</w:t>
      </w:r>
    </w:p>
    <w:p w14:paraId="2C53D61B" w14:textId="77777777" w:rsidR="009D6F69" w:rsidRPr="009D6F69" w:rsidRDefault="009D6F69" w:rsidP="00C04FF1">
      <w:pPr>
        <w:pStyle w:val="ListParagraph"/>
        <w:numPr>
          <w:ilvl w:val="0"/>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 xml:space="preserve">the members familiarity with Māori groups or </w:t>
      </w:r>
      <w:proofErr w:type="spellStart"/>
      <w:r w:rsidRPr="009D6F69">
        <w:rPr>
          <w:rFonts w:ascii="Arial" w:hAnsi="Arial" w:cs="Arial"/>
          <w:sz w:val="22"/>
          <w:szCs w:val="22"/>
          <w:lang w:val="en-US"/>
        </w:rPr>
        <w:t>organisations</w:t>
      </w:r>
      <w:proofErr w:type="spellEnd"/>
      <w:r w:rsidRPr="009D6F69">
        <w:rPr>
          <w:rFonts w:ascii="Arial" w:hAnsi="Arial" w:cs="Arial"/>
          <w:sz w:val="22"/>
          <w:szCs w:val="22"/>
          <w:lang w:val="en-US"/>
        </w:rPr>
        <w:t xml:space="preserve"> in the district of the DHB concerned</w:t>
      </w:r>
    </w:p>
    <w:p w14:paraId="27499364" w14:textId="77777777" w:rsidR="009D6F69" w:rsidRPr="009D6F69" w:rsidRDefault="009D6F69" w:rsidP="00C04FF1">
      <w:pPr>
        <w:pStyle w:val="ListParagraph"/>
        <w:numPr>
          <w:ilvl w:val="1"/>
          <w:numId w:val="90"/>
        </w:numPr>
        <w:spacing w:before="240"/>
        <w:contextualSpacing w:val="0"/>
        <w:jc w:val="both"/>
        <w:rPr>
          <w:rFonts w:ascii="Arial" w:hAnsi="Arial" w:cs="Arial"/>
          <w:sz w:val="22"/>
          <w:szCs w:val="22"/>
          <w:lang w:val="en-US"/>
        </w:rPr>
      </w:pPr>
      <w:r w:rsidRPr="009D6F69">
        <w:rPr>
          <w:rFonts w:ascii="Arial" w:hAnsi="Arial" w:cs="Arial"/>
          <w:sz w:val="22"/>
          <w:szCs w:val="22"/>
          <w:lang w:val="en-US"/>
        </w:rPr>
        <w:t>self-rated familiarity on a 1 to 5 scale where 1 is very-unfamiliar and 5 is very familiar</w:t>
      </w:r>
    </w:p>
    <w:p w14:paraId="4CA8250A"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 xml:space="preserve">the nature of the training (if any) the member has undertaken on the Māori groups or </w:t>
      </w:r>
      <w:proofErr w:type="spellStart"/>
      <w:r w:rsidRPr="009D6F69">
        <w:rPr>
          <w:rFonts w:ascii="Arial" w:hAnsi="Arial" w:cs="Arial"/>
          <w:sz w:val="22"/>
          <w:szCs w:val="22"/>
          <w:lang w:val="en-US"/>
        </w:rPr>
        <w:t>organisations</w:t>
      </w:r>
      <w:proofErr w:type="spellEnd"/>
      <w:r w:rsidRPr="009D6F69">
        <w:rPr>
          <w:rFonts w:ascii="Arial" w:hAnsi="Arial" w:cs="Arial"/>
          <w:sz w:val="22"/>
          <w:szCs w:val="22"/>
          <w:lang w:val="en-US"/>
        </w:rPr>
        <w:t xml:space="preserve"> in the district of the DHB</w:t>
      </w:r>
    </w:p>
    <w:p w14:paraId="69A1D5EF" w14:textId="77777777" w:rsidR="009D6F69" w:rsidRPr="009D6F69" w:rsidRDefault="009D6F69" w:rsidP="00C04FF1">
      <w:pPr>
        <w:pStyle w:val="ListParagraph"/>
        <w:numPr>
          <w:ilvl w:val="1"/>
          <w:numId w:val="90"/>
        </w:numPr>
        <w:contextualSpacing w:val="0"/>
        <w:jc w:val="both"/>
        <w:rPr>
          <w:rFonts w:ascii="Arial" w:hAnsi="Arial" w:cs="Arial"/>
          <w:sz w:val="22"/>
          <w:szCs w:val="22"/>
          <w:lang w:val="en-US"/>
        </w:rPr>
      </w:pPr>
      <w:r w:rsidRPr="009D6F69">
        <w:rPr>
          <w:rFonts w:ascii="Arial" w:hAnsi="Arial" w:cs="Arial"/>
          <w:sz w:val="22"/>
          <w:szCs w:val="22"/>
          <w:lang w:val="en-US"/>
        </w:rPr>
        <w:t>the date that training was completed or the date by which it is expected to have been completed.</w:t>
      </w:r>
    </w:p>
    <w:p w14:paraId="1834D95E" w14:textId="77777777" w:rsidR="003F443E" w:rsidRDefault="003F443E" w:rsidP="003F443E">
      <w:pPr>
        <w:pStyle w:val="ListParagraph"/>
        <w:spacing w:before="60" w:after="60"/>
        <w:jc w:val="both"/>
        <w:rPr>
          <w:rFonts w:ascii="Arial" w:hAnsi="Arial" w:cs="Arial"/>
          <w:b/>
          <w:sz w:val="22"/>
          <w:szCs w:val="22"/>
        </w:rPr>
      </w:pPr>
    </w:p>
    <w:p w14:paraId="225931CB" w14:textId="77777777" w:rsidR="003F443E" w:rsidRPr="003F443E" w:rsidRDefault="003F443E" w:rsidP="003F443E">
      <w:pPr>
        <w:spacing w:before="60" w:after="60"/>
        <w:jc w:val="both"/>
        <w:rPr>
          <w:rFonts w:ascii="Arial" w:hAnsi="Arial" w:cs="Arial"/>
          <w:b/>
          <w:sz w:val="22"/>
          <w:szCs w:val="22"/>
        </w:rPr>
      </w:pPr>
      <w:r w:rsidRPr="003F443E">
        <w:rPr>
          <w:rFonts w:ascii="Arial" w:hAnsi="Arial" w:cs="Arial"/>
          <w:b/>
          <w:sz w:val="22"/>
          <w:szCs w:val="22"/>
        </w:rPr>
        <w:t>Reporting period</w:t>
      </w:r>
    </w:p>
    <w:p w14:paraId="52D80B2B" w14:textId="16704741" w:rsidR="003F443E" w:rsidRPr="003F443E" w:rsidRDefault="003F443E" w:rsidP="003F443E">
      <w:pPr>
        <w:spacing w:before="60" w:after="120"/>
        <w:rPr>
          <w:rFonts w:ascii="Arial" w:hAnsi="Arial" w:cs="Arial"/>
          <w:sz w:val="22"/>
          <w:szCs w:val="22"/>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671"/>
      </w:tblGrid>
      <w:tr w:rsidR="003F443E" w:rsidRPr="00D77CF3" w14:paraId="5609C474" w14:textId="77777777" w:rsidTr="00413A8F">
        <w:trPr>
          <w:jc w:val="center"/>
        </w:trPr>
        <w:tc>
          <w:tcPr>
            <w:tcW w:w="2547" w:type="dxa"/>
            <w:shd w:val="clear" w:color="auto" w:fill="CCCCCC"/>
            <w:vAlign w:val="center"/>
          </w:tcPr>
          <w:p w14:paraId="453142F8" w14:textId="77777777" w:rsidR="003F443E" w:rsidRPr="00D77CF3" w:rsidRDefault="003F443E" w:rsidP="00413A8F">
            <w:pPr>
              <w:spacing w:before="60" w:after="60"/>
              <w:jc w:val="both"/>
              <w:rPr>
                <w:rFonts w:ascii="Arial" w:hAnsi="Arial" w:cs="Arial"/>
                <w:b/>
                <w:sz w:val="22"/>
                <w:szCs w:val="22"/>
              </w:rPr>
            </w:pPr>
            <w:r w:rsidRPr="00D77CF3">
              <w:rPr>
                <w:rFonts w:ascii="Arial" w:hAnsi="Arial" w:cs="Arial"/>
                <w:b/>
                <w:sz w:val="22"/>
                <w:szCs w:val="22"/>
              </w:rPr>
              <w:t xml:space="preserve">Reporting quarter </w:t>
            </w:r>
          </w:p>
        </w:tc>
        <w:tc>
          <w:tcPr>
            <w:tcW w:w="7671" w:type="dxa"/>
            <w:shd w:val="clear" w:color="auto" w:fill="CCCCCC"/>
            <w:vAlign w:val="center"/>
          </w:tcPr>
          <w:p w14:paraId="0DE2EF7A" w14:textId="0F60C203" w:rsidR="003F443E" w:rsidRPr="00D77CF3" w:rsidRDefault="003F443E" w:rsidP="003F443E">
            <w:pPr>
              <w:spacing w:before="60" w:after="60"/>
              <w:jc w:val="both"/>
              <w:rPr>
                <w:rFonts w:ascii="Arial" w:hAnsi="Arial" w:cs="Arial"/>
                <w:b/>
                <w:sz w:val="22"/>
                <w:szCs w:val="22"/>
              </w:rPr>
            </w:pPr>
            <w:r>
              <w:rPr>
                <w:rFonts w:ascii="Arial" w:hAnsi="Arial" w:cs="Arial"/>
                <w:b/>
                <w:sz w:val="22"/>
                <w:szCs w:val="22"/>
              </w:rPr>
              <w:t>Reports to cover the period:</w:t>
            </w:r>
          </w:p>
        </w:tc>
      </w:tr>
      <w:tr w:rsidR="003F443E" w:rsidRPr="00D77CF3" w14:paraId="0E2738A3" w14:textId="77777777" w:rsidTr="00413A8F">
        <w:tblPrEx>
          <w:tblLook w:val="01E0" w:firstRow="1" w:lastRow="1" w:firstColumn="1" w:lastColumn="1" w:noHBand="0" w:noVBand="0"/>
        </w:tblPrEx>
        <w:trPr>
          <w:jc w:val="center"/>
        </w:trPr>
        <w:tc>
          <w:tcPr>
            <w:tcW w:w="2547" w:type="dxa"/>
            <w:shd w:val="clear" w:color="auto" w:fill="auto"/>
          </w:tcPr>
          <w:p w14:paraId="1D561E7A" w14:textId="77777777" w:rsidR="003F443E" w:rsidRPr="00D77CF3" w:rsidRDefault="003F443E" w:rsidP="00413A8F">
            <w:pPr>
              <w:spacing w:before="60" w:after="60"/>
              <w:jc w:val="both"/>
              <w:rPr>
                <w:rFonts w:ascii="Arial" w:hAnsi="Arial" w:cs="Arial"/>
                <w:sz w:val="22"/>
                <w:szCs w:val="22"/>
              </w:rPr>
            </w:pPr>
            <w:r w:rsidRPr="00D77CF3">
              <w:rPr>
                <w:rFonts w:ascii="Arial" w:hAnsi="Arial" w:cs="Arial"/>
                <w:sz w:val="22"/>
                <w:szCs w:val="22"/>
              </w:rPr>
              <w:t>Quarter 2</w:t>
            </w:r>
          </w:p>
        </w:tc>
        <w:tc>
          <w:tcPr>
            <w:tcW w:w="7671" w:type="dxa"/>
            <w:shd w:val="clear" w:color="auto" w:fill="auto"/>
          </w:tcPr>
          <w:p w14:paraId="0BDBE685" w14:textId="6374BA25" w:rsidR="003F443E" w:rsidRPr="00D77CF3" w:rsidRDefault="003F443E" w:rsidP="003F443E">
            <w:pPr>
              <w:spacing w:before="60" w:after="60"/>
              <w:jc w:val="both"/>
              <w:rPr>
                <w:rFonts w:ascii="Arial" w:hAnsi="Arial" w:cs="Arial"/>
                <w:sz w:val="22"/>
                <w:szCs w:val="22"/>
              </w:rPr>
            </w:pPr>
            <w:r w:rsidRPr="00D77CF3">
              <w:rPr>
                <w:rFonts w:ascii="Arial" w:hAnsi="Arial" w:cs="Arial"/>
                <w:sz w:val="22"/>
                <w:szCs w:val="22"/>
              </w:rPr>
              <w:t xml:space="preserve">1 </w:t>
            </w:r>
            <w:r>
              <w:rPr>
                <w:rFonts w:ascii="Arial" w:hAnsi="Arial" w:cs="Arial"/>
                <w:sz w:val="22"/>
                <w:szCs w:val="22"/>
              </w:rPr>
              <w:t>October</w:t>
            </w:r>
            <w:r w:rsidRPr="00D77CF3">
              <w:rPr>
                <w:rFonts w:ascii="Arial" w:hAnsi="Arial" w:cs="Arial"/>
                <w:sz w:val="22"/>
                <w:szCs w:val="22"/>
              </w:rPr>
              <w:t xml:space="preserve"> – 31 December </w:t>
            </w:r>
          </w:p>
        </w:tc>
      </w:tr>
      <w:tr w:rsidR="003F443E" w:rsidRPr="00D77CF3" w14:paraId="3883354C" w14:textId="77777777" w:rsidTr="00413A8F">
        <w:tblPrEx>
          <w:tblLook w:val="01E0" w:firstRow="1" w:lastRow="1" w:firstColumn="1" w:lastColumn="1" w:noHBand="0" w:noVBand="0"/>
        </w:tblPrEx>
        <w:trPr>
          <w:jc w:val="center"/>
        </w:trPr>
        <w:tc>
          <w:tcPr>
            <w:tcW w:w="2547" w:type="dxa"/>
            <w:shd w:val="clear" w:color="auto" w:fill="auto"/>
          </w:tcPr>
          <w:p w14:paraId="679045F8" w14:textId="77777777" w:rsidR="003F443E" w:rsidRPr="00D77CF3" w:rsidRDefault="003F443E" w:rsidP="00413A8F">
            <w:pPr>
              <w:spacing w:before="60" w:after="60"/>
              <w:jc w:val="both"/>
              <w:rPr>
                <w:rFonts w:ascii="Arial" w:hAnsi="Arial" w:cs="Arial"/>
                <w:sz w:val="22"/>
                <w:szCs w:val="22"/>
              </w:rPr>
            </w:pPr>
            <w:r w:rsidRPr="00D77CF3">
              <w:rPr>
                <w:rFonts w:ascii="Arial" w:hAnsi="Arial" w:cs="Arial"/>
                <w:sz w:val="22"/>
                <w:szCs w:val="22"/>
              </w:rPr>
              <w:t>Quarter 4</w:t>
            </w:r>
          </w:p>
        </w:tc>
        <w:tc>
          <w:tcPr>
            <w:tcW w:w="7671" w:type="dxa"/>
            <w:shd w:val="clear" w:color="auto" w:fill="auto"/>
          </w:tcPr>
          <w:p w14:paraId="24D91EE6" w14:textId="4A8D3CF5" w:rsidR="003F443E" w:rsidRPr="00D77CF3" w:rsidRDefault="003F443E" w:rsidP="003F443E">
            <w:pPr>
              <w:spacing w:before="60" w:after="60"/>
              <w:jc w:val="both"/>
              <w:rPr>
                <w:rFonts w:ascii="Arial" w:hAnsi="Arial" w:cs="Arial"/>
                <w:sz w:val="22"/>
                <w:szCs w:val="22"/>
              </w:rPr>
            </w:pPr>
            <w:r w:rsidRPr="00D77CF3">
              <w:rPr>
                <w:rFonts w:ascii="Arial" w:hAnsi="Arial" w:cs="Arial"/>
                <w:sz w:val="22"/>
                <w:szCs w:val="22"/>
              </w:rPr>
              <w:t xml:space="preserve">1 </w:t>
            </w:r>
            <w:r>
              <w:rPr>
                <w:rFonts w:ascii="Arial" w:hAnsi="Arial" w:cs="Arial"/>
                <w:sz w:val="22"/>
                <w:szCs w:val="22"/>
              </w:rPr>
              <w:t>April</w:t>
            </w:r>
            <w:r w:rsidRPr="00D77CF3">
              <w:rPr>
                <w:rFonts w:ascii="Arial" w:hAnsi="Arial" w:cs="Arial"/>
                <w:sz w:val="22"/>
                <w:szCs w:val="22"/>
              </w:rPr>
              <w:t xml:space="preserve"> – 30 June </w:t>
            </w:r>
          </w:p>
        </w:tc>
      </w:tr>
    </w:tbl>
    <w:p w14:paraId="380C0B02" w14:textId="77777777" w:rsidR="00D01237" w:rsidRDefault="00D01237" w:rsidP="009D6F69">
      <w:pPr>
        <w:shd w:val="clear" w:color="auto" w:fill="FFFFFF"/>
        <w:rPr>
          <w:rFonts w:ascii="Arial" w:hAnsi="Arial" w:cs="Arial"/>
          <w:b/>
          <w:sz w:val="22"/>
          <w:szCs w:val="22"/>
          <w:lang w:eastAsia="en-GB"/>
        </w:rPr>
      </w:pPr>
    </w:p>
    <w:p w14:paraId="79EAE255" w14:textId="77777777" w:rsidR="00D01237" w:rsidRDefault="00D01237">
      <w:pPr>
        <w:rPr>
          <w:rFonts w:ascii="Arial" w:hAnsi="Arial" w:cs="Arial"/>
          <w:b/>
          <w:sz w:val="22"/>
          <w:szCs w:val="22"/>
          <w:lang w:eastAsia="en-GB"/>
        </w:rPr>
      </w:pPr>
      <w:r>
        <w:rPr>
          <w:rFonts w:ascii="Arial" w:hAnsi="Arial" w:cs="Arial"/>
          <w:b/>
          <w:sz w:val="22"/>
          <w:szCs w:val="22"/>
          <w:lang w:eastAsia="en-GB"/>
        </w:rPr>
        <w:br w:type="page"/>
      </w:r>
    </w:p>
    <w:p w14:paraId="0C9538AE" w14:textId="77777777" w:rsidR="004A7697" w:rsidRPr="009872F2" w:rsidRDefault="004A7697" w:rsidP="004A7697">
      <w:pPr>
        <w:pStyle w:val="Heading2"/>
        <w:rPr>
          <w:i w:val="0"/>
          <w:u w:val="single"/>
        </w:rPr>
      </w:pPr>
      <w:bookmarkStart w:id="521" w:name="_Toc4588569"/>
      <w:bookmarkStart w:id="522" w:name="_Toc9592038"/>
    </w:p>
    <w:p w14:paraId="53AC110D" w14:textId="77777777" w:rsidR="004A7697" w:rsidRPr="009872F2" w:rsidRDefault="004A7697" w:rsidP="004A7697">
      <w:pPr>
        <w:pStyle w:val="Heading2"/>
        <w:rPr>
          <w:i w:val="0"/>
        </w:rPr>
      </w:pPr>
      <w:r w:rsidRPr="009872F2">
        <w:rPr>
          <w:i w:val="0"/>
        </w:rPr>
        <w:t>Outcome priority:  We have improved quality of life</w:t>
      </w:r>
    </w:p>
    <w:p w14:paraId="0B16EF26" w14:textId="77777777" w:rsidR="004A7697" w:rsidRPr="009872F2" w:rsidRDefault="004A7697" w:rsidP="004A7697">
      <w:pPr>
        <w:keepNext/>
        <w:shd w:val="clear" w:color="auto" w:fill="FFFFFF" w:themeFill="background1"/>
        <w:spacing w:before="240" w:after="60"/>
        <w:outlineLvl w:val="1"/>
        <w:rPr>
          <w:rFonts w:ascii="Arial" w:hAnsi="Arial" w:cs="Arial"/>
          <w:bCs/>
          <w:iCs/>
          <w:sz w:val="22"/>
          <w:szCs w:val="28"/>
        </w:rPr>
      </w:pPr>
      <w:r w:rsidRPr="009872F2">
        <w:rPr>
          <w:rFonts w:ascii="Arial" w:hAnsi="Arial" w:cs="Arial"/>
          <w:b/>
          <w:bCs/>
          <w:iCs/>
          <w:sz w:val="22"/>
          <w:szCs w:val="28"/>
        </w:rPr>
        <w:t>Better population health outcomes supported by a strong and equitable health and disability system SS13: Improved management for long term conditions (FA1 LTCs; FA2 Diabetes; FA3 CVDRA; FA4 acute heart health; FA5 Stroke</w:t>
      </w:r>
      <w:bookmarkEnd w:id="521"/>
      <w:bookmarkEnd w:id="522"/>
    </w:p>
    <w:p w14:paraId="3CA6CEE8" w14:textId="77777777" w:rsidR="00D01237" w:rsidRPr="005E0AC0" w:rsidRDefault="00D01237" w:rsidP="00D01237">
      <w:pPr>
        <w:spacing w:after="160" w:line="259" w:lineRule="auto"/>
        <w:rPr>
          <w:rFonts w:ascii="Georgia" w:hAnsi="Georgia" w:cs="Arial"/>
        </w:rPr>
      </w:pPr>
    </w:p>
    <w:tbl>
      <w:tblPr>
        <w:tblStyle w:val="TableGrid"/>
        <w:tblW w:w="0" w:type="auto"/>
        <w:tblInd w:w="-5" w:type="dxa"/>
        <w:tblLook w:val="04A0" w:firstRow="1" w:lastRow="0" w:firstColumn="1" w:lastColumn="0" w:noHBand="0" w:noVBand="1"/>
      </w:tblPr>
      <w:tblGrid>
        <w:gridCol w:w="10194"/>
      </w:tblGrid>
      <w:tr w:rsidR="00786B03" w:rsidRPr="000B615C" w14:paraId="09753D7A" w14:textId="77777777" w:rsidTr="004B1778">
        <w:tc>
          <w:tcPr>
            <w:tcW w:w="10194" w:type="dxa"/>
          </w:tcPr>
          <w:p w14:paraId="27D0E8E6" w14:textId="77777777" w:rsidR="00786B03" w:rsidRPr="000B615C" w:rsidRDefault="00786B03" w:rsidP="004B1778">
            <w:pPr>
              <w:rPr>
                <w:rFonts w:ascii="Arial" w:hAnsi="Arial" w:cs="Arial"/>
                <w:b/>
                <w:bCs/>
                <w:i/>
                <w:iCs/>
                <w:sz w:val="28"/>
                <w:szCs w:val="28"/>
              </w:rPr>
            </w:pPr>
          </w:p>
          <w:tbl>
            <w:tblPr>
              <w:tblW w:w="95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7343"/>
            </w:tblGrid>
            <w:tr w:rsidR="00786B03" w:rsidRPr="000B615C" w14:paraId="151CA656" w14:textId="77777777" w:rsidTr="004B1778">
              <w:tc>
                <w:tcPr>
                  <w:tcW w:w="9526" w:type="dxa"/>
                  <w:gridSpan w:val="2"/>
                  <w:shd w:val="clear" w:color="auto" w:fill="D9D9D9"/>
                </w:tcPr>
                <w:p w14:paraId="1483889D" w14:textId="77777777" w:rsidR="00786B03" w:rsidRPr="000B615C" w:rsidRDefault="00786B03" w:rsidP="004B1778">
                  <w:pPr>
                    <w:shd w:val="clear" w:color="auto" w:fill="FFFFFF"/>
                    <w:spacing w:before="60" w:after="60"/>
                    <w:jc w:val="center"/>
                    <w:rPr>
                      <w:rFonts w:ascii="Arial" w:hAnsi="Arial" w:cs="Arial"/>
                      <w:b/>
                    </w:rPr>
                  </w:pPr>
                  <w:r w:rsidRPr="000B615C">
                    <w:rPr>
                      <w:rFonts w:ascii="Arial" w:hAnsi="Arial" w:cs="Arial"/>
                      <w:b/>
                    </w:rPr>
                    <w:t>Summary information</w:t>
                  </w:r>
                </w:p>
              </w:tc>
            </w:tr>
            <w:tr w:rsidR="00786B03" w:rsidRPr="000B615C" w14:paraId="5CDFBA80" w14:textId="77777777" w:rsidTr="004B1778">
              <w:tc>
                <w:tcPr>
                  <w:tcW w:w="2296" w:type="dxa"/>
                  <w:shd w:val="clear" w:color="auto" w:fill="auto"/>
                </w:tcPr>
                <w:p w14:paraId="0725E6AB" w14:textId="77777777" w:rsidR="00786B03" w:rsidRPr="000B615C" w:rsidRDefault="00786B03" w:rsidP="004B1778">
                  <w:pPr>
                    <w:shd w:val="clear" w:color="auto" w:fill="FFFFFF"/>
                    <w:rPr>
                      <w:rFonts w:ascii="Arial" w:hAnsi="Arial" w:cs="Arial"/>
                      <w:b/>
                      <w:i/>
                      <w:sz w:val="20"/>
                    </w:rPr>
                  </w:pPr>
                  <w:r w:rsidRPr="000B615C">
                    <w:rPr>
                      <w:rFonts w:ascii="Arial" w:hAnsi="Arial" w:cs="Arial"/>
                      <w:b/>
                      <w:i/>
                      <w:sz w:val="20"/>
                    </w:rPr>
                    <w:t>Target/performance expectation</w:t>
                  </w:r>
                </w:p>
              </w:tc>
              <w:tc>
                <w:tcPr>
                  <w:tcW w:w="7230" w:type="dxa"/>
                  <w:shd w:val="clear" w:color="auto" w:fill="auto"/>
                </w:tcPr>
                <w:p w14:paraId="540EF527" w14:textId="77777777" w:rsidR="00786B03" w:rsidRPr="000B615C" w:rsidRDefault="00786B03" w:rsidP="004B1778">
                  <w:pPr>
                    <w:shd w:val="clear" w:color="auto" w:fill="FFFFFF"/>
                    <w:jc w:val="both"/>
                    <w:rPr>
                      <w:rFonts w:ascii="Arial" w:hAnsi="Arial" w:cs="Arial"/>
                      <w:b/>
                      <w:i/>
                      <w:sz w:val="20"/>
                    </w:rPr>
                  </w:pPr>
                  <w:r w:rsidRPr="000B615C">
                    <w:rPr>
                      <w:rFonts w:ascii="Arial" w:hAnsi="Arial" w:cs="Arial"/>
                      <w:sz w:val="20"/>
                    </w:rPr>
                    <w:t>Agreed in DHB Annual Plan</w:t>
                  </w:r>
                </w:p>
              </w:tc>
            </w:tr>
            <w:tr w:rsidR="00786B03" w:rsidRPr="000B615C" w14:paraId="56DA9EEA" w14:textId="77777777" w:rsidTr="004B1778">
              <w:trPr>
                <w:trHeight w:val="493"/>
              </w:trPr>
              <w:tc>
                <w:tcPr>
                  <w:tcW w:w="2296" w:type="dxa"/>
                  <w:shd w:val="clear" w:color="auto" w:fill="auto"/>
                </w:tcPr>
                <w:p w14:paraId="0E029878" w14:textId="77777777" w:rsidR="00786B03" w:rsidRPr="000B615C" w:rsidRDefault="00786B03" w:rsidP="004B1778">
                  <w:pPr>
                    <w:shd w:val="clear" w:color="auto" w:fill="FFFFFF"/>
                    <w:rPr>
                      <w:rFonts w:ascii="Arial" w:hAnsi="Arial" w:cs="Arial"/>
                      <w:b/>
                      <w:i/>
                      <w:sz w:val="20"/>
                    </w:rPr>
                  </w:pPr>
                  <w:r w:rsidRPr="000B615C">
                    <w:rPr>
                      <w:rFonts w:ascii="Arial" w:hAnsi="Arial" w:cs="Arial"/>
                      <w:b/>
                      <w:i/>
                      <w:sz w:val="20"/>
                    </w:rPr>
                    <w:t>Reporting frequency</w:t>
                  </w:r>
                </w:p>
              </w:tc>
              <w:tc>
                <w:tcPr>
                  <w:tcW w:w="7230" w:type="dxa"/>
                  <w:shd w:val="clear" w:color="auto" w:fill="auto"/>
                </w:tcPr>
                <w:p w14:paraId="149FF083" w14:textId="77777777" w:rsidR="00786B03" w:rsidRPr="000B615C" w:rsidRDefault="00786B03" w:rsidP="004B1778">
                  <w:pPr>
                    <w:shd w:val="clear" w:color="auto" w:fill="FFFFFF"/>
                    <w:jc w:val="both"/>
                    <w:rPr>
                      <w:rFonts w:ascii="Arial" w:hAnsi="Arial" w:cs="Arial"/>
                      <w:sz w:val="20"/>
                    </w:rPr>
                  </w:pPr>
                  <w:r w:rsidRPr="000B615C">
                    <w:rPr>
                      <w:rFonts w:ascii="Arial" w:hAnsi="Arial" w:cs="Arial"/>
                      <w:sz w:val="20"/>
                    </w:rPr>
                    <w:t>Quarterly or six monthly</w:t>
                  </w:r>
                </w:p>
              </w:tc>
            </w:tr>
            <w:tr w:rsidR="00786B03" w:rsidRPr="000B615C" w14:paraId="2B4232E3" w14:textId="77777777" w:rsidTr="004B1778">
              <w:tc>
                <w:tcPr>
                  <w:tcW w:w="2296" w:type="dxa"/>
                  <w:shd w:val="clear" w:color="auto" w:fill="auto"/>
                </w:tcPr>
                <w:p w14:paraId="1C0F623C" w14:textId="77777777" w:rsidR="00786B03" w:rsidRPr="000B615C" w:rsidRDefault="00786B03" w:rsidP="004B1778">
                  <w:pPr>
                    <w:shd w:val="clear" w:color="auto" w:fill="FFFFFF"/>
                    <w:rPr>
                      <w:rFonts w:ascii="Arial" w:hAnsi="Arial" w:cs="Arial"/>
                      <w:b/>
                      <w:i/>
                      <w:sz w:val="20"/>
                    </w:rPr>
                  </w:pPr>
                  <w:r w:rsidRPr="000B615C">
                    <w:rPr>
                      <w:rFonts w:ascii="Arial" w:hAnsi="Arial" w:cs="Arial"/>
                      <w:b/>
                      <w:i/>
                      <w:sz w:val="20"/>
                    </w:rPr>
                    <w:t>Source information for reporting provided by:</w:t>
                  </w:r>
                </w:p>
              </w:tc>
              <w:tc>
                <w:tcPr>
                  <w:tcW w:w="7230" w:type="dxa"/>
                  <w:shd w:val="clear" w:color="auto" w:fill="auto"/>
                </w:tcPr>
                <w:p w14:paraId="15384881" w14:textId="77777777" w:rsidR="00786B03" w:rsidRPr="000B615C" w:rsidRDefault="00786B03" w:rsidP="004B1778">
                  <w:pPr>
                    <w:shd w:val="clear" w:color="auto" w:fill="FFFFFF"/>
                    <w:rPr>
                      <w:rFonts w:ascii="Arial" w:hAnsi="Arial" w:cs="Arial"/>
                      <w:i/>
                      <w:sz w:val="20"/>
                    </w:rPr>
                  </w:pPr>
                  <w:r w:rsidRPr="000B615C">
                    <w:rPr>
                      <w:rFonts w:ascii="Arial" w:hAnsi="Arial" w:cs="Arial"/>
                      <w:i/>
                      <w:sz w:val="20"/>
                    </w:rPr>
                    <w:t>DHBs to report – templates provided</w:t>
                  </w:r>
                </w:p>
              </w:tc>
            </w:tr>
            <w:tr w:rsidR="00786B03" w:rsidRPr="000B615C" w14:paraId="1E45C7B6" w14:textId="77777777" w:rsidTr="004B1778">
              <w:trPr>
                <w:trHeight w:val="2182"/>
              </w:trPr>
              <w:tc>
                <w:tcPr>
                  <w:tcW w:w="2296" w:type="dxa"/>
                  <w:shd w:val="clear" w:color="auto" w:fill="auto"/>
                </w:tcPr>
                <w:p w14:paraId="25A706E2" w14:textId="77777777" w:rsidR="00786B03" w:rsidRPr="000B615C" w:rsidRDefault="00786B03" w:rsidP="004B1778">
                  <w:pPr>
                    <w:shd w:val="clear" w:color="auto" w:fill="FFFFFF"/>
                    <w:rPr>
                      <w:rFonts w:ascii="Arial" w:hAnsi="Arial" w:cs="Arial"/>
                      <w:b/>
                      <w:i/>
                      <w:sz w:val="20"/>
                    </w:rPr>
                  </w:pPr>
                  <w:r w:rsidRPr="000B615C">
                    <w:rPr>
                      <w:rFonts w:ascii="Arial" w:hAnsi="Arial" w:cs="Arial"/>
                      <w:b/>
                      <w:i/>
                      <w:sz w:val="20"/>
                    </w:rPr>
                    <w:t>Quarterly reporting  - standard timeline applies</w:t>
                  </w:r>
                </w:p>
              </w:tc>
              <w:tc>
                <w:tcPr>
                  <w:tcW w:w="7230" w:type="dxa"/>
                  <w:shd w:val="clear" w:color="auto" w:fill="auto"/>
                </w:tcPr>
                <w:p w14:paraId="13BFCC78" w14:textId="77777777" w:rsidR="00786B03" w:rsidRPr="000B615C" w:rsidRDefault="00786B03" w:rsidP="004B1778">
                  <w:pPr>
                    <w:shd w:val="clear" w:color="auto" w:fill="FFFFFF"/>
                    <w:jc w:val="both"/>
                    <w:rPr>
                      <w:rFonts w:ascii="Arial" w:hAnsi="Arial" w:cs="Arial"/>
                      <w:i/>
                      <w:sz w:val="16"/>
                      <w:szCs w:val="16"/>
                    </w:rPr>
                  </w:pPr>
                </w:p>
                <w:tbl>
                  <w:tblPr>
                    <w:tblW w:w="7117" w:type="dxa"/>
                    <w:jc w:val="center"/>
                    <w:tblLook w:val="0000" w:firstRow="0" w:lastRow="0" w:firstColumn="0" w:lastColumn="0" w:noHBand="0" w:noVBand="0"/>
                  </w:tblPr>
                  <w:tblGrid>
                    <w:gridCol w:w="3006"/>
                    <w:gridCol w:w="4111"/>
                  </w:tblGrid>
                  <w:tr w:rsidR="00786B03" w:rsidRPr="000B615C" w14:paraId="14D97C5F"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3CC32" w14:textId="77777777" w:rsidR="00786B03" w:rsidRPr="000B615C" w:rsidRDefault="00786B03" w:rsidP="004B1778">
                        <w:pPr>
                          <w:ind w:left="205" w:hanging="205"/>
                          <w:rPr>
                            <w:rFonts w:ascii="Arial" w:hAnsi="Arial" w:cs="Arial"/>
                            <w:sz w:val="20"/>
                          </w:rPr>
                        </w:pPr>
                        <w:r w:rsidRPr="000B615C">
                          <w:rPr>
                            <w:rFonts w:ascii="Arial" w:hAnsi="Arial" w:cs="Arial"/>
                            <w:sz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6145" w14:textId="77777777" w:rsidR="00786B03" w:rsidRPr="000B615C" w:rsidRDefault="00786B03" w:rsidP="004B1778">
                        <w:pPr>
                          <w:ind w:left="205" w:hanging="205"/>
                          <w:rPr>
                            <w:rFonts w:ascii="Arial" w:hAnsi="Arial" w:cs="Arial"/>
                            <w:sz w:val="20"/>
                          </w:rPr>
                        </w:pPr>
                        <w:r w:rsidRPr="000B615C">
                          <w:rPr>
                            <w:rFonts w:ascii="Arial" w:hAnsi="Arial" w:cs="Arial"/>
                            <w:sz w:val="20"/>
                          </w:rPr>
                          <w:t>20th of the month following the end of the quarter/six months</w:t>
                        </w:r>
                      </w:p>
                    </w:tc>
                  </w:tr>
                  <w:tr w:rsidR="00786B03" w:rsidRPr="000B615C" w14:paraId="0F0A186B"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F5FD" w14:textId="77777777" w:rsidR="00786B03" w:rsidRPr="000B615C" w:rsidRDefault="00786B03" w:rsidP="004B1778">
                        <w:pPr>
                          <w:ind w:left="205" w:hanging="205"/>
                          <w:rPr>
                            <w:rFonts w:ascii="Arial" w:hAnsi="Arial" w:cs="Arial"/>
                            <w:sz w:val="20"/>
                          </w:rPr>
                        </w:pPr>
                        <w:r w:rsidRPr="000B615C">
                          <w:rPr>
                            <w:rFonts w:ascii="Arial" w:hAnsi="Arial" w:cs="Arial"/>
                            <w:sz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F4ED" w14:textId="77777777" w:rsidR="00786B03" w:rsidRPr="000B615C" w:rsidRDefault="00786B03" w:rsidP="004B1778">
                        <w:pPr>
                          <w:ind w:left="205" w:hanging="205"/>
                          <w:rPr>
                            <w:rFonts w:ascii="Arial" w:hAnsi="Arial" w:cs="Arial"/>
                            <w:sz w:val="20"/>
                          </w:rPr>
                        </w:pPr>
                        <w:r w:rsidRPr="000B615C">
                          <w:rPr>
                            <w:rFonts w:ascii="Arial" w:hAnsi="Arial" w:cs="Arial"/>
                            <w:sz w:val="20"/>
                          </w:rPr>
                          <w:t>8-10 working days from receiving reports</w:t>
                        </w:r>
                      </w:p>
                    </w:tc>
                  </w:tr>
                  <w:tr w:rsidR="00786B03" w:rsidRPr="000B615C" w14:paraId="2920C21F"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7F11" w14:textId="77777777" w:rsidR="00786B03" w:rsidRPr="000B615C" w:rsidRDefault="00786B03" w:rsidP="004B1778">
                        <w:pPr>
                          <w:ind w:left="205" w:hanging="205"/>
                          <w:rPr>
                            <w:rFonts w:ascii="Arial" w:hAnsi="Arial" w:cs="Arial"/>
                            <w:sz w:val="20"/>
                          </w:rPr>
                        </w:pPr>
                        <w:r w:rsidRPr="000B615C">
                          <w:rPr>
                            <w:rFonts w:ascii="Arial" w:hAnsi="Arial" w:cs="Arial"/>
                            <w:sz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25982" w14:textId="77777777" w:rsidR="00786B03" w:rsidRPr="000B615C" w:rsidRDefault="00786B03" w:rsidP="004B1778">
                        <w:pPr>
                          <w:ind w:left="205" w:hanging="205"/>
                          <w:rPr>
                            <w:rFonts w:ascii="Arial" w:hAnsi="Arial" w:cs="Arial"/>
                            <w:sz w:val="20"/>
                          </w:rPr>
                        </w:pPr>
                        <w:r w:rsidRPr="000B615C">
                          <w:rPr>
                            <w:rFonts w:ascii="Arial" w:hAnsi="Arial" w:cs="Arial"/>
                            <w:sz w:val="20"/>
                          </w:rPr>
                          <w:t>5 working days from receiving initial ratings</w:t>
                        </w:r>
                      </w:p>
                    </w:tc>
                  </w:tr>
                  <w:tr w:rsidR="00786B03" w:rsidRPr="000B615C" w14:paraId="43616705" w14:textId="77777777" w:rsidTr="004B1778">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D655" w14:textId="77777777" w:rsidR="00786B03" w:rsidRPr="000B615C" w:rsidRDefault="00786B03" w:rsidP="004B1778">
                        <w:pPr>
                          <w:ind w:left="205" w:hanging="205"/>
                          <w:rPr>
                            <w:rFonts w:ascii="Arial" w:hAnsi="Arial" w:cs="Arial"/>
                            <w:sz w:val="20"/>
                          </w:rPr>
                        </w:pPr>
                        <w:r w:rsidRPr="000B615C">
                          <w:rPr>
                            <w:rFonts w:ascii="Arial" w:hAnsi="Arial" w:cs="Arial"/>
                            <w:sz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6820" w14:textId="77777777" w:rsidR="00786B03" w:rsidRPr="000B615C" w:rsidRDefault="00786B03" w:rsidP="004B1778">
                        <w:pPr>
                          <w:ind w:left="205" w:hanging="205"/>
                          <w:rPr>
                            <w:rFonts w:ascii="Arial" w:hAnsi="Arial" w:cs="Arial"/>
                            <w:sz w:val="20"/>
                          </w:rPr>
                        </w:pPr>
                        <w:r w:rsidRPr="000B615C">
                          <w:rPr>
                            <w:rFonts w:ascii="Arial" w:hAnsi="Arial" w:cs="Arial"/>
                            <w:sz w:val="20"/>
                          </w:rPr>
                          <w:t>4-5 working days from receiving DHB feedback</w:t>
                        </w:r>
                      </w:p>
                    </w:tc>
                  </w:tr>
                </w:tbl>
                <w:p w14:paraId="0ABA0B07" w14:textId="77777777" w:rsidR="00786B03" w:rsidRPr="000B615C" w:rsidRDefault="00786B03" w:rsidP="004B1778">
                  <w:pPr>
                    <w:shd w:val="clear" w:color="auto" w:fill="FFFFFF"/>
                    <w:jc w:val="both"/>
                    <w:rPr>
                      <w:rFonts w:ascii="Arial" w:hAnsi="Arial" w:cs="Arial"/>
                      <w:i/>
                      <w:sz w:val="16"/>
                      <w:szCs w:val="16"/>
                    </w:rPr>
                  </w:pPr>
                </w:p>
              </w:tc>
            </w:tr>
          </w:tbl>
          <w:p w14:paraId="760B657C" w14:textId="77777777" w:rsidR="00786B03" w:rsidRPr="000B615C" w:rsidRDefault="00786B03" w:rsidP="004B1778">
            <w:pPr>
              <w:pStyle w:val="SubOne"/>
              <w:shd w:val="clear" w:color="auto" w:fill="FFFFFF"/>
              <w:spacing w:before="60" w:after="60"/>
              <w:jc w:val="both"/>
              <w:rPr>
                <w:i/>
              </w:rPr>
            </w:pPr>
            <w:r w:rsidRPr="000B615C">
              <w:t xml:space="preserve">Link to outcomes and priority areas </w:t>
            </w:r>
          </w:p>
          <w:p w14:paraId="2E41341E" w14:textId="77777777" w:rsidR="00786B03" w:rsidRPr="00EE7130" w:rsidRDefault="00786B03" w:rsidP="004B1778">
            <w:pPr>
              <w:rPr>
                <w:rFonts w:ascii="Arial" w:eastAsia="Calibri" w:hAnsi="Arial" w:cs="Arial"/>
                <w:sz w:val="22"/>
                <w:szCs w:val="22"/>
              </w:rPr>
            </w:pPr>
            <w:r w:rsidRPr="00EE7130">
              <w:rPr>
                <w:rFonts w:ascii="Arial" w:eastAsia="Calibri" w:hAnsi="Arial" w:cs="Arial"/>
                <w:sz w:val="22"/>
                <w:szCs w:val="22"/>
              </w:rPr>
              <w:t xml:space="preserve">Delivery of this measure supports the vision for the New Zealand health and disability system of </w:t>
            </w:r>
            <w:proofErr w:type="spellStart"/>
            <w:r w:rsidRPr="00EE7130">
              <w:rPr>
                <w:rFonts w:ascii="Arial" w:eastAsia="Calibri" w:hAnsi="Arial" w:cs="Arial"/>
                <w:sz w:val="22"/>
                <w:szCs w:val="22"/>
              </w:rPr>
              <w:t>Pae</w:t>
            </w:r>
            <w:proofErr w:type="spellEnd"/>
            <w:r w:rsidRPr="00EE7130">
              <w:rPr>
                <w:rFonts w:ascii="Arial" w:eastAsia="Calibri" w:hAnsi="Arial" w:cs="Arial"/>
                <w:sz w:val="22"/>
                <w:szCs w:val="22"/>
              </w:rPr>
              <w:t xml:space="preserve"> Ora – healthy futures.  This measure links to the system priorities and outcomes as indicated below.  </w:t>
            </w:r>
          </w:p>
          <w:p w14:paraId="1679364C" w14:textId="77777777" w:rsidR="00786B03" w:rsidRPr="000B615C" w:rsidRDefault="00786B03" w:rsidP="004B1778">
            <w:pPr>
              <w:spacing w:before="60" w:after="60"/>
              <w:jc w:val="both"/>
              <w:rPr>
                <w:rFonts w:ascii="Arial" w:hAnsi="Arial" w:cs="Arial"/>
              </w:rPr>
            </w:pPr>
            <w:r w:rsidRPr="000B615C">
              <w:rPr>
                <w:rFonts w:ascii="Arial" w:hAnsi="Arial" w:cs="Arial"/>
                <w:b/>
                <w:bCs/>
              </w:rPr>
              <w:sym w:font="Wingdings" w:char="F0FC"/>
            </w:r>
            <w:r w:rsidRPr="000B615C">
              <w:rPr>
                <w:rFonts w:ascii="Arial" w:hAnsi="Arial" w:cs="Arial"/>
                <w:b/>
                <w:bCs/>
                <w:sz w:val="16"/>
                <w:szCs w:val="16"/>
              </w:rPr>
              <w:t>indicates most applicable</w:t>
            </w:r>
          </w:p>
          <w:tbl>
            <w:tblPr>
              <w:tblStyle w:val="TableGrid"/>
              <w:tblW w:w="9159" w:type="dxa"/>
              <w:jc w:val="center"/>
              <w:tblLook w:val="04A0" w:firstRow="1" w:lastRow="0" w:firstColumn="1" w:lastColumn="0" w:noHBand="0" w:noVBand="1"/>
            </w:tblPr>
            <w:tblGrid>
              <w:gridCol w:w="1883"/>
              <w:gridCol w:w="1940"/>
              <w:gridCol w:w="3276"/>
              <w:gridCol w:w="2060"/>
            </w:tblGrid>
            <w:tr w:rsidR="00786B03" w:rsidRPr="000B615C" w14:paraId="4E2321DA" w14:textId="77777777" w:rsidTr="004B1778">
              <w:trPr>
                <w:jc w:val="center"/>
              </w:trPr>
              <w:tc>
                <w:tcPr>
                  <w:tcW w:w="1883" w:type="dxa"/>
                  <w:shd w:val="clear" w:color="auto" w:fill="B8CCE4" w:themeFill="accent1" w:themeFillTint="66"/>
                </w:tcPr>
                <w:p w14:paraId="4324BB74"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 xml:space="preserve">System outcomes </w:t>
                  </w:r>
                </w:p>
              </w:tc>
              <w:tc>
                <w:tcPr>
                  <w:tcW w:w="7276" w:type="dxa"/>
                  <w:gridSpan w:val="3"/>
                  <w:shd w:val="clear" w:color="auto" w:fill="CCC0D9" w:themeFill="accent4" w:themeFillTint="66"/>
                </w:tcPr>
                <w:p w14:paraId="733833AB" w14:textId="77777777" w:rsidR="00786B03" w:rsidRPr="000B615C" w:rsidRDefault="00786B03" w:rsidP="004B1778">
                  <w:pPr>
                    <w:ind w:left="171" w:hanging="142"/>
                    <w:rPr>
                      <w:rFonts w:ascii="Arial" w:hAnsi="Arial" w:cs="Arial"/>
                      <w:sz w:val="16"/>
                      <w:szCs w:val="16"/>
                    </w:rPr>
                  </w:pPr>
                  <w:r w:rsidRPr="000B615C">
                    <w:rPr>
                      <w:rFonts w:ascii="Arial" w:hAnsi="Arial" w:cs="Arial"/>
                      <w:b/>
                      <w:sz w:val="16"/>
                      <w:szCs w:val="16"/>
                    </w:rPr>
                    <w:t xml:space="preserve">Improving the well-being of </w:t>
                  </w:r>
                  <w:proofErr w:type="spellStart"/>
                  <w:r w:rsidRPr="000B615C">
                    <w:rPr>
                      <w:rFonts w:ascii="Arial" w:hAnsi="Arial" w:cs="Arial"/>
                      <w:b/>
                      <w:sz w:val="16"/>
                      <w:szCs w:val="16"/>
                    </w:rPr>
                    <w:t>NZers</w:t>
                  </w:r>
                  <w:proofErr w:type="spellEnd"/>
                  <w:r w:rsidRPr="000B615C">
                    <w:rPr>
                      <w:rFonts w:ascii="Arial" w:hAnsi="Arial" w:cs="Arial"/>
                      <w:b/>
                      <w:sz w:val="16"/>
                      <w:szCs w:val="16"/>
                    </w:rPr>
                    <w:t xml:space="preserve"> and their families </w:t>
                  </w:r>
                </w:p>
              </w:tc>
            </w:tr>
            <w:tr w:rsidR="00786B03" w:rsidRPr="000B615C" w14:paraId="1F263524" w14:textId="77777777" w:rsidTr="004B1778">
              <w:trPr>
                <w:jc w:val="center"/>
              </w:trPr>
              <w:tc>
                <w:tcPr>
                  <w:tcW w:w="1883" w:type="dxa"/>
                  <w:shd w:val="clear" w:color="auto" w:fill="B8CCE4" w:themeFill="accent1" w:themeFillTint="66"/>
                </w:tcPr>
                <w:p w14:paraId="34D6966A" w14:textId="77777777" w:rsidR="00786B03" w:rsidRPr="000B615C" w:rsidRDefault="00786B03" w:rsidP="004B1778">
                  <w:pPr>
                    <w:ind w:left="171" w:hanging="142"/>
                    <w:rPr>
                      <w:rFonts w:ascii="Arial" w:hAnsi="Arial" w:cs="Arial"/>
                      <w:i/>
                      <w:sz w:val="16"/>
                      <w:szCs w:val="16"/>
                    </w:rPr>
                  </w:pPr>
                  <w:r w:rsidRPr="000B615C">
                    <w:rPr>
                      <w:rFonts w:ascii="Arial" w:hAnsi="Arial" w:cs="Arial"/>
                      <w:b/>
                      <w:bCs/>
                      <w:sz w:val="16"/>
                      <w:szCs w:val="16"/>
                    </w:rPr>
                    <w:sym w:font="Wingdings" w:char="F0FC"/>
                  </w:r>
                  <w:r w:rsidRPr="000B615C">
                    <w:rPr>
                      <w:rFonts w:ascii="Arial" w:hAnsi="Arial" w:cs="Arial"/>
                      <w:b/>
                      <w:bCs/>
                      <w:sz w:val="16"/>
                      <w:szCs w:val="16"/>
                    </w:rPr>
                    <w:t>we live longer in good health</w:t>
                  </w:r>
                </w:p>
              </w:tc>
              <w:tc>
                <w:tcPr>
                  <w:tcW w:w="1940" w:type="dxa"/>
                  <w:tcBorders>
                    <w:right w:val="dashed" w:sz="4" w:space="0" w:color="auto"/>
                  </w:tcBorders>
                  <w:shd w:val="clear" w:color="auto" w:fill="CCC0D9" w:themeFill="accent4" w:themeFillTint="66"/>
                </w:tcPr>
                <w:p w14:paraId="275541C4"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Ensure everyone who is able to, is earning, learning, caring or volunteering</w:t>
                  </w:r>
                </w:p>
              </w:tc>
              <w:tc>
                <w:tcPr>
                  <w:tcW w:w="3276" w:type="dxa"/>
                  <w:tcBorders>
                    <w:left w:val="dashed" w:sz="4" w:space="0" w:color="auto"/>
                    <w:right w:val="dashed" w:sz="4" w:space="0" w:color="auto"/>
                  </w:tcBorders>
                  <w:shd w:val="clear" w:color="auto" w:fill="CCC0D9" w:themeFill="accent4" w:themeFillTint="66"/>
                </w:tcPr>
                <w:p w14:paraId="0CC8CD34" w14:textId="77777777" w:rsidR="00786B03" w:rsidRPr="000B615C" w:rsidRDefault="00786B03" w:rsidP="004B1778">
                  <w:pPr>
                    <w:ind w:left="171" w:hanging="142"/>
                    <w:rPr>
                      <w:rFonts w:ascii="Arial" w:hAnsi="Arial" w:cs="Arial"/>
                      <w:b/>
                      <w:sz w:val="16"/>
                      <w:szCs w:val="16"/>
                    </w:rPr>
                  </w:pPr>
                  <w:r w:rsidRPr="000B615C">
                    <w:rPr>
                      <w:rFonts w:ascii="Arial" w:hAnsi="Arial" w:cs="Arial"/>
                      <w:b/>
                      <w:bCs/>
                      <w:sz w:val="16"/>
                      <w:szCs w:val="16"/>
                    </w:rPr>
                    <w:sym w:font="Wingdings" w:char="F0FC"/>
                  </w:r>
                  <w:r w:rsidRPr="000B615C">
                    <w:rPr>
                      <w:rFonts w:ascii="Arial" w:hAnsi="Arial" w:cs="Arial"/>
                      <w:b/>
                      <w:sz w:val="16"/>
                      <w:szCs w:val="16"/>
                    </w:rPr>
                    <w:t>Strong and equitable public health and disability system</w:t>
                  </w:r>
                </w:p>
                <w:p w14:paraId="0E7504EF" w14:textId="77777777" w:rsidR="00786B03" w:rsidRPr="000B615C" w:rsidRDefault="00786B03" w:rsidP="004B1778">
                  <w:pPr>
                    <w:ind w:left="171" w:hanging="142"/>
                    <w:rPr>
                      <w:rFonts w:ascii="Arial" w:hAnsi="Arial" w:cs="Arial"/>
                      <w:sz w:val="16"/>
                      <w:szCs w:val="16"/>
                    </w:rPr>
                  </w:pPr>
                  <w:r w:rsidRPr="000B615C">
                    <w:rPr>
                      <w:rFonts w:ascii="Arial" w:hAnsi="Arial" w:cs="Arial"/>
                      <w:sz w:val="16"/>
                      <w:szCs w:val="16"/>
                    </w:rPr>
                    <w:t>Improved health through the best use of resources.</w:t>
                  </w:r>
                </w:p>
              </w:tc>
              <w:tc>
                <w:tcPr>
                  <w:tcW w:w="2060" w:type="dxa"/>
                  <w:vMerge w:val="restart"/>
                  <w:tcBorders>
                    <w:left w:val="dashed" w:sz="4" w:space="0" w:color="auto"/>
                  </w:tcBorders>
                  <w:shd w:val="clear" w:color="auto" w:fill="CCC0D9" w:themeFill="accent4" w:themeFillTint="66"/>
                </w:tcPr>
                <w:p w14:paraId="3A4AEB6A" w14:textId="77777777" w:rsidR="00786B03" w:rsidRPr="000B615C" w:rsidRDefault="00786B03" w:rsidP="004B1778">
                  <w:pPr>
                    <w:ind w:left="171" w:hanging="142"/>
                    <w:rPr>
                      <w:rFonts w:ascii="Arial" w:hAnsi="Arial" w:cs="Arial"/>
                      <w:b/>
                      <w:sz w:val="16"/>
                      <w:szCs w:val="16"/>
                    </w:rPr>
                  </w:pPr>
                  <w:r w:rsidRPr="000B615C">
                    <w:rPr>
                      <w:rFonts w:ascii="Arial" w:hAnsi="Arial" w:cs="Arial"/>
                      <w:b/>
                      <w:bCs/>
                      <w:sz w:val="16"/>
                      <w:szCs w:val="16"/>
                    </w:rPr>
                    <w:sym w:font="Wingdings" w:char="F0FC"/>
                  </w:r>
                  <w:r w:rsidRPr="000B615C">
                    <w:rPr>
                      <w:rFonts w:ascii="Arial" w:hAnsi="Arial" w:cs="Arial"/>
                      <w:b/>
                      <w:sz w:val="16"/>
                      <w:szCs w:val="16"/>
                    </w:rPr>
                    <w:t>Primary health and prevention</w:t>
                  </w:r>
                </w:p>
                <w:p w14:paraId="673609E3" w14:textId="77777777" w:rsidR="00786B03" w:rsidRPr="000B615C" w:rsidRDefault="00786B03" w:rsidP="004B1778">
                  <w:pPr>
                    <w:ind w:left="171" w:hanging="142"/>
                    <w:rPr>
                      <w:rFonts w:ascii="Arial" w:hAnsi="Arial" w:cs="Arial"/>
                      <w:sz w:val="16"/>
                      <w:szCs w:val="16"/>
                    </w:rPr>
                  </w:pPr>
                  <w:r w:rsidRPr="000B615C">
                    <w:rPr>
                      <w:rFonts w:ascii="Arial" w:hAnsi="Arial" w:cs="Arial"/>
                      <w:sz w:val="16"/>
                      <w:szCs w:val="16"/>
                    </w:rPr>
                    <w:t xml:space="preserve">  The first interface people have for many long-terms conditions (87% of all health loss). It is also the main vehicle for preventing and managing those conditions</w:t>
                  </w:r>
                </w:p>
              </w:tc>
            </w:tr>
            <w:tr w:rsidR="00786B03" w:rsidRPr="000B615C" w14:paraId="200C7FA0" w14:textId="77777777" w:rsidTr="004B1778">
              <w:trPr>
                <w:trHeight w:val="687"/>
                <w:jc w:val="center"/>
              </w:trPr>
              <w:tc>
                <w:tcPr>
                  <w:tcW w:w="1883" w:type="dxa"/>
                  <w:shd w:val="clear" w:color="auto" w:fill="B8CCE4" w:themeFill="accent1" w:themeFillTint="66"/>
                </w:tcPr>
                <w:p w14:paraId="17D15A3B" w14:textId="77777777" w:rsidR="00786B03" w:rsidRPr="000B615C" w:rsidRDefault="00786B03" w:rsidP="004B1778">
                  <w:pPr>
                    <w:ind w:left="171" w:hanging="142"/>
                    <w:rPr>
                      <w:rFonts w:ascii="Arial" w:hAnsi="Arial" w:cs="Arial"/>
                      <w:i/>
                      <w:sz w:val="16"/>
                      <w:szCs w:val="16"/>
                    </w:rPr>
                  </w:pPr>
                  <w:r w:rsidRPr="000B615C">
                    <w:rPr>
                      <w:rFonts w:ascii="Arial" w:hAnsi="Arial" w:cs="Arial"/>
                      <w:b/>
                      <w:bCs/>
                      <w:sz w:val="16"/>
                      <w:szCs w:val="16"/>
                    </w:rPr>
                    <w:sym w:font="Wingdings" w:char="F0FC"/>
                  </w:r>
                  <w:r w:rsidRPr="000B615C">
                    <w:rPr>
                      <w:rFonts w:ascii="Arial" w:hAnsi="Arial" w:cs="Arial"/>
                      <w:b/>
                      <w:sz w:val="16"/>
                      <w:szCs w:val="16"/>
                    </w:rPr>
                    <w:t>we have improved quality of life</w:t>
                  </w:r>
                </w:p>
              </w:tc>
              <w:tc>
                <w:tcPr>
                  <w:tcW w:w="1940" w:type="dxa"/>
                  <w:tcBorders>
                    <w:right w:val="dashed" w:sz="4" w:space="0" w:color="auto"/>
                  </w:tcBorders>
                  <w:shd w:val="clear" w:color="auto" w:fill="CCC0D9" w:themeFill="accent4" w:themeFillTint="66"/>
                </w:tcPr>
                <w:p w14:paraId="557F4D18"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Support healthier, safer and more connected communities</w:t>
                  </w:r>
                </w:p>
              </w:tc>
              <w:tc>
                <w:tcPr>
                  <w:tcW w:w="3276" w:type="dxa"/>
                  <w:tcBorders>
                    <w:left w:val="dashed" w:sz="4" w:space="0" w:color="auto"/>
                    <w:right w:val="dashed" w:sz="4" w:space="0" w:color="auto"/>
                  </w:tcBorders>
                  <w:shd w:val="clear" w:color="auto" w:fill="CCC0D9" w:themeFill="accent4" w:themeFillTint="66"/>
                </w:tcPr>
                <w:p w14:paraId="0FBD6C63"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Mental wellbeing</w:t>
                  </w:r>
                </w:p>
                <w:p w14:paraId="70F3BD32" w14:textId="77777777" w:rsidR="00786B03" w:rsidRPr="000B615C" w:rsidRDefault="00786B03" w:rsidP="004B1778">
                  <w:pPr>
                    <w:ind w:left="171" w:hanging="142"/>
                    <w:rPr>
                      <w:rFonts w:ascii="Arial" w:hAnsi="Arial" w:cs="Arial"/>
                      <w:sz w:val="16"/>
                      <w:szCs w:val="16"/>
                    </w:rPr>
                  </w:pPr>
                  <w:r w:rsidRPr="000B615C">
                    <w:rPr>
                      <w:rFonts w:ascii="Arial" w:hAnsi="Arial" w:cs="Arial"/>
                      <w:sz w:val="16"/>
                      <w:szCs w:val="16"/>
                    </w:rPr>
                    <w:t>12% of health loss and impacts on life outcomes      e.g. employment</w:t>
                  </w:r>
                </w:p>
              </w:tc>
              <w:tc>
                <w:tcPr>
                  <w:tcW w:w="2060" w:type="dxa"/>
                  <w:vMerge/>
                  <w:tcBorders>
                    <w:left w:val="dashed" w:sz="4" w:space="0" w:color="auto"/>
                  </w:tcBorders>
                  <w:shd w:val="clear" w:color="auto" w:fill="CCC0D9" w:themeFill="accent4" w:themeFillTint="66"/>
                </w:tcPr>
                <w:p w14:paraId="51AE1FF3" w14:textId="77777777" w:rsidR="00786B03" w:rsidRPr="000B615C" w:rsidRDefault="00786B03" w:rsidP="004B1778">
                  <w:pPr>
                    <w:ind w:left="171" w:hanging="142"/>
                    <w:rPr>
                      <w:rFonts w:ascii="Arial" w:hAnsi="Arial" w:cs="Arial"/>
                      <w:sz w:val="16"/>
                      <w:szCs w:val="16"/>
                    </w:rPr>
                  </w:pPr>
                </w:p>
              </w:tc>
            </w:tr>
            <w:tr w:rsidR="00786B03" w:rsidRPr="000B615C" w14:paraId="014F8ABC" w14:textId="77777777" w:rsidTr="004B1778">
              <w:trPr>
                <w:jc w:val="center"/>
              </w:trPr>
              <w:tc>
                <w:tcPr>
                  <w:tcW w:w="1883" w:type="dxa"/>
                  <w:shd w:val="clear" w:color="auto" w:fill="B8CCE4" w:themeFill="accent1" w:themeFillTint="66"/>
                </w:tcPr>
                <w:p w14:paraId="1A88E881" w14:textId="77777777" w:rsidR="00786B03" w:rsidRPr="000B615C" w:rsidRDefault="00786B03" w:rsidP="004B1778">
                  <w:pPr>
                    <w:ind w:left="171" w:hanging="142"/>
                    <w:rPr>
                      <w:rFonts w:ascii="Arial" w:hAnsi="Arial" w:cs="Arial"/>
                      <w:i/>
                      <w:sz w:val="16"/>
                      <w:szCs w:val="16"/>
                    </w:rPr>
                  </w:pPr>
                  <w:r w:rsidRPr="000B615C">
                    <w:rPr>
                      <w:rFonts w:ascii="Arial" w:hAnsi="Arial" w:cs="Arial"/>
                      <w:b/>
                      <w:bCs/>
                      <w:sz w:val="16"/>
                      <w:szCs w:val="16"/>
                    </w:rPr>
                    <w:sym w:font="Wingdings" w:char="F0FC"/>
                  </w:r>
                  <w:r w:rsidRPr="000B615C">
                    <w:rPr>
                      <w:rFonts w:ascii="Arial" w:hAnsi="Arial" w:cs="Arial"/>
                      <w:b/>
                      <w:bCs/>
                      <w:sz w:val="16"/>
                      <w:szCs w:val="16"/>
                    </w:rPr>
                    <w:t>we have health equity for Maori and other groups</w:t>
                  </w:r>
                </w:p>
              </w:tc>
              <w:tc>
                <w:tcPr>
                  <w:tcW w:w="1940" w:type="dxa"/>
                  <w:tcBorders>
                    <w:right w:val="dashed" w:sz="4" w:space="0" w:color="auto"/>
                  </w:tcBorders>
                  <w:shd w:val="clear" w:color="auto" w:fill="CCC0D9" w:themeFill="accent4" w:themeFillTint="66"/>
                </w:tcPr>
                <w:p w14:paraId="114C6C5E"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Make New Zealand the best place in the world to be a child</w:t>
                  </w:r>
                </w:p>
              </w:tc>
              <w:tc>
                <w:tcPr>
                  <w:tcW w:w="3276" w:type="dxa"/>
                  <w:tcBorders>
                    <w:left w:val="dashed" w:sz="4" w:space="0" w:color="auto"/>
                    <w:right w:val="dashed" w:sz="4" w:space="0" w:color="auto"/>
                  </w:tcBorders>
                  <w:shd w:val="clear" w:color="auto" w:fill="CCC0D9" w:themeFill="accent4" w:themeFillTint="66"/>
                </w:tcPr>
                <w:p w14:paraId="3BE5FAE9" w14:textId="77777777" w:rsidR="00786B03" w:rsidRPr="000B615C" w:rsidRDefault="00786B03" w:rsidP="004B1778">
                  <w:pPr>
                    <w:ind w:left="171" w:hanging="142"/>
                    <w:rPr>
                      <w:rFonts w:ascii="Arial" w:hAnsi="Arial" w:cs="Arial"/>
                      <w:b/>
                      <w:sz w:val="16"/>
                      <w:szCs w:val="16"/>
                    </w:rPr>
                  </w:pPr>
                  <w:r w:rsidRPr="000B615C">
                    <w:rPr>
                      <w:rFonts w:ascii="Arial" w:hAnsi="Arial" w:cs="Arial"/>
                      <w:b/>
                      <w:sz w:val="16"/>
                      <w:szCs w:val="16"/>
                    </w:rPr>
                    <w:t>Child wellbeing</w:t>
                  </w:r>
                </w:p>
                <w:p w14:paraId="00D78F4B" w14:textId="77777777" w:rsidR="00786B03" w:rsidRPr="000B615C" w:rsidRDefault="00786B03" w:rsidP="004B1778">
                  <w:pPr>
                    <w:ind w:left="171" w:hanging="142"/>
                    <w:rPr>
                      <w:rFonts w:ascii="Arial" w:hAnsi="Arial" w:cs="Arial"/>
                      <w:sz w:val="16"/>
                      <w:szCs w:val="16"/>
                    </w:rPr>
                  </w:pPr>
                  <w:r w:rsidRPr="000B615C">
                    <w:rPr>
                      <w:rFonts w:ascii="Arial" w:hAnsi="Arial" w:cs="Arial"/>
                      <w:sz w:val="16"/>
                      <w:szCs w:val="16"/>
                    </w:rPr>
                    <w:t>Investing early to lay foundations for life-long wellbeing.</w:t>
                  </w:r>
                </w:p>
              </w:tc>
              <w:tc>
                <w:tcPr>
                  <w:tcW w:w="2060" w:type="dxa"/>
                  <w:vMerge/>
                  <w:tcBorders>
                    <w:left w:val="dashed" w:sz="4" w:space="0" w:color="auto"/>
                  </w:tcBorders>
                  <w:shd w:val="clear" w:color="auto" w:fill="CCC0D9" w:themeFill="accent4" w:themeFillTint="66"/>
                </w:tcPr>
                <w:p w14:paraId="68A0F122" w14:textId="77777777" w:rsidR="00786B03" w:rsidRPr="000B615C" w:rsidRDefault="00786B03" w:rsidP="004B1778">
                  <w:pPr>
                    <w:ind w:left="171" w:hanging="142"/>
                    <w:rPr>
                      <w:rFonts w:ascii="Arial" w:hAnsi="Arial" w:cs="Arial"/>
                      <w:sz w:val="16"/>
                      <w:szCs w:val="16"/>
                    </w:rPr>
                  </w:pPr>
                </w:p>
              </w:tc>
            </w:tr>
          </w:tbl>
          <w:p w14:paraId="638A0405" w14:textId="77777777" w:rsidR="00786B03" w:rsidRPr="000B615C" w:rsidRDefault="00786B03" w:rsidP="004B1778">
            <w:pPr>
              <w:pStyle w:val="SubOne"/>
              <w:shd w:val="clear" w:color="auto" w:fill="FFFFFF"/>
              <w:spacing w:before="60" w:after="60"/>
              <w:jc w:val="both"/>
            </w:pPr>
          </w:p>
          <w:p w14:paraId="40C916B9" w14:textId="77777777" w:rsidR="00786B03" w:rsidRPr="00110AF1" w:rsidRDefault="00786B03" w:rsidP="004B1778">
            <w:pPr>
              <w:shd w:val="clear" w:color="auto" w:fill="FFFFFF" w:themeFill="background1"/>
              <w:jc w:val="both"/>
              <w:rPr>
                <w:rFonts w:ascii="Arial" w:eastAsia="Calibri" w:hAnsi="Arial" w:cs="Arial"/>
                <w:b/>
                <w:sz w:val="22"/>
                <w:szCs w:val="22"/>
              </w:rPr>
            </w:pPr>
            <w:r w:rsidRPr="00110AF1">
              <w:rPr>
                <w:rFonts w:ascii="Arial" w:eastAsia="Calibri" w:hAnsi="Arial" w:cs="Arial"/>
                <w:b/>
                <w:sz w:val="22"/>
                <w:szCs w:val="22"/>
              </w:rPr>
              <w:t xml:space="preserve">Long Term Conditions </w:t>
            </w:r>
          </w:p>
          <w:p w14:paraId="7D799384" w14:textId="77777777" w:rsidR="00786B03" w:rsidRDefault="00786B03" w:rsidP="004B1778">
            <w:pPr>
              <w:shd w:val="clear" w:color="auto" w:fill="FFFFFF"/>
              <w:jc w:val="both"/>
              <w:rPr>
                <w:rFonts w:ascii="Arial" w:eastAsia="Calibri" w:hAnsi="Arial" w:cs="Arial"/>
                <w:sz w:val="22"/>
                <w:szCs w:val="22"/>
              </w:rPr>
            </w:pPr>
            <w:r w:rsidRPr="00110AF1">
              <w:rPr>
                <w:rFonts w:ascii="Arial" w:eastAsia="Calibri" w:hAnsi="Arial" w:cs="Arial"/>
                <w:sz w:val="22"/>
                <w:szCs w:val="22"/>
              </w:rPr>
              <w:t xml:space="preserve">Long-term conditions comprise the major health burden for New Zealand now and into the foreseeable future.  This group of conditions is the leading cause of morbidity in New Zealand, and disproportionately affects Maori and Pacific peoples and people who experience mental illness and addiction.  As the population ages and lifestyles change these conditions are likely to increase significantly.   </w:t>
            </w:r>
          </w:p>
          <w:p w14:paraId="3C1D26C4" w14:textId="77777777" w:rsidR="00786B03" w:rsidRDefault="00786B03" w:rsidP="004B1778">
            <w:pPr>
              <w:shd w:val="clear" w:color="auto" w:fill="FFFFFF"/>
              <w:jc w:val="both"/>
              <w:rPr>
                <w:rFonts w:ascii="Arial" w:eastAsia="Calibri" w:hAnsi="Arial" w:cs="Arial"/>
                <w:sz w:val="22"/>
                <w:szCs w:val="22"/>
              </w:rPr>
            </w:pPr>
          </w:p>
          <w:p w14:paraId="4564F1C3" w14:textId="77777777" w:rsidR="00786B03" w:rsidRPr="00110AF1" w:rsidRDefault="00786B03" w:rsidP="004B1778">
            <w:pPr>
              <w:shd w:val="clear" w:color="auto" w:fill="FFFFFF"/>
              <w:jc w:val="both"/>
              <w:rPr>
                <w:rFonts w:ascii="Arial" w:eastAsia="Calibri" w:hAnsi="Arial" w:cs="Arial"/>
                <w:sz w:val="22"/>
                <w:szCs w:val="22"/>
              </w:rPr>
            </w:pPr>
            <w:r w:rsidRPr="00110AF1">
              <w:rPr>
                <w:rFonts w:ascii="Arial" w:eastAsia="Calibri" w:hAnsi="Arial" w:cs="Arial"/>
                <w:sz w:val="22"/>
                <w:szCs w:val="22"/>
              </w:rPr>
              <w:t>Cardiovascular disease, including heart attacks and strokes, are substantially preventable with lifestyle advice and treatment for those at moderate or higher risk.  Diabetes is also important as a major and increasing cause of disability and premature death and is a good indicator of the responsiveness of a health service to the people in most need.</w:t>
            </w:r>
          </w:p>
          <w:p w14:paraId="4C9BA765" w14:textId="77777777" w:rsidR="00786B03" w:rsidRPr="00110AF1" w:rsidRDefault="00786B03" w:rsidP="004B1778">
            <w:pPr>
              <w:shd w:val="clear" w:color="auto" w:fill="FFFFFF"/>
              <w:jc w:val="both"/>
              <w:rPr>
                <w:rFonts w:ascii="Arial" w:eastAsia="Calibri" w:hAnsi="Arial" w:cs="Arial"/>
                <w:sz w:val="22"/>
                <w:szCs w:val="22"/>
              </w:rPr>
            </w:pPr>
            <w:r w:rsidRPr="00110AF1">
              <w:rPr>
                <w:rFonts w:ascii="Arial" w:eastAsia="Calibri" w:hAnsi="Arial" w:cs="Arial"/>
                <w:sz w:val="22"/>
                <w:szCs w:val="22"/>
              </w:rPr>
              <w:lastRenderedPageBreak/>
              <w:t>The long term conditions prevention and management approach focusses on addressing common risk behaviours such as obesity and intervening at key points across the life course to achieve wellbeing for people with long term conditions.</w:t>
            </w:r>
          </w:p>
          <w:p w14:paraId="0A71BA91" w14:textId="77777777" w:rsidR="00786B03" w:rsidRPr="00110AF1" w:rsidRDefault="00786B03" w:rsidP="004B1778">
            <w:pPr>
              <w:shd w:val="clear" w:color="auto" w:fill="FFFFFF"/>
              <w:jc w:val="both"/>
              <w:rPr>
                <w:rFonts w:ascii="Arial" w:hAnsi="Arial" w:cs="Arial"/>
                <w:bCs/>
                <w:sz w:val="22"/>
                <w:szCs w:val="22"/>
              </w:rPr>
            </w:pPr>
          </w:p>
          <w:p w14:paraId="480EFD3B" w14:textId="77777777" w:rsidR="00786B03" w:rsidRPr="00110AF1" w:rsidRDefault="00786B03" w:rsidP="004B1778">
            <w:pPr>
              <w:shd w:val="clear" w:color="auto" w:fill="FFFFFF"/>
              <w:jc w:val="both"/>
              <w:rPr>
                <w:rFonts w:ascii="Arial" w:hAnsi="Arial" w:cs="Arial"/>
                <w:b/>
                <w:sz w:val="22"/>
                <w:szCs w:val="22"/>
              </w:rPr>
            </w:pPr>
            <w:r w:rsidRPr="00110AF1">
              <w:rPr>
                <w:rFonts w:ascii="Arial" w:hAnsi="Arial" w:cs="Arial"/>
                <w:b/>
                <w:sz w:val="22"/>
                <w:szCs w:val="22"/>
              </w:rPr>
              <w:t>Deliverables definitions</w:t>
            </w:r>
          </w:p>
          <w:p w14:paraId="02158EE3" w14:textId="77777777" w:rsidR="00786B03" w:rsidRPr="00110AF1" w:rsidRDefault="00786B03" w:rsidP="004B1778">
            <w:pPr>
              <w:shd w:val="clear" w:color="auto" w:fill="FFFFFF"/>
              <w:jc w:val="both"/>
              <w:rPr>
                <w:rFonts w:ascii="Arial" w:eastAsia="Calibri" w:hAnsi="Arial" w:cs="Arial"/>
                <w:sz w:val="22"/>
                <w:szCs w:val="22"/>
              </w:rPr>
            </w:pPr>
            <w:r w:rsidRPr="00110AF1">
              <w:rPr>
                <w:rFonts w:ascii="Arial" w:eastAsia="Calibri" w:hAnsi="Arial" w:cs="Arial"/>
                <w:sz w:val="22"/>
                <w:szCs w:val="22"/>
              </w:rPr>
              <w:t>The deliverables will be formally defined in the planning package, including mechanisms for data collection and delivery expectations. Each DHB must provide narrative comment for the indicator on progress on the activities being taken to improve performance, as outlined in their Annual Plan. The narrative is to include specific activities undertaken for Maori and Pacific and where relevant, people from the Indian subcontinent</w:t>
            </w:r>
            <w:r w:rsidRPr="00110AF1">
              <w:rPr>
                <w:rFonts w:ascii="Arial" w:eastAsia="Calibri" w:hAnsi="Arial" w:cs="Arial"/>
                <w:sz w:val="22"/>
                <w:szCs w:val="22"/>
                <w:vertAlign w:val="superscript"/>
              </w:rPr>
              <w:footnoteReference w:id="19"/>
            </w:r>
            <w:r w:rsidRPr="00110AF1">
              <w:rPr>
                <w:rFonts w:ascii="Arial" w:eastAsia="Calibri" w:hAnsi="Arial" w:cs="Arial"/>
                <w:sz w:val="22"/>
                <w:szCs w:val="22"/>
              </w:rPr>
              <w:t>.</w:t>
            </w:r>
          </w:p>
          <w:p w14:paraId="101754C3" w14:textId="77777777" w:rsidR="00786B03" w:rsidRPr="00110AF1" w:rsidRDefault="00786B03" w:rsidP="004B1778">
            <w:pPr>
              <w:shd w:val="clear" w:color="auto" w:fill="FFFFFF"/>
              <w:jc w:val="both"/>
              <w:rPr>
                <w:rFonts w:ascii="Arial" w:eastAsia="Calibri" w:hAnsi="Arial" w:cs="Arial"/>
                <w:sz w:val="22"/>
                <w:szCs w:val="22"/>
              </w:rPr>
            </w:pPr>
            <w:r w:rsidRPr="00110AF1">
              <w:rPr>
                <w:rFonts w:ascii="Arial" w:eastAsia="Calibri" w:hAnsi="Arial" w:cs="Arial"/>
                <w:sz w:val="22"/>
                <w:szCs w:val="22"/>
              </w:rPr>
              <w:t xml:space="preserve">There are five Focus Areas within this policy priority. </w:t>
            </w:r>
          </w:p>
          <w:p w14:paraId="6A1B7C74" w14:textId="77777777" w:rsidR="00786B03" w:rsidRPr="002315E3" w:rsidRDefault="00786B03" w:rsidP="00C04FF1">
            <w:pPr>
              <w:numPr>
                <w:ilvl w:val="0"/>
                <w:numId w:val="41"/>
              </w:numPr>
              <w:shd w:val="clear" w:color="auto" w:fill="FFFFFF"/>
              <w:ind w:left="714" w:hanging="357"/>
              <w:jc w:val="both"/>
              <w:rPr>
                <w:rFonts w:ascii="Arial" w:eastAsia="Calibri" w:hAnsi="Arial" w:cs="Arial"/>
                <w:sz w:val="22"/>
                <w:szCs w:val="22"/>
              </w:rPr>
            </w:pPr>
            <w:r w:rsidRPr="002315E3">
              <w:rPr>
                <w:rFonts w:ascii="Arial" w:eastAsia="Calibri" w:hAnsi="Arial" w:cs="Arial"/>
                <w:sz w:val="22"/>
                <w:szCs w:val="22"/>
              </w:rPr>
              <w:t xml:space="preserve">FA1 Long Term Conditions, FA2 Diabetes services, FA3 Cardiovascular health, FA4 Acute heart services, FA5 Stroke services.  </w:t>
            </w:r>
          </w:p>
          <w:p w14:paraId="3B826727" w14:textId="77777777" w:rsidR="00786B03" w:rsidRPr="000B615C" w:rsidRDefault="00786B03" w:rsidP="004B1778">
            <w:pPr>
              <w:shd w:val="clear" w:color="auto" w:fill="FFFFFF"/>
              <w:spacing w:before="60" w:after="60" w:line="276" w:lineRule="auto"/>
              <w:jc w:val="both"/>
              <w:rPr>
                <w:rFonts w:ascii="Arial" w:eastAsia="Calibri" w:hAnsi="Arial" w:cs="Arial"/>
              </w:rPr>
            </w:pPr>
          </w:p>
          <w:tbl>
            <w:tblPr>
              <w:tblW w:w="9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17"/>
              <w:gridCol w:w="8190"/>
            </w:tblGrid>
            <w:tr w:rsidR="00786B03" w:rsidRPr="000B615C" w14:paraId="3BD80FDB" w14:textId="77777777" w:rsidTr="004B1778">
              <w:trPr>
                <w:trHeight w:val="239"/>
              </w:trPr>
              <w:tc>
                <w:tcPr>
                  <w:tcW w:w="1617" w:type="dxa"/>
                  <w:shd w:val="clear" w:color="auto" w:fill="C0C0C0"/>
                </w:tcPr>
                <w:p w14:paraId="14BC040F" w14:textId="77777777" w:rsidR="00786B03" w:rsidRPr="000B615C" w:rsidRDefault="00786B03" w:rsidP="004B1778">
                  <w:pPr>
                    <w:jc w:val="both"/>
                    <w:rPr>
                      <w:rFonts w:ascii="Arial" w:eastAsia="Calibri" w:hAnsi="Arial" w:cs="Arial"/>
                      <w:b/>
                      <w:sz w:val="20"/>
                      <w:lang w:val="en-GB"/>
                    </w:rPr>
                  </w:pPr>
                  <w:r w:rsidRPr="000B615C">
                    <w:rPr>
                      <w:rFonts w:ascii="Arial" w:eastAsia="Calibri" w:hAnsi="Arial" w:cs="Arial"/>
                      <w:b/>
                      <w:sz w:val="20"/>
                      <w:lang w:val="en-GB"/>
                    </w:rPr>
                    <w:t>Focus Area 1</w:t>
                  </w:r>
                </w:p>
              </w:tc>
              <w:tc>
                <w:tcPr>
                  <w:tcW w:w="8190" w:type="dxa"/>
                  <w:shd w:val="clear" w:color="auto" w:fill="C0C0C0"/>
                </w:tcPr>
                <w:p w14:paraId="0BF47278" w14:textId="77777777" w:rsidR="00786B03" w:rsidRPr="000B615C" w:rsidRDefault="00786B03" w:rsidP="004B1778">
                  <w:pPr>
                    <w:spacing w:after="120" w:line="276" w:lineRule="auto"/>
                    <w:jc w:val="both"/>
                    <w:rPr>
                      <w:rFonts w:ascii="Arial" w:eastAsia="Calibri" w:hAnsi="Arial" w:cs="Arial"/>
                      <w:b/>
                      <w:sz w:val="20"/>
                    </w:rPr>
                  </w:pPr>
                  <w:r w:rsidRPr="000B615C">
                    <w:rPr>
                      <w:rFonts w:ascii="Arial" w:eastAsia="Calibri" w:hAnsi="Arial" w:cs="Arial"/>
                      <w:b/>
                      <w:sz w:val="20"/>
                    </w:rPr>
                    <w:t>Long Term Conditions</w:t>
                  </w:r>
                </w:p>
              </w:tc>
            </w:tr>
            <w:tr w:rsidR="00786B03" w:rsidRPr="000B615C" w14:paraId="41274029" w14:textId="77777777" w:rsidTr="004B1778">
              <w:tc>
                <w:tcPr>
                  <w:tcW w:w="1617" w:type="dxa"/>
                </w:tcPr>
                <w:p w14:paraId="6AE5091E" w14:textId="77777777" w:rsidR="00786B03" w:rsidRPr="000B615C" w:rsidRDefault="00786B03" w:rsidP="004B1778">
                  <w:pPr>
                    <w:jc w:val="both"/>
                    <w:rPr>
                      <w:rFonts w:ascii="Arial" w:eastAsia="Calibri" w:hAnsi="Arial" w:cs="Arial"/>
                      <w:b/>
                      <w:sz w:val="20"/>
                      <w:lang w:val="en-GB"/>
                    </w:rPr>
                  </w:pPr>
                  <w:r w:rsidRPr="000B615C">
                    <w:rPr>
                      <w:rFonts w:ascii="Arial" w:eastAsia="Calibri" w:hAnsi="Arial" w:cs="Arial"/>
                      <w:b/>
                      <w:sz w:val="20"/>
                      <w:lang w:val="en-GB"/>
                    </w:rPr>
                    <w:t xml:space="preserve">Expectation </w:t>
                  </w:r>
                </w:p>
              </w:tc>
              <w:tc>
                <w:tcPr>
                  <w:tcW w:w="8190" w:type="dxa"/>
                </w:tcPr>
                <w:p w14:paraId="6F9BA574" w14:textId="77777777" w:rsidR="00786B03" w:rsidRPr="000B615C" w:rsidRDefault="00786B03" w:rsidP="004B1778">
                  <w:pPr>
                    <w:jc w:val="both"/>
                    <w:rPr>
                      <w:rFonts w:ascii="Arial" w:eastAsia="Calibri" w:hAnsi="Arial" w:cs="Arial"/>
                      <w:sz w:val="20"/>
                      <w:lang w:val="en-GB"/>
                    </w:rPr>
                  </w:pPr>
                  <w:r w:rsidRPr="000B615C">
                    <w:rPr>
                      <w:rFonts w:ascii="Arial" w:eastAsia="Calibri" w:hAnsi="Arial" w:cs="Arial"/>
                      <w:sz w:val="20"/>
                      <w:lang w:val="en-GB"/>
                    </w:rPr>
                    <w:t>Integrated health services support New Zealanders to prevent and manage their long term conditions, focussing particularly on developing health literacy and self-management in high need populations.</w:t>
                  </w:r>
                </w:p>
              </w:tc>
            </w:tr>
            <w:tr w:rsidR="00786B03" w:rsidRPr="000B615C" w14:paraId="3EA3CCD5" w14:textId="77777777" w:rsidTr="004B1778">
              <w:trPr>
                <w:trHeight w:val="462"/>
              </w:trPr>
              <w:tc>
                <w:tcPr>
                  <w:tcW w:w="1617" w:type="dxa"/>
                </w:tcPr>
                <w:p w14:paraId="19D549D3" w14:textId="77777777" w:rsidR="00786B03" w:rsidRPr="000B615C" w:rsidRDefault="00786B03" w:rsidP="004B1778">
                  <w:pPr>
                    <w:rPr>
                      <w:rFonts w:ascii="Arial" w:eastAsia="Calibri" w:hAnsi="Arial" w:cs="Arial"/>
                      <w:b/>
                      <w:sz w:val="20"/>
                      <w:lang w:val="en-GB"/>
                    </w:rPr>
                  </w:pPr>
                  <w:r w:rsidRPr="000B615C">
                    <w:rPr>
                      <w:rFonts w:ascii="Arial" w:eastAsia="Calibri" w:hAnsi="Arial" w:cs="Arial"/>
                      <w:b/>
                      <w:sz w:val="20"/>
                      <w:lang w:val="en-GB"/>
                    </w:rPr>
                    <w:t>Deliverables:</w:t>
                  </w:r>
                </w:p>
              </w:tc>
              <w:tc>
                <w:tcPr>
                  <w:tcW w:w="8190" w:type="dxa"/>
                  <w:shd w:val="clear" w:color="auto" w:fill="FFFFFF" w:themeFill="background1"/>
                </w:tcPr>
                <w:p w14:paraId="267DF0D5" w14:textId="77777777" w:rsidR="00786B03" w:rsidRPr="00455D57" w:rsidRDefault="00786B03" w:rsidP="004B1778">
                  <w:pPr>
                    <w:jc w:val="both"/>
                    <w:rPr>
                      <w:rFonts w:ascii="Arial" w:eastAsia="Calibri" w:hAnsi="Arial" w:cs="Arial"/>
                      <w:sz w:val="20"/>
                    </w:rPr>
                  </w:pPr>
                  <w:r w:rsidRPr="00455D57">
                    <w:rPr>
                      <w:rFonts w:ascii="Arial" w:eastAsia="Calibri" w:hAnsi="Arial" w:cs="Arial"/>
                      <w:sz w:val="20"/>
                    </w:rPr>
                    <w:t>Specific Quarterly Reporting:</w:t>
                  </w:r>
                </w:p>
                <w:p w14:paraId="488CD24D" w14:textId="77777777" w:rsidR="00786B03" w:rsidRPr="00455D57" w:rsidRDefault="00786B03" w:rsidP="004B1778">
                  <w:pPr>
                    <w:rPr>
                      <w:rFonts w:ascii="Arial" w:eastAsia="Calibri" w:hAnsi="Arial" w:cs="Arial"/>
                      <w:sz w:val="20"/>
                    </w:rPr>
                  </w:pPr>
                  <w:r w:rsidRPr="00455D57">
                    <w:rPr>
                      <w:rFonts w:ascii="Arial" w:eastAsia="Calibri" w:hAnsi="Arial" w:cs="Arial"/>
                      <w:sz w:val="20"/>
                    </w:rPr>
                    <w:t xml:space="preserve">Quarters 2 and 4 – Identify and implement actions (including milestones and measures) with an equity focus to improve outcomes for people through initiatives in primary care and community. </w:t>
                  </w:r>
                </w:p>
                <w:p w14:paraId="5D6CB348" w14:textId="77777777" w:rsidR="00786B03" w:rsidRPr="00455D57" w:rsidRDefault="00786B03" w:rsidP="00C04FF1">
                  <w:pPr>
                    <w:pStyle w:val="ListParagraph"/>
                    <w:numPr>
                      <w:ilvl w:val="0"/>
                      <w:numId w:val="41"/>
                    </w:numPr>
                    <w:ind w:left="285" w:hanging="285"/>
                    <w:rPr>
                      <w:rFonts w:ascii="Arial" w:eastAsia="Calibri" w:hAnsi="Arial" w:cs="Arial"/>
                      <w:sz w:val="20"/>
                    </w:rPr>
                  </w:pPr>
                  <w:r w:rsidRPr="00455D57">
                    <w:rPr>
                      <w:rFonts w:ascii="Arial" w:eastAsia="Calibri" w:hAnsi="Arial" w:cs="Arial"/>
                      <w:sz w:val="20"/>
                    </w:rPr>
                    <w:t xml:space="preserve">support people with LTC to self-manage </w:t>
                  </w:r>
                  <w:hyperlink r:id="rId33" w:history="1">
                    <w:r w:rsidRPr="00837EFF">
                      <w:rPr>
                        <w:rStyle w:val="Hyperlink"/>
                        <w:rFonts w:ascii="Arial" w:eastAsia="Calibri" w:hAnsi="Arial" w:cs="Arial"/>
                        <w:sz w:val="20"/>
                      </w:rPr>
                      <w:t>https://www.health.govt.nz/publication/self-management-support-people-long-term-conditions</w:t>
                    </w:r>
                  </w:hyperlink>
                  <w:r>
                    <w:rPr>
                      <w:rFonts w:ascii="Arial" w:eastAsia="Calibri" w:hAnsi="Arial" w:cs="Arial"/>
                      <w:sz w:val="20"/>
                    </w:rPr>
                    <w:t xml:space="preserve"> </w:t>
                  </w:r>
                </w:p>
                <w:p w14:paraId="2E26ACCC" w14:textId="77777777" w:rsidR="00786B03" w:rsidRPr="00455D57" w:rsidRDefault="00786B03" w:rsidP="00C04FF1">
                  <w:pPr>
                    <w:pStyle w:val="ListParagraph"/>
                    <w:numPr>
                      <w:ilvl w:val="0"/>
                      <w:numId w:val="41"/>
                    </w:numPr>
                    <w:ind w:left="285" w:hanging="285"/>
                    <w:rPr>
                      <w:rFonts w:ascii="Arial" w:eastAsia="Calibri" w:hAnsi="Arial" w:cs="Arial"/>
                      <w:sz w:val="20"/>
                    </w:rPr>
                  </w:pPr>
                  <w:r w:rsidRPr="00455D57">
                    <w:rPr>
                      <w:rFonts w:ascii="Arial" w:eastAsia="Calibri" w:hAnsi="Arial" w:cs="Arial"/>
                      <w:sz w:val="20"/>
                    </w:rPr>
                    <w:t xml:space="preserve">build health literacy </w:t>
                  </w:r>
                  <w:hyperlink r:id="rId34" w:history="1">
                    <w:r w:rsidRPr="00455D57">
                      <w:rPr>
                        <w:rStyle w:val="Hyperlink"/>
                        <w:rFonts w:ascii="Arial" w:eastAsia="Calibri" w:hAnsi="Arial" w:cs="Arial"/>
                        <w:sz w:val="20"/>
                      </w:rPr>
                      <w:t>https://www.health.govt.nz/publication/framework-health-literacy</w:t>
                    </w:r>
                  </w:hyperlink>
                  <w:r w:rsidRPr="00455D57">
                    <w:rPr>
                      <w:rFonts w:ascii="Arial" w:eastAsia="Calibri" w:hAnsi="Arial" w:cs="Arial"/>
                      <w:sz w:val="20"/>
                    </w:rPr>
                    <w:t xml:space="preserve"> </w:t>
                  </w:r>
                </w:p>
                <w:p w14:paraId="1CBFC735" w14:textId="77777777" w:rsidR="00786B03" w:rsidRDefault="00786B03" w:rsidP="004B1778">
                  <w:pPr>
                    <w:rPr>
                      <w:rFonts w:ascii="Arial" w:eastAsia="Calibri" w:hAnsi="Arial" w:cs="Arial"/>
                      <w:sz w:val="20"/>
                    </w:rPr>
                  </w:pPr>
                </w:p>
                <w:p w14:paraId="0449FF78" w14:textId="77777777" w:rsidR="00786B03" w:rsidRDefault="00786B03" w:rsidP="004B1778">
                  <w:pPr>
                    <w:rPr>
                      <w:rFonts w:ascii="Arial" w:hAnsi="Arial" w:cs="Arial"/>
                      <w:sz w:val="20"/>
                      <w:szCs w:val="20"/>
                    </w:rPr>
                  </w:pPr>
                  <w:r w:rsidRPr="00455D57">
                    <w:rPr>
                      <w:rFonts w:ascii="Arial" w:eastAsia="Calibri" w:hAnsi="Arial" w:cs="Arial"/>
                      <w:sz w:val="20"/>
                    </w:rPr>
                    <w:t xml:space="preserve">Please discuss progress, gaps and </w:t>
                  </w:r>
                  <w:r w:rsidRPr="00455D57">
                    <w:rPr>
                      <w:rFonts w:ascii="Arial" w:eastAsia="Calibri" w:hAnsi="Arial" w:cs="Arial"/>
                      <w:sz w:val="20"/>
                      <w:szCs w:val="20"/>
                    </w:rPr>
                    <w:t>challenges</w:t>
                  </w:r>
                  <w:r w:rsidRPr="00455D57">
                    <w:rPr>
                      <w:rFonts w:ascii="Arial" w:hAnsi="Arial" w:cs="Arial"/>
                      <w:sz w:val="20"/>
                      <w:szCs w:val="20"/>
                    </w:rPr>
                    <w:t xml:space="preserve"> in implementing these initiatives. </w:t>
                  </w:r>
                </w:p>
                <w:p w14:paraId="4326B2BD" w14:textId="77777777" w:rsidR="00786B03" w:rsidRPr="00455D57" w:rsidRDefault="00786B03" w:rsidP="004B1778">
                  <w:pPr>
                    <w:jc w:val="both"/>
                    <w:rPr>
                      <w:rFonts w:ascii="Arial" w:eastAsia="Calibri" w:hAnsi="Arial" w:cs="Arial"/>
                      <w:sz w:val="20"/>
                    </w:rPr>
                  </w:pPr>
                  <w:r w:rsidRPr="00455D57">
                    <w:rPr>
                      <w:rFonts w:ascii="Arial" w:hAnsi="Arial" w:cs="Arial"/>
                      <w:sz w:val="20"/>
                      <w:lang w:eastAsia="en-NZ"/>
                    </w:rPr>
                    <w:t>Note: Details of actions and progress will be collated and shared across DHBs.</w:t>
                  </w:r>
                </w:p>
              </w:tc>
            </w:tr>
            <w:tr w:rsidR="00786B03" w:rsidRPr="000B615C" w14:paraId="52BD8DA8" w14:textId="77777777" w:rsidTr="004B1778">
              <w:trPr>
                <w:trHeight w:val="462"/>
              </w:trPr>
              <w:tc>
                <w:tcPr>
                  <w:tcW w:w="1617" w:type="dxa"/>
                </w:tcPr>
                <w:p w14:paraId="2CF5EEDB" w14:textId="77777777" w:rsidR="00786B03" w:rsidRPr="002D486D" w:rsidRDefault="00786B03" w:rsidP="004B1778">
                  <w:pPr>
                    <w:rPr>
                      <w:rFonts w:ascii="Arial" w:eastAsia="Calibri" w:hAnsi="Arial" w:cs="Arial"/>
                      <w:b/>
                      <w:sz w:val="20"/>
                      <w:szCs w:val="20"/>
                      <w:lang w:val="en-GB"/>
                    </w:rPr>
                  </w:pPr>
                  <w:r w:rsidRPr="002D486D">
                    <w:rPr>
                      <w:rFonts w:ascii="Arial" w:eastAsia="Calibri" w:hAnsi="Arial" w:cs="Arial"/>
                      <w:b/>
                      <w:sz w:val="20"/>
                      <w:szCs w:val="20"/>
                      <w:lang w:val="en-GB"/>
                    </w:rPr>
                    <w:t>Reporting period:</w:t>
                  </w:r>
                </w:p>
              </w:tc>
              <w:tc>
                <w:tcPr>
                  <w:tcW w:w="8190" w:type="dxa"/>
                </w:tcPr>
                <w:p w14:paraId="71D91B7A" w14:textId="77777777" w:rsidR="00786B03" w:rsidRPr="002D486D" w:rsidRDefault="00786B03" w:rsidP="004B1778">
                  <w:pPr>
                    <w:shd w:val="clear" w:color="auto" w:fill="FFFFFF"/>
                    <w:spacing w:before="60" w:after="60"/>
                    <w:jc w:val="both"/>
                    <w:rPr>
                      <w:rFonts w:ascii="Arial" w:hAnsi="Arial" w:cs="Arial"/>
                      <w:sz w:val="20"/>
                      <w:szCs w:val="20"/>
                    </w:rPr>
                  </w:pPr>
                  <w:r w:rsidRPr="002D486D">
                    <w:rPr>
                      <w:rFonts w:ascii="Arial" w:hAnsi="Arial" w:cs="Arial"/>
                      <w:sz w:val="20"/>
                      <w:szCs w:val="20"/>
                    </w:rPr>
                    <w:t>Six monthly in</w:t>
                  </w:r>
                </w:p>
                <w:tbl>
                  <w:tblPr>
                    <w:tblStyle w:val="TableGrid"/>
                    <w:tblW w:w="0" w:type="auto"/>
                    <w:tblLook w:val="04A0" w:firstRow="1" w:lastRow="0" w:firstColumn="1" w:lastColumn="0" w:noHBand="0" w:noVBand="1"/>
                  </w:tblPr>
                  <w:tblGrid>
                    <w:gridCol w:w="1832"/>
                    <w:gridCol w:w="3934"/>
                  </w:tblGrid>
                  <w:tr w:rsidR="00786B03" w:rsidRPr="002D486D" w14:paraId="7C0AB271" w14:textId="77777777" w:rsidTr="004B1778">
                    <w:trPr>
                      <w:trHeight w:val="259"/>
                    </w:trPr>
                    <w:tc>
                      <w:tcPr>
                        <w:tcW w:w="1832" w:type="dxa"/>
                        <w:shd w:val="clear" w:color="auto" w:fill="D9D9D9" w:themeFill="background1" w:themeFillShade="D9"/>
                      </w:tcPr>
                      <w:p w14:paraId="310001F2" w14:textId="77777777" w:rsidR="00786B03" w:rsidRPr="002D486D" w:rsidRDefault="00786B03" w:rsidP="004B1778">
                        <w:pPr>
                          <w:jc w:val="both"/>
                          <w:rPr>
                            <w:rFonts w:ascii="Arial" w:hAnsi="Arial" w:cs="Arial"/>
                            <w:b/>
                            <w:sz w:val="20"/>
                            <w:szCs w:val="20"/>
                          </w:rPr>
                        </w:pPr>
                        <w:r w:rsidRPr="002D486D">
                          <w:rPr>
                            <w:rFonts w:ascii="Arial" w:hAnsi="Arial" w:cs="Arial"/>
                            <w:b/>
                            <w:sz w:val="20"/>
                            <w:szCs w:val="20"/>
                          </w:rPr>
                          <w:t>Quarter</w:t>
                        </w:r>
                      </w:p>
                    </w:tc>
                    <w:tc>
                      <w:tcPr>
                        <w:tcW w:w="3934" w:type="dxa"/>
                        <w:shd w:val="clear" w:color="auto" w:fill="D9D9D9" w:themeFill="background1" w:themeFillShade="D9"/>
                      </w:tcPr>
                      <w:p w14:paraId="685766AC" w14:textId="77777777" w:rsidR="00786B03" w:rsidRPr="002D486D" w:rsidRDefault="00786B03" w:rsidP="004B1778">
                        <w:pPr>
                          <w:jc w:val="both"/>
                          <w:rPr>
                            <w:rFonts w:ascii="Arial" w:hAnsi="Arial" w:cs="Arial"/>
                            <w:b/>
                            <w:sz w:val="20"/>
                            <w:szCs w:val="20"/>
                          </w:rPr>
                        </w:pPr>
                        <w:r w:rsidRPr="002D486D">
                          <w:rPr>
                            <w:rFonts w:ascii="Arial" w:hAnsi="Arial" w:cs="Arial"/>
                            <w:b/>
                            <w:sz w:val="20"/>
                            <w:szCs w:val="20"/>
                          </w:rPr>
                          <w:t>For the time period</w:t>
                        </w:r>
                      </w:p>
                    </w:tc>
                  </w:tr>
                  <w:tr w:rsidR="00786B03" w:rsidRPr="002D486D" w14:paraId="6264963E" w14:textId="77777777" w:rsidTr="004B1778">
                    <w:trPr>
                      <w:trHeight w:val="250"/>
                    </w:trPr>
                    <w:tc>
                      <w:tcPr>
                        <w:tcW w:w="1832" w:type="dxa"/>
                      </w:tcPr>
                      <w:p w14:paraId="416C90B6" w14:textId="77777777" w:rsidR="00786B03" w:rsidRPr="002D486D" w:rsidRDefault="00786B03" w:rsidP="004B1778">
                        <w:pPr>
                          <w:jc w:val="both"/>
                          <w:rPr>
                            <w:rFonts w:ascii="Arial" w:hAnsi="Arial" w:cs="Arial"/>
                            <w:sz w:val="20"/>
                            <w:szCs w:val="20"/>
                          </w:rPr>
                        </w:pPr>
                        <w:r w:rsidRPr="002D486D">
                          <w:rPr>
                            <w:rFonts w:ascii="Arial" w:hAnsi="Arial" w:cs="Arial"/>
                            <w:sz w:val="20"/>
                            <w:szCs w:val="20"/>
                          </w:rPr>
                          <w:t>Quarter 2</w:t>
                        </w:r>
                      </w:p>
                    </w:tc>
                    <w:tc>
                      <w:tcPr>
                        <w:tcW w:w="3934" w:type="dxa"/>
                      </w:tcPr>
                      <w:p w14:paraId="7CF8731A" w14:textId="77777777" w:rsidR="00786B03" w:rsidRPr="002D486D" w:rsidRDefault="00786B03" w:rsidP="004B1778">
                        <w:pPr>
                          <w:jc w:val="both"/>
                          <w:rPr>
                            <w:rFonts w:ascii="Arial" w:hAnsi="Arial" w:cs="Arial"/>
                            <w:sz w:val="20"/>
                            <w:szCs w:val="20"/>
                          </w:rPr>
                        </w:pPr>
                        <w:r w:rsidRPr="002D486D">
                          <w:rPr>
                            <w:rFonts w:ascii="Arial" w:hAnsi="Arial" w:cs="Arial"/>
                            <w:sz w:val="20"/>
                            <w:szCs w:val="20"/>
                          </w:rPr>
                          <w:t>1 July – 31 December</w:t>
                        </w:r>
                      </w:p>
                    </w:tc>
                  </w:tr>
                  <w:tr w:rsidR="00786B03" w:rsidRPr="002D486D" w14:paraId="23B69E38" w14:textId="77777777" w:rsidTr="004B1778">
                    <w:trPr>
                      <w:trHeight w:val="259"/>
                    </w:trPr>
                    <w:tc>
                      <w:tcPr>
                        <w:tcW w:w="1832" w:type="dxa"/>
                      </w:tcPr>
                      <w:p w14:paraId="47E4B4A5" w14:textId="77777777" w:rsidR="00786B03" w:rsidRPr="002D486D" w:rsidRDefault="00786B03" w:rsidP="004B1778">
                        <w:pPr>
                          <w:jc w:val="both"/>
                          <w:rPr>
                            <w:rFonts w:ascii="Arial" w:hAnsi="Arial" w:cs="Arial"/>
                            <w:sz w:val="20"/>
                            <w:szCs w:val="20"/>
                          </w:rPr>
                        </w:pPr>
                        <w:r w:rsidRPr="002D486D">
                          <w:rPr>
                            <w:rFonts w:ascii="Arial" w:hAnsi="Arial" w:cs="Arial"/>
                            <w:sz w:val="20"/>
                            <w:szCs w:val="20"/>
                          </w:rPr>
                          <w:t>Quarter 4</w:t>
                        </w:r>
                      </w:p>
                    </w:tc>
                    <w:tc>
                      <w:tcPr>
                        <w:tcW w:w="3934" w:type="dxa"/>
                      </w:tcPr>
                      <w:p w14:paraId="2BF2FBE7" w14:textId="77777777" w:rsidR="00786B03" w:rsidRPr="002D486D" w:rsidRDefault="00786B03" w:rsidP="004B1778">
                        <w:pPr>
                          <w:jc w:val="both"/>
                          <w:rPr>
                            <w:rFonts w:ascii="Arial" w:hAnsi="Arial" w:cs="Arial"/>
                            <w:sz w:val="20"/>
                            <w:szCs w:val="20"/>
                          </w:rPr>
                        </w:pPr>
                        <w:r w:rsidRPr="002D486D">
                          <w:rPr>
                            <w:rFonts w:ascii="Arial" w:hAnsi="Arial" w:cs="Arial"/>
                            <w:sz w:val="20"/>
                            <w:szCs w:val="20"/>
                          </w:rPr>
                          <w:t>1 January – 30 June</w:t>
                        </w:r>
                      </w:p>
                    </w:tc>
                  </w:tr>
                </w:tbl>
                <w:p w14:paraId="2FE080E5" w14:textId="77777777" w:rsidR="00786B03" w:rsidRPr="002D486D" w:rsidRDefault="00786B03" w:rsidP="004B1778">
                  <w:pPr>
                    <w:jc w:val="both"/>
                    <w:rPr>
                      <w:rFonts w:ascii="Arial" w:eastAsia="Calibri" w:hAnsi="Arial" w:cs="Arial"/>
                      <w:sz w:val="20"/>
                      <w:szCs w:val="20"/>
                      <w:highlight w:val="yellow"/>
                    </w:rPr>
                  </w:pPr>
                </w:p>
              </w:tc>
            </w:tr>
            <w:tr w:rsidR="00786B03" w:rsidRPr="000B615C" w14:paraId="47F08C17" w14:textId="77777777" w:rsidTr="004B1778">
              <w:trPr>
                <w:trHeight w:val="190"/>
              </w:trPr>
              <w:tc>
                <w:tcPr>
                  <w:tcW w:w="1617" w:type="dxa"/>
                  <w:tcBorders>
                    <w:bottom w:val="single" w:sz="6" w:space="0" w:color="000000"/>
                  </w:tcBorders>
                </w:tcPr>
                <w:p w14:paraId="4CF05646" w14:textId="77777777" w:rsidR="00786B03" w:rsidRPr="000B615C" w:rsidRDefault="00786B03" w:rsidP="004B1778">
                  <w:pPr>
                    <w:jc w:val="both"/>
                    <w:rPr>
                      <w:rFonts w:ascii="Arial" w:eastAsia="Calibri" w:hAnsi="Arial" w:cs="Arial"/>
                      <w:b/>
                      <w:bCs/>
                      <w:color w:val="000000"/>
                      <w:sz w:val="20"/>
                    </w:rPr>
                  </w:pPr>
                  <w:r w:rsidRPr="000B615C">
                    <w:rPr>
                      <w:rFonts w:ascii="Arial" w:eastAsia="Calibri" w:hAnsi="Arial" w:cs="Arial"/>
                      <w:b/>
                      <w:bCs/>
                      <w:color w:val="000000"/>
                      <w:sz w:val="20"/>
                    </w:rPr>
                    <w:t>Definitions:</w:t>
                  </w:r>
                </w:p>
              </w:tc>
              <w:tc>
                <w:tcPr>
                  <w:tcW w:w="8190" w:type="dxa"/>
                  <w:tcBorders>
                    <w:bottom w:val="single" w:sz="6" w:space="0" w:color="000000"/>
                  </w:tcBorders>
                </w:tcPr>
                <w:p w14:paraId="3B2A9904" w14:textId="77777777" w:rsidR="00786B03" w:rsidRPr="00455D57" w:rsidRDefault="00786B03" w:rsidP="004B1778">
                  <w:pPr>
                    <w:spacing w:after="60"/>
                    <w:ind w:firstLine="1"/>
                    <w:jc w:val="both"/>
                    <w:rPr>
                      <w:rFonts w:ascii="Arial" w:eastAsia="Calibri" w:hAnsi="Arial" w:cs="Arial"/>
                      <w:sz w:val="20"/>
                    </w:rPr>
                  </w:pPr>
                  <w:r w:rsidRPr="00455D57">
                    <w:rPr>
                      <w:rFonts w:ascii="Arial" w:eastAsia="Calibri" w:hAnsi="Arial" w:cs="Arial"/>
                      <w:sz w:val="20"/>
                    </w:rPr>
                    <w:t>Actions to support long term conditions prevention and management include:</w:t>
                  </w:r>
                </w:p>
                <w:p w14:paraId="6C3D0345" w14:textId="77777777" w:rsidR="00786B03" w:rsidRPr="00455D57" w:rsidRDefault="00786B03" w:rsidP="00C04FF1">
                  <w:pPr>
                    <w:pStyle w:val="ListParagraph"/>
                    <w:numPr>
                      <w:ilvl w:val="0"/>
                      <w:numId w:val="144"/>
                    </w:numPr>
                    <w:spacing w:after="60"/>
                    <w:contextualSpacing w:val="0"/>
                    <w:jc w:val="both"/>
                    <w:rPr>
                      <w:rFonts w:ascii="Arial" w:eastAsia="Calibri" w:hAnsi="Arial" w:cs="Arial"/>
                      <w:sz w:val="20"/>
                    </w:rPr>
                  </w:pPr>
                  <w:r w:rsidRPr="00455D57">
                    <w:rPr>
                      <w:rFonts w:ascii="Arial" w:eastAsia="Calibri" w:hAnsi="Arial" w:cs="Arial"/>
                      <w:sz w:val="20"/>
                    </w:rPr>
                    <w:t>Prevention through clearly outlined networks between general practice and community organisations to maximise physical activity, nutrition, quit smoking and reduction in alcohol use.</w:t>
                  </w:r>
                </w:p>
                <w:p w14:paraId="7BB35F94" w14:textId="77777777" w:rsidR="00786B03" w:rsidRPr="00455D57" w:rsidRDefault="00786B03" w:rsidP="00C04FF1">
                  <w:pPr>
                    <w:pStyle w:val="ListParagraph"/>
                    <w:numPr>
                      <w:ilvl w:val="0"/>
                      <w:numId w:val="144"/>
                    </w:numPr>
                    <w:spacing w:after="60"/>
                    <w:contextualSpacing w:val="0"/>
                    <w:jc w:val="both"/>
                    <w:rPr>
                      <w:rFonts w:ascii="Arial" w:eastAsia="Calibri" w:hAnsi="Arial" w:cs="Arial"/>
                      <w:sz w:val="20"/>
                    </w:rPr>
                  </w:pPr>
                  <w:r w:rsidRPr="00455D57">
                    <w:rPr>
                      <w:rFonts w:ascii="Arial" w:eastAsia="Calibri" w:hAnsi="Arial" w:cs="Arial"/>
                      <w:sz w:val="20"/>
                    </w:rPr>
                    <w:t>Identification of populations at risk using risk stratification to inform systematic categorisation of people at risk in order to provide appropriate management. As well, showing evidence of proactive recall and management of at risk populations</w:t>
                  </w:r>
                </w:p>
                <w:p w14:paraId="2B66B82A" w14:textId="77777777" w:rsidR="00786B03" w:rsidRPr="00455D57" w:rsidRDefault="00786B03" w:rsidP="00C04FF1">
                  <w:pPr>
                    <w:pStyle w:val="ListParagraph"/>
                    <w:numPr>
                      <w:ilvl w:val="0"/>
                      <w:numId w:val="144"/>
                    </w:numPr>
                    <w:spacing w:after="60"/>
                    <w:contextualSpacing w:val="0"/>
                    <w:rPr>
                      <w:rFonts w:ascii="Arial" w:hAnsi="Arial" w:cs="Arial"/>
                      <w:sz w:val="20"/>
                    </w:rPr>
                  </w:pPr>
                  <w:r w:rsidRPr="00455D57">
                    <w:rPr>
                      <w:rFonts w:ascii="Arial" w:eastAsia="Calibri" w:hAnsi="Arial" w:cs="Arial"/>
                      <w:sz w:val="20"/>
                    </w:rPr>
                    <w:t xml:space="preserve">Management of people with long term conditions through: </w:t>
                  </w:r>
                </w:p>
                <w:p w14:paraId="1EB3DF6D" w14:textId="77777777" w:rsidR="00786B03" w:rsidRPr="00455D57" w:rsidRDefault="00786B03" w:rsidP="00C04FF1">
                  <w:pPr>
                    <w:pStyle w:val="ListParagraph"/>
                    <w:numPr>
                      <w:ilvl w:val="1"/>
                      <w:numId w:val="144"/>
                    </w:numPr>
                    <w:spacing w:after="60"/>
                    <w:ind w:left="710" w:hanging="284"/>
                    <w:contextualSpacing w:val="0"/>
                    <w:rPr>
                      <w:rFonts w:ascii="Arial" w:hAnsi="Arial" w:cs="Arial"/>
                      <w:sz w:val="20"/>
                    </w:rPr>
                  </w:pPr>
                  <w:r w:rsidRPr="00455D57">
                    <w:rPr>
                      <w:rFonts w:ascii="Arial" w:eastAsia="Calibri" w:hAnsi="Arial" w:cs="Arial"/>
                      <w:sz w:val="20"/>
                    </w:rPr>
                    <w:t xml:space="preserve">development and/or implementation of new models of care to support people with LTCs; </w:t>
                  </w:r>
                </w:p>
                <w:p w14:paraId="758F2CF7" w14:textId="77777777" w:rsidR="00786B03" w:rsidRPr="00455D57" w:rsidRDefault="00786B03" w:rsidP="00C04FF1">
                  <w:pPr>
                    <w:pStyle w:val="ListParagraph"/>
                    <w:numPr>
                      <w:ilvl w:val="1"/>
                      <w:numId w:val="144"/>
                    </w:numPr>
                    <w:spacing w:after="60"/>
                    <w:ind w:left="710" w:hanging="284"/>
                    <w:contextualSpacing w:val="0"/>
                    <w:rPr>
                      <w:rFonts w:ascii="Arial" w:hAnsi="Arial" w:cs="Arial"/>
                      <w:sz w:val="20"/>
                    </w:rPr>
                  </w:pPr>
                  <w:r w:rsidRPr="00455D57">
                    <w:rPr>
                      <w:rFonts w:ascii="Arial" w:eastAsia="Calibri" w:hAnsi="Arial" w:cs="Arial"/>
                      <w:sz w:val="20"/>
                    </w:rPr>
                    <w:t xml:space="preserve">provision of multi-disciplinary teams including allied health and </w:t>
                  </w:r>
                  <w:proofErr w:type="spellStart"/>
                  <w:r w:rsidRPr="00455D57">
                    <w:rPr>
                      <w:rFonts w:ascii="Arial" w:eastAsia="Calibri" w:hAnsi="Arial" w:cs="Arial"/>
                      <w:sz w:val="20"/>
                    </w:rPr>
                    <w:t>kaiawhina</w:t>
                  </w:r>
                  <w:proofErr w:type="spellEnd"/>
                  <w:r w:rsidRPr="00455D57">
                    <w:rPr>
                      <w:rFonts w:ascii="Arial" w:eastAsia="Calibri" w:hAnsi="Arial" w:cs="Arial"/>
                      <w:sz w:val="20"/>
                    </w:rPr>
                    <w:t xml:space="preserve"> supporting service delivery in primary care; </w:t>
                  </w:r>
                </w:p>
                <w:p w14:paraId="10BCEDCE" w14:textId="77777777" w:rsidR="00786B03" w:rsidRPr="00455D57" w:rsidRDefault="00786B03" w:rsidP="00C04FF1">
                  <w:pPr>
                    <w:pStyle w:val="ListParagraph"/>
                    <w:numPr>
                      <w:ilvl w:val="1"/>
                      <w:numId w:val="144"/>
                    </w:numPr>
                    <w:spacing w:after="60"/>
                    <w:ind w:left="710" w:hanging="284"/>
                    <w:contextualSpacing w:val="0"/>
                    <w:rPr>
                      <w:rFonts w:ascii="Arial" w:hAnsi="Arial" w:cs="Arial"/>
                      <w:sz w:val="20"/>
                    </w:rPr>
                  </w:pPr>
                  <w:r w:rsidRPr="00455D57">
                    <w:rPr>
                      <w:rFonts w:ascii="Arial" w:eastAsia="Calibri" w:hAnsi="Arial" w:cs="Arial"/>
                      <w:sz w:val="20"/>
                    </w:rPr>
                    <w:t xml:space="preserve">primary care access to specialist support where appropriate and provision of self-management support and education for people with Long Term Conditions. </w:t>
                  </w:r>
                </w:p>
                <w:p w14:paraId="3AFBA4DE" w14:textId="77777777" w:rsidR="00786B03" w:rsidRPr="00455D57" w:rsidRDefault="00786B03" w:rsidP="00C04FF1">
                  <w:pPr>
                    <w:pStyle w:val="ListParagraph"/>
                    <w:numPr>
                      <w:ilvl w:val="1"/>
                      <w:numId w:val="144"/>
                    </w:numPr>
                    <w:spacing w:after="60"/>
                    <w:ind w:left="710" w:hanging="284"/>
                    <w:contextualSpacing w:val="0"/>
                    <w:rPr>
                      <w:rFonts w:ascii="Arial" w:hAnsi="Arial" w:cs="Arial"/>
                      <w:sz w:val="20"/>
                    </w:rPr>
                  </w:pPr>
                  <w:r w:rsidRPr="00455D57">
                    <w:rPr>
                      <w:rFonts w:ascii="Arial" w:hAnsi="Arial" w:cs="Arial"/>
                      <w:sz w:val="20"/>
                    </w:rPr>
                    <w:t>Support regular primary care multidisciplinary teams to undertake collaborative practice review of the 1% of people with a high level of complex problems.</w:t>
                  </w:r>
                </w:p>
                <w:p w14:paraId="62F0B8DB" w14:textId="77777777" w:rsidR="00786B03" w:rsidRPr="00B652D6" w:rsidRDefault="00786B03" w:rsidP="00C04FF1">
                  <w:pPr>
                    <w:pStyle w:val="ListParagraph"/>
                    <w:numPr>
                      <w:ilvl w:val="0"/>
                      <w:numId w:val="144"/>
                    </w:numPr>
                    <w:spacing w:after="60"/>
                    <w:contextualSpacing w:val="0"/>
                    <w:jc w:val="both"/>
                    <w:rPr>
                      <w:rFonts w:ascii="Arial" w:eastAsia="Calibri" w:hAnsi="Arial" w:cs="Arial"/>
                      <w:sz w:val="20"/>
                    </w:rPr>
                  </w:pPr>
                  <w:r w:rsidRPr="00455D57">
                    <w:rPr>
                      <w:rFonts w:ascii="Arial" w:eastAsia="Calibri" w:hAnsi="Arial" w:cs="Arial"/>
                      <w:sz w:val="20"/>
                    </w:rPr>
                    <w:t xml:space="preserve">Enablers demonstrating clinical governance for Long Term Conditions services and IT systems to support risk stratification, case management, shared care and or clinical information sharing (focus on collaboration enablers).  As well, </w:t>
                  </w:r>
                  <w:r>
                    <w:rPr>
                      <w:rFonts w:ascii="Arial" w:eastAsia="Calibri" w:hAnsi="Arial" w:cs="Arial"/>
                      <w:sz w:val="20"/>
                    </w:rPr>
                    <w:t>s</w:t>
                  </w:r>
                  <w:r w:rsidRPr="00455D57">
                    <w:rPr>
                      <w:rFonts w:ascii="Arial" w:eastAsia="Calibri" w:hAnsi="Arial" w:cs="Arial"/>
                      <w:sz w:val="20"/>
                    </w:rPr>
                    <w:t xml:space="preserve">how evidence of staff </w:t>
                  </w:r>
                  <w:r w:rsidRPr="00455D57">
                    <w:rPr>
                      <w:rFonts w:ascii="Arial" w:eastAsia="Calibri" w:hAnsi="Arial" w:cs="Arial"/>
                      <w:sz w:val="20"/>
                    </w:rPr>
                    <w:lastRenderedPageBreak/>
                    <w:t xml:space="preserve">training and education around goal setting, motivational interviewing and shared decision-making concepts and </w:t>
                  </w:r>
                  <w:r w:rsidRPr="00455D57" w:rsidDel="00C65917">
                    <w:rPr>
                      <w:rFonts w:ascii="Arial" w:eastAsia="Calibri" w:hAnsi="Arial" w:cs="Arial"/>
                      <w:sz w:val="20"/>
                    </w:rPr>
                    <w:t>include ongoing workforce development in primary care, and clinical governance with a named clinical lead.  IT capability is to be maintained and improved including provision of audit tools and/or a dashboard reporting system.</w:t>
                  </w:r>
                </w:p>
              </w:tc>
            </w:tr>
            <w:tr w:rsidR="00786B03" w:rsidRPr="000B615C" w14:paraId="382DD430" w14:textId="77777777" w:rsidTr="004B1778">
              <w:trPr>
                <w:trHeight w:val="190"/>
              </w:trPr>
              <w:tc>
                <w:tcPr>
                  <w:tcW w:w="1617" w:type="dxa"/>
                  <w:tcBorders>
                    <w:top w:val="single" w:sz="6" w:space="0" w:color="000000"/>
                    <w:left w:val="nil"/>
                    <w:bottom w:val="single" w:sz="6" w:space="0" w:color="000000"/>
                    <w:right w:val="nil"/>
                  </w:tcBorders>
                  <w:shd w:val="clear" w:color="auto" w:fill="FFFFFF" w:themeFill="background1"/>
                </w:tcPr>
                <w:p w14:paraId="723B22B9" w14:textId="77777777" w:rsidR="00786B03" w:rsidRPr="000B615C" w:rsidRDefault="00786B03" w:rsidP="004B1778">
                  <w:pPr>
                    <w:jc w:val="both"/>
                    <w:rPr>
                      <w:rFonts w:ascii="Arial" w:eastAsia="Calibri" w:hAnsi="Arial" w:cs="Arial"/>
                      <w:b/>
                      <w:bCs/>
                      <w:color w:val="000000"/>
                      <w:sz w:val="20"/>
                    </w:rPr>
                  </w:pPr>
                  <w:r w:rsidRPr="000B615C">
                    <w:rPr>
                      <w:rFonts w:ascii="Arial" w:hAnsi="Arial" w:cs="Arial"/>
                      <w:sz w:val="20"/>
                    </w:rPr>
                    <w:lastRenderedPageBreak/>
                    <w:br w:type="page"/>
                  </w:r>
                </w:p>
              </w:tc>
              <w:tc>
                <w:tcPr>
                  <w:tcW w:w="8190" w:type="dxa"/>
                  <w:tcBorders>
                    <w:top w:val="single" w:sz="6" w:space="0" w:color="000000"/>
                    <w:left w:val="nil"/>
                    <w:bottom w:val="nil"/>
                    <w:right w:val="nil"/>
                  </w:tcBorders>
                  <w:shd w:val="clear" w:color="auto" w:fill="FFFFFF" w:themeFill="background1"/>
                </w:tcPr>
                <w:p w14:paraId="61B00146" w14:textId="77777777" w:rsidR="00786B03" w:rsidRPr="000B615C" w:rsidRDefault="00786B03" w:rsidP="004B1778">
                  <w:pPr>
                    <w:jc w:val="both"/>
                    <w:rPr>
                      <w:rFonts w:ascii="Arial" w:eastAsia="Calibri" w:hAnsi="Arial" w:cs="Arial"/>
                      <w:sz w:val="20"/>
                    </w:rPr>
                  </w:pPr>
                </w:p>
              </w:tc>
            </w:tr>
          </w:tbl>
          <w:p w14:paraId="513215A5" w14:textId="77777777" w:rsidR="00786B03" w:rsidRPr="000B615C" w:rsidRDefault="00786B03" w:rsidP="004B1778">
            <w:pPr>
              <w:rPr>
                <w:rFonts w:ascii="Arial" w:hAnsi="Arial" w:cs="Arial"/>
                <w:b/>
                <w:bCs/>
              </w:rPr>
            </w:pPr>
          </w:p>
        </w:tc>
      </w:tr>
      <w:tr w:rsidR="00786B03" w:rsidRPr="000B615C" w14:paraId="44094A79" w14:textId="77777777" w:rsidTr="004B1778">
        <w:tblPrEx>
          <w:tblBorders>
            <w:top w:val="none" w:sz="0" w:space="0" w:color="auto"/>
            <w:left w:val="none" w:sz="0" w:space="0" w:color="auto"/>
            <w:bottom w:val="none" w:sz="0" w:space="0" w:color="auto"/>
            <w:right w:val="none" w:sz="0" w:space="0" w:color="auto"/>
          </w:tblBorders>
        </w:tblPrEx>
        <w:tc>
          <w:tcPr>
            <w:tcW w:w="10194" w:type="dxa"/>
          </w:tcPr>
          <w:tbl>
            <w:tblPr>
              <w:tblW w:w="99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62"/>
              <w:gridCol w:w="8487"/>
            </w:tblGrid>
            <w:tr w:rsidR="00786B03" w:rsidRPr="003D0723" w14:paraId="761FDB19"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shd w:val="clear" w:color="auto" w:fill="C0C0C0"/>
                </w:tcPr>
                <w:p w14:paraId="71C41F53" w14:textId="77777777" w:rsidR="00786B03" w:rsidRPr="003D0723" w:rsidRDefault="00786B03" w:rsidP="004B1778">
                  <w:pPr>
                    <w:jc w:val="both"/>
                    <w:rPr>
                      <w:rFonts w:ascii="Arial" w:eastAsia="Calibri" w:hAnsi="Arial" w:cs="Arial"/>
                      <w:b/>
                      <w:bCs/>
                      <w:sz w:val="20"/>
                    </w:rPr>
                  </w:pPr>
                  <w:r w:rsidRPr="003D0723">
                    <w:rPr>
                      <w:rFonts w:ascii="Arial" w:hAnsi="Arial" w:cs="Arial"/>
                      <w:b/>
                      <w:i/>
                    </w:rPr>
                    <w:lastRenderedPageBreak/>
                    <w:br w:type="page"/>
                  </w:r>
                  <w:r w:rsidRPr="003D0723">
                    <w:rPr>
                      <w:rFonts w:ascii="Arial" w:eastAsia="Calibri" w:hAnsi="Arial" w:cs="Arial"/>
                      <w:b/>
                      <w:bCs/>
                      <w:sz w:val="20"/>
                    </w:rPr>
                    <w:t>Focus Area 2</w:t>
                  </w:r>
                </w:p>
              </w:tc>
              <w:tc>
                <w:tcPr>
                  <w:tcW w:w="8487" w:type="dxa"/>
                  <w:tcBorders>
                    <w:top w:val="single" w:sz="6" w:space="0" w:color="000000"/>
                    <w:left w:val="single" w:sz="6" w:space="0" w:color="000000"/>
                    <w:bottom w:val="single" w:sz="6" w:space="0" w:color="000000"/>
                    <w:right w:val="single" w:sz="6" w:space="0" w:color="000000"/>
                  </w:tcBorders>
                  <w:shd w:val="clear" w:color="auto" w:fill="C0C0C0"/>
                </w:tcPr>
                <w:p w14:paraId="0BF2A13A" w14:textId="77777777" w:rsidR="00786B03" w:rsidRPr="003D0723" w:rsidRDefault="00786B03" w:rsidP="004B1778">
                  <w:pPr>
                    <w:spacing w:after="120" w:line="276" w:lineRule="auto"/>
                    <w:jc w:val="both"/>
                    <w:rPr>
                      <w:rFonts w:ascii="Arial" w:eastAsia="Calibri" w:hAnsi="Arial" w:cs="Arial"/>
                      <w:sz w:val="20"/>
                    </w:rPr>
                  </w:pPr>
                  <w:r w:rsidRPr="003D0723">
                    <w:rPr>
                      <w:rFonts w:ascii="Arial" w:eastAsia="Calibri" w:hAnsi="Arial" w:cs="Arial"/>
                      <w:b/>
                      <w:sz w:val="20"/>
                    </w:rPr>
                    <w:t>Diabetes services</w:t>
                  </w:r>
                  <w:r w:rsidRPr="003D0723">
                    <w:rPr>
                      <w:rFonts w:ascii="Arial" w:eastAsia="Calibri" w:hAnsi="Arial" w:cs="Arial"/>
                      <w:sz w:val="20"/>
                    </w:rPr>
                    <w:t xml:space="preserve"> </w:t>
                  </w:r>
                </w:p>
              </w:tc>
            </w:tr>
            <w:tr w:rsidR="00786B03" w:rsidRPr="003D0723" w14:paraId="295019A9"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tcPr>
                <w:p w14:paraId="3F2554A7" w14:textId="77777777" w:rsidR="00786B03" w:rsidRPr="003D0723" w:rsidRDefault="00786B03" w:rsidP="004B1778">
                  <w:pPr>
                    <w:jc w:val="both"/>
                    <w:rPr>
                      <w:rFonts w:ascii="Arial" w:eastAsia="Calibri" w:hAnsi="Arial" w:cs="Arial"/>
                      <w:b/>
                      <w:bCs/>
                      <w:sz w:val="20"/>
                    </w:rPr>
                  </w:pPr>
                  <w:r w:rsidRPr="003D0723">
                    <w:rPr>
                      <w:rFonts w:ascii="Arial" w:eastAsia="Calibri" w:hAnsi="Arial" w:cs="Arial"/>
                      <w:b/>
                      <w:bCs/>
                      <w:sz w:val="20"/>
                    </w:rPr>
                    <w:t>Expectation</w:t>
                  </w:r>
                </w:p>
              </w:tc>
              <w:tc>
                <w:tcPr>
                  <w:tcW w:w="8487" w:type="dxa"/>
                  <w:tcBorders>
                    <w:top w:val="single" w:sz="6" w:space="0" w:color="000000"/>
                    <w:left w:val="single" w:sz="6" w:space="0" w:color="000000"/>
                    <w:bottom w:val="single" w:sz="6" w:space="0" w:color="000000"/>
                    <w:right w:val="single" w:sz="6" w:space="0" w:color="000000"/>
                  </w:tcBorders>
                </w:tcPr>
                <w:p w14:paraId="162D6D34"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People living with diabetes together with their whanau are regarded as leading partners in their own care within systems that ensure they can manage their own condition effectively with appropriate support.</w:t>
                  </w:r>
                </w:p>
                <w:p w14:paraId="67C311E5" w14:textId="77777777" w:rsidR="00786B03" w:rsidRPr="003D0723" w:rsidRDefault="00786B03" w:rsidP="004B1778">
                  <w:pPr>
                    <w:jc w:val="both"/>
                    <w:rPr>
                      <w:rFonts w:ascii="Arial" w:eastAsia="Calibri" w:hAnsi="Arial" w:cs="Arial"/>
                      <w:sz w:val="20"/>
                    </w:rPr>
                  </w:pPr>
                </w:p>
                <w:p w14:paraId="41926C43" w14:textId="0F05F922" w:rsidR="00786B03" w:rsidRPr="003D0723" w:rsidRDefault="00786B03" w:rsidP="004B1778">
                  <w:pPr>
                    <w:jc w:val="both"/>
                    <w:rPr>
                      <w:rFonts w:ascii="Arial" w:eastAsia="Calibri" w:hAnsi="Arial" w:cs="Arial"/>
                      <w:sz w:val="20"/>
                    </w:rPr>
                  </w:pPr>
                  <w:r w:rsidRPr="003D0723">
                    <w:rPr>
                      <w:rFonts w:ascii="Arial" w:eastAsia="Calibri" w:hAnsi="Arial" w:cs="Arial"/>
                      <w:sz w:val="20"/>
                    </w:rPr>
                    <w:t xml:space="preserve">More people with diabetes will be supported to achieve good or acceptable glycaemic control. The expectation is to continue to improve diabetes services within primary care and implement actions identified through the self-assessment against the updated </w:t>
                  </w:r>
                  <w:r w:rsidRPr="003D0723">
                    <w:rPr>
                      <w:rFonts w:ascii="Arial" w:eastAsia="Calibri" w:hAnsi="Arial" w:cs="Arial"/>
                      <w:i/>
                      <w:iCs/>
                      <w:sz w:val="20"/>
                    </w:rPr>
                    <w:t>Q</w:t>
                  </w:r>
                  <w:r w:rsidRPr="003D0723">
                    <w:rPr>
                      <w:rFonts w:ascii="Arial" w:eastAsia="Calibri" w:hAnsi="Arial" w:cs="Arial"/>
                      <w:i/>
                      <w:sz w:val="20"/>
                    </w:rPr>
                    <w:t xml:space="preserve">uality Standards for Diabetes Care”. </w:t>
                  </w:r>
                </w:p>
              </w:tc>
            </w:tr>
            <w:tr w:rsidR="00786B03" w:rsidRPr="003D0723" w14:paraId="25C24807" w14:textId="77777777" w:rsidTr="004B1778">
              <w:trPr>
                <w:trHeight w:val="1810"/>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0F541A3" w14:textId="77777777" w:rsidR="00786B03" w:rsidRPr="003D0723" w:rsidRDefault="00786B03" w:rsidP="004B1778">
                  <w:pPr>
                    <w:rPr>
                      <w:rFonts w:ascii="Arial" w:eastAsia="Calibri" w:hAnsi="Arial" w:cs="Arial"/>
                      <w:b/>
                      <w:bCs/>
                      <w:sz w:val="20"/>
                    </w:rPr>
                  </w:pPr>
                  <w:r w:rsidRPr="003D0723">
                    <w:rPr>
                      <w:rFonts w:ascii="Arial" w:eastAsia="Calibri" w:hAnsi="Arial" w:cs="Arial"/>
                      <w:b/>
                      <w:bCs/>
                      <w:sz w:val="20"/>
                    </w:rPr>
                    <w:t>Commentary to be provided</w:t>
                  </w:r>
                </w:p>
              </w:tc>
              <w:tc>
                <w:tcPr>
                  <w:tcW w:w="8487" w:type="dxa"/>
                  <w:tcBorders>
                    <w:top w:val="single" w:sz="6" w:space="0" w:color="000000"/>
                    <w:left w:val="single" w:sz="6" w:space="0" w:color="000000"/>
                    <w:bottom w:val="single" w:sz="6" w:space="0" w:color="000000"/>
                    <w:right w:val="single" w:sz="6" w:space="0" w:color="000000"/>
                  </w:tcBorders>
                  <w:shd w:val="clear" w:color="auto" w:fill="auto"/>
                </w:tcPr>
                <w:p w14:paraId="5BE3CA80"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Six-monthly reporting.</w:t>
                  </w:r>
                </w:p>
                <w:p w14:paraId="4CDC8ADC" w14:textId="20D0E0B1" w:rsidR="00786B03" w:rsidRPr="003D0723" w:rsidRDefault="00786B03" w:rsidP="004B1778">
                  <w:pPr>
                    <w:jc w:val="both"/>
                    <w:rPr>
                      <w:rFonts w:ascii="Arial" w:eastAsia="Calibri" w:hAnsi="Arial" w:cs="Arial"/>
                      <w:sz w:val="20"/>
                    </w:rPr>
                  </w:pPr>
                  <w:r w:rsidRPr="003D0723">
                    <w:rPr>
                      <w:rFonts w:ascii="Arial" w:eastAsia="Calibri" w:hAnsi="Arial" w:cs="Arial"/>
                      <w:sz w:val="20"/>
                    </w:rPr>
                    <w:t>Quarters 2 and 4 to include a narrative on:</w:t>
                  </w:r>
                </w:p>
                <w:p w14:paraId="43C7F09D" w14:textId="77777777" w:rsidR="00786B03" w:rsidRPr="002315E3" w:rsidRDefault="00786B03" w:rsidP="004B1778">
                  <w:pPr>
                    <w:jc w:val="both"/>
                    <w:rPr>
                      <w:rFonts w:ascii="Arial" w:eastAsia="Calibri" w:hAnsi="Arial" w:cs="Arial"/>
                      <w:sz w:val="20"/>
                    </w:rPr>
                  </w:pPr>
                </w:p>
                <w:p w14:paraId="686696F1" w14:textId="77777777" w:rsidR="00786B03" w:rsidRPr="003D0723" w:rsidRDefault="00786B03" w:rsidP="004B1778">
                  <w:pPr>
                    <w:pStyle w:val="ListParagraph"/>
                    <w:numPr>
                      <w:ilvl w:val="0"/>
                      <w:numId w:val="31"/>
                    </w:numPr>
                    <w:jc w:val="both"/>
                    <w:rPr>
                      <w:rFonts w:ascii="Arial" w:eastAsia="Calibri" w:hAnsi="Arial" w:cs="Arial"/>
                      <w:sz w:val="20"/>
                    </w:rPr>
                  </w:pPr>
                  <w:r w:rsidRPr="003D0723">
                    <w:rPr>
                      <w:rFonts w:ascii="Arial" w:eastAsia="Calibri" w:hAnsi="Arial" w:cs="Arial"/>
                      <w:sz w:val="20"/>
                    </w:rPr>
                    <w:t>Achievement made in progressing the priority actions identified through the most recent self-assessment against the Quality Standards for Diabetes Care (April 2020)</w:t>
                  </w:r>
                  <w:r>
                    <w:rPr>
                      <w:rFonts w:ascii="Arial" w:eastAsia="Calibri" w:hAnsi="Arial" w:cs="Arial"/>
                      <w:sz w:val="20"/>
                    </w:rPr>
                    <w:t>.</w:t>
                  </w:r>
                </w:p>
                <w:p w14:paraId="42B98892" w14:textId="77777777" w:rsidR="00786B03" w:rsidRDefault="00786B03" w:rsidP="004B1778">
                  <w:pPr>
                    <w:pStyle w:val="ListParagraph"/>
                    <w:ind w:left="360"/>
                    <w:jc w:val="both"/>
                    <w:rPr>
                      <w:rFonts w:ascii="Arial" w:eastAsia="Calibri" w:hAnsi="Arial" w:cs="Arial"/>
                      <w:sz w:val="20"/>
                    </w:rPr>
                  </w:pPr>
                  <w:r w:rsidRPr="003D0723">
                    <w:rPr>
                      <w:rFonts w:ascii="Arial" w:eastAsia="Calibri" w:hAnsi="Arial" w:cs="Arial"/>
                      <w:sz w:val="20"/>
                    </w:rPr>
                    <w:t xml:space="preserve">Include prevention and equity focus in the narrative – </w:t>
                  </w:r>
                  <w:proofErr w:type="spellStart"/>
                  <w:r w:rsidRPr="003D0723">
                    <w:rPr>
                      <w:rFonts w:ascii="Arial" w:eastAsia="Calibri" w:hAnsi="Arial" w:cs="Arial"/>
                      <w:sz w:val="20"/>
                    </w:rPr>
                    <w:t>ie</w:t>
                  </w:r>
                  <w:proofErr w:type="spellEnd"/>
                  <w:r w:rsidRPr="003D0723">
                    <w:rPr>
                      <w:rFonts w:ascii="Arial" w:eastAsia="Calibri" w:hAnsi="Arial" w:cs="Arial"/>
                      <w:sz w:val="20"/>
                    </w:rPr>
                    <w:t xml:space="preserve"> How the DHB will reach the at risk and the disadvantaged, including Maori and Pasifika, to support </w:t>
                  </w:r>
                  <w:proofErr w:type="spellStart"/>
                  <w:r w:rsidRPr="003D0723">
                    <w:rPr>
                      <w:rFonts w:ascii="Arial" w:eastAsia="Calibri" w:hAnsi="Arial" w:cs="Arial"/>
                      <w:sz w:val="20"/>
                    </w:rPr>
                    <w:t>self management</w:t>
                  </w:r>
                  <w:proofErr w:type="spellEnd"/>
                  <w:r w:rsidRPr="003D0723">
                    <w:rPr>
                      <w:rFonts w:ascii="Arial" w:eastAsia="Calibri" w:hAnsi="Arial" w:cs="Arial"/>
                      <w:sz w:val="20"/>
                    </w:rPr>
                    <w:t xml:space="preserve"> to assist in the prevention of secondary impacts from diabetes (or similar) </w:t>
                  </w:r>
                </w:p>
                <w:p w14:paraId="62B92DE4" w14:textId="77777777" w:rsidR="00786B03" w:rsidRPr="003D0723" w:rsidRDefault="00786B03" w:rsidP="004B1778">
                  <w:pPr>
                    <w:pStyle w:val="ListParagraph"/>
                    <w:ind w:left="360"/>
                    <w:jc w:val="both"/>
                    <w:rPr>
                      <w:rFonts w:ascii="Arial" w:eastAsia="Calibri" w:hAnsi="Arial" w:cs="Arial"/>
                      <w:sz w:val="20"/>
                    </w:rPr>
                  </w:pPr>
                </w:p>
                <w:p w14:paraId="42B14C37" w14:textId="7AD9AE90" w:rsidR="00C04FF1" w:rsidRPr="00C04FF1" w:rsidRDefault="00C04FF1" w:rsidP="00C04FF1">
                  <w:pPr>
                    <w:pStyle w:val="ListParagraph"/>
                    <w:numPr>
                      <w:ilvl w:val="0"/>
                      <w:numId w:val="31"/>
                    </w:numPr>
                    <w:jc w:val="both"/>
                    <w:rPr>
                      <w:rFonts w:ascii="Arial" w:eastAsia="Calibri" w:hAnsi="Arial" w:cs="Arial"/>
                      <w:sz w:val="20"/>
                    </w:rPr>
                  </w:pPr>
                  <w:r w:rsidRPr="00C04FF1">
                    <w:rPr>
                      <w:rFonts w:ascii="Arial" w:eastAsia="Calibri" w:hAnsi="Arial" w:cs="Arial"/>
                      <w:sz w:val="20"/>
                    </w:rPr>
                    <w:t>how the DHB is ensuring that all people with diabetes will be effectively managed to improve modifiable risk factors including</w:t>
                  </w:r>
                </w:p>
                <w:p w14:paraId="2C24FD08" w14:textId="77777777" w:rsidR="00061156" w:rsidRDefault="00061156" w:rsidP="00061156">
                  <w:pPr>
                    <w:jc w:val="both"/>
                    <w:rPr>
                      <w:rFonts w:ascii="Arial" w:eastAsia="Calibri" w:hAnsi="Arial" w:cs="Arial"/>
                      <w:sz w:val="20"/>
                    </w:rPr>
                  </w:pPr>
                </w:p>
                <w:p w14:paraId="01F6E394" w14:textId="5C0AF9FB" w:rsidR="00061156" w:rsidRPr="009C4435" w:rsidRDefault="00061156" w:rsidP="00061156">
                  <w:pPr>
                    <w:jc w:val="both"/>
                    <w:rPr>
                      <w:rFonts w:ascii="Arial" w:eastAsia="Calibri" w:hAnsi="Arial" w:cs="Arial"/>
                      <w:sz w:val="20"/>
                    </w:rPr>
                  </w:pPr>
                  <w:r>
                    <w:rPr>
                      <w:rFonts w:ascii="Arial" w:eastAsia="Calibri" w:hAnsi="Arial" w:cs="Arial"/>
                      <w:sz w:val="20"/>
                    </w:rPr>
                    <w:t>Quarters 2 and 4 to include data on:</w:t>
                  </w:r>
                </w:p>
                <w:p w14:paraId="77854D86" w14:textId="77777777" w:rsidR="00061156" w:rsidRDefault="00061156" w:rsidP="00061156">
                  <w:pPr>
                    <w:ind w:left="448" w:hanging="152"/>
                    <w:jc w:val="both"/>
                    <w:rPr>
                      <w:rFonts w:ascii="Arial" w:eastAsia="Calibri" w:hAnsi="Arial" w:cs="Arial"/>
                      <w:sz w:val="20"/>
                    </w:rPr>
                  </w:pPr>
                  <w:r>
                    <w:rPr>
                      <w:rFonts w:ascii="Arial" w:eastAsia="Calibri" w:hAnsi="Arial" w:cs="Arial"/>
                      <w:sz w:val="20"/>
                    </w:rPr>
                    <w:t>•</w:t>
                  </w:r>
                  <w:r>
                    <w:rPr>
                      <w:rFonts w:ascii="Arial" w:eastAsia="Calibri" w:hAnsi="Arial" w:cs="Arial"/>
                      <w:sz w:val="20"/>
                    </w:rPr>
                    <w:tab/>
                    <w:t>Monitor HbA1c 3 monthly</w:t>
                  </w:r>
                </w:p>
                <w:p w14:paraId="282D396F" w14:textId="77777777" w:rsidR="00061156" w:rsidRDefault="00061156" w:rsidP="00061156">
                  <w:pPr>
                    <w:ind w:left="448" w:hanging="152"/>
                    <w:jc w:val="both"/>
                    <w:rPr>
                      <w:rFonts w:ascii="Arial" w:eastAsia="Calibri" w:hAnsi="Arial" w:cs="Arial"/>
                      <w:sz w:val="20"/>
                    </w:rPr>
                  </w:pPr>
                  <w:r>
                    <w:rPr>
                      <w:rFonts w:ascii="Arial" w:eastAsia="Calibri" w:hAnsi="Arial" w:cs="Arial"/>
                      <w:sz w:val="20"/>
                    </w:rPr>
                    <w:t>•</w:t>
                  </w:r>
                  <w:r>
                    <w:rPr>
                      <w:rFonts w:ascii="Arial" w:eastAsia="Calibri" w:hAnsi="Arial" w:cs="Arial"/>
                      <w:sz w:val="20"/>
                    </w:rPr>
                    <w:tab/>
                    <w:t xml:space="preserve">achievement of the HbA1c indicator </w:t>
                  </w:r>
                </w:p>
                <w:p w14:paraId="6A011AFB" w14:textId="530D0782" w:rsidR="00C04FF1" w:rsidRPr="005B570C" w:rsidRDefault="00C04FF1" w:rsidP="00C04FF1">
                  <w:pPr>
                    <w:ind w:left="448" w:hanging="152"/>
                    <w:jc w:val="both"/>
                    <w:rPr>
                      <w:rFonts w:ascii="Arial" w:eastAsia="Calibri" w:hAnsi="Arial" w:cs="Arial"/>
                      <w:sz w:val="20"/>
                    </w:rPr>
                  </w:pPr>
                </w:p>
                <w:p w14:paraId="16788036" w14:textId="77777777" w:rsidR="00786B03" w:rsidRPr="003D0723" w:rsidRDefault="00786B03" w:rsidP="004B1778">
                  <w:pPr>
                    <w:jc w:val="both"/>
                    <w:rPr>
                      <w:rFonts w:ascii="Arial" w:eastAsia="Calibri" w:hAnsi="Arial" w:cs="Arial"/>
                      <w:sz w:val="20"/>
                    </w:rPr>
                  </w:pPr>
                </w:p>
                <w:p w14:paraId="27DB5E6D"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A template will be provided for reports.</w:t>
                  </w:r>
                </w:p>
              </w:tc>
            </w:tr>
            <w:tr w:rsidR="00786B03" w:rsidRPr="003D0723" w14:paraId="1884D78E"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951F283" w14:textId="77777777" w:rsidR="00786B03" w:rsidRPr="003D0723" w:rsidRDefault="00786B03" w:rsidP="004B1778">
                  <w:pPr>
                    <w:rPr>
                      <w:rFonts w:ascii="Arial" w:eastAsia="Calibri" w:hAnsi="Arial" w:cs="Arial"/>
                      <w:b/>
                      <w:bCs/>
                      <w:sz w:val="20"/>
                      <w:szCs w:val="20"/>
                    </w:rPr>
                  </w:pPr>
                  <w:r w:rsidRPr="003D0723">
                    <w:rPr>
                      <w:rFonts w:ascii="Arial" w:eastAsia="Calibri" w:hAnsi="Arial" w:cs="Arial"/>
                      <w:b/>
                      <w:sz w:val="20"/>
                      <w:szCs w:val="20"/>
                      <w:lang w:val="en-GB"/>
                    </w:rPr>
                    <w:t>Reporting period:</w:t>
                  </w:r>
                </w:p>
              </w:tc>
              <w:tc>
                <w:tcPr>
                  <w:tcW w:w="8487" w:type="dxa"/>
                  <w:tcBorders>
                    <w:top w:val="single" w:sz="6" w:space="0" w:color="000000"/>
                    <w:left w:val="single" w:sz="6" w:space="0" w:color="000000"/>
                    <w:bottom w:val="single" w:sz="6" w:space="0" w:color="000000"/>
                    <w:right w:val="single" w:sz="6" w:space="0" w:color="000000"/>
                  </w:tcBorders>
                  <w:shd w:val="clear" w:color="auto" w:fill="auto"/>
                </w:tcPr>
                <w:p w14:paraId="47D14762" w14:textId="77777777" w:rsidR="00786B03" w:rsidRPr="003D0723" w:rsidRDefault="00786B03" w:rsidP="004B1778">
                  <w:pPr>
                    <w:shd w:val="clear" w:color="auto" w:fill="FFFFFF"/>
                    <w:spacing w:before="60" w:after="60"/>
                    <w:jc w:val="both"/>
                    <w:rPr>
                      <w:rFonts w:ascii="Arial" w:hAnsi="Arial" w:cs="Arial"/>
                      <w:sz w:val="20"/>
                      <w:szCs w:val="20"/>
                    </w:rPr>
                  </w:pPr>
                  <w:r w:rsidRPr="003D0723">
                    <w:rPr>
                      <w:rFonts w:ascii="Arial" w:hAnsi="Arial" w:cs="Arial"/>
                      <w:sz w:val="20"/>
                      <w:szCs w:val="20"/>
                    </w:rPr>
                    <w:t>Six monthly in</w:t>
                  </w:r>
                </w:p>
                <w:tbl>
                  <w:tblPr>
                    <w:tblStyle w:val="TableGrid"/>
                    <w:tblW w:w="0" w:type="auto"/>
                    <w:tblLook w:val="04A0" w:firstRow="1" w:lastRow="0" w:firstColumn="1" w:lastColumn="0" w:noHBand="0" w:noVBand="1"/>
                  </w:tblPr>
                  <w:tblGrid>
                    <w:gridCol w:w="1204"/>
                    <w:gridCol w:w="3549"/>
                    <w:gridCol w:w="3457"/>
                  </w:tblGrid>
                  <w:tr w:rsidR="00786B03" w:rsidRPr="003D0723" w14:paraId="54E60489" w14:textId="77777777" w:rsidTr="004B1778">
                    <w:trPr>
                      <w:trHeight w:val="259"/>
                    </w:trPr>
                    <w:tc>
                      <w:tcPr>
                        <w:tcW w:w="1204" w:type="dxa"/>
                        <w:shd w:val="clear" w:color="auto" w:fill="D9D9D9" w:themeFill="background1" w:themeFillShade="D9"/>
                      </w:tcPr>
                      <w:p w14:paraId="42AC527E" w14:textId="77777777" w:rsidR="00786B03" w:rsidRPr="003D0723" w:rsidRDefault="00786B03" w:rsidP="004B1778">
                        <w:pPr>
                          <w:spacing w:before="60" w:after="60"/>
                          <w:jc w:val="both"/>
                          <w:rPr>
                            <w:rFonts w:ascii="Arial" w:hAnsi="Arial" w:cs="Arial"/>
                            <w:b/>
                            <w:sz w:val="20"/>
                            <w:szCs w:val="20"/>
                          </w:rPr>
                        </w:pPr>
                        <w:r w:rsidRPr="003D0723">
                          <w:rPr>
                            <w:rFonts w:ascii="Arial" w:hAnsi="Arial" w:cs="Arial"/>
                            <w:b/>
                            <w:sz w:val="20"/>
                            <w:szCs w:val="20"/>
                          </w:rPr>
                          <w:t>Quarter</w:t>
                        </w:r>
                      </w:p>
                    </w:tc>
                    <w:tc>
                      <w:tcPr>
                        <w:tcW w:w="3549" w:type="dxa"/>
                        <w:shd w:val="clear" w:color="auto" w:fill="D9D9D9" w:themeFill="background1" w:themeFillShade="D9"/>
                      </w:tcPr>
                      <w:p w14:paraId="67E58815" w14:textId="77777777" w:rsidR="00786B03" w:rsidRPr="003D0723" w:rsidRDefault="00786B03" w:rsidP="004B1778">
                        <w:pPr>
                          <w:spacing w:before="60" w:after="60"/>
                          <w:jc w:val="both"/>
                          <w:rPr>
                            <w:rFonts w:ascii="Arial" w:hAnsi="Arial" w:cs="Arial"/>
                            <w:b/>
                            <w:sz w:val="20"/>
                            <w:szCs w:val="20"/>
                          </w:rPr>
                        </w:pPr>
                        <w:r w:rsidRPr="003D0723">
                          <w:rPr>
                            <w:rFonts w:ascii="Arial" w:hAnsi="Arial" w:cs="Arial"/>
                            <w:b/>
                            <w:sz w:val="20"/>
                            <w:szCs w:val="20"/>
                          </w:rPr>
                          <w:t>Narrative for the 6 months from</w:t>
                        </w:r>
                      </w:p>
                    </w:tc>
                    <w:tc>
                      <w:tcPr>
                        <w:tcW w:w="3457" w:type="dxa"/>
                        <w:shd w:val="clear" w:color="auto" w:fill="D9D9D9" w:themeFill="background1" w:themeFillShade="D9"/>
                      </w:tcPr>
                      <w:p w14:paraId="6BA28570" w14:textId="77777777" w:rsidR="00786B03" w:rsidRPr="003D0723" w:rsidRDefault="00786B03" w:rsidP="004B1778">
                        <w:pPr>
                          <w:spacing w:before="60" w:after="60"/>
                          <w:jc w:val="both"/>
                          <w:rPr>
                            <w:rFonts w:ascii="Arial" w:hAnsi="Arial" w:cs="Arial"/>
                            <w:b/>
                            <w:sz w:val="20"/>
                            <w:szCs w:val="20"/>
                          </w:rPr>
                        </w:pPr>
                        <w:r w:rsidRPr="003D0723">
                          <w:rPr>
                            <w:rFonts w:ascii="Arial" w:hAnsi="Arial" w:cs="Arial"/>
                            <w:b/>
                            <w:sz w:val="20"/>
                            <w:szCs w:val="20"/>
                          </w:rPr>
                          <w:t>Data for the 12 months from</w:t>
                        </w:r>
                      </w:p>
                    </w:tc>
                  </w:tr>
                  <w:tr w:rsidR="00786B03" w:rsidRPr="003D0723" w14:paraId="38A30A15" w14:textId="77777777" w:rsidTr="004B1778">
                    <w:trPr>
                      <w:trHeight w:val="250"/>
                    </w:trPr>
                    <w:tc>
                      <w:tcPr>
                        <w:tcW w:w="1204" w:type="dxa"/>
                      </w:tcPr>
                      <w:p w14:paraId="1748D683"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Quarter 2</w:t>
                        </w:r>
                      </w:p>
                    </w:tc>
                    <w:tc>
                      <w:tcPr>
                        <w:tcW w:w="3549" w:type="dxa"/>
                      </w:tcPr>
                      <w:p w14:paraId="605A11CA"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1 July to 31 December 2020</w:t>
                        </w:r>
                      </w:p>
                    </w:tc>
                    <w:tc>
                      <w:tcPr>
                        <w:tcW w:w="3457" w:type="dxa"/>
                      </w:tcPr>
                      <w:p w14:paraId="7A69670B"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1 January to 31 December 2020</w:t>
                        </w:r>
                      </w:p>
                    </w:tc>
                  </w:tr>
                  <w:tr w:rsidR="00786B03" w:rsidRPr="003D0723" w14:paraId="0B90F249" w14:textId="77777777" w:rsidTr="004B1778">
                    <w:trPr>
                      <w:trHeight w:val="259"/>
                    </w:trPr>
                    <w:tc>
                      <w:tcPr>
                        <w:tcW w:w="1204" w:type="dxa"/>
                      </w:tcPr>
                      <w:p w14:paraId="61C68F7C"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Quarter 4</w:t>
                        </w:r>
                      </w:p>
                    </w:tc>
                    <w:tc>
                      <w:tcPr>
                        <w:tcW w:w="3549" w:type="dxa"/>
                      </w:tcPr>
                      <w:p w14:paraId="197B694E"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1 January to 30 June 2021</w:t>
                        </w:r>
                      </w:p>
                    </w:tc>
                    <w:tc>
                      <w:tcPr>
                        <w:tcW w:w="3457" w:type="dxa"/>
                      </w:tcPr>
                      <w:p w14:paraId="2E83A656" w14:textId="77777777" w:rsidR="00786B03" w:rsidRPr="003D0723" w:rsidRDefault="00786B03" w:rsidP="004B1778">
                        <w:pPr>
                          <w:spacing w:before="60" w:after="60"/>
                          <w:jc w:val="both"/>
                          <w:rPr>
                            <w:rFonts w:ascii="Arial" w:hAnsi="Arial" w:cs="Arial"/>
                            <w:sz w:val="20"/>
                            <w:szCs w:val="20"/>
                          </w:rPr>
                        </w:pPr>
                        <w:r w:rsidRPr="003D0723">
                          <w:rPr>
                            <w:rFonts w:ascii="Arial" w:hAnsi="Arial" w:cs="Arial"/>
                            <w:sz w:val="20"/>
                            <w:szCs w:val="20"/>
                          </w:rPr>
                          <w:t>1 July 2020 to 30 June 2021</w:t>
                        </w:r>
                      </w:p>
                    </w:tc>
                  </w:tr>
                </w:tbl>
                <w:p w14:paraId="52AB811B" w14:textId="77777777" w:rsidR="00786B03" w:rsidRPr="003D0723" w:rsidRDefault="00786B03" w:rsidP="004B1778">
                  <w:pPr>
                    <w:jc w:val="both"/>
                    <w:rPr>
                      <w:rFonts w:ascii="Arial" w:eastAsia="Calibri" w:hAnsi="Arial" w:cs="Arial"/>
                      <w:sz w:val="20"/>
                      <w:szCs w:val="20"/>
                    </w:rPr>
                  </w:pPr>
                </w:p>
              </w:tc>
            </w:tr>
            <w:tr w:rsidR="00786B03" w:rsidRPr="003D0723" w14:paraId="09B5204F"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tcPr>
                <w:p w14:paraId="3B4E27E5" w14:textId="77777777" w:rsidR="00786B03" w:rsidRPr="003D0723" w:rsidRDefault="00786B03" w:rsidP="004B1778">
                  <w:pPr>
                    <w:rPr>
                      <w:rFonts w:ascii="Arial" w:eastAsia="Calibri" w:hAnsi="Arial" w:cs="Arial"/>
                      <w:b/>
                      <w:bCs/>
                      <w:sz w:val="22"/>
                      <w:szCs w:val="22"/>
                    </w:rPr>
                  </w:pPr>
                  <w:r w:rsidRPr="003D0723">
                    <w:rPr>
                      <w:rFonts w:ascii="Arial" w:eastAsia="Calibri" w:hAnsi="Arial" w:cs="Arial"/>
                      <w:b/>
                      <w:bCs/>
                      <w:sz w:val="20"/>
                    </w:rPr>
                    <w:t>Deliverables: HbA1c and DARs</w:t>
                  </w:r>
                </w:p>
              </w:tc>
              <w:tc>
                <w:tcPr>
                  <w:tcW w:w="8487" w:type="dxa"/>
                  <w:tcBorders>
                    <w:top w:val="single" w:sz="6" w:space="0" w:color="000000"/>
                    <w:left w:val="single" w:sz="6" w:space="0" w:color="000000"/>
                    <w:bottom w:val="single" w:sz="6" w:space="0" w:color="000000"/>
                    <w:right w:val="single" w:sz="6" w:space="0" w:color="000000"/>
                  </w:tcBorders>
                </w:tcPr>
                <w:p w14:paraId="405D56B5" w14:textId="77777777" w:rsidR="00786B03" w:rsidRPr="003D0723" w:rsidRDefault="00786B03" w:rsidP="004B1778">
                  <w:pPr>
                    <w:jc w:val="both"/>
                    <w:rPr>
                      <w:rFonts w:ascii="Arial" w:eastAsia="Calibri" w:hAnsi="Arial" w:cs="Arial"/>
                      <w:b/>
                      <w:sz w:val="20"/>
                      <w:szCs w:val="20"/>
                    </w:rPr>
                  </w:pPr>
                  <w:r w:rsidRPr="003D0723">
                    <w:rPr>
                      <w:rFonts w:ascii="Arial" w:eastAsia="Calibri" w:hAnsi="Arial" w:cs="Arial"/>
                      <w:b/>
                      <w:sz w:val="20"/>
                      <w:szCs w:val="20"/>
                    </w:rPr>
                    <w:t>HbA1c indicator:</w:t>
                  </w:r>
                </w:p>
                <w:p w14:paraId="57D4216A" w14:textId="77777777" w:rsidR="00786B03" w:rsidRPr="003D0723" w:rsidRDefault="00786B03" w:rsidP="004B1778">
                  <w:pPr>
                    <w:jc w:val="both"/>
                    <w:rPr>
                      <w:rFonts w:ascii="Arial" w:eastAsia="Calibri" w:hAnsi="Arial" w:cs="Arial"/>
                      <w:sz w:val="20"/>
                      <w:szCs w:val="20"/>
                    </w:rPr>
                  </w:pPr>
                  <w:r w:rsidRPr="003D0723">
                    <w:rPr>
                      <w:rFonts w:ascii="Arial" w:eastAsia="Calibri" w:hAnsi="Arial" w:cs="Arial"/>
                      <w:sz w:val="20"/>
                      <w:szCs w:val="20"/>
                    </w:rPr>
                    <w:t>Numerator – Count of enrolled people aged 15-74 by ethnicity in the PHO with diabetes and the most recent HbA1c during the past 12 months of equal to or less than 64 mmol/mol; equal to or less than 80mmol/mol; equal to or less than 100mmol/mol; and greater than 100mmol/mol).</w:t>
                  </w:r>
                </w:p>
                <w:p w14:paraId="0012BA2D" w14:textId="77777777" w:rsidR="00786B03" w:rsidRPr="003D0723" w:rsidRDefault="00786B03" w:rsidP="004B1778">
                  <w:pPr>
                    <w:jc w:val="both"/>
                    <w:rPr>
                      <w:rFonts w:ascii="Arial" w:eastAsia="Calibri" w:hAnsi="Arial" w:cs="Arial"/>
                      <w:sz w:val="20"/>
                      <w:szCs w:val="20"/>
                    </w:rPr>
                  </w:pPr>
                  <w:r w:rsidRPr="003D0723">
                    <w:rPr>
                      <w:rFonts w:ascii="Arial" w:eastAsia="Calibri" w:hAnsi="Arial" w:cs="Arial"/>
                      <w:sz w:val="20"/>
                      <w:szCs w:val="20"/>
                    </w:rPr>
                    <w:t>Denominator - Count of enrolled people in the PHO aged 15-74 with diabetes on the Ministry of Health Virtual Diabetes Register (VDR 2019).</w:t>
                  </w:r>
                </w:p>
                <w:p w14:paraId="697CFB94" w14:textId="77777777" w:rsidR="00786B03" w:rsidRPr="003D0723" w:rsidRDefault="00786B03" w:rsidP="004B1778">
                  <w:pPr>
                    <w:jc w:val="both"/>
                    <w:rPr>
                      <w:rFonts w:ascii="Arial" w:eastAsia="Calibri" w:hAnsi="Arial" w:cs="Arial"/>
                      <w:sz w:val="20"/>
                      <w:szCs w:val="20"/>
                    </w:rPr>
                  </w:pPr>
                </w:p>
                <w:p w14:paraId="1B7C46CE" w14:textId="53F86C19" w:rsidR="00786B03" w:rsidRPr="003D0723" w:rsidRDefault="00786B03" w:rsidP="000267CE">
                  <w:pPr>
                    <w:jc w:val="both"/>
                    <w:rPr>
                      <w:rFonts w:ascii="Arial" w:eastAsia="Calibri" w:hAnsi="Arial" w:cs="Arial"/>
                      <w:sz w:val="22"/>
                      <w:szCs w:val="22"/>
                    </w:rPr>
                  </w:pPr>
                  <w:r w:rsidRPr="003D0723">
                    <w:rPr>
                      <w:rFonts w:ascii="Arial" w:eastAsia="Calibri" w:hAnsi="Arial" w:cs="Arial"/>
                      <w:b/>
                      <w:sz w:val="20"/>
                      <w:szCs w:val="20"/>
                    </w:rPr>
                    <w:t xml:space="preserve"> </w:t>
                  </w:r>
                </w:p>
              </w:tc>
            </w:tr>
            <w:tr w:rsidR="00786B03" w:rsidRPr="003D0723" w14:paraId="4FFEB97A"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tcPr>
                <w:p w14:paraId="04A53784" w14:textId="77777777" w:rsidR="00786B03" w:rsidRPr="003D0723" w:rsidRDefault="00786B03" w:rsidP="004B1778">
                  <w:pPr>
                    <w:jc w:val="both"/>
                    <w:rPr>
                      <w:rFonts w:ascii="Arial" w:eastAsia="Calibri" w:hAnsi="Arial" w:cs="Arial"/>
                      <w:b/>
                      <w:bCs/>
                      <w:sz w:val="20"/>
                    </w:rPr>
                  </w:pPr>
                  <w:r w:rsidRPr="003D0723">
                    <w:rPr>
                      <w:rFonts w:ascii="Arial" w:eastAsia="Calibri" w:hAnsi="Arial" w:cs="Arial"/>
                      <w:b/>
                      <w:bCs/>
                      <w:sz w:val="20"/>
                    </w:rPr>
                    <w:t>Targets:</w:t>
                  </w:r>
                </w:p>
              </w:tc>
              <w:tc>
                <w:tcPr>
                  <w:tcW w:w="8487" w:type="dxa"/>
                  <w:tcBorders>
                    <w:top w:val="single" w:sz="6" w:space="0" w:color="000000"/>
                    <w:left w:val="single" w:sz="6" w:space="0" w:color="000000"/>
                    <w:bottom w:val="single" w:sz="6" w:space="0" w:color="000000"/>
                    <w:right w:val="single" w:sz="6" w:space="0" w:color="000000"/>
                  </w:tcBorders>
                </w:tcPr>
                <w:p w14:paraId="514F7B00"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Ascertainment: target 95-105% and no inequity</w:t>
                  </w:r>
                </w:p>
                <w:p w14:paraId="712E83BE"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HbA1c&lt;64mmols: target &gt;60% and no inequity</w:t>
                  </w:r>
                </w:p>
                <w:p w14:paraId="2080FA93"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No HbA1c result: target &lt;7-8% and no inequity</w:t>
                  </w:r>
                </w:p>
                <w:p w14:paraId="367F62D1" w14:textId="77777777" w:rsidR="00786B03" w:rsidRPr="003D0723" w:rsidRDefault="00786B03" w:rsidP="00014103">
                  <w:pPr>
                    <w:pStyle w:val="ListParagraph"/>
                    <w:ind w:left="10"/>
                    <w:contextualSpacing w:val="0"/>
                    <w:rPr>
                      <w:rFonts w:ascii="Arial" w:eastAsia="Calibri" w:hAnsi="Arial" w:cs="Arial"/>
                      <w:sz w:val="20"/>
                    </w:rPr>
                  </w:pPr>
                </w:p>
              </w:tc>
            </w:tr>
            <w:tr w:rsidR="00786B03" w:rsidRPr="003D0723" w14:paraId="2C5E8725"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tcPr>
                <w:p w14:paraId="7A1E5715" w14:textId="77777777" w:rsidR="00786B03" w:rsidRPr="003D0723" w:rsidRDefault="00786B03" w:rsidP="004B1778">
                  <w:pPr>
                    <w:jc w:val="both"/>
                    <w:rPr>
                      <w:rFonts w:ascii="Arial" w:eastAsia="Calibri" w:hAnsi="Arial" w:cs="Arial"/>
                      <w:b/>
                      <w:bCs/>
                      <w:sz w:val="20"/>
                    </w:rPr>
                  </w:pPr>
                  <w:r w:rsidRPr="003D0723">
                    <w:rPr>
                      <w:rFonts w:ascii="Arial" w:eastAsia="Calibri" w:hAnsi="Arial" w:cs="Arial"/>
                      <w:b/>
                      <w:bCs/>
                      <w:sz w:val="20"/>
                    </w:rPr>
                    <w:t>Data source:</w:t>
                  </w:r>
                </w:p>
              </w:tc>
              <w:tc>
                <w:tcPr>
                  <w:tcW w:w="8487" w:type="dxa"/>
                  <w:tcBorders>
                    <w:top w:val="single" w:sz="6" w:space="0" w:color="000000"/>
                    <w:left w:val="single" w:sz="6" w:space="0" w:color="000000"/>
                    <w:bottom w:val="single" w:sz="6" w:space="0" w:color="000000"/>
                    <w:right w:val="single" w:sz="6" w:space="0" w:color="000000"/>
                  </w:tcBorders>
                </w:tcPr>
                <w:p w14:paraId="78FFB1B1" w14:textId="77777777" w:rsidR="00786B03" w:rsidRPr="003D0723" w:rsidRDefault="00786B03" w:rsidP="004B1778">
                  <w:pPr>
                    <w:jc w:val="both"/>
                    <w:rPr>
                      <w:rFonts w:ascii="Arial" w:eastAsia="Calibri" w:hAnsi="Arial" w:cs="Arial"/>
                      <w:sz w:val="20"/>
                    </w:rPr>
                  </w:pPr>
                  <w:r w:rsidRPr="003D0723">
                    <w:rPr>
                      <w:rFonts w:ascii="Arial" w:eastAsia="Calibri" w:hAnsi="Arial" w:cs="Arial"/>
                      <w:sz w:val="20"/>
                    </w:rPr>
                    <w:t>MOH will supply VDR, and DHBs/PHOs to provide numerator.</w:t>
                  </w:r>
                </w:p>
                <w:p w14:paraId="0450D741" w14:textId="77777777" w:rsidR="00786B03" w:rsidRPr="003D0723" w:rsidRDefault="00786B03" w:rsidP="004B1778">
                  <w:pPr>
                    <w:jc w:val="both"/>
                    <w:rPr>
                      <w:rFonts w:ascii="Arial" w:eastAsia="Calibri" w:hAnsi="Arial" w:cs="Arial"/>
                      <w:sz w:val="20"/>
                    </w:rPr>
                  </w:pPr>
                  <w:r w:rsidRPr="003D0723">
                    <w:rPr>
                      <w:rFonts w:ascii="Arial" w:eastAsia="Calibri" w:hAnsi="Arial" w:cs="Arial"/>
                      <w:i/>
                      <w:sz w:val="20"/>
                    </w:rPr>
                    <w:t>Note: Patients coded with diabetes in the General Practice registers can be used instead of VDR once comparisons between the two have been complete, and accuracy of GP registers can be demonstrated.</w:t>
                  </w:r>
                </w:p>
              </w:tc>
            </w:tr>
            <w:tr w:rsidR="00786B03" w:rsidRPr="003D0723" w14:paraId="42C042AB" w14:textId="77777777" w:rsidTr="004B1778">
              <w:trPr>
                <w:trHeight w:val="190"/>
              </w:trPr>
              <w:tc>
                <w:tcPr>
                  <w:tcW w:w="1462" w:type="dxa"/>
                  <w:tcBorders>
                    <w:top w:val="single" w:sz="6" w:space="0" w:color="000000"/>
                    <w:left w:val="single" w:sz="6" w:space="0" w:color="000000"/>
                    <w:bottom w:val="single" w:sz="6" w:space="0" w:color="000000"/>
                    <w:right w:val="single" w:sz="6" w:space="0" w:color="000000"/>
                  </w:tcBorders>
                </w:tcPr>
                <w:p w14:paraId="41736890" w14:textId="77777777" w:rsidR="00786B03" w:rsidRPr="003D0723" w:rsidRDefault="00786B03" w:rsidP="004B1778">
                  <w:pPr>
                    <w:jc w:val="both"/>
                    <w:rPr>
                      <w:rFonts w:ascii="Arial" w:eastAsia="Calibri" w:hAnsi="Arial" w:cs="Arial"/>
                      <w:b/>
                      <w:bCs/>
                      <w:sz w:val="20"/>
                    </w:rPr>
                  </w:pPr>
                </w:p>
              </w:tc>
              <w:tc>
                <w:tcPr>
                  <w:tcW w:w="8487" w:type="dxa"/>
                  <w:tcBorders>
                    <w:top w:val="single" w:sz="6" w:space="0" w:color="000000"/>
                    <w:left w:val="single" w:sz="6" w:space="0" w:color="000000"/>
                    <w:bottom w:val="single" w:sz="6" w:space="0" w:color="000000"/>
                    <w:right w:val="single" w:sz="6" w:space="0" w:color="000000"/>
                  </w:tcBorders>
                </w:tcPr>
                <w:p w14:paraId="037F3927" w14:textId="77777777" w:rsidR="00786B03" w:rsidRPr="003D0723" w:rsidRDefault="00786B03" w:rsidP="004B1778">
                  <w:pPr>
                    <w:ind w:left="260"/>
                    <w:contextualSpacing/>
                    <w:jc w:val="both"/>
                    <w:rPr>
                      <w:rFonts w:ascii="Arial" w:eastAsia="Calibri" w:hAnsi="Arial" w:cs="Arial"/>
                      <w:sz w:val="20"/>
                    </w:rPr>
                  </w:pPr>
                </w:p>
              </w:tc>
            </w:tr>
          </w:tbl>
          <w:p w14:paraId="64CA681F" w14:textId="77777777" w:rsidR="00786B03" w:rsidRPr="000B615C" w:rsidDel="004B5C58" w:rsidRDefault="00786B03" w:rsidP="004B1778">
            <w:pPr>
              <w:spacing w:before="240" w:after="60"/>
              <w:rPr>
                <w:rFonts w:ascii="Arial" w:hAnsi="Arial" w:cs="Arial"/>
                <w:b/>
                <w:bCs/>
              </w:rPr>
            </w:pPr>
          </w:p>
        </w:tc>
      </w:tr>
    </w:tbl>
    <w:p w14:paraId="337ADC4C" w14:textId="77777777" w:rsidR="00786B03" w:rsidRPr="000B615C" w:rsidRDefault="00786B03" w:rsidP="00786B03">
      <w:pPr>
        <w:spacing w:before="240" w:after="60"/>
        <w:rPr>
          <w:rFonts w:ascii="Arial" w:hAnsi="Arial" w:cs="Arial"/>
          <w:b/>
          <w:bCs/>
        </w:rPr>
      </w:pPr>
    </w:p>
    <w:tbl>
      <w:tblPr>
        <w:tblW w:w="1034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61"/>
        <w:gridCol w:w="8788"/>
      </w:tblGrid>
      <w:tr w:rsidR="00786B03" w:rsidRPr="000B615C" w14:paraId="7208AC87" w14:textId="77777777" w:rsidTr="004B1778">
        <w:trPr>
          <w:trHeight w:val="190"/>
        </w:trPr>
        <w:tc>
          <w:tcPr>
            <w:tcW w:w="1561" w:type="dxa"/>
            <w:tcBorders>
              <w:top w:val="single" w:sz="6" w:space="0" w:color="000000"/>
              <w:left w:val="single" w:sz="6" w:space="0" w:color="000000"/>
              <w:bottom w:val="single" w:sz="6" w:space="0" w:color="000000"/>
              <w:right w:val="single" w:sz="6" w:space="0" w:color="000000"/>
            </w:tcBorders>
            <w:shd w:val="clear" w:color="auto" w:fill="C0C0C0"/>
          </w:tcPr>
          <w:p w14:paraId="0B622F5F" w14:textId="77777777" w:rsidR="00786B03" w:rsidRPr="000B615C" w:rsidRDefault="00786B03" w:rsidP="004B1778">
            <w:pPr>
              <w:spacing w:after="60"/>
              <w:jc w:val="both"/>
              <w:rPr>
                <w:rFonts w:ascii="Arial" w:eastAsia="Calibri" w:hAnsi="Arial" w:cs="Arial"/>
                <w:b/>
                <w:bCs/>
                <w:color w:val="000000"/>
                <w:sz w:val="20"/>
              </w:rPr>
            </w:pPr>
            <w:r w:rsidRPr="000B615C">
              <w:rPr>
                <w:rFonts w:ascii="Arial" w:eastAsia="Calibri" w:hAnsi="Arial" w:cs="Arial"/>
                <w:b/>
                <w:bCs/>
                <w:color w:val="000000"/>
                <w:sz w:val="20"/>
              </w:rPr>
              <w:lastRenderedPageBreak/>
              <w:t>Focus Area 3</w:t>
            </w:r>
          </w:p>
        </w:tc>
        <w:tc>
          <w:tcPr>
            <w:tcW w:w="8788" w:type="dxa"/>
            <w:tcBorders>
              <w:top w:val="single" w:sz="6" w:space="0" w:color="000000"/>
              <w:left w:val="single" w:sz="6" w:space="0" w:color="000000"/>
              <w:bottom w:val="single" w:sz="6" w:space="0" w:color="000000"/>
              <w:right w:val="single" w:sz="6" w:space="0" w:color="000000"/>
            </w:tcBorders>
            <w:shd w:val="clear" w:color="auto" w:fill="C0C0C0"/>
          </w:tcPr>
          <w:p w14:paraId="50C0083B" w14:textId="77777777" w:rsidR="00786B03" w:rsidRPr="000B615C" w:rsidRDefault="00786B03" w:rsidP="004B1778">
            <w:pPr>
              <w:spacing w:after="60"/>
              <w:jc w:val="both"/>
              <w:rPr>
                <w:rFonts w:ascii="Arial" w:eastAsia="Calibri" w:hAnsi="Arial" w:cs="Arial"/>
                <w:sz w:val="20"/>
              </w:rPr>
            </w:pPr>
            <w:r w:rsidRPr="000B615C">
              <w:rPr>
                <w:rFonts w:ascii="Arial" w:eastAsia="Calibri" w:hAnsi="Arial" w:cs="Arial"/>
                <w:b/>
                <w:sz w:val="20"/>
              </w:rPr>
              <w:t>Cardiovascular (CVD) health</w:t>
            </w:r>
            <w:r w:rsidRPr="000B615C">
              <w:rPr>
                <w:rFonts w:ascii="Arial" w:eastAsia="Calibri" w:hAnsi="Arial" w:cs="Arial"/>
                <w:sz w:val="20"/>
              </w:rPr>
              <w:t xml:space="preserve"> </w:t>
            </w:r>
          </w:p>
        </w:tc>
      </w:tr>
      <w:tr w:rsidR="00786B03" w:rsidRPr="000B615C" w14:paraId="656ABDF7" w14:textId="77777777" w:rsidTr="004B1778">
        <w:trPr>
          <w:trHeight w:val="190"/>
        </w:trPr>
        <w:tc>
          <w:tcPr>
            <w:tcW w:w="1561" w:type="dxa"/>
            <w:tcBorders>
              <w:top w:val="single" w:sz="6" w:space="0" w:color="000000"/>
              <w:left w:val="single" w:sz="6" w:space="0" w:color="000000"/>
              <w:bottom w:val="single" w:sz="6" w:space="0" w:color="000000"/>
              <w:right w:val="single" w:sz="6" w:space="0" w:color="000000"/>
            </w:tcBorders>
          </w:tcPr>
          <w:p w14:paraId="51CFA2DD" w14:textId="77777777" w:rsidR="00786B03" w:rsidRPr="00B652D6" w:rsidRDefault="00786B03" w:rsidP="004B1778">
            <w:pPr>
              <w:spacing w:after="60"/>
              <w:jc w:val="both"/>
              <w:rPr>
                <w:rFonts w:ascii="Arial" w:eastAsia="Calibri" w:hAnsi="Arial" w:cs="Arial"/>
                <w:b/>
                <w:bCs/>
                <w:color w:val="000000"/>
                <w:sz w:val="18"/>
                <w:szCs w:val="22"/>
              </w:rPr>
            </w:pPr>
            <w:r w:rsidRPr="00B652D6">
              <w:rPr>
                <w:rFonts w:ascii="Arial" w:eastAsia="Calibri" w:hAnsi="Arial" w:cs="Arial"/>
                <w:b/>
                <w:bCs/>
                <w:color w:val="000000"/>
                <w:sz w:val="18"/>
                <w:szCs w:val="22"/>
              </w:rPr>
              <w:t>Expectation</w:t>
            </w:r>
          </w:p>
        </w:tc>
        <w:tc>
          <w:tcPr>
            <w:tcW w:w="8788" w:type="dxa"/>
            <w:tcBorders>
              <w:top w:val="single" w:sz="6" w:space="0" w:color="000000"/>
              <w:left w:val="single" w:sz="6" w:space="0" w:color="000000"/>
              <w:bottom w:val="single" w:sz="6" w:space="0" w:color="000000"/>
              <w:right w:val="single" w:sz="6" w:space="0" w:color="000000"/>
            </w:tcBorders>
          </w:tcPr>
          <w:p w14:paraId="25A7E0D0" w14:textId="77777777" w:rsidR="00786B03" w:rsidRPr="000B615C" w:rsidRDefault="00786B03" w:rsidP="004B1778">
            <w:pPr>
              <w:spacing w:after="60"/>
              <w:rPr>
                <w:rFonts w:ascii="Arial" w:eastAsia="Calibri" w:hAnsi="Arial" w:cs="Arial"/>
                <w:sz w:val="20"/>
              </w:rPr>
            </w:pPr>
            <w:r w:rsidRPr="000B615C">
              <w:rPr>
                <w:rFonts w:ascii="Arial" w:eastAsia="Calibri" w:hAnsi="Arial" w:cs="Arial"/>
                <w:sz w:val="20"/>
              </w:rPr>
              <w:t xml:space="preserve">Improve equity for high risk populations to have CVD risk assessment and  management.. </w:t>
            </w:r>
          </w:p>
          <w:p w14:paraId="34684DF3" w14:textId="77777777" w:rsidR="00786B03" w:rsidRPr="000B615C" w:rsidRDefault="00786B03" w:rsidP="004B1778">
            <w:pPr>
              <w:spacing w:after="60"/>
              <w:rPr>
                <w:rFonts w:ascii="Arial" w:eastAsia="Calibri" w:hAnsi="Arial" w:cs="Arial"/>
                <w:sz w:val="20"/>
              </w:rPr>
            </w:pPr>
            <w:r w:rsidRPr="000B615C">
              <w:rPr>
                <w:rFonts w:ascii="Arial" w:eastAsia="Calibri" w:hAnsi="Arial" w:cs="Arial"/>
                <w:sz w:val="20"/>
              </w:rPr>
              <w:t xml:space="preserve">Improve early risk assessment and risk factor management efforts for people with high and moderate cardiovascular disease risk by supporting the spread of best practice from those producing the best and most equitable health outcomes. </w:t>
            </w:r>
          </w:p>
          <w:p w14:paraId="20833A92" w14:textId="77777777" w:rsidR="00786B03" w:rsidRPr="00874333" w:rsidRDefault="00786B03" w:rsidP="004B1778">
            <w:pPr>
              <w:spacing w:after="60"/>
              <w:rPr>
                <w:rFonts w:ascii="Arial" w:eastAsia="Calibri" w:hAnsi="Arial" w:cs="Arial"/>
                <w:sz w:val="20"/>
              </w:rPr>
            </w:pPr>
            <w:r w:rsidRPr="000B615C">
              <w:rPr>
                <w:rFonts w:ascii="Arial" w:eastAsia="Calibri" w:hAnsi="Arial" w:cs="Arial"/>
                <w:sz w:val="20"/>
              </w:rPr>
              <w:t>Develop a plan to implement, and measure the impact of the guidance published in the “Cardiovascular Disease Risk Assessment and Management for Primary Care” with a focus on appropriate management</w:t>
            </w:r>
            <w:r>
              <w:rPr>
                <w:rFonts w:ascii="Arial" w:eastAsia="Calibri" w:hAnsi="Arial" w:cs="Arial"/>
                <w:sz w:val="20"/>
              </w:rPr>
              <w:t xml:space="preserve"> of the eligible populations aged 74 years and under</w:t>
            </w:r>
            <w:r w:rsidRPr="000B615C">
              <w:rPr>
                <w:rFonts w:ascii="Arial" w:eastAsia="Calibri" w:hAnsi="Arial" w:cs="Arial"/>
                <w:sz w:val="20"/>
              </w:rPr>
              <w:t>.</w:t>
            </w:r>
          </w:p>
        </w:tc>
      </w:tr>
      <w:tr w:rsidR="00786B03" w:rsidRPr="000A54FC" w14:paraId="1A73ABA6" w14:textId="77777777" w:rsidTr="004B1778">
        <w:trPr>
          <w:trHeight w:val="190"/>
        </w:trPr>
        <w:tc>
          <w:tcPr>
            <w:tcW w:w="1561" w:type="dxa"/>
            <w:tcBorders>
              <w:top w:val="single" w:sz="6" w:space="0" w:color="000000"/>
              <w:left w:val="single" w:sz="6" w:space="0" w:color="000000"/>
              <w:bottom w:val="single" w:sz="6" w:space="0" w:color="000000"/>
              <w:right w:val="single" w:sz="6" w:space="0" w:color="000000"/>
            </w:tcBorders>
          </w:tcPr>
          <w:p w14:paraId="4B069F25" w14:textId="77777777" w:rsidR="00786B03" w:rsidRPr="00B652D6" w:rsidRDefault="00786B03" w:rsidP="004B1778">
            <w:pPr>
              <w:spacing w:after="60"/>
              <w:jc w:val="both"/>
              <w:rPr>
                <w:rFonts w:ascii="Arial" w:eastAsia="Calibri" w:hAnsi="Arial" w:cs="Arial"/>
                <w:b/>
                <w:bCs/>
                <w:color w:val="000000"/>
                <w:sz w:val="18"/>
                <w:szCs w:val="22"/>
              </w:rPr>
            </w:pPr>
            <w:r w:rsidRPr="00B652D6">
              <w:rPr>
                <w:rFonts w:ascii="Arial" w:eastAsia="Calibri" w:hAnsi="Arial" w:cs="Arial"/>
                <w:b/>
                <w:bCs/>
                <w:color w:val="000000"/>
                <w:sz w:val="18"/>
                <w:szCs w:val="22"/>
              </w:rPr>
              <w:t>Deliverables</w:t>
            </w:r>
          </w:p>
        </w:tc>
        <w:tc>
          <w:tcPr>
            <w:tcW w:w="8788" w:type="dxa"/>
            <w:tcBorders>
              <w:top w:val="single" w:sz="6" w:space="0" w:color="000000"/>
              <w:left w:val="single" w:sz="6" w:space="0" w:color="000000"/>
              <w:bottom w:val="single" w:sz="6" w:space="0" w:color="000000"/>
              <w:right w:val="single" w:sz="6" w:space="0" w:color="000000"/>
            </w:tcBorders>
          </w:tcPr>
          <w:p w14:paraId="5814364A" w14:textId="77777777" w:rsidR="00786B03" w:rsidRPr="0065103C" w:rsidRDefault="00786B03" w:rsidP="004B1778">
            <w:pPr>
              <w:spacing w:after="60"/>
              <w:rPr>
                <w:rFonts w:ascii="Arial" w:eastAsia="Calibri" w:hAnsi="Arial" w:cs="Arial"/>
                <w:sz w:val="20"/>
                <w:szCs w:val="20"/>
              </w:rPr>
            </w:pPr>
            <w:r>
              <w:rPr>
                <w:rFonts w:ascii="Arial" w:eastAsia="Calibri" w:hAnsi="Arial" w:cs="Arial"/>
                <w:sz w:val="20"/>
                <w:szCs w:val="20"/>
              </w:rPr>
              <w:t>Once data is available, r</w:t>
            </w:r>
            <w:r w:rsidRPr="0065103C">
              <w:rPr>
                <w:rFonts w:ascii="Arial" w:eastAsia="Calibri" w:hAnsi="Arial" w:cs="Arial"/>
                <w:sz w:val="20"/>
                <w:szCs w:val="20"/>
              </w:rPr>
              <w:t>eport results against the detailed CVD measures when they are published on the Ministry of Health website.</w:t>
            </w:r>
          </w:p>
        </w:tc>
      </w:tr>
      <w:tr w:rsidR="00786B03" w:rsidRPr="000A54FC" w14:paraId="697B7B7B" w14:textId="77777777" w:rsidTr="004B1778">
        <w:trPr>
          <w:trHeight w:val="190"/>
        </w:trPr>
        <w:tc>
          <w:tcPr>
            <w:tcW w:w="1561" w:type="dxa"/>
            <w:tcBorders>
              <w:top w:val="single" w:sz="6" w:space="0" w:color="000000"/>
              <w:left w:val="single" w:sz="6" w:space="0" w:color="000000"/>
              <w:bottom w:val="single" w:sz="6" w:space="0" w:color="000000"/>
              <w:right w:val="single" w:sz="6" w:space="0" w:color="000000"/>
            </w:tcBorders>
          </w:tcPr>
          <w:p w14:paraId="628CAEF5" w14:textId="77777777" w:rsidR="00786B03" w:rsidRPr="00B652D6" w:rsidRDefault="00786B03" w:rsidP="004B1778">
            <w:pPr>
              <w:spacing w:after="60"/>
              <w:jc w:val="both"/>
              <w:rPr>
                <w:rFonts w:ascii="Arial" w:eastAsia="Calibri" w:hAnsi="Arial" w:cs="Arial"/>
                <w:b/>
                <w:bCs/>
                <w:color w:val="000000"/>
                <w:sz w:val="18"/>
                <w:szCs w:val="22"/>
              </w:rPr>
            </w:pPr>
            <w:r w:rsidRPr="00B652D6">
              <w:rPr>
                <w:rFonts w:ascii="Arial" w:eastAsia="Calibri" w:hAnsi="Arial" w:cs="Arial"/>
                <w:b/>
                <w:bCs/>
                <w:color w:val="000000"/>
                <w:sz w:val="18"/>
                <w:szCs w:val="22"/>
              </w:rPr>
              <w:t>Data source</w:t>
            </w:r>
          </w:p>
        </w:tc>
        <w:tc>
          <w:tcPr>
            <w:tcW w:w="8788" w:type="dxa"/>
            <w:tcBorders>
              <w:top w:val="single" w:sz="6" w:space="0" w:color="000000"/>
              <w:left w:val="single" w:sz="6" w:space="0" w:color="000000"/>
              <w:bottom w:val="single" w:sz="6" w:space="0" w:color="000000"/>
              <w:right w:val="single" w:sz="6" w:space="0" w:color="000000"/>
            </w:tcBorders>
          </w:tcPr>
          <w:p w14:paraId="4A20DAEC" w14:textId="77777777" w:rsidR="00786B03" w:rsidRPr="0065103C" w:rsidRDefault="00786B03" w:rsidP="004B1778">
            <w:pPr>
              <w:spacing w:after="60"/>
              <w:rPr>
                <w:rFonts w:ascii="Arial" w:eastAsia="Calibri" w:hAnsi="Arial" w:cs="Arial"/>
                <w:sz w:val="20"/>
                <w:szCs w:val="20"/>
              </w:rPr>
            </w:pPr>
            <w:r w:rsidRPr="0065103C">
              <w:rPr>
                <w:rFonts w:ascii="Arial" w:eastAsia="Calibri" w:hAnsi="Arial" w:cs="Arial"/>
                <w:sz w:val="20"/>
                <w:szCs w:val="20"/>
              </w:rPr>
              <w:t>MOH or DHBs to provide</w:t>
            </w:r>
          </w:p>
        </w:tc>
      </w:tr>
      <w:tr w:rsidR="00786B03" w:rsidRPr="000A54FC" w14:paraId="2591BB8E" w14:textId="77777777" w:rsidTr="004B1778">
        <w:trPr>
          <w:trHeight w:val="190"/>
        </w:trPr>
        <w:tc>
          <w:tcPr>
            <w:tcW w:w="1561" w:type="dxa"/>
            <w:tcBorders>
              <w:top w:val="single" w:sz="6" w:space="0" w:color="000000"/>
              <w:left w:val="single" w:sz="6" w:space="0" w:color="000000"/>
              <w:bottom w:val="single" w:sz="6" w:space="0" w:color="000000"/>
              <w:right w:val="single" w:sz="6" w:space="0" w:color="000000"/>
            </w:tcBorders>
            <w:shd w:val="clear" w:color="auto" w:fill="auto"/>
          </w:tcPr>
          <w:p w14:paraId="413CFF2A" w14:textId="77777777" w:rsidR="00786B03" w:rsidRPr="00B652D6" w:rsidRDefault="00786B03" w:rsidP="004B1778">
            <w:pPr>
              <w:spacing w:after="60"/>
              <w:rPr>
                <w:rFonts w:ascii="Arial" w:eastAsia="Calibri" w:hAnsi="Arial" w:cs="Arial"/>
                <w:b/>
                <w:bCs/>
                <w:color w:val="000000"/>
                <w:sz w:val="18"/>
                <w:szCs w:val="22"/>
              </w:rPr>
            </w:pPr>
            <w:r w:rsidRPr="00B652D6">
              <w:rPr>
                <w:rFonts w:ascii="Arial" w:eastAsia="Calibri" w:hAnsi="Arial" w:cs="Arial"/>
                <w:b/>
                <w:bCs/>
                <w:color w:val="000000"/>
                <w:sz w:val="18"/>
                <w:szCs w:val="22"/>
              </w:rPr>
              <w:t>Commentary to be provided</w:t>
            </w:r>
          </w:p>
        </w:tc>
        <w:tc>
          <w:tcPr>
            <w:tcW w:w="8788" w:type="dxa"/>
            <w:tcBorders>
              <w:top w:val="single" w:sz="6" w:space="0" w:color="000000"/>
              <w:left w:val="single" w:sz="6" w:space="0" w:color="000000"/>
              <w:bottom w:val="single" w:sz="6" w:space="0" w:color="000000"/>
              <w:right w:val="single" w:sz="6" w:space="0" w:color="000000"/>
            </w:tcBorders>
            <w:shd w:val="clear" w:color="auto" w:fill="auto"/>
          </w:tcPr>
          <w:p w14:paraId="5C15D429" w14:textId="77777777" w:rsidR="00786B03" w:rsidRPr="0065103C" w:rsidRDefault="00786B03" w:rsidP="004B1778">
            <w:pPr>
              <w:spacing w:after="60"/>
              <w:rPr>
                <w:rFonts w:ascii="Arial" w:eastAsia="Calibri" w:hAnsi="Arial" w:cs="Arial"/>
                <w:sz w:val="20"/>
                <w:szCs w:val="20"/>
              </w:rPr>
            </w:pPr>
            <w:r w:rsidRPr="0065103C">
              <w:rPr>
                <w:rFonts w:ascii="Arial" w:eastAsia="Calibri" w:hAnsi="Arial" w:cs="Arial"/>
                <w:sz w:val="20"/>
                <w:szCs w:val="20"/>
              </w:rPr>
              <w:t>Specific Quarterly Reporting:</w:t>
            </w:r>
          </w:p>
          <w:p w14:paraId="4C7903EF" w14:textId="77777777" w:rsidR="00786B03" w:rsidRPr="0065103C" w:rsidRDefault="00786B03" w:rsidP="004B1778">
            <w:pPr>
              <w:spacing w:after="60"/>
              <w:rPr>
                <w:rFonts w:ascii="Arial" w:eastAsia="Calibri" w:hAnsi="Arial" w:cs="Arial"/>
                <w:sz w:val="20"/>
                <w:szCs w:val="20"/>
              </w:rPr>
            </w:pPr>
            <w:r w:rsidRPr="0065103C">
              <w:rPr>
                <w:rFonts w:ascii="Arial" w:eastAsia="Calibri" w:hAnsi="Arial" w:cs="Arial"/>
                <w:sz w:val="20"/>
                <w:szCs w:val="20"/>
              </w:rPr>
              <w:t xml:space="preserve">Quarters 1,2,3 and 4, as required. A template will be uploaded on the Quarterly Reporting portal </w:t>
            </w:r>
            <w:r>
              <w:rPr>
                <w:rFonts w:ascii="Arial" w:eastAsia="Calibri" w:hAnsi="Arial" w:cs="Arial"/>
                <w:sz w:val="20"/>
                <w:szCs w:val="20"/>
              </w:rPr>
              <w:t xml:space="preserve">to be used </w:t>
            </w:r>
            <w:r w:rsidRPr="0065103C">
              <w:rPr>
                <w:rFonts w:ascii="Arial" w:eastAsia="Calibri" w:hAnsi="Arial" w:cs="Arial"/>
                <w:sz w:val="20"/>
                <w:szCs w:val="20"/>
              </w:rPr>
              <w:t>if required</w:t>
            </w:r>
            <w:r>
              <w:rPr>
                <w:rFonts w:ascii="Arial" w:eastAsia="Calibri" w:hAnsi="Arial" w:cs="Arial"/>
                <w:sz w:val="20"/>
                <w:szCs w:val="20"/>
              </w:rPr>
              <w:t xml:space="preserve">. </w:t>
            </w:r>
            <w:r w:rsidRPr="0065103C">
              <w:rPr>
                <w:rFonts w:ascii="Arial" w:eastAsia="Calibri" w:hAnsi="Arial" w:cs="Arial"/>
                <w:sz w:val="20"/>
                <w:szCs w:val="20"/>
              </w:rPr>
              <w:t xml:space="preserve"> </w:t>
            </w:r>
            <w:r>
              <w:rPr>
                <w:rFonts w:ascii="Arial" w:eastAsia="Calibri" w:hAnsi="Arial" w:cs="Arial"/>
                <w:sz w:val="20"/>
                <w:szCs w:val="20"/>
              </w:rPr>
              <w:t>R</w:t>
            </w:r>
            <w:r w:rsidRPr="0065103C">
              <w:rPr>
                <w:rFonts w:ascii="Arial" w:eastAsia="Calibri" w:hAnsi="Arial" w:cs="Arial"/>
                <w:sz w:val="20"/>
                <w:szCs w:val="20"/>
              </w:rPr>
              <w:t>eport results against any identified and published national indicators, any local indicators/measures, and provide a narrative about:</w:t>
            </w:r>
          </w:p>
          <w:p w14:paraId="5998B5E6" w14:textId="77777777" w:rsidR="00786B03" w:rsidRPr="0065103C" w:rsidRDefault="00786B03" w:rsidP="00C04FF1">
            <w:pPr>
              <w:pStyle w:val="ListParagraph"/>
              <w:numPr>
                <w:ilvl w:val="0"/>
                <w:numId w:val="87"/>
              </w:numPr>
              <w:ind w:left="360"/>
              <w:jc w:val="both"/>
              <w:rPr>
                <w:rFonts w:ascii="Arial" w:eastAsia="Calibri" w:hAnsi="Arial" w:cs="Arial"/>
                <w:sz w:val="20"/>
                <w:szCs w:val="20"/>
                <w:lang w:eastAsia="en-GB"/>
              </w:rPr>
            </w:pPr>
            <w:r w:rsidRPr="0065103C">
              <w:rPr>
                <w:rFonts w:ascii="Arial" w:eastAsia="Calibri" w:hAnsi="Arial" w:cs="Arial"/>
                <w:sz w:val="20"/>
                <w:szCs w:val="20"/>
                <w:lang w:eastAsia="en-GB"/>
              </w:rPr>
              <w:t>Identified priority populations</w:t>
            </w:r>
          </w:p>
          <w:p w14:paraId="52871CBC" w14:textId="77777777" w:rsidR="00786B03" w:rsidRPr="0065103C" w:rsidRDefault="00786B03" w:rsidP="00C04FF1">
            <w:pPr>
              <w:pStyle w:val="ListParagraph"/>
              <w:numPr>
                <w:ilvl w:val="0"/>
                <w:numId w:val="87"/>
              </w:numPr>
              <w:ind w:left="360"/>
              <w:jc w:val="both"/>
              <w:rPr>
                <w:rFonts w:ascii="Arial" w:eastAsia="Calibri" w:hAnsi="Arial" w:cs="Arial"/>
                <w:sz w:val="20"/>
                <w:szCs w:val="20"/>
                <w:lang w:eastAsia="en-GB"/>
              </w:rPr>
            </w:pPr>
            <w:r w:rsidRPr="0065103C">
              <w:rPr>
                <w:rFonts w:ascii="Arial" w:eastAsia="Calibri" w:hAnsi="Arial" w:cs="Arial"/>
                <w:sz w:val="20"/>
                <w:szCs w:val="20"/>
                <w:lang w:eastAsia="en-GB"/>
              </w:rPr>
              <w:t>Mechanisms being used to reach/target these priority populations</w:t>
            </w:r>
          </w:p>
          <w:p w14:paraId="24662C85" w14:textId="77777777" w:rsidR="00786B03" w:rsidRPr="0065103C" w:rsidRDefault="00786B03" w:rsidP="00C04FF1">
            <w:pPr>
              <w:pStyle w:val="ListParagraph"/>
              <w:numPr>
                <w:ilvl w:val="0"/>
                <w:numId w:val="87"/>
              </w:numPr>
              <w:ind w:left="360"/>
              <w:jc w:val="both"/>
              <w:rPr>
                <w:rFonts w:ascii="Arial" w:eastAsia="Calibri" w:hAnsi="Arial" w:cs="Arial"/>
                <w:sz w:val="20"/>
                <w:szCs w:val="20"/>
                <w:lang w:eastAsia="en-GB"/>
              </w:rPr>
            </w:pPr>
            <w:r w:rsidRPr="0065103C">
              <w:rPr>
                <w:rFonts w:ascii="Arial" w:eastAsia="Calibri" w:hAnsi="Arial" w:cs="Arial"/>
                <w:sz w:val="20"/>
                <w:szCs w:val="20"/>
                <w:lang w:eastAsia="en-GB"/>
              </w:rPr>
              <w:t>Models of care implemented to support risk factor management</w:t>
            </w:r>
          </w:p>
          <w:p w14:paraId="7EC6A415" w14:textId="77777777" w:rsidR="00786B03" w:rsidRPr="0065103C" w:rsidRDefault="00786B03" w:rsidP="00C04FF1">
            <w:pPr>
              <w:pStyle w:val="ListParagraph"/>
              <w:numPr>
                <w:ilvl w:val="0"/>
                <w:numId w:val="87"/>
              </w:numPr>
              <w:ind w:left="360"/>
              <w:jc w:val="both"/>
              <w:rPr>
                <w:rFonts w:ascii="Arial" w:eastAsia="Calibri" w:hAnsi="Arial" w:cs="Arial"/>
                <w:sz w:val="20"/>
                <w:szCs w:val="20"/>
                <w:lang w:eastAsia="en-GB"/>
              </w:rPr>
            </w:pPr>
            <w:r w:rsidRPr="0065103C">
              <w:rPr>
                <w:rFonts w:ascii="Arial" w:eastAsia="Calibri" w:hAnsi="Arial" w:cs="Arial"/>
                <w:sz w:val="20"/>
                <w:szCs w:val="20"/>
                <w:lang w:eastAsia="en-GB"/>
              </w:rPr>
              <w:t xml:space="preserve">IT tools in use to undertake CVD risk assessment and guide management.    </w:t>
            </w:r>
          </w:p>
        </w:tc>
      </w:tr>
    </w:tbl>
    <w:p w14:paraId="62D50F39" w14:textId="77777777" w:rsidR="00786B03" w:rsidRPr="000A54FC" w:rsidRDefault="00786B03" w:rsidP="00786B03">
      <w:pPr>
        <w:spacing w:before="120" w:after="120" w:line="276" w:lineRule="auto"/>
        <w:rPr>
          <w:rFonts w:ascii="Arial" w:hAnsi="Arial" w:cs="Arial"/>
          <w:sz w:val="22"/>
          <w:szCs w:val="22"/>
          <w:lang w:eastAsia="en-NZ"/>
        </w:rPr>
      </w:pPr>
    </w:p>
    <w:tbl>
      <w:tblPr>
        <w:tblW w:w="10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17"/>
        <w:gridCol w:w="8473"/>
      </w:tblGrid>
      <w:tr w:rsidR="00786B03" w:rsidRPr="0065103C" w14:paraId="2A3DB27D" w14:textId="77777777" w:rsidTr="004B1778">
        <w:trPr>
          <w:trHeight w:val="239"/>
        </w:trPr>
        <w:tc>
          <w:tcPr>
            <w:tcW w:w="1617" w:type="dxa"/>
            <w:tcBorders>
              <w:top w:val="single" w:sz="6" w:space="0" w:color="000000"/>
              <w:left w:val="single" w:sz="6" w:space="0" w:color="000000"/>
              <w:bottom w:val="single" w:sz="6" w:space="0" w:color="000000"/>
              <w:right w:val="single" w:sz="6" w:space="0" w:color="000000"/>
            </w:tcBorders>
            <w:shd w:val="clear" w:color="auto" w:fill="C0C0C0"/>
            <w:hideMark/>
          </w:tcPr>
          <w:p w14:paraId="22B5F957" w14:textId="77777777" w:rsidR="00786B03" w:rsidRPr="0065103C" w:rsidRDefault="00786B03" w:rsidP="004B1778">
            <w:pPr>
              <w:jc w:val="both"/>
              <w:rPr>
                <w:rFonts w:ascii="Arial" w:eastAsia="Calibri" w:hAnsi="Arial" w:cs="Arial"/>
                <w:b/>
                <w:sz w:val="20"/>
                <w:szCs w:val="20"/>
                <w:lang w:val="en-GB"/>
              </w:rPr>
            </w:pPr>
            <w:r w:rsidRPr="0065103C">
              <w:rPr>
                <w:rFonts w:ascii="Arial" w:eastAsia="Calibri" w:hAnsi="Arial" w:cs="Arial"/>
                <w:sz w:val="20"/>
                <w:szCs w:val="20"/>
              </w:rPr>
              <w:br w:type="page"/>
            </w:r>
            <w:r w:rsidRPr="0065103C">
              <w:rPr>
                <w:rFonts w:ascii="Arial" w:eastAsia="Calibri" w:hAnsi="Arial" w:cs="Arial"/>
                <w:b/>
                <w:sz w:val="20"/>
                <w:szCs w:val="20"/>
                <w:lang w:val="en-GB"/>
              </w:rPr>
              <w:t>Focus Area 4</w:t>
            </w:r>
          </w:p>
        </w:tc>
        <w:tc>
          <w:tcPr>
            <w:tcW w:w="8473" w:type="dxa"/>
            <w:tcBorders>
              <w:top w:val="single" w:sz="6" w:space="0" w:color="000000"/>
              <w:left w:val="single" w:sz="6" w:space="0" w:color="000000"/>
              <w:bottom w:val="single" w:sz="6" w:space="0" w:color="000000"/>
              <w:right w:val="single" w:sz="6" w:space="0" w:color="000000"/>
            </w:tcBorders>
            <w:shd w:val="clear" w:color="auto" w:fill="C0C0C0"/>
            <w:hideMark/>
          </w:tcPr>
          <w:p w14:paraId="3A2B4D35"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b/>
                <w:sz w:val="20"/>
                <w:szCs w:val="20"/>
              </w:rPr>
              <w:t xml:space="preserve">Acute heart service </w:t>
            </w:r>
          </w:p>
        </w:tc>
      </w:tr>
      <w:tr w:rsidR="00786B03" w:rsidRPr="0065103C" w14:paraId="234F306C" w14:textId="77777777" w:rsidTr="004B1778">
        <w:tc>
          <w:tcPr>
            <w:tcW w:w="1617" w:type="dxa"/>
            <w:tcBorders>
              <w:top w:val="single" w:sz="6" w:space="0" w:color="000000"/>
              <w:left w:val="single" w:sz="6" w:space="0" w:color="000000"/>
              <w:bottom w:val="single" w:sz="6" w:space="0" w:color="000000"/>
              <w:right w:val="single" w:sz="6" w:space="0" w:color="000000"/>
            </w:tcBorders>
            <w:hideMark/>
          </w:tcPr>
          <w:p w14:paraId="1BF51CC9" w14:textId="77777777" w:rsidR="00786B03" w:rsidRPr="0065103C" w:rsidRDefault="00786B03" w:rsidP="004B1778">
            <w:pPr>
              <w:jc w:val="both"/>
              <w:rPr>
                <w:rFonts w:ascii="Arial" w:eastAsia="Calibri" w:hAnsi="Arial" w:cs="Arial"/>
                <w:b/>
                <w:sz w:val="20"/>
                <w:szCs w:val="20"/>
                <w:lang w:val="en-GB"/>
              </w:rPr>
            </w:pPr>
            <w:r w:rsidRPr="0065103C">
              <w:rPr>
                <w:rFonts w:ascii="Arial" w:eastAsia="Calibri" w:hAnsi="Arial" w:cs="Arial"/>
                <w:b/>
                <w:sz w:val="20"/>
                <w:szCs w:val="20"/>
                <w:lang w:val="en-GB"/>
              </w:rPr>
              <w:t xml:space="preserve">Expectation </w:t>
            </w:r>
          </w:p>
        </w:tc>
        <w:tc>
          <w:tcPr>
            <w:tcW w:w="8473" w:type="dxa"/>
            <w:tcBorders>
              <w:top w:val="single" w:sz="6" w:space="0" w:color="000000"/>
              <w:left w:val="single" w:sz="6" w:space="0" w:color="000000"/>
              <w:bottom w:val="single" w:sz="6" w:space="0" w:color="000000"/>
              <w:right w:val="single" w:sz="6" w:space="0" w:color="000000"/>
            </w:tcBorders>
            <w:hideMark/>
          </w:tcPr>
          <w:p w14:paraId="255E076A" w14:textId="77777777" w:rsidR="00786B03" w:rsidRPr="0065103C" w:rsidRDefault="00786B03" w:rsidP="004B1778">
            <w:pPr>
              <w:jc w:val="both"/>
              <w:rPr>
                <w:rFonts w:ascii="Arial" w:eastAsia="Calibri" w:hAnsi="Arial" w:cs="Arial"/>
                <w:sz w:val="20"/>
                <w:szCs w:val="20"/>
                <w:lang w:val="en-GB"/>
              </w:rPr>
            </w:pPr>
            <w:r w:rsidRPr="0065103C">
              <w:rPr>
                <w:rFonts w:ascii="Arial" w:eastAsia="Calibri" w:hAnsi="Arial" w:cs="Arial"/>
                <w:sz w:val="20"/>
                <w:szCs w:val="20"/>
                <w:lang w:val="en-GB"/>
              </w:rPr>
              <w:t>To provide a nationally consistent reporting framework, all regions are required to report agreed indicators from ANZACS-QI and progress towards achieving deliverables for acute heart services identified in annual plans.</w:t>
            </w:r>
          </w:p>
        </w:tc>
      </w:tr>
      <w:tr w:rsidR="00786B03" w:rsidRPr="0065103C" w14:paraId="3A392694" w14:textId="77777777" w:rsidTr="004B1778">
        <w:trPr>
          <w:trHeight w:val="462"/>
        </w:trPr>
        <w:tc>
          <w:tcPr>
            <w:tcW w:w="1617" w:type="dxa"/>
            <w:tcBorders>
              <w:top w:val="single" w:sz="6" w:space="0" w:color="000000"/>
              <w:left w:val="single" w:sz="6" w:space="0" w:color="000000"/>
              <w:bottom w:val="single" w:sz="6" w:space="0" w:color="000000"/>
              <w:right w:val="single" w:sz="6" w:space="0" w:color="000000"/>
            </w:tcBorders>
            <w:hideMark/>
          </w:tcPr>
          <w:p w14:paraId="30015A94" w14:textId="77777777" w:rsidR="00786B03" w:rsidRPr="0065103C" w:rsidRDefault="00786B03" w:rsidP="004B1778">
            <w:pPr>
              <w:jc w:val="both"/>
              <w:rPr>
                <w:rFonts w:ascii="Arial" w:eastAsia="Calibri" w:hAnsi="Arial" w:cs="Arial"/>
                <w:b/>
                <w:sz w:val="20"/>
                <w:szCs w:val="20"/>
                <w:lang w:val="en-GB"/>
              </w:rPr>
            </w:pPr>
            <w:r w:rsidRPr="0065103C">
              <w:rPr>
                <w:rFonts w:ascii="Arial" w:eastAsia="Calibri" w:hAnsi="Arial" w:cs="Arial"/>
                <w:b/>
                <w:sz w:val="20"/>
                <w:szCs w:val="20"/>
                <w:lang w:val="en-GB"/>
              </w:rPr>
              <w:t>Deliverable:</w:t>
            </w:r>
          </w:p>
        </w:tc>
        <w:tc>
          <w:tcPr>
            <w:tcW w:w="8473" w:type="dxa"/>
            <w:tcBorders>
              <w:top w:val="single" w:sz="6" w:space="0" w:color="000000"/>
              <w:left w:val="single" w:sz="6" w:space="0" w:color="000000"/>
              <w:bottom w:val="single" w:sz="6" w:space="0" w:color="000000"/>
              <w:right w:val="single" w:sz="6" w:space="0" w:color="000000"/>
            </w:tcBorders>
          </w:tcPr>
          <w:p w14:paraId="3EFCB436" w14:textId="77777777" w:rsidR="00786B03" w:rsidRPr="0065103C" w:rsidRDefault="00786B03" w:rsidP="004B1778">
            <w:pPr>
              <w:spacing w:after="120"/>
              <w:jc w:val="both"/>
              <w:rPr>
                <w:rFonts w:ascii="Arial" w:eastAsia="Calibri" w:hAnsi="Arial" w:cs="Arial"/>
                <w:sz w:val="20"/>
                <w:szCs w:val="20"/>
              </w:rPr>
            </w:pPr>
            <w:r w:rsidRPr="0065103C">
              <w:rPr>
                <w:rFonts w:ascii="Arial" w:eastAsia="Calibri" w:hAnsi="Arial" w:cs="Arial"/>
                <w:sz w:val="20"/>
                <w:szCs w:val="20"/>
              </w:rPr>
              <w:t>Current agreed indicators are:</w:t>
            </w:r>
          </w:p>
          <w:p w14:paraId="7F9A4A4A" w14:textId="77777777" w:rsidR="00786B03" w:rsidRPr="0065103C" w:rsidRDefault="00786B03" w:rsidP="004B1778">
            <w:pPr>
              <w:spacing w:after="120"/>
              <w:rPr>
                <w:rFonts w:ascii="Arial" w:hAnsi="Arial" w:cs="Arial"/>
                <w:b/>
                <w:bCs/>
                <w:sz w:val="20"/>
                <w:szCs w:val="20"/>
                <w:lang w:val="en-US"/>
              </w:rPr>
            </w:pPr>
            <w:r w:rsidRPr="0065103C">
              <w:rPr>
                <w:rFonts w:ascii="Arial" w:hAnsi="Arial" w:cs="Arial"/>
                <w:b/>
                <w:sz w:val="20"/>
                <w:szCs w:val="20"/>
              </w:rPr>
              <w:t xml:space="preserve">Indicator 1: </w:t>
            </w:r>
            <w:r w:rsidRPr="0065103C">
              <w:rPr>
                <w:rFonts w:ascii="Arial" w:hAnsi="Arial" w:cs="Arial"/>
                <w:b/>
                <w:bCs/>
                <w:sz w:val="20"/>
                <w:szCs w:val="20"/>
                <w:lang w:val="en-US"/>
              </w:rPr>
              <w:t xml:space="preserve">Door to </w:t>
            </w:r>
            <w:proofErr w:type="spellStart"/>
            <w:r w:rsidRPr="0065103C">
              <w:rPr>
                <w:rFonts w:ascii="Arial" w:hAnsi="Arial" w:cs="Arial"/>
                <w:b/>
                <w:bCs/>
                <w:sz w:val="20"/>
                <w:szCs w:val="20"/>
                <w:lang w:val="en-US"/>
              </w:rPr>
              <w:t>cath</w:t>
            </w:r>
            <w:proofErr w:type="spellEnd"/>
            <w:r w:rsidRPr="0065103C">
              <w:rPr>
                <w:rFonts w:ascii="Arial" w:hAnsi="Arial" w:cs="Arial"/>
                <w:b/>
                <w:bCs/>
                <w:sz w:val="20"/>
                <w:szCs w:val="20"/>
                <w:lang w:val="en-US"/>
              </w:rPr>
              <w:t xml:space="preserve"> </w:t>
            </w:r>
            <w:r w:rsidRPr="0065103C">
              <w:rPr>
                <w:rFonts w:ascii="Arial" w:hAnsi="Arial" w:cs="Arial"/>
                <w:bCs/>
                <w:sz w:val="20"/>
                <w:szCs w:val="20"/>
                <w:lang w:val="en-US"/>
              </w:rPr>
              <w:t xml:space="preserve">- Door to </w:t>
            </w:r>
            <w:proofErr w:type="spellStart"/>
            <w:r w:rsidRPr="0065103C">
              <w:rPr>
                <w:rFonts w:ascii="Arial" w:hAnsi="Arial" w:cs="Arial"/>
                <w:bCs/>
                <w:sz w:val="20"/>
                <w:szCs w:val="20"/>
                <w:lang w:val="en-US"/>
              </w:rPr>
              <w:t>cath</w:t>
            </w:r>
            <w:proofErr w:type="spellEnd"/>
            <w:r w:rsidRPr="0065103C">
              <w:rPr>
                <w:rFonts w:ascii="Arial" w:hAnsi="Arial" w:cs="Arial"/>
                <w:bCs/>
                <w:sz w:val="20"/>
                <w:szCs w:val="20"/>
                <w:lang w:val="en-US"/>
              </w:rPr>
              <w:t xml:space="preserve"> within 3 days for ≥70% of ACS patients undergoing coronary angiogram</w:t>
            </w:r>
            <w:r w:rsidRPr="0065103C">
              <w:rPr>
                <w:rFonts w:ascii="Arial" w:hAnsi="Arial" w:cs="Arial"/>
                <w:b/>
                <w:bCs/>
                <w:sz w:val="20"/>
                <w:szCs w:val="20"/>
                <w:lang w:val="en-US"/>
              </w:rPr>
              <w:t>.</w:t>
            </w:r>
          </w:p>
          <w:p w14:paraId="5D20EE72" w14:textId="77777777" w:rsidR="00786B03" w:rsidRPr="0065103C" w:rsidRDefault="00786B03" w:rsidP="004B1778">
            <w:pPr>
              <w:spacing w:after="120"/>
              <w:rPr>
                <w:rFonts w:ascii="Arial" w:hAnsi="Arial" w:cs="Arial"/>
                <w:bCs/>
                <w:iCs/>
                <w:sz w:val="20"/>
                <w:szCs w:val="20"/>
              </w:rPr>
            </w:pPr>
            <w:r w:rsidRPr="0065103C">
              <w:rPr>
                <w:rFonts w:ascii="Arial" w:hAnsi="Arial" w:cs="Arial"/>
                <w:b/>
                <w:bCs/>
                <w:sz w:val="20"/>
                <w:szCs w:val="20"/>
              </w:rPr>
              <w:t xml:space="preserve">Indicator 2a: Registry completion- </w:t>
            </w:r>
            <w:r w:rsidRPr="0065103C">
              <w:rPr>
                <w:rFonts w:ascii="Arial" w:hAnsi="Arial" w:cs="Arial"/>
                <w:bCs/>
                <w:sz w:val="20"/>
                <w:szCs w:val="20"/>
              </w:rPr>
              <w:t xml:space="preserve">≥95% of patients presenting with Acute Coronary Syndrome who undergo coronary angiography have completion of ANZACS QI ACS and Cath/PCI registry data collection within 30 days of discharge </w:t>
            </w:r>
            <w:r w:rsidRPr="0065103C">
              <w:rPr>
                <w:rFonts w:ascii="Arial" w:hAnsi="Arial" w:cs="Arial"/>
                <w:bCs/>
                <w:iCs/>
                <w:sz w:val="20"/>
                <w:szCs w:val="20"/>
              </w:rPr>
              <w:t>and</w:t>
            </w:r>
          </w:p>
          <w:p w14:paraId="5368651A" w14:textId="77777777" w:rsidR="00786B03" w:rsidRPr="0065103C" w:rsidRDefault="00786B03" w:rsidP="004B1778">
            <w:pPr>
              <w:spacing w:after="120"/>
              <w:rPr>
                <w:rFonts w:ascii="Arial" w:hAnsi="Arial" w:cs="Arial"/>
                <w:b/>
                <w:bCs/>
                <w:i/>
                <w:iCs/>
                <w:sz w:val="20"/>
                <w:szCs w:val="20"/>
              </w:rPr>
            </w:pPr>
            <w:r w:rsidRPr="0065103C">
              <w:rPr>
                <w:rFonts w:ascii="Arial" w:hAnsi="Arial" w:cs="Arial"/>
                <w:b/>
                <w:bCs/>
                <w:iCs/>
                <w:sz w:val="20"/>
                <w:szCs w:val="20"/>
              </w:rPr>
              <w:t>Indicator 2b:</w:t>
            </w:r>
            <w:r w:rsidRPr="0065103C">
              <w:rPr>
                <w:rFonts w:ascii="Arial" w:hAnsi="Arial" w:cs="Arial"/>
                <w:bCs/>
                <w:iCs/>
                <w:sz w:val="20"/>
                <w:szCs w:val="20"/>
              </w:rPr>
              <w:t xml:space="preserve">  </w:t>
            </w:r>
            <w:r w:rsidRPr="0065103C">
              <w:rPr>
                <w:rFonts w:ascii="Arial" w:hAnsi="Arial" w:cs="Arial"/>
                <w:bCs/>
                <w:sz w:val="20"/>
                <w:szCs w:val="20"/>
              </w:rPr>
              <w:t xml:space="preserve">≥ </w:t>
            </w:r>
            <w:r w:rsidRPr="0065103C">
              <w:rPr>
                <w:rFonts w:ascii="Arial" w:hAnsi="Arial" w:cs="Arial"/>
                <w:bCs/>
                <w:iCs/>
                <w:sz w:val="20"/>
                <w:szCs w:val="20"/>
              </w:rPr>
              <w:t>99% within 3 months.</w:t>
            </w:r>
          </w:p>
          <w:p w14:paraId="66FB808B" w14:textId="77777777" w:rsidR="00786B03" w:rsidRPr="0065103C" w:rsidRDefault="00786B03" w:rsidP="004B1778">
            <w:pPr>
              <w:spacing w:after="120"/>
              <w:rPr>
                <w:rFonts w:ascii="Arial" w:hAnsi="Arial" w:cs="Arial"/>
                <w:b/>
                <w:bCs/>
                <w:sz w:val="20"/>
                <w:szCs w:val="20"/>
              </w:rPr>
            </w:pPr>
            <w:r w:rsidRPr="0065103C">
              <w:rPr>
                <w:rFonts w:ascii="Arial" w:hAnsi="Arial" w:cs="Arial"/>
                <w:b/>
                <w:bCs/>
                <w:sz w:val="20"/>
                <w:szCs w:val="20"/>
              </w:rPr>
              <w:t xml:space="preserve">Indicator 3: ACS LVEF assessment- </w:t>
            </w:r>
            <w:r w:rsidRPr="0065103C">
              <w:rPr>
                <w:rFonts w:ascii="Arial" w:hAnsi="Arial" w:cs="Arial"/>
                <w:bCs/>
                <w:sz w:val="20"/>
                <w:szCs w:val="20"/>
              </w:rPr>
              <w:t xml:space="preserve">≥85% of ACS patients who undergo coronary angiogram have </w:t>
            </w:r>
            <w:r w:rsidRPr="0065103C">
              <w:rPr>
                <w:rFonts w:ascii="Arial" w:hAnsi="Arial" w:cs="Arial"/>
                <w:bCs/>
                <w:sz w:val="20"/>
                <w:szCs w:val="20"/>
                <w:lang w:val="en-US"/>
              </w:rPr>
              <w:t>pre-discharge assessment of LVEF (</w:t>
            </w:r>
            <w:proofErr w:type="spellStart"/>
            <w:r w:rsidRPr="0065103C">
              <w:rPr>
                <w:rFonts w:ascii="Arial" w:hAnsi="Arial" w:cs="Arial"/>
                <w:bCs/>
                <w:sz w:val="20"/>
                <w:szCs w:val="20"/>
                <w:lang w:val="en-US"/>
              </w:rPr>
              <w:t>ie</w:t>
            </w:r>
            <w:proofErr w:type="spellEnd"/>
            <w:r w:rsidRPr="0065103C">
              <w:rPr>
                <w:rFonts w:ascii="Arial" w:hAnsi="Arial" w:cs="Arial"/>
                <w:bCs/>
                <w:sz w:val="20"/>
                <w:szCs w:val="20"/>
                <w:lang w:val="en-US"/>
              </w:rPr>
              <w:t xml:space="preserve"> have had an echocardiogram or </w:t>
            </w:r>
            <w:proofErr w:type="spellStart"/>
            <w:r w:rsidRPr="0065103C">
              <w:rPr>
                <w:rFonts w:ascii="Arial" w:hAnsi="Arial" w:cs="Arial"/>
                <w:bCs/>
                <w:sz w:val="20"/>
                <w:szCs w:val="20"/>
                <w:lang w:val="en-US"/>
              </w:rPr>
              <w:t>LVgram</w:t>
            </w:r>
            <w:proofErr w:type="spellEnd"/>
            <w:r w:rsidRPr="0065103C">
              <w:rPr>
                <w:rFonts w:ascii="Arial" w:hAnsi="Arial" w:cs="Arial"/>
                <w:bCs/>
                <w:sz w:val="20"/>
                <w:szCs w:val="20"/>
                <w:lang w:val="en-US"/>
              </w:rPr>
              <w:t xml:space="preserve">). </w:t>
            </w:r>
          </w:p>
          <w:p w14:paraId="597F3620" w14:textId="77777777" w:rsidR="00786B03" w:rsidRPr="0065103C" w:rsidRDefault="00786B03" w:rsidP="004B1778">
            <w:pPr>
              <w:spacing w:after="120"/>
              <w:rPr>
                <w:rFonts w:ascii="Arial" w:hAnsi="Arial" w:cs="Arial"/>
                <w:sz w:val="20"/>
                <w:szCs w:val="20"/>
              </w:rPr>
            </w:pPr>
            <w:r w:rsidRPr="0065103C">
              <w:rPr>
                <w:rFonts w:ascii="Arial" w:hAnsi="Arial" w:cs="Arial"/>
                <w:b/>
                <w:bCs/>
                <w:sz w:val="20"/>
                <w:szCs w:val="20"/>
              </w:rPr>
              <w:t>Indicator 4: Composite Post ACS Secondary Prevention Medication Indicator</w:t>
            </w:r>
            <w:r w:rsidRPr="0065103C">
              <w:rPr>
                <w:rFonts w:ascii="Arial" w:hAnsi="Arial" w:cs="Arial"/>
                <w:sz w:val="20"/>
                <w:szCs w:val="20"/>
              </w:rPr>
              <w:t xml:space="preserve"> - in the absence of a documented contraindication/intolerance ≥85% of ACS patients who undergo coronary angiogram should be prescribed, at discharge -   </w:t>
            </w:r>
          </w:p>
          <w:p w14:paraId="004C5D78" w14:textId="77777777" w:rsidR="00786B03" w:rsidRPr="0065103C" w:rsidRDefault="00786B03" w:rsidP="00C04FF1">
            <w:pPr>
              <w:pStyle w:val="ListParagraph"/>
              <w:numPr>
                <w:ilvl w:val="0"/>
                <w:numId w:val="85"/>
              </w:numPr>
              <w:ind w:left="357" w:hanging="357"/>
              <w:contextualSpacing w:val="0"/>
              <w:rPr>
                <w:rFonts w:ascii="Arial" w:hAnsi="Arial" w:cs="Arial"/>
                <w:sz w:val="20"/>
                <w:szCs w:val="20"/>
              </w:rPr>
            </w:pPr>
            <w:r w:rsidRPr="0065103C">
              <w:rPr>
                <w:rFonts w:ascii="Arial" w:hAnsi="Arial" w:cs="Arial"/>
                <w:sz w:val="20"/>
                <w:szCs w:val="20"/>
              </w:rPr>
              <w:t>Aspirin*, a 2nd anti-platelet agent*, and an statin (3 classes)</w:t>
            </w:r>
          </w:p>
          <w:p w14:paraId="0CAA7108" w14:textId="77777777" w:rsidR="00786B03" w:rsidRPr="0065103C" w:rsidRDefault="00786B03" w:rsidP="00C04FF1">
            <w:pPr>
              <w:pStyle w:val="ListParagraph"/>
              <w:numPr>
                <w:ilvl w:val="0"/>
                <w:numId w:val="85"/>
              </w:numPr>
              <w:ind w:left="357" w:hanging="357"/>
              <w:contextualSpacing w:val="0"/>
              <w:rPr>
                <w:rFonts w:ascii="Arial" w:hAnsi="Arial" w:cs="Arial"/>
                <w:sz w:val="20"/>
                <w:szCs w:val="20"/>
              </w:rPr>
            </w:pPr>
            <w:r w:rsidRPr="0065103C">
              <w:rPr>
                <w:rFonts w:ascii="Arial" w:hAnsi="Arial" w:cs="Arial"/>
                <w:sz w:val="20"/>
                <w:szCs w:val="20"/>
              </w:rPr>
              <w:t>ACEI/ARB if any of the following – LVEF ,50%, DM, HT, in-hospital HF (Killip Class II to IV) (4 classes),</w:t>
            </w:r>
          </w:p>
          <w:p w14:paraId="01BEE860" w14:textId="77777777" w:rsidR="00786B03" w:rsidRPr="0065103C" w:rsidRDefault="00786B03" w:rsidP="00C04FF1">
            <w:pPr>
              <w:pStyle w:val="ListParagraph"/>
              <w:numPr>
                <w:ilvl w:val="0"/>
                <w:numId w:val="85"/>
              </w:numPr>
              <w:ind w:left="357" w:hanging="357"/>
              <w:contextualSpacing w:val="0"/>
              <w:rPr>
                <w:rFonts w:ascii="Arial" w:hAnsi="Arial" w:cs="Arial"/>
                <w:sz w:val="20"/>
                <w:szCs w:val="20"/>
              </w:rPr>
            </w:pPr>
            <w:r w:rsidRPr="0065103C">
              <w:rPr>
                <w:rFonts w:ascii="Arial" w:hAnsi="Arial" w:cs="Arial"/>
                <w:sz w:val="20"/>
                <w:szCs w:val="20"/>
              </w:rPr>
              <w:t xml:space="preserve">Beta-blocker if LVEF&lt;40% (5-classes). </w:t>
            </w:r>
          </w:p>
          <w:p w14:paraId="13E549AA" w14:textId="77777777" w:rsidR="00786B03" w:rsidRPr="0065103C" w:rsidRDefault="00786B03" w:rsidP="00C04FF1">
            <w:pPr>
              <w:pStyle w:val="ListParagraph"/>
              <w:numPr>
                <w:ilvl w:val="0"/>
                <w:numId w:val="124"/>
              </w:numPr>
              <w:spacing w:after="120"/>
              <w:ind w:left="0"/>
              <w:contextualSpacing w:val="0"/>
              <w:jc w:val="both"/>
              <w:rPr>
                <w:rFonts w:ascii="Arial" w:hAnsi="Arial" w:cs="Arial"/>
                <w:sz w:val="20"/>
                <w:szCs w:val="20"/>
              </w:rPr>
            </w:pPr>
            <w:r w:rsidRPr="0065103C">
              <w:rPr>
                <w:rFonts w:ascii="Arial" w:hAnsi="Arial" w:cs="Arial"/>
                <w:sz w:val="20"/>
                <w:szCs w:val="20"/>
              </w:rPr>
              <w:t>* An anticoagulant can be substituted for one (but not both) of the two anti-platelet agents.</w:t>
            </w:r>
          </w:p>
          <w:p w14:paraId="5E47BC14" w14:textId="77777777" w:rsidR="00786B03" w:rsidRPr="0065103C" w:rsidRDefault="00786B03" w:rsidP="004B1778">
            <w:pPr>
              <w:spacing w:after="120"/>
              <w:rPr>
                <w:rFonts w:ascii="Arial" w:hAnsi="Arial" w:cs="Arial"/>
                <w:sz w:val="20"/>
                <w:szCs w:val="20"/>
              </w:rPr>
            </w:pPr>
            <w:r w:rsidRPr="0065103C">
              <w:rPr>
                <w:rFonts w:ascii="Arial" w:hAnsi="Arial" w:cs="Arial"/>
                <w:b/>
                <w:sz w:val="20"/>
                <w:szCs w:val="20"/>
              </w:rPr>
              <w:t>Indicator 5: Device registry completion</w:t>
            </w:r>
            <w:r w:rsidRPr="0065103C">
              <w:rPr>
                <w:rFonts w:ascii="Arial" w:hAnsi="Arial" w:cs="Arial"/>
                <w:sz w:val="20"/>
                <w:szCs w:val="20"/>
              </w:rPr>
              <w:t xml:space="preserve"> </w:t>
            </w:r>
            <m:oMath>
              <m:r>
                <w:rPr>
                  <w:rFonts w:ascii="Cambria Math" w:hAnsi="Cambria Math" w:cs="Arial"/>
                  <w:sz w:val="20"/>
                  <w:szCs w:val="20"/>
                </w:rPr>
                <m:t>≥</m:t>
              </m:r>
            </m:oMath>
            <w:r w:rsidRPr="0065103C">
              <w:rPr>
                <w:rFonts w:ascii="Arial" w:hAnsi="Arial" w:cs="Arial"/>
                <w:sz w:val="20"/>
                <w:szCs w:val="20"/>
              </w:rPr>
              <w:t xml:space="preserve"> 99% of patients who have pacemaker or implantable cardiac defibrillator implantation/replacement have completion of ANZACS-QI Device PPM forms completed within 2 months of the procedure.</w:t>
            </w:r>
          </w:p>
          <w:p w14:paraId="0107337A" w14:textId="77777777" w:rsidR="00786B03" w:rsidRPr="0065103C" w:rsidRDefault="00786B03" w:rsidP="004B1778">
            <w:pPr>
              <w:spacing w:after="120"/>
              <w:jc w:val="both"/>
              <w:rPr>
                <w:rFonts w:ascii="Arial" w:eastAsia="Calibri" w:hAnsi="Arial" w:cs="Arial"/>
                <w:sz w:val="20"/>
                <w:szCs w:val="20"/>
              </w:rPr>
            </w:pPr>
            <w:r w:rsidRPr="0065103C">
              <w:rPr>
                <w:rFonts w:ascii="Arial" w:eastAsia="Calibri" w:hAnsi="Arial" w:cs="Arial"/>
                <w:b/>
                <w:sz w:val="20"/>
                <w:szCs w:val="20"/>
              </w:rPr>
              <w:t>Indicator 6: Device registry completion</w:t>
            </w:r>
            <w:r w:rsidRPr="0065103C">
              <w:rPr>
                <w:rFonts w:ascii="Arial" w:eastAsia="Calibri" w:hAnsi="Arial" w:cs="Arial"/>
                <w:sz w:val="20"/>
                <w:szCs w:val="20"/>
              </w:rPr>
              <w:t>- ≥ 99% of patients who have pacemaker or implantable cardiac defibrillator implantation/replacement have completion of ANZACS QI Device PPM (Indicator 5A) and ICD (Indicator 5B) forms within 2 months of the procedure.</w:t>
            </w:r>
          </w:p>
          <w:p w14:paraId="0C4E7DB4" w14:textId="77777777" w:rsidR="00786B03" w:rsidRPr="0065103C" w:rsidRDefault="00786B03" w:rsidP="004B1778">
            <w:pPr>
              <w:spacing w:after="120"/>
              <w:jc w:val="both"/>
              <w:rPr>
                <w:rFonts w:ascii="Arial" w:eastAsia="Calibri" w:hAnsi="Arial" w:cs="Arial"/>
                <w:i/>
                <w:sz w:val="20"/>
                <w:szCs w:val="20"/>
              </w:rPr>
            </w:pPr>
            <w:r w:rsidRPr="0065103C">
              <w:rPr>
                <w:rFonts w:ascii="Arial" w:eastAsia="Calibri" w:hAnsi="Arial" w:cs="Arial"/>
                <w:b/>
                <w:i/>
                <w:sz w:val="20"/>
                <w:szCs w:val="20"/>
              </w:rPr>
              <w:t>Data source:</w:t>
            </w:r>
            <w:r w:rsidRPr="0065103C">
              <w:rPr>
                <w:rFonts w:ascii="Arial" w:eastAsia="Calibri" w:hAnsi="Arial" w:cs="Arial"/>
                <w:i/>
                <w:sz w:val="20"/>
                <w:szCs w:val="20"/>
              </w:rPr>
              <w:t xml:space="preserve"> Data provided from ANZACS-QI </w:t>
            </w:r>
          </w:p>
        </w:tc>
      </w:tr>
      <w:tr w:rsidR="00786B03" w:rsidRPr="0065103C" w14:paraId="10F83F43" w14:textId="77777777" w:rsidTr="004B1778">
        <w:trPr>
          <w:trHeight w:val="411"/>
        </w:trPr>
        <w:tc>
          <w:tcPr>
            <w:tcW w:w="1617" w:type="dxa"/>
            <w:tcBorders>
              <w:top w:val="single" w:sz="6" w:space="0" w:color="000000"/>
              <w:left w:val="single" w:sz="6" w:space="0" w:color="000000"/>
              <w:bottom w:val="single" w:sz="6" w:space="0" w:color="000000"/>
              <w:right w:val="single" w:sz="6" w:space="0" w:color="000000"/>
            </w:tcBorders>
            <w:hideMark/>
          </w:tcPr>
          <w:p w14:paraId="3D89C5FC" w14:textId="77777777" w:rsidR="00786B03" w:rsidRPr="0065103C" w:rsidRDefault="00786B03" w:rsidP="004B1778">
            <w:pPr>
              <w:rPr>
                <w:rFonts w:ascii="Arial" w:eastAsia="Calibri" w:hAnsi="Arial" w:cs="Arial"/>
                <w:b/>
                <w:sz w:val="20"/>
                <w:szCs w:val="20"/>
                <w:lang w:val="en-GB"/>
              </w:rPr>
            </w:pPr>
            <w:r w:rsidRPr="0065103C">
              <w:rPr>
                <w:rFonts w:ascii="Arial" w:eastAsia="Calibri" w:hAnsi="Arial" w:cs="Arial"/>
                <w:b/>
                <w:bCs/>
                <w:color w:val="000000"/>
                <w:sz w:val="20"/>
                <w:szCs w:val="20"/>
              </w:rPr>
              <w:t xml:space="preserve">Additional Commentary </w:t>
            </w:r>
            <w:r w:rsidRPr="0065103C">
              <w:rPr>
                <w:rFonts w:ascii="Arial" w:eastAsia="Calibri" w:hAnsi="Arial" w:cs="Arial"/>
                <w:b/>
                <w:bCs/>
                <w:color w:val="000000"/>
                <w:sz w:val="20"/>
                <w:szCs w:val="20"/>
              </w:rPr>
              <w:lastRenderedPageBreak/>
              <w:t>to be provided:</w:t>
            </w:r>
          </w:p>
        </w:tc>
        <w:tc>
          <w:tcPr>
            <w:tcW w:w="8473" w:type="dxa"/>
            <w:tcBorders>
              <w:top w:val="single" w:sz="6" w:space="0" w:color="000000"/>
              <w:left w:val="single" w:sz="6" w:space="0" w:color="000000"/>
              <w:bottom w:val="single" w:sz="6" w:space="0" w:color="000000"/>
              <w:right w:val="single" w:sz="6" w:space="0" w:color="000000"/>
            </w:tcBorders>
            <w:hideMark/>
          </w:tcPr>
          <w:p w14:paraId="697D17FB" w14:textId="77777777" w:rsidR="00786B03" w:rsidRPr="0065103C" w:rsidRDefault="00786B03" w:rsidP="004B1778">
            <w:pPr>
              <w:spacing w:after="120"/>
              <w:jc w:val="both"/>
              <w:rPr>
                <w:rFonts w:ascii="Arial" w:eastAsia="Calibri" w:hAnsi="Arial" w:cs="Arial"/>
                <w:sz w:val="20"/>
                <w:szCs w:val="20"/>
              </w:rPr>
            </w:pPr>
            <w:r w:rsidRPr="0065103C">
              <w:rPr>
                <w:rFonts w:ascii="Arial" w:eastAsia="Calibri" w:hAnsi="Arial" w:cs="Arial"/>
                <w:sz w:val="20"/>
                <w:szCs w:val="20"/>
              </w:rPr>
              <w:lastRenderedPageBreak/>
              <w:t>Specific Quarterly Reporting:</w:t>
            </w:r>
          </w:p>
          <w:p w14:paraId="7F0DE44D"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lastRenderedPageBreak/>
              <w:t xml:space="preserve">Quarters 1 to 4 – complete template provided through the quarterly reporting web site and narrative reporting identified on the reporting template. </w:t>
            </w:r>
          </w:p>
          <w:p w14:paraId="52FC624C"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Preliminary reporting of data on 2 additional indicators for pacemaker waiting times and heart failure commenced in 2019/20.  </w:t>
            </w:r>
          </w:p>
          <w:p w14:paraId="3753CF0F" w14:textId="77777777" w:rsidR="00786B03" w:rsidRPr="0065103C" w:rsidRDefault="00786B03" w:rsidP="004B1778">
            <w:pPr>
              <w:spacing w:after="120"/>
              <w:jc w:val="both"/>
              <w:rPr>
                <w:rFonts w:ascii="Arial" w:eastAsia="Calibri" w:hAnsi="Arial" w:cs="Arial"/>
                <w:sz w:val="20"/>
                <w:szCs w:val="20"/>
              </w:rPr>
            </w:pPr>
            <w:r w:rsidRPr="0065103C">
              <w:rPr>
                <w:rFonts w:ascii="Arial" w:eastAsia="Calibri" w:hAnsi="Arial" w:cs="Arial"/>
                <w:sz w:val="20"/>
                <w:szCs w:val="20"/>
              </w:rPr>
              <w:t>Notes regarding reporting:</w:t>
            </w:r>
          </w:p>
          <w:p w14:paraId="253B36F0" w14:textId="77777777" w:rsidR="00786B03" w:rsidRPr="0065103C" w:rsidRDefault="00786B03" w:rsidP="004B1778">
            <w:pPr>
              <w:spacing w:after="120"/>
              <w:jc w:val="both"/>
              <w:rPr>
                <w:rFonts w:ascii="Arial" w:eastAsia="Calibri" w:hAnsi="Arial" w:cs="Arial"/>
                <w:sz w:val="20"/>
                <w:szCs w:val="20"/>
              </w:rPr>
            </w:pPr>
            <w:r>
              <w:rPr>
                <w:rFonts w:ascii="Arial" w:eastAsia="Calibri" w:hAnsi="Arial" w:cs="Arial"/>
                <w:sz w:val="20"/>
                <w:szCs w:val="20"/>
              </w:rPr>
              <w:t>a</w:t>
            </w:r>
            <w:r w:rsidRPr="0065103C">
              <w:rPr>
                <w:rFonts w:ascii="Arial" w:eastAsia="Calibri" w:hAnsi="Arial" w:cs="Arial"/>
                <w:sz w:val="20"/>
                <w:szCs w:val="20"/>
              </w:rPr>
              <w:t>) Monthly Device registry completion reports by the registry software provider (Enigma) will be sent to DHBs on the 1st of every month. The 2 month time frame recognises that completion of complication reporting occurs between 4 and 8 weeks after the procedure. For example, for devices implanted in January the Device forms will be required to be completed by the end of March.</w:t>
            </w:r>
          </w:p>
          <w:p w14:paraId="6BB74969" w14:textId="77777777" w:rsidR="00786B03" w:rsidRPr="0065103C" w:rsidRDefault="00786B03" w:rsidP="004B1778">
            <w:pPr>
              <w:spacing w:after="120"/>
              <w:jc w:val="both"/>
              <w:rPr>
                <w:rFonts w:ascii="Arial" w:eastAsia="Calibri" w:hAnsi="Arial" w:cs="Arial"/>
                <w:sz w:val="20"/>
                <w:szCs w:val="20"/>
              </w:rPr>
            </w:pPr>
            <w:r>
              <w:rPr>
                <w:rFonts w:ascii="Arial" w:eastAsia="Calibri" w:hAnsi="Arial" w:cs="Arial"/>
                <w:sz w:val="20"/>
                <w:szCs w:val="20"/>
              </w:rPr>
              <w:t>b</w:t>
            </w:r>
            <w:r w:rsidRPr="0065103C">
              <w:rPr>
                <w:rFonts w:ascii="Arial" w:eastAsia="Calibri" w:hAnsi="Arial" w:cs="Arial"/>
                <w:sz w:val="20"/>
                <w:szCs w:val="20"/>
              </w:rPr>
              <w:t xml:space="preserve">)  Quarterly reports are sent to DHBs by Enigma on 1 Jan, 1 April, 1 July and 1 Oct to use for quarterly reporting of the indicator to the MOH. Quarterly reporting is with a 2 month lag as above- </w:t>
            </w:r>
            <w:proofErr w:type="spellStart"/>
            <w:r w:rsidRPr="0065103C">
              <w:rPr>
                <w:rFonts w:ascii="Arial" w:eastAsia="Calibri" w:hAnsi="Arial" w:cs="Arial"/>
                <w:sz w:val="20"/>
                <w:szCs w:val="20"/>
              </w:rPr>
              <w:t>eg</w:t>
            </w:r>
            <w:proofErr w:type="spellEnd"/>
            <w:r w:rsidRPr="0065103C">
              <w:rPr>
                <w:rFonts w:ascii="Arial" w:eastAsia="Calibri" w:hAnsi="Arial" w:cs="Arial"/>
                <w:sz w:val="20"/>
                <w:szCs w:val="20"/>
              </w:rPr>
              <w:t xml:space="preserve"> the Jan 1 report will be for registry completion in the prior Aug, Sept, Oct </w:t>
            </w:r>
          </w:p>
          <w:p w14:paraId="71883222" w14:textId="77777777" w:rsidR="00786B03" w:rsidRPr="0065103C" w:rsidRDefault="00786B03" w:rsidP="004B1778">
            <w:pPr>
              <w:spacing w:after="120"/>
              <w:jc w:val="both"/>
              <w:rPr>
                <w:rFonts w:ascii="Arial" w:eastAsia="Calibri" w:hAnsi="Arial" w:cs="Arial"/>
                <w:sz w:val="20"/>
                <w:szCs w:val="20"/>
              </w:rPr>
            </w:pPr>
          </w:p>
        </w:tc>
      </w:tr>
      <w:tr w:rsidR="00786B03" w:rsidRPr="0065103C" w14:paraId="7F381957"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hideMark/>
          </w:tcPr>
          <w:p w14:paraId="1E9F9907" w14:textId="77777777" w:rsidR="00786B03" w:rsidRPr="0065103C" w:rsidRDefault="00786B03" w:rsidP="004B1778">
            <w:pPr>
              <w:jc w:val="both"/>
              <w:rPr>
                <w:rFonts w:ascii="Arial" w:eastAsia="Calibri" w:hAnsi="Arial" w:cs="Arial"/>
                <w:b/>
                <w:bCs/>
                <w:color w:val="000000"/>
                <w:sz w:val="20"/>
                <w:szCs w:val="20"/>
              </w:rPr>
            </w:pPr>
            <w:r w:rsidRPr="0065103C">
              <w:rPr>
                <w:rFonts w:ascii="Arial" w:eastAsia="Calibri" w:hAnsi="Arial" w:cs="Arial"/>
                <w:b/>
                <w:bCs/>
                <w:color w:val="000000"/>
                <w:sz w:val="20"/>
                <w:szCs w:val="20"/>
              </w:rPr>
              <w:lastRenderedPageBreak/>
              <w:t>Definitions:</w:t>
            </w:r>
          </w:p>
        </w:tc>
        <w:tc>
          <w:tcPr>
            <w:tcW w:w="8473" w:type="dxa"/>
            <w:tcBorders>
              <w:top w:val="single" w:sz="6" w:space="0" w:color="000000"/>
              <w:left w:val="single" w:sz="6" w:space="0" w:color="000000"/>
              <w:bottom w:val="single" w:sz="6" w:space="0" w:color="000000"/>
              <w:right w:val="single" w:sz="6" w:space="0" w:color="000000"/>
            </w:tcBorders>
            <w:hideMark/>
          </w:tcPr>
          <w:p w14:paraId="6BBE510C"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A high-risk patient can be defined by the DHBs.</w:t>
            </w:r>
          </w:p>
        </w:tc>
      </w:tr>
    </w:tbl>
    <w:p w14:paraId="263112AC" w14:textId="77777777" w:rsidR="00786B03" w:rsidRPr="000A54FC" w:rsidRDefault="00786B03" w:rsidP="00786B03">
      <w:pPr>
        <w:rPr>
          <w:rFonts w:ascii="Arial" w:hAnsi="Arial" w:cs="Arial"/>
          <w:sz w:val="22"/>
          <w:szCs w:val="22"/>
        </w:rPr>
      </w:pPr>
    </w:p>
    <w:p w14:paraId="43A611E6" w14:textId="77777777" w:rsidR="00786B03" w:rsidRPr="000A54FC" w:rsidRDefault="00786B03" w:rsidP="00786B03">
      <w:pPr>
        <w:rPr>
          <w:rFonts w:ascii="Arial" w:hAnsi="Arial" w:cs="Arial"/>
          <w:sz w:val="22"/>
          <w:szCs w:val="22"/>
        </w:rPr>
      </w:pPr>
    </w:p>
    <w:tbl>
      <w:tblPr>
        <w:tblW w:w="10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17"/>
        <w:gridCol w:w="8473"/>
      </w:tblGrid>
      <w:tr w:rsidR="00786B03" w:rsidRPr="000A54FC" w14:paraId="0CB7C51F"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shd w:val="clear" w:color="auto" w:fill="C0C0C0"/>
            <w:hideMark/>
          </w:tcPr>
          <w:p w14:paraId="55096DFC" w14:textId="77777777" w:rsidR="00786B03" w:rsidRPr="0065103C" w:rsidRDefault="00786B03" w:rsidP="004B1778">
            <w:pPr>
              <w:jc w:val="both"/>
              <w:rPr>
                <w:rFonts w:ascii="Arial" w:eastAsia="Calibri" w:hAnsi="Arial" w:cs="Arial"/>
                <w:b/>
                <w:bCs/>
                <w:color w:val="000000"/>
                <w:sz w:val="20"/>
                <w:szCs w:val="20"/>
              </w:rPr>
            </w:pPr>
            <w:r w:rsidRPr="0065103C">
              <w:rPr>
                <w:rFonts w:ascii="Arial" w:eastAsia="Calibri" w:hAnsi="Arial" w:cs="Arial"/>
                <w:b/>
                <w:bCs/>
                <w:color w:val="000000"/>
                <w:sz w:val="20"/>
                <w:szCs w:val="20"/>
              </w:rPr>
              <w:t>Focus Area 5</w:t>
            </w:r>
          </w:p>
        </w:tc>
        <w:tc>
          <w:tcPr>
            <w:tcW w:w="8473" w:type="dxa"/>
            <w:tcBorders>
              <w:top w:val="single" w:sz="6" w:space="0" w:color="000000"/>
              <w:left w:val="single" w:sz="6" w:space="0" w:color="000000"/>
              <w:bottom w:val="single" w:sz="6" w:space="0" w:color="000000"/>
              <w:right w:val="single" w:sz="6" w:space="0" w:color="000000"/>
            </w:tcBorders>
            <w:shd w:val="clear" w:color="auto" w:fill="C0C0C0"/>
            <w:hideMark/>
          </w:tcPr>
          <w:p w14:paraId="65CD36AF"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Stroke Services</w:t>
            </w:r>
          </w:p>
        </w:tc>
      </w:tr>
      <w:tr w:rsidR="00786B03" w:rsidRPr="000A54FC" w14:paraId="2E22E800"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hideMark/>
          </w:tcPr>
          <w:p w14:paraId="0111FF2C" w14:textId="77777777" w:rsidR="00786B03" w:rsidRPr="0065103C" w:rsidRDefault="00786B03" w:rsidP="004B1778">
            <w:pPr>
              <w:jc w:val="both"/>
              <w:rPr>
                <w:rFonts w:ascii="Arial" w:eastAsia="Calibri" w:hAnsi="Arial" w:cs="Arial"/>
                <w:b/>
                <w:bCs/>
                <w:color w:val="000000"/>
                <w:sz w:val="20"/>
                <w:szCs w:val="20"/>
              </w:rPr>
            </w:pPr>
            <w:r w:rsidRPr="0065103C">
              <w:rPr>
                <w:rFonts w:ascii="Arial" w:eastAsia="Calibri" w:hAnsi="Arial" w:cs="Arial"/>
                <w:b/>
                <w:bCs/>
                <w:color w:val="000000"/>
                <w:sz w:val="20"/>
                <w:szCs w:val="20"/>
              </w:rPr>
              <w:t>Expectation:</w:t>
            </w:r>
          </w:p>
        </w:tc>
        <w:tc>
          <w:tcPr>
            <w:tcW w:w="8473" w:type="dxa"/>
            <w:tcBorders>
              <w:top w:val="single" w:sz="6" w:space="0" w:color="000000"/>
              <w:left w:val="single" w:sz="6" w:space="0" w:color="000000"/>
              <w:bottom w:val="single" w:sz="6" w:space="0" w:color="000000"/>
              <w:right w:val="single" w:sz="6" w:space="0" w:color="000000"/>
            </w:tcBorders>
            <w:hideMark/>
          </w:tcPr>
          <w:p w14:paraId="2A76E459"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All DHBs will provide an organised acute and rehabilitation stroke service for their population as recommended in the </w:t>
            </w:r>
            <w:r w:rsidRPr="0065103C">
              <w:rPr>
                <w:rFonts w:ascii="Arial" w:hAnsi="Arial" w:cs="Arial"/>
                <w:sz w:val="20"/>
                <w:szCs w:val="20"/>
              </w:rPr>
              <w:t xml:space="preserve">Australian Clinical Guidelines for Stroke Management </w:t>
            </w:r>
            <w:hyperlink r:id="rId35" w:history="1">
              <w:r w:rsidRPr="0065103C">
                <w:rPr>
                  <w:rStyle w:val="Hyperlink"/>
                  <w:rFonts w:ascii="Arial" w:hAnsi="Arial" w:cs="Arial"/>
                  <w:sz w:val="20"/>
                  <w:szCs w:val="20"/>
                  <w:lang w:eastAsia="en-GB"/>
                </w:rPr>
                <w:t>https://informme.org.au/Guidelines</w:t>
              </w:r>
            </w:hyperlink>
            <w:r w:rsidRPr="0065103C">
              <w:rPr>
                <w:rFonts w:ascii="Arial" w:hAnsi="Arial" w:cs="Arial"/>
                <w:sz w:val="20"/>
                <w:szCs w:val="20"/>
              </w:rPr>
              <w:t xml:space="preserve">, </w:t>
            </w:r>
            <w:r w:rsidRPr="0065103C">
              <w:rPr>
                <w:rFonts w:ascii="Arial" w:eastAsia="Calibri" w:hAnsi="Arial" w:cs="Arial"/>
                <w:sz w:val="20"/>
                <w:szCs w:val="20"/>
              </w:rPr>
              <w:t xml:space="preserve">and include advice provided by the national and regional clinical stroke networks </w:t>
            </w:r>
          </w:p>
        </w:tc>
      </w:tr>
      <w:tr w:rsidR="00786B03" w:rsidRPr="000A54FC" w14:paraId="049D712E"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hideMark/>
          </w:tcPr>
          <w:p w14:paraId="0C2B19CA" w14:textId="77777777" w:rsidR="00786B03" w:rsidRPr="0065103C" w:rsidRDefault="00786B03" w:rsidP="004B1778">
            <w:pPr>
              <w:jc w:val="both"/>
              <w:rPr>
                <w:rFonts w:ascii="Arial" w:eastAsia="Calibri" w:hAnsi="Arial" w:cs="Arial"/>
                <w:b/>
                <w:bCs/>
                <w:color w:val="000000"/>
                <w:sz w:val="20"/>
                <w:szCs w:val="20"/>
              </w:rPr>
            </w:pPr>
            <w:r w:rsidRPr="0065103C">
              <w:rPr>
                <w:rFonts w:ascii="Arial" w:eastAsia="Calibri" w:hAnsi="Arial" w:cs="Arial"/>
                <w:b/>
                <w:bCs/>
                <w:color w:val="000000"/>
                <w:sz w:val="20"/>
                <w:szCs w:val="20"/>
              </w:rPr>
              <w:t>Deliverable:</w:t>
            </w:r>
          </w:p>
        </w:tc>
        <w:tc>
          <w:tcPr>
            <w:tcW w:w="8473" w:type="dxa"/>
            <w:tcBorders>
              <w:top w:val="single" w:sz="6" w:space="0" w:color="000000"/>
              <w:left w:val="single" w:sz="6" w:space="0" w:color="000000"/>
              <w:bottom w:val="single" w:sz="6" w:space="0" w:color="000000"/>
              <w:right w:val="single" w:sz="6" w:space="0" w:color="000000"/>
            </w:tcBorders>
            <w:hideMark/>
          </w:tcPr>
          <w:p w14:paraId="6C8904AD"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Percentage, numerator and denominator and ethnicity (Maori) must be provided for all stroke indicators </w:t>
            </w:r>
          </w:p>
          <w:p w14:paraId="5F85626F" w14:textId="77777777" w:rsidR="00786B03" w:rsidRPr="0065103C" w:rsidRDefault="00786B03" w:rsidP="004B1778">
            <w:pPr>
              <w:jc w:val="both"/>
              <w:rPr>
                <w:rFonts w:ascii="Arial" w:eastAsia="Calibri" w:hAnsi="Arial" w:cs="Arial"/>
                <w:sz w:val="20"/>
                <w:szCs w:val="20"/>
              </w:rPr>
            </w:pPr>
          </w:p>
          <w:p w14:paraId="1B1E2F0B" w14:textId="77777777" w:rsidR="00786B03" w:rsidRPr="0065103C" w:rsidRDefault="00786B03" w:rsidP="00C04FF1">
            <w:pPr>
              <w:pStyle w:val="ListParagraph"/>
              <w:numPr>
                <w:ilvl w:val="0"/>
                <w:numId w:val="62"/>
              </w:numPr>
              <w:ind w:left="-23"/>
              <w:jc w:val="both"/>
              <w:rPr>
                <w:rFonts w:ascii="Arial" w:eastAsia="Calibri" w:hAnsi="Arial" w:cs="Arial"/>
                <w:sz w:val="20"/>
                <w:szCs w:val="20"/>
                <w:lang w:eastAsia="en-GB"/>
              </w:rPr>
            </w:pPr>
            <w:r w:rsidRPr="0065103C">
              <w:rPr>
                <w:rFonts w:ascii="Arial" w:eastAsia="Calibri" w:hAnsi="Arial" w:cs="Arial"/>
                <w:sz w:val="20"/>
                <w:szCs w:val="20"/>
                <w:lang w:eastAsia="en-GB"/>
              </w:rPr>
              <w:t xml:space="preserve">Indicator 1 ASU:  </w:t>
            </w:r>
          </w:p>
          <w:p w14:paraId="6FFF6FFE"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 xml:space="preserve">Numerator – number of acute stroke patients admitted to a stroke unit or organised stroke service with a demonstrated stroke pathway within 24 hours of their presentation to hospital Denominator - (ICD10 codes I61, I63, I64) </w:t>
            </w:r>
          </w:p>
          <w:p w14:paraId="3578498D"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Target 80%</w:t>
            </w:r>
          </w:p>
          <w:p w14:paraId="62AA7DD0" w14:textId="77777777" w:rsidR="00786B03" w:rsidRPr="0065103C" w:rsidRDefault="00786B03" w:rsidP="00C04FF1">
            <w:pPr>
              <w:pStyle w:val="ListParagraph"/>
              <w:numPr>
                <w:ilvl w:val="0"/>
                <w:numId w:val="62"/>
              </w:numPr>
              <w:spacing w:before="120"/>
              <w:ind w:left="-29" w:hanging="357"/>
              <w:jc w:val="both"/>
              <w:rPr>
                <w:rFonts w:ascii="Arial" w:eastAsia="Calibri" w:hAnsi="Arial" w:cs="Arial"/>
                <w:sz w:val="20"/>
                <w:szCs w:val="20"/>
                <w:lang w:eastAsia="en-GB"/>
              </w:rPr>
            </w:pPr>
            <w:r w:rsidRPr="0065103C">
              <w:rPr>
                <w:rFonts w:ascii="Arial" w:eastAsia="Calibri" w:hAnsi="Arial" w:cs="Arial"/>
                <w:sz w:val="20"/>
                <w:szCs w:val="20"/>
                <w:lang w:eastAsia="en-GB"/>
              </w:rPr>
              <w:t xml:space="preserve">Indicator 2 Reperfusion Thrombolysis /Stroke Clot Retrieval: </w:t>
            </w:r>
          </w:p>
          <w:p w14:paraId="41A97B5D"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 xml:space="preserve">Numerator – number of patients with ischaemic stroke </w:t>
            </w:r>
            <w:proofErr w:type="spellStart"/>
            <w:r w:rsidRPr="0065103C">
              <w:rPr>
                <w:rFonts w:ascii="Arial" w:eastAsia="Calibri" w:hAnsi="Arial" w:cs="Arial"/>
                <w:sz w:val="20"/>
                <w:szCs w:val="20"/>
              </w:rPr>
              <w:t>thrombolysed</w:t>
            </w:r>
            <w:proofErr w:type="spellEnd"/>
            <w:r w:rsidRPr="0065103C">
              <w:rPr>
                <w:rFonts w:ascii="Arial" w:eastAsia="Calibri" w:hAnsi="Arial" w:cs="Arial"/>
                <w:sz w:val="20"/>
                <w:szCs w:val="20"/>
              </w:rPr>
              <w:t xml:space="preserve"> and/or treated with clot retrieval and counted by DHB of domicile, Service provision 24/7</w:t>
            </w:r>
          </w:p>
          <w:p w14:paraId="1DEE80B8"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 xml:space="preserve">Denominator - (ICD10 codes I63, I64) </w:t>
            </w:r>
          </w:p>
          <w:p w14:paraId="61CCD5D4"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Target 12%</w:t>
            </w:r>
          </w:p>
          <w:p w14:paraId="0A340EB2" w14:textId="77777777" w:rsidR="00786B03" w:rsidRPr="0065103C" w:rsidRDefault="00786B03" w:rsidP="00C04FF1">
            <w:pPr>
              <w:pStyle w:val="ListParagraph"/>
              <w:numPr>
                <w:ilvl w:val="0"/>
                <w:numId w:val="62"/>
              </w:numPr>
              <w:spacing w:before="120"/>
              <w:ind w:left="-29" w:hanging="357"/>
              <w:jc w:val="both"/>
              <w:rPr>
                <w:rFonts w:ascii="Arial" w:eastAsia="Calibri" w:hAnsi="Arial" w:cs="Arial"/>
                <w:sz w:val="20"/>
                <w:szCs w:val="20"/>
                <w:lang w:eastAsia="en-GB"/>
              </w:rPr>
            </w:pPr>
            <w:r w:rsidRPr="0065103C">
              <w:rPr>
                <w:rFonts w:ascii="Arial" w:eastAsia="Calibri" w:hAnsi="Arial" w:cs="Arial"/>
                <w:sz w:val="20"/>
                <w:szCs w:val="20"/>
                <w:lang w:eastAsia="en-GB"/>
              </w:rPr>
              <w:t>Indicator 3: In-patient rehabilitation:</w:t>
            </w:r>
          </w:p>
          <w:p w14:paraId="0A246CA1"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Numerator – number of patients admitted with acute stroke who are transferred to in-patient rehabilitation services within 7 days of acute admission</w:t>
            </w:r>
          </w:p>
          <w:p w14:paraId="3268052D"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Denominator - number of patients discharged from an acute hospital event with a primary stroke diagnosis (</w:t>
            </w:r>
            <w:proofErr w:type="spellStart"/>
            <w:r w:rsidRPr="0065103C">
              <w:rPr>
                <w:rFonts w:ascii="Arial" w:eastAsia="Calibri" w:hAnsi="Arial" w:cs="Arial"/>
                <w:sz w:val="20"/>
                <w:szCs w:val="20"/>
              </w:rPr>
              <w:t>ie</w:t>
            </w:r>
            <w:proofErr w:type="spellEnd"/>
            <w:r w:rsidRPr="0065103C">
              <w:rPr>
                <w:rFonts w:ascii="Arial" w:eastAsia="Calibri" w:hAnsi="Arial" w:cs="Arial"/>
                <w:sz w:val="20"/>
                <w:szCs w:val="20"/>
              </w:rPr>
              <w:t xml:space="preserve"> ICD10 codes I61, I63, I64) who are immediately transferred to in-patient rehabilitation </w:t>
            </w:r>
          </w:p>
          <w:p w14:paraId="5B9B5B06" w14:textId="77777777" w:rsidR="00786B03" w:rsidRPr="0065103C" w:rsidRDefault="00786B03" w:rsidP="00C04FF1">
            <w:pPr>
              <w:numPr>
                <w:ilvl w:val="0"/>
                <w:numId w:val="62"/>
              </w:numPr>
              <w:ind w:left="402" w:hanging="402"/>
              <w:jc w:val="both"/>
              <w:rPr>
                <w:rFonts w:ascii="Arial" w:eastAsia="Calibri" w:hAnsi="Arial" w:cs="Arial"/>
                <w:sz w:val="20"/>
                <w:szCs w:val="20"/>
              </w:rPr>
            </w:pPr>
            <w:r w:rsidRPr="0065103C">
              <w:rPr>
                <w:rFonts w:ascii="Arial" w:eastAsia="Calibri" w:hAnsi="Arial" w:cs="Arial"/>
                <w:sz w:val="20"/>
                <w:szCs w:val="20"/>
              </w:rPr>
              <w:t>Target 80%</w:t>
            </w:r>
          </w:p>
          <w:p w14:paraId="71FFE08D" w14:textId="77777777" w:rsidR="00786B03" w:rsidRPr="0065103C" w:rsidRDefault="00786B03" w:rsidP="00C04FF1">
            <w:pPr>
              <w:pStyle w:val="ListParagraph"/>
              <w:numPr>
                <w:ilvl w:val="0"/>
                <w:numId w:val="62"/>
              </w:numPr>
              <w:spacing w:before="120"/>
              <w:ind w:left="-29" w:hanging="357"/>
              <w:jc w:val="both"/>
              <w:rPr>
                <w:rFonts w:ascii="Arial" w:eastAsia="Calibri" w:hAnsi="Arial" w:cs="Arial"/>
                <w:sz w:val="20"/>
                <w:szCs w:val="20"/>
                <w:lang w:eastAsia="en-GB"/>
              </w:rPr>
            </w:pPr>
            <w:r w:rsidRPr="0065103C">
              <w:rPr>
                <w:rFonts w:ascii="Arial" w:eastAsia="Calibri" w:hAnsi="Arial" w:cs="Arial"/>
                <w:sz w:val="20"/>
                <w:szCs w:val="20"/>
                <w:lang w:eastAsia="en-GB"/>
              </w:rPr>
              <w:t xml:space="preserve">Indicator 4: Community rehabilitation:  </w:t>
            </w:r>
          </w:p>
          <w:p w14:paraId="0056663B" w14:textId="77777777" w:rsidR="00786B03" w:rsidRPr="0065103C" w:rsidRDefault="00786B03" w:rsidP="00C04FF1">
            <w:pPr>
              <w:numPr>
                <w:ilvl w:val="0"/>
                <w:numId w:val="62"/>
              </w:numPr>
              <w:ind w:left="402" w:hanging="425"/>
              <w:jc w:val="both"/>
              <w:rPr>
                <w:rFonts w:ascii="Arial" w:eastAsia="Calibri" w:hAnsi="Arial" w:cs="Arial"/>
                <w:sz w:val="20"/>
                <w:szCs w:val="20"/>
              </w:rPr>
            </w:pPr>
            <w:r w:rsidRPr="0065103C">
              <w:rPr>
                <w:rFonts w:ascii="Arial" w:eastAsia="Calibri" w:hAnsi="Arial" w:cs="Arial"/>
                <w:sz w:val="20"/>
                <w:szCs w:val="20"/>
              </w:rPr>
              <w:t>Numerator - number of stroke patients referred for community rehabilitation who are seen face to face by a member of the community rehabilitation team (</w:t>
            </w:r>
            <w:proofErr w:type="spellStart"/>
            <w:r w:rsidRPr="0065103C">
              <w:rPr>
                <w:rFonts w:ascii="Arial" w:eastAsia="Calibri" w:hAnsi="Arial" w:cs="Arial"/>
                <w:sz w:val="20"/>
                <w:szCs w:val="20"/>
              </w:rPr>
              <w:t>ie</w:t>
            </w:r>
            <w:proofErr w:type="spellEnd"/>
            <w:r w:rsidRPr="0065103C">
              <w:rPr>
                <w:rFonts w:ascii="Arial" w:eastAsia="Calibri" w:hAnsi="Arial" w:cs="Arial"/>
                <w:sz w:val="20"/>
                <w:szCs w:val="20"/>
              </w:rPr>
              <w:t xml:space="preserve"> RN/PT/OT/SLT/SW/Dr/Psychologist) within 7 calendar days of hospital discharge. </w:t>
            </w:r>
          </w:p>
          <w:p w14:paraId="0D9C9338" w14:textId="77777777" w:rsidR="00786B03" w:rsidRPr="0065103C" w:rsidRDefault="00786B03" w:rsidP="00C04FF1">
            <w:pPr>
              <w:numPr>
                <w:ilvl w:val="0"/>
                <w:numId w:val="62"/>
              </w:numPr>
              <w:ind w:left="402" w:hanging="425"/>
              <w:jc w:val="both"/>
              <w:rPr>
                <w:rFonts w:ascii="Arial" w:eastAsia="Calibri" w:hAnsi="Arial" w:cs="Arial"/>
                <w:sz w:val="20"/>
                <w:szCs w:val="20"/>
              </w:rPr>
            </w:pPr>
            <w:r w:rsidRPr="0065103C">
              <w:rPr>
                <w:rFonts w:ascii="Arial" w:eastAsia="Calibri" w:hAnsi="Arial" w:cs="Arial"/>
                <w:sz w:val="20"/>
                <w:szCs w:val="20"/>
              </w:rPr>
              <w:t>Denominator - number of patients discharged from hospital with a primary stroke diagnosis (i.e. ICD10 codes I61, I63 and I64) and referred for community rehabilitation within 14 calendar days of hospital discharge (as defined by MOH Minimum Expectations (see appendix two) for guidance).</w:t>
            </w:r>
          </w:p>
          <w:p w14:paraId="4AC87E25" w14:textId="77777777" w:rsidR="00786B03" w:rsidRPr="0065103C" w:rsidRDefault="00786B03" w:rsidP="00C04FF1">
            <w:pPr>
              <w:numPr>
                <w:ilvl w:val="0"/>
                <w:numId w:val="62"/>
              </w:numPr>
              <w:ind w:left="402" w:hanging="425"/>
              <w:jc w:val="both"/>
              <w:rPr>
                <w:rFonts w:ascii="Arial" w:eastAsia="Calibri" w:hAnsi="Arial" w:cs="Arial"/>
                <w:sz w:val="20"/>
                <w:szCs w:val="20"/>
              </w:rPr>
            </w:pPr>
            <w:r w:rsidRPr="0065103C">
              <w:rPr>
                <w:rFonts w:ascii="Arial" w:eastAsia="Calibri" w:hAnsi="Arial" w:cs="Arial"/>
                <w:sz w:val="20"/>
                <w:szCs w:val="20"/>
              </w:rPr>
              <w:t>Target 60%</w:t>
            </w:r>
          </w:p>
          <w:p w14:paraId="089C3F7F" w14:textId="77777777" w:rsidR="00786B03" w:rsidRPr="0065103C" w:rsidRDefault="00786B03" w:rsidP="004B1778">
            <w:pPr>
              <w:jc w:val="both"/>
              <w:rPr>
                <w:rFonts w:ascii="Arial" w:eastAsia="Calibri" w:hAnsi="Arial" w:cs="Arial"/>
                <w:sz w:val="20"/>
                <w:szCs w:val="20"/>
              </w:rPr>
            </w:pPr>
          </w:p>
          <w:p w14:paraId="6D3C9FF5"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NB: when reporting against above indicators include, percentage, numerator denominator, ethnicity (Maori), and explanatory narrative where the indicator has not been met, detailing plans with time frames, provide clinical lead stroke nurse and clinical lead stroke physician sign off.</w:t>
            </w:r>
          </w:p>
          <w:p w14:paraId="49D17C61"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Data source : DHBs to provide</w:t>
            </w:r>
          </w:p>
        </w:tc>
      </w:tr>
      <w:tr w:rsidR="00786B03" w:rsidRPr="000A54FC" w14:paraId="5EAD0220"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hideMark/>
          </w:tcPr>
          <w:p w14:paraId="270BA051" w14:textId="77777777" w:rsidR="00786B03" w:rsidRPr="0065103C" w:rsidRDefault="00786B03" w:rsidP="004B1778">
            <w:pPr>
              <w:rPr>
                <w:rFonts w:ascii="Arial" w:eastAsia="Calibri" w:hAnsi="Arial" w:cs="Arial"/>
                <w:b/>
                <w:bCs/>
                <w:color w:val="000000"/>
                <w:sz w:val="20"/>
                <w:szCs w:val="20"/>
              </w:rPr>
            </w:pPr>
            <w:r w:rsidRPr="0065103C">
              <w:rPr>
                <w:rFonts w:ascii="Arial" w:eastAsia="Calibri" w:hAnsi="Arial" w:cs="Arial"/>
                <w:b/>
                <w:bCs/>
                <w:color w:val="000000"/>
                <w:sz w:val="20"/>
                <w:szCs w:val="20"/>
              </w:rPr>
              <w:lastRenderedPageBreak/>
              <w:t>Additional Commentary to be provided:</w:t>
            </w:r>
          </w:p>
        </w:tc>
        <w:tc>
          <w:tcPr>
            <w:tcW w:w="8473" w:type="dxa"/>
            <w:tcBorders>
              <w:top w:val="single" w:sz="6" w:space="0" w:color="000000"/>
              <w:left w:val="single" w:sz="6" w:space="0" w:color="000000"/>
              <w:bottom w:val="single" w:sz="6" w:space="0" w:color="000000"/>
              <w:right w:val="single" w:sz="6" w:space="0" w:color="000000"/>
            </w:tcBorders>
            <w:hideMark/>
          </w:tcPr>
          <w:p w14:paraId="04121C85" w14:textId="77777777" w:rsidR="00786B03" w:rsidRPr="0065103C" w:rsidRDefault="00786B03" w:rsidP="004B1778">
            <w:pPr>
              <w:rPr>
                <w:rFonts w:ascii="Arial" w:eastAsia="Calibri" w:hAnsi="Arial" w:cs="Arial"/>
                <w:sz w:val="20"/>
                <w:szCs w:val="20"/>
              </w:rPr>
            </w:pPr>
            <w:r w:rsidRPr="0065103C">
              <w:rPr>
                <w:rFonts w:ascii="Arial" w:eastAsia="Calibri" w:hAnsi="Arial" w:cs="Arial"/>
                <w:sz w:val="20"/>
                <w:szCs w:val="20"/>
              </w:rPr>
              <w:t>Quarterly Reporting:</w:t>
            </w:r>
          </w:p>
          <w:p w14:paraId="45DCCCAB" w14:textId="77777777" w:rsidR="00786B03" w:rsidRPr="0065103C" w:rsidRDefault="00786B03" w:rsidP="004B1778">
            <w:pPr>
              <w:rPr>
                <w:rFonts w:ascii="Arial" w:eastAsia="Calibri" w:hAnsi="Arial" w:cs="Arial"/>
                <w:sz w:val="20"/>
                <w:szCs w:val="20"/>
              </w:rPr>
            </w:pPr>
          </w:p>
          <w:p w14:paraId="42A4985C" w14:textId="77777777" w:rsidR="00786B03" w:rsidRPr="0065103C" w:rsidRDefault="00786B03" w:rsidP="004B1778">
            <w:pPr>
              <w:rPr>
                <w:rFonts w:ascii="Arial" w:eastAsia="Calibri" w:hAnsi="Arial" w:cs="Arial"/>
                <w:sz w:val="20"/>
                <w:szCs w:val="20"/>
              </w:rPr>
            </w:pPr>
            <w:r w:rsidRPr="0065103C">
              <w:rPr>
                <w:rFonts w:ascii="Arial" w:eastAsia="Calibri" w:hAnsi="Arial" w:cs="Arial"/>
                <w:sz w:val="20"/>
                <w:szCs w:val="20"/>
              </w:rPr>
              <w:t>Quarters 1 to 4:</w:t>
            </w:r>
          </w:p>
          <w:p w14:paraId="3F75CBE7" w14:textId="77777777" w:rsidR="00786B03" w:rsidRPr="0065103C" w:rsidRDefault="00786B03" w:rsidP="004B1778">
            <w:pPr>
              <w:rPr>
                <w:rFonts w:ascii="Arial" w:eastAsia="Calibri" w:hAnsi="Arial" w:cs="Arial"/>
                <w:sz w:val="20"/>
                <w:szCs w:val="20"/>
              </w:rPr>
            </w:pPr>
            <w:r w:rsidRPr="0065103C">
              <w:rPr>
                <w:rFonts w:ascii="Arial" w:eastAsia="Calibri" w:hAnsi="Arial" w:cs="Arial"/>
                <w:sz w:val="20"/>
                <w:szCs w:val="20"/>
              </w:rPr>
              <w:t xml:space="preserve">Complete an updated template provided by the Ministry each quarter with: </w:t>
            </w:r>
          </w:p>
          <w:p w14:paraId="251C2587" w14:textId="77777777" w:rsidR="00786B03" w:rsidRPr="0065103C" w:rsidRDefault="00786B03" w:rsidP="00C04FF1">
            <w:pPr>
              <w:numPr>
                <w:ilvl w:val="0"/>
                <w:numId w:val="93"/>
              </w:numPr>
              <w:rPr>
                <w:rFonts w:ascii="Arial" w:eastAsia="Calibri" w:hAnsi="Arial" w:cs="Arial"/>
                <w:sz w:val="20"/>
                <w:szCs w:val="20"/>
              </w:rPr>
            </w:pPr>
            <w:r w:rsidRPr="0065103C">
              <w:rPr>
                <w:rFonts w:ascii="Arial" w:eastAsia="Calibri" w:hAnsi="Arial" w:cs="Arial"/>
                <w:sz w:val="20"/>
                <w:szCs w:val="20"/>
              </w:rPr>
              <w:t xml:space="preserve">Confirmation that activity and actions to meet the indicators are on track. </w:t>
            </w:r>
          </w:p>
          <w:p w14:paraId="43D85FE5" w14:textId="77777777" w:rsidR="00786B03" w:rsidRPr="0065103C" w:rsidRDefault="00786B03" w:rsidP="00C04FF1">
            <w:pPr>
              <w:numPr>
                <w:ilvl w:val="0"/>
                <w:numId w:val="93"/>
              </w:numPr>
              <w:rPr>
                <w:rFonts w:ascii="Arial" w:eastAsia="Calibri" w:hAnsi="Arial" w:cs="Arial"/>
                <w:sz w:val="20"/>
                <w:szCs w:val="20"/>
              </w:rPr>
            </w:pPr>
            <w:r w:rsidRPr="0065103C">
              <w:rPr>
                <w:rFonts w:ascii="Arial" w:eastAsia="Calibri" w:hAnsi="Arial" w:cs="Arial"/>
                <w:sz w:val="20"/>
                <w:szCs w:val="20"/>
              </w:rPr>
              <w:t>Confirmation that acute intervention services (thrombolysis, clot retrieval, ASU) are available 24/7 (or explanation about roadmap to achieve this)</w:t>
            </w:r>
          </w:p>
          <w:p w14:paraId="5EE3A257" w14:textId="77777777" w:rsidR="00786B03" w:rsidRPr="0065103C" w:rsidRDefault="00786B03" w:rsidP="00C04FF1">
            <w:pPr>
              <w:numPr>
                <w:ilvl w:val="0"/>
                <w:numId w:val="93"/>
              </w:numPr>
              <w:rPr>
                <w:rFonts w:ascii="Arial" w:eastAsia="Calibri" w:hAnsi="Arial" w:cs="Arial"/>
                <w:sz w:val="20"/>
                <w:szCs w:val="20"/>
              </w:rPr>
            </w:pPr>
            <w:r w:rsidRPr="0065103C">
              <w:rPr>
                <w:rFonts w:ascii="Arial" w:eastAsia="Calibri" w:hAnsi="Arial" w:cs="Arial"/>
                <w:sz w:val="20"/>
                <w:szCs w:val="20"/>
              </w:rPr>
              <w:t>Where an indicator is not met report on why, and the activities planned to achieve it.</w:t>
            </w:r>
          </w:p>
          <w:p w14:paraId="5DD7CEC0" w14:textId="77777777" w:rsidR="00786B03" w:rsidRPr="0065103C" w:rsidRDefault="00786B03" w:rsidP="00C04FF1">
            <w:pPr>
              <w:numPr>
                <w:ilvl w:val="0"/>
                <w:numId w:val="93"/>
              </w:numPr>
              <w:rPr>
                <w:rFonts w:ascii="Arial" w:eastAsia="Calibri" w:hAnsi="Arial" w:cs="Arial"/>
                <w:sz w:val="20"/>
                <w:szCs w:val="20"/>
              </w:rPr>
            </w:pPr>
            <w:r w:rsidRPr="0065103C">
              <w:rPr>
                <w:rFonts w:ascii="Arial" w:eastAsia="Calibri" w:hAnsi="Arial" w:cs="Arial"/>
                <w:sz w:val="20"/>
                <w:szCs w:val="20"/>
              </w:rPr>
              <w:t>Provide a breakdown of data for Maori for each indicator. Where numbers are low, rolling 12 months data would suffice (e.g. Q1 data would be for 1 October 2018 to 30 Sept 2019).</w:t>
            </w:r>
          </w:p>
          <w:p w14:paraId="3B239236" w14:textId="77777777" w:rsidR="00786B03" w:rsidRPr="0065103C" w:rsidRDefault="00786B03" w:rsidP="004B1778">
            <w:pPr>
              <w:rPr>
                <w:rFonts w:ascii="Arial" w:eastAsia="Calibri" w:hAnsi="Arial" w:cs="Arial"/>
                <w:sz w:val="20"/>
                <w:szCs w:val="20"/>
              </w:rPr>
            </w:pPr>
          </w:p>
        </w:tc>
      </w:tr>
      <w:tr w:rsidR="00786B03" w:rsidRPr="000A54FC" w14:paraId="1AE8AE5C" w14:textId="77777777" w:rsidTr="004B1778">
        <w:trPr>
          <w:trHeight w:val="292"/>
        </w:trPr>
        <w:tc>
          <w:tcPr>
            <w:tcW w:w="1617" w:type="dxa"/>
            <w:tcBorders>
              <w:top w:val="single" w:sz="6" w:space="0" w:color="000000"/>
              <w:left w:val="single" w:sz="6" w:space="0" w:color="000000"/>
              <w:bottom w:val="single" w:sz="6" w:space="0" w:color="000000"/>
              <w:right w:val="single" w:sz="6" w:space="0" w:color="000000"/>
            </w:tcBorders>
            <w:hideMark/>
          </w:tcPr>
          <w:p w14:paraId="2E375DAB" w14:textId="77777777" w:rsidR="00786B03" w:rsidRPr="0065103C" w:rsidRDefault="00786B03" w:rsidP="004B1778">
            <w:pPr>
              <w:jc w:val="both"/>
              <w:rPr>
                <w:rFonts w:ascii="Arial" w:eastAsia="Calibri" w:hAnsi="Arial" w:cs="Arial"/>
                <w:b/>
                <w:bCs/>
                <w:color w:val="000000"/>
                <w:sz w:val="20"/>
                <w:szCs w:val="20"/>
              </w:rPr>
            </w:pPr>
            <w:r w:rsidRPr="0065103C">
              <w:rPr>
                <w:rFonts w:ascii="Arial" w:eastAsia="Calibri" w:hAnsi="Arial" w:cs="Arial"/>
                <w:b/>
                <w:bCs/>
                <w:color w:val="000000"/>
                <w:sz w:val="20"/>
                <w:szCs w:val="20"/>
              </w:rPr>
              <w:t>Definitions:</w:t>
            </w:r>
          </w:p>
        </w:tc>
        <w:tc>
          <w:tcPr>
            <w:tcW w:w="8473" w:type="dxa"/>
            <w:tcBorders>
              <w:top w:val="single" w:sz="6" w:space="0" w:color="000000"/>
              <w:left w:val="single" w:sz="6" w:space="0" w:color="000000"/>
              <w:bottom w:val="single" w:sz="6" w:space="0" w:color="000000"/>
              <w:right w:val="single" w:sz="6" w:space="0" w:color="000000"/>
            </w:tcBorders>
            <w:hideMark/>
          </w:tcPr>
          <w:p w14:paraId="1D112D02"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A potentially eligible reperfusion patient is one who has an ischaemic or undetermined stroke. Other strokes, such as Intracerebral haemorrhage (ICH), transient ischemic attack (TIA), or mimics are excluded.  </w:t>
            </w:r>
          </w:p>
          <w:p w14:paraId="36F86EEF" w14:textId="77777777" w:rsidR="00786B03" w:rsidRPr="0065103C" w:rsidRDefault="00786B03" w:rsidP="004B1778">
            <w:pPr>
              <w:jc w:val="both"/>
              <w:rPr>
                <w:rFonts w:ascii="Arial" w:eastAsia="Calibri" w:hAnsi="Arial" w:cs="Arial"/>
                <w:sz w:val="20"/>
                <w:szCs w:val="20"/>
              </w:rPr>
            </w:pPr>
          </w:p>
          <w:p w14:paraId="73C48C0E"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An acute stroke patient is admitted to hospital with a primary discharge diagnosis of ischaemic, haemorrhagic, or undetermined stroke. TIA patients, stroke mimics, and patients discharged from emergency department without being recorded as a hospital admission are excluded. Care should be taken that patients transferred during their admission are only counted once even if managed at two separate institutions.</w:t>
            </w:r>
          </w:p>
          <w:p w14:paraId="563DEEFE" w14:textId="77777777" w:rsidR="00786B03" w:rsidRPr="0065103C" w:rsidRDefault="00786B03" w:rsidP="004B1778">
            <w:pPr>
              <w:jc w:val="both"/>
              <w:rPr>
                <w:rFonts w:ascii="Arial" w:eastAsia="Calibri" w:hAnsi="Arial" w:cs="Arial"/>
                <w:sz w:val="20"/>
                <w:szCs w:val="20"/>
              </w:rPr>
            </w:pPr>
          </w:p>
          <w:p w14:paraId="2106747F"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ICD10 codes included: I61 Intracerebral Haemorrhage with subcodes for site inclusive, I63 Cerebral Infarction with subcodes 163.0-163.9 inclusive, I64 Stroke, not specified as haemorrhage or infarction)</w:t>
            </w:r>
          </w:p>
          <w:p w14:paraId="0FAFE709" w14:textId="77777777" w:rsidR="00786B03" w:rsidRPr="0065103C" w:rsidRDefault="00786B03" w:rsidP="004B1778">
            <w:pPr>
              <w:jc w:val="both"/>
              <w:rPr>
                <w:rFonts w:ascii="Arial" w:eastAsia="Calibri" w:hAnsi="Arial" w:cs="Arial"/>
                <w:sz w:val="20"/>
                <w:szCs w:val="20"/>
              </w:rPr>
            </w:pPr>
          </w:p>
          <w:p w14:paraId="6A3EEEE7"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A stroke unit is defined as a discrete ward, or beds within a ward, with a dedicated specialised multi-disciplinary team (MDT) and could include acute stroke units that discharge patients to a rehabilitation service, or an integrated acute and rehabilitation unit (New Zealand National Acute Stroke Services Audit 2009).  </w:t>
            </w:r>
          </w:p>
          <w:p w14:paraId="0B5FFB53" w14:textId="77777777" w:rsidR="00786B03" w:rsidRPr="0065103C" w:rsidRDefault="00786B03" w:rsidP="004B1778">
            <w:pPr>
              <w:jc w:val="both"/>
              <w:rPr>
                <w:rFonts w:ascii="Arial" w:eastAsia="Calibri" w:hAnsi="Arial" w:cs="Arial"/>
                <w:sz w:val="20"/>
                <w:szCs w:val="20"/>
              </w:rPr>
            </w:pPr>
          </w:p>
          <w:p w14:paraId="7C3945BD"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Organised Acute Stroke Services are provided by a coordinated specialised interdisciplinary team (IDT) and consist of early and ongoing comprehensive assessments and treatment which is guided by best practice. This is reflected in the use of stroke specific protocols. The IDT meets regularly to discuss, formulate and implement patient management and optimise rehabilitation and patient function. Ideally care is provided in a geographically discrete unit, but depending on DHB size this may not always be feasible.</w:t>
            </w:r>
          </w:p>
          <w:p w14:paraId="3C355268" w14:textId="77777777" w:rsidR="00786B03" w:rsidRPr="0065103C" w:rsidRDefault="00786B03" w:rsidP="004B1778">
            <w:pPr>
              <w:jc w:val="both"/>
              <w:rPr>
                <w:rFonts w:ascii="Arial" w:eastAsia="Calibri" w:hAnsi="Arial" w:cs="Arial"/>
                <w:sz w:val="20"/>
                <w:szCs w:val="20"/>
              </w:rPr>
            </w:pPr>
          </w:p>
          <w:p w14:paraId="64A7253D" w14:textId="77777777" w:rsidR="00786B03" w:rsidRPr="0065103C" w:rsidRDefault="00786B03" w:rsidP="004B1778">
            <w:pPr>
              <w:jc w:val="both"/>
              <w:rPr>
                <w:rFonts w:ascii="Arial" w:eastAsia="Calibri" w:hAnsi="Arial" w:cs="Arial"/>
                <w:sz w:val="20"/>
                <w:szCs w:val="20"/>
                <w:lang w:eastAsia="en-GB"/>
              </w:rPr>
            </w:pPr>
            <w:r w:rsidRPr="0065103C">
              <w:rPr>
                <w:rFonts w:ascii="Arial" w:eastAsia="Calibri" w:hAnsi="Arial" w:cs="Arial"/>
                <w:sz w:val="20"/>
                <w:szCs w:val="20"/>
              </w:rPr>
              <w:t xml:space="preserve">Reperfusion (Thrombolysis and/or Stroke Clot Retrieval (SCR)). Thrombolysis is a service provided by all DHBs 24/7 locally. For smaller DHBs where 24/7 expertise is not available 24/7 this service will be supported by a </w:t>
            </w:r>
            <w:proofErr w:type="spellStart"/>
            <w:r w:rsidRPr="0065103C">
              <w:rPr>
                <w:rFonts w:ascii="Arial" w:eastAsia="Calibri" w:hAnsi="Arial" w:cs="Arial"/>
                <w:sz w:val="20"/>
                <w:szCs w:val="20"/>
              </w:rPr>
              <w:t>telestroke</w:t>
            </w:r>
            <w:proofErr w:type="spellEnd"/>
            <w:r w:rsidRPr="0065103C">
              <w:rPr>
                <w:rFonts w:ascii="Arial" w:eastAsia="Calibri" w:hAnsi="Arial" w:cs="Arial"/>
                <w:sz w:val="20"/>
                <w:szCs w:val="20"/>
              </w:rPr>
              <w:t xml:space="preserve"> service (usually provided by a tertiary regional hospital (hub hospital). SCR is currently provided by 3 tertiary hospitals and patients are transferred to one of these hospitals within time critical time frames. Where a hospital transfers a patient to another hospital for SCR the patient will be counted by the DHB of domicile and counted once only (</w:t>
            </w:r>
            <w:proofErr w:type="spellStart"/>
            <w:r w:rsidRPr="0065103C">
              <w:rPr>
                <w:rFonts w:ascii="Arial" w:eastAsiaTheme="minorHAnsi" w:hAnsi="Arial" w:cs="Arial"/>
                <w:sz w:val="20"/>
                <w:szCs w:val="20"/>
                <w:lang w:eastAsia="en-NZ"/>
              </w:rPr>
              <w:t>ie</w:t>
            </w:r>
            <w:proofErr w:type="spellEnd"/>
            <w:r w:rsidRPr="0065103C">
              <w:rPr>
                <w:rFonts w:ascii="Arial" w:eastAsiaTheme="minorHAnsi" w:hAnsi="Arial" w:cs="Arial"/>
                <w:sz w:val="20"/>
                <w:szCs w:val="20"/>
                <w:lang w:eastAsia="en-NZ"/>
              </w:rPr>
              <w:t xml:space="preserve"> thrombolysis followed by clot retrieval is counted once. A second clot requiring intervention after a short interval may be counted as a second stroke event).</w:t>
            </w:r>
            <w:r w:rsidRPr="0065103C">
              <w:rPr>
                <w:rFonts w:ascii="Arial" w:eastAsiaTheme="minorHAnsi" w:hAnsi="Arial" w:cs="Arial"/>
                <w:sz w:val="20"/>
                <w:szCs w:val="20"/>
              </w:rPr>
              <w:t xml:space="preserve"> The </w:t>
            </w:r>
            <w:r w:rsidRPr="0065103C">
              <w:rPr>
                <w:rFonts w:ascii="Arial" w:eastAsiaTheme="minorHAnsi" w:hAnsi="Arial" w:cs="Arial"/>
                <w:sz w:val="20"/>
                <w:szCs w:val="20"/>
                <w:lang w:eastAsia="en-NZ"/>
              </w:rPr>
              <w:t>hospital providing this service should be included</w:t>
            </w:r>
          </w:p>
          <w:p w14:paraId="7B4C7D9B" w14:textId="77777777" w:rsidR="00786B03" w:rsidRPr="0065103C" w:rsidRDefault="00786B03" w:rsidP="004B1778">
            <w:pPr>
              <w:contextualSpacing/>
              <w:jc w:val="both"/>
              <w:rPr>
                <w:rFonts w:ascii="Arial" w:eastAsia="Calibri" w:hAnsi="Arial" w:cs="Arial"/>
                <w:sz w:val="20"/>
                <w:szCs w:val="20"/>
              </w:rPr>
            </w:pPr>
          </w:p>
          <w:p w14:paraId="407BAB74"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Inpatient Rehabilitation</w:t>
            </w:r>
          </w:p>
          <w:p w14:paraId="636D5CA0"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All eligible people with stroke receive early active rehabilitation services (as defined by the National Stroke Network), supported by an interdisciplinary stroke team.  Hospitals designated as providing an ‘Organised Stroke Rehabilitation Service’ should have a designated area with stroke patients spending the majority of their rehabilitation stay in this ‘unit’. If organised stroke rehabilitation services are not available, patients should be offered a transfer to a more specialised centre using a defined and agreed pathway. Formalised remote support from a larger service may in some instances be a further option.</w:t>
            </w:r>
          </w:p>
          <w:p w14:paraId="75875E02" w14:textId="77777777" w:rsidR="00786B03" w:rsidRPr="0065103C" w:rsidRDefault="00786B03" w:rsidP="004B1778">
            <w:pPr>
              <w:jc w:val="both"/>
              <w:rPr>
                <w:rFonts w:ascii="Arial" w:eastAsia="Calibri" w:hAnsi="Arial" w:cs="Arial"/>
                <w:sz w:val="20"/>
                <w:szCs w:val="20"/>
              </w:rPr>
            </w:pPr>
          </w:p>
          <w:p w14:paraId="652E648A"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Community Rehabilitation</w:t>
            </w:r>
          </w:p>
          <w:p w14:paraId="3FD3FF0A"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 xml:space="preserve">All eligible people with stroke have equitable access to community stroke services. Community stroke rehabilitation includes access to rehabilitation in the home environment, outpatient services and the community of the person with stroke. All stroke patients should have access to community rehabilitation which is not limited by age.  Return-to-work issues (where relevant) </w:t>
            </w:r>
            <w:r w:rsidRPr="0065103C">
              <w:rPr>
                <w:rFonts w:ascii="Arial" w:eastAsia="Calibri" w:hAnsi="Arial" w:cs="Arial"/>
                <w:sz w:val="20"/>
                <w:szCs w:val="20"/>
              </w:rPr>
              <w:lastRenderedPageBreak/>
              <w:t>should be identified as soon as possible after the person's stroke, reviewed regularly and managed actively by the community team.</w:t>
            </w:r>
          </w:p>
          <w:p w14:paraId="42EBF49B" w14:textId="77777777" w:rsidR="00786B03" w:rsidRPr="0065103C" w:rsidRDefault="00786B03" w:rsidP="004B1778">
            <w:pPr>
              <w:jc w:val="both"/>
              <w:rPr>
                <w:rFonts w:ascii="Arial" w:eastAsia="Calibri" w:hAnsi="Arial" w:cs="Arial"/>
                <w:sz w:val="20"/>
                <w:szCs w:val="20"/>
              </w:rPr>
            </w:pPr>
          </w:p>
          <w:p w14:paraId="7113AD35" w14:textId="77777777" w:rsidR="00786B03" w:rsidRPr="0065103C" w:rsidRDefault="00786B03" w:rsidP="004B1778">
            <w:pPr>
              <w:jc w:val="both"/>
              <w:rPr>
                <w:rFonts w:ascii="Arial" w:eastAsia="Calibri" w:hAnsi="Arial" w:cs="Arial"/>
                <w:sz w:val="20"/>
                <w:szCs w:val="20"/>
              </w:rPr>
            </w:pPr>
            <w:r w:rsidRPr="0065103C">
              <w:rPr>
                <w:rFonts w:ascii="Arial" w:eastAsia="Calibri" w:hAnsi="Arial" w:cs="Arial"/>
                <w:sz w:val="20"/>
                <w:szCs w:val="20"/>
              </w:rPr>
              <w:t>Minimum specific organised acute stroke service specifications and stroke rehabilitation specifications are included as Appendix two.</w:t>
            </w:r>
          </w:p>
        </w:tc>
      </w:tr>
    </w:tbl>
    <w:p w14:paraId="6B75CCAC" w14:textId="77777777" w:rsidR="00786B03" w:rsidRDefault="00786B03" w:rsidP="00786B03">
      <w:pPr>
        <w:shd w:val="clear" w:color="auto" w:fill="FFFFFF"/>
        <w:rPr>
          <w:sz w:val="28"/>
          <w:szCs w:val="28"/>
        </w:rPr>
      </w:pPr>
    </w:p>
    <w:p w14:paraId="7942B235" w14:textId="410F1023" w:rsidR="009D6F69" w:rsidRDefault="009D6F69" w:rsidP="009D6F69">
      <w:pPr>
        <w:shd w:val="clear" w:color="auto" w:fill="FFFFFF"/>
        <w:rPr>
          <w:rFonts w:ascii="Arial" w:hAnsi="Arial" w:cs="Arial"/>
          <w:b/>
          <w:sz w:val="22"/>
          <w:szCs w:val="22"/>
          <w:lang w:eastAsia="en-GB"/>
        </w:rPr>
      </w:pPr>
      <w:r w:rsidRPr="009D6F69">
        <w:rPr>
          <w:rFonts w:ascii="Arial" w:hAnsi="Arial" w:cs="Arial"/>
          <w:b/>
          <w:sz w:val="22"/>
          <w:szCs w:val="22"/>
          <w:lang w:eastAsia="en-GB"/>
        </w:rPr>
        <w:br w:type="page"/>
      </w:r>
    </w:p>
    <w:p w14:paraId="1EAB77A0" w14:textId="77777777" w:rsidR="00627C70" w:rsidRPr="00C01F39" w:rsidRDefault="00627C70" w:rsidP="003A078B">
      <w:pPr>
        <w:pStyle w:val="NoSpacing"/>
      </w:pPr>
      <w:r>
        <w:lastRenderedPageBreak/>
        <w:t>Outcome priority</w:t>
      </w:r>
      <w:r w:rsidRPr="003060FE">
        <w:t xml:space="preserve">:  </w:t>
      </w:r>
      <w:r w:rsidRPr="00C01F39">
        <w:t>we have improved quality of life.</w:t>
      </w:r>
    </w:p>
    <w:p w14:paraId="0188B979" w14:textId="77777777" w:rsidR="00427CB1" w:rsidRPr="00DA2E3E" w:rsidRDefault="00427CB1" w:rsidP="00427CB1">
      <w:pPr>
        <w:spacing w:before="60" w:after="60"/>
        <w:jc w:val="both"/>
        <w:rPr>
          <w:rFonts w:ascii="Arial" w:hAnsi="Arial" w:cs="Arial"/>
          <w:b/>
          <w:i/>
          <w:sz w:val="28"/>
          <w:szCs w:val="28"/>
        </w:rPr>
      </w:pPr>
      <w:r w:rsidRPr="00DA2E3E">
        <w:rPr>
          <w:rFonts w:ascii="Arial" w:hAnsi="Arial" w:cs="Arial"/>
          <w:b/>
          <w:i/>
          <w:sz w:val="28"/>
          <w:szCs w:val="28"/>
        </w:rPr>
        <w:t>Better population health outcomes supported by a strong and equitable public health and disability system SS15: Improving waiting times for colonoscopies</w:t>
      </w:r>
    </w:p>
    <w:p w14:paraId="753FF97F" w14:textId="77777777" w:rsidR="00427CB1" w:rsidRPr="00DA2E3E" w:rsidRDefault="00427CB1" w:rsidP="00427CB1">
      <w:pPr>
        <w:rPr>
          <w:i/>
        </w:rPr>
      </w:pP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1"/>
      </w:tblGrid>
      <w:tr w:rsidR="00427CB1" w:rsidRPr="00DA2E3E" w14:paraId="46784146" w14:textId="77777777" w:rsidTr="00705127">
        <w:tc>
          <w:tcPr>
            <w:tcW w:w="100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53733A" w14:textId="77777777" w:rsidR="00427CB1" w:rsidRPr="00DA2E3E" w:rsidRDefault="00427CB1" w:rsidP="00705127">
            <w:pPr>
              <w:shd w:val="clear" w:color="auto" w:fill="FFFFFF"/>
              <w:spacing w:before="60" w:after="60"/>
              <w:jc w:val="center"/>
              <w:rPr>
                <w:rFonts w:ascii="Arial" w:hAnsi="Arial" w:cs="Arial"/>
                <w:b/>
              </w:rPr>
            </w:pPr>
            <w:r w:rsidRPr="00DA2E3E">
              <w:rPr>
                <w:rFonts w:ascii="Arial" w:hAnsi="Arial" w:cs="Arial"/>
                <w:b/>
              </w:rPr>
              <w:t>Summary information</w:t>
            </w:r>
          </w:p>
        </w:tc>
      </w:tr>
      <w:tr w:rsidR="00427CB1" w:rsidRPr="00DA2E3E" w14:paraId="49625023" w14:textId="77777777" w:rsidTr="00705127">
        <w:tc>
          <w:tcPr>
            <w:tcW w:w="2864" w:type="dxa"/>
            <w:tcBorders>
              <w:top w:val="single" w:sz="4" w:space="0" w:color="auto"/>
              <w:left w:val="single" w:sz="4" w:space="0" w:color="auto"/>
              <w:bottom w:val="single" w:sz="4" w:space="0" w:color="auto"/>
              <w:right w:val="single" w:sz="4" w:space="0" w:color="auto"/>
            </w:tcBorders>
            <w:hideMark/>
          </w:tcPr>
          <w:p w14:paraId="0E6D0608" w14:textId="77777777" w:rsidR="00427CB1" w:rsidRPr="00DA2E3E" w:rsidRDefault="00427CB1" w:rsidP="00705127">
            <w:pPr>
              <w:shd w:val="clear" w:color="auto" w:fill="FFFFFF"/>
              <w:spacing w:before="60" w:after="60"/>
              <w:rPr>
                <w:rFonts w:ascii="Arial" w:hAnsi="Arial" w:cs="Arial"/>
                <w:b/>
                <w:i/>
                <w:sz w:val="20"/>
                <w:szCs w:val="20"/>
              </w:rPr>
            </w:pPr>
            <w:r w:rsidRPr="00DA2E3E">
              <w:rPr>
                <w:rFonts w:ascii="Arial" w:hAnsi="Arial" w:cs="Arial"/>
                <w:b/>
                <w:i/>
                <w:sz w:val="20"/>
                <w:szCs w:val="20"/>
              </w:rPr>
              <w:t>Target/performance expectation</w:t>
            </w:r>
          </w:p>
        </w:tc>
        <w:tc>
          <w:tcPr>
            <w:tcW w:w="7230" w:type="dxa"/>
            <w:tcBorders>
              <w:top w:val="single" w:sz="4" w:space="0" w:color="auto"/>
              <w:left w:val="single" w:sz="4" w:space="0" w:color="auto"/>
              <w:bottom w:val="single" w:sz="4" w:space="0" w:color="auto"/>
              <w:right w:val="single" w:sz="4" w:space="0" w:color="auto"/>
            </w:tcBorders>
            <w:hideMark/>
          </w:tcPr>
          <w:p w14:paraId="078D0E17" w14:textId="77777777" w:rsidR="00427CB1" w:rsidRPr="00DA2E3E" w:rsidRDefault="00427CB1" w:rsidP="00705127">
            <w:pPr>
              <w:shd w:val="clear" w:color="auto" w:fill="FFFFFF"/>
              <w:spacing w:before="60" w:after="60"/>
              <w:jc w:val="both"/>
              <w:rPr>
                <w:rFonts w:ascii="Arial" w:hAnsi="Arial" w:cs="Arial"/>
                <w:b/>
                <w:i/>
                <w:sz w:val="20"/>
                <w:szCs w:val="20"/>
              </w:rPr>
            </w:pPr>
            <w:r w:rsidRPr="00DA2E3E">
              <w:rPr>
                <w:rFonts w:ascii="Arial" w:hAnsi="Arial" w:cs="Arial"/>
                <w:sz w:val="20"/>
                <w:szCs w:val="20"/>
              </w:rPr>
              <w:t>Agreed in DHB Annual Plan</w:t>
            </w:r>
          </w:p>
        </w:tc>
      </w:tr>
      <w:tr w:rsidR="00427CB1" w:rsidRPr="00DA2E3E" w14:paraId="4E2EB5B6" w14:textId="77777777" w:rsidTr="00705127">
        <w:trPr>
          <w:trHeight w:val="493"/>
        </w:trPr>
        <w:tc>
          <w:tcPr>
            <w:tcW w:w="2864" w:type="dxa"/>
            <w:tcBorders>
              <w:top w:val="single" w:sz="4" w:space="0" w:color="auto"/>
              <w:left w:val="single" w:sz="4" w:space="0" w:color="auto"/>
              <w:bottom w:val="single" w:sz="4" w:space="0" w:color="auto"/>
              <w:right w:val="single" w:sz="4" w:space="0" w:color="auto"/>
            </w:tcBorders>
            <w:hideMark/>
          </w:tcPr>
          <w:p w14:paraId="5BA92901" w14:textId="77777777" w:rsidR="00427CB1" w:rsidRPr="00DA2E3E" w:rsidRDefault="00427CB1" w:rsidP="00705127">
            <w:pPr>
              <w:shd w:val="clear" w:color="auto" w:fill="FFFFFF"/>
              <w:spacing w:before="60" w:after="60"/>
              <w:rPr>
                <w:rFonts w:ascii="Arial" w:hAnsi="Arial" w:cs="Arial"/>
                <w:b/>
                <w:i/>
                <w:sz w:val="20"/>
                <w:szCs w:val="20"/>
              </w:rPr>
            </w:pPr>
            <w:r w:rsidRPr="00DA2E3E">
              <w:rPr>
                <w:rFonts w:ascii="Arial" w:hAnsi="Arial" w:cs="Arial"/>
                <w:b/>
                <w:i/>
                <w:sz w:val="20"/>
                <w:szCs w:val="20"/>
              </w:rPr>
              <w:t>Reporting frequency</w:t>
            </w:r>
          </w:p>
        </w:tc>
        <w:tc>
          <w:tcPr>
            <w:tcW w:w="7230" w:type="dxa"/>
            <w:tcBorders>
              <w:top w:val="single" w:sz="4" w:space="0" w:color="auto"/>
              <w:left w:val="single" w:sz="4" w:space="0" w:color="auto"/>
              <w:bottom w:val="single" w:sz="4" w:space="0" w:color="auto"/>
              <w:right w:val="single" w:sz="4" w:space="0" w:color="auto"/>
            </w:tcBorders>
            <w:hideMark/>
          </w:tcPr>
          <w:p w14:paraId="0396E07C" w14:textId="236044BC" w:rsidR="00427CB1" w:rsidRPr="00DA2E3E" w:rsidRDefault="00427CB1" w:rsidP="00705127">
            <w:pPr>
              <w:shd w:val="clear" w:color="auto" w:fill="FFFFFF"/>
              <w:spacing w:before="60" w:after="60"/>
              <w:jc w:val="both"/>
              <w:rPr>
                <w:rFonts w:ascii="Arial" w:hAnsi="Arial" w:cs="Arial"/>
                <w:sz w:val="20"/>
                <w:szCs w:val="20"/>
              </w:rPr>
            </w:pPr>
            <w:r w:rsidRPr="00DA2E3E">
              <w:rPr>
                <w:rFonts w:ascii="Arial" w:hAnsi="Arial" w:cs="Arial"/>
                <w:sz w:val="20"/>
                <w:szCs w:val="20"/>
              </w:rPr>
              <w:t>Quarterly</w:t>
            </w:r>
          </w:p>
        </w:tc>
      </w:tr>
      <w:tr w:rsidR="00427CB1" w:rsidRPr="00DA2E3E" w14:paraId="43A859FB" w14:textId="77777777" w:rsidTr="00705127">
        <w:tc>
          <w:tcPr>
            <w:tcW w:w="2864" w:type="dxa"/>
            <w:tcBorders>
              <w:top w:val="single" w:sz="4" w:space="0" w:color="auto"/>
              <w:left w:val="single" w:sz="4" w:space="0" w:color="auto"/>
              <w:bottom w:val="single" w:sz="4" w:space="0" w:color="auto"/>
              <w:right w:val="single" w:sz="4" w:space="0" w:color="auto"/>
            </w:tcBorders>
            <w:hideMark/>
          </w:tcPr>
          <w:p w14:paraId="70FDD796" w14:textId="77777777" w:rsidR="00427CB1" w:rsidRPr="00DA2E3E" w:rsidRDefault="00427CB1" w:rsidP="00705127">
            <w:pPr>
              <w:shd w:val="clear" w:color="auto" w:fill="FFFFFF"/>
              <w:spacing w:before="60" w:after="60"/>
              <w:rPr>
                <w:rFonts w:ascii="Arial" w:hAnsi="Arial" w:cs="Arial"/>
                <w:b/>
                <w:i/>
                <w:sz w:val="20"/>
                <w:szCs w:val="20"/>
              </w:rPr>
            </w:pPr>
            <w:r w:rsidRPr="00DA2E3E">
              <w:rPr>
                <w:rFonts w:ascii="Arial" w:hAnsi="Arial" w:cs="Arial"/>
                <w:b/>
                <w:i/>
                <w:sz w:val="20"/>
                <w:szCs w:val="20"/>
              </w:rPr>
              <w:t>Source information for reporting provided by:</w:t>
            </w:r>
          </w:p>
        </w:tc>
        <w:tc>
          <w:tcPr>
            <w:tcW w:w="7230" w:type="dxa"/>
            <w:tcBorders>
              <w:top w:val="single" w:sz="4" w:space="0" w:color="auto"/>
              <w:left w:val="single" w:sz="4" w:space="0" w:color="auto"/>
              <w:bottom w:val="single" w:sz="4" w:space="0" w:color="auto"/>
              <w:right w:val="single" w:sz="4" w:space="0" w:color="auto"/>
            </w:tcBorders>
            <w:hideMark/>
          </w:tcPr>
          <w:p w14:paraId="554498D7" w14:textId="77777777" w:rsidR="00427CB1" w:rsidRPr="00DA2E3E" w:rsidRDefault="00427CB1" w:rsidP="00705127">
            <w:pPr>
              <w:shd w:val="clear" w:color="auto" w:fill="FFFFFF"/>
              <w:spacing w:before="60" w:after="60"/>
              <w:rPr>
                <w:rFonts w:ascii="Arial" w:hAnsi="Arial" w:cs="Arial"/>
                <w:i/>
                <w:sz w:val="20"/>
                <w:szCs w:val="20"/>
              </w:rPr>
            </w:pPr>
            <w:r w:rsidRPr="00DA2E3E">
              <w:rPr>
                <w:rFonts w:ascii="Arial" w:hAnsi="Arial" w:cs="Arial"/>
                <w:i/>
                <w:sz w:val="20"/>
                <w:szCs w:val="20"/>
              </w:rPr>
              <w:t xml:space="preserve">Reports to be supplied by DHBs as indicated </w:t>
            </w:r>
          </w:p>
        </w:tc>
      </w:tr>
      <w:tr w:rsidR="00427CB1" w:rsidRPr="00DA2E3E" w14:paraId="58E6D5BC" w14:textId="77777777" w:rsidTr="00705127">
        <w:trPr>
          <w:trHeight w:val="2182"/>
        </w:trPr>
        <w:tc>
          <w:tcPr>
            <w:tcW w:w="2864" w:type="dxa"/>
            <w:tcBorders>
              <w:top w:val="single" w:sz="4" w:space="0" w:color="auto"/>
              <w:left w:val="single" w:sz="4" w:space="0" w:color="auto"/>
              <w:bottom w:val="single" w:sz="4" w:space="0" w:color="auto"/>
              <w:right w:val="single" w:sz="4" w:space="0" w:color="auto"/>
            </w:tcBorders>
            <w:hideMark/>
          </w:tcPr>
          <w:p w14:paraId="2C90BEE9" w14:textId="77777777" w:rsidR="00427CB1" w:rsidRPr="00DA2E3E" w:rsidRDefault="00427CB1" w:rsidP="00705127">
            <w:pPr>
              <w:shd w:val="clear" w:color="auto" w:fill="FFFFFF"/>
              <w:spacing w:before="60" w:after="60"/>
              <w:rPr>
                <w:rFonts w:ascii="Arial" w:hAnsi="Arial" w:cs="Arial"/>
                <w:b/>
                <w:i/>
                <w:sz w:val="20"/>
                <w:szCs w:val="20"/>
              </w:rPr>
            </w:pPr>
            <w:r w:rsidRPr="00DA2E3E">
              <w:rPr>
                <w:rFonts w:ascii="Arial" w:hAnsi="Arial" w:cs="Arial"/>
                <w:b/>
                <w:i/>
                <w:sz w:val="20"/>
                <w:szCs w:val="20"/>
              </w:rPr>
              <w:t>Quarterly reporting - standard timeline applies</w:t>
            </w:r>
          </w:p>
        </w:tc>
        <w:tc>
          <w:tcPr>
            <w:tcW w:w="7230" w:type="dxa"/>
            <w:tcBorders>
              <w:top w:val="single" w:sz="4" w:space="0" w:color="auto"/>
              <w:left w:val="single" w:sz="4" w:space="0" w:color="auto"/>
              <w:bottom w:val="single" w:sz="4" w:space="0" w:color="auto"/>
              <w:right w:val="single" w:sz="4" w:space="0" w:color="auto"/>
            </w:tcBorders>
          </w:tcPr>
          <w:p w14:paraId="47F8CA7C" w14:textId="77777777" w:rsidR="00427CB1" w:rsidRPr="00DA2E3E" w:rsidRDefault="00427CB1" w:rsidP="00705127">
            <w:pPr>
              <w:shd w:val="clear" w:color="auto" w:fill="FFFFFF"/>
              <w:spacing w:before="60" w:after="60"/>
              <w:jc w:val="both"/>
              <w:rPr>
                <w:rFonts w:ascii="Arial" w:hAnsi="Arial" w:cs="Arial"/>
                <w:i/>
                <w:sz w:val="16"/>
                <w:szCs w:val="16"/>
              </w:rPr>
            </w:pPr>
          </w:p>
          <w:tbl>
            <w:tblPr>
              <w:tblW w:w="7110" w:type="dxa"/>
              <w:jc w:val="center"/>
              <w:tblLayout w:type="fixed"/>
              <w:tblLook w:val="04A0" w:firstRow="1" w:lastRow="0" w:firstColumn="1" w:lastColumn="0" w:noHBand="0" w:noVBand="1"/>
            </w:tblPr>
            <w:tblGrid>
              <w:gridCol w:w="3003"/>
              <w:gridCol w:w="4107"/>
            </w:tblGrid>
            <w:tr w:rsidR="00427CB1" w:rsidRPr="00DA2E3E" w14:paraId="506E1005"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E7CC8B8"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42D143D"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20th of the month following the end of the quarter</w:t>
                  </w:r>
                </w:p>
              </w:tc>
            </w:tr>
            <w:tr w:rsidR="00427CB1" w:rsidRPr="00DA2E3E" w14:paraId="5A0F8E5B"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96981EF"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FAA79CD"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8-10 working days from receiving reports</w:t>
                  </w:r>
                </w:p>
              </w:tc>
            </w:tr>
            <w:tr w:rsidR="00427CB1" w:rsidRPr="00DA2E3E" w14:paraId="3726D339"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21D50D94"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576BC6A"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5 working days from receiving initial ratings</w:t>
                  </w:r>
                </w:p>
              </w:tc>
            </w:tr>
            <w:tr w:rsidR="00427CB1" w:rsidRPr="00DA2E3E" w14:paraId="5376CD93"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noWrap/>
                  <w:vAlign w:val="center"/>
                  <w:hideMark/>
                </w:tcPr>
                <w:p w14:paraId="67820BB2"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3078B47" w14:textId="77777777" w:rsidR="00427CB1" w:rsidRPr="00DA2E3E" w:rsidRDefault="00427CB1" w:rsidP="00705127">
                  <w:pPr>
                    <w:ind w:left="205" w:hanging="205"/>
                    <w:rPr>
                      <w:rFonts w:ascii="Calibri" w:hAnsi="Calibri"/>
                      <w:sz w:val="20"/>
                      <w:szCs w:val="20"/>
                    </w:rPr>
                  </w:pPr>
                  <w:r w:rsidRPr="00DA2E3E">
                    <w:rPr>
                      <w:rFonts w:ascii="Calibri" w:hAnsi="Calibri"/>
                      <w:sz w:val="20"/>
                      <w:szCs w:val="20"/>
                    </w:rPr>
                    <w:t>4-5 working days from receiving DHB feedback</w:t>
                  </w:r>
                </w:p>
              </w:tc>
            </w:tr>
          </w:tbl>
          <w:p w14:paraId="0FB975BF" w14:textId="77777777" w:rsidR="00427CB1" w:rsidRPr="00DA2E3E" w:rsidRDefault="00427CB1" w:rsidP="00705127">
            <w:pPr>
              <w:shd w:val="clear" w:color="auto" w:fill="FFFFFF"/>
              <w:spacing w:before="60" w:after="60"/>
              <w:jc w:val="both"/>
              <w:rPr>
                <w:rFonts w:ascii="Arial" w:hAnsi="Arial" w:cs="Arial"/>
                <w:i/>
                <w:sz w:val="16"/>
                <w:szCs w:val="16"/>
              </w:rPr>
            </w:pPr>
          </w:p>
        </w:tc>
      </w:tr>
    </w:tbl>
    <w:p w14:paraId="2AA273BA" w14:textId="77777777" w:rsidR="00427CB1" w:rsidRDefault="00427CB1" w:rsidP="00427CB1">
      <w:pPr>
        <w:spacing w:before="60" w:after="60"/>
        <w:jc w:val="both"/>
        <w:rPr>
          <w:rFonts w:ascii="Arial" w:hAnsi="Arial" w:cs="Arial"/>
          <w:b/>
        </w:rPr>
      </w:pPr>
    </w:p>
    <w:p w14:paraId="353E65A9" w14:textId="77777777" w:rsidR="00427CB1" w:rsidRPr="003D108F" w:rsidRDefault="00427CB1" w:rsidP="00427CB1">
      <w:pPr>
        <w:spacing w:before="60" w:after="60"/>
        <w:jc w:val="both"/>
        <w:rPr>
          <w:rFonts w:ascii="Arial" w:hAnsi="Arial" w:cs="Arial"/>
          <w:b/>
        </w:rPr>
      </w:pPr>
      <w:r w:rsidRPr="003D108F">
        <w:rPr>
          <w:rFonts w:ascii="Arial" w:hAnsi="Arial" w:cs="Arial"/>
          <w:b/>
        </w:rPr>
        <w:t>Links to priorities and outcomes.</w:t>
      </w:r>
    </w:p>
    <w:p w14:paraId="35CEDBFD" w14:textId="77777777" w:rsidR="00427CB1" w:rsidRPr="003D108F" w:rsidRDefault="00427CB1" w:rsidP="00427CB1">
      <w:pPr>
        <w:spacing w:before="60" w:after="60"/>
        <w:jc w:val="both"/>
        <w:rPr>
          <w:rFonts w:ascii="Arial" w:hAnsi="Arial" w:cs="Arial"/>
        </w:rPr>
      </w:pPr>
      <w:r w:rsidRPr="003D108F">
        <w:rPr>
          <w:rFonts w:ascii="Arial" w:hAnsi="Arial" w:cs="Arial"/>
        </w:rPr>
        <w:t xml:space="preserve">Delivery of this measure supports the vision for the New Zealand health and disability system of </w:t>
      </w:r>
      <w:proofErr w:type="spellStart"/>
      <w:r w:rsidRPr="003D108F">
        <w:rPr>
          <w:rFonts w:ascii="Arial" w:hAnsi="Arial" w:cs="Arial"/>
        </w:rPr>
        <w:t>Pae</w:t>
      </w:r>
      <w:proofErr w:type="spellEnd"/>
      <w:r w:rsidRPr="003D108F">
        <w:rPr>
          <w:rFonts w:ascii="Arial" w:hAnsi="Arial" w:cs="Arial"/>
        </w:rPr>
        <w:t xml:space="preserve"> Ora – healthy futures.  Improvements most strongly support the Government’s priority outcomes of supporting healthier, safer and more connected communities and the key health system outcome that we have equity for Maori and other groups. </w:t>
      </w:r>
    </w:p>
    <w:p w14:paraId="5BDA3959" w14:textId="77777777" w:rsidR="00427CB1" w:rsidRPr="003D108F" w:rsidRDefault="00427CB1" w:rsidP="00427CB1">
      <w:pPr>
        <w:spacing w:before="60" w:after="60"/>
        <w:jc w:val="both"/>
        <w:rPr>
          <w:rFonts w:ascii="Arial" w:hAnsi="Arial" w:cs="Arial"/>
        </w:rPr>
      </w:pPr>
    </w:p>
    <w:p w14:paraId="5DD6ED43" w14:textId="77777777" w:rsidR="00427CB1" w:rsidRPr="003D108F" w:rsidRDefault="00427CB1" w:rsidP="00427CB1">
      <w:pPr>
        <w:spacing w:before="60" w:after="60"/>
        <w:jc w:val="both"/>
        <w:rPr>
          <w:rFonts w:ascii="Arial" w:hAnsi="Arial" w:cs="Arial"/>
        </w:rPr>
      </w:pPr>
      <w:r w:rsidRPr="003D108F">
        <w:rPr>
          <w:rFonts w:ascii="Arial" w:hAnsi="Arial" w:cs="Arial"/>
        </w:rPr>
        <w:t>Improving</w:t>
      </w:r>
      <w:r>
        <w:rPr>
          <w:rFonts w:ascii="Arial" w:hAnsi="Arial" w:cs="Arial"/>
        </w:rPr>
        <w:t xml:space="preserve"> waiting times for</w:t>
      </w:r>
      <w:r w:rsidRPr="003D108F">
        <w:rPr>
          <w:rFonts w:ascii="Arial" w:hAnsi="Arial" w:cs="Arial"/>
        </w:rPr>
        <w:t xml:space="preserve"> colonoscopies will improve patient outcomes by:</w:t>
      </w:r>
    </w:p>
    <w:p w14:paraId="19590CB1" w14:textId="77777777" w:rsidR="00427CB1" w:rsidRPr="000914E6" w:rsidRDefault="00427CB1" w:rsidP="00C04FF1">
      <w:pPr>
        <w:numPr>
          <w:ilvl w:val="0"/>
          <w:numId w:val="94"/>
        </w:numPr>
        <w:spacing w:before="60" w:after="60"/>
        <w:jc w:val="both"/>
        <w:rPr>
          <w:rFonts w:ascii="Arial" w:hAnsi="Arial" w:cs="Arial"/>
        </w:rPr>
      </w:pPr>
      <w:r w:rsidRPr="003D108F">
        <w:rPr>
          <w:rFonts w:ascii="Arial" w:hAnsi="Arial" w:cs="Arial"/>
        </w:rPr>
        <w:t>Shortening the bowel cancer pathway enabling better access to a range of diagnostic modalities.</w:t>
      </w:r>
    </w:p>
    <w:p w14:paraId="0848A49E" w14:textId="77777777" w:rsidR="00427CB1" w:rsidRPr="003D108F" w:rsidRDefault="00427CB1" w:rsidP="00C04FF1">
      <w:pPr>
        <w:numPr>
          <w:ilvl w:val="0"/>
          <w:numId w:val="94"/>
        </w:numPr>
        <w:spacing w:before="60" w:after="60"/>
        <w:jc w:val="both"/>
        <w:rPr>
          <w:rFonts w:ascii="Arial" w:hAnsi="Arial" w:cs="Arial"/>
        </w:rPr>
      </w:pPr>
      <w:r w:rsidRPr="003D108F">
        <w:rPr>
          <w:rFonts w:ascii="Arial" w:hAnsi="Arial" w:cs="Arial"/>
        </w:rPr>
        <w:t>Supporting the achievement of National Bowel Screening Programme (NBSP) targets.</w:t>
      </w:r>
    </w:p>
    <w:p w14:paraId="65DFEB5B" w14:textId="77777777" w:rsidR="00427CB1" w:rsidRPr="003D108F" w:rsidRDefault="00427CB1" w:rsidP="00C04FF1">
      <w:pPr>
        <w:numPr>
          <w:ilvl w:val="0"/>
          <w:numId w:val="94"/>
        </w:numPr>
        <w:spacing w:before="60" w:after="60"/>
        <w:jc w:val="both"/>
        <w:rPr>
          <w:rFonts w:ascii="Arial" w:hAnsi="Arial" w:cs="Arial"/>
        </w:rPr>
      </w:pPr>
      <w:r w:rsidRPr="003D108F">
        <w:rPr>
          <w:rFonts w:ascii="Arial" w:hAnsi="Arial" w:cs="Arial"/>
        </w:rPr>
        <w:t>Improving Emergency Department (ED) waiting times when patients have more timely access to diagnostics.</w:t>
      </w:r>
    </w:p>
    <w:p w14:paraId="5A54F778" w14:textId="77777777" w:rsidR="00427CB1" w:rsidRPr="003D108F" w:rsidRDefault="00427CB1" w:rsidP="00C04FF1">
      <w:pPr>
        <w:numPr>
          <w:ilvl w:val="0"/>
          <w:numId w:val="94"/>
        </w:numPr>
        <w:spacing w:before="60" w:after="60"/>
        <w:jc w:val="both"/>
        <w:rPr>
          <w:rFonts w:ascii="Arial" w:hAnsi="Arial" w:cs="Arial"/>
        </w:rPr>
      </w:pPr>
      <w:r w:rsidRPr="003D108F">
        <w:rPr>
          <w:rFonts w:ascii="Arial" w:hAnsi="Arial" w:cs="Arial"/>
        </w:rPr>
        <w:t>Improving access to elective services both in relation to treatment decision-making and improved use of hospital beds and resources.</w:t>
      </w:r>
    </w:p>
    <w:p w14:paraId="08A6A8A3" w14:textId="77777777" w:rsidR="00427CB1" w:rsidRDefault="00427CB1" w:rsidP="00427CB1">
      <w:pPr>
        <w:spacing w:before="60" w:after="60"/>
        <w:jc w:val="both"/>
        <w:rPr>
          <w:rFonts w:ascii="Arial" w:hAnsi="Arial" w:cs="Arial"/>
        </w:rPr>
      </w:pPr>
    </w:p>
    <w:p w14:paraId="7CA03A38" w14:textId="77777777" w:rsidR="00427CB1" w:rsidRPr="003D108F" w:rsidRDefault="00427CB1" w:rsidP="00427CB1">
      <w:pPr>
        <w:spacing w:before="60" w:after="60"/>
        <w:jc w:val="both"/>
        <w:rPr>
          <w:rFonts w:ascii="Arial" w:hAnsi="Arial" w:cs="Arial"/>
        </w:rPr>
      </w:pPr>
      <w:r>
        <w:rPr>
          <w:rFonts w:ascii="Arial" w:hAnsi="Arial" w:cs="Arial"/>
        </w:rPr>
        <w:t>Context</w:t>
      </w:r>
    </w:p>
    <w:p w14:paraId="29E681B6" w14:textId="77777777" w:rsidR="00427CB1" w:rsidRDefault="00427CB1" w:rsidP="00427CB1">
      <w:pPr>
        <w:spacing w:before="60" w:after="60"/>
        <w:jc w:val="both"/>
        <w:rPr>
          <w:rFonts w:ascii="Arial" w:hAnsi="Arial" w:cs="Arial"/>
        </w:rPr>
      </w:pPr>
    </w:p>
    <w:p w14:paraId="0B0AF744" w14:textId="77777777" w:rsidR="00427CB1" w:rsidRDefault="00427CB1" w:rsidP="00427CB1">
      <w:pPr>
        <w:spacing w:before="60" w:after="60"/>
        <w:jc w:val="both"/>
        <w:rPr>
          <w:rFonts w:ascii="Arial" w:hAnsi="Arial" w:cs="Arial"/>
        </w:rPr>
      </w:pPr>
      <w:r w:rsidRPr="003D108F">
        <w:rPr>
          <w:rFonts w:ascii="Arial" w:hAnsi="Arial" w:cs="Arial"/>
        </w:rPr>
        <w:t>Diagnostics are a vital step in the pathway to accessing appropriate treatment.  Improving access to and waiting times for diagnostics</w:t>
      </w:r>
      <w:r>
        <w:rPr>
          <w:rFonts w:ascii="Arial" w:hAnsi="Arial" w:cs="Arial"/>
        </w:rPr>
        <w:t>,</w:t>
      </w:r>
      <w:r w:rsidRPr="003D108F">
        <w:rPr>
          <w:rFonts w:ascii="Arial" w:hAnsi="Arial" w:cs="Arial"/>
        </w:rPr>
        <w:t xml:space="preserve"> can reduce delays to a patient’s episode of care </w:t>
      </w:r>
      <w:r>
        <w:rPr>
          <w:rFonts w:ascii="Arial" w:hAnsi="Arial" w:cs="Arial"/>
        </w:rPr>
        <w:t>from receipt of referral to provision of diagnostic service</w:t>
      </w:r>
      <w:r w:rsidRPr="003D108F">
        <w:rPr>
          <w:rFonts w:ascii="Arial" w:hAnsi="Arial" w:cs="Arial"/>
        </w:rPr>
        <w:t xml:space="preserve">. </w:t>
      </w:r>
    </w:p>
    <w:p w14:paraId="3EBC9E81" w14:textId="77777777" w:rsidR="00427CB1" w:rsidRDefault="00427CB1" w:rsidP="00427CB1">
      <w:pPr>
        <w:autoSpaceDE w:val="0"/>
        <w:autoSpaceDN w:val="0"/>
        <w:adjustRightInd w:val="0"/>
        <w:spacing w:before="120" w:after="120"/>
        <w:jc w:val="both"/>
        <w:rPr>
          <w:rFonts w:ascii="Arial" w:hAnsi="Arial" w:cs="Arial"/>
          <w:color w:val="000000"/>
          <w:lang w:val="en-GB" w:eastAsia="en-GB"/>
        </w:rPr>
      </w:pPr>
    </w:p>
    <w:p w14:paraId="65199A8B" w14:textId="77777777" w:rsidR="00427CB1" w:rsidRPr="00D978EC" w:rsidRDefault="00427CB1" w:rsidP="00427CB1">
      <w:pPr>
        <w:autoSpaceDE w:val="0"/>
        <w:autoSpaceDN w:val="0"/>
        <w:adjustRightInd w:val="0"/>
        <w:spacing w:before="120" w:after="120"/>
        <w:jc w:val="both"/>
        <w:rPr>
          <w:rFonts w:ascii="Arial" w:hAnsi="Arial" w:cs="Arial"/>
          <w:color w:val="000000"/>
          <w:lang w:val="en-GB" w:eastAsia="en-GB"/>
        </w:rPr>
      </w:pPr>
      <w:r w:rsidRPr="00D978EC">
        <w:rPr>
          <w:rFonts w:ascii="Arial" w:hAnsi="Arial" w:cs="Arial"/>
          <w:color w:val="000000"/>
          <w:lang w:val="en-GB" w:eastAsia="en-GB"/>
        </w:rPr>
        <w:t xml:space="preserve">A staged programme to reduce waiting times for diagnostic services </w:t>
      </w:r>
      <w:r>
        <w:rPr>
          <w:rFonts w:ascii="Arial" w:hAnsi="Arial" w:cs="Arial"/>
          <w:color w:val="000000"/>
          <w:lang w:val="en-GB" w:eastAsia="en-GB"/>
        </w:rPr>
        <w:t xml:space="preserve">was </w:t>
      </w:r>
      <w:r w:rsidRPr="00D978EC">
        <w:rPr>
          <w:rFonts w:ascii="Arial" w:hAnsi="Arial" w:cs="Arial"/>
          <w:color w:val="000000"/>
          <w:lang w:val="en-GB" w:eastAsia="en-GB"/>
        </w:rPr>
        <w:t xml:space="preserve">rolled out nationally.  The </w:t>
      </w:r>
      <w:r>
        <w:rPr>
          <w:rFonts w:ascii="Arial" w:hAnsi="Arial" w:cs="Arial"/>
          <w:color w:val="000000"/>
          <w:lang w:val="en-GB" w:eastAsia="en-GB"/>
        </w:rPr>
        <w:t>Ministry of Health worked with clinical networks to</w:t>
      </w:r>
      <w:r w:rsidRPr="00D978EC">
        <w:rPr>
          <w:rFonts w:ascii="Arial" w:hAnsi="Arial" w:cs="Arial"/>
          <w:color w:val="000000"/>
          <w:lang w:val="en-GB" w:eastAsia="en-GB"/>
        </w:rPr>
        <w:t xml:space="preserve"> </w:t>
      </w:r>
      <w:r>
        <w:rPr>
          <w:rFonts w:ascii="Arial" w:hAnsi="Arial" w:cs="Arial"/>
          <w:color w:val="000000"/>
          <w:lang w:val="en-GB" w:eastAsia="en-GB"/>
        </w:rPr>
        <w:t xml:space="preserve">establish nationally agreed timeframe </w:t>
      </w:r>
      <w:r>
        <w:rPr>
          <w:rFonts w:ascii="Arial" w:hAnsi="Arial" w:cs="Arial"/>
          <w:color w:val="000000"/>
          <w:lang w:val="en-GB" w:eastAsia="en-GB"/>
        </w:rPr>
        <w:lastRenderedPageBreak/>
        <w:t>expectations,</w:t>
      </w:r>
      <w:r w:rsidRPr="00D978EC">
        <w:rPr>
          <w:rFonts w:ascii="Arial" w:hAnsi="Arial" w:cs="Arial"/>
          <w:color w:val="000000"/>
          <w:lang w:val="en-GB" w:eastAsia="en-GB"/>
        </w:rPr>
        <w:t xml:space="preserve"> introduc</w:t>
      </w:r>
      <w:r>
        <w:rPr>
          <w:rFonts w:ascii="Arial" w:hAnsi="Arial" w:cs="Arial"/>
          <w:color w:val="000000"/>
          <w:lang w:val="en-GB" w:eastAsia="en-GB"/>
        </w:rPr>
        <w:t>e</w:t>
      </w:r>
      <w:r w:rsidRPr="00D978EC">
        <w:rPr>
          <w:rFonts w:ascii="Arial" w:hAnsi="Arial" w:cs="Arial"/>
          <w:color w:val="000000"/>
          <w:lang w:val="en-GB" w:eastAsia="en-GB"/>
        </w:rPr>
        <w:t xml:space="preserve"> a monitoring and reporting framework, and provid</w:t>
      </w:r>
      <w:r>
        <w:rPr>
          <w:rFonts w:ascii="Arial" w:hAnsi="Arial" w:cs="Arial"/>
          <w:color w:val="000000"/>
          <w:lang w:val="en-GB" w:eastAsia="en-GB"/>
        </w:rPr>
        <w:t>e</w:t>
      </w:r>
      <w:r w:rsidRPr="00D978EC">
        <w:rPr>
          <w:rFonts w:ascii="Arial" w:hAnsi="Arial" w:cs="Arial"/>
          <w:color w:val="000000"/>
          <w:lang w:val="en-GB" w:eastAsia="en-GB"/>
        </w:rPr>
        <w:t xml:space="preserve"> support to </w:t>
      </w:r>
      <w:r>
        <w:rPr>
          <w:rFonts w:ascii="Arial" w:hAnsi="Arial" w:cs="Arial"/>
          <w:color w:val="000000"/>
          <w:lang w:val="en-GB" w:eastAsia="en-GB"/>
        </w:rPr>
        <w:t>d</w:t>
      </w:r>
      <w:r w:rsidRPr="00D978EC">
        <w:rPr>
          <w:rFonts w:ascii="Arial" w:hAnsi="Arial" w:cs="Arial"/>
          <w:color w:val="000000"/>
          <w:lang w:val="en-GB" w:eastAsia="en-GB"/>
        </w:rPr>
        <w:t xml:space="preserve">istrict </w:t>
      </w:r>
      <w:r>
        <w:rPr>
          <w:rFonts w:ascii="Arial" w:hAnsi="Arial" w:cs="Arial"/>
          <w:color w:val="000000"/>
          <w:lang w:val="en-GB" w:eastAsia="en-GB"/>
        </w:rPr>
        <w:t>h</w:t>
      </w:r>
      <w:r w:rsidRPr="00D978EC">
        <w:rPr>
          <w:rFonts w:ascii="Arial" w:hAnsi="Arial" w:cs="Arial"/>
          <w:color w:val="000000"/>
          <w:lang w:val="en-GB" w:eastAsia="en-GB"/>
        </w:rPr>
        <w:t xml:space="preserve">ealth </w:t>
      </w:r>
      <w:r>
        <w:rPr>
          <w:rFonts w:ascii="Arial" w:hAnsi="Arial" w:cs="Arial"/>
          <w:color w:val="000000"/>
          <w:lang w:val="en-GB" w:eastAsia="en-GB"/>
        </w:rPr>
        <w:t>b</w:t>
      </w:r>
      <w:r w:rsidRPr="00D978EC">
        <w:rPr>
          <w:rFonts w:ascii="Arial" w:hAnsi="Arial" w:cs="Arial"/>
          <w:color w:val="000000"/>
          <w:lang w:val="en-GB" w:eastAsia="en-GB"/>
        </w:rPr>
        <w:t>oards (DHBs) and clinical groups to lead the necessary improvement initiatives.</w:t>
      </w:r>
    </w:p>
    <w:p w14:paraId="224AC4FA" w14:textId="77777777" w:rsidR="00427CB1" w:rsidRDefault="00427CB1" w:rsidP="00427CB1">
      <w:pPr>
        <w:spacing w:before="60" w:after="60"/>
        <w:jc w:val="both"/>
        <w:rPr>
          <w:rFonts w:ascii="Arial" w:hAnsi="Arial" w:cs="Arial"/>
        </w:rPr>
      </w:pPr>
    </w:p>
    <w:p w14:paraId="297375AD" w14:textId="77777777" w:rsidR="00427CB1" w:rsidRPr="003D108F" w:rsidRDefault="00427CB1" w:rsidP="00427CB1">
      <w:pPr>
        <w:spacing w:before="60" w:after="60"/>
        <w:jc w:val="both"/>
        <w:rPr>
          <w:rFonts w:ascii="Arial" w:hAnsi="Arial" w:cs="Arial"/>
        </w:rPr>
      </w:pPr>
      <w:r w:rsidRPr="003D108F">
        <w:rPr>
          <w:rFonts w:ascii="Arial" w:hAnsi="Arial" w:cs="Arial"/>
        </w:rPr>
        <w:t>With the implementation of the NBSP, DHBs must manage both diagnostic and bowel screening colonoscopy demand. From 1 July 2019, DHB Annual Plans are expected to describe and implement initiatives that improve diagnostic performance and support the achievement of national targets for the NBSP.</w:t>
      </w:r>
    </w:p>
    <w:p w14:paraId="4D7632EE" w14:textId="77777777" w:rsidR="00427CB1" w:rsidRPr="003D108F" w:rsidRDefault="00427CB1" w:rsidP="00427CB1">
      <w:pPr>
        <w:spacing w:before="60" w:after="60"/>
        <w:jc w:val="both"/>
        <w:rPr>
          <w:rFonts w:ascii="Arial" w:hAnsi="Arial" w:cs="Arial"/>
        </w:rPr>
      </w:pPr>
    </w:p>
    <w:p w14:paraId="4A8CC06F" w14:textId="5361E86A" w:rsidR="00427CB1" w:rsidRPr="003D108F" w:rsidRDefault="00427CB1" w:rsidP="00427CB1">
      <w:pPr>
        <w:spacing w:before="60" w:after="60"/>
        <w:jc w:val="both"/>
        <w:rPr>
          <w:rFonts w:ascii="Arial" w:hAnsi="Arial" w:cs="Arial"/>
        </w:rPr>
      </w:pPr>
      <w:r>
        <w:rPr>
          <w:rFonts w:ascii="Arial" w:hAnsi="Arial" w:cs="Arial"/>
        </w:rPr>
        <w:t>In 2019 a</w:t>
      </w:r>
      <w:r w:rsidRPr="003D108F">
        <w:rPr>
          <w:rFonts w:ascii="Arial" w:hAnsi="Arial" w:cs="Arial"/>
        </w:rPr>
        <w:t xml:space="preserve"> dedicated framework for monitoring symptomatic colonoscopy and bowel screening performance </w:t>
      </w:r>
      <w:r>
        <w:rPr>
          <w:rFonts w:ascii="Arial" w:hAnsi="Arial" w:cs="Arial"/>
        </w:rPr>
        <w:t>was</w:t>
      </w:r>
      <w:r w:rsidRPr="003D108F">
        <w:rPr>
          <w:rFonts w:ascii="Arial" w:hAnsi="Arial" w:cs="Arial"/>
        </w:rPr>
        <w:t xml:space="preserve"> developed</w:t>
      </w:r>
      <w:r w:rsidR="006A5986">
        <w:rPr>
          <w:rFonts w:ascii="Arial" w:hAnsi="Arial" w:cs="Arial"/>
        </w:rPr>
        <w:t xml:space="preserve"> with t</w:t>
      </w:r>
      <w:r w:rsidRPr="003D108F">
        <w:rPr>
          <w:rFonts w:ascii="Arial" w:hAnsi="Arial" w:cs="Arial"/>
        </w:rPr>
        <w:t xml:space="preserve">hese indicators </w:t>
      </w:r>
      <w:r>
        <w:rPr>
          <w:rFonts w:ascii="Arial" w:hAnsi="Arial" w:cs="Arial"/>
        </w:rPr>
        <w:t>are being</w:t>
      </w:r>
      <w:r w:rsidRPr="003D108F">
        <w:rPr>
          <w:rFonts w:ascii="Arial" w:hAnsi="Arial" w:cs="Arial"/>
        </w:rPr>
        <w:t xml:space="preserve"> measured and managed separately.</w:t>
      </w:r>
    </w:p>
    <w:p w14:paraId="14BF325A" w14:textId="77777777" w:rsidR="00427CB1" w:rsidRPr="00DA2E3E" w:rsidRDefault="00427CB1" w:rsidP="00427CB1">
      <w:pPr>
        <w:spacing w:before="120" w:after="120"/>
        <w:jc w:val="both"/>
        <w:rPr>
          <w:rFonts w:ascii="Arial" w:hAnsi="Arial" w:cs="Arial"/>
          <w:b/>
        </w:rPr>
      </w:pPr>
    </w:p>
    <w:p w14:paraId="05FB59E0" w14:textId="77777777" w:rsidR="00427CB1" w:rsidRPr="00DA2E3E" w:rsidRDefault="00427CB1" w:rsidP="00427CB1">
      <w:pPr>
        <w:spacing w:before="120" w:after="120"/>
        <w:jc w:val="both"/>
        <w:rPr>
          <w:rFonts w:ascii="Arial" w:hAnsi="Arial" w:cs="Arial"/>
          <w:b/>
        </w:rPr>
      </w:pPr>
      <w:r w:rsidRPr="00DA2E3E">
        <w:rPr>
          <w:rFonts w:ascii="Arial" w:hAnsi="Arial" w:cs="Arial"/>
          <w:b/>
        </w:rPr>
        <w:t xml:space="preserve">Deliverables </w:t>
      </w:r>
      <w:r>
        <w:rPr>
          <w:rFonts w:ascii="Arial" w:hAnsi="Arial" w:cs="Arial"/>
          <w:b/>
        </w:rPr>
        <w:t>definitions</w:t>
      </w:r>
    </w:p>
    <w:p w14:paraId="16B39C2D" w14:textId="77777777" w:rsidR="00427CB1" w:rsidRPr="00DA2E3E" w:rsidRDefault="00427CB1" w:rsidP="00427CB1">
      <w:pPr>
        <w:spacing w:before="60" w:after="60"/>
        <w:jc w:val="both"/>
        <w:rPr>
          <w:rFonts w:ascii="Arial" w:hAnsi="Arial" w:cs="Arial"/>
        </w:rPr>
      </w:pPr>
      <w:r w:rsidRPr="00DA2E3E">
        <w:rPr>
          <w:rFonts w:ascii="Arial" w:hAnsi="Arial" w:cs="Arial"/>
        </w:rPr>
        <w:t>The</w:t>
      </w:r>
      <w:r>
        <w:rPr>
          <w:rFonts w:ascii="Arial" w:hAnsi="Arial" w:cs="Arial"/>
        </w:rPr>
        <w:t>se</w:t>
      </w:r>
      <w:r w:rsidRPr="00DA2E3E">
        <w:rPr>
          <w:rFonts w:ascii="Arial" w:hAnsi="Arial" w:cs="Arial"/>
        </w:rPr>
        <w:t xml:space="preserve"> modalities are included:</w:t>
      </w:r>
    </w:p>
    <w:p w14:paraId="037B2DDD" w14:textId="77777777" w:rsidR="00427CB1" w:rsidRDefault="00427CB1" w:rsidP="00C04FF1">
      <w:pPr>
        <w:numPr>
          <w:ilvl w:val="0"/>
          <w:numId w:val="94"/>
        </w:numPr>
        <w:spacing w:before="60" w:after="60"/>
        <w:jc w:val="both"/>
        <w:rPr>
          <w:rFonts w:ascii="Arial" w:hAnsi="Arial" w:cs="Arial"/>
        </w:rPr>
      </w:pPr>
      <w:r w:rsidRPr="00DA2E3E">
        <w:rPr>
          <w:rFonts w:ascii="Arial" w:hAnsi="Arial" w:cs="Arial"/>
        </w:rPr>
        <w:t>Diagnostic Colonoscop</w:t>
      </w:r>
      <w:r>
        <w:rPr>
          <w:rFonts w:ascii="Arial" w:hAnsi="Arial" w:cs="Arial"/>
        </w:rPr>
        <w:t>ies (Urgent and Non-urgent)</w:t>
      </w:r>
    </w:p>
    <w:p w14:paraId="279B1DA6" w14:textId="77777777" w:rsidR="00427CB1" w:rsidRPr="00DA2E3E" w:rsidRDefault="00427CB1" w:rsidP="00C04FF1">
      <w:pPr>
        <w:numPr>
          <w:ilvl w:val="0"/>
          <w:numId w:val="94"/>
        </w:numPr>
        <w:spacing w:before="60" w:after="60"/>
        <w:jc w:val="both"/>
        <w:rPr>
          <w:rFonts w:ascii="Arial" w:hAnsi="Arial" w:cs="Arial"/>
        </w:rPr>
      </w:pPr>
      <w:r>
        <w:rPr>
          <w:rFonts w:ascii="Arial" w:hAnsi="Arial" w:cs="Arial"/>
        </w:rPr>
        <w:t>Surveillance Colonoscopy</w:t>
      </w:r>
      <w:r w:rsidRPr="00DA2E3E">
        <w:rPr>
          <w:rFonts w:ascii="Arial" w:hAnsi="Arial" w:cs="Arial"/>
        </w:rPr>
        <w:t xml:space="preserve"> </w:t>
      </w:r>
    </w:p>
    <w:p w14:paraId="04CD4326" w14:textId="77777777" w:rsidR="00427CB1" w:rsidRPr="00DA2E3E" w:rsidRDefault="00427CB1" w:rsidP="00C04FF1">
      <w:pPr>
        <w:numPr>
          <w:ilvl w:val="0"/>
          <w:numId w:val="94"/>
        </w:numPr>
        <w:spacing w:before="60" w:after="60"/>
        <w:jc w:val="both"/>
        <w:rPr>
          <w:rFonts w:ascii="Arial" w:hAnsi="Arial" w:cs="Arial"/>
        </w:rPr>
      </w:pPr>
      <w:r>
        <w:rPr>
          <w:rFonts w:ascii="Arial" w:hAnsi="Arial" w:cs="Arial"/>
        </w:rPr>
        <w:t xml:space="preserve">Bowel </w:t>
      </w:r>
      <w:r w:rsidRPr="00DA2E3E">
        <w:rPr>
          <w:rFonts w:ascii="Arial" w:hAnsi="Arial" w:cs="Arial"/>
        </w:rPr>
        <w:t xml:space="preserve">Screening Colonoscopy </w:t>
      </w:r>
    </w:p>
    <w:p w14:paraId="5195B41D" w14:textId="77777777" w:rsidR="00427CB1" w:rsidRDefault="00427CB1" w:rsidP="00427CB1">
      <w:pPr>
        <w:spacing w:before="60" w:after="60"/>
        <w:jc w:val="both"/>
        <w:rPr>
          <w:rFonts w:ascii="Arial" w:hAnsi="Arial" w:cs="Arial"/>
          <w:b/>
        </w:rPr>
      </w:pPr>
    </w:p>
    <w:p w14:paraId="772B95EC" w14:textId="77777777" w:rsidR="00427CB1" w:rsidRDefault="00427CB1" w:rsidP="00427CB1">
      <w:pPr>
        <w:spacing w:before="60" w:after="60"/>
        <w:jc w:val="both"/>
        <w:rPr>
          <w:rFonts w:ascii="Arial" w:hAnsi="Arial" w:cs="Arial"/>
          <w:b/>
        </w:rPr>
      </w:pPr>
      <w:r w:rsidRPr="00DA2E3E">
        <w:rPr>
          <w:rFonts w:ascii="Arial" w:hAnsi="Arial" w:cs="Arial"/>
          <w:b/>
        </w:rPr>
        <w:t>Refer to</w:t>
      </w:r>
      <w:r>
        <w:rPr>
          <w:rFonts w:ascii="Arial" w:hAnsi="Arial" w:cs="Arial"/>
          <w:b/>
        </w:rPr>
        <w:t xml:space="preserve"> these documents for more information on deliverables, definitions and expectations and monitoring processes:</w:t>
      </w:r>
    </w:p>
    <w:p w14:paraId="5E237352" w14:textId="77777777" w:rsidR="00427CB1" w:rsidRPr="00002D26" w:rsidRDefault="00427CB1" w:rsidP="00C04FF1">
      <w:pPr>
        <w:pStyle w:val="ListParagraph"/>
        <w:numPr>
          <w:ilvl w:val="0"/>
          <w:numId w:val="122"/>
        </w:numPr>
        <w:spacing w:before="60" w:after="60"/>
        <w:jc w:val="both"/>
        <w:rPr>
          <w:rFonts w:ascii="Arial" w:hAnsi="Arial" w:cs="Arial"/>
        </w:rPr>
      </w:pPr>
      <w:r w:rsidRPr="00002D26">
        <w:rPr>
          <w:rFonts w:ascii="Arial" w:hAnsi="Arial" w:cs="Arial"/>
        </w:rPr>
        <w:t xml:space="preserve">Diagnostic Waiting Time Indicator – Colonoscopy Accountability Measure document (9 August 2019) </w:t>
      </w:r>
    </w:p>
    <w:p w14:paraId="110C02E8" w14:textId="77777777" w:rsidR="00427CB1" w:rsidRDefault="00427CB1" w:rsidP="00C04FF1">
      <w:pPr>
        <w:pStyle w:val="ListParagraph"/>
        <w:numPr>
          <w:ilvl w:val="0"/>
          <w:numId w:val="122"/>
        </w:numPr>
        <w:spacing w:before="60" w:after="60"/>
        <w:jc w:val="both"/>
        <w:rPr>
          <w:rFonts w:ascii="Arial" w:hAnsi="Arial" w:cs="Arial"/>
        </w:rPr>
      </w:pPr>
      <w:r w:rsidRPr="00002D26">
        <w:rPr>
          <w:rFonts w:ascii="Arial" w:hAnsi="Arial" w:cs="Arial"/>
        </w:rPr>
        <w:t>Improving Waiting Times for Diagnostic Services Indicator Templates</w:t>
      </w:r>
    </w:p>
    <w:p w14:paraId="14D84A43" w14:textId="77777777" w:rsidR="00427CB1" w:rsidRPr="00002D26" w:rsidRDefault="00427CB1" w:rsidP="00C04FF1">
      <w:pPr>
        <w:pStyle w:val="ListParagraph"/>
        <w:numPr>
          <w:ilvl w:val="0"/>
          <w:numId w:val="122"/>
        </w:numPr>
        <w:spacing w:before="60" w:after="60"/>
        <w:jc w:val="both"/>
        <w:rPr>
          <w:rFonts w:ascii="Arial" w:hAnsi="Arial" w:cs="Arial"/>
        </w:rPr>
      </w:pPr>
      <w:r>
        <w:rPr>
          <w:rFonts w:ascii="Arial" w:hAnsi="Arial" w:cs="Arial"/>
        </w:rPr>
        <w:t>Guide to Managing Colonoscopy Wait Time Indicator Performance</w:t>
      </w:r>
      <w:r w:rsidRPr="00002D26">
        <w:rPr>
          <w:rFonts w:ascii="Arial" w:hAnsi="Arial" w:cs="Arial"/>
        </w:rPr>
        <w:t xml:space="preserve"> </w:t>
      </w:r>
    </w:p>
    <w:p w14:paraId="48A5A6DC" w14:textId="77777777" w:rsidR="00427CB1" w:rsidRPr="00002D26" w:rsidRDefault="00427CB1" w:rsidP="00427CB1"/>
    <w:p w14:paraId="15FF1A72" w14:textId="77777777" w:rsidR="00427CB1" w:rsidRPr="00DA2E3E" w:rsidRDefault="00427CB1" w:rsidP="00427CB1">
      <w:pPr>
        <w:spacing w:before="120" w:after="120"/>
        <w:jc w:val="both"/>
        <w:rPr>
          <w:rFonts w:ascii="Arial" w:hAnsi="Arial" w:cs="Arial"/>
          <w:b/>
        </w:rPr>
      </w:pPr>
      <w:r w:rsidRPr="00DA2E3E">
        <w:rPr>
          <w:rFonts w:ascii="Arial" w:hAnsi="Arial" w:cs="Arial"/>
          <w:b/>
        </w:rPr>
        <w:t xml:space="preserve">Reporting Period </w:t>
      </w:r>
    </w:p>
    <w:p w14:paraId="76A636B1" w14:textId="77777777" w:rsidR="00427CB1" w:rsidRPr="00DA2E3E" w:rsidRDefault="00427CB1" w:rsidP="00427CB1">
      <w:pPr>
        <w:spacing w:before="60" w:after="60"/>
        <w:jc w:val="both"/>
        <w:rPr>
          <w:rFonts w:ascii="Arial" w:hAnsi="Arial" w:cs="Arial"/>
        </w:rPr>
      </w:pPr>
      <w:r w:rsidRPr="00DA2E3E">
        <w:rPr>
          <w:rFonts w:ascii="Arial" w:hAnsi="Arial" w:cs="Arial"/>
        </w:rPr>
        <w:t>Monthly reporting as follows:</w:t>
      </w:r>
    </w:p>
    <w:p w14:paraId="618D15BE" w14:textId="77777777" w:rsidR="00427CB1" w:rsidRPr="00DA2E3E" w:rsidRDefault="00427CB1" w:rsidP="00C04FF1">
      <w:pPr>
        <w:numPr>
          <w:ilvl w:val="0"/>
          <w:numId w:val="95"/>
        </w:numPr>
        <w:spacing w:before="60" w:after="60"/>
        <w:jc w:val="both"/>
        <w:rPr>
          <w:rFonts w:ascii="Arial" w:hAnsi="Arial" w:cs="Arial"/>
        </w:rPr>
      </w:pPr>
      <w:r w:rsidRPr="00DA2E3E">
        <w:rPr>
          <w:rFonts w:ascii="Arial" w:hAnsi="Arial" w:cs="Arial"/>
        </w:rPr>
        <w:t>Colonoscopy reporting templates to be submitted to the Ministry of Health within 20 days of the end of the previous month.  The reporting template is emailed out by National Collections.</w:t>
      </w:r>
    </w:p>
    <w:p w14:paraId="7C87F429" w14:textId="77777777" w:rsidR="00427CB1" w:rsidRPr="00DA2E3E" w:rsidRDefault="00427CB1" w:rsidP="00427CB1">
      <w:pPr>
        <w:spacing w:before="60" w:after="60"/>
        <w:jc w:val="both"/>
        <w:rPr>
          <w:rFonts w:ascii="Arial" w:hAnsi="Arial" w:cs="Arial"/>
        </w:rPr>
      </w:pPr>
    </w:p>
    <w:p w14:paraId="06AEB672" w14:textId="77777777" w:rsidR="00427CB1" w:rsidRPr="00DA2E3E" w:rsidRDefault="00427CB1" w:rsidP="00427CB1">
      <w:pPr>
        <w:spacing w:before="60" w:after="60"/>
        <w:jc w:val="both"/>
        <w:rPr>
          <w:rFonts w:ascii="Arial" w:hAnsi="Arial" w:cs="Arial"/>
        </w:rPr>
      </w:pPr>
      <w:r w:rsidRPr="00DA2E3E">
        <w:rPr>
          <w:rFonts w:ascii="Arial" w:hAnsi="Arial" w:cs="Arial"/>
          <w:b/>
          <w:i/>
        </w:rPr>
        <w:t>Reporting required</w:t>
      </w:r>
    </w:p>
    <w:p w14:paraId="7799D61A" w14:textId="77777777" w:rsidR="00427CB1" w:rsidRDefault="00427CB1" w:rsidP="00427CB1">
      <w:pPr>
        <w:spacing w:before="60" w:after="60"/>
        <w:jc w:val="both"/>
        <w:rPr>
          <w:rFonts w:ascii="Arial" w:hAnsi="Arial" w:cs="Arial"/>
        </w:rPr>
      </w:pPr>
    </w:p>
    <w:p w14:paraId="63B7A778" w14:textId="77777777" w:rsidR="00427CB1" w:rsidRDefault="00427CB1" w:rsidP="00427CB1">
      <w:pPr>
        <w:spacing w:before="60" w:after="60"/>
        <w:jc w:val="both"/>
        <w:rPr>
          <w:rFonts w:ascii="Arial" w:hAnsi="Arial" w:cs="Arial"/>
        </w:rPr>
      </w:pPr>
      <w:r w:rsidRPr="00DA2E3E">
        <w:rPr>
          <w:rFonts w:ascii="Arial" w:hAnsi="Arial" w:cs="Arial"/>
        </w:rPr>
        <w:t xml:space="preserve">Quarterly reporting requirements </w:t>
      </w:r>
      <w:r>
        <w:rPr>
          <w:rFonts w:ascii="Arial" w:hAnsi="Arial" w:cs="Arial"/>
        </w:rPr>
        <w:t>will measure:</w:t>
      </w:r>
    </w:p>
    <w:p w14:paraId="17A08289" w14:textId="77777777" w:rsidR="00427CB1" w:rsidRDefault="00427CB1" w:rsidP="00C04FF1">
      <w:pPr>
        <w:pStyle w:val="ListParagraph"/>
        <w:numPr>
          <w:ilvl w:val="0"/>
          <w:numId w:val="123"/>
        </w:numPr>
        <w:spacing w:before="60" w:after="60"/>
        <w:jc w:val="both"/>
        <w:rPr>
          <w:rFonts w:ascii="Arial" w:hAnsi="Arial" w:cs="Arial"/>
        </w:rPr>
      </w:pPr>
      <w:r w:rsidRPr="00420222">
        <w:rPr>
          <w:rFonts w:ascii="Arial" w:hAnsi="Arial" w:cs="Arial"/>
        </w:rPr>
        <w:t xml:space="preserve">two clinically determined performance targets. Table 1 outlines the clinically appropriate length of time a procedure </w:t>
      </w:r>
      <w:r w:rsidRPr="00420222">
        <w:rPr>
          <w:rFonts w:ascii="Arial" w:hAnsi="Arial" w:cs="Arial"/>
          <w:i/>
          <w:u w:val="single"/>
        </w:rPr>
        <w:t>should</w:t>
      </w:r>
      <w:r w:rsidRPr="00420222">
        <w:rPr>
          <w:rFonts w:ascii="Arial" w:hAnsi="Arial" w:cs="Arial"/>
        </w:rPr>
        <w:t xml:space="preserve"> be completed by and the maximum timeframe in which the procedure </w:t>
      </w:r>
      <w:r w:rsidRPr="00420222">
        <w:rPr>
          <w:rFonts w:ascii="Arial" w:hAnsi="Arial" w:cs="Arial"/>
          <w:i/>
          <w:u w:val="single"/>
        </w:rPr>
        <w:t>must</w:t>
      </w:r>
      <w:r w:rsidRPr="00420222">
        <w:rPr>
          <w:rFonts w:ascii="Arial" w:hAnsi="Arial" w:cs="Arial"/>
        </w:rPr>
        <w:t xml:space="preserve"> be completed.</w:t>
      </w:r>
      <w:r w:rsidRPr="00420222" w:rsidDel="00E924AB">
        <w:rPr>
          <w:rFonts w:ascii="Arial" w:hAnsi="Arial" w:cs="Arial"/>
        </w:rPr>
        <w:t xml:space="preserve"> </w:t>
      </w:r>
      <w:r w:rsidRPr="00420222">
        <w:rPr>
          <w:rFonts w:ascii="Arial" w:hAnsi="Arial" w:cs="Arial"/>
        </w:rPr>
        <w:t xml:space="preserve"> Achieving wait times encourages timeliness while providing colonoscopy procedures within maximum wait times manages clinical risk.</w:t>
      </w:r>
    </w:p>
    <w:p w14:paraId="03BC7061" w14:textId="77777777" w:rsidR="00427CB1" w:rsidRPr="00420222" w:rsidRDefault="00427CB1" w:rsidP="00C04FF1">
      <w:pPr>
        <w:pStyle w:val="ListParagraph"/>
        <w:numPr>
          <w:ilvl w:val="0"/>
          <w:numId w:val="123"/>
        </w:numPr>
        <w:spacing w:before="60" w:after="60"/>
        <w:jc w:val="both"/>
        <w:rPr>
          <w:rFonts w:ascii="Arial" w:hAnsi="Arial" w:cs="Arial"/>
        </w:rPr>
      </w:pPr>
      <w:r>
        <w:rPr>
          <w:rFonts w:ascii="Arial" w:hAnsi="Arial" w:cs="Arial"/>
        </w:rPr>
        <w:t>bowel screening indicator 306 (see Table 1).</w:t>
      </w:r>
    </w:p>
    <w:p w14:paraId="6F2FEBF6" w14:textId="77777777" w:rsidR="00427CB1" w:rsidRDefault="00427CB1" w:rsidP="00427CB1"/>
    <w:p w14:paraId="1C7C3B73" w14:textId="77777777" w:rsidR="00427CB1" w:rsidRDefault="00427CB1" w:rsidP="00427CB1">
      <w:pPr>
        <w:rPr>
          <w:rFonts w:ascii="Arial" w:hAnsi="Arial" w:cs="Arial"/>
        </w:rPr>
      </w:pPr>
    </w:p>
    <w:p w14:paraId="650160A6" w14:textId="77777777" w:rsidR="00427CB1" w:rsidRDefault="00427CB1" w:rsidP="00427CB1">
      <w:pPr>
        <w:rPr>
          <w:rFonts w:ascii="Arial" w:hAnsi="Arial" w:cs="Arial"/>
        </w:rPr>
      </w:pPr>
    </w:p>
    <w:p w14:paraId="00E5B127" w14:textId="77777777" w:rsidR="00427CB1" w:rsidRDefault="00427CB1" w:rsidP="00427CB1">
      <w:pPr>
        <w:rPr>
          <w:rFonts w:ascii="Arial" w:hAnsi="Arial" w:cs="Arial"/>
        </w:rPr>
      </w:pPr>
    </w:p>
    <w:p w14:paraId="06C9C76A" w14:textId="77777777" w:rsidR="00427CB1" w:rsidRDefault="00427CB1" w:rsidP="00427CB1">
      <w:pPr>
        <w:rPr>
          <w:rFonts w:ascii="Arial" w:hAnsi="Arial" w:cs="Arial"/>
        </w:rPr>
      </w:pPr>
    </w:p>
    <w:p w14:paraId="05F3E15D" w14:textId="77777777" w:rsidR="00427CB1" w:rsidRDefault="00427CB1" w:rsidP="00427CB1">
      <w:pPr>
        <w:rPr>
          <w:rFonts w:ascii="Arial" w:hAnsi="Arial" w:cs="Arial"/>
        </w:rPr>
      </w:pPr>
    </w:p>
    <w:p w14:paraId="6A5BD273" w14:textId="77777777" w:rsidR="00677370" w:rsidRDefault="00677370" w:rsidP="00427CB1">
      <w:pPr>
        <w:rPr>
          <w:rFonts w:ascii="Arial" w:hAnsi="Arial" w:cs="Arial"/>
        </w:rPr>
      </w:pPr>
    </w:p>
    <w:p w14:paraId="78196012" w14:textId="616E9520" w:rsidR="00427CB1" w:rsidRPr="004A4FA1" w:rsidRDefault="00427CB1" w:rsidP="00427CB1">
      <w:pPr>
        <w:rPr>
          <w:rFonts w:ascii="Arial" w:hAnsi="Arial" w:cs="Arial"/>
        </w:rPr>
      </w:pPr>
      <w:r>
        <w:rPr>
          <w:rFonts w:ascii="Arial" w:hAnsi="Arial" w:cs="Arial"/>
        </w:rPr>
        <w:t xml:space="preserve">Table 1: </w:t>
      </w:r>
      <w:r w:rsidRPr="004A4FA1">
        <w:rPr>
          <w:rFonts w:ascii="Arial" w:hAnsi="Arial" w:cs="Arial"/>
        </w:rPr>
        <w:t>Colonoscopy wait-time indicator targets</w:t>
      </w:r>
    </w:p>
    <w:p w14:paraId="00878C57" w14:textId="77777777" w:rsidR="00427CB1" w:rsidRPr="00DA2E3E" w:rsidRDefault="00427CB1" w:rsidP="00427CB1"/>
    <w:tbl>
      <w:tblPr>
        <w:tblStyle w:val="TableGrid"/>
        <w:tblW w:w="5148" w:type="pct"/>
        <w:tblLook w:val="04A0" w:firstRow="1" w:lastRow="0" w:firstColumn="1" w:lastColumn="0" w:noHBand="0" w:noVBand="1"/>
      </w:tblPr>
      <w:tblGrid>
        <w:gridCol w:w="2409"/>
        <w:gridCol w:w="4392"/>
        <w:gridCol w:w="3697"/>
      </w:tblGrid>
      <w:tr w:rsidR="00427CB1" w:rsidRPr="00F36DE8" w14:paraId="114B1D67" w14:textId="77777777" w:rsidTr="00705127">
        <w:tc>
          <w:tcPr>
            <w:tcW w:w="1147" w:type="pct"/>
          </w:tcPr>
          <w:p w14:paraId="6B1F8FCA" w14:textId="77777777" w:rsidR="00427CB1" w:rsidRPr="00F36DE8" w:rsidRDefault="00427CB1" w:rsidP="00705127">
            <w:pPr>
              <w:tabs>
                <w:tab w:val="right" w:pos="1906"/>
              </w:tabs>
              <w:spacing w:before="60" w:after="60"/>
              <w:contextualSpacing/>
              <w:jc w:val="both"/>
              <w:rPr>
                <w:rFonts w:ascii="Arial" w:eastAsiaTheme="minorHAnsi" w:hAnsi="Arial" w:cs="Arial"/>
              </w:rPr>
            </w:pPr>
            <w:r w:rsidRPr="00F36DE8">
              <w:rPr>
                <w:rFonts w:ascii="Arial" w:eastAsiaTheme="minorHAnsi" w:hAnsi="Arial" w:cs="Arial"/>
              </w:rPr>
              <w:t>CWTI Definitions</w:t>
            </w:r>
          </w:p>
          <w:p w14:paraId="34DC1C57" w14:textId="77777777" w:rsidR="00427CB1" w:rsidRPr="00F36DE8" w:rsidRDefault="00427CB1" w:rsidP="00705127">
            <w:pPr>
              <w:tabs>
                <w:tab w:val="right" w:pos="1906"/>
              </w:tabs>
              <w:spacing w:before="60" w:after="60"/>
              <w:contextualSpacing/>
              <w:jc w:val="both"/>
              <w:rPr>
                <w:rFonts w:ascii="Arial" w:eastAsiaTheme="minorHAnsi" w:hAnsi="Arial" w:cs="Arial"/>
              </w:rPr>
            </w:pPr>
            <w:r w:rsidRPr="00F36DE8">
              <w:rPr>
                <w:rFonts w:ascii="Arial" w:eastAsiaTheme="minorHAnsi" w:hAnsi="Arial" w:cs="Arial"/>
              </w:rPr>
              <w:tab/>
            </w:r>
          </w:p>
        </w:tc>
        <w:tc>
          <w:tcPr>
            <w:tcW w:w="2092" w:type="pct"/>
          </w:tcPr>
          <w:p w14:paraId="7B380075"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 xml:space="preserve">Recommended Wait Times </w:t>
            </w:r>
          </w:p>
        </w:tc>
        <w:tc>
          <w:tcPr>
            <w:tcW w:w="1761" w:type="pct"/>
          </w:tcPr>
          <w:p w14:paraId="2E7673F4"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Maximum Wait Times</w:t>
            </w:r>
          </w:p>
        </w:tc>
      </w:tr>
      <w:tr w:rsidR="00427CB1" w:rsidRPr="00F36DE8" w14:paraId="29DB0CF4" w14:textId="77777777" w:rsidTr="00705127">
        <w:tc>
          <w:tcPr>
            <w:tcW w:w="1147" w:type="pct"/>
          </w:tcPr>
          <w:p w14:paraId="09B3B005"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Urgent</w:t>
            </w:r>
          </w:p>
        </w:tc>
        <w:tc>
          <w:tcPr>
            <w:tcW w:w="2092" w:type="pct"/>
          </w:tcPr>
          <w:p w14:paraId="4D745AC0"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90% of people accepted for an urgent diagnostic colonoscopy receive (or are waiting for**) their procedure in 14 calendar days or less</w:t>
            </w:r>
          </w:p>
        </w:tc>
        <w:tc>
          <w:tcPr>
            <w:tcW w:w="1761" w:type="pct"/>
          </w:tcPr>
          <w:p w14:paraId="03CA54AA"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100%</w:t>
            </w:r>
            <w:r w:rsidRPr="00F36DE8">
              <w:rPr>
                <w:rStyle w:val="FootnoteReference"/>
                <w:rFonts w:eastAsiaTheme="minorHAnsi"/>
              </w:rPr>
              <w:t>*</w:t>
            </w:r>
            <w:r w:rsidRPr="00F36DE8">
              <w:rPr>
                <w:rFonts w:eastAsiaTheme="minorHAnsi"/>
              </w:rPr>
              <w:t xml:space="preserve"> </w:t>
            </w:r>
            <w:r w:rsidRPr="00F36DE8">
              <w:rPr>
                <w:rFonts w:ascii="Arial" w:eastAsiaTheme="minorHAnsi" w:hAnsi="Arial" w:cs="Arial"/>
              </w:rPr>
              <w:t>within 30 days or less</w:t>
            </w:r>
          </w:p>
          <w:p w14:paraId="041EBA3B" w14:textId="77777777" w:rsidR="00427CB1" w:rsidRPr="00F36DE8" w:rsidRDefault="00427CB1" w:rsidP="00705127">
            <w:pPr>
              <w:spacing w:before="60" w:after="60"/>
              <w:contextualSpacing/>
              <w:jc w:val="both"/>
              <w:rPr>
                <w:rFonts w:ascii="Arial" w:eastAsiaTheme="minorHAnsi" w:hAnsi="Arial" w:cs="Arial"/>
              </w:rPr>
            </w:pPr>
          </w:p>
        </w:tc>
      </w:tr>
      <w:tr w:rsidR="00427CB1" w:rsidRPr="00F36DE8" w14:paraId="18B929A4" w14:textId="77777777" w:rsidTr="00705127">
        <w:tc>
          <w:tcPr>
            <w:tcW w:w="1147" w:type="pct"/>
          </w:tcPr>
          <w:p w14:paraId="538CA3DD"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Non-Urgent</w:t>
            </w:r>
          </w:p>
        </w:tc>
        <w:tc>
          <w:tcPr>
            <w:tcW w:w="2092" w:type="pct"/>
          </w:tcPr>
          <w:p w14:paraId="55772A1A"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70% of people accepted for non-urgent diagnostic colonoscopy receive (or are waiting for**) their procedure in 42 calendar days or less</w:t>
            </w:r>
          </w:p>
        </w:tc>
        <w:tc>
          <w:tcPr>
            <w:tcW w:w="1761" w:type="pct"/>
          </w:tcPr>
          <w:p w14:paraId="579718F6"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100%* in 90 days or less</w:t>
            </w:r>
          </w:p>
          <w:p w14:paraId="5AA57653" w14:textId="77777777" w:rsidR="00427CB1" w:rsidRPr="00F36DE8" w:rsidRDefault="00427CB1" w:rsidP="00705127">
            <w:pPr>
              <w:spacing w:before="60" w:after="60"/>
              <w:contextualSpacing/>
              <w:jc w:val="both"/>
              <w:rPr>
                <w:rFonts w:ascii="Arial" w:eastAsiaTheme="minorHAnsi" w:hAnsi="Arial" w:cs="Arial"/>
              </w:rPr>
            </w:pPr>
          </w:p>
        </w:tc>
      </w:tr>
      <w:tr w:rsidR="00427CB1" w:rsidRPr="00F36DE8" w14:paraId="1F924319" w14:textId="77777777" w:rsidTr="00705127">
        <w:tc>
          <w:tcPr>
            <w:tcW w:w="1147" w:type="pct"/>
          </w:tcPr>
          <w:p w14:paraId="127F4A1A"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Surveillance</w:t>
            </w:r>
          </w:p>
        </w:tc>
        <w:tc>
          <w:tcPr>
            <w:tcW w:w="2092" w:type="pct"/>
          </w:tcPr>
          <w:p w14:paraId="384A92E6"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70% of people accepted for surveillance colonoscopy receive (or are waiting for**) their procedure in 84 calendar days or less</w:t>
            </w:r>
          </w:p>
        </w:tc>
        <w:tc>
          <w:tcPr>
            <w:tcW w:w="1761" w:type="pct"/>
          </w:tcPr>
          <w:p w14:paraId="1FF25806"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100%* in 120 days or less</w:t>
            </w:r>
          </w:p>
          <w:p w14:paraId="2F27A92F" w14:textId="77777777" w:rsidR="00427CB1" w:rsidRPr="00F36DE8" w:rsidRDefault="00427CB1" w:rsidP="00705127">
            <w:pPr>
              <w:spacing w:before="60" w:after="60"/>
              <w:contextualSpacing/>
              <w:jc w:val="both"/>
              <w:rPr>
                <w:rFonts w:ascii="Arial" w:eastAsiaTheme="minorHAnsi" w:hAnsi="Arial" w:cs="Arial"/>
              </w:rPr>
            </w:pPr>
          </w:p>
        </w:tc>
      </w:tr>
      <w:tr w:rsidR="00427CB1" w:rsidRPr="00F36DE8" w14:paraId="09933E29" w14:textId="77777777" w:rsidTr="00705127">
        <w:trPr>
          <w:trHeight w:val="1089"/>
        </w:trPr>
        <w:tc>
          <w:tcPr>
            <w:tcW w:w="1147" w:type="pct"/>
          </w:tcPr>
          <w:p w14:paraId="4924D373"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Bowel Screening</w:t>
            </w:r>
          </w:p>
        </w:tc>
        <w:tc>
          <w:tcPr>
            <w:tcW w:w="2092" w:type="pct"/>
          </w:tcPr>
          <w:p w14:paraId="24D0B38D"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i/>
              </w:rPr>
              <w:t>95% of people who returned a positive FIT have a first offered diagnostic date that is within 45 working days or less of their FIT result being recorded in the NBSP IT system.</w:t>
            </w:r>
          </w:p>
        </w:tc>
        <w:tc>
          <w:tcPr>
            <w:tcW w:w="1761" w:type="pct"/>
          </w:tcPr>
          <w:p w14:paraId="7584FAB7" w14:textId="77777777" w:rsidR="00427CB1" w:rsidRPr="00F36DE8" w:rsidRDefault="00427CB1" w:rsidP="00705127">
            <w:pPr>
              <w:spacing w:before="60" w:after="60"/>
              <w:contextualSpacing/>
              <w:jc w:val="both"/>
              <w:rPr>
                <w:rFonts w:ascii="Arial" w:eastAsiaTheme="minorHAnsi" w:hAnsi="Arial" w:cs="Arial"/>
              </w:rPr>
            </w:pPr>
            <w:r w:rsidRPr="00F36DE8">
              <w:rPr>
                <w:rFonts w:ascii="Arial" w:eastAsiaTheme="minorHAnsi" w:hAnsi="Arial" w:cs="Arial"/>
              </w:rPr>
              <w:t>Note: NBSP does not currently have a performance target for monitoring the actual date a bowel screening colonoscopy is performed by.</w:t>
            </w:r>
          </w:p>
        </w:tc>
      </w:tr>
    </w:tbl>
    <w:p w14:paraId="70C47226" w14:textId="77777777" w:rsidR="00427CB1" w:rsidRDefault="00427CB1" w:rsidP="00427CB1">
      <w:pPr>
        <w:autoSpaceDE w:val="0"/>
        <w:autoSpaceDN w:val="0"/>
        <w:adjustRightInd w:val="0"/>
        <w:contextualSpacing/>
        <w:rPr>
          <w:rFonts w:ascii="Arial" w:hAnsi="Arial" w:cs="Arial"/>
          <w:b/>
          <w:bCs/>
          <w:szCs w:val="20"/>
          <w:lang w:eastAsia="en-NZ"/>
        </w:rPr>
      </w:pPr>
    </w:p>
    <w:p w14:paraId="3B5C120B" w14:textId="77777777" w:rsidR="00427CB1" w:rsidRDefault="00427CB1" w:rsidP="00427CB1">
      <w:pPr>
        <w:autoSpaceDE w:val="0"/>
        <w:autoSpaceDN w:val="0"/>
        <w:adjustRightInd w:val="0"/>
        <w:contextualSpacing/>
        <w:rPr>
          <w:rFonts w:ascii="Arial" w:hAnsi="Arial" w:cs="Arial"/>
          <w:sz w:val="18"/>
        </w:rPr>
      </w:pPr>
      <w:r>
        <w:rPr>
          <w:rFonts w:ascii="Arial" w:hAnsi="Arial" w:cs="Arial"/>
          <w:b/>
          <w:bCs/>
          <w:szCs w:val="20"/>
          <w:lang w:eastAsia="en-NZ"/>
        </w:rPr>
        <w:t>*</w:t>
      </w:r>
      <w:r w:rsidRPr="0064276B">
        <w:rPr>
          <w:rFonts w:ascii="Arial" w:hAnsi="Arial" w:cs="Arial"/>
          <w:sz w:val="18"/>
        </w:rPr>
        <w:t xml:space="preserve"> </w:t>
      </w:r>
      <w:r>
        <w:rPr>
          <w:rFonts w:ascii="Arial" w:hAnsi="Arial" w:cs="Arial"/>
          <w:sz w:val="18"/>
        </w:rPr>
        <w:t>N</w:t>
      </w:r>
      <w:r w:rsidRPr="009A20C1">
        <w:rPr>
          <w:rFonts w:ascii="Arial" w:hAnsi="Arial" w:cs="Arial"/>
          <w:sz w:val="18"/>
        </w:rPr>
        <w:t>ote</w:t>
      </w:r>
      <w:r>
        <w:rPr>
          <w:rFonts w:ascii="Arial" w:hAnsi="Arial" w:cs="Arial"/>
          <w:sz w:val="18"/>
        </w:rPr>
        <w:t xml:space="preserve"> this will be calculated as 99.9% to allow for exceptions and discretion will be applied.</w:t>
      </w:r>
    </w:p>
    <w:p w14:paraId="562CFBBF" w14:textId="77777777" w:rsidR="00427CB1" w:rsidRPr="00CB4268" w:rsidRDefault="00427CB1" w:rsidP="00427CB1">
      <w:pPr>
        <w:autoSpaceDE w:val="0"/>
        <w:autoSpaceDN w:val="0"/>
        <w:adjustRightInd w:val="0"/>
        <w:contextualSpacing/>
        <w:rPr>
          <w:rFonts w:ascii="Arial" w:hAnsi="Arial" w:cs="Arial"/>
          <w:b/>
          <w:bCs/>
          <w:szCs w:val="20"/>
          <w:lang w:eastAsia="en-NZ"/>
        </w:rPr>
      </w:pPr>
      <w:r>
        <w:rPr>
          <w:rFonts w:ascii="Arial" w:hAnsi="Arial" w:cs="Arial"/>
          <w:sz w:val="18"/>
        </w:rPr>
        <w:t>**</w:t>
      </w:r>
      <w:r w:rsidRPr="00C10C83">
        <w:t xml:space="preserve"> </w:t>
      </w:r>
      <w:r>
        <w:t>‘</w:t>
      </w:r>
      <w:r>
        <w:rPr>
          <w:rFonts w:ascii="Arial" w:hAnsi="Arial" w:cs="Arial"/>
          <w:sz w:val="18"/>
        </w:rPr>
        <w:t>O</w:t>
      </w:r>
      <w:r w:rsidRPr="00C10C83">
        <w:rPr>
          <w:rFonts w:ascii="Arial" w:hAnsi="Arial" w:cs="Arial"/>
          <w:sz w:val="18"/>
        </w:rPr>
        <w:t>r are waiting for</w:t>
      </w:r>
      <w:r>
        <w:rPr>
          <w:rFonts w:ascii="Arial" w:hAnsi="Arial" w:cs="Arial"/>
          <w:sz w:val="18"/>
        </w:rPr>
        <w:t>’</w:t>
      </w:r>
      <w:r w:rsidRPr="00C10C83">
        <w:rPr>
          <w:rFonts w:ascii="Arial" w:hAnsi="Arial" w:cs="Arial"/>
          <w:sz w:val="18"/>
        </w:rPr>
        <w:t xml:space="preserve"> refers to patients who have not yet received their procedure but are not breaching the recommended timeframe at month end</w:t>
      </w:r>
      <w:r>
        <w:rPr>
          <w:rFonts w:ascii="Arial" w:hAnsi="Arial" w:cs="Arial"/>
          <w:sz w:val="18"/>
        </w:rPr>
        <w:t>.</w:t>
      </w:r>
    </w:p>
    <w:p w14:paraId="16C2C0BB" w14:textId="77777777" w:rsidR="00427CB1" w:rsidRDefault="00427CB1" w:rsidP="00427CB1">
      <w:pPr>
        <w:spacing w:before="60" w:after="60"/>
        <w:jc w:val="both"/>
        <w:rPr>
          <w:rFonts w:ascii="Arial" w:hAnsi="Arial" w:cs="Arial"/>
        </w:rPr>
      </w:pPr>
    </w:p>
    <w:p w14:paraId="48688074" w14:textId="77777777" w:rsidR="00427CB1" w:rsidRPr="00DA2E3E" w:rsidRDefault="00427CB1" w:rsidP="00427CB1">
      <w:pPr>
        <w:spacing w:before="60" w:after="60"/>
        <w:jc w:val="both"/>
        <w:rPr>
          <w:rFonts w:ascii="Arial" w:hAnsi="Arial" w:cs="Arial"/>
        </w:rPr>
      </w:pPr>
      <w:r w:rsidRPr="00DA2E3E">
        <w:rPr>
          <w:rFonts w:ascii="Arial" w:hAnsi="Arial" w:cs="Arial"/>
        </w:rPr>
        <w:t>Performance monitoring against th</w:t>
      </w:r>
      <w:r>
        <w:rPr>
          <w:rFonts w:ascii="Arial" w:hAnsi="Arial" w:cs="Arial"/>
        </w:rPr>
        <w:t>ese</w:t>
      </w:r>
      <w:r w:rsidRPr="00DA2E3E">
        <w:rPr>
          <w:rFonts w:ascii="Arial" w:hAnsi="Arial" w:cs="Arial"/>
        </w:rPr>
        <w:t xml:space="preserve"> </w:t>
      </w:r>
      <w:r>
        <w:rPr>
          <w:rFonts w:ascii="Arial" w:hAnsi="Arial" w:cs="Arial"/>
        </w:rPr>
        <w:t xml:space="preserve">four </w:t>
      </w:r>
      <w:r w:rsidRPr="00DA2E3E">
        <w:rPr>
          <w:rFonts w:ascii="Arial" w:hAnsi="Arial" w:cs="Arial"/>
        </w:rPr>
        <w:t>measure</w:t>
      </w:r>
      <w:r>
        <w:rPr>
          <w:rFonts w:ascii="Arial" w:hAnsi="Arial" w:cs="Arial"/>
        </w:rPr>
        <w:t>s</w:t>
      </w:r>
      <w:r w:rsidRPr="00DA2E3E">
        <w:rPr>
          <w:rFonts w:ascii="Arial" w:hAnsi="Arial" w:cs="Arial"/>
        </w:rPr>
        <w:t xml:space="preserve"> will be undertaken </w:t>
      </w:r>
      <w:r w:rsidRPr="00DA2E3E">
        <w:rPr>
          <w:rFonts w:ascii="Arial" w:hAnsi="Arial" w:cs="Arial"/>
          <w:b/>
        </w:rPr>
        <w:t>quarterly</w:t>
      </w:r>
      <w:r w:rsidRPr="00DA2E3E">
        <w:rPr>
          <w:rFonts w:ascii="Arial" w:hAnsi="Arial" w:cs="Arial"/>
        </w:rPr>
        <w:t xml:space="preserve"> via the non-financial performance monitoring framework as follows:</w:t>
      </w:r>
    </w:p>
    <w:p w14:paraId="6C14B6A8" w14:textId="77777777" w:rsidR="00427CB1" w:rsidRPr="00DA2E3E" w:rsidRDefault="00427CB1" w:rsidP="00427CB1">
      <w:pPr>
        <w:spacing w:before="60" w:after="60"/>
        <w:jc w:val="both"/>
        <w:rPr>
          <w:rFonts w:ascii="Arial" w:hAnsi="Arial" w:cs="Arial"/>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2577"/>
        <w:gridCol w:w="4910"/>
      </w:tblGrid>
      <w:tr w:rsidR="00427CB1" w:rsidRPr="00DA2E3E" w14:paraId="5171522D" w14:textId="77777777" w:rsidTr="00705127">
        <w:trPr>
          <w:jc w:val="center"/>
        </w:trPr>
        <w:tc>
          <w:tcPr>
            <w:tcW w:w="152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1B04709" w14:textId="77777777" w:rsidR="00427CB1" w:rsidRPr="00DA2E3E" w:rsidRDefault="00427CB1" w:rsidP="00705127">
            <w:pPr>
              <w:spacing w:before="60" w:after="60"/>
              <w:jc w:val="both"/>
              <w:rPr>
                <w:rFonts w:ascii="Arial" w:hAnsi="Arial" w:cs="Arial"/>
                <w:b/>
              </w:rPr>
            </w:pPr>
            <w:r w:rsidRPr="00DA2E3E">
              <w:rPr>
                <w:rFonts w:ascii="Arial" w:hAnsi="Arial" w:cs="Arial"/>
                <w:b/>
              </w:rPr>
              <w:t xml:space="preserve">Quarter </w:t>
            </w:r>
          </w:p>
        </w:tc>
        <w:tc>
          <w:tcPr>
            <w:tcW w:w="257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2A215CA" w14:textId="77777777" w:rsidR="00427CB1" w:rsidRPr="00DA2E3E" w:rsidRDefault="00427CB1" w:rsidP="00705127">
            <w:pPr>
              <w:spacing w:before="60" w:after="60"/>
              <w:jc w:val="both"/>
              <w:rPr>
                <w:rFonts w:ascii="Arial" w:hAnsi="Arial" w:cs="Arial"/>
                <w:b/>
              </w:rPr>
            </w:pPr>
            <w:r w:rsidRPr="00DA2E3E">
              <w:rPr>
                <w:rFonts w:ascii="Arial" w:hAnsi="Arial" w:cs="Arial"/>
                <w:b/>
              </w:rPr>
              <w:t>Results</w:t>
            </w:r>
          </w:p>
        </w:tc>
        <w:tc>
          <w:tcPr>
            <w:tcW w:w="4910" w:type="dxa"/>
            <w:tcBorders>
              <w:top w:val="single" w:sz="4" w:space="0" w:color="auto"/>
              <w:left w:val="single" w:sz="4" w:space="0" w:color="auto"/>
              <w:bottom w:val="single" w:sz="4" w:space="0" w:color="auto"/>
              <w:right w:val="single" w:sz="4" w:space="0" w:color="auto"/>
            </w:tcBorders>
            <w:shd w:val="clear" w:color="auto" w:fill="CCCCCC"/>
          </w:tcPr>
          <w:p w14:paraId="6F2AA10D" w14:textId="77777777" w:rsidR="00427CB1" w:rsidRPr="00DA2E3E" w:rsidRDefault="00427CB1" w:rsidP="00705127">
            <w:pPr>
              <w:spacing w:before="60" w:after="60"/>
              <w:jc w:val="both"/>
              <w:rPr>
                <w:rFonts w:ascii="Arial" w:hAnsi="Arial" w:cs="Arial"/>
                <w:b/>
              </w:rPr>
            </w:pPr>
            <w:r>
              <w:rPr>
                <w:rFonts w:ascii="Arial" w:hAnsi="Arial" w:cs="Arial"/>
                <w:b/>
              </w:rPr>
              <w:t>Using data available at the time of reporting</w:t>
            </w:r>
          </w:p>
        </w:tc>
      </w:tr>
      <w:tr w:rsidR="00427CB1" w:rsidRPr="00DA2E3E" w14:paraId="2D43AD1A" w14:textId="77777777" w:rsidTr="00705127">
        <w:trPr>
          <w:jc w:val="center"/>
        </w:trPr>
        <w:tc>
          <w:tcPr>
            <w:tcW w:w="1529" w:type="dxa"/>
            <w:tcBorders>
              <w:top w:val="single" w:sz="4" w:space="0" w:color="auto"/>
              <w:left w:val="single" w:sz="4" w:space="0" w:color="auto"/>
              <w:bottom w:val="single" w:sz="4" w:space="0" w:color="auto"/>
              <w:right w:val="single" w:sz="4" w:space="0" w:color="auto"/>
            </w:tcBorders>
            <w:hideMark/>
          </w:tcPr>
          <w:p w14:paraId="036A7C44" w14:textId="77777777" w:rsidR="00427CB1" w:rsidRPr="00DA2E3E" w:rsidRDefault="00427CB1" w:rsidP="00705127">
            <w:pPr>
              <w:spacing w:before="60" w:after="60"/>
              <w:jc w:val="both"/>
              <w:rPr>
                <w:rFonts w:ascii="Arial" w:hAnsi="Arial" w:cs="Arial"/>
              </w:rPr>
            </w:pPr>
            <w:r w:rsidRPr="00DA2E3E">
              <w:rPr>
                <w:rFonts w:ascii="Arial" w:hAnsi="Arial" w:cs="Arial"/>
              </w:rPr>
              <w:t>Quarter 1</w:t>
            </w:r>
          </w:p>
        </w:tc>
        <w:tc>
          <w:tcPr>
            <w:tcW w:w="2577" w:type="dxa"/>
            <w:tcBorders>
              <w:top w:val="single" w:sz="4" w:space="0" w:color="auto"/>
              <w:left w:val="single" w:sz="4" w:space="0" w:color="auto"/>
              <w:bottom w:val="single" w:sz="4" w:space="0" w:color="auto"/>
              <w:right w:val="single" w:sz="4" w:space="0" w:color="auto"/>
            </w:tcBorders>
            <w:hideMark/>
          </w:tcPr>
          <w:p w14:paraId="272DF01B" w14:textId="77777777" w:rsidR="00427CB1" w:rsidRPr="00E8660A" w:rsidRDefault="00427CB1" w:rsidP="00705127">
            <w:pPr>
              <w:spacing w:before="60" w:after="60"/>
              <w:jc w:val="both"/>
              <w:rPr>
                <w:rFonts w:ascii="Arial" w:hAnsi="Arial" w:cs="Arial"/>
              </w:rPr>
            </w:pPr>
            <w:r w:rsidRPr="00E8660A">
              <w:rPr>
                <w:rFonts w:ascii="Arial" w:hAnsi="Arial" w:cs="Arial"/>
              </w:rPr>
              <w:t>September results</w:t>
            </w:r>
          </w:p>
        </w:tc>
        <w:tc>
          <w:tcPr>
            <w:tcW w:w="4910" w:type="dxa"/>
            <w:tcBorders>
              <w:top w:val="single" w:sz="4" w:space="0" w:color="auto"/>
              <w:left w:val="single" w:sz="4" w:space="0" w:color="auto"/>
              <w:bottom w:val="single" w:sz="4" w:space="0" w:color="auto"/>
              <w:right w:val="single" w:sz="4" w:space="0" w:color="auto"/>
            </w:tcBorders>
          </w:tcPr>
          <w:p w14:paraId="28610684" w14:textId="1CE2019C" w:rsidR="00427CB1" w:rsidRPr="00E8660A" w:rsidRDefault="00427CB1" w:rsidP="00705127">
            <w:pPr>
              <w:spacing w:before="60" w:after="60"/>
              <w:jc w:val="both"/>
              <w:rPr>
                <w:rFonts w:ascii="Arial" w:hAnsi="Arial" w:cs="Arial"/>
              </w:rPr>
            </w:pPr>
            <w:r>
              <w:rPr>
                <w:rFonts w:ascii="Arial" w:hAnsi="Arial" w:cs="Arial"/>
              </w:rPr>
              <w:t>July, August</w:t>
            </w:r>
            <w:r w:rsidR="005D7BFC">
              <w:rPr>
                <w:rFonts w:ascii="Arial" w:hAnsi="Arial" w:cs="Arial"/>
              </w:rPr>
              <w:t>, September</w:t>
            </w:r>
          </w:p>
        </w:tc>
      </w:tr>
      <w:tr w:rsidR="00427CB1" w:rsidRPr="00DA2E3E" w14:paraId="47461CA8" w14:textId="77777777" w:rsidTr="00705127">
        <w:trPr>
          <w:jc w:val="center"/>
        </w:trPr>
        <w:tc>
          <w:tcPr>
            <w:tcW w:w="1529" w:type="dxa"/>
            <w:tcBorders>
              <w:top w:val="single" w:sz="4" w:space="0" w:color="auto"/>
              <w:left w:val="single" w:sz="4" w:space="0" w:color="auto"/>
              <w:bottom w:val="single" w:sz="4" w:space="0" w:color="auto"/>
              <w:right w:val="single" w:sz="4" w:space="0" w:color="auto"/>
            </w:tcBorders>
            <w:hideMark/>
          </w:tcPr>
          <w:p w14:paraId="18548C4C" w14:textId="77777777" w:rsidR="00427CB1" w:rsidRPr="00DA2E3E" w:rsidRDefault="00427CB1" w:rsidP="00705127">
            <w:pPr>
              <w:spacing w:before="60" w:after="60"/>
              <w:jc w:val="both"/>
              <w:rPr>
                <w:rFonts w:ascii="Arial" w:hAnsi="Arial" w:cs="Arial"/>
              </w:rPr>
            </w:pPr>
            <w:r w:rsidRPr="00DA2E3E">
              <w:rPr>
                <w:rFonts w:ascii="Arial" w:hAnsi="Arial" w:cs="Arial"/>
              </w:rPr>
              <w:t>Quarter 2</w:t>
            </w:r>
          </w:p>
        </w:tc>
        <w:tc>
          <w:tcPr>
            <w:tcW w:w="2577" w:type="dxa"/>
            <w:tcBorders>
              <w:top w:val="single" w:sz="4" w:space="0" w:color="auto"/>
              <w:left w:val="single" w:sz="4" w:space="0" w:color="auto"/>
              <w:bottom w:val="single" w:sz="4" w:space="0" w:color="auto"/>
              <w:right w:val="single" w:sz="4" w:space="0" w:color="auto"/>
            </w:tcBorders>
            <w:hideMark/>
          </w:tcPr>
          <w:p w14:paraId="7E970EE1" w14:textId="77777777" w:rsidR="00427CB1" w:rsidRPr="00E8660A" w:rsidRDefault="00427CB1" w:rsidP="00705127">
            <w:pPr>
              <w:spacing w:before="60" w:after="60"/>
              <w:jc w:val="both"/>
              <w:rPr>
                <w:rFonts w:ascii="Arial" w:hAnsi="Arial" w:cs="Arial"/>
              </w:rPr>
            </w:pPr>
            <w:r w:rsidRPr="00E8660A">
              <w:rPr>
                <w:rFonts w:ascii="Arial" w:hAnsi="Arial" w:cs="Arial"/>
              </w:rPr>
              <w:t>December results</w:t>
            </w:r>
          </w:p>
        </w:tc>
        <w:tc>
          <w:tcPr>
            <w:tcW w:w="4910" w:type="dxa"/>
            <w:tcBorders>
              <w:top w:val="single" w:sz="4" w:space="0" w:color="auto"/>
              <w:left w:val="single" w:sz="4" w:space="0" w:color="auto"/>
              <w:bottom w:val="single" w:sz="4" w:space="0" w:color="auto"/>
              <w:right w:val="single" w:sz="4" w:space="0" w:color="auto"/>
            </w:tcBorders>
          </w:tcPr>
          <w:p w14:paraId="0422D4B0" w14:textId="1328E02B" w:rsidR="00427CB1" w:rsidRPr="00E8660A" w:rsidRDefault="00427CB1" w:rsidP="00705127">
            <w:pPr>
              <w:spacing w:before="60" w:after="60"/>
              <w:jc w:val="both"/>
              <w:rPr>
                <w:rFonts w:ascii="Arial" w:hAnsi="Arial" w:cs="Arial"/>
              </w:rPr>
            </w:pPr>
            <w:r>
              <w:rPr>
                <w:rFonts w:ascii="Arial" w:hAnsi="Arial" w:cs="Arial"/>
              </w:rPr>
              <w:t>October, November</w:t>
            </w:r>
            <w:r w:rsidR="005D7BFC">
              <w:rPr>
                <w:rFonts w:ascii="Arial" w:hAnsi="Arial" w:cs="Arial"/>
              </w:rPr>
              <w:t>, December</w:t>
            </w:r>
          </w:p>
        </w:tc>
      </w:tr>
      <w:tr w:rsidR="00427CB1" w:rsidRPr="00DA2E3E" w14:paraId="6633F611" w14:textId="77777777" w:rsidTr="00705127">
        <w:trPr>
          <w:jc w:val="center"/>
        </w:trPr>
        <w:tc>
          <w:tcPr>
            <w:tcW w:w="1529" w:type="dxa"/>
            <w:tcBorders>
              <w:top w:val="single" w:sz="4" w:space="0" w:color="auto"/>
              <w:left w:val="single" w:sz="4" w:space="0" w:color="auto"/>
              <w:bottom w:val="single" w:sz="4" w:space="0" w:color="auto"/>
              <w:right w:val="single" w:sz="4" w:space="0" w:color="auto"/>
            </w:tcBorders>
            <w:hideMark/>
          </w:tcPr>
          <w:p w14:paraId="67C64620" w14:textId="77777777" w:rsidR="00427CB1" w:rsidRPr="00DA2E3E" w:rsidRDefault="00427CB1" w:rsidP="00705127">
            <w:pPr>
              <w:spacing w:before="60" w:after="60"/>
              <w:jc w:val="both"/>
              <w:rPr>
                <w:rFonts w:ascii="Arial" w:hAnsi="Arial" w:cs="Arial"/>
              </w:rPr>
            </w:pPr>
            <w:r w:rsidRPr="00DA2E3E">
              <w:rPr>
                <w:rFonts w:ascii="Arial" w:hAnsi="Arial" w:cs="Arial"/>
              </w:rPr>
              <w:t>Quarter 3</w:t>
            </w:r>
          </w:p>
        </w:tc>
        <w:tc>
          <w:tcPr>
            <w:tcW w:w="2577" w:type="dxa"/>
            <w:tcBorders>
              <w:top w:val="single" w:sz="4" w:space="0" w:color="auto"/>
              <w:left w:val="single" w:sz="4" w:space="0" w:color="auto"/>
              <w:bottom w:val="single" w:sz="4" w:space="0" w:color="auto"/>
              <w:right w:val="single" w:sz="4" w:space="0" w:color="auto"/>
            </w:tcBorders>
            <w:hideMark/>
          </w:tcPr>
          <w:p w14:paraId="3C7D2573" w14:textId="77777777" w:rsidR="00427CB1" w:rsidRPr="00E8660A" w:rsidRDefault="00427CB1" w:rsidP="00705127">
            <w:pPr>
              <w:spacing w:before="60" w:after="60"/>
              <w:jc w:val="both"/>
              <w:rPr>
                <w:rFonts w:ascii="Arial" w:hAnsi="Arial" w:cs="Arial"/>
              </w:rPr>
            </w:pPr>
            <w:r w:rsidRPr="00E8660A">
              <w:rPr>
                <w:rFonts w:ascii="Arial" w:hAnsi="Arial" w:cs="Arial"/>
              </w:rPr>
              <w:t>March results</w:t>
            </w:r>
          </w:p>
        </w:tc>
        <w:tc>
          <w:tcPr>
            <w:tcW w:w="4910" w:type="dxa"/>
            <w:tcBorders>
              <w:top w:val="single" w:sz="4" w:space="0" w:color="auto"/>
              <w:left w:val="single" w:sz="4" w:space="0" w:color="auto"/>
              <w:bottom w:val="single" w:sz="4" w:space="0" w:color="auto"/>
              <w:right w:val="single" w:sz="4" w:space="0" w:color="auto"/>
            </w:tcBorders>
          </w:tcPr>
          <w:p w14:paraId="28126EDE" w14:textId="4A94C750" w:rsidR="00427CB1" w:rsidRPr="00E8660A" w:rsidRDefault="00427CB1" w:rsidP="00705127">
            <w:pPr>
              <w:spacing w:before="60" w:after="60"/>
              <w:jc w:val="both"/>
              <w:rPr>
                <w:rFonts w:ascii="Arial" w:hAnsi="Arial" w:cs="Arial"/>
              </w:rPr>
            </w:pPr>
            <w:r>
              <w:rPr>
                <w:rFonts w:ascii="Arial" w:hAnsi="Arial" w:cs="Arial"/>
              </w:rPr>
              <w:t>January, February</w:t>
            </w:r>
            <w:r w:rsidR="005D7BFC">
              <w:rPr>
                <w:rFonts w:ascii="Arial" w:hAnsi="Arial" w:cs="Arial"/>
              </w:rPr>
              <w:t>, March</w:t>
            </w:r>
          </w:p>
        </w:tc>
      </w:tr>
      <w:tr w:rsidR="00427CB1" w:rsidRPr="00DA2E3E" w14:paraId="0824A3D0" w14:textId="77777777" w:rsidTr="00705127">
        <w:trPr>
          <w:jc w:val="center"/>
        </w:trPr>
        <w:tc>
          <w:tcPr>
            <w:tcW w:w="1529" w:type="dxa"/>
            <w:tcBorders>
              <w:top w:val="single" w:sz="4" w:space="0" w:color="auto"/>
              <w:left w:val="single" w:sz="4" w:space="0" w:color="auto"/>
              <w:bottom w:val="single" w:sz="4" w:space="0" w:color="auto"/>
              <w:right w:val="single" w:sz="4" w:space="0" w:color="auto"/>
            </w:tcBorders>
            <w:hideMark/>
          </w:tcPr>
          <w:p w14:paraId="7273C596" w14:textId="77777777" w:rsidR="00427CB1" w:rsidRPr="00DA2E3E" w:rsidRDefault="00427CB1" w:rsidP="00705127">
            <w:pPr>
              <w:spacing w:before="60" w:after="60"/>
              <w:jc w:val="both"/>
              <w:rPr>
                <w:rFonts w:ascii="Arial" w:hAnsi="Arial" w:cs="Arial"/>
              </w:rPr>
            </w:pPr>
            <w:r w:rsidRPr="00DA2E3E">
              <w:rPr>
                <w:rFonts w:ascii="Arial" w:hAnsi="Arial" w:cs="Arial"/>
              </w:rPr>
              <w:t>Quarter 4</w:t>
            </w:r>
          </w:p>
        </w:tc>
        <w:tc>
          <w:tcPr>
            <w:tcW w:w="2577" w:type="dxa"/>
            <w:tcBorders>
              <w:top w:val="single" w:sz="4" w:space="0" w:color="auto"/>
              <w:left w:val="single" w:sz="4" w:space="0" w:color="auto"/>
              <w:bottom w:val="single" w:sz="4" w:space="0" w:color="auto"/>
              <w:right w:val="single" w:sz="4" w:space="0" w:color="auto"/>
            </w:tcBorders>
            <w:hideMark/>
          </w:tcPr>
          <w:p w14:paraId="5E6FFC68" w14:textId="77777777" w:rsidR="00427CB1" w:rsidRPr="00E8660A" w:rsidRDefault="00427CB1" w:rsidP="00705127">
            <w:pPr>
              <w:spacing w:before="60" w:after="60"/>
              <w:jc w:val="both"/>
              <w:rPr>
                <w:rFonts w:ascii="Arial" w:hAnsi="Arial" w:cs="Arial"/>
              </w:rPr>
            </w:pPr>
            <w:r w:rsidRPr="00E8660A">
              <w:rPr>
                <w:rFonts w:ascii="Arial" w:hAnsi="Arial" w:cs="Arial"/>
              </w:rPr>
              <w:t>June results</w:t>
            </w:r>
          </w:p>
        </w:tc>
        <w:tc>
          <w:tcPr>
            <w:tcW w:w="4910" w:type="dxa"/>
            <w:tcBorders>
              <w:top w:val="single" w:sz="4" w:space="0" w:color="auto"/>
              <w:left w:val="single" w:sz="4" w:space="0" w:color="auto"/>
              <w:bottom w:val="single" w:sz="4" w:space="0" w:color="auto"/>
              <w:right w:val="single" w:sz="4" w:space="0" w:color="auto"/>
            </w:tcBorders>
          </w:tcPr>
          <w:p w14:paraId="093317CC" w14:textId="1D80575F" w:rsidR="00427CB1" w:rsidRPr="00E8660A" w:rsidRDefault="00427CB1" w:rsidP="00705127">
            <w:pPr>
              <w:spacing w:before="60" w:after="60"/>
              <w:jc w:val="both"/>
              <w:rPr>
                <w:rFonts w:ascii="Arial" w:hAnsi="Arial" w:cs="Arial"/>
              </w:rPr>
            </w:pPr>
            <w:r>
              <w:rPr>
                <w:rFonts w:ascii="Arial" w:hAnsi="Arial" w:cs="Arial"/>
              </w:rPr>
              <w:t>April, May</w:t>
            </w:r>
            <w:r w:rsidR="005D7BFC">
              <w:rPr>
                <w:rFonts w:ascii="Arial" w:hAnsi="Arial" w:cs="Arial"/>
              </w:rPr>
              <w:t>, June</w:t>
            </w:r>
          </w:p>
        </w:tc>
      </w:tr>
    </w:tbl>
    <w:p w14:paraId="00AD069B" w14:textId="77777777" w:rsidR="00427CB1" w:rsidRPr="00DA2E3E" w:rsidRDefault="00427CB1" w:rsidP="00427CB1">
      <w:pPr>
        <w:spacing w:before="120" w:after="120"/>
        <w:rPr>
          <w:rFonts w:ascii="Arial" w:hAnsi="Arial" w:cs="Arial"/>
          <w:b/>
        </w:rPr>
      </w:pPr>
    </w:p>
    <w:p w14:paraId="08E329F3" w14:textId="77777777" w:rsidR="00427CB1" w:rsidRPr="00DA2E3E" w:rsidRDefault="00427CB1" w:rsidP="00427CB1">
      <w:pPr>
        <w:spacing w:before="120" w:after="120"/>
        <w:rPr>
          <w:rFonts w:ascii="Arial" w:hAnsi="Arial" w:cs="Arial"/>
          <w:b/>
        </w:rPr>
      </w:pPr>
      <w:r w:rsidRPr="00DA2E3E">
        <w:rPr>
          <w:rFonts w:ascii="Arial" w:hAnsi="Arial" w:cs="Arial"/>
          <w:b/>
        </w:rPr>
        <w:t xml:space="preserve">Expectations </w:t>
      </w:r>
    </w:p>
    <w:p w14:paraId="0DCD0741" w14:textId="77777777" w:rsidR="00427CB1" w:rsidRDefault="00427CB1" w:rsidP="00427CB1">
      <w:pPr>
        <w:rPr>
          <w:rFonts w:ascii="Arial" w:hAnsi="Arial" w:cs="Arial"/>
          <w:color w:val="000000"/>
        </w:rPr>
      </w:pPr>
      <w:r w:rsidRPr="00DA2E3E">
        <w:rPr>
          <w:rFonts w:ascii="Arial" w:hAnsi="Arial" w:cs="Arial"/>
          <w:color w:val="000000"/>
        </w:rPr>
        <w:t xml:space="preserve">DHBs are required to collect, measure and monitor how long people are waiting for </w:t>
      </w:r>
      <w:r>
        <w:rPr>
          <w:rFonts w:ascii="Arial" w:hAnsi="Arial" w:cs="Arial"/>
          <w:color w:val="000000"/>
        </w:rPr>
        <w:t>colonoscopies.</w:t>
      </w:r>
      <w:r w:rsidRPr="00DA2E3E">
        <w:rPr>
          <w:rFonts w:ascii="Arial" w:hAnsi="Arial" w:cs="Arial"/>
          <w:color w:val="000000"/>
        </w:rPr>
        <w:t xml:space="preserve">  While expectations for </w:t>
      </w:r>
      <w:r>
        <w:rPr>
          <w:rFonts w:ascii="Arial" w:hAnsi="Arial" w:cs="Arial"/>
          <w:color w:val="000000"/>
        </w:rPr>
        <w:t>diagnostic and surveillance</w:t>
      </w:r>
      <w:r w:rsidRPr="00DA2E3E">
        <w:rPr>
          <w:rFonts w:ascii="Arial" w:hAnsi="Arial" w:cs="Arial"/>
          <w:color w:val="000000"/>
        </w:rPr>
        <w:t xml:space="preserve"> colonoscopies have not changed, </w:t>
      </w:r>
      <w:r>
        <w:rPr>
          <w:rFonts w:ascii="Arial" w:hAnsi="Arial" w:cs="Arial"/>
          <w:color w:val="000000"/>
        </w:rPr>
        <w:t xml:space="preserve">DHBs must also report on </w:t>
      </w:r>
      <w:r w:rsidRPr="00DA2E3E">
        <w:rPr>
          <w:rFonts w:ascii="Arial" w:hAnsi="Arial" w:cs="Arial"/>
          <w:color w:val="000000"/>
        </w:rPr>
        <w:t xml:space="preserve">the </w:t>
      </w:r>
      <w:r>
        <w:rPr>
          <w:rFonts w:ascii="Arial" w:hAnsi="Arial" w:cs="Arial"/>
          <w:color w:val="000000"/>
        </w:rPr>
        <w:t>NBSP</w:t>
      </w:r>
      <w:r w:rsidRPr="00DA2E3E">
        <w:rPr>
          <w:rFonts w:ascii="Arial" w:hAnsi="Arial" w:cs="Arial"/>
          <w:color w:val="000000"/>
        </w:rPr>
        <w:t xml:space="preserve"> target that requires 95% of participants to have received their colonoscopy within 45 working days of their FIT result being recorded in the NBSP information system</w:t>
      </w:r>
      <w:r>
        <w:rPr>
          <w:rFonts w:ascii="Arial" w:hAnsi="Arial" w:cs="Arial"/>
          <w:color w:val="000000"/>
        </w:rPr>
        <w:t>.</w:t>
      </w:r>
      <w:r w:rsidRPr="00DA2E3E">
        <w:rPr>
          <w:rFonts w:ascii="Arial" w:hAnsi="Arial" w:cs="Arial"/>
          <w:color w:val="000000"/>
        </w:rPr>
        <w:t xml:space="preserve"> </w:t>
      </w:r>
    </w:p>
    <w:p w14:paraId="0D9BFB88" w14:textId="77777777" w:rsidR="00427CB1" w:rsidRDefault="00427CB1" w:rsidP="00427CB1">
      <w:pPr>
        <w:rPr>
          <w:rFonts w:ascii="Arial" w:hAnsi="Arial" w:cs="Arial"/>
          <w:color w:val="000000"/>
        </w:rPr>
      </w:pPr>
    </w:p>
    <w:p w14:paraId="340D4100" w14:textId="77777777" w:rsidR="00427CB1" w:rsidRDefault="00427CB1" w:rsidP="00427CB1">
      <w:pPr>
        <w:rPr>
          <w:rFonts w:ascii="Arial" w:hAnsi="Arial" w:cs="Arial"/>
          <w:color w:val="000000"/>
        </w:rPr>
      </w:pPr>
      <w:r>
        <w:rPr>
          <w:rFonts w:ascii="Arial" w:hAnsi="Arial" w:cs="Arial"/>
          <w:color w:val="000000"/>
        </w:rPr>
        <w:lastRenderedPageBreak/>
        <w:t>DHBs are expected to meet all recommended colonoscopy wait times and have no patients waiting longer than maximum wait times. From 1 October 2019, a new escalation process will support new reporting requirements.</w:t>
      </w:r>
    </w:p>
    <w:p w14:paraId="7B835BC0" w14:textId="77777777" w:rsidR="00427CB1" w:rsidRDefault="00427CB1" w:rsidP="00427CB1">
      <w:pPr>
        <w:rPr>
          <w:rFonts w:ascii="Arial" w:hAnsi="Arial" w:cs="Arial"/>
          <w:color w:val="000000"/>
        </w:rPr>
      </w:pPr>
    </w:p>
    <w:p w14:paraId="7963C687" w14:textId="77777777" w:rsidR="00427CB1" w:rsidRPr="00DA2E3E" w:rsidRDefault="00427CB1" w:rsidP="00427CB1">
      <w:pPr>
        <w:rPr>
          <w:rFonts w:ascii="Arial" w:hAnsi="Arial" w:cs="Arial"/>
          <w:color w:val="000000"/>
        </w:rPr>
      </w:pPr>
      <w:r>
        <w:rPr>
          <w:rFonts w:ascii="Arial" w:hAnsi="Arial" w:cs="Arial"/>
          <w:color w:val="000000"/>
        </w:rPr>
        <w:t>The escalation process includes an amber category which provides a tolerance range for the purpose of monitoring overall performance against the four colonoscopy wait time indicators. An amber result is a time-limited opportunity to recover performance.</w:t>
      </w:r>
    </w:p>
    <w:p w14:paraId="03C40F53" w14:textId="77777777" w:rsidR="00427CB1" w:rsidRPr="00DA2E3E" w:rsidRDefault="00427CB1" w:rsidP="00427CB1">
      <w:pPr>
        <w:rPr>
          <w:rFonts w:ascii="Arial" w:hAnsi="Arial" w:cs="Arial"/>
          <w:color w:val="000000"/>
        </w:rPr>
      </w:pPr>
    </w:p>
    <w:p w14:paraId="138C9462" w14:textId="77777777" w:rsidR="00427CB1" w:rsidRDefault="00427CB1" w:rsidP="00427CB1">
      <w:pPr>
        <w:spacing w:before="60" w:after="60"/>
        <w:jc w:val="both"/>
        <w:rPr>
          <w:rFonts w:ascii="Arial" w:hAnsi="Arial" w:cs="Arial"/>
          <w:color w:val="000000"/>
          <w:szCs w:val="18"/>
        </w:rPr>
      </w:pPr>
      <w:r w:rsidRPr="00284CED">
        <w:rPr>
          <w:rFonts w:ascii="Arial" w:hAnsi="Arial" w:cs="Arial"/>
          <w:color w:val="000000"/>
          <w:szCs w:val="18"/>
        </w:rPr>
        <w:t>If recommended wait times</w:t>
      </w:r>
      <w:r>
        <w:rPr>
          <w:rFonts w:ascii="Arial" w:hAnsi="Arial" w:cs="Arial"/>
          <w:color w:val="000000"/>
          <w:szCs w:val="18"/>
        </w:rPr>
        <w:t xml:space="preserve"> are not being achieved</w:t>
      </w:r>
      <w:r w:rsidRPr="00284CED">
        <w:rPr>
          <w:rFonts w:ascii="Arial" w:hAnsi="Arial" w:cs="Arial"/>
          <w:color w:val="000000"/>
          <w:szCs w:val="18"/>
        </w:rPr>
        <w:t xml:space="preserve"> and/or people are waiting longer than maximum wait times</w:t>
      </w:r>
      <w:r>
        <w:rPr>
          <w:rFonts w:ascii="Arial" w:hAnsi="Arial" w:cs="Arial"/>
          <w:color w:val="000000"/>
          <w:szCs w:val="18"/>
        </w:rPr>
        <w:t>, a DHB will be asked to provide a detailed recovery plan. This plan outlines its trajectory for achieving performance within an agreed timeframe. Progress against this recovery plan will be monitored monthly.</w:t>
      </w:r>
    </w:p>
    <w:p w14:paraId="1325340B" w14:textId="77777777" w:rsidR="00427CB1" w:rsidRDefault="00427CB1" w:rsidP="00427CB1">
      <w:pPr>
        <w:spacing w:before="60" w:after="60"/>
        <w:jc w:val="both"/>
        <w:rPr>
          <w:rFonts w:ascii="Arial" w:hAnsi="Arial" w:cs="Arial"/>
          <w:color w:val="000000"/>
          <w:szCs w:val="18"/>
        </w:rPr>
      </w:pPr>
    </w:p>
    <w:p w14:paraId="154A4591" w14:textId="77777777" w:rsidR="00427CB1" w:rsidRPr="00284CED" w:rsidRDefault="00427CB1" w:rsidP="00427CB1">
      <w:pPr>
        <w:spacing w:before="60" w:after="60"/>
        <w:jc w:val="both"/>
        <w:rPr>
          <w:rFonts w:ascii="Arial" w:hAnsi="Arial" w:cs="Arial"/>
          <w:color w:val="000000"/>
          <w:szCs w:val="18"/>
        </w:rPr>
      </w:pPr>
      <w:r>
        <w:rPr>
          <w:rFonts w:ascii="Arial" w:hAnsi="Arial" w:cs="Arial"/>
          <w:color w:val="000000"/>
          <w:szCs w:val="18"/>
        </w:rPr>
        <w:t>DHBs have access to a new online reporting tool (</w:t>
      </w:r>
      <w:proofErr w:type="spellStart"/>
      <w:r>
        <w:rPr>
          <w:rFonts w:ascii="Arial" w:hAnsi="Arial" w:cs="Arial"/>
          <w:color w:val="000000"/>
          <w:szCs w:val="18"/>
        </w:rPr>
        <w:t>RShiny</w:t>
      </w:r>
      <w:proofErr w:type="spellEnd"/>
      <w:r>
        <w:rPr>
          <w:rFonts w:ascii="Arial" w:hAnsi="Arial" w:cs="Arial"/>
          <w:color w:val="000000"/>
          <w:szCs w:val="18"/>
        </w:rPr>
        <w:t xml:space="preserve">) developed to monitor and manage individual, regional and national colonoscopy wait time performance. </w:t>
      </w:r>
    </w:p>
    <w:p w14:paraId="5D5B8EA9" w14:textId="77777777" w:rsidR="00427CB1" w:rsidRPr="00DA2E3E" w:rsidRDefault="00427CB1" w:rsidP="00427CB1">
      <w:pPr>
        <w:tabs>
          <w:tab w:val="left" w:pos="6330"/>
        </w:tabs>
      </w:pPr>
      <w:r w:rsidRPr="00DA2E3E">
        <w:tab/>
      </w:r>
    </w:p>
    <w:p w14:paraId="1C7CD212" w14:textId="77777777" w:rsidR="00427CB1" w:rsidRPr="00DA2E3E" w:rsidRDefault="00427CB1" w:rsidP="00427CB1">
      <w:pPr>
        <w:tabs>
          <w:tab w:val="left" w:pos="6330"/>
        </w:tabs>
      </w:pPr>
      <w:r w:rsidRPr="00DA2E3E">
        <w:rPr>
          <w:rFonts w:ascii="Arial" w:hAnsi="Arial" w:cs="Arial"/>
          <w:b/>
        </w:rPr>
        <w:t xml:space="preserve">Performance Assessment Ratings </w:t>
      </w:r>
    </w:p>
    <w:p w14:paraId="7B93CCDC" w14:textId="77777777" w:rsidR="00427CB1" w:rsidRPr="00DA2E3E" w:rsidRDefault="00427CB1" w:rsidP="00427CB1">
      <w:pPr>
        <w:rPr>
          <w:rFonts w:ascii="Arial" w:hAnsi="Arial" w:cs="Arial"/>
        </w:rPr>
      </w:pPr>
    </w:p>
    <w:p w14:paraId="70270955" w14:textId="77777777" w:rsidR="00427CB1" w:rsidRPr="00DA2E3E" w:rsidRDefault="00427CB1" w:rsidP="00427CB1">
      <w:pPr>
        <w:shd w:val="clear" w:color="auto" w:fill="FFFFFF"/>
        <w:spacing w:before="60" w:after="60"/>
        <w:jc w:val="both"/>
        <w:rPr>
          <w:rFonts w:ascii="Arial" w:hAnsi="Arial" w:cs="Arial"/>
        </w:rPr>
      </w:pPr>
      <w:r w:rsidRPr="00DA2E3E">
        <w:rPr>
          <w:rFonts w:ascii="Arial" w:hAnsi="Arial" w:cs="Arial"/>
        </w:rPr>
        <w:t xml:space="preserve">The following achievement scale will be applied </w:t>
      </w:r>
      <w:r>
        <w:rPr>
          <w:rFonts w:ascii="Arial" w:hAnsi="Arial" w:cs="Arial"/>
        </w:rPr>
        <w:t xml:space="preserve">to </w:t>
      </w:r>
      <w:r w:rsidRPr="00DA2E3E">
        <w:rPr>
          <w:rFonts w:ascii="Arial" w:hAnsi="Arial" w:cs="Arial"/>
        </w:rPr>
        <w:t xml:space="preserve">the four colonoscopy </w:t>
      </w:r>
      <w:r>
        <w:rPr>
          <w:rFonts w:ascii="Arial" w:hAnsi="Arial" w:cs="Arial"/>
        </w:rPr>
        <w:t xml:space="preserve">wait time </w:t>
      </w:r>
      <w:r w:rsidRPr="00DA2E3E">
        <w:rPr>
          <w:rFonts w:ascii="Arial" w:hAnsi="Arial" w:cs="Arial"/>
        </w:rPr>
        <w:t>indicators</w:t>
      </w:r>
      <w:r>
        <w:rPr>
          <w:rFonts w:ascii="Arial" w:hAnsi="Arial" w:cs="Arial"/>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83"/>
      </w:tblGrid>
      <w:tr w:rsidR="00427CB1" w:rsidRPr="00DA2E3E" w14:paraId="3865CCCA" w14:textId="77777777" w:rsidTr="00705127">
        <w:tc>
          <w:tcPr>
            <w:tcW w:w="2340" w:type="dxa"/>
            <w:tcBorders>
              <w:top w:val="single" w:sz="4" w:space="0" w:color="auto"/>
              <w:left w:val="single" w:sz="4" w:space="0" w:color="auto"/>
              <w:bottom w:val="single" w:sz="4" w:space="0" w:color="auto"/>
              <w:right w:val="single" w:sz="4" w:space="0" w:color="auto"/>
            </w:tcBorders>
            <w:hideMark/>
          </w:tcPr>
          <w:p w14:paraId="249DF3FF" w14:textId="77777777" w:rsidR="00427CB1" w:rsidRPr="00DA2E3E" w:rsidRDefault="00427CB1" w:rsidP="00705127">
            <w:pPr>
              <w:shd w:val="clear" w:color="auto" w:fill="FFFFFF"/>
              <w:spacing w:before="60" w:after="60"/>
              <w:jc w:val="both"/>
              <w:rPr>
                <w:rFonts w:ascii="Arial" w:hAnsi="Arial" w:cs="Arial"/>
                <w:b/>
              </w:rPr>
            </w:pPr>
            <w:r w:rsidRPr="00DA2E3E">
              <w:rPr>
                <w:rFonts w:ascii="Arial" w:hAnsi="Arial" w:cs="Arial"/>
                <w:b/>
              </w:rPr>
              <w:t xml:space="preserve">Rating: </w:t>
            </w:r>
          </w:p>
        </w:tc>
        <w:tc>
          <w:tcPr>
            <w:tcW w:w="7583" w:type="dxa"/>
            <w:tcBorders>
              <w:top w:val="single" w:sz="4" w:space="0" w:color="auto"/>
              <w:left w:val="single" w:sz="4" w:space="0" w:color="auto"/>
              <w:bottom w:val="single" w:sz="4" w:space="0" w:color="auto"/>
              <w:right w:val="single" w:sz="4" w:space="0" w:color="auto"/>
            </w:tcBorders>
          </w:tcPr>
          <w:p w14:paraId="5AA649B0" w14:textId="77777777" w:rsidR="00427CB1" w:rsidRPr="00DA2E3E" w:rsidRDefault="00427CB1" w:rsidP="00705127">
            <w:pPr>
              <w:shd w:val="clear" w:color="auto" w:fill="FFFFFF"/>
              <w:spacing w:before="60" w:after="60"/>
              <w:jc w:val="both"/>
              <w:rPr>
                <w:rFonts w:ascii="Arial" w:hAnsi="Arial" w:cs="Arial"/>
              </w:rPr>
            </w:pPr>
          </w:p>
        </w:tc>
      </w:tr>
      <w:tr w:rsidR="00427CB1" w:rsidRPr="00DA2E3E" w14:paraId="67F90367" w14:textId="77777777" w:rsidTr="00705127">
        <w:tc>
          <w:tcPr>
            <w:tcW w:w="2340" w:type="dxa"/>
            <w:tcBorders>
              <w:top w:val="single" w:sz="4" w:space="0" w:color="auto"/>
              <w:left w:val="single" w:sz="4" w:space="0" w:color="auto"/>
              <w:bottom w:val="single" w:sz="4" w:space="0" w:color="auto"/>
              <w:right w:val="single" w:sz="4" w:space="0" w:color="auto"/>
            </w:tcBorders>
            <w:hideMark/>
          </w:tcPr>
          <w:p w14:paraId="346E31C8"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Achieved</w:t>
            </w:r>
            <w:r>
              <w:rPr>
                <w:rFonts w:ascii="Arial" w:hAnsi="Arial" w:cs="Arial"/>
              </w:rPr>
              <w:t xml:space="preserve"> </w:t>
            </w:r>
          </w:p>
        </w:tc>
        <w:tc>
          <w:tcPr>
            <w:tcW w:w="7583" w:type="dxa"/>
            <w:tcBorders>
              <w:top w:val="single" w:sz="4" w:space="0" w:color="auto"/>
              <w:left w:val="single" w:sz="4" w:space="0" w:color="auto"/>
              <w:bottom w:val="single" w:sz="4" w:space="0" w:color="auto"/>
              <w:right w:val="single" w:sz="4" w:space="0" w:color="auto"/>
            </w:tcBorders>
            <w:hideMark/>
          </w:tcPr>
          <w:p w14:paraId="02789BAE"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 xml:space="preserve">The DHB has achieved </w:t>
            </w:r>
            <w:r>
              <w:rPr>
                <w:rFonts w:ascii="Arial" w:hAnsi="Arial" w:cs="Arial"/>
              </w:rPr>
              <w:t xml:space="preserve">the </w:t>
            </w:r>
            <w:r w:rsidRPr="00DA2E3E">
              <w:rPr>
                <w:rFonts w:ascii="Arial" w:hAnsi="Arial" w:cs="Arial"/>
              </w:rPr>
              <w:t>four</w:t>
            </w:r>
            <w:r>
              <w:rPr>
                <w:rFonts w:ascii="Arial" w:hAnsi="Arial" w:cs="Arial"/>
              </w:rPr>
              <w:t>***</w:t>
            </w:r>
            <w:r w:rsidRPr="00DA2E3E">
              <w:rPr>
                <w:rFonts w:ascii="Arial" w:hAnsi="Arial" w:cs="Arial"/>
              </w:rPr>
              <w:t xml:space="preserve"> waiting time indicators for colonoscopy</w:t>
            </w:r>
            <w:r>
              <w:rPr>
                <w:rFonts w:ascii="Arial" w:hAnsi="Arial" w:cs="Arial"/>
              </w:rPr>
              <w:t xml:space="preserve"> and does not have anyone waiting over maximum wait times</w:t>
            </w:r>
            <w:r w:rsidRPr="00DA2E3E">
              <w:rPr>
                <w:rFonts w:ascii="Arial" w:hAnsi="Arial" w:cs="Arial"/>
              </w:rPr>
              <w:t xml:space="preserve">. </w:t>
            </w:r>
          </w:p>
        </w:tc>
      </w:tr>
      <w:tr w:rsidR="00427CB1" w:rsidRPr="00DA2E3E" w14:paraId="6B4E83D0" w14:textId="77777777" w:rsidTr="00705127">
        <w:tc>
          <w:tcPr>
            <w:tcW w:w="2340" w:type="dxa"/>
            <w:tcBorders>
              <w:top w:val="single" w:sz="4" w:space="0" w:color="auto"/>
              <w:left w:val="single" w:sz="4" w:space="0" w:color="auto"/>
              <w:bottom w:val="single" w:sz="4" w:space="0" w:color="auto"/>
              <w:right w:val="single" w:sz="4" w:space="0" w:color="auto"/>
            </w:tcBorders>
            <w:hideMark/>
          </w:tcPr>
          <w:p w14:paraId="5704722B"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Partial Achievement</w:t>
            </w:r>
          </w:p>
        </w:tc>
        <w:tc>
          <w:tcPr>
            <w:tcW w:w="7583" w:type="dxa"/>
            <w:tcBorders>
              <w:top w:val="single" w:sz="4" w:space="0" w:color="auto"/>
              <w:left w:val="single" w:sz="4" w:space="0" w:color="auto"/>
              <w:bottom w:val="single" w:sz="4" w:space="0" w:color="auto"/>
              <w:right w:val="single" w:sz="4" w:space="0" w:color="auto"/>
            </w:tcBorders>
            <w:hideMark/>
          </w:tcPr>
          <w:p w14:paraId="609CADBE"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The DHB has either:</w:t>
            </w:r>
          </w:p>
          <w:p w14:paraId="75C22EDB" w14:textId="77777777" w:rsidR="00427CB1" w:rsidRDefault="00427CB1" w:rsidP="00C04FF1">
            <w:pPr>
              <w:numPr>
                <w:ilvl w:val="0"/>
                <w:numId w:val="96"/>
              </w:numPr>
              <w:shd w:val="clear" w:color="auto" w:fill="FFFFFF"/>
              <w:spacing w:before="60" w:after="60"/>
              <w:jc w:val="both"/>
              <w:rPr>
                <w:rFonts w:ascii="Arial" w:hAnsi="Arial" w:cs="Arial"/>
              </w:rPr>
            </w:pPr>
            <w:r w:rsidRPr="00DA2E3E">
              <w:rPr>
                <w:rFonts w:ascii="Arial" w:hAnsi="Arial" w:cs="Arial"/>
              </w:rPr>
              <w:t xml:space="preserve">achieved some, but not all, of the waiting time indicators for colonoscopy, and </w:t>
            </w:r>
          </w:p>
          <w:p w14:paraId="358C89C9" w14:textId="77777777" w:rsidR="00427CB1" w:rsidRDefault="00427CB1" w:rsidP="00C04FF1">
            <w:pPr>
              <w:numPr>
                <w:ilvl w:val="0"/>
                <w:numId w:val="96"/>
              </w:numPr>
              <w:shd w:val="clear" w:color="auto" w:fill="FFFFFF"/>
              <w:spacing w:before="60" w:after="60"/>
              <w:jc w:val="both"/>
              <w:rPr>
                <w:rFonts w:ascii="Arial" w:hAnsi="Arial" w:cs="Arial"/>
              </w:rPr>
            </w:pPr>
            <w:r w:rsidRPr="00DA2E3E">
              <w:rPr>
                <w:rFonts w:ascii="Arial" w:hAnsi="Arial" w:cs="Arial"/>
              </w:rPr>
              <w:t>has provided a report that includes planned actions to lift performance; or</w:t>
            </w:r>
          </w:p>
          <w:p w14:paraId="6B8EB22B" w14:textId="77777777" w:rsidR="00427CB1" w:rsidRPr="00DA2E3E" w:rsidRDefault="00427CB1" w:rsidP="00C04FF1">
            <w:pPr>
              <w:numPr>
                <w:ilvl w:val="0"/>
                <w:numId w:val="96"/>
              </w:numPr>
              <w:shd w:val="clear" w:color="auto" w:fill="FFFFFF"/>
              <w:spacing w:before="60" w:after="60"/>
              <w:jc w:val="both"/>
              <w:rPr>
                <w:rFonts w:ascii="Arial" w:hAnsi="Arial" w:cs="Arial"/>
              </w:rPr>
            </w:pPr>
            <w:r>
              <w:rPr>
                <w:rFonts w:ascii="Arial" w:hAnsi="Arial" w:cs="Arial"/>
              </w:rPr>
              <w:t>the result is within the amber tolerance zone for any indicator and does not have anyone waiting over maximum wait times</w:t>
            </w:r>
          </w:p>
          <w:p w14:paraId="5C5606C4" w14:textId="77777777" w:rsidR="00427CB1" w:rsidRPr="00DA2E3E" w:rsidRDefault="00427CB1" w:rsidP="00C04FF1">
            <w:pPr>
              <w:numPr>
                <w:ilvl w:val="0"/>
                <w:numId w:val="96"/>
              </w:numPr>
              <w:shd w:val="clear" w:color="auto" w:fill="FFFFFF"/>
              <w:spacing w:before="60" w:after="60"/>
              <w:jc w:val="both"/>
              <w:rPr>
                <w:rFonts w:ascii="Arial" w:hAnsi="Arial" w:cs="Arial"/>
              </w:rPr>
            </w:pPr>
            <w:r>
              <w:rPr>
                <w:rFonts w:ascii="Arial" w:hAnsi="Arial" w:cs="Arial"/>
              </w:rPr>
              <w:t xml:space="preserve">not achieved any recommended </w:t>
            </w:r>
            <w:r w:rsidRPr="00DA2E3E">
              <w:rPr>
                <w:rFonts w:ascii="Arial" w:hAnsi="Arial" w:cs="Arial"/>
              </w:rPr>
              <w:t xml:space="preserve">colonoscopy </w:t>
            </w:r>
            <w:r>
              <w:rPr>
                <w:rFonts w:ascii="Arial" w:hAnsi="Arial" w:cs="Arial"/>
              </w:rPr>
              <w:t xml:space="preserve">wait times and does not have anyone waiting over maximum wait times </w:t>
            </w:r>
            <w:r w:rsidRPr="00DA2E3E">
              <w:rPr>
                <w:rFonts w:ascii="Arial" w:hAnsi="Arial" w:cs="Arial"/>
              </w:rPr>
              <w:t xml:space="preserve">but shows improvement over the previous quarter and has provided an adequate work-out plan to reach the target </w:t>
            </w:r>
            <w:r>
              <w:rPr>
                <w:rFonts w:ascii="Arial" w:hAnsi="Arial" w:cs="Arial"/>
              </w:rPr>
              <w:t>within an agreed timeframe</w:t>
            </w:r>
            <w:r w:rsidRPr="00DA2E3E">
              <w:rPr>
                <w:rFonts w:ascii="Arial" w:hAnsi="Arial" w:cs="Arial"/>
              </w:rPr>
              <w:t>.</w:t>
            </w:r>
          </w:p>
        </w:tc>
      </w:tr>
      <w:tr w:rsidR="00427CB1" w:rsidRPr="00DA2E3E" w14:paraId="13C4E46C" w14:textId="77777777" w:rsidTr="00705127">
        <w:tc>
          <w:tcPr>
            <w:tcW w:w="2340" w:type="dxa"/>
            <w:tcBorders>
              <w:top w:val="single" w:sz="4" w:space="0" w:color="auto"/>
              <w:left w:val="single" w:sz="4" w:space="0" w:color="auto"/>
              <w:bottom w:val="single" w:sz="4" w:space="0" w:color="auto"/>
              <w:right w:val="single" w:sz="4" w:space="0" w:color="auto"/>
            </w:tcBorders>
            <w:hideMark/>
          </w:tcPr>
          <w:p w14:paraId="3E23B102"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Not Achieved</w:t>
            </w:r>
          </w:p>
        </w:tc>
        <w:tc>
          <w:tcPr>
            <w:tcW w:w="7583" w:type="dxa"/>
            <w:tcBorders>
              <w:top w:val="single" w:sz="4" w:space="0" w:color="auto"/>
              <w:left w:val="single" w:sz="4" w:space="0" w:color="auto"/>
              <w:bottom w:val="single" w:sz="4" w:space="0" w:color="auto"/>
              <w:right w:val="single" w:sz="4" w:space="0" w:color="auto"/>
            </w:tcBorders>
            <w:hideMark/>
          </w:tcPr>
          <w:p w14:paraId="7A4A69AC" w14:textId="77777777" w:rsidR="00427CB1" w:rsidRPr="00DA2E3E" w:rsidRDefault="00427CB1" w:rsidP="00705127">
            <w:pPr>
              <w:shd w:val="clear" w:color="auto" w:fill="FFFFFF"/>
              <w:spacing w:before="60" w:after="60"/>
              <w:jc w:val="both"/>
              <w:rPr>
                <w:rFonts w:ascii="Arial" w:hAnsi="Arial" w:cs="Arial"/>
              </w:rPr>
            </w:pPr>
            <w:r w:rsidRPr="00DA2E3E">
              <w:rPr>
                <w:rFonts w:ascii="Arial" w:hAnsi="Arial" w:cs="Arial"/>
              </w:rPr>
              <w:t xml:space="preserve">The DHB has not achieved </w:t>
            </w:r>
            <w:r>
              <w:rPr>
                <w:rFonts w:ascii="Arial" w:hAnsi="Arial" w:cs="Arial"/>
              </w:rPr>
              <w:t>any</w:t>
            </w:r>
            <w:r w:rsidRPr="00DA2E3E">
              <w:rPr>
                <w:rFonts w:ascii="Arial" w:hAnsi="Arial" w:cs="Arial"/>
              </w:rPr>
              <w:t xml:space="preserve"> </w:t>
            </w:r>
            <w:r>
              <w:rPr>
                <w:rFonts w:ascii="Arial" w:hAnsi="Arial" w:cs="Arial"/>
              </w:rPr>
              <w:t xml:space="preserve">colonoscopy </w:t>
            </w:r>
            <w:r w:rsidRPr="00DA2E3E">
              <w:rPr>
                <w:rFonts w:ascii="Arial" w:hAnsi="Arial" w:cs="Arial"/>
              </w:rPr>
              <w:t>waiting time indicators and</w:t>
            </w:r>
            <w:r>
              <w:rPr>
                <w:rFonts w:ascii="Arial" w:hAnsi="Arial" w:cs="Arial"/>
              </w:rPr>
              <w:t>/or has people waiting over the maximum wait times and</w:t>
            </w:r>
            <w:r w:rsidRPr="00DA2E3E">
              <w:rPr>
                <w:rFonts w:ascii="Arial" w:hAnsi="Arial" w:cs="Arial"/>
              </w:rPr>
              <w:t xml:space="preserve"> has not demonstrated an adequate work-out plan to reach the target </w:t>
            </w:r>
            <w:r>
              <w:rPr>
                <w:rFonts w:ascii="Arial" w:hAnsi="Arial" w:cs="Arial"/>
              </w:rPr>
              <w:t>within an agreed timeframe.</w:t>
            </w:r>
          </w:p>
        </w:tc>
      </w:tr>
    </w:tbl>
    <w:p w14:paraId="037BBD4F" w14:textId="77777777" w:rsidR="00427CB1" w:rsidRPr="002D2F2D" w:rsidRDefault="00427CB1" w:rsidP="00427CB1">
      <w:pPr>
        <w:spacing w:before="60" w:after="60"/>
        <w:jc w:val="both"/>
        <w:rPr>
          <w:rFonts w:ascii="Arial" w:hAnsi="Arial" w:cs="Arial"/>
          <w:sz w:val="18"/>
        </w:rPr>
      </w:pPr>
      <w:r w:rsidRPr="002D2F2D">
        <w:rPr>
          <w:rFonts w:ascii="Arial" w:hAnsi="Arial" w:cs="Arial"/>
          <w:sz w:val="18"/>
        </w:rPr>
        <w:t>(***or 3 if not currently participating in the NBSP).</w:t>
      </w:r>
    </w:p>
    <w:p w14:paraId="5136C2DA" w14:textId="5FC431F6" w:rsidR="00E6526B" w:rsidRPr="00E6526B" w:rsidRDefault="00E6526B" w:rsidP="00E6526B">
      <w:pPr>
        <w:shd w:val="clear" w:color="auto" w:fill="D9D9D9" w:themeFill="background1" w:themeFillShade="D9"/>
        <w:rPr>
          <w:rFonts w:ascii="Arial" w:hAnsi="Arial" w:cs="Arial"/>
          <w:b/>
          <w:bCs/>
          <w:sz w:val="22"/>
          <w:szCs w:val="22"/>
        </w:rPr>
      </w:pPr>
      <w:r>
        <w:rPr>
          <w:rFonts w:ascii="Arial" w:hAnsi="Arial" w:cs="Arial"/>
          <w:b/>
          <w:bCs/>
          <w:sz w:val="22"/>
          <w:szCs w:val="22"/>
        </w:rPr>
        <w:br/>
        <w:t xml:space="preserve">Note Re </w:t>
      </w:r>
      <w:r w:rsidRPr="00E6526B">
        <w:rPr>
          <w:rFonts w:ascii="Arial" w:hAnsi="Arial" w:cs="Arial"/>
          <w:b/>
          <w:bCs/>
          <w:sz w:val="22"/>
          <w:szCs w:val="22"/>
        </w:rPr>
        <w:t>COVID-19 Reporting Adjustments for SS15: Improving waiting times for colonoscopies</w:t>
      </w:r>
    </w:p>
    <w:p w14:paraId="3CDE0E18" w14:textId="77777777" w:rsidR="00E6526B" w:rsidRPr="00E6526B" w:rsidRDefault="00E6526B" w:rsidP="00E6526B">
      <w:pPr>
        <w:shd w:val="clear" w:color="auto" w:fill="D9D9D9" w:themeFill="background1" w:themeFillShade="D9"/>
        <w:rPr>
          <w:rFonts w:ascii="Arial" w:hAnsi="Arial" w:cs="Arial"/>
          <w:bCs/>
          <w:sz w:val="22"/>
          <w:szCs w:val="22"/>
        </w:rPr>
      </w:pPr>
      <w:r w:rsidRPr="00E6526B">
        <w:rPr>
          <w:rFonts w:ascii="Arial" w:hAnsi="Arial" w:cs="Arial"/>
          <w:bCs/>
          <w:sz w:val="22"/>
          <w:szCs w:val="22"/>
        </w:rPr>
        <w:t xml:space="preserve">Patient safety remains paramount and DHBs should continue to ensure all procedures are completed within maximum wait times. In Quarters 1 and 2, DHBs must prioritise colonoscopies to be completed within maximum wait times. Ministry expectations are that DHBs will be meeting all recommended and maximum wait time targets in Quarters 3 and 4. </w:t>
      </w:r>
    </w:p>
    <w:p w14:paraId="2DCF93F3" w14:textId="77777777" w:rsidR="00E6526B" w:rsidRPr="00E6526B" w:rsidRDefault="00E6526B" w:rsidP="00E6526B">
      <w:pPr>
        <w:shd w:val="clear" w:color="auto" w:fill="D9D9D9" w:themeFill="background1" w:themeFillShade="D9"/>
        <w:rPr>
          <w:rFonts w:ascii="Arial" w:hAnsi="Arial" w:cs="Arial"/>
          <w:bCs/>
          <w:sz w:val="22"/>
          <w:szCs w:val="22"/>
        </w:rPr>
      </w:pPr>
    </w:p>
    <w:p w14:paraId="0F6B93F8" w14:textId="77777777" w:rsidR="00E6526B" w:rsidRPr="00E6526B" w:rsidRDefault="00E6526B" w:rsidP="00E6526B">
      <w:pPr>
        <w:shd w:val="clear" w:color="auto" w:fill="D9D9D9" w:themeFill="background1" w:themeFillShade="D9"/>
        <w:rPr>
          <w:rFonts w:ascii="Arial" w:hAnsi="Arial" w:cs="Arial"/>
          <w:b/>
          <w:bCs/>
          <w:sz w:val="22"/>
          <w:szCs w:val="22"/>
        </w:rPr>
      </w:pPr>
      <w:r w:rsidRPr="00E6526B">
        <w:rPr>
          <w:rFonts w:ascii="Arial" w:hAnsi="Arial" w:cs="Arial"/>
          <w:b/>
          <w:bCs/>
          <w:sz w:val="22"/>
          <w:szCs w:val="22"/>
        </w:rPr>
        <w:lastRenderedPageBreak/>
        <w:t>COVID-19 Reporting Adjustments for Bowel Screening</w:t>
      </w:r>
    </w:p>
    <w:p w14:paraId="2D183789" w14:textId="77777777" w:rsidR="00E6526B" w:rsidRPr="00E6526B" w:rsidRDefault="00E6526B" w:rsidP="00E6526B">
      <w:pPr>
        <w:shd w:val="clear" w:color="auto" w:fill="D9D9D9" w:themeFill="background1" w:themeFillShade="D9"/>
        <w:rPr>
          <w:rFonts w:ascii="Arial" w:hAnsi="Arial" w:cs="Arial"/>
          <w:bCs/>
          <w:sz w:val="22"/>
          <w:szCs w:val="22"/>
        </w:rPr>
      </w:pPr>
      <w:r w:rsidRPr="00E6526B">
        <w:rPr>
          <w:rFonts w:ascii="Arial" w:hAnsi="Arial" w:cs="Arial"/>
          <w:bCs/>
          <w:sz w:val="22"/>
          <w:szCs w:val="22"/>
        </w:rPr>
        <w:t>Due to the suspension of all screening programmes and dependent on when bowel screening recommences, key performance indicator 306 (see above) expectations will be adjusted for Quarter 1.</w:t>
      </w:r>
    </w:p>
    <w:p w14:paraId="15173D37" w14:textId="77777777" w:rsidR="00E6526B" w:rsidRPr="00E6526B" w:rsidRDefault="00E6526B" w:rsidP="00E6526B">
      <w:pPr>
        <w:shd w:val="clear" w:color="auto" w:fill="D9D9D9" w:themeFill="background1" w:themeFillShade="D9"/>
        <w:rPr>
          <w:rFonts w:ascii="Arial" w:hAnsi="Arial" w:cs="Arial"/>
          <w:bCs/>
          <w:sz w:val="22"/>
          <w:szCs w:val="22"/>
        </w:rPr>
      </w:pPr>
    </w:p>
    <w:p w14:paraId="37943488" w14:textId="77777777" w:rsidR="00E6526B" w:rsidRPr="00E6526B" w:rsidRDefault="00E6526B" w:rsidP="00E6526B">
      <w:pPr>
        <w:shd w:val="clear" w:color="auto" w:fill="D9D9D9" w:themeFill="background1" w:themeFillShade="D9"/>
        <w:rPr>
          <w:rFonts w:ascii="Arial" w:hAnsi="Arial" w:cs="Arial"/>
          <w:b/>
          <w:bCs/>
          <w:sz w:val="22"/>
          <w:szCs w:val="22"/>
        </w:rPr>
      </w:pPr>
      <w:r w:rsidRPr="00E6526B">
        <w:rPr>
          <w:rFonts w:ascii="Arial" w:hAnsi="Arial" w:cs="Arial"/>
          <w:b/>
          <w:bCs/>
          <w:sz w:val="22"/>
          <w:szCs w:val="22"/>
        </w:rPr>
        <w:t>Escalation Process Adjustments for CWTIs and Bowel Screening</w:t>
      </w:r>
    </w:p>
    <w:p w14:paraId="4BB01F2C" w14:textId="77777777" w:rsidR="00E6526B" w:rsidRPr="00E6526B" w:rsidRDefault="00E6526B" w:rsidP="00E6526B">
      <w:pPr>
        <w:shd w:val="clear" w:color="auto" w:fill="D9D9D9" w:themeFill="background1" w:themeFillShade="D9"/>
        <w:rPr>
          <w:rFonts w:ascii="Arial" w:hAnsi="Arial" w:cs="Arial"/>
          <w:bCs/>
          <w:sz w:val="22"/>
          <w:szCs w:val="22"/>
        </w:rPr>
      </w:pPr>
      <w:r w:rsidRPr="00E6526B">
        <w:rPr>
          <w:rFonts w:ascii="Arial" w:hAnsi="Arial" w:cs="Arial"/>
          <w:bCs/>
          <w:sz w:val="22"/>
          <w:szCs w:val="22"/>
        </w:rPr>
        <w:t>An amber rating is a time-limited opportunity to recover performance. The Ministry may choose to lengthen the time a DHB can remain in amber, according to specific DHB circumstances for Quarters 1 and 2.</w:t>
      </w:r>
    </w:p>
    <w:p w14:paraId="019843B3" w14:textId="558B00B4" w:rsidR="002E1CD7" w:rsidRPr="00E6526B" w:rsidRDefault="002E1CD7" w:rsidP="00E6526B">
      <w:pPr>
        <w:shd w:val="clear" w:color="auto" w:fill="D9D9D9" w:themeFill="background1" w:themeFillShade="D9"/>
        <w:rPr>
          <w:rFonts w:ascii="Arial" w:hAnsi="Arial" w:cs="Arial"/>
          <w:i/>
        </w:rPr>
      </w:pPr>
      <w:r w:rsidRPr="00E6526B">
        <w:rPr>
          <w:i/>
        </w:rPr>
        <w:br w:type="page"/>
      </w:r>
    </w:p>
    <w:p w14:paraId="56156601" w14:textId="77777777" w:rsidR="006D20CE" w:rsidRPr="00DC20A4" w:rsidRDefault="006D20CE" w:rsidP="006D20CE">
      <w:pPr>
        <w:pStyle w:val="TitleOne"/>
        <w:spacing w:before="0" w:after="0"/>
        <w:ind w:left="720" w:hanging="720"/>
        <w:rPr>
          <w:i/>
          <w:sz w:val="24"/>
          <w:szCs w:val="24"/>
        </w:rPr>
      </w:pPr>
      <w:bookmarkStart w:id="523" w:name="_Toc401310875"/>
      <w:bookmarkStart w:id="524" w:name="_Toc401311039"/>
      <w:bookmarkStart w:id="525" w:name="_Toc406138471"/>
      <w:bookmarkStart w:id="526" w:name="_Toc406142869"/>
      <w:bookmarkStart w:id="527" w:name="_Toc433707270"/>
      <w:bookmarkStart w:id="528" w:name="_Toc433707977"/>
      <w:bookmarkStart w:id="529" w:name="_Toc433708789"/>
      <w:bookmarkStart w:id="530" w:name="_Toc444243412"/>
      <w:bookmarkStart w:id="531" w:name="_Toc491938871"/>
      <w:bookmarkStart w:id="532" w:name="_Toc532975794"/>
      <w:r w:rsidRPr="00DC20A4">
        <w:rPr>
          <w:i/>
          <w:sz w:val="24"/>
          <w:szCs w:val="24"/>
        </w:rPr>
        <w:lastRenderedPageBreak/>
        <w:t xml:space="preserve">Outcome priority:  </w:t>
      </w:r>
      <w:r>
        <w:rPr>
          <w:i/>
          <w:sz w:val="24"/>
          <w:szCs w:val="24"/>
        </w:rPr>
        <w:t>we have equity for Maori and other groups</w:t>
      </w:r>
    </w:p>
    <w:p w14:paraId="0DF72715" w14:textId="77777777" w:rsidR="006D20CE" w:rsidRDefault="006D20CE" w:rsidP="006D20CE">
      <w:pPr>
        <w:spacing w:before="60" w:after="60"/>
        <w:jc w:val="both"/>
        <w:rPr>
          <w:rFonts w:ascii="Arial" w:hAnsi="Arial" w:cs="Arial"/>
          <w:b/>
          <w:i/>
          <w:sz w:val="28"/>
          <w:szCs w:val="28"/>
        </w:rPr>
      </w:pPr>
    </w:p>
    <w:p w14:paraId="5DA307A0" w14:textId="77777777" w:rsidR="006D20CE" w:rsidRDefault="006D20CE" w:rsidP="006D20CE">
      <w:pPr>
        <w:spacing w:before="60" w:after="60"/>
        <w:jc w:val="both"/>
        <w:rPr>
          <w:rFonts w:ascii="Arial" w:hAnsi="Arial" w:cs="Arial"/>
          <w:b/>
          <w:bCs/>
          <w:i/>
          <w:iCs/>
          <w:color w:val="000000"/>
          <w:sz w:val="28"/>
          <w:szCs w:val="28"/>
        </w:rPr>
      </w:pPr>
      <w:r w:rsidRPr="00604F7F">
        <w:rPr>
          <w:rFonts w:ascii="Arial" w:hAnsi="Arial" w:cs="Arial"/>
          <w:b/>
          <w:i/>
          <w:sz w:val="28"/>
          <w:szCs w:val="28"/>
        </w:rPr>
        <w:t xml:space="preserve">Better population health outcomes supported by a </w:t>
      </w:r>
      <w:r>
        <w:rPr>
          <w:rFonts w:ascii="Arial" w:hAnsi="Arial" w:cs="Arial"/>
          <w:b/>
          <w:i/>
          <w:sz w:val="28"/>
          <w:szCs w:val="28"/>
        </w:rPr>
        <w:t>s</w:t>
      </w:r>
      <w:r w:rsidRPr="005C1A05">
        <w:rPr>
          <w:rFonts w:ascii="Arial" w:hAnsi="Arial" w:cs="Arial"/>
          <w:b/>
          <w:i/>
          <w:sz w:val="28"/>
          <w:szCs w:val="28"/>
        </w:rPr>
        <w:t>trong and equitable public health and disability</w:t>
      </w:r>
      <w:r>
        <w:rPr>
          <w:rFonts w:ascii="Arial" w:hAnsi="Arial" w:cs="Arial"/>
          <w:b/>
          <w:i/>
          <w:sz w:val="28"/>
          <w:szCs w:val="28"/>
        </w:rPr>
        <w:t xml:space="preserve"> </w:t>
      </w:r>
      <w:r w:rsidRPr="005C1A05">
        <w:rPr>
          <w:rFonts w:ascii="Arial" w:hAnsi="Arial" w:cs="Arial"/>
          <w:b/>
          <w:i/>
          <w:sz w:val="28"/>
          <w:szCs w:val="28"/>
        </w:rPr>
        <w:t>system SS</w:t>
      </w:r>
      <w:r>
        <w:rPr>
          <w:rFonts w:ascii="Arial" w:hAnsi="Arial" w:cs="Arial"/>
          <w:b/>
          <w:i/>
          <w:sz w:val="28"/>
          <w:szCs w:val="28"/>
        </w:rPr>
        <w:t>17</w:t>
      </w:r>
      <w:r w:rsidRPr="005C1A05">
        <w:rPr>
          <w:rFonts w:ascii="Arial" w:hAnsi="Arial" w:cs="Arial"/>
          <w:b/>
          <w:i/>
          <w:sz w:val="28"/>
          <w:szCs w:val="28"/>
        </w:rPr>
        <w:t xml:space="preserve">: </w:t>
      </w:r>
      <w:r w:rsidRPr="009265F3">
        <w:rPr>
          <w:rFonts w:ascii="Arial" w:hAnsi="Arial" w:cs="Arial"/>
          <w:b/>
          <w:bCs/>
          <w:i/>
          <w:iCs/>
          <w:color w:val="000000"/>
          <w:sz w:val="28"/>
          <w:szCs w:val="28"/>
        </w:rPr>
        <w:t xml:space="preserve">Delivery of </w:t>
      </w:r>
      <w:proofErr w:type="spellStart"/>
      <w:r w:rsidRPr="009265F3">
        <w:rPr>
          <w:rFonts w:ascii="Arial" w:hAnsi="Arial" w:cs="Arial"/>
          <w:b/>
          <w:bCs/>
          <w:i/>
          <w:iCs/>
          <w:color w:val="000000"/>
          <w:sz w:val="28"/>
          <w:szCs w:val="28"/>
        </w:rPr>
        <w:t>Whānau</w:t>
      </w:r>
      <w:proofErr w:type="spellEnd"/>
      <w:r w:rsidRPr="009265F3">
        <w:rPr>
          <w:rFonts w:ascii="Arial" w:hAnsi="Arial" w:cs="Arial"/>
          <w:b/>
          <w:bCs/>
          <w:i/>
          <w:iCs/>
          <w:color w:val="000000"/>
          <w:sz w:val="28"/>
          <w:szCs w:val="28"/>
        </w:rPr>
        <w:t xml:space="preserve"> Ora</w:t>
      </w:r>
      <w:bookmarkEnd w:id="523"/>
      <w:bookmarkEnd w:id="524"/>
      <w:bookmarkEnd w:id="525"/>
      <w:bookmarkEnd w:id="526"/>
      <w:bookmarkEnd w:id="527"/>
      <w:bookmarkEnd w:id="528"/>
      <w:bookmarkEnd w:id="529"/>
      <w:bookmarkEnd w:id="530"/>
      <w:bookmarkEnd w:id="531"/>
      <w:bookmarkEnd w:id="532"/>
      <w:r w:rsidRPr="009265F3">
        <w:rPr>
          <w:rFonts w:ascii="Arial" w:hAnsi="Arial" w:cs="Arial"/>
          <w:b/>
          <w:bCs/>
          <w:i/>
          <w:iCs/>
          <w:color w:val="000000"/>
          <w:sz w:val="28"/>
          <w:szCs w:val="28"/>
        </w:rPr>
        <w:t xml:space="preserve"> </w:t>
      </w:r>
    </w:p>
    <w:p w14:paraId="52686B67" w14:textId="77777777" w:rsidR="006D20CE" w:rsidRPr="009265F3" w:rsidRDefault="006D20CE" w:rsidP="006D20CE">
      <w:pPr>
        <w:spacing w:before="60" w:after="60"/>
        <w:jc w:val="both"/>
        <w:rPr>
          <w:rFonts w:ascii="Arial" w:hAnsi="Arial" w:cs="Arial"/>
          <w:b/>
          <w:bCs/>
          <w:i/>
          <w:iCs/>
          <w:color w:val="000000"/>
          <w:sz w:val="28"/>
          <w:szCs w:val="28"/>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6D20CE" w:rsidRPr="00B44AD8" w14:paraId="46D521A8" w14:textId="77777777" w:rsidTr="00705127">
        <w:tc>
          <w:tcPr>
            <w:tcW w:w="10094" w:type="dxa"/>
            <w:gridSpan w:val="2"/>
            <w:shd w:val="clear" w:color="auto" w:fill="D9D9D9"/>
          </w:tcPr>
          <w:p w14:paraId="0AED25F0" w14:textId="77777777" w:rsidR="006D20CE" w:rsidRPr="00B44AD8" w:rsidRDefault="006D20CE" w:rsidP="00705127">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6D20CE" w:rsidRPr="00B44AD8" w14:paraId="02EAA639" w14:textId="77777777" w:rsidTr="00705127">
        <w:tc>
          <w:tcPr>
            <w:tcW w:w="2864" w:type="dxa"/>
            <w:shd w:val="clear" w:color="auto" w:fill="auto"/>
          </w:tcPr>
          <w:p w14:paraId="79791015" w14:textId="77777777" w:rsidR="006D20CE" w:rsidRPr="00B44AD8" w:rsidRDefault="006D20CE" w:rsidP="00705127">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346ADE9B" w14:textId="77777777" w:rsidR="006D20CE" w:rsidRPr="00B44AD8" w:rsidRDefault="006D20CE" w:rsidP="00705127">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p>
        </w:tc>
      </w:tr>
      <w:tr w:rsidR="006D20CE" w:rsidRPr="00B44AD8" w14:paraId="0E374F6A" w14:textId="77777777" w:rsidTr="00705127">
        <w:trPr>
          <w:trHeight w:val="493"/>
        </w:trPr>
        <w:tc>
          <w:tcPr>
            <w:tcW w:w="2864" w:type="dxa"/>
            <w:shd w:val="clear" w:color="auto" w:fill="auto"/>
          </w:tcPr>
          <w:p w14:paraId="7EF777E0" w14:textId="77777777" w:rsidR="006D20CE" w:rsidRPr="00B44AD8" w:rsidRDefault="006D20CE" w:rsidP="00705127">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76BEBBCB" w14:textId="77777777" w:rsidR="006D20CE" w:rsidRPr="00B44AD8" w:rsidRDefault="006D20CE" w:rsidP="00705127">
            <w:pPr>
              <w:shd w:val="clear" w:color="auto" w:fill="FFFFFF"/>
              <w:spacing w:before="60" w:after="60"/>
              <w:jc w:val="both"/>
              <w:rPr>
                <w:rFonts w:ascii="Arial" w:hAnsi="Arial" w:cs="Arial"/>
                <w:sz w:val="20"/>
                <w:szCs w:val="20"/>
              </w:rPr>
            </w:pPr>
            <w:r>
              <w:rPr>
                <w:rFonts w:ascii="Arial" w:hAnsi="Arial" w:cs="Arial"/>
                <w:sz w:val="20"/>
                <w:szCs w:val="20"/>
              </w:rPr>
              <w:t xml:space="preserve">Annual in quarter four </w:t>
            </w:r>
          </w:p>
        </w:tc>
      </w:tr>
      <w:tr w:rsidR="006D20CE" w:rsidRPr="00B44AD8" w14:paraId="28F70503" w14:textId="77777777" w:rsidTr="00705127">
        <w:tc>
          <w:tcPr>
            <w:tcW w:w="2864" w:type="dxa"/>
            <w:shd w:val="clear" w:color="auto" w:fill="auto"/>
          </w:tcPr>
          <w:p w14:paraId="7AEE41F0" w14:textId="77777777" w:rsidR="006D20CE" w:rsidRPr="00B44AD8" w:rsidRDefault="006D20CE" w:rsidP="00705127">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21648961" w14:textId="77777777" w:rsidR="006D20CE" w:rsidRPr="00B44AD8" w:rsidRDefault="006D20CE" w:rsidP="00705127">
            <w:pPr>
              <w:shd w:val="clear" w:color="auto" w:fill="FFFFFF"/>
              <w:spacing w:before="60" w:after="60"/>
              <w:rPr>
                <w:rFonts w:ascii="Arial" w:hAnsi="Arial" w:cs="Arial"/>
                <w:i/>
                <w:sz w:val="20"/>
                <w:szCs w:val="20"/>
              </w:rPr>
            </w:pPr>
            <w:r>
              <w:rPr>
                <w:rFonts w:ascii="Arial" w:hAnsi="Arial" w:cs="Arial"/>
                <w:i/>
                <w:sz w:val="20"/>
                <w:szCs w:val="20"/>
              </w:rPr>
              <w:t xml:space="preserve">Reports to be supplied by DHBs as indicated </w:t>
            </w:r>
          </w:p>
        </w:tc>
      </w:tr>
      <w:tr w:rsidR="006D20CE" w:rsidRPr="00B44AD8" w14:paraId="13E23427" w14:textId="77777777" w:rsidTr="00705127">
        <w:trPr>
          <w:trHeight w:val="2182"/>
        </w:trPr>
        <w:tc>
          <w:tcPr>
            <w:tcW w:w="2864" w:type="dxa"/>
            <w:shd w:val="clear" w:color="auto" w:fill="auto"/>
          </w:tcPr>
          <w:p w14:paraId="27881577" w14:textId="77777777" w:rsidR="006D20CE" w:rsidRPr="00B44AD8" w:rsidRDefault="006D20CE" w:rsidP="00705127">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2AAC33C0" w14:textId="77777777" w:rsidR="006D20CE" w:rsidRPr="00B44AD8" w:rsidRDefault="006D20CE" w:rsidP="00705127">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6D20CE" w:rsidRPr="00B44AD8" w14:paraId="42406F4E"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A0519"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25A56"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20th of the month following the end of the quarter</w:t>
                  </w:r>
                </w:p>
              </w:tc>
            </w:tr>
            <w:tr w:rsidR="006D20CE" w:rsidRPr="00B44AD8" w14:paraId="0C6BBF9F"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AE9EA"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830A"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8-10 working days from receiving reports</w:t>
                  </w:r>
                </w:p>
              </w:tc>
            </w:tr>
            <w:tr w:rsidR="006D20CE" w:rsidRPr="00B44AD8" w14:paraId="633F6DE8"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2F7F4"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0BAB"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5 working days from receiving initial ratings</w:t>
                  </w:r>
                </w:p>
              </w:tc>
            </w:tr>
            <w:tr w:rsidR="006D20CE" w:rsidRPr="00B44AD8" w14:paraId="7136026E" w14:textId="77777777" w:rsidTr="00705127">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4A1E"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02130" w14:textId="77777777" w:rsidR="006D20CE" w:rsidRPr="00B44AD8" w:rsidRDefault="006D20CE" w:rsidP="00705127">
                  <w:pPr>
                    <w:ind w:left="205" w:hanging="205"/>
                    <w:rPr>
                      <w:rFonts w:ascii="Calibri" w:hAnsi="Calibri"/>
                      <w:sz w:val="20"/>
                      <w:szCs w:val="20"/>
                    </w:rPr>
                  </w:pPr>
                  <w:r w:rsidRPr="00B44AD8">
                    <w:rPr>
                      <w:rFonts w:ascii="Calibri" w:hAnsi="Calibri"/>
                      <w:sz w:val="20"/>
                      <w:szCs w:val="20"/>
                    </w:rPr>
                    <w:t>4-5 working days from receiving DHB feedback</w:t>
                  </w:r>
                </w:p>
              </w:tc>
            </w:tr>
          </w:tbl>
          <w:p w14:paraId="4008278D" w14:textId="77777777" w:rsidR="006D20CE" w:rsidRPr="00B44AD8" w:rsidRDefault="006D20CE" w:rsidP="00705127">
            <w:pPr>
              <w:shd w:val="clear" w:color="auto" w:fill="FFFFFF"/>
              <w:spacing w:before="60" w:after="60"/>
              <w:jc w:val="both"/>
              <w:rPr>
                <w:rFonts w:ascii="Arial" w:hAnsi="Arial" w:cs="Arial"/>
                <w:i/>
                <w:sz w:val="16"/>
                <w:szCs w:val="16"/>
              </w:rPr>
            </w:pPr>
          </w:p>
        </w:tc>
      </w:tr>
    </w:tbl>
    <w:p w14:paraId="67F76D2B" w14:textId="77777777" w:rsidR="006D20CE" w:rsidRPr="00207E49" w:rsidRDefault="006D20CE" w:rsidP="006D20CE">
      <w:pPr>
        <w:spacing w:before="60" w:after="60"/>
        <w:jc w:val="both"/>
        <w:rPr>
          <w:rFonts w:ascii="Arial" w:hAnsi="Arial" w:cs="Arial"/>
          <w:b/>
          <w:sz w:val="22"/>
          <w:szCs w:val="22"/>
        </w:rPr>
      </w:pPr>
      <w:r w:rsidRPr="00207E49">
        <w:rPr>
          <w:rFonts w:ascii="Arial" w:hAnsi="Arial" w:cs="Arial"/>
          <w:b/>
          <w:sz w:val="22"/>
          <w:szCs w:val="22"/>
        </w:rPr>
        <w:t>Links to priorities and outcomes.</w:t>
      </w:r>
    </w:p>
    <w:p w14:paraId="1A2402E2" w14:textId="77777777" w:rsidR="006D20CE" w:rsidRPr="009265F3" w:rsidRDefault="006D20CE" w:rsidP="006D20CE">
      <w:pPr>
        <w:spacing w:before="120" w:after="240"/>
        <w:rPr>
          <w:rFonts w:ascii="Arial" w:hAnsi="Arial" w:cs="Arial"/>
          <w:color w:val="000000"/>
          <w:sz w:val="22"/>
          <w:szCs w:val="22"/>
        </w:rPr>
      </w:pPr>
      <w:r w:rsidRPr="009265F3">
        <w:rPr>
          <w:rFonts w:ascii="Arial" w:hAnsi="Arial" w:cs="Arial"/>
          <w:color w:val="000000"/>
          <w:sz w:val="22"/>
          <w:szCs w:val="22"/>
        </w:rPr>
        <w:t xml:space="preserve">In meeting our obligations under the Treaty of Waitangi, DHBs are expected to prioritise achieving health equity in the health system, with an explicit focus on achieving equity for Māori. These expectations reinforce the importance of supporting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ora</w:t>
      </w:r>
      <w:proofErr w:type="spellEnd"/>
      <w:r w:rsidRPr="009265F3">
        <w:rPr>
          <w:rFonts w:ascii="Arial" w:hAnsi="Arial" w:cs="Arial"/>
          <w:color w:val="000000"/>
          <w:sz w:val="22"/>
          <w:szCs w:val="22"/>
        </w:rPr>
        <w:t xml:space="preserve"> (healthy families) within the health system.</w:t>
      </w:r>
    </w:p>
    <w:p w14:paraId="728F6008" w14:textId="77777777" w:rsidR="006D20CE" w:rsidRPr="009265F3" w:rsidRDefault="006D20CE" w:rsidP="006D20CE">
      <w:pPr>
        <w:spacing w:before="120" w:after="240"/>
        <w:rPr>
          <w:rFonts w:ascii="Arial" w:hAnsi="Arial" w:cs="Arial"/>
          <w:color w:val="000000"/>
          <w:sz w:val="22"/>
          <w:szCs w:val="22"/>
        </w:rPr>
      </w:pP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ora</w:t>
      </w:r>
      <w:proofErr w:type="spellEnd"/>
      <w:r w:rsidRPr="009265F3">
        <w:rPr>
          <w:rFonts w:ascii="Arial" w:hAnsi="Arial" w:cs="Arial"/>
          <w:color w:val="000000"/>
          <w:sz w:val="22"/>
          <w:szCs w:val="22"/>
        </w:rPr>
        <w:t xml:space="preserve"> is a key element of </w:t>
      </w:r>
      <w:proofErr w:type="spellStart"/>
      <w:r w:rsidRPr="009265F3">
        <w:rPr>
          <w:rFonts w:ascii="Arial" w:hAnsi="Arial" w:cs="Arial"/>
          <w:color w:val="000000"/>
          <w:sz w:val="22"/>
          <w:szCs w:val="22"/>
        </w:rPr>
        <w:t>pae</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ora</w:t>
      </w:r>
      <w:proofErr w:type="spellEnd"/>
      <w:r w:rsidRPr="009265F3">
        <w:rPr>
          <w:rFonts w:ascii="Arial" w:hAnsi="Arial" w:cs="Arial"/>
          <w:color w:val="000000"/>
          <w:sz w:val="22"/>
          <w:szCs w:val="22"/>
        </w:rPr>
        <w:t xml:space="preserve"> (healthy futures), the Government’s vision for Māori health as outlined in </w:t>
      </w:r>
      <w:proofErr w:type="spellStart"/>
      <w:r w:rsidRPr="009265F3">
        <w:rPr>
          <w:rFonts w:ascii="Arial" w:hAnsi="Arial" w:cs="Arial"/>
          <w:i/>
          <w:color w:val="000000"/>
          <w:sz w:val="22"/>
          <w:szCs w:val="22"/>
        </w:rPr>
        <w:t>He</w:t>
      </w:r>
      <w:proofErr w:type="spellEnd"/>
      <w:r w:rsidRPr="009265F3">
        <w:rPr>
          <w:rFonts w:ascii="Arial" w:hAnsi="Arial" w:cs="Arial"/>
          <w:i/>
          <w:color w:val="000000"/>
          <w:sz w:val="22"/>
          <w:szCs w:val="22"/>
        </w:rPr>
        <w:t xml:space="preserve"> Korowai </w:t>
      </w:r>
      <w:proofErr w:type="spellStart"/>
      <w:r w:rsidRPr="009265F3">
        <w:rPr>
          <w:rFonts w:ascii="Arial" w:hAnsi="Arial" w:cs="Arial"/>
          <w:i/>
          <w:color w:val="000000"/>
          <w:sz w:val="22"/>
          <w:szCs w:val="22"/>
        </w:rPr>
        <w:t>Oranga</w:t>
      </w:r>
      <w:proofErr w:type="spellEnd"/>
      <w:r w:rsidRPr="009265F3">
        <w:rPr>
          <w:rFonts w:ascii="Arial" w:hAnsi="Arial" w:cs="Arial"/>
          <w:i/>
          <w:color w:val="000000"/>
          <w:sz w:val="22"/>
          <w:szCs w:val="22"/>
        </w:rPr>
        <w:t>: Māori Health Strategy</w:t>
      </w:r>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ora</w:t>
      </w:r>
      <w:proofErr w:type="spellEnd"/>
      <w:r w:rsidRPr="009265F3">
        <w:rPr>
          <w:rFonts w:ascii="Arial" w:hAnsi="Arial" w:cs="Arial"/>
          <w:color w:val="000000"/>
          <w:sz w:val="22"/>
          <w:szCs w:val="22"/>
        </w:rPr>
        <w:t xml:space="preserve"> is driven by a focus on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being self-managing, living healthy lifestyles and confidently participating in Te </w:t>
      </w:r>
      <w:proofErr w:type="spellStart"/>
      <w:r w:rsidRPr="009265F3">
        <w:rPr>
          <w:rFonts w:ascii="Arial" w:hAnsi="Arial" w:cs="Arial"/>
          <w:color w:val="000000"/>
          <w:sz w:val="22"/>
          <w:szCs w:val="22"/>
        </w:rPr>
        <w:t>Ao</w:t>
      </w:r>
      <w:proofErr w:type="spellEnd"/>
      <w:r w:rsidRPr="009265F3">
        <w:rPr>
          <w:rFonts w:ascii="Arial" w:hAnsi="Arial" w:cs="Arial"/>
          <w:color w:val="000000"/>
          <w:sz w:val="22"/>
          <w:szCs w:val="22"/>
        </w:rPr>
        <w:t xml:space="preserve"> Māori (the Māori world) and in society.</w:t>
      </w:r>
    </w:p>
    <w:p w14:paraId="0163FB23" w14:textId="77777777" w:rsidR="006D20CE" w:rsidRPr="009265F3" w:rsidRDefault="006D20CE" w:rsidP="006D20CE">
      <w:pPr>
        <w:spacing w:before="120" w:after="240"/>
        <w:rPr>
          <w:rFonts w:ascii="Arial" w:hAnsi="Arial" w:cs="Arial"/>
          <w:color w:val="000000"/>
          <w:sz w:val="22"/>
          <w:szCs w:val="22"/>
        </w:rPr>
      </w:pP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-centred approaches are culturally grounded and holistic, focused on improving the wellbeing of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and addressing individual needs within a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context.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-centred service delivery places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needs and aspirations at the centre with services that are integrated and accessible. </w:t>
      </w:r>
    </w:p>
    <w:p w14:paraId="73A6144D" w14:textId="77777777" w:rsidR="006D20CE" w:rsidRPr="009265F3" w:rsidRDefault="006D20CE" w:rsidP="006D20CE">
      <w:pPr>
        <w:spacing w:before="120" w:after="240"/>
        <w:rPr>
          <w:rFonts w:ascii="Arial" w:hAnsi="Arial" w:cs="Arial"/>
          <w:color w:val="000000"/>
          <w:sz w:val="22"/>
          <w:szCs w:val="22"/>
        </w:rPr>
      </w:pPr>
      <w:r w:rsidRPr="009265F3">
        <w:rPr>
          <w:rFonts w:ascii="Arial" w:hAnsi="Arial" w:cs="Arial"/>
          <w:color w:val="000000"/>
          <w:sz w:val="22"/>
          <w:szCs w:val="22"/>
        </w:rPr>
        <w:t xml:space="preserve">In addition, the Government’s investment in the Te </w:t>
      </w:r>
      <w:proofErr w:type="spellStart"/>
      <w:r w:rsidRPr="009265F3">
        <w:rPr>
          <w:rFonts w:ascii="Arial" w:hAnsi="Arial" w:cs="Arial"/>
          <w:color w:val="000000"/>
          <w:sz w:val="22"/>
          <w:szCs w:val="22"/>
        </w:rPr>
        <w:t>Puni</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Kōkiri</w:t>
      </w:r>
      <w:proofErr w:type="spellEnd"/>
      <w:r w:rsidRPr="009265F3">
        <w:rPr>
          <w:rFonts w:ascii="Arial" w:hAnsi="Arial" w:cs="Arial"/>
          <w:color w:val="000000"/>
          <w:sz w:val="22"/>
          <w:szCs w:val="22"/>
        </w:rPr>
        <w:t xml:space="preserve">-led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Ora Initiative plays a key role in applying a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ora</w:t>
      </w:r>
      <w:proofErr w:type="spellEnd"/>
      <w:r w:rsidRPr="009265F3">
        <w:rPr>
          <w:rFonts w:ascii="Arial" w:hAnsi="Arial" w:cs="Arial"/>
          <w:color w:val="000000"/>
          <w:sz w:val="22"/>
          <w:szCs w:val="22"/>
        </w:rPr>
        <w:t xml:space="preserve"> approach.  The 2018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Ora Review</w:t>
      </w:r>
      <w:r w:rsidRPr="009265F3">
        <w:rPr>
          <w:rFonts w:ascii="Arial" w:hAnsi="Arial" w:cs="Arial"/>
          <w:color w:val="000000"/>
          <w:sz w:val="22"/>
          <w:szCs w:val="22"/>
          <w:vertAlign w:val="superscript"/>
        </w:rPr>
        <w:footnoteReference w:id="20"/>
      </w:r>
      <w:r w:rsidRPr="009265F3">
        <w:rPr>
          <w:rFonts w:ascii="Arial" w:hAnsi="Arial" w:cs="Arial"/>
          <w:color w:val="000000"/>
          <w:sz w:val="22"/>
          <w:szCs w:val="22"/>
        </w:rPr>
        <w:t xml:space="preserve"> emphasises the need for government agencies to better support the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Ora approach with stronger requirements for service delivery to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and agreement of cross-government commitments. Therefore, ensuring DHBs support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-centred service delivery and approaches, and leverage off the Government’s investment. </w:t>
      </w:r>
    </w:p>
    <w:p w14:paraId="4565BCB8" w14:textId="77777777" w:rsidR="006D20CE" w:rsidRPr="009265F3" w:rsidRDefault="006D20CE" w:rsidP="006D20CE">
      <w:pPr>
        <w:spacing w:before="120" w:after="120"/>
        <w:jc w:val="both"/>
        <w:rPr>
          <w:rFonts w:ascii="Arial" w:hAnsi="Arial" w:cs="Arial"/>
          <w:b/>
          <w:color w:val="000000"/>
          <w:sz w:val="22"/>
          <w:szCs w:val="22"/>
        </w:rPr>
      </w:pPr>
      <w:r w:rsidRPr="009265F3">
        <w:rPr>
          <w:rFonts w:ascii="Arial" w:hAnsi="Arial" w:cs="Arial"/>
          <w:b/>
          <w:color w:val="000000"/>
          <w:sz w:val="22"/>
          <w:szCs w:val="22"/>
        </w:rPr>
        <w:t>Actions and activities that have a proven impact on this measure:</w:t>
      </w:r>
    </w:p>
    <w:p w14:paraId="6B05AFB0" w14:textId="77777777" w:rsidR="006D20CE" w:rsidRPr="009265F3" w:rsidRDefault="006D20CE" w:rsidP="006D20CE">
      <w:pPr>
        <w:rPr>
          <w:rFonts w:ascii="Arial" w:hAnsi="Arial" w:cs="Arial"/>
          <w:color w:val="000000"/>
          <w:sz w:val="22"/>
          <w:szCs w:val="22"/>
          <w:lang w:val="en"/>
        </w:rPr>
      </w:pPr>
      <w:r w:rsidRPr="009265F3">
        <w:rPr>
          <w:rFonts w:ascii="Arial" w:hAnsi="Arial" w:cs="Arial"/>
          <w:color w:val="000000"/>
          <w:sz w:val="22"/>
          <w:szCs w:val="22"/>
          <w:lang w:val="en-US" w:eastAsia="en-NZ"/>
        </w:rPr>
        <w:t xml:space="preserve">DHBs </w:t>
      </w:r>
      <w:r>
        <w:rPr>
          <w:rFonts w:ascii="Arial" w:hAnsi="Arial" w:cs="Arial"/>
          <w:color w:val="000000"/>
          <w:sz w:val="22"/>
          <w:szCs w:val="22"/>
          <w:lang w:val="en-US" w:eastAsia="en-NZ"/>
        </w:rPr>
        <w:t>will action</w:t>
      </w:r>
      <w:r w:rsidRPr="009265F3">
        <w:rPr>
          <w:rFonts w:ascii="Arial" w:hAnsi="Arial" w:cs="Arial"/>
          <w:color w:val="000000"/>
          <w:sz w:val="22"/>
          <w:szCs w:val="22"/>
          <w:lang w:val="en-US" w:eastAsia="en-NZ"/>
        </w:rPr>
        <w:t xml:space="preserve"> system-level changes by delivering whanau-</w:t>
      </w:r>
      <w:proofErr w:type="spellStart"/>
      <w:r w:rsidRPr="009265F3">
        <w:rPr>
          <w:rFonts w:ascii="Arial" w:hAnsi="Arial" w:cs="Arial"/>
          <w:color w:val="000000"/>
          <w:sz w:val="22"/>
          <w:szCs w:val="22"/>
          <w:lang w:val="en-US" w:eastAsia="en-NZ"/>
        </w:rPr>
        <w:t>centred</w:t>
      </w:r>
      <w:proofErr w:type="spellEnd"/>
      <w:r w:rsidRPr="009265F3">
        <w:rPr>
          <w:rFonts w:ascii="Arial" w:hAnsi="Arial" w:cs="Arial"/>
          <w:color w:val="000000"/>
          <w:sz w:val="22"/>
          <w:szCs w:val="22"/>
          <w:lang w:val="en-US" w:eastAsia="en-NZ"/>
        </w:rPr>
        <w:t xml:space="preserve"> approaches to </w:t>
      </w:r>
      <w:r w:rsidRPr="009265F3">
        <w:rPr>
          <w:rFonts w:ascii="Arial" w:hAnsi="Arial" w:cs="Arial"/>
          <w:color w:val="000000"/>
          <w:sz w:val="22"/>
          <w:szCs w:val="22"/>
          <w:lang w:val="en"/>
        </w:rPr>
        <w:t>contribute to Māori health advancement and achieve health equity.</w:t>
      </w:r>
    </w:p>
    <w:p w14:paraId="5431F2C4" w14:textId="77777777" w:rsidR="006D20CE" w:rsidRPr="009265F3" w:rsidRDefault="006D20CE" w:rsidP="006D20CE">
      <w:pPr>
        <w:jc w:val="both"/>
        <w:rPr>
          <w:rFonts w:ascii="Arial" w:hAnsi="Arial" w:cs="Arial"/>
          <w:color w:val="000000"/>
          <w:sz w:val="22"/>
          <w:szCs w:val="22"/>
          <w:lang w:val="en"/>
        </w:rPr>
      </w:pPr>
    </w:p>
    <w:p w14:paraId="1B3B1E8D" w14:textId="77777777" w:rsidR="006D20CE" w:rsidRPr="009265F3" w:rsidRDefault="006D20CE" w:rsidP="006D20CE">
      <w:pPr>
        <w:spacing w:before="60" w:after="120"/>
        <w:rPr>
          <w:rFonts w:ascii="Arial" w:hAnsi="Arial" w:cs="Arial"/>
          <w:color w:val="000000"/>
          <w:sz w:val="22"/>
          <w:szCs w:val="22"/>
          <w:lang w:val="en-US" w:eastAsia="en-NZ"/>
        </w:rPr>
      </w:pPr>
      <w:r w:rsidRPr="009265F3">
        <w:rPr>
          <w:rFonts w:ascii="Arial" w:hAnsi="Arial" w:cs="Arial"/>
          <w:color w:val="000000"/>
          <w:sz w:val="22"/>
          <w:szCs w:val="22"/>
          <w:lang w:val="en-US" w:eastAsia="en-NZ"/>
        </w:rPr>
        <w:t>The DHB actions/activities that demonstrate this includes:</w:t>
      </w:r>
    </w:p>
    <w:p w14:paraId="460FB66D" w14:textId="77777777" w:rsidR="006D20CE" w:rsidRPr="009265F3" w:rsidRDefault="006D20CE" w:rsidP="00C04FF1">
      <w:pPr>
        <w:numPr>
          <w:ilvl w:val="0"/>
          <w:numId w:val="100"/>
        </w:numPr>
        <w:spacing w:before="60" w:after="60"/>
        <w:rPr>
          <w:rFonts w:ascii="Arial" w:hAnsi="Arial" w:cs="Arial"/>
          <w:sz w:val="22"/>
          <w:szCs w:val="22"/>
        </w:rPr>
      </w:pPr>
      <w:r w:rsidRPr="009265F3">
        <w:rPr>
          <w:rFonts w:ascii="Arial" w:hAnsi="Arial" w:cs="Arial"/>
          <w:noProof/>
          <w:color w:val="000000"/>
          <w:sz w:val="22"/>
          <w:szCs w:val="22"/>
          <w:lang w:eastAsia="en-NZ"/>
        </w:rPr>
        <w:lastRenderedPageBreak/>
        <w:t>strategic prioritisation, development and delivery of whānau-centred approaches across the DHB systems and servi</w:t>
      </w:r>
      <w:r>
        <w:rPr>
          <w:rFonts w:ascii="Arial" w:hAnsi="Arial" w:cs="Arial"/>
          <w:noProof/>
          <w:color w:val="000000"/>
          <w:sz w:val="22"/>
          <w:szCs w:val="22"/>
          <w:lang w:eastAsia="en-NZ"/>
        </w:rPr>
        <w:t>c</w:t>
      </w:r>
      <w:r w:rsidRPr="009265F3">
        <w:rPr>
          <w:rFonts w:ascii="Arial" w:hAnsi="Arial" w:cs="Arial"/>
          <w:noProof/>
          <w:color w:val="000000"/>
          <w:sz w:val="22"/>
          <w:szCs w:val="22"/>
          <w:lang w:eastAsia="en-NZ"/>
        </w:rPr>
        <w:t xml:space="preserve">es, in </w:t>
      </w:r>
      <w:r w:rsidRPr="009265F3">
        <w:rPr>
          <w:rFonts w:ascii="Arial" w:hAnsi="Arial" w:cs="Arial"/>
          <w:sz w:val="22"/>
          <w:szCs w:val="22"/>
        </w:rPr>
        <w:t>partnership</w:t>
      </w:r>
      <w:r w:rsidRPr="009265F3">
        <w:rPr>
          <w:rFonts w:ascii="Arial" w:hAnsi="Arial" w:cs="Arial"/>
          <w:noProof/>
          <w:color w:val="000000"/>
          <w:sz w:val="22"/>
          <w:szCs w:val="22"/>
          <w:lang w:eastAsia="en-NZ"/>
        </w:rPr>
        <w:t xml:space="preserve"> with iwi, hapū, whānau and Māori</w:t>
      </w:r>
      <w:r>
        <w:rPr>
          <w:rFonts w:ascii="Arial" w:hAnsi="Arial" w:cs="Arial"/>
          <w:noProof/>
          <w:color w:val="000000"/>
          <w:sz w:val="22"/>
          <w:szCs w:val="22"/>
          <w:lang w:eastAsia="en-NZ"/>
        </w:rPr>
        <w:t xml:space="preserve"> communities</w:t>
      </w:r>
      <w:r w:rsidRPr="009265F3">
        <w:rPr>
          <w:rFonts w:ascii="Arial" w:hAnsi="Arial" w:cs="Arial"/>
          <w:noProof/>
          <w:color w:val="000000"/>
          <w:sz w:val="22"/>
          <w:szCs w:val="22"/>
          <w:lang w:eastAsia="en-NZ"/>
        </w:rPr>
        <w:t xml:space="preserve">, </w:t>
      </w:r>
      <w:r>
        <w:rPr>
          <w:rFonts w:ascii="Arial" w:hAnsi="Arial" w:cs="Arial"/>
          <w:noProof/>
          <w:color w:val="000000"/>
          <w:sz w:val="22"/>
          <w:szCs w:val="22"/>
          <w:lang w:eastAsia="en-NZ"/>
        </w:rPr>
        <w:t>and with</w:t>
      </w:r>
      <w:r w:rsidRPr="009265F3">
        <w:rPr>
          <w:rFonts w:ascii="Arial" w:hAnsi="Arial" w:cs="Arial"/>
          <w:noProof/>
          <w:color w:val="000000"/>
          <w:sz w:val="22"/>
          <w:szCs w:val="22"/>
          <w:lang w:eastAsia="en-NZ"/>
        </w:rPr>
        <w:t xml:space="preserve"> Māori health service providers. </w:t>
      </w:r>
    </w:p>
    <w:p w14:paraId="63D65E12" w14:textId="77777777" w:rsidR="006D20CE" w:rsidRPr="009265F3" w:rsidRDefault="006D20CE" w:rsidP="00C04FF1">
      <w:pPr>
        <w:numPr>
          <w:ilvl w:val="0"/>
          <w:numId w:val="100"/>
        </w:numPr>
        <w:spacing w:before="60" w:after="60"/>
        <w:rPr>
          <w:rFonts w:ascii="Arial" w:hAnsi="Arial" w:cs="Arial"/>
          <w:b/>
          <w:color w:val="000000"/>
          <w:sz w:val="22"/>
          <w:szCs w:val="22"/>
        </w:rPr>
      </w:pPr>
      <w:r w:rsidRPr="009265F3">
        <w:rPr>
          <w:rFonts w:ascii="Arial" w:hAnsi="Arial" w:cs="Arial"/>
          <w:color w:val="000000"/>
          <w:sz w:val="22"/>
          <w:szCs w:val="22"/>
        </w:rPr>
        <w:t xml:space="preserve">support of the Te </w:t>
      </w:r>
      <w:proofErr w:type="spellStart"/>
      <w:r w:rsidRPr="009265F3">
        <w:rPr>
          <w:rFonts w:ascii="Arial" w:hAnsi="Arial" w:cs="Arial"/>
          <w:color w:val="000000"/>
          <w:sz w:val="22"/>
          <w:szCs w:val="22"/>
        </w:rPr>
        <w:t>Puni</w:t>
      </w:r>
      <w:proofErr w:type="spellEnd"/>
      <w:r w:rsidRPr="009265F3">
        <w:rPr>
          <w:rFonts w:ascii="Arial" w:hAnsi="Arial" w:cs="Arial"/>
          <w:color w:val="000000"/>
          <w:sz w:val="22"/>
          <w:szCs w:val="22"/>
        </w:rPr>
        <w:t xml:space="preserve"> </w:t>
      </w:r>
      <w:proofErr w:type="spellStart"/>
      <w:r w:rsidRPr="009265F3">
        <w:rPr>
          <w:rFonts w:ascii="Arial" w:hAnsi="Arial" w:cs="Arial"/>
          <w:color w:val="000000"/>
          <w:sz w:val="22"/>
          <w:szCs w:val="22"/>
        </w:rPr>
        <w:t>Kōkiri</w:t>
      </w:r>
      <w:proofErr w:type="spellEnd"/>
      <w:r w:rsidRPr="009265F3">
        <w:rPr>
          <w:rFonts w:ascii="Arial" w:hAnsi="Arial" w:cs="Arial"/>
          <w:color w:val="000000"/>
          <w:sz w:val="22"/>
          <w:szCs w:val="22"/>
        </w:rPr>
        <w:t xml:space="preserve">-led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Ora Initiative and its commissioning for outcomes model through </w:t>
      </w:r>
      <w:r w:rsidRPr="009265F3">
        <w:rPr>
          <w:rFonts w:ascii="Arial" w:hAnsi="Arial" w:cs="Arial"/>
          <w:sz w:val="22"/>
          <w:szCs w:val="22"/>
        </w:rPr>
        <w:t>active</w:t>
      </w:r>
      <w:r w:rsidRPr="009265F3">
        <w:rPr>
          <w:rFonts w:ascii="Arial" w:hAnsi="Arial" w:cs="Arial"/>
          <w:color w:val="000000"/>
          <w:sz w:val="22"/>
          <w:szCs w:val="22"/>
        </w:rPr>
        <w:t xml:space="preserve"> engagement and collaboration with the </w:t>
      </w:r>
      <w:proofErr w:type="spellStart"/>
      <w:r w:rsidRPr="009265F3">
        <w:rPr>
          <w:rFonts w:ascii="Arial" w:hAnsi="Arial" w:cs="Arial"/>
          <w:color w:val="000000"/>
          <w:sz w:val="22"/>
          <w:szCs w:val="22"/>
        </w:rPr>
        <w:t>Whānau</w:t>
      </w:r>
      <w:proofErr w:type="spellEnd"/>
      <w:r w:rsidRPr="009265F3">
        <w:rPr>
          <w:rFonts w:ascii="Arial" w:hAnsi="Arial" w:cs="Arial"/>
          <w:color w:val="000000"/>
          <w:sz w:val="22"/>
          <w:szCs w:val="22"/>
        </w:rPr>
        <w:t xml:space="preserve"> Ora Commissioning Agencies and their locally funded partners.  </w:t>
      </w:r>
    </w:p>
    <w:p w14:paraId="31E3B6A6" w14:textId="77777777" w:rsidR="006D20CE" w:rsidRPr="009265F3" w:rsidRDefault="006D20CE" w:rsidP="006D20CE">
      <w:pPr>
        <w:spacing w:after="120"/>
        <w:ind w:firstLine="360"/>
        <w:jc w:val="both"/>
        <w:rPr>
          <w:rFonts w:ascii="Arial" w:hAnsi="Arial" w:cs="Arial"/>
          <w:color w:val="000000"/>
          <w:sz w:val="22"/>
          <w:szCs w:val="22"/>
          <w:lang w:val="en-US" w:eastAsia="en-NZ"/>
        </w:rPr>
      </w:pPr>
      <w:r w:rsidRPr="009265F3">
        <w:rPr>
          <w:rFonts w:ascii="Arial" w:hAnsi="Arial" w:cs="Arial"/>
          <w:color w:val="000000"/>
          <w:sz w:val="22"/>
          <w:szCs w:val="22"/>
          <w:lang w:val="en-US" w:eastAsia="en-NZ"/>
        </w:rPr>
        <w:t xml:space="preserve">The three established </w:t>
      </w:r>
      <w:proofErr w:type="spellStart"/>
      <w:r w:rsidRPr="009265F3">
        <w:rPr>
          <w:rFonts w:ascii="Arial" w:hAnsi="Arial" w:cs="Arial"/>
          <w:color w:val="000000"/>
          <w:sz w:val="22"/>
          <w:szCs w:val="22"/>
          <w:lang w:val="en-US" w:eastAsia="en-NZ"/>
        </w:rPr>
        <w:t>Whānau</w:t>
      </w:r>
      <w:proofErr w:type="spellEnd"/>
      <w:r w:rsidRPr="009265F3">
        <w:rPr>
          <w:rFonts w:ascii="Arial" w:hAnsi="Arial" w:cs="Arial"/>
          <w:color w:val="000000"/>
          <w:sz w:val="22"/>
          <w:szCs w:val="22"/>
          <w:lang w:val="en-US" w:eastAsia="en-NZ"/>
        </w:rPr>
        <w:t xml:space="preserve"> Ora Commissioning Agencies are:</w:t>
      </w:r>
    </w:p>
    <w:p w14:paraId="07E2DD8B" w14:textId="77777777" w:rsidR="006D20CE" w:rsidRPr="009265F3" w:rsidRDefault="006D20CE" w:rsidP="00C04FF1">
      <w:pPr>
        <w:numPr>
          <w:ilvl w:val="0"/>
          <w:numId w:val="101"/>
        </w:numPr>
        <w:autoSpaceDE w:val="0"/>
        <w:autoSpaceDN w:val="0"/>
        <w:adjustRightInd w:val="0"/>
        <w:spacing w:after="120"/>
        <w:jc w:val="both"/>
        <w:rPr>
          <w:rFonts w:ascii="Arial" w:hAnsi="Arial" w:cs="Arial"/>
          <w:bCs/>
          <w:color w:val="000000"/>
          <w:sz w:val="22"/>
          <w:szCs w:val="22"/>
          <w:lang w:val="en-US" w:eastAsia="en-NZ"/>
        </w:rPr>
      </w:pPr>
      <w:r w:rsidRPr="009265F3">
        <w:rPr>
          <w:rFonts w:ascii="Arial" w:hAnsi="Arial" w:cs="Arial"/>
          <w:bCs/>
          <w:color w:val="000000"/>
          <w:sz w:val="22"/>
          <w:szCs w:val="22"/>
          <w:lang w:val="en-US" w:eastAsia="en-NZ"/>
        </w:rPr>
        <w:t xml:space="preserve">Te </w:t>
      </w:r>
      <w:proofErr w:type="spellStart"/>
      <w:r w:rsidRPr="009265F3">
        <w:rPr>
          <w:rFonts w:ascii="Arial" w:hAnsi="Arial" w:cs="Arial"/>
          <w:bCs/>
          <w:color w:val="000000"/>
          <w:sz w:val="22"/>
          <w:szCs w:val="22"/>
          <w:lang w:val="en-US" w:eastAsia="en-NZ"/>
        </w:rPr>
        <w:t>Pou</w:t>
      </w:r>
      <w:proofErr w:type="spellEnd"/>
      <w:r w:rsidRPr="009265F3">
        <w:rPr>
          <w:rFonts w:ascii="Arial" w:hAnsi="Arial" w:cs="Arial"/>
          <w:bCs/>
          <w:color w:val="000000"/>
          <w:sz w:val="22"/>
          <w:szCs w:val="22"/>
          <w:lang w:val="en-US" w:eastAsia="en-NZ"/>
        </w:rPr>
        <w:t xml:space="preserve"> Matakana (North Island Commissioning Agency)</w:t>
      </w:r>
    </w:p>
    <w:p w14:paraId="2559CBCE" w14:textId="77777777" w:rsidR="006D20CE" w:rsidRPr="009265F3" w:rsidRDefault="006D20CE" w:rsidP="00C04FF1">
      <w:pPr>
        <w:numPr>
          <w:ilvl w:val="0"/>
          <w:numId w:val="101"/>
        </w:numPr>
        <w:autoSpaceDE w:val="0"/>
        <w:autoSpaceDN w:val="0"/>
        <w:adjustRightInd w:val="0"/>
        <w:spacing w:after="120"/>
        <w:jc w:val="both"/>
        <w:rPr>
          <w:rFonts w:ascii="Arial" w:hAnsi="Arial" w:cs="Arial"/>
          <w:bCs/>
          <w:color w:val="000000"/>
          <w:sz w:val="22"/>
          <w:szCs w:val="22"/>
          <w:lang w:val="en-US" w:eastAsia="en-NZ"/>
        </w:rPr>
      </w:pPr>
      <w:r w:rsidRPr="009265F3">
        <w:rPr>
          <w:rFonts w:ascii="Arial" w:hAnsi="Arial" w:cs="Arial"/>
          <w:bCs/>
          <w:color w:val="000000"/>
          <w:sz w:val="22"/>
          <w:szCs w:val="22"/>
          <w:lang w:val="en-US" w:eastAsia="en-NZ"/>
        </w:rPr>
        <w:t xml:space="preserve">Te </w:t>
      </w:r>
      <w:proofErr w:type="spellStart"/>
      <w:r w:rsidRPr="009265F3">
        <w:rPr>
          <w:rFonts w:ascii="Arial" w:hAnsi="Arial" w:cs="Arial"/>
          <w:bCs/>
          <w:color w:val="000000"/>
          <w:sz w:val="22"/>
          <w:szCs w:val="22"/>
          <w:lang w:val="en-US" w:eastAsia="en-NZ"/>
        </w:rPr>
        <w:t>Pūtahitanga</w:t>
      </w:r>
      <w:proofErr w:type="spellEnd"/>
      <w:r w:rsidRPr="009265F3">
        <w:rPr>
          <w:rFonts w:ascii="Arial" w:hAnsi="Arial" w:cs="Arial"/>
          <w:bCs/>
          <w:color w:val="000000"/>
          <w:sz w:val="22"/>
          <w:szCs w:val="22"/>
          <w:lang w:val="en-US" w:eastAsia="en-NZ"/>
        </w:rPr>
        <w:t xml:space="preserve"> o Te Waipounamu (South Island Commissioning Agency) </w:t>
      </w:r>
    </w:p>
    <w:p w14:paraId="00EC5B0E" w14:textId="77777777" w:rsidR="006D20CE" w:rsidRPr="009265F3" w:rsidRDefault="006D20CE" w:rsidP="00C04FF1">
      <w:pPr>
        <w:numPr>
          <w:ilvl w:val="0"/>
          <w:numId w:val="101"/>
        </w:numPr>
        <w:autoSpaceDE w:val="0"/>
        <w:autoSpaceDN w:val="0"/>
        <w:adjustRightInd w:val="0"/>
        <w:spacing w:after="120"/>
        <w:jc w:val="both"/>
        <w:rPr>
          <w:rFonts w:ascii="Arial" w:hAnsi="Arial" w:cs="Arial"/>
          <w:bCs/>
          <w:color w:val="000000"/>
          <w:sz w:val="22"/>
          <w:szCs w:val="22"/>
          <w:lang w:val="en-US" w:eastAsia="en-NZ"/>
        </w:rPr>
      </w:pPr>
      <w:r w:rsidRPr="009265F3">
        <w:rPr>
          <w:rFonts w:ascii="Arial" w:hAnsi="Arial" w:cs="Arial"/>
          <w:bCs/>
          <w:color w:val="000000"/>
          <w:sz w:val="22"/>
          <w:szCs w:val="22"/>
          <w:lang w:val="en-US" w:eastAsia="en-NZ"/>
        </w:rPr>
        <w:t>Pasifika Futures (Commissioning Agency for Pacific families).</w:t>
      </w:r>
    </w:p>
    <w:p w14:paraId="066DEAED" w14:textId="77777777" w:rsidR="006D20CE" w:rsidRPr="009265F3" w:rsidRDefault="006D20CE" w:rsidP="006D20CE">
      <w:pPr>
        <w:keepNext/>
        <w:jc w:val="both"/>
        <w:rPr>
          <w:rFonts w:ascii="Arial" w:hAnsi="Arial" w:cs="Arial"/>
          <w:b/>
          <w:color w:val="000000"/>
          <w:sz w:val="22"/>
          <w:szCs w:val="22"/>
        </w:rPr>
      </w:pPr>
    </w:p>
    <w:p w14:paraId="41DA3A79" w14:textId="77777777" w:rsidR="006D20CE" w:rsidRPr="009265F3" w:rsidRDefault="006D20CE" w:rsidP="006D20CE">
      <w:pPr>
        <w:keepNext/>
        <w:spacing w:before="120" w:after="120"/>
        <w:jc w:val="both"/>
        <w:rPr>
          <w:rFonts w:ascii="Arial" w:hAnsi="Arial" w:cs="Arial"/>
          <w:b/>
          <w:color w:val="000000"/>
          <w:sz w:val="22"/>
          <w:szCs w:val="22"/>
        </w:rPr>
      </w:pPr>
      <w:r w:rsidRPr="009265F3">
        <w:rPr>
          <w:rFonts w:ascii="Arial" w:hAnsi="Arial" w:cs="Arial"/>
          <w:b/>
          <w:color w:val="000000"/>
          <w:sz w:val="22"/>
          <w:szCs w:val="22"/>
        </w:rPr>
        <w:t>Performance reporting and deliverable definitions</w:t>
      </w:r>
    </w:p>
    <w:p w14:paraId="6C021804" w14:textId="77777777" w:rsidR="006D20CE" w:rsidRPr="009265F3" w:rsidRDefault="006D20CE" w:rsidP="006D20CE">
      <w:pPr>
        <w:tabs>
          <w:tab w:val="center" w:pos="5102"/>
        </w:tabs>
        <w:jc w:val="both"/>
        <w:rPr>
          <w:rFonts w:ascii="Arial" w:hAnsi="Arial" w:cs="Arial"/>
          <w:sz w:val="22"/>
          <w:szCs w:val="22"/>
          <w:lang w:eastAsia="en-NZ"/>
        </w:rPr>
      </w:pPr>
      <w:r w:rsidRPr="009265F3">
        <w:rPr>
          <w:rFonts w:ascii="Arial" w:hAnsi="Arial" w:cs="Arial"/>
          <w:sz w:val="22"/>
          <w:szCs w:val="22"/>
          <w:lang w:eastAsia="en-NZ"/>
        </w:rPr>
        <w:t xml:space="preserve">The DHB provision of a report, in quarter 4, will identify progress within the year that shows that the DHB has delivered on its planned </w:t>
      </w:r>
      <w:proofErr w:type="spellStart"/>
      <w:r w:rsidRPr="009265F3">
        <w:rPr>
          <w:rFonts w:ascii="Arial" w:hAnsi="Arial" w:cs="Arial"/>
          <w:sz w:val="22"/>
          <w:szCs w:val="22"/>
          <w:lang w:eastAsia="en-NZ"/>
        </w:rPr>
        <w:t>whānau</w:t>
      </w:r>
      <w:proofErr w:type="spellEnd"/>
      <w:r w:rsidRPr="009265F3">
        <w:rPr>
          <w:rFonts w:ascii="Arial" w:hAnsi="Arial" w:cs="Arial"/>
          <w:sz w:val="22"/>
          <w:szCs w:val="22"/>
          <w:lang w:eastAsia="en-NZ"/>
        </w:rPr>
        <w:t xml:space="preserve"> </w:t>
      </w:r>
      <w:proofErr w:type="spellStart"/>
      <w:r w:rsidRPr="009265F3">
        <w:rPr>
          <w:rFonts w:ascii="Arial" w:hAnsi="Arial" w:cs="Arial"/>
          <w:sz w:val="22"/>
          <w:szCs w:val="22"/>
          <w:lang w:eastAsia="en-NZ"/>
        </w:rPr>
        <w:t>ora</w:t>
      </w:r>
      <w:proofErr w:type="spellEnd"/>
      <w:r w:rsidRPr="009265F3">
        <w:rPr>
          <w:rFonts w:ascii="Arial" w:hAnsi="Arial" w:cs="Arial"/>
          <w:sz w:val="22"/>
          <w:szCs w:val="22"/>
          <w:lang w:eastAsia="en-NZ"/>
        </w:rPr>
        <w:t xml:space="preserve"> actions and activities, the steps taken, and what the impact of these activities has been.  </w:t>
      </w:r>
    </w:p>
    <w:p w14:paraId="27604D29" w14:textId="77777777" w:rsidR="006D20CE" w:rsidRPr="009265F3" w:rsidRDefault="006D20CE" w:rsidP="006D20CE">
      <w:pPr>
        <w:ind w:left="714"/>
        <w:contextualSpacing/>
        <w:rPr>
          <w:rFonts w:ascii="Arial" w:hAnsi="Arial" w:cs="Arial"/>
          <w:color w:val="000000"/>
          <w:sz w:val="22"/>
          <w:szCs w:val="22"/>
        </w:rPr>
      </w:pPr>
    </w:p>
    <w:p w14:paraId="347CF38A" w14:textId="77777777" w:rsidR="006D20CE" w:rsidRPr="009265F3" w:rsidRDefault="006D20CE" w:rsidP="006D20CE">
      <w:pPr>
        <w:spacing w:after="120" w:line="276" w:lineRule="auto"/>
        <w:jc w:val="both"/>
        <w:rPr>
          <w:rFonts w:ascii="Arial" w:hAnsi="Arial" w:cs="Arial"/>
          <w:sz w:val="22"/>
          <w:szCs w:val="22"/>
          <w:lang w:eastAsia="en-NZ"/>
        </w:rPr>
      </w:pPr>
      <w:r w:rsidRPr="009265F3">
        <w:rPr>
          <w:rFonts w:ascii="Arial" w:hAnsi="Arial" w:cs="Arial"/>
          <w:sz w:val="22"/>
          <w:szCs w:val="22"/>
          <w:lang w:eastAsia="en-NZ"/>
        </w:rPr>
        <w:t xml:space="preserve">The report will include how the DHB has made progress and measurable impact for </w:t>
      </w:r>
      <w:proofErr w:type="spellStart"/>
      <w:r w:rsidRPr="009265F3">
        <w:rPr>
          <w:rFonts w:ascii="Arial" w:hAnsi="Arial" w:cs="Arial"/>
          <w:sz w:val="22"/>
          <w:szCs w:val="22"/>
          <w:lang w:eastAsia="en-NZ"/>
        </w:rPr>
        <w:t>whānau</w:t>
      </w:r>
      <w:proofErr w:type="spellEnd"/>
      <w:r w:rsidRPr="009265F3">
        <w:rPr>
          <w:rFonts w:ascii="Arial" w:hAnsi="Arial" w:cs="Arial"/>
          <w:sz w:val="22"/>
          <w:szCs w:val="22"/>
          <w:lang w:eastAsia="en-NZ"/>
        </w:rPr>
        <w:t xml:space="preserve"> by:</w:t>
      </w:r>
    </w:p>
    <w:p w14:paraId="3897C036" w14:textId="77777777" w:rsidR="006D20CE" w:rsidRDefault="006D20CE" w:rsidP="00C04FF1">
      <w:pPr>
        <w:numPr>
          <w:ilvl w:val="0"/>
          <w:numId w:val="100"/>
        </w:numPr>
        <w:spacing w:before="60" w:after="60"/>
        <w:rPr>
          <w:rFonts w:ascii="Arial" w:hAnsi="Arial" w:cs="Arial"/>
          <w:sz w:val="22"/>
          <w:szCs w:val="22"/>
        </w:rPr>
      </w:pPr>
      <w:r w:rsidRPr="009265F3">
        <w:rPr>
          <w:rFonts w:ascii="Arial" w:hAnsi="Arial" w:cs="Arial"/>
          <w:sz w:val="22"/>
          <w:szCs w:val="22"/>
        </w:rPr>
        <w:t xml:space="preserve">contributing to the strategic change for </w:t>
      </w:r>
      <w:proofErr w:type="spellStart"/>
      <w:r w:rsidRPr="009265F3">
        <w:rPr>
          <w:rFonts w:ascii="Arial" w:hAnsi="Arial" w:cs="Arial"/>
          <w:sz w:val="22"/>
          <w:szCs w:val="22"/>
        </w:rPr>
        <w:t>whānau</w:t>
      </w:r>
      <w:proofErr w:type="spellEnd"/>
      <w:r>
        <w:rPr>
          <w:rFonts w:ascii="Arial" w:hAnsi="Arial" w:cs="Arial"/>
          <w:sz w:val="22"/>
          <w:szCs w:val="22"/>
        </w:rPr>
        <w:t>-centred</w:t>
      </w:r>
      <w:r w:rsidRPr="009265F3">
        <w:rPr>
          <w:rFonts w:ascii="Arial" w:hAnsi="Arial" w:cs="Arial"/>
          <w:sz w:val="22"/>
          <w:szCs w:val="22"/>
        </w:rPr>
        <w:t xml:space="preserve"> approaches within DHB systems and services, across the district, and demonstrate meaningful activity moving towards improved service delivery</w:t>
      </w:r>
    </w:p>
    <w:p w14:paraId="30B5B19B" w14:textId="77777777" w:rsidR="006D20CE" w:rsidRDefault="006D20CE" w:rsidP="00C04FF1">
      <w:pPr>
        <w:numPr>
          <w:ilvl w:val="0"/>
          <w:numId w:val="100"/>
        </w:numPr>
        <w:spacing w:before="60" w:after="60"/>
        <w:rPr>
          <w:rFonts w:ascii="Arial" w:hAnsi="Arial" w:cs="Arial"/>
          <w:sz w:val="22"/>
          <w:szCs w:val="22"/>
        </w:rPr>
      </w:pPr>
      <w:r w:rsidRPr="009265F3">
        <w:rPr>
          <w:rFonts w:ascii="Arial" w:hAnsi="Arial" w:cs="Arial"/>
          <w:sz w:val="22"/>
          <w:szCs w:val="22"/>
        </w:rPr>
        <w:t xml:space="preserve">supporting and collaborating, including through investment, the </w:t>
      </w:r>
      <w:proofErr w:type="spellStart"/>
      <w:r w:rsidRPr="009265F3">
        <w:rPr>
          <w:rFonts w:ascii="Arial" w:hAnsi="Arial" w:cs="Arial"/>
          <w:sz w:val="22"/>
          <w:szCs w:val="22"/>
        </w:rPr>
        <w:t>Whānau</w:t>
      </w:r>
      <w:proofErr w:type="spellEnd"/>
      <w:r w:rsidRPr="009265F3">
        <w:rPr>
          <w:rFonts w:ascii="Arial" w:hAnsi="Arial" w:cs="Arial"/>
          <w:sz w:val="22"/>
          <w:szCs w:val="22"/>
        </w:rPr>
        <w:t xml:space="preserve"> Ora Initiative and its Commissioning Agencies and partners, and identification of opportunities for alignment</w:t>
      </w:r>
    </w:p>
    <w:p w14:paraId="456B66EB" w14:textId="77777777" w:rsidR="006D20CE" w:rsidRPr="00DC159D" w:rsidRDefault="006D20CE" w:rsidP="00C04FF1">
      <w:pPr>
        <w:numPr>
          <w:ilvl w:val="0"/>
          <w:numId w:val="100"/>
        </w:numPr>
        <w:spacing w:before="60" w:after="60"/>
        <w:rPr>
          <w:rFonts w:ascii="Arial" w:hAnsi="Arial" w:cs="Arial"/>
          <w:sz w:val="22"/>
          <w:szCs w:val="22"/>
        </w:rPr>
      </w:pPr>
      <w:r>
        <w:rPr>
          <w:rFonts w:ascii="Arial" w:hAnsi="Arial" w:cs="Arial"/>
          <w:sz w:val="22"/>
          <w:szCs w:val="22"/>
        </w:rPr>
        <w:t xml:space="preserve">detailing the location and type of </w:t>
      </w:r>
      <w:proofErr w:type="spellStart"/>
      <w:r>
        <w:rPr>
          <w:rFonts w:ascii="Arial" w:hAnsi="Arial" w:cs="Arial"/>
          <w:sz w:val="22"/>
          <w:szCs w:val="22"/>
        </w:rPr>
        <w:t>whānau</w:t>
      </w:r>
      <w:proofErr w:type="spellEnd"/>
      <w:r>
        <w:rPr>
          <w:rFonts w:ascii="Arial" w:hAnsi="Arial" w:cs="Arial"/>
          <w:sz w:val="22"/>
          <w:szCs w:val="22"/>
        </w:rPr>
        <w:t xml:space="preserve">-centred services supported by the DHB, including the number of people utilising their services and any associated user experience insights and measures. </w:t>
      </w:r>
    </w:p>
    <w:p w14:paraId="44581685" w14:textId="77777777" w:rsidR="006D20CE" w:rsidRPr="009265F3" w:rsidRDefault="006D20CE" w:rsidP="006D20CE">
      <w:pPr>
        <w:spacing w:before="60" w:after="60"/>
        <w:ind w:left="1080"/>
        <w:rPr>
          <w:rFonts w:ascii="Arial" w:hAnsi="Arial" w:cs="Arial"/>
          <w:sz w:val="22"/>
          <w:szCs w:val="22"/>
        </w:rPr>
      </w:pPr>
    </w:p>
    <w:p w14:paraId="0264BB4B" w14:textId="77777777" w:rsidR="006D20CE" w:rsidRPr="009265F3" w:rsidRDefault="006D20CE" w:rsidP="006D20CE">
      <w:pPr>
        <w:shd w:val="clear" w:color="auto" w:fill="FFFFFF"/>
        <w:spacing w:before="60" w:after="60"/>
        <w:jc w:val="both"/>
        <w:rPr>
          <w:rFonts w:ascii="Arial" w:hAnsi="Arial" w:cs="Arial"/>
          <w:b/>
        </w:rPr>
      </w:pPr>
      <w:r w:rsidRPr="009265F3">
        <w:rPr>
          <w:rFonts w:ascii="Arial" w:hAnsi="Arial" w:cs="Arial"/>
          <w:b/>
        </w:rPr>
        <w:t xml:space="preserve">Expectations </w:t>
      </w:r>
    </w:p>
    <w:p w14:paraId="6D71F0F4" w14:textId="77777777" w:rsidR="006D20CE" w:rsidRPr="009265F3" w:rsidRDefault="006D20CE" w:rsidP="006D20CE">
      <w:pPr>
        <w:shd w:val="clear" w:color="auto" w:fill="FFFFFF"/>
        <w:spacing w:before="60" w:after="60"/>
        <w:jc w:val="both"/>
        <w:rPr>
          <w:rFonts w:ascii="Tms Rmn" w:hAnsi="Tms Rmn"/>
          <w:lang w:eastAsia="en-NZ"/>
        </w:rPr>
      </w:pPr>
      <w:r w:rsidRPr="009265F3">
        <w:rPr>
          <w:rFonts w:ascii="Arial" w:hAnsi="Arial" w:cs="Arial"/>
          <w:sz w:val="22"/>
          <w:szCs w:val="22"/>
        </w:rPr>
        <w:t>The following achievement scale will be applied:</w:t>
      </w:r>
      <w:r w:rsidRPr="009265F3">
        <w:rPr>
          <w:rFonts w:ascii="Tms Rmn" w:hAnsi="Tms Rmn"/>
          <w:lang w:eastAsia="en-NZ"/>
        </w:rPr>
        <w:t xml:space="preserve"> </w:t>
      </w:r>
    </w:p>
    <w:tbl>
      <w:tblPr>
        <w:tblW w:w="0" w:type="auto"/>
        <w:tblInd w:w="108" w:type="dxa"/>
        <w:tblLayout w:type="fixed"/>
        <w:tblLook w:val="00A0" w:firstRow="1" w:lastRow="0" w:firstColumn="1" w:lastColumn="0" w:noHBand="0" w:noVBand="0"/>
      </w:tblPr>
      <w:tblGrid>
        <w:gridCol w:w="1758"/>
        <w:gridCol w:w="6660"/>
      </w:tblGrid>
      <w:tr w:rsidR="006D20CE" w:rsidRPr="009265F3" w14:paraId="7BAF8904" w14:textId="77777777" w:rsidTr="00705127">
        <w:tc>
          <w:tcPr>
            <w:tcW w:w="1758" w:type="dxa"/>
            <w:tcBorders>
              <w:top w:val="single" w:sz="6" w:space="0" w:color="000000"/>
              <w:left w:val="single" w:sz="6" w:space="0" w:color="000000"/>
              <w:bottom w:val="single" w:sz="6" w:space="0" w:color="000000"/>
              <w:right w:val="single" w:sz="6" w:space="0" w:color="000000"/>
            </w:tcBorders>
            <w:hideMark/>
          </w:tcPr>
          <w:p w14:paraId="4735B023"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Achieved</w:t>
            </w:r>
          </w:p>
        </w:tc>
        <w:tc>
          <w:tcPr>
            <w:tcW w:w="6660" w:type="dxa"/>
            <w:tcBorders>
              <w:top w:val="single" w:sz="6" w:space="0" w:color="000000"/>
              <w:left w:val="single" w:sz="6" w:space="0" w:color="000000"/>
              <w:bottom w:val="single" w:sz="6" w:space="0" w:color="000000"/>
              <w:right w:val="single" w:sz="6" w:space="0" w:color="000000"/>
            </w:tcBorders>
            <w:hideMark/>
          </w:tcPr>
          <w:p w14:paraId="71B3040E"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 xml:space="preserve">Appropriate </w:t>
            </w:r>
            <w:r>
              <w:rPr>
                <w:rFonts w:ascii="Arial" w:hAnsi="Arial" w:cs="Arial"/>
                <w:color w:val="000000"/>
                <w:sz w:val="22"/>
                <w:szCs w:val="22"/>
                <w:lang w:eastAsia="en-NZ"/>
              </w:rPr>
              <w:t>progress</w:t>
            </w:r>
            <w:r w:rsidRPr="009265F3">
              <w:rPr>
                <w:rFonts w:ascii="Arial" w:hAnsi="Arial" w:cs="Arial"/>
                <w:color w:val="000000"/>
                <w:sz w:val="22"/>
                <w:szCs w:val="22"/>
                <w:lang w:eastAsia="en-NZ"/>
              </w:rPr>
              <w:t xml:space="preserve"> identified in all areas of the measure deliverable.</w:t>
            </w:r>
          </w:p>
        </w:tc>
      </w:tr>
      <w:tr w:rsidR="006D20CE" w:rsidRPr="009265F3" w14:paraId="738CA623" w14:textId="77777777" w:rsidTr="00705127">
        <w:tc>
          <w:tcPr>
            <w:tcW w:w="1758" w:type="dxa"/>
            <w:tcBorders>
              <w:top w:val="single" w:sz="6" w:space="0" w:color="000000"/>
              <w:left w:val="single" w:sz="6" w:space="0" w:color="000000"/>
              <w:bottom w:val="single" w:sz="6" w:space="0" w:color="000000"/>
              <w:right w:val="single" w:sz="6" w:space="0" w:color="000000"/>
            </w:tcBorders>
            <w:hideMark/>
          </w:tcPr>
          <w:p w14:paraId="18284914"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Partially Achieved</w:t>
            </w:r>
          </w:p>
        </w:tc>
        <w:tc>
          <w:tcPr>
            <w:tcW w:w="6660" w:type="dxa"/>
            <w:tcBorders>
              <w:top w:val="single" w:sz="6" w:space="0" w:color="000000"/>
              <w:left w:val="single" w:sz="6" w:space="0" w:color="000000"/>
              <w:bottom w:val="single" w:sz="6" w:space="0" w:color="000000"/>
              <w:right w:val="single" w:sz="6" w:space="0" w:color="000000"/>
            </w:tcBorders>
            <w:hideMark/>
          </w:tcPr>
          <w:p w14:paraId="5C884A06"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 xml:space="preserve">Some </w:t>
            </w:r>
            <w:r>
              <w:rPr>
                <w:rFonts w:ascii="Arial" w:hAnsi="Arial" w:cs="Arial"/>
                <w:color w:val="000000"/>
                <w:sz w:val="22"/>
                <w:szCs w:val="22"/>
                <w:lang w:eastAsia="en-NZ"/>
              </w:rPr>
              <w:t xml:space="preserve">progress </w:t>
            </w:r>
            <w:r w:rsidRPr="009265F3">
              <w:rPr>
                <w:rFonts w:ascii="Arial" w:hAnsi="Arial" w:cs="Arial"/>
                <w:color w:val="000000"/>
                <w:sz w:val="22"/>
                <w:szCs w:val="22"/>
                <w:lang w:eastAsia="en-NZ"/>
              </w:rPr>
              <w:t xml:space="preserve">identified in most </w:t>
            </w:r>
            <w:r>
              <w:rPr>
                <w:rFonts w:ascii="Arial" w:hAnsi="Arial" w:cs="Arial"/>
                <w:color w:val="000000"/>
                <w:sz w:val="22"/>
                <w:szCs w:val="22"/>
                <w:lang w:eastAsia="en-NZ"/>
              </w:rPr>
              <w:t xml:space="preserve">areas </w:t>
            </w:r>
            <w:r w:rsidRPr="009265F3">
              <w:rPr>
                <w:rFonts w:ascii="Arial" w:hAnsi="Arial" w:cs="Arial"/>
                <w:color w:val="000000"/>
                <w:sz w:val="22"/>
                <w:szCs w:val="22"/>
                <w:lang w:eastAsia="en-NZ"/>
              </w:rPr>
              <w:t>of the measure deliverable.</w:t>
            </w:r>
          </w:p>
        </w:tc>
      </w:tr>
      <w:tr w:rsidR="006D20CE" w:rsidRPr="009265F3" w14:paraId="720768CB" w14:textId="77777777" w:rsidTr="00705127">
        <w:tc>
          <w:tcPr>
            <w:tcW w:w="1758" w:type="dxa"/>
            <w:tcBorders>
              <w:top w:val="single" w:sz="6" w:space="0" w:color="000000"/>
              <w:left w:val="single" w:sz="6" w:space="0" w:color="000000"/>
              <w:bottom w:val="single" w:sz="6" w:space="0" w:color="000000"/>
              <w:right w:val="single" w:sz="6" w:space="0" w:color="000000"/>
            </w:tcBorders>
            <w:hideMark/>
          </w:tcPr>
          <w:p w14:paraId="75CE845F"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Not Achieved</w:t>
            </w:r>
          </w:p>
        </w:tc>
        <w:tc>
          <w:tcPr>
            <w:tcW w:w="6660" w:type="dxa"/>
            <w:tcBorders>
              <w:top w:val="single" w:sz="6" w:space="0" w:color="000000"/>
              <w:left w:val="single" w:sz="6" w:space="0" w:color="000000"/>
              <w:bottom w:val="single" w:sz="6" w:space="0" w:color="000000"/>
              <w:right w:val="single" w:sz="6" w:space="0" w:color="000000"/>
            </w:tcBorders>
            <w:hideMark/>
          </w:tcPr>
          <w:p w14:paraId="0EB933DD" w14:textId="77777777" w:rsidR="006D20CE" w:rsidRPr="009265F3" w:rsidRDefault="006D20CE" w:rsidP="00705127">
            <w:pPr>
              <w:autoSpaceDE w:val="0"/>
              <w:autoSpaceDN w:val="0"/>
              <w:adjustRightInd w:val="0"/>
              <w:spacing w:before="120" w:after="120"/>
              <w:jc w:val="both"/>
              <w:rPr>
                <w:rFonts w:ascii="Arial" w:hAnsi="Arial" w:cs="Arial"/>
                <w:color w:val="000000"/>
                <w:sz w:val="22"/>
                <w:szCs w:val="22"/>
                <w:lang w:eastAsia="en-NZ"/>
              </w:rPr>
            </w:pPr>
            <w:r w:rsidRPr="009265F3">
              <w:rPr>
                <w:rFonts w:ascii="Arial" w:hAnsi="Arial" w:cs="Arial"/>
                <w:color w:val="000000"/>
                <w:sz w:val="22"/>
                <w:szCs w:val="22"/>
                <w:lang w:eastAsia="en-NZ"/>
              </w:rPr>
              <w:t xml:space="preserve">Limited or no </w:t>
            </w:r>
            <w:r>
              <w:rPr>
                <w:rFonts w:ascii="Arial" w:hAnsi="Arial" w:cs="Arial"/>
                <w:color w:val="000000"/>
                <w:sz w:val="22"/>
                <w:szCs w:val="22"/>
                <w:lang w:eastAsia="en-NZ"/>
              </w:rPr>
              <w:t>progress</w:t>
            </w:r>
            <w:r w:rsidRPr="009265F3">
              <w:rPr>
                <w:rFonts w:ascii="Arial" w:hAnsi="Arial" w:cs="Arial"/>
                <w:color w:val="000000"/>
                <w:sz w:val="22"/>
                <w:szCs w:val="22"/>
                <w:lang w:eastAsia="en-NZ"/>
              </w:rPr>
              <w:t xml:space="preserve"> identified in two or more of four areas of deliverables. </w:t>
            </w:r>
          </w:p>
        </w:tc>
      </w:tr>
    </w:tbl>
    <w:p w14:paraId="214C26D7" w14:textId="77777777" w:rsidR="006D20CE" w:rsidRPr="009265F3" w:rsidRDefault="006D20CE" w:rsidP="006D20CE">
      <w:pPr>
        <w:shd w:val="clear" w:color="auto" w:fill="FFFFFF"/>
        <w:spacing w:before="60" w:after="60"/>
        <w:jc w:val="both"/>
        <w:rPr>
          <w:rFonts w:ascii="Arial" w:hAnsi="Arial" w:cs="Arial"/>
          <w:b/>
          <w:i/>
        </w:rPr>
      </w:pPr>
    </w:p>
    <w:p w14:paraId="2C433431" w14:textId="77777777" w:rsidR="009879F4" w:rsidRPr="009265F3" w:rsidRDefault="009879F4" w:rsidP="009879F4"/>
    <w:p w14:paraId="72C84ED7" w14:textId="4BF9CA79" w:rsidR="009265F3" w:rsidRDefault="009265F3">
      <w:pPr>
        <w:rPr>
          <w:rFonts w:ascii="Arial" w:hAnsi="Arial" w:cs="Arial"/>
        </w:rPr>
      </w:pPr>
      <w:r>
        <w:rPr>
          <w:rFonts w:ascii="Arial" w:hAnsi="Arial" w:cs="Arial"/>
        </w:rPr>
        <w:br w:type="page"/>
      </w:r>
    </w:p>
    <w:p w14:paraId="6F49C569" w14:textId="77777777" w:rsidR="0045036B" w:rsidRPr="006D62F6" w:rsidRDefault="0045036B" w:rsidP="003A5202">
      <w:pPr>
        <w:pStyle w:val="NoSpacing"/>
        <w:rPr>
          <w:rFonts w:ascii="Arial" w:hAnsi="Arial" w:cs="Arial"/>
          <w:b/>
          <w:bCs/>
          <w:i/>
          <w:iCs/>
          <w:sz w:val="24"/>
          <w:szCs w:val="24"/>
        </w:rPr>
      </w:pPr>
      <w:r w:rsidRPr="006D62F6">
        <w:rPr>
          <w:rFonts w:ascii="Arial" w:hAnsi="Arial" w:cs="Arial"/>
          <w:b/>
          <w:bCs/>
          <w:i/>
          <w:iCs/>
          <w:sz w:val="24"/>
          <w:szCs w:val="24"/>
        </w:rPr>
        <w:lastRenderedPageBreak/>
        <w:t>Outcome priority:  We have improved quality of life</w:t>
      </w:r>
    </w:p>
    <w:p w14:paraId="7C274E18" w14:textId="105E4630" w:rsidR="0045036B" w:rsidRPr="003A5202" w:rsidRDefault="00604F7F" w:rsidP="003A5202">
      <w:pPr>
        <w:pStyle w:val="Heading2"/>
      </w:pPr>
      <w:bookmarkStart w:id="533" w:name="_Toc4588571"/>
      <w:bookmarkStart w:id="534" w:name="_Toc9592040"/>
      <w:r w:rsidRPr="003A5202">
        <w:t>Better population health outcomes supported by p</w:t>
      </w:r>
      <w:r w:rsidR="0045036B" w:rsidRPr="003A5202">
        <w:t>rimary health care PH01: Improving system integration and SLMs</w:t>
      </w:r>
      <w:bookmarkEnd w:id="533"/>
      <w:bookmarkEnd w:id="534"/>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7230"/>
      </w:tblGrid>
      <w:tr w:rsidR="0045036B" w:rsidRPr="00B44AD8" w14:paraId="15F4FF9C" w14:textId="77777777" w:rsidTr="0045036B">
        <w:tc>
          <w:tcPr>
            <w:tcW w:w="10094" w:type="dxa"/>
            <w:gridSpan w:val="2"/>
            <w:shd w:val="clear" w:color="auto" w:fill="D9D9D9"/>
          </w:tcPr>
          <w:p w14:paraId="0AEBDFCA" w14:textId="77777777" w:rsidR="0045036B" w:rsidRPr="00B44AD8" w:rsidRDefault="0045036B" w:rsidP="0045036B">
            <w:pPr>
              <w:shd w:val="clear" w:color="auto" w:fill="FFFFFF"/>
              <w:spacing w:before="60" w:after="60"/>
              <w:jc w:val="center"/>
              <w:rPr>
                <w:rFonts w:ascii="Arial" w:hAnsi="Arial" w:cs="Arial"/>
                <w:b/>
                <w:sz w:val="22"/>
                <w:szCs w:val="22"/>
              </w:rPr>
            </w:pPr>
            <w:r w:rsidRPr="00B44AD8">
              <w:rPr>
                <w:rFonts w:ascii="Arial" w:hAnsi="Arial" w:cs="Arial"/>
                <w:b/>
                <w:sz w:val="22"/>
                <w:szCs w:val="22"/>
              </w:rPr>
              <w:t>Summary information</w:t>
            </w:r>
          </w:p>
        </w:tc>
      </w:tr>
      <w:tr w:rsidR="0045036B" w:rsidRPr="00B44AD8" w14:paraId="33F5B11C" w14:textId="77777777" w:rsidTr="0045036B">
        <w:tc>
          <w:tcPr>
            <w:tcW w:w="2864" w:type="dxa"/>
            <w:shd w:val="clear" w:color="auto" w:fill="auto"/>
          </w:tcPr>
          <w:p w14:paraId="72FEB220" w14:textId="77777777" w:rsidR="0045036B" w:rsidRPr="00B44AD8" w:rsidRDefault="0045036B" w:rsidP="0045036B">
            <w:pPr>
              <w:shd w:val="clear" w:color="auto" w:fill="FFFFFF"/>
              <w:spacing w:before="60" w:after="60"/>
              <w:rPr>
                <w:rFonts w:ascii="Arial" w:hAnsi="Arial" w:cs="Arial"/>
                <w:b/>
                <w:i/>
                <w:sz w:val="20"/>
                <w:szCs w:val="20"/>
              </w:rPr>
            </w:pPr>
            <w:r w:rsidRPr="00B44AD8">
              <w:rPr>
                <w:rFonts w:ascii="Arial" w:hAnsi="Arial" w:cs="Arial"/>
                <w:b/>
                <w:i/>
                <w:sz w:val="20"/>
                <w:szCs w:val="20"/>
              </w:rPr>
              <w:t>Target/performance expectation</w:t>
            </w:r>
          </w:p>
        </w:tc>
        <w:tc>
          <w:tcPr>
            <w:tcW w:w="7230" w:type="dxa"/>
            <w:shd w:val="clear" w:color="auto" w:fill="auto"/>
          </w:tcPr>
          <w:p w14:paraId="30046725" w14:textId="77777777" w:rsidR="0045036B" w:rsidRPr="00B44AD8" w:rsidRDefault="0045036B" w:rsidP="0045036B">
            <w:pPr>
              <w:shd w:val="clear" w:color="auto" w:fill="FFFFFF"/>
              <w:spacing w:before="60" w:after="60"/>
              <w:jc w:val="both"/>
              <w:rPr>
                <w:rFonts w:ascii="Arial" w:hAnsi="Arial" w:cs="Arial"/>
                <w:b/>
                <w:i/>
                <w:sz w:val="20"/>
                <w:szCs w:val="20"/>
              </w:rPr>
            </w:pPr>
            <w:r w:rsidRPr="00B44AD8">
              <w:rPr>
                <w:rFonts w:ascii="Arial" w:hAnsi="Arial" w:cs="Arial"/>
                <w:sz w:val="20"/>
                <w:szCs w:val="20"/>
              </w:rPr>
              <w:t>Agreed in DHB Annual Plan</w:t>
            </w:r>
            <w:r>
              <w:rPr>
                <w:rFonts w:ascii="Arial" w:hAnsi="Arial" w:cs="Arial"/>
                <w:sz w:val="20"/>
                <w:szCs w:val="20"/>
              </w:rPr>
              <w:t xml:space="preserve"> (and SLM Improvement Plan)</w:t>
            </w:r>
          </w:p>
        </w:tc>
      </w:tr>
      <w:tr w:rsidR="0045036B" w:rsidRPr="00B44AD8" w14:paraId="140838BC" w14:textId="77777777" w:rsidTr="0045036B">
        <w:trPr>
          <w:trHeight w:val="493"/>
        </w:trPr>
        <w:tc>
          <w:tcPr>
            <w:tcW w:w="2864" w:type="dxa"/>
            <w:shd w:val="clear" w:color="auto" w:fill="auto"/>
          </w:tcPr>
          <w:p w14:paraId="739861A0" w14:textId="77777777" w:rsidR="0045036B" w:rsidRPr="00B44AD8" w:rsidRDefault="0045036B" w:rsidP="0045036B">
            <w:pPr>
              <w:shd w:val="clear" w:color="auto" w:fill="FFFFFF"/>
              <w:spacing w:before="60" w:after="60"/>
              <w:rPr>
                <w:rFonts w:ascii="Arial" w:hAnsi="Arial" w:cs="Arial"/>
                <w:b/>
                <w:i/>
                <w:sz w:val="20"/>
                <w:szCs w:val="20"/>
              </w:rPr>
            </w:pPr>
            <w:r>
              <w:rPr>
                <w:rFonts w:ascii="Arial" w:hAnsi="Arial" w:cs="Arial"/>
                <w:b/>
                <w:i/>
                <w:sz w:val="20"/>
                <w:szCs w:val="20"/>
              </w:rPr>
              <w:t>R</w:t>
            </w:r>
            <w:r w:rsidRPr="00B44AD8">
              <w:rPr>
                <w:rFonts w:ascii="Arial" w:hAnsi="Arial" w:cs="Arial"/>
                <w:b/>
                <w:i/>
                <w:sz w:val="20"/>
                <w:szCs w:val="20"/>
              </w:rPr>
              <w:t>eporting frequency</w:t>
            </w:r>
          </w:p>
        </w:tc>
        <w:tc>
          <w:tcPr>
            <w:tcW w:w="7230" w:type="dxa"/>
            <w:shd w:val="clear" w:color="auto" w:fill="auto"/>
          </w:tcPr>
          <w:p w14:paraId="37E62AE4" w14:textId="77777777" w:rsidR="0045036B" w:rsidRPr="00B44AD8" w:rsidRDefault="0045036B" w:rsidP="0045036B">
            <w:pPr>
              <w:shd w:val="clear" w:color="auto" w:fill="FFFFFF"/>
              <w:spacing w:before="60" w:after="60"/>
              <w:jc w:val="both"/>
              <w:rPr>
                <w:rFonts w:ascii="Arial" w:hAnsi="Arial" w:cs="Arial"/>
                <w:sz w:val="20"/>
                <w:szCs w:val="20"/>
              </w:rPr>
            </w:pPr>
            <w:r>
              <w:rPr>
                <w:rFonts w:ascii="Arial" w:hAnsi="Arial" w:cs="Arial"/>
                <w:sz w:val="20"/>
                <w:szCs w:val="20"/>
              </w:rPr>
              <w:t>Quarterly</w:t>
            </w:r>
          </w:p>
        </w:tc>
      </w:tr>
      <w:tr w:rsidR="0045036B" w:rsidRPr="00B44AD8" w14:paraId="67D04237" w14:textId="77777777" w:rsidTr="0045036B">
        <w:tc>
          <w:tcPr>
            <w:tcW w:w="2864" w:type="dxa"/>
            <w:shd w:val="clear" w:color="auto" w:fill="auto"/>
          </w:tcPr>
          <w:p w14:paraId="1A7537DA" w14:textId="77777777" w:rsidR="0045036B" w:rsidRPr="00B44AD8" w:rsidRDefault="0045036B" w:rsidP="0045036B">
            <w:pPr>
              <w:shd w:val="clear" w:color="auto" w:fill="FFFFFF"/>
              <w:spacing w:before="60" w:after="60"/>
              <w:rPr>
                <w:rFonts w:ascii="Arial" w:hAnsi="Arial" w:cs="Arial"/>
                <w:b/>
                <w:i/>
                <w:sz w:val="20"/>
                <w:szCs w:val="20"/>
              </w:rPr>
            </w:pPr>
            <w:r w:rsidRPr="00B44AD8">
              <w:rPr>
                <w:rFonts w:ascii="Arial" w:hAnsi="Arial" w:cs="Arial"/>
                <w:b/>
                <w:i/>
                <w:sz w:val="20"/>
                <w:szCs w:val="20"/>
              </w:rPr>
              <w:t>Source information for reporting provided by:</w:t>
            </w:r>
          </w:p>
        </w:tc>
        <w:tc>
          <w:tcPr>
            <w:tcW w:w="7230" w:type="dxa"/>
            <w:shd w:val="clear" w:color="auto" w:fill="auto"/>
          </w:tcPr>
          <w:p w14:paraId="1DEC5879" w14:textId="77777777" w:rsidR="0045036B" w:rsidRDefault="0045036B" w:rsidP="0045036B">
            <w:pPr>
              <w:shd w:val="clear" w:color="auto" w:fill="FFFFFF"/>
              <w:spacing w:before="60" w:after="60"/>
              <w:rPr>
                <w:rFonts w:ascii="Arial" w:hAnsi="Arial" w:cs="Arial"/>
                <w:i/>
                <w:sz w:val="20"/>
                <w:szCs w:val="20"/>
              </w:rPr>
            </w:pPr>
            <w:r w:rsidRPr="00B44AD8">
              <w:rPr>
                <w:rFonts w:ascii="Arial" w:hAnsi="Arial" w:cs="Arial"/>
                <w:i/>
                <w:sz w:val="20"/>
                <w:szCs w:val="20"/>
              </w:rPr>
              <w:t xml:space="preserve">Ministry to provide data via NSFL web site </w:t>
            </w:r>
            <w:hyperlink r:id="rId36" w:history="1">
              <w:r w:rsidRPr="00A2725E">
                <w:rPr>
                  <w:rStyle w:val="Hyperlink"/>
                  <w:rFonts w:ascii="Arial" w:hAnsi="Arial" w:cs="Arial"/>
                  <w:i/>
                  <w:sz w:val="20"/>
                  <w:szCs w:val="20"/>
                </w:rPr>
                <w:t>http://nsfl.health.govt.nz/accountability/performance-and-monitoring</w:t>
              </w:r>
            </w:hyperlink>
            <w:r w:rsidRPr="00B44AD8">
              <w:rPr>
                <w:rFonts w:ascii="Arial" w:hAnsi="Arial" w:cs="Arial"/>
                <w:i/>
                <w:sz w:val="20"/>
                <w:szCs w:val="20"/>
              </w:rPr>
              <w:t xml:space="preserve"> </w:t>
            </w:r>
          </w:p>
          <w:p w14:paraId="0F0AEF3B" w14:textId="77777777" w:rsidR="0045036B" w:rsidRPr="00B44AD8" w:rsidRDefault="0045036B" w:rsidP="0045036B">
            <w:pPr>
              <w:shd w:val="clear" w:color="auto" w:fill="FFFFFF"/>
              <w:spacing w:before="60" w:after="60"/>
              <w:rPr>
                <w:rFonts w:ascii="Arial" w:hAnsi="Arial" w:cs="Arial"/>
                <w:i/>
                <w:sz w:val="20"/>
                <w:szCs w:val="20"/>
              </w:rPr>
            </w:pPr>
            <w:r w:rsidRPr="00D2278D">
              <w:rPr>
                <w:rFonts w:ascii="Arial" w:hAnsi="Arial" w:cs="Arial"/>
                <w:i/>
                <w:sz w:val="20"/>
                <w:szCs w:val="20"/>
              </w:rPr>
              <w:t>https://nsfl.health.govt.nz/dhb-planning-package/system-level-measures-framework/data-support-system-level-measures</w:t>
            </w:r>
          </w:p>
          <w:p w14:paraId="318852AC" w14:textId="77777777" w:rsidR="0045036B" w:rsidRDefault="0045036B" w:rsidP="0045036B">
            <w:pPr>
              <w:shd w:val="clear" w:color="auto" w:fill="FFFFFF"/>
              <w:spacing w:before="60" w:after="60"/>
              <w:rPr>
                <w:rFonts w:ascii="Arial" w:hAnsi="Arial" w:cs="Arial"/>
                <w:i/>
                <w:sz w:val="20"/>
                <w:szCs w:val="20"/>
              </w:rPr>
            </w:pPr>
          </w:p>
          <w:p w14:paraId="55D858B7" w14:textId="77777777" w:rsidR="0045036B" w:rsidRPr="00B44AD8" w:rsidRDefault="0045036B" w:rsidP="0045036B">
            <w:pPr>
              <w:shd w:val="clear" w:color="auto" w:fill="FFFFFF"/>
              <w:spacing w:before="60" w:after="60"/>
              <w:rPr>
                <w:rFonts w:ascii="Arial" w:hAnsi="Arial" w:cs="Arial"/>
                <w:i/>
                <w:sz w:val="20"/>
                <w:szCs w:val="20"/>
              </w:rPr>
            </w:pPr>
            <w:r>
              <w:rPr>
                <w:rFonts w:ascii="Arial" w:hAnsi="Arial" w:cs="Arial"/>
                <w:i/>
                <w:sz w:val="20"/>
                <w:szCs w:val="20"/>
              </w:rPr>
              <w:t>DHBs to supply reports</w:t>
            </w:r>
          </w:p>
        </w:tc>
      </w:tr>
      <w:tr w:rsidR="0045036B" w:rsidRPr="00B44AD8" w14:paraId="16129169" w14:textId="77777777" w:rsidTr="0045036B">
        <w:trPr>
          <w:trHeight w:val="2182"/>
        </w:trPr>
        <w:tc>
          <w:tcPr>
            <w:tcW w:w="2864" w:type="dxa"/>
            <w:shd w:val="clear" w:color="auto" w:fill="auto"/>
          </w:tcPr>
          <w:p w14:paraId="3B891ABD" w14:textId="77777777" w:rsidR="0045036B" w:rsidRPr="00B44AD8" w:rsidRDefault="0045036B" w:rsidP="0045036B">
            <w:pPr>
              <w:shd w:val="clear" w:color="auto" w:fill="FFFFFF"/>
              <w:spacing w:before="60" w:after="60"/>
              <w:rPr>
                <w:rFonts w:ascii="Arial" w:hAnsi="Arial" w:cs="Arial"/>
                <w:b/>
                <w:i/>
                <w:sz w:val="20"/>
                <w:szCs w:val="20"/>
              </w:rPr>
            </w:pPr>
            <w:r w:rsidRPr="00B44AD8">
              <w:rPr>
                <w:rFonts w:ascii="Arial" w:hAnsi="Arial" w:cs="Arial"/>
                <w:b/>
                <w:i/>
                <w:sz w:val="20"/>
                <w:szCs w:val="20"/>
              </w:rPr>
              <w:t>Quarterly reporting  - standard timeline applies</w:t>
            </w:r>
          </w:p>
        </w:tc>
        <w:tc>
          <w:tcPr>
            <w:tcW w:w="7230" w:type="dxa"/>
            <w:shd w:val="clear" w:color="auto" w:fill="auto"/>
          </w:tcPr>
          <w:p w14:paraId="15D38793" w14:textId="77777777" w:rsidR="0045036B" w:rsidRPr="00B44AD8" w:rsidRDefault="0045036B" w:rsidP="0045036B">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45036B" w:rsidRPr="00B44AD8" w14:paraId="496B7621" w14:textId="77777777" w:rsidTr="0045036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4CDBE"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5ECD5"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20th of the month following the end of the quarter</w:t>
                  </w:r>
                </w:p>
              </w:tc>
            </w:tr>
            <w:tr w:rsidR="0045036B" w:rsidRPr="00B44AD8" w14:paraId="7B4423AE" w14:textId="77777777" w:rsidTr="0045036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A628"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2207"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8-10 working days from receiving reports</w:t>
                  </w:r>
                </w:p>
              </w:tc>
            </w:tr>
            <w:tr w:rsidR="0045036B" w:rsidRPr="00B44AD8" w14:paraId="4A6BEFBA" w14:textId="77777777" w:rsidTr="0045036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D2CF"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907C4"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5 working days from receiving initial ratings</w:t>
                  </w:r>
                </w:p>
              </w:tc>
            </w:tr>
            <w:tr w:rsidR="0045036B" w:rsidRPr="00B44AD8" w14:paraId="59E869E9" w14:textId="77777777" w:rsidTr="0045036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8E0F"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EA6F8" w14:textId="77777777" w:rsidR="0045036B" w:rsidRPr="00B44AD8" w:rsidRDefault="0045036B" w:rsidP="0045036B">
                  <w:pPr>
                    <w:ind w:left="205" w:hanging="205"/>
                    <w:rPr>
                      <w:rFonts w:ascii="Calibri" w:hAnsi="Calibri"/>
                      <w:sz w:val="20"/>
                      <w:szCs w:val="20"/>
                    </w:rPr>
                  </w:pPr>
                  <w:r w:rsidRPr="00B44AD8">
                    <w:rPr>
                      <w:rFonts w:ascii="Calibri" w:hAnsi="Calibri"/>
                      <w:sz w:val="20"/>
                      <w:szCs w:val="20"/>
                    </w:rPr>
                    <w:t>4-5 working days from receiving DHB feedback</w:t>
                  </w:r>
                </w:p>
              </w:tc>
            </w:tr>
          </w:tbl>
          <w:p w14:paraId="4433E630" w14:textId="77777777" w:rsidR="0045036B" w:rsidRPr="00B44AD8" w:rsidRDefault="0045036B" w:rsidP="0045036B">
            <w:pPr>
              <w:shd w:val="clear" w:color="auto" w:fill="FFFFFF"/>
              <w:spacing w:before="60" w:after="60"/>
              <w:jc w:val="both"/>
              <w:rPr>
                <w:rFonts w:ascii="Arial" w:hAnsi="Arial" w:cs="Arial"/>
                <w:i/>
                <w:sz w:val="16"/>
                <w:szCs w:val="16"/>
              </w:rPr>
            </w:pPr>
          </w:p>
        </w:tc>
      </w:tr>
    </w:tbl>
    <w:p w14:paraId="6161380B" w14:textId="77777777" w:rsidR="0045036B" w:rsidRPr="003028EF" w:rsidRDefault="0045036B" w:rsidP="0045036B">
      <w:pPr>
        <w:pStyle w:val="SubOne"/>
        <w:shd w:val="clear" w:color="auto" w:fill="FFFFFF"/>
        <w:spacing w:before="60" w:after="60"/>
        <w:jc w:val="both"/>
        <w:rPr>
          <w:i/>
        </w:rPr>
      </w:pPr>
      <w:r w:rsidRPr="005D6BDC">
        <w:t>L</w:t>
      </w:r>
      <w:r>
        <w:t>ink to outcomes and priority areas</w:t>
      </w:r>
    </w:p>
    <w:p w14:paraId="69AFE219" w14:textId="77777777" w:rsidR="0045036B" w:rsidRPr="0072302C" w:rsidRDefault="0045036B" w:rsidP="0045036B">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1B81CCB3" w14:textId="77777777" w:rsidR="0045036B" w:rsidRPr="00205F78" w:rsidRDefault="0045036B" w:rsidP="0045036B">
      <w:pPr>
        <w:spacing w:before="60" w:after="60"/>
        <w:jc w:val="both"/>
        <w:rPr>
          <w:rFonts w:ascii="Arial" w:hAnsi="Arial" w:cs="Arial"/>
          <w:sz w:val="22"/>
          <w:szCs w:val="22"/>
        </w:rPr>
      </w:pPr>
      <w:r w:rsidRPr="00205F78">
        <w:rPr>
          <w:rFonts w:ascii="Arial" w:hAnsi="Arial" w:cs="Arial"/>
          <w:sz w:val="22"/>
          <w:szCs w:val="22"/>
        </w:rPr>
        <w:t xml:space="preserve">By </w:t>
      </w:r>
      <w:r>
        <w:rPr>
          <w:rFonts w:ascii="Arial" w:hAnsi="Arial" w:cs="Arial"/>
          <w:sz w:val="22"/>
          <w:szCs w:val="22"/>
        </w:rPr>
        <w:t>i</w:t>
      </w:r>
      <w:r w:rsidRPr="002D733D">
        <w:rPr>
          <w:rFonts w:ascii="Arial" w:hAnsi="Arial" w:cs="Arial"/>
          <w:sz w:val="22"/>
          <w:szCs w:val="22"/>
        </w:rPr>
        <w:t>mproving system integration</w:t>
      </w:r>
      <w:r>
        <w:rPr>
          <w:rFonts w:ascii="Arial" w:hAnsi="Arial" w:cs="Arial"/>
          <w:sz w:val="22"/>
          <w:szCs w:val="22"/>
        </w:rPr>
        <w:t xml:space="preserve"> D</w:t>
      </w:r>
      <w:r w:rsidRPr="00205F78">
        <w:rPr>
          <w:rFonts w:ascii="Arial" w:hAnsi="Arial" w:cs="Arial"/>
          <w:sz w:val="22"/>
          <w:szCs w:val="22"/>
        </w:rPr>
        <w:t>HB</w:t>
      </w:r>
      <w:r>
        <w:rPr>
          <w:rFonts w:ascii="Arial" w:hAnsi="Arial" w:cs="Arial"/>
          <w:sz w:val="22"/>
          <w:szCs w:val="22"/>
        </w:rPr>
        <w:t>s</w:t>
      </w:r>
      <w:r w:rsidRPr="00205F78">
        <w:rPr>
          <w:rFonts w:ascii="Arial" w:hAnsi="Arial" w:cs="Arial"/>
          <w:sz w:val="22"/>
          <w:szCs w:val="22"/>
        </w:rPr>
        <w:t xml:space="preserve"> will support Government's priority to ensure everyone who is able is earning, learning, caring or volunteering and our system outcome that we have improved quality of life.</w:t>
      </w:r>
    </w:p>
    <w:p w14:paraId="5D96ACEB" w14:textId="77777777" w:rsidR="0045036B" w:rsidRPr="00205F78" w:rsidRDefault="0045036B" w:rsidP="0045036B">
      <w:pPr>
        <w:spacing w:before="60" w:after="60"/>
        <w:jc w:val="both"/>
        <w:rPr>
          <w:rFonts w:ascii="Arial" w:hAnsi="Arial" w:cs="Arial"/>
          <w:sz w:val="22"/>
          <w:szCs w:val="22"/>
        </w:rPr>
      </w:pPr>
    </w:p>
    <w:p w14:paraId="78748E8E" w14:textId="77777777" w:rsidR="0045036B" w:rsidRPr="00205F78" w:rsidRDefault="0045036B" w:rsidP="0045036B">
      <w:pPr>
        <w:shd w:val="clear" w:color="auto" w:fill="FFFFFF"/>
        <w:rPr>
          <w:rFonts w:ascii="Arial" w:hAnsi="Arial" w:cs="Arial"/>
          <w:sz w:val="22"/>
          <w:szCs w:val="22"/>
        </w:rPr>
      </w:pPr>
      <w:r w:rsidRPr="00205F78">
        <w:rPr>
          <w:rFonts w:ascii="Arial" w:hAnsi="Arial" w:cs="Arial"/>
          <w:sz w:val="22"/>
          <w:szCs w:val="22"/>
        </w:rPr>
        <w:t xml:space="preserve">The System Level Measures (SLMs) continue to drive clinically led system integration, focussed on equity and using a quality improvement process. DHB ability to jointly develop and implement an effective SLM Improvement Plan with their healthcare partners continues to be variable for a variety of reasons but predominantly due to the functionality of their district alliance and capacity and capability for improvement. </w:t>
      </w:r>
    </w:p>
    <w:p w14:paraId="2A8DDFF6" w14:textId="77777777" w:rsidR="0045036B" w:rsidRPr="004E2864" w:rsidRDefault="0045036B" w:rsidP="0045036B">
      <w:pPr>
        <w:shd w:val="clear" w:color="auto" w:fill="FFFFFF"/>
        <w:rPr>
          <w:rFonts w:ascii="Arial" w:hAnsi="Arial" w:cs="Arial"/>
          <w:szCs w:val="22"/>
        </w:rPr>
      </w:pPr>
    </w:p>
    <w:p w14:paraId="1FD5BC4E" w14:textId="77777777" w:rsidR="0045036B" w:rsidRPr="003060FE" w:rsidRDefault="0045036B" w:rsidP="0045036B">
      <w:pPr>
        <w:shd w:val="clear" w:color="auto" w:fill="FFFFFF"/>
        <w:spacing w:before="120" w:after="120"/>
        <w:rPr>
          <w:rFonts w:ascii="Arial" w:hAnsi="Arial" w:cs="Arial"/>
          <w:szCs w:val="22"/>
        </w:rPr>
      </w:pPr>
      <w:r w:rsidRPr="003060FE">
        <w:rPr>
          <w:rFonts w:ascii="Arial" w:hAnsi="Arial" w:cs="Arial"/>
          <w:b/>
          <w:szCs w:val="22"/>
        </w:rPr>
        <w:t>Deliverables definitions</w:t>
      </w:r>
    </w:p>
    <w:p w14:paraId="65A5D14D" w14:textId="77777777" w:rsidR="0045036B" w:rsidRPr="00566956" w:rsidRDefault="0045036B" w:rsidP="0045036B">
      <w:pPr>
        <w:shd w:val="clear" w:color="auto" w:fill="FFFFFF"/>
        <w:autoSpaceDE w:val="0"/>
        <w:autoSpaceDN w:val="0"/>
        <w:adjustRightInd w:val="0"/>
        <w:spacing w:before="60" w:after="60" w:line="240" w:lineRule="atLeast"/>
        <w:jc w:val="both"/>
        <w:rPr>
          <w:rFonts w:ascii="Arial" w:hAnsi="Arial" w:cs="Arial"/>
          <w:b/>
        </w:rPr>
      </w:pPr>
      <w:r w:rsidRPr="00566956">
        <w:rPr>
          <w:rFonts w:ascii="Arial" w:hAnsi="Arial" w:cs="Arial"/>
          <w:b/>
        </w:rPr>
        <w:t xml:space="preserve">System </w:t>
      </w:r>
      <w:r>
        <w:rPr>
          <w:rFonts w:ascii="Arial" w:hAnsi="Arial" w:cs="Arial"/>
          <w:b/>
        </w:rPr>
        <w:t>L</w:t>
      </w:r>
      <w:r w:rsidRPr="00566956">
        <w:rPr>
          <w:rFonts w:ascii="Arial" w:hAnsi="Arial" w:cs="Arial"/>
          <w:b/>
        </w:rPr>
        <w:t xml:space="preserve">evel </w:t>
      </w:r>
      <w:r>
        <w:rPr>
          <w:rFonts w:ascii="Arial" w:hAnsi="Arial" w:cs="Arial"/>
          <w:b/>
        </w:rPr>
        <w:t>M</w:t>
      </w:r>
      <w:r w:rsidRPr="00566956">
        <w:rPr>
          <w:rFonts w:ascii="Arial" w:hAnsi="Arial" w:cs="Arial"/>
          <w:b/>
        </w:rPr>
        <w:t>easure improvement plans</w:t>
      </w:r>
      <w:r>
        <w:rPr>
          <w:rFonts w:ascii="Arial" w:hAnsi="Arial" w:cs="Arial"/>
          <w:b/>
        </w:rPr>
        <w:t xml:space="preserve"> and reporting </w:t>
      </w:r>
    </w:p>
    <w:p w14:paraId="255B766D" w14:textId="77777777" w:rsidR="0045036B" w:rsidRPr="00566956" w:rsidRDefault="0045036B" w:rsidP="0045036B">
      <w:pPr>
        <w:shd w:val="clear" w:color="auto" w:fill="FFFFFF"/>
        <w:autoSpaceDE w:val="0"/>
        <w:autoSpaceDN w:val="0"/>
        <w:adjustRightInd w:val="0"/>
        <w:spacing w:before="60" w:after="60" w:line="240" w:lineRule="atLeast"/>
        <w:jc w:val="both"/>
        <w:rPr>
          <w:rFonts w:ascii="Arial" w:hAnsi="Arial" w:cs="Arial"/>
          <w:color w:val="000000"/>
          <w:sz w:val="22"/>
          <w:szCs w:val="22"/>
        </w:rPr>
      </w:pPr>
      <w:r w:rsidRPr="00566956">
        <w:rPr>
          <w:rFonts w:ascii="Arial" w:hAnsi="Arial" w:cs="Arial"/>
          <w:sz w:val="22"/>
          <w:szCs w:val="22"/>
        </w:rPr>
        <w:t xml:space="preserve">DHBs are expected to provide </w:t>
      </w:r>
      <w:r>
        <w:rPr>
          <w:rFonts w:ascii="Arial" w:hAnsi="Arial" w:cs="Arial"/>
          <w:sz w:val="22"/>
          <w:szCs w:val="22"/>
        </w:rPr>
        <w:t>S</w:t>
      </w:r>
      <w:r w:rsidRPr="00566956">
        <w:rPr>
          <w:rFonts w:ascii="Arial" w:hAnsi="Arial" w:cs="Arial"/>
          <w:sz w:val="22"/>
          <w:szCs w:val="22"/>
        </w:rPr>
        <w:t xml:space="preserve">ystem </w:t>
      </w:r>
      <w:r>
        <w:rPr>
          <w:rFonts w:ascii="Arial" w:hAnsi="Arial" w:cs="Arial"/>
          <w:sz w:val="22"/>
          <w:szCs w:val="22"/>
        </w:rPr>
        <w:t>L</w:t>
      </w:r>
      <w:r w:rsidRPr="00566956">
        <w:rPr>
          <w:rFonts w:ascii="Arial" w:hAnsi="Arial" w:cs="Arial"/>
          <w:sz w:val="22"/>
          <w:szCs w:val="22"/>
        </w:rPr>
        <w:t xml:space="preserve">evel </w:t>
      </w:r>
      <w:r>
        <w:rPr>
          <w:rFonts w:ascii="Arial" w:hAnsi="Arial" w:cs="Arial"/>
          <w:sz w:val="22"/>
          <w:szCs w:val="22"/>
        </w:rPr>
        <w:t>M</w:t>
      </w:r>
      <w:r w:rsidRPr="00566956">
        <w:rPr>
          <w:rFonts w:ascii="Arial" w:hAnsi="Arial" w:cs="Arial"/>
          <w:sz w:val="22"/>
          <w:szCs w:val="22"/>
        </w:rPr>
        <w:t>easure improvement plans</w:t>
      </w:r>
      <w:r>
        <w:rPr>
          <w:rFonts w:ascii="Arial" w:hAnsi="Arial" w:cs="Arial"/>
          <w:sz w:val="22"/>
          <w:szCs w:val="22"/>
        </w:rPr>
        <w:t xml:space="preserve"> that are</w:t>
      </w:r>
      <w:r w:rsidRPr="00566956">
        <w:rPr>
          <w:rFonts w:ascii="Arial" w:hAnsi="Arial" w:cs="Arial"/>
          <w:sz w:val="22"/>
          <w:szCs w:val="22"/>
        </w:rPr>
        <w:t xml:space="preserve"> jointly</w:t>
      </w:r>
      <w:r>
        <w:rPr>
          <w:rFonts w:ascii="Arial" w:hAnsi="Arial" w:cs="Arial"/>
          <w:sz w:val="22"/>
          <w:szCs w:val="22"/>
        </w:rPr>
        <w:t xml:space="preserve"> developed,</w:t>
      </w:r>
      <w:r w:rsidRPr="00566956">
        <w:rPr>
          <w:rFonts w:ascii="Arial" w:hAnsi="Arial" w:cs="Arial"/>
          <w:sz w:val="22"/>
          <w:szCs w:val="22"/>
        </w:rPr>
        <w:t xml:space="preserve"> agreed </w:t>
      </w:r>
      <w:r>
        <w:rPr>
          <w:rFonts w:ascii="Arial" w:hAnsi="Arial" w:cs="Arial"/>
          <w:sz w:val="22"/>
          <w:szCs w:val="22"/>
        </w:rPr>
        <w:t xml:space="preserve">and signed </w:t>
      </w:r>
      <w:r w:rsidRPr="00566956">
        <w:rPr>
          <w:rFonts w:ascii="Arial" w:hAnsi="Arial" w:cs="Arial"/>
          <w:sz w:val="22"/>
          <w:szCs w:val="22"/>
        </w:rPr>
        <w:t>by district alliance</w:t>
      </w:r>
      <w:r>
        <w:rPr>
          <w:rFonts w:ascii="Arial" w:hAnsi="Arial" w:cs="Arial"/>
          <w:sz w:val="22"/>
          <w:szCs w:val="22"/>
        </w:rPr>
        <w:t xml:space="preserve"> partners. The plan must </w:t>
      </w:r>
      <w:r w:rsidRPr="00566956">
        <w:rPr>
          <w:rFonts w:ascii="Arial" w:hAnsi="Arial" w:cs="Arial"/>
          <w:sz w:val="22"/>
          <w:szCs w:val="22"/>
        </w:rPr>
        <w:t>includ</w:t>
      </w:r>
      <w:r>
        <w:rPr>
          <w:rFonts w:ascii="Arial" w:hAnsi="Arial" w:cs="Arial"/>
          <w:sz w:val="22"/>
          <w:szCs w:val="22"/>
        </w:rPr>
        <w:t>e</w:t>
      </w:r>
      <w:r w:rsidRPr="00566956">
        <w:rPr>
          <w:rFonts w:ascii="Arial" w:hAnsi="Arial" w:cs="Arial"/>
          <w:sz w:val="22"/>
          <w:szCs w:val="22"/>
        </w:rPr>
        <w:t xml:space="preserve"> improvement milestone</w:t>
      </w:r>
      <w:r>
        <w:rPr>
          <w:rFonts w:ascii="Arial" w:hAnsi="Arial" w:cs="Arial"/>
          <w:sz w:val="22"/>
          <w:szCs w:val="22"/>
        </w:rPr>
        <w:t>, brief outline of activities and contributory measures for each SLM. A reporting template is provided through the quarterly reporting process.</w:t>
      </w:r>
    </w:p>
    <w:p w14:paraId="40DB0C50" w14:textId="77777777" w:rsidR="0045036B" w:rsidRDefault="0045036B" w:rsidP="0045036B">
      <w:pPr>
        <w:spacing w:before="60" w:after="60"/>
        <w:jc w:val="both"/>
        <w:rPr>
          <w:rFonts w:ascii="Arial" w:hAnsi="Arial" w:cs="Arial"/>
          <w:b/>
          <w:szCs w:val="22"/>
        </w:rPr>
      </w:pPr>
    </w:p>
    <w:p w14:paraId="2E74354D" w14:textId="77777777" w:rsidR="0045036B" w:rsidRPr="003060FE" w:rsidRDefault="0045036B" w:rsidP="0045036B">
      <w:pPr>
        <w:spacing w:before="60" w:after="60"/>
        <w:jc w:val="both"/>
        <w:rPr>
          <w:rFonts w:ascii="Arial" w:hAnsi="Arial" w:cs="Arial"/>
          <w:b/>
          <w:szCs w:val="22"/>
        </w:rPr>
      </w:pPr>
      <w:r w:rsidRPr="003060FE">
        <w:rPr>
          <w:rFonts w:ascii="Arial" w:hAnsi="Arial" w:cs="Arial"/>
          <w:b/>
          <w:szCs w:val="22"/>
        </w:rPr>
        <w:t>Expectations</w:t>
      </w:r>
    </w:p>
    <w:p w14:paraId="3B2D9574" w14:textId="77777777" w:rsidR="0045036B" w:rsidRPr="003060FE" w:rsidRDefault="0045036B" w:rsidP="0045036B">
      <w:pPr>
        <w:shd w:val="clear" w:color="auto" w:fill="FFFFFF"/>
        <w:autoSpaceDE w:val="0"/>
        <w:autoSpaceDN w:val="0"/>
        <w:adjustRightInd w:val="0"/>
        <w:spacing w:before="60" w:after="60" w:line="240" w:lineRule="atLeast"/>
        <w:jc w:val="both"/>
        <w:rPr>
          <w:rFonts w:ascii="Arial" w:hAnsi="Arial" w:cs="Arial"/>
          <w:color w:val="000000"/>
          <w:sz w:val="22"/>
          <w:szCs w:val="22"/>
        </w:rPr>
      </w:pPr>
      <w:r w:rsidRPr="003060FE">
        <w:rPr>
          <w:rFonts w:ascii="Arial" w:hAnsi="Arial" w:cs="Arial"/>
          <w:color w:val="000000"/>
          <w:sz w:val="22"/>
          <w:szCs w:val="22"/>
        </w:rPr>
        <w:t xml:space="preserve">The assessment requirements for each quarter are set out below: </w:t>
      </w:r>
    </w:p>
    <w:p w14:paraId="4A5C5288" w14:textId="77777777" w:rsidR="00AA5E3B" w:rsidRDefault="00AA5E3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p>
    <w:p w14:paraId="52D70C5D" w14:textId="77777777" w:rsidR="00AA5E3B" w:rsidRDefault="00AA5E3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p>
    <w:p w14:paraId="1F022746" w14:textId="77777777" w:rsidR="00AA5E3B" w:rsidRDefault="00AA5E3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p>
    <w:p w14:paraId="30A979F4" w14:textId="77777777" w:rsidR="00AA5E3B" w:rsidRDefault="00AA5E3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p>
    <w:p w14:paraId="5ECB4BBF" w14:textId="77777777" w:rsidR="0045036B" w:rsidRDefault="0045036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r w:rsidRPr="003060FE">
        <w:rPr>
          <w:rFonts w:ascii="Arial" w:hAnsi="Arial" w:cs="Arial"/>
          <w:b/>
          <w:bCs/>
          <w:color w:val="000000"/>
          <w:sz w:val="22"/>
          <w:szCs w:val="22"/>
        </w:rPr>
        <w:t>Table 1: Quarterly assessment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100"/>
      </w:tblGrid>
      <w:tr w:rsidR="0045036B" w:rsidRPr="003060FE" w14:paraId="011B15DF" w14:textId="77777777" w:rsidTr="0045036B">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825B89A" w14:textId="77777777" w:rsidR="0045036B" w:rsidRPr="003060FE" w:rsidRDefault="0045036B" w:rsidP="0045036B">
            <w:pPr>
              <w:shd w:val="clear" w:color="auto" w:fill="FFFFFF"/>
              <w:autoSpaceDE w:val="0"/>
              <w:autoSpaceDN w:val="0"/>
              <w:adjustRightInd w:val="0"/>
              <w:spacing w:before="60" w:after="60" w:line="240" w:lineRule="atLeast"/>
              <w:ind w:left="108" w:right="108"/>
              <w:jc w:val="both"/>
              <w:rPr>
                <w:rFonts w:ascii="Arial" w:hAnsi="Arial" w:cs="Arial"/>
                <w:b/>
                <w:bCs/>
                <w:color w:val="000000"/>
                <w:sz w:val="22"/>
                <w:szCs w:val="22"/>
              </w:rPr>
            </w:pPr>
            <w:r w:rsidRPr="003060FE">
              <w:rPr>
                <w:rFonts w:ascii="Arial" w:hAnsi="Arial" w:cs="Arial"/>
                <w:b/>
                <w:bCs/>
                <w:color w:val="000000"/>
                <w:sz w:val="22"/>
                <w:szCs w:val="22"/>
              </w:rPr>
              <w:t>Rating</w:t>
            </w:r>
          </w:p>
        </w:tc>
        <w:tc>
          <w:tcPr>
            <w:tcW w:w="8100" w:type="dxa"/>
            <w:tcBorders>
              <w:top w:val="single" w:sz="4" w:space="0" w:color="auto"/>
              <w:left w:val="single" w:sz="4" w:space="0" w:color="auto"/>
              <w:bottom w:val="single" w:sz="4" w:space="0" w:color="auto"/>
              <w:right w:val="single" w:sz="4" w:space="0" w:color="auto"/>
            </w:tcBorders>
            <w:shd w:val="clear" w:color="auto" w:fill="CCCCCC"/>
            <w:hideMark/>
          </w:tcPr>
          <w:p w14:paraId="1A27BA19" w14:textId="77777777" w:rsidR="0045036B" w:rsidRPr="003060FE" w:rsidRDefault="0045036B" w:rsidP="0045036B">
            <w:pPr>
              <w:shd w:val="clear" w:color="auto" w:fill="FFFFFF"/>
              <w:autoSpaceDE w:val="0"/>
              <w:autoSpaceDN w:val="0"/>
              <w:adjustRightInd w:val="0"/>
              <w:spacing w:before="60" w:after="60"/>
              <w:rPr>
                <w:rFonts w:ascii="Arial" w:hAnsi="Arial" w:cs="Arial"/>
                <w:b/>
                <w:bCs/>
                <w:color w:val="000000"/>
                <w:sz w:val="22"/>
                <w:szCs w:val="22"/>
              </w:rPr>
            </w:pPr>
            <w:r w:rsidRPr="003060FE">
              <w:rPr>
                <w:rFonts w:ascii="Arial" w:hAnsi="Arial" w:cs="Arial"/>
                <w:b/>
                <w:bCs/>
                <w:color w:val="000000"/>
                <w:sz w:val="22"/>
                <w:szCs w:val="22"/>
              </w:rPr>
              <w:t>Explanation</w:t>
            </w:r>
          </w:p>
        </w:tc>
      </w:tr>
      <w:tr w:rsidR="0045036B" w:rsidRPr="003060FE" w14:paraId="247422DF" w14:textId="77777777" w:rsidTr="0045036B">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722B5C0" w14:textId="77777777" w:rsidR="0045036B" w:rsidRPr="003060FE"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i/>
                <w:sz w:val="22"/>
                <w:szCs w:val="22"/>
                <w:lang w:val="en-GB"/>
              </w:rPr>
            </w:pPr>
            <w:r w:rsidRPr="003060FE">
              <w:rPr>
                <w:rFonts w:ascii="Arial" w:hAnsi="Arial" w:cs="Arial"/>
                <w:sz w:val="22"/>
                <w:szCs w:val="22"/>
                <w:lang w:val="en-GB"/>
              </w:rPr>
              <w:t>Achieved</w:t>
            </w:r>
          </w:p>
        </w:tc>
        <w:tc>
          <w:tcPr>
            <w:tcW w:w="8100" w:type="dxa"/>
            <w:tcBorders>
              <w:top w:val="single" w:sz="4" w:space="0" w:color="auto"/>
              <w:left w:val="single" w:sz="4" w:space="0" w:color="auto"/>
              <w:bottom w:val="single" w:sz="4" w:space="0" w:color="auto"/>
              <w:right w:val="single" w:sz="4" w:space="0" w:color="auto"/>
            </w:tcBorders>
            <w:hideMark/>
          </w:tcPr>
          <w:p w14:paraId="59A340E5" w14:textId="77777777" w:rsidR="0045036B" w:rsidRDefault="0045036B" w:rsidP="0045036B">
            <w:pPr>
              <w:shd w:val="clear" w:color="auto" w:fill="FFFFFF"/>
              <w:autoSpaceDE w:val="0"/>
              <w:autoSpaceDN w:val="0"/>
              <w:adjustRightInd w:val="0"/>
              <w:spacing w:before="60" w:after="60" w:line="240" w:lineRule="atLeast"/>
              <w:ind w:left="15"/>
              <w:rPr>
                <w:rFonts w:ascii="Arial" w:hAnsi="Arial" w:cs="Arial"/>
                <w:color w:val="000000"/>
                <w:sz w:val="22"/>
                <w:szCs w:val="22"/>
              </w:rPr>
            </w:pPr>
            <w:r>
              <w:rPr>
                <w:rFonts w:ascii="Arial" w:hAnsi="Arial" w:cs="Arial"/>
                <w:color w:val="000000"/>
                <w:sz w:val="22"/>
                <w:szCs w:val="22"/>
              </w:rPr>
              <w:t xml:space="preserve">Quarters one, two and three - Implementation of the SLM improvement plan by the district alliance is on track for the reporting period. </w:t>
            </w:r>
          </w:p>
          <w:p w14:paraId="66FD74BB" w14:textId="77777777" w:rsidR="0045036B" w:rsidRPr="003060FE" w:rsidRDefault="0045036B" w:rsidP="0045036B">
            <w:pPr>
              <w:shd w:val="clear" w:color="auto" w:fill="FFFFFF"/>
              <w:autoSpaceDE w:val="0"/>
              <w:autoSpaceDN w:val="0"/>
              <w:adjustRightInd w:val="0"/>
              <w:spacing w:before="60" w:after="60" w:line="240" w:lineRule="atLeast"/>
              <w:ind w:left="15"/>
              <w:rPr>
                <w:rFonts w:ascii="Arial" w:hAnsi="Arial" w:cs="Arial"/>
                <w:color w:val="000000"/>
                <w:sz w:val="22"/>
                <w:szCs w:val="22"/>
              </w:rPr>
            </w:pPr>
            <w:r>
              <w:rPr>
                <w:rFonts w:ascii="Arial" w:hAnsi="Arial" w:cs="Arial"/>
                <w:color w:val="000000"/>
                <w:sz w:val="22"/>
                <w:szCs w:val="22"/>
              </w:rPr>
              <w:t>Quarter four – the SLM improvement plan was successfully implemented by the district alliance</w:t>
            </w:r>
          </w:p>
        </w:tc>
      </w:tr>
      <w:tr w:rsidR="0045036B" w:rsidRPr="003060FE" w14:paraId="3B0D2F7B" w14:textId="77777777" w:rsidTr="0045036B">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66A7EEF" w14:textId="77777777" w:rsidR="0045036B" w:rsidRPr="003060FE"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sz w:val="22"/>
                <w:szCs w:val="22"/>
                <w:lang w:val="en-GB"/>
              </w:rPr>
            </w:pPr>
            <w:r w:rsidRPr="003060FE">
              <w:rPr>
                <w:rFonts w:ascii="Arial" w:hAnsi="Arial" w:cs="Arial"/>
                <w:sz w:val="22"/>
                <w:szCs w:val="22"/>
                <w:lang w:val="en-GB"/>
              </w:rPr>
              <w:t>Partially Achieved</w:t>
            </w:r>
          </w:p>
        </w:tc>
        <w:tc>
          <w:tcPr>
            <w:tcW w:w="8100" w:type="dxa"/>
            <w:tcBorders>
              <w:top w:val="single" w:sz="4" w:space="0" w:color="auto"/>
              <w:left w:val="single" w:sz="4" w:space="0" w:color="auto"/>
              <w:bottom w:val="single" w:sz="4" w:space="0" w:color="auto"/>
              <w:right w:val="single" w:sz="4" w:space="0" w:color="auto"/>
            </w:tcBorders>
            <w:hideMark/>
          </w:tcPr>
          <w:p w14:paraId="0E9459F7" w14:textId="77777777" w:rsidR="0045036B"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color w:val="000000"/>
                <w:sz w:val="22"/>
                <w:szCs w:val="22"/>
                <w:lang w:val="en-GB"/>
              </w:rPr>
            </w:pPr>
            <w:r>
              <w:rPr>
                <w:rFonts w:ascii="Arial" w:hAnsi="Arial" w:cs="Arial"/>
                <w:color w:val="000000"/>
                <w:sz w:val="22"/>
                <w:szCs w:val="22"/>
              </w:rPr>
              <w:t xml:space="preserve">Quarters one, two and three - Implementation of the SLM improvement plan by the district alliance is </w:t>
            </w:r>
            <w:r w:rsidRPr="003060FE">
              <w:rPr>
                <w:rFonts w:ascii="Arial" w:hAnsi="Arial" w:cs="Arial"/>
                <w:color w:val="000000"/>
                <w:sz w:val="22"/>
                <w:szCs w:val="22"/>
                <w:lang w:val="en-GB"/>
              </w:rPr>
              <w:t xml:space="preserve">not on track but adequate mitigation strategies are presented. </w:t>
            </w:r>
          </w:p>
          <w:p w14:paraId="6C4C029D" w14:textId="77777777" w:rsidR="0045036B" w:rsidRPr="003060FE"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sz w:val="22"/>
                <w:szCs w:val="22"/>
                <w:lang w:val="en-GB"/>
              </w:rPr>
            </w:pPr>
            <w:r>
              <w:rPr>
                <w:rFonts w:ascii="Arial" w:hAnsi="Arial" w:cs="Arial"/>
                <w:color w:val="000000"/>
                <w:sz w:val="22"/>
                <w:szCs w:val="22"/>
              </w:rPr>
              <w:t>Quarter four – the SLM improvement plan was not fully implemented by the district alliance but adequate rationale and mitigation strategies are presented.</w:t>
            </w:r>
          </w:p>
        </w:tc>
      </w:tr>
      <w:tr w:rsidR="0045036B" w:rsidRPr="003060FE" w14:paraId="0D375A75" w14:textId="77777777" w:rsidTr="0045036B">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3E351A3" w14:textId="77777777" w:rsidR="0045036B" w:rsidRPr="003060FE"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sz w:val="22"/>
                <w:szCs w:val="22"/>
                <w:lang w:val="en-GB"/>
              </w:rPr>
            </w:pPr>
            <w:r w:rsidRPr="003060FE">
              <w:rPr>
                <w:rFonts w:ascii="Arial" w:hAnsi="Arial" w:cs="Arial"/>
                <w:sz w:val="22"/>
                <w:szCs w:val="22"/>
                <w:lang w:val="en-GB"/>
              </w:rPr>
              <w:t>Not Achieved</w:t>
            </w:r>
          </w:p>
        </w:tc>
        <w:tc>
          <w:tcPr>
            <w:tcW w:w="8100" w:type="dxa"/>
            <w:tcBorders>
              <w:top w:val="single" w:sz="4" w:space="0" w:color="auto"/>
              <w:left w:val="single" w:sz="4" w:space="0" w:color="auto"/>
              <w:bottom w:val="single" w:sz="4" w:space="0" w:color="auto"/>
              <w:right w:val="single" w:sz="4" w:space="0" w:color="auto"/>
            </w:tcBorders>
            <w:hideMark/>
          </w:tcPr>
          <w:p w14:paraId="42BF866C" w14:textId="77777777" w:rsidR="0045036B"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color w:val="000000"/>
                <w:sz w:val="22"/>
                <w:szCs w:val="22"/>
                <w:lang w:val="en-GB"/>
              </w:rPr>
            </w:pPr>
            <w:r>
              <w:rPr>
                <w:rFonts w:ascii="Arial" w:hAnsi="Arial" w:cs="Arial"/>
                <w:color w:val="000000"/>
                <w:sz w:val="22"/>
                <w:szCs w:val="22"/>
              </w:rPr>
              <w:t xml:space="preserve">Quarters one, two and three - Implementation of the SLM improvement plan by the district alliance is </w:t>
            </w:r>
            <w:r w:rsidRPr="003060FE">
              <w:rPr>
                <w:rFonts w:ascii="Arial" w:hAnsi="Arial" w:cs="Arial"/>
                <w:color w:val="000000"/>
                <w:sz w:val="22"/>
                <w:szCs w:val="22"/>
                <w:lang w:val="en-GB"/>
              </w:rPr>
              <w:t>not on track and adequate mitigation strategies are not presented</w:t>
            </w:r>
            <w:r>
              <w:rPr>
                <w:rFonts w:ascii="Arial" w:hAnsi="Arial" w:cs="Arial"/>
                <w:color w:val="000000"/>
                <w:sz w:val="22"/>
                <w:szCs w:val="22"/>
                <w:lang w:val="en-GB"/>
              </w:rPr>
              <w:t xml:space="preserve"> or there are any missing deliverable components</w:t>
            </w:r>
            <w:r w:rsidRPr="003060FE">
              <w:rPr>
                <w:rFonts w:ascii="Arial" w:hAnsi="Arial" w:cs="Arial"/>
                <w:color w:val="000000"/>
                <w:sz w:val="22"/>
                <w:szCs w:val="22"/>
                <w:lang w:val="en-GB"/>
              </w:rPr>
              <w:t>.</w:t>
            </w:r>
          </w:p>
          <w:p w14:paraId="4894BD84" w14:textId="77777777" w:rsidR="0045036B" w:rsidRPr="003060FE" w:rsidRDefault="0045036B" w:rsidP="0045036B">
            <w:pPr>
              <w:shd w:val="clear" w:color="auto" w:fill="FFFFFF"/>
              <w:tabs>
                <w:tab w:val="left" w:pos="720"/>
              </w:tabs>
              <w:overflowPunct w:val="0"/>
              <w:autoSpaceDE w:val="0"/>
              <w:autoSpaceDN w:val="0"/>
              <w:adjustRightInd w:val="0"/>
              <w:spacing w:before="60" w:after="60"/>
              <w:jc w:val="both"/>
              <w:rPr>
                <w:rFonts w:ascii="Arial" w:hAnsi="Arial" w:cs="Arial"/>
                <w:sz w:val="22"/>
                <w:szCs w:val="22"/>
                <w:lang w:val="en-GB"/>
              </w:rPr>
            </w:pPr>
            <w:r>
              <w:rPr>
                <w:rFonts w:ascii="Arial" w:hAnsi="Arial" w:cs="Arial"/>
                <w:color w:val="000000"/>
                <w:sz w:val="22"/>
                <w:szCs w:val="22"/>
              </w:rPr>
              <w:t xml:space="preserve">Quarter four – the SLM improvement plan was not fully implemented by the district alliance and adequate rationale and mitigation strategies are not presented </w:t>
            </w:r>
            <w:r>
              <w:rPr>
                <w:rFonts w:ascii="Arial" w:hAnsi="Arial" w:cs="Arial"/>
                <w:color w:val="000000"/>
                <w:sz w:val="22"/>
                <w:szCs w:val="22"/>
                <w:lang w:val="en-GB"/>
              </w:rPr>
              <w:t>or there are any missing deliverable components</w:t>
            </w:r>
            <w:r>
              <w:rPr>
                <w:rFonts w:ascii="Arial" w:hAnsi="Arial" w:cs="Arial"/>
                <w:color w:val="000000"/>
                <w:sz w:val="22"/>
                <w:szCs w:val="22"/>
              </w:rPr>
              <w:t>.</w:t>
            </w:r>
          </w:p>
        </w:tc>
      </w:tr>
    </w:tbl>
    <w:p w14:paraId="1F95E464" w14:textId="77777777" w:rsidR="0045036B" w:rsidRDefault="0045036B" w:rsidP="0045036B">
      <w:pPr>
        <w:shd w:val="clear" w:color="auto" w:fill="FFFFFF"/>
        <w:autoSpaceDE w:val="0"/>
        <w:autoSpaceDN w:val="0"/>
        <w:adjustRightInd w:val="0"/>
        <w:spacing w:before="60" w:after="60" w:line="240" w:lineRule="atLeast"/>
        <w:ind w:left="720"/>
        <w:jc w:val="both"/>
        <w:rPr>
          <w:rFonts w:ascii="Arial" w:hAnsi="Arial" w:cs="Arial"/>
          <w:b/>
          <w:bCs/>
          <w:color w:val="000000"/>
          <w:sz w:val="22"/>
          <w:szCs w:val="22"/>
        </w:rPr>
      </w:pPr>
    </w:p>
    <w:p w14:paraId="54679869" w14:textId="77777777" w:rsidR="0045036B" w:rsidRDefault="0045036B" w:rsidP="0045036B">
      <w:pPr>
        <w:shd w:val="clear" w:color="auto" w:fill="FFFFFF"/>
        <w:spacing w:before="60" w:after="60"/>
        <w:jc w:val="both"/>
        <w:rPr>
          <w:rFonts w:ascii="Arial" w:hAnsi="Arial" w:cs="Arial"/>
          <w:b/>
          <w:sz w:val="22"/>
          <w:szCs w:val="22"/>
        </w:rPr>
      </w:pPr>
    </w:p>
    <w:p w14:paraId="254EC3F2" w14:textId="77777777" w:rsidR="0045036B" w:rsidRPr="003060FE" w:rsidRDefault="0045036B" w:rsidP="0045036B">
      <w:pPr>
        <w:shd w:val="clear" w:color="auto" w:fill="FFFFFF"/>
        <w:spacing w:before="60" w:after="60"/>
        <w:jc w:val="both"/>
        <w:rPr>
          <w:rFonts w:ascii="Arial" w:hAnsi="Arial" w:cs="Arial"/>
          <w:b/>
          <w:sz w:val="22"/>
          <w:szCs w:val="22"/>
        </w:rPr>
      </w:pPr>
      <w:r w:rsidRPr="003060FE">
        <w:rPr>
          <w:rFonts w:ascii="Arial" w:hAnsi="Arial" w:cs="Arial"/>
          <w:b/>
          <w:sz w:val="22"/>
          <w:szCs w:val="22"/>
        </w:rPr>
        <w:t>Reporting period</w:t>
      </w:r>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5108"/>
      </w:tblGrid>
      <w:tr w:rsidR="0045036B" w:rsidRPr="003060FE" w14:paraId="7E662659" w14:textId="77777777" w:rsidTr="0045036B">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DF8C" w14:textId="77777777" w:rsidR="0045036B" w:rsidRPr="003060FE" w:rsidRDefault="0045036B" w:rsidP="0045036B">
            <w:pPr>
              <w:shd w:val="clear" w:color="auto" w:fill="FFFFFF"/>
              <w:spacing w:before="60" w:after="60"/>
              <w:jc w:val="both"/>
              <w:rPr>
                <w:rFonts w:ascii="Arial" w:hAnsi="Arial" w:cs="Arial"/>
                <w:b/>
                <w:sz w:val="22"/>
                <w:szCs w:val="22"/>
              </w:rPr>
            </w:pPr>
            <w:r w:rsidRPr="003060FE">
              <w:rPr>
                <w:rFonts w:ascii="Arial" w:hAnsi="Arial" w:cs="Arial"/>
                <w:b/>
                <w:sz w:val="22"/>
                <w:szCs w:val="22"/>
              </w:rPr>
              <w:t xml:space="preserve">Quarter </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E663" w14:textId="77777777" w:rsidR="0045036B" w:rsidRPr="003060FE" w:rsidRDefault="0045036B" w:rsidP="0045036B">
            <w:pPr>
              <w:shd w:val="clear" w:color="auto" w:fill="FFFFFF"/>
              <w:spacing w:before="60" w:after="60"/>
              <w:jc w:val="both"/>
              <w:rPr>
                <w:rFonts w:ascii="Arial" w:hAnsi="Arial" w:cs="Arial"/>
                <w:b/>
                <w:sz w:val="22"/>
                <w:szCs w:val="22"/>
              </w:rPr>
            </w:pPr>
            <w:r w:rsidRPr="003060FE">
              <w:rPr>
                <w:rFonts w:ascii="Arial" w:hAnsi="Arial" w:cs="Arial"/>
                <w:b/>
                <w:sz w:val="22"/>
                <w:szCs w:val="22"/>
              </w:rPr>
              <w:t>For the time period</w:t>
            </w:r>
          </w:p>
        </w:tc>
      </w:tr>
      <w:tr w:rsidR="0045036B" w:rsidRPr="003060FE" w14:paraId="3EF43107" w14:textId="77777777" w:rsidTr="0045036B">
        <w:trPr>
          <w:jc w:val="center"/>
        </w:trPr>
        <w:tc>
          <w:tcPr>
            <w:tcW w:w="1143" w:type="dxa"/>
            <w:tcBorders>
              <w:top w:val="single" w:sz="4" w:space="0" w:color="auto"/>
              <w:left w:val="single" w:sz="4" w:space="0" w:color="auto"/>
              <w:bottom w:val="single" w:sz="4" w:space="0" w:color="auto"/>
              <w:right w:val="single" w:sz="4" w:space="0" w:color="auto"/>
            </w:tcBorders>
            <w:hideMark/>
          </w:tcPr>
          <w:p w14:paraId="2FDA21FD"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1 </w:t>
            </w:r>
          </w:p>
        </w:tc>
        <w:tc>
          <w:tcPr>
            <w:tcW w:w="5108" w:type="dxa"/>
            <w:tcBorders>
              <w:top w:val="single" w:sz="4" w:space="0" w:color="auto"/>
              <w:left w:val="single" w:sz="4" w:space="0" w:color="auto"/>
              <w:bottom w:val="single" w:sz="4" w:space="0" w:color="auto"/>
              <w:right w:val="single" w:sz="4" w:space="0" w:color="auto"/>
            </w:tcBorders>
            <w:hideMark/>
          </w:tcPr>
          <w:p w14:paraId="5E56B1E9"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1 July  – 30 September </w:t>
            </w:r>
          </w:p>
        </w:tc>
      </w:tr>
      <w:tr w:rsidR="0045036B" w:rsidRPr="003060FE" w14:paraId="644E5863" w14:textId="77777777" w:rsidTr="0045036B">
        <w:trPr>
          <w:jc w:val="center"/>
        </w:trPr>
        <w:tc>
          <w:tcPr>
            <w:tcW w:w="1143" w:type="dxa"/>
            <w:tcBorders>
              <w:top w:val="single" w:sz="4" w:space="0" w:color="auto"/>
              <w:left w:val="single" w:sz="4" w:space="0" w:color="auto"/>
              <w:bottom w:val="single" w:sz="4" w:space="0" w:color="auto"/>
              <w:right w:val="single" w:sz="4" w:space="0" w:color="auto"/>
            </w:tcBorders>
            <w:hideMark/>
          </w:tcPr>
          <w:p w14:paraId="3909BD46"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2 </w:t>
            </w:r>
          </w:p>
        </w:tc>
        <w:tc>
          <w:tcPr>
            <w:tcW w:w="5108" w:type="dxa"/>
            <w:tcBorders>
              <w:top w:val="single" w:sz="4" w:space="0" w:color="auto"/>
              <w:left w:val="single" w:sz="4" w:space="0" w:color="auto"/>
              <w:bottom w:val="single" w:sz="4" w:space="0" w:color="auto"/>
              <w:right w:val="single" w:sz="4" w:space="0" w:color="auto"/>
            </w:tcBorders>
            <w:hideMark/>
          </w:tcPr>
          <w:p w14:paraId="45AEF734"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1 October  – 31 December </w:t>
            </w:r>
          </w:p>
        </w:tc>
      </w:tr>
      <w:tr w:rsidR="0045036B" w:rsidRPr="003060FE" w14:paraId="6E697E61" w14:textId="77777777" w:rsidTr="0045036B">
        <w:trPr>
          <w:jc w:val="center"/>
        </w:trPr>
        <w:tc>
          <w:tcPr>
            <w:tcW w:w="1143" w:type="dxa"/>
            <w:tcBorders>
              <w:top w:val="single" w:sz="4" w:space="0" w:color="auto"/>
              <w:left w:val="single" w:sz="4" w:space="0" w:color="auto"/>
              <w:bottom w:val="single" w:sz="4" w:space="0" w:color="auto"/>
              <w:right w:val="single" w:sz="4" w:space="0" w:color="auto"/>
            </w:tcBorders>
            <w:hideMark/>
          </w:tcPr>
          <w:p w14:paraId="2CA1A748"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3 </w:t>
            </w:r>
          </w:p>
        </w:tc>
        <w:tc>
          <w:tcPr>
            <w:tcW w:w="5108" w:type="dxa"/>
            <w:tcBorders>
              <w:top w:val="single" w:sz="4" w:space="0" w:color="auto"/>
              <w:left w:val="single" w:sz="4" w:space="0" w:color="auto"/>
              <w:bottom w:val="single" w:sz="4" w:space="0" w:color="auto"/>
              <w:right w:val="single" w:sz="4" w:space="0" w:color="auto"/>
            </w:tcBorders>
            <w:hideMark/>
          </w:tcPr>
          <w:p w14:paraId="509B3C6A"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1 January  – 31 March </w:t>
            </w:r>
          </w:p>
        </w:tc>
      </w:tr>
      <w:tr w:rsidR="0045036B" w:rsidRPr="003060FE" w14:paraId="477AA23E" w14:textId="77777777" w:rsidTr="0045036B">
        <w:trPr>
          <w:jc w:val="center"/>
        </w:trPr>
        <w:tc>
          <w:tcPr>
            <w:tcW w:w="1143" w:type="dxa"/>
            <w:tcBorders>
              <w:top w:val="single" w:sz="4" w:space="0" w:color="auto"/>
              <w:left w:val="single" w:sz="4" w:space="0" w:color="auto"/>
              <w:bottom w:val="single" w:sz="4" w:space="0" w:color="auto"/>
              <w:right w:val="single" w:sz="4" w:space="0" w:color="auto"/>
            </w:tcBorders>
            <w:hideMark/>
          </w:tcPr>
          <w:p w14:paraId="60224134"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4  </w:t>
            </w:r>
          </w:p>
        </w:tc>
        <w:tc>
          <w:tcPr>
            <w:tcW w:w="5108" w:type="dxa"/>
            <w:tcBorders>
              <w:top w:val="single" w:sz="4" w:space="0" w:color="auto"/>
              <w:left w:val="single" w:sz="4" w:space="0" w:color="auto"/>
              <w:bottom w:val="single" w:sz="4" w:space="0" w:color="auto"/>
              <w:right w:val="single" w:sz="4" w:space="0" w:color="auto"/>
            </w:tcBorders>
            <w:hideMark/>
          </w:tcPr>
          <w:p w14:paraId="1D2C4C5F" w14:textId="77777777" w:rsidR="0045036B" w:rsidRPr="003060FE" w:rsidRDefault="0045036B" w:rsidP="0045036B">
            <w:pPr>
              <w:shd w:val="clear" w:color="auto" w:fill="FFFFFF"/>
              <w:spacing w:before="60" w:after="60"/>
              <w:jc w:val="both"/>
              <w:rPr>
                <w:rFonts w:ascii="Arial" w:hAnsi="Arial" w:cs="Arial"/>
                <w:sz w:val="22"/>
                <w:szCs w:val="22"/>
              </w:rPr>
            </w:pPr>
            <w:r w:rsidRPr="003060FE">
              <w:rPr>
                <w:rFonts w:ascii="Arial" w:hAnsi="Arial" w:cs="Arial"/>
                <w:sz w:val="22"/>
                <w:szCs w:val="22"/>
              </w:rPr>
              <w:t xml:space="preserve">1 April 13 – 30 June </w:t>
            </w:r>
          </w:p>
        </w:tc>
      </w:tr>
    </w:tbl>
    <w:p w14:paraId="46AEF42C" w14:textId="77777777" w:rsidR="0045036B" w:rsidRDefault="0045036B" w:rsidP="0045036B">
      <w:pPr>
        <w:rPr>
          <w:rFonts w:ascii="Arial" w:hAnsi="Arial" w:cs="Arial"/>
          <w:b/>
          <w:sz w:val="22"/>
          <w:szCs w:val="22"/>
          <w:lang w:eastAsia="en-GB"/>
        </w:rPr>
      </w:pPr>
    </w:p>
    <w:p w14:paraId="40DA190C" w14:textId="77777777" w:rsidR="0045036B" w:rsidRDefault="0045036B" w:rsidP="0045036B">
      <w:pPr>
        <w:rPr>
          <w:rFonts w:ascii="Arial" w:hAnsi="Arial" w:cs="Arial"/>
          <w:b/>
          <w:sz w:val="22"/>
          <w:szCs w:val="22"/>
          <w:lang w:eastAsia="en-GB"/>
        </w:rPr>
      </w:pPr>
      <w:r>
        <w:rPr>
          <w:rFonts w:ascii="Arial" w:hAnsi="Arial" w:cs="Arial"/>
          <w:b/>
          <w:sz w:val="22"/>
          <w:szCs w:val="22"/>
          <w:lang w:eastAsia="en-GB"/>
        </w:rPr>
        <w:br w:type="page"/>
      </w:r>
    </w:p>
    <w:p w14:paraId="572B3EA9" w14:textId="77777777" w:rsidR="00F61E9C" w:rsidRPr="00050AE3" w:rsidRDefault="00F61E9C" w:rsidP="00F61E9C">
      <w:pPr>
        <w:spacing w:before="60" w:after="120"/>
        <w:jc w:val="both"/>
        <w:rPr>
          <w:rFonts w:ascii="Arial" w:hAnsi="Arial" w:cs="Arial"/>
          <w:b/>
          <w:i/>
        </w:rPr>
      </w:pPr>
      <w:bookmarkStart w:id="535" w:name="_Toc4588574"/>
      <w:bookmarkStart w:id="536" w:name="_Toc4588717"/>
      <w:bookmarkStart w:id="537" w:name="_Toc9592043"/>
      <w:bookmarkStart w:id="538" w:name="_Toc308686900"/>
      <w:bookmarkStart w:id="539" w:name="_Toc309040659"/>
      <w:r w:rsidRPr="00050AE3">
        <w:rPr>
          <w:rFonts w:ascii="Arial" w:hAnsi="Arial" w:cs="Arial"/>
          <w:b/>
          <w:i/>
        </w:rPr>
        <w:lastRenderedPageBreak/>
        <w:t>Outcome priority:  We have equity for M</w:t>
      </w:r>
      <w:r>
        <w:rPr>
          <w:rFonts w:ascii="Arial" w:hAnsi="Arial" w:cs="Arial"/>
          <w:b/>
          <w:i/>
        </w:rPr>
        <w:t>ā</w:t>
      </w:r>
      <w:r w:rsidRPr="00050AE3">
        <w:rPr>
          <w:rFonts w:ascii="Arial" w:hAnsi="Arial" w:cs="Arial"/>
          <w:b/>
          <w:i/>
        </w:rPr>
        <w:t xml:space="preserve">ori and other groups </w:t>
      </w:r>
    </w:p>
    <w:p w14:paraId="310FB4A9" w14:textId="77777777" w:rsidR="00F61E9C" w:rsidRPr="00050AE3" w:rsidRDefault="00F61E9C" w:rsidP="00F61E9C">
      <w:pPr>
        <w:keepNext/>
        <w:shd w:val="clear" w:color="auto" w:fill="FFFFFF"/>
        <w:spacing w:before="60" w:after="60"/>
        <w:jc w:val="both"/>
        <w:outlineLvl w:val="0"/>
        <w:rPr>
          <w:rFonts w:ascii="Arial" w:hAnsi="Arial" w:cs="Arial"/>
          <w:b/>
          <w:bCs/>
          <w:i/>
          <w:kern w:val="32"/>
          <w:sz w:val="28"/>
          <w:szCs w:val="28"/>
        </w:rPr>
      </w:pPr>
      <w:bookmarkStart w:id="540" w:name="_Toc491938857"/>
      <w:bookmarkStart w:id="541" w:name="_Toc513555938"/>
      <w:bookmarkStart w:id="542" w:name="_Toc4588572"/>
      <w:bookmarkStart w:id="543" w:name="_Toc9592041"/>
      <w:r w:rsidRPr="00050AE3">
        <w:rPr>
          <w:rFonts w:ascii="Arial" w:hAnsi="Arial" w:cs="Arial"/>
          <w:b/>
          <w:bCs/>
          <w:i/>
          <w:kern w:val="32"/>
          <w:sz w:val="28"/>
          <w:szCs w:val="28"/>
        </w:rPr>
        <w:t>Better population health outcomes supported by primary health care PH02: Improving the quality of ethnicity data collection in PHO and NHI registers</w:t>
      </w:r>
      <w:bookmarkEnd w:id="540"/>
      <w:bookmarkEnd w:id="541"/>
      <w:bookmarkEnd w:id="542"/>
      <w:bookmarkEnd w:id="543"/>
    </w:p>
    <w:p w14:paraId="07796EE9" w14:textId="77777777" w:rsidR="00F61E9C" w:rsidRPr="00050AE3" w:rsidRDefault="00F61E9C" w:rsidP="00F61E9C">
      <w:pPr>
        <w:rPr>
          <w:i/>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209"/>
        <w:gridCol w:w="1021"/>
      </w:tblGrid>
      <w:tr w:rsidR="00F61E9C" w:rsidRPr="00050AE3" w14:paraId="22B2C2B2" w14:textId="77777777" w:rsidTr="000A54FC">
        <w:tc>
          <w:tcPr>
            <w:tcW w:w="10094" w:type="dxa"/>
            <w:gridSpan w:val="3"/>
            <w:shd w:val="clear" w:color="auto" w:fill="D9D9D9"/>
          </w:tcPr>
          <w:p w14:paraId="58A08FA0" w14:textId="77777777" w:rsidR="00F61E9C" w:rsidRPr="00050AE3" w:rsidRDefault="00F61E9C" w:rsidP="000A54FC">
            <w:pPr>
              <w:shd w:val="clear" w:color="auto" w:fill="FFFFFF"/>
              <w:spacing w:before="60" w:after="60"/>
              <w:jc w:val="center"/>
              <w:rPr>
                <w:rFonts w:ascii="Arial" w:hAnsi="Arial" w:cs="Arial"/>
                <w:b/>
              </w:rPr>
            </w:pPr>
            <w:r w:rsidRPr="00050AE3">
              <w:rPr>
                <w:rFonts w:ascii="Arial" w:hAnsi="Arial" w:cs="Arial"/>
                <w:b/>
              </w:rPr>
              <w:t>Summary information</w:t>
            </w:r>
          </w:p>
        </w:tc>
      </w:tr>
      <w:tr w:rsidR="00F61E9C" w:rsidRPr="00050AE3" w14:paraId="11C4EC64" w14:textId="77777777" w:rsidTr="000A54FC">
        <w:tc>
          <w:tcPr>
            <w:tcW w:w="2864" w:type="dxa"/>
            <w:shd w:val="clear" w:color="auto" w:fill="auto"/>
          </w:tcPr>
          <w:p w14:paraId="3EE3EAC6" w14:textId="77777777" w:rsidR="00F61E9C" w:rsidRPr="00050AE3" w:rsidRDefault="00F61E9C" w:rsidP="000A54FC">
            <w:pPr>
              <w:shd w:val="clear" w:color="auto" w:fill="FFFFFF"/>
              <w:spacing w:before="60" w:after="60"/>
              <w:rPr>
                <w:rFonts w:ascii="Arial" w:hAnsi="Arial" w:cs="Arial"/>
                <w:b/>
                <w:i/>
                <w:sz w:val="20"/>
                <w:szCs w:val="20"/>
              </w:rPr>
            </w:pPr>
            <w:r w:rsidRPr="00050AE3">
              <w:rPr>
                <w:rFonts w:ascii="Arial" w:hAnsi="Arial" w:cs="Arial"/>
                <w:b/>
                <w:i/>
                <w:sz w:val="20"/>
                <w:szCs w:val="20"/>
              </w:rPr>
              <w:t>Target/performance expectation</w:t>
            </w:r>
          </w:p>
        </w:tc>
        <w:tc>
          <w:tcPr>
            <w:tcW w:w="7230" w:type="dxa"/>
            <w:gridSpan w:val="2"/>
            <w:shd w:val="clear" w:color="auto" w:fill="auto"/>
          </w:tcPr>
          <w:p w14:paraId="48B28C0A" w14:textId="77777777" w:rsidR="00F61E9C" w:rsidRPr="00050AE3" w:rsidRDefault="00F61E9C" w:rsidP="000A54FC">
            <w:pPr>
              <w:shd w:val="clear" w:color="auto" w:fill="FFFFFF"/>
              <w:spacing w:before="60" w:after="60"/>
              <w:jc w:val="both"/>
              <w:rPr>
                <w:rFonts w:ascii="Arial" w:hAnsi="Arial" w:cs="Arial"/>
                <w:sz w:val="20"/>
                <w:szCs w:val="20"/>
              </w:rPr>
            </w:pPr>
            <w:r w:rsidRPr="00463776">
              <w:rPr>
                <w:rFonts w:ascii="Arial" w:hAnsi="Arial" w:cs="Arial"/>
                <w:sz w:val="18"/>
                <w:szCs w:val="18"/>
              </w:rPr>
              <w:t>Agreed in DHB Annual Plan</w:t>
            </w:r>
          </w:p>
          <w:p w14:paraId="04B33ADF" w14:textId="77777777" w:rsidR="00F61E9C" w:rsidRPr="00050AE3" w:rsidRDefault="00F61E9C" w:rsidP="000A54FC">
            <w:pPr>
              <w:shd w:val="clear" w:color="auto" w:fill="FFFFFF"/>
              <w:spacing w:before="60" w:after="60"/>
              <w:contextualSpacing/>
              <w:jc w:val="both"/>
              <w:rPr>
                <w:rFonts w:ascii="Arial" w:hAnsi="Arial" w:cs="Arial"/>
                <w:sz w:val="18"/>
                <w:szCs w:val="18"/>
              </w:rPr>
            </w:pPr>
          </w:p>
          <w:p w14:paraId="6AE62B51" w14:textId="77777777" w:rsidR="00F61E9C" w:rsidRPr="00463776" w:rsidRDefault="00F61E9C" w:rsidP="000A54FC">
            <w:pPr>
              <w:shd w:val="clear" w:color="auto" w:fill="FFFFFF"/>
              <w:spacing w:before="60" w:after="60"/>
              <w:jc w:val="both"/>
              <w:rPr>
                <w:rFonts w:ascii="Arial" w:hAnsi="Arial" w:cs="Arial"/>
                <w:sz w:val="18"/>
                <w:szCs w:val="18"/>
              </w:rPr>
            </w:pPr>
            <w:r w:rsidRPr="00463776">
              <w:rPr>
                <w:rFonts w:ascii="Arial" w:hAnsi="Arial" w:cs="Arial"/>
                <w:sz w:val="18"/>
                <w:szCs w:val="18"/>
              </w:rPr>
              <w:t xml:space="preserve">All PHOs have implemented the EDAT Toolkit </w:t>
            </w:r>
          </w:p>
          <w:p w14:paraId="1B18A602" w14:textId="77777777" w:rsidR="00F61E9C" w:rsidRPr="00463776" w:rsidRDefault="00F61E9C" w:rsidP="00C04FF1">
            <w:pPr>
              <w:pStyle w:val="ListParagraph"/>
              <w:numPr>
                <w:ilvl w:val="0"/>
                <w:numId w:val="126"/>
              </w:numPr>
              <w:spacing w:after="160" w:line="259" w:lineRule="auto"/>
              <w:rPr>
                <w:rFonts w:ascii="Arial" w:hAnsi="Arial" w:cs="Arial"/>
                <w:sz w:val="18"/>
                <w:szCs w:val="18"/>
              </w:rPr>
            </w:pPr>
            <w:r w:rsidRPr="00463776">
              <w:rPr>
                <w:rFonts w:ascii="Arial" w:hAnsi="Arial" w:cs="Arial"/>
                <w:sz w:val="18"/>
                <w:szCs w:val="18"/>
              </w:rPr>
              <w:t xml:space="preserve">Undertake all three stages of the audit process from EDAT every three years to ensure high quality ethnicity data is collected and maintained </w:t>
            </w:r>
          </w:p>
          <w:p w14:paraId="1BA55DA4" w14:textId="77777777" w:rsidR="00F61E9C" w:rsidRPr="00463776" w:rsidRDefault="00F61E9C" w:rsidP="00C04FF1">
            <w:pPr>
              <w:pStyle w:val="ListParagraph"/>
              <w:numPr>
                <w:ilvl w:val="0"/>
                <w:numId w:val="126"/>
              </w:numPr>
              <w:spacing w:after="160" w:line="259" w:lineRule="auto"/>
              <w:rPr>
                <w:rFonts w:ascii="Arial" w:hAnsi="Arial" w:cs="Arial"/>
                <w:sz w:val="18"/>
                <w:szCs w:val="18"/>
              </w:rPr>
            </w:pPr>
            <w:r w:rsidRPr="00463776">
              <w:rPr>
                <w:rFonts w:ascii="Arial" w:hAnsi="Arial" w:cs="Arial"/>
                <w:sz w:val="18"/>
                <w:szCs w:val="18"/>
              </w:rPr>
              <w:t xml:space="preserve">Outline processes and approaches to reviewing and correcting errors identified in </w:t>
            </w:r>
            <w:r>
              <w:rPr>
                <w:rFonts w:ascii="Arial" w:hAnsi="Arial" w:cs="Arial"/>
                <w:sz w:val="18"/>
                <w:szCs w:val="18"/>
              </w:rPr>
              <w:t xml:space="preserve">the </w:t>
            </w:r>
            <w:r w:rsidRPr="00463776">
              <w:rPr>
                <w:rFonts w:ascii="Arial" w:hAnsi="Arial" w:cs="Arial"/>
                <w:sz w:val="18"/>
                <w:szCs w:val="18"/>
              </w:rPr>
              <w:t xml:space="preserve">quality of ethnicity data collected </w:t>
            </w:r>
          </w:p>
          <w:p w14:paraId="320617EC" w14:textId="77777777" w:rsidR="00F61E9C" w:rsidRPr="00463776" w:rsidRDefault="00F61E9C" w:rsidP="00C04FF1">
            <w:pPr>
              <w:pStyle w:val="ListParagraph"/>
              <w:numPr>
                <w:ilvl w:val="0"/>
                <w:numId w:val="126"/>
              </w:numPr>
              <w:spacing w:after="160" w:line="259" w:lineRule="auto"/>
              <w:rPr>
                <w:rFonts w:ascii="Arial" w:hAnsi="Arial" w:cs="Arial"/>
                <w:sz w:val="18"/>
                <w:szCs w:val="18"/>
              </w:rPr>
            </w:pPr>
            <w:r w:rsidRPr="00463776">
              <w:rPr>
                <w:rFonts w:ascii="Arial" w:hAnsi="Arial" w:cs="Arial"/>
                <w:sz w:val="18"/>
                <w:szCs w:val="18"/>
              </w:rPr>
              <w:t xml:space="preserve">Undertake quality improvement activities and repeat any relevant stages of the audit within 12 months where issues are identified </w:t>
            </w:r>
          </w:p>
          <w:p w14:paraId="2ED08D2E" w14:textId="77777777" w:rsidR="00F61E9C" w:rsidRPr="0046453A" w:rsidRDefault="00F61E9C" w:rsidP="00C04FF1">
            <w:pPr>
              <w:pStyle w:val="ListParagraph"/>
              <w:numPr>
                <w:ilvl w:val="0"/>
                <w:numId w:val="126"/>
              </w:numPr>
              <w:spacing w:after="160" w:line="259" w:lineRule="auto"/>
              <w:rPr>
                <w:rFonts w:ascii="Arial" w:hAnsi="Arial" w:cs="Arial"/>
                <w:b/>
                <w:i/>
                <w:sz w:val="20"/>
                <w:szCs w:val="20"/>
              </w:rPr>
            </w:pPr>
            <w:r w:rsidRPr="00463776">
              <w:rPr>
                <w:rFonts w:ascii="Arial" w:hAnsi="Arial" w:cs="Arial"/>
                <w:sz w:val="18"/>
                <w:szCs w:val="18"/>
              </w:rPr>
              <w:t xml:space="preserve">Provide six-monthly reports containing information </w:t>
            </w:r>
            <w:r>
              <w:rPr>
                <w:rFonts w:ascii="Arial" w:hAnsi="Arial" w:cs="Arial"/>
                <w:sz w:val="18"/>
                <w:szCs w:val="18"/>
              </w:rPr>
              <w:t>as outlined in D</w:t>
            </w:r>
            <w:r w:rsidRPr="00463776">
              <w:rPr>
                <w:rFonts w:ascii="Arial" w:hAnsi="Arial" w:cs="Arial"/>
                <w:sz w:val="18"/>
                <w:szCs w:val="18"/>
              </w:rPr>
              <w:t>eliverables definition</w:t>
            </w:r>
            <w:r>
              <w:rPr>
                <w:rFonts w:ascii="Arial" w:hAnsi="Arial" w:cs="Arial"/>
                <w:sz w:val="18"/>
                <w:szCs w:val="18"/>
              </w:rPr>
              <w:t>s</w:t>
            </w:r>
          </w:p>
        </w:tc>
      </w:tr>
      <w:tr w:rsidR="00F61E9C" w:rsidRPr="00050AE3" w14:paraId="4A388B24" w14:textId="77777777" w:rsidTr="000A54FC">
        <w:trPr>
          <w:trHeight w:val="493"/>
        </w:trPr>
        <w:tc>
          <w:tcPr>
            <w:tcW w:w="2864" w:type="dxa"/>
            <w:shd w:val="clear" w:color="auto" w:fill="auto"/>
          </w:tcPr>
          <w:p w14:paraId="4AAD612A" w14:textId="77777777" w:rsidR="00F61E9C" w:rsidRPr="00050AE3" w:rsidRDefault="00F61E9C" w:rsidP="000A54FC">
            <w:pPr>
              <w:shd w:val="clear" w:color="auto" w:fill="FFFFFF"/>
              <w:spacing w:before="60" w:after="60"/>
              <w:rPr>
                <w:rFonts w:ascii="Arial" w:hAnsi="Arial" w:cs="Arial"/>
                <w:b/>
                <w:i/>
                <w:sz w:val="20"/>
                <w:szCs w:val="20"/>
              </w:rPr>
            </w:pPr>
            <w:r w:rsidRPr="00050AE3">
              <w:rPr>
                <w:rFonts w:ascii="Arial" w:hAnsi="Arial" w:cs="Arial"/>
                <w:b/>
                <w:i/>
                <w:sz w:val="20"/>
                <w:szCs w:val="20"/>
              </w:rPr>
              <w:t>Reporting frequency</w:t>
            </w:r>
          </w:p>
        </w:tc>
        <w:tc>
          <w:tcPr>
            <w:tcW w:w="7230" w:type="dxa"/>
            <w:gridSpan w:val="2"/>
            <w:shd w:val="clear" w:color="auto" w:fill="auto"/>
          </w:tcPr>
          <w:p w14:paraId="787561DE" w14:textId="77777777" w:rsidR="00F61E9C" w:rsidRPr="00050AE3" w:rsidRDefault="00F61E9C" w:rsidP="000A54FC">
            <w:pPr>
              <w:shd w:val="clear" w:color="auto" w:fill="FFFFFF"/>
              <w:spacing w:before="60" w:after="60"/>
              <w:jc w:val="both"/>
              <w:rPr>
                <w:rFonts w:ascii="Arial" w:hAnsi="Arial" w:cs="Arial"/>
                <w:sz w:val="20"/>
                <w:szCs w:val="20"/>
              </w:rPr>
            </w:pPr>
            <w:r w:rsidRPr="00050AE3">
              <w:rPr>
                <w:rFonts w:ascii="Arial" w:hAnsi="Arial" w:cs="Arial"/>
                <w:sz w:val="20"/>
                <w:szCs w:val="20"/>
              </w:rPr>
              <w:t>Six monthly (quarters</w:t>
            </w:r>
            <w:r>
              <w:rPr>
                <w:rFonts w:ascii="Arial" w:hAnsi="Arial" w:cs="Arial"/>
                <w:sz w:val="20"/>
                <w:szCs w:val="20"/>
              </w:rPr>
              <w:t xml:space="preserve"> </w:t>
            </w:r>
            <w:r w:rsidRPr="00050AE3">
              <w:rPr>
                <w:rFonts w:ascii="Arial" w:hAnsi="Arial" w:cs="Arial"/>
                <w:sz w:val="20"/>
                <w:szCs w:val="20"/>
              </w:rPr>
              <w:t xml:space="preserve">2 and 4) </w:t>
            </w:r>
          </w:p>
        </w:tc>
      </w:tr>
      <w:tr w:rsidR="00F61E9C" w:rsidRPr="00050AE3" w14:paraId="34A5580B" w14:textId="77777777" w:rsidTr="000A54FC">
        <w:tc>
          <w:tcPr>
            <w:tcW w:w="2864" w:type="dxa"/>
            <w:shd w:val="clear" w:color="auto" w:fill="auto"/>
          </w:tcPr>
          <w:p w14:paraId="763EC9E7" w14:textId="77777777" w:rsidR="00F61E9C" w:rsidRPr="00050AE3" w:rsidRDefault="00F61E9C" w:rsidP="000A54FC">
            <w:pPr>
              <w:shd w:val="clear" w:color="auto" w:fill="FFFFFF"/>
              <w:spacing w:before="60" w:after="60"/>
              <w:rPr>
                <w:rFonts w:ascii="Arial" w:hAnsi="Arial" w:cs="Arial"/>
                <w:b/>
                <w:i/>
                <w:sz w:val="20"/>
                <w:szCs w:val="20"/>
              </w:rPr>
            </w:pPr>
            <w:r w:rsidRPr="00050AE3">
              <w:rPr>
                <w:rFonts w:ascii="Arial" w:hAnsi="Arial" w:cs="Arial"/>
                <w:b/>
                <w:i/>
                <w:sz w:val="20"/>
                <w:szCs w:val="20"/>
              </w:rPr>
              <w:t>Source information for reporting provided by:</w:t>
            </w:r>
          </w:p>
        </w:tc>
        <w:tc>
          <w:tcPr>
            <w:tcW w:w="7230" w:type="dxa"/>
            <w:gridSpan w:val="2"/>
            <w:shd w:val="clear" w:color="auto" w:fill="auto"/>
          </w:tcPr>
          <w:p w14:paraId="61D49D59" w14:textId="77777777" w:rsidR="00F61E9C" w:rsidRPr="00050AE3" w:rsidRDefault="00F61E9C" w:rsidP="000A54FC">
            <w:pPr>
              <w:shd w:val="clear" w:color="auto" w:fill="FFFFFF"/>
              <w:spacing w:before="60" w:after="60"/>
              <w:rPr>
                <w:rFonts w:ascii="Arial" w:hAnsi="Arial" w:cs="Arial"/>
                <w:i/>
                <w:sz w:val="20"/>
                <w:szCs w:val="20"/>
              </w:rPr>
            </w:pPr>
            <w:r w:rsidRPr="00D225B7">
              <w:rPr>
                <w:rFonts w:ascii="Arial" w:hAnsi="Arial" w:cs="Arial"/>
                <w:i/>
                <w:sz w:val="20"/>
                <w:szCs w:val="20"/>
              </w:rPr>
              <w:t xml:space="preserve">DHBs to provide data and reports as indicated </w:t>
            </w:r>
          </w:p>
        </w:tc>
      </w:tr>
      <w:tr w:rsidR="00F61E9C" w:rsidRPr="00050AE3" w14:paraId="38B06864" w14:textId="77777777" w:rsidTr="000A54FC">
        <w:trPr>
          <w:trHeight w:val="2182"/>
        </w:trPr>
        <w:tc>
          <w:tcPr>
            <w:tcW w:w="2864" w:type="dxa"/>
            <w:shd w:val="clear" w:color="auto" w:fill="auto"/>
          </w:tcPr>
          <w:p w14:paraId="462F6960" w14:textId="77777777" w:rsidR="00F61E9C" w:rsidRPr="00050AE3" w:rsidRDefault="00F61E9C" w:rsidP="000A54FC">
            <w:pPr>
              <w:shd w:val="clear" w:color="auto" w:fill="FFFFFF"/>
              <w:spacing w:before="60" w:after="60"/>
              <w:rPr>
                <w:rFonts w:ascii="Arial" w:hAnsi="Arial" w:cs="Arial"/>
                <w:b/>
                <w:i/>
                <w:sz w:val="20"/>
                <w:szCs w:val="20"/>
              </w:rPr>
            </w:pPr>
            <w:r w:rsidRPr="00050AE3">
              <w:rPr>
                <w:rFonts w:ascii="Arial" w:hAnsi="Arial" w:cs="Arial"/>
                <w:b/>
                <w:i/>
                <w:sz w:val="20"/>
                <w:szCs w:val="20"/>
              </w:rPr>
              <w:t>Quarterly reporting  - standard timeline applies</w:t>
            </w:r>
          </w:p>
        </w:tc>
        <w:tc>
          <w:tcPr>
            <w:tcW w:w="7230" w:type="dxa"/>
            <w:gridSpan w:val="2"/>
            <w:shd w:val="clear" w:color="auto" w:fill="auto"/>
          </w:tcPr>
          <w:p w14:paraId="23EA5760" w14:textId="77777777" w:rsidR="00F61E9C" w:rsidRPr="00050AE3" w:rsidRDefault="00F61E9C" w:rsidP="000A54FC">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F61E9C" w:rsidRPr="00050AE3" w14:paraId="7CC9E044"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6CCFF"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34BA6"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20th of the month following the end of the quarter</w:t>
                  </w:r>
                </w:p>
              </w:tc>
            </w:tr>
            <w:tr w:rsidR="00F61E9C" w:rsidRPr="00050AE3" w14:paraId="5F50BDBE"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D7D0C"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2861"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8-10 working days from receiving reports</w:t>
                  </w:r>
                </w:p>
              </w:tc>
            </w:tr>
            <w:tr w:rsidR="00F61E9C" w:rsidRPr="00050AE3" w14:paraId="508BE851"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C1E2E"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A3BB"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5 working days from receiving initial ratings</w:t>
                  </w:r>
                </w:p>
              </w:tc>
            </w:tr>
            <w:tr w:rsidR="00F61E9C" w:rsidRPr="00050AE3" w14:paraId="6B141FC0"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C4BC9"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2820" w14:textId="77777777" w:rsidR="00F61E9C" w:rsidRPr="00050AE3" w:rsidRDefault="00F61E9C" w:rsidP="000A54FC">
                  <w:pPr>
                    <w:ind w:left="205" w:hanging="205"/>
                    <w:rPr>
                      <w:rFonts w:ascii="Calibri" w:hAnsi="Calibri"/>
                      <w:sz w:val="20"/>
                      <w:szCs w:val="20"/>
                    </w:rPr>
                  </w:pPr>
                  <w:r w:rsidRPr="00050AE3">
                    <w:rPr>
                      <w:rFonts w:ascii="Calibri" w:hAnsi="Calibri"/>
                      <w:sz w:val="20"/>
                      <w:szCs w:val="20"/>
                    </w:rPr>
                    <w:t>4-5 working days from receiving DHB feedback</w:t>
                  </w:r>
                </w:p>
              </w:tc>
            </w:tr>
          </w:tbl>
          <w:p w14:paraId="7E12F791" w14:textId="77777777" w:rsidR="00F61E9C" w:rsidRPr="00050AE3" w:rsidRDefault="00F61E9C" w:rsidP="000A54FC">
            <w:pPr>
              <w:shd w:val="clear" w:color="auto" w:fill="FFFFFF"/>
              <w:spacing w:before="60" w:after="60"/>
              <w:jc w:val="both"/>
              <w:rPr>
                <w:rFonts w:ascii="Arial" w:hAnsi="Arial" w:cs="Arial"/>
                <w:i/>
                <w:sz w:val="16"/>
                <w:szCs w:val="16"/>
              </w:rPr>
            </w:pPr>
          </w:p>
        </w:tc>
      </w:tr>
      <w:tr w:rsidR="00F61E9C" w:rsidRPr="00050AE3" w14:paraId="1EC85664" w14:textId="77777777" w:rsidTr="000A54FC">
        <w:tc>
          <w:tcPr>
            <w:tcW w:w="9073" w:type="dxa"/>
            <w:gridSpan w:val="2"/>
            <w:tcBorders>
              <w:right w:val="nil"/>
            </w:tcBorders>
          </w:tcPr>
          <w:p w14:paraId="62A1A1C3" w14:textId="77777777" w:rsidR="00F61E9C" w:rsidRPr="00050AE3" w:rsidRDefault="00F61E9C" w:rsidP="000A54FC">
            <w:pPr>
              <w:shd w:val="clear" w:color="auto" w:fill="FFFFFF"/>
              <w:spacing w:before="60" w:after="60"/>
              <w:jc w:val="both"/>
              <w:rPr>
                <w:rFonts w:ascii="Arial" w:hAnsi="Arial" w:cs="Arial"/>
                <w:sz w:val="18"/>
                <w:szCs w:val="18"/>
              </w:rPr>
            </w:pPr>
            <w:r w:rsidRPr="00050AE3">
              <w:rPr>
                <w:rFonts w:ascii="Arial" w:hAnsi="Arial" w:cs="Arial"/>
                <w:b/>
                <w:i/>
                <w:sz w:val="18"/>
                <w:szCs w:val="18"/>
              </w:rPr>
              <w:t>Linkages:</w:t>
            </w:r>
            <w:r w:rsidRPr="00050AE3">
              <w:rPr>
                <w:rFonts w:ascii="Arial" w:hAnsi="Arial" w:cs="Arial"/>
                <w:sz w:val="18"/>
                <w:szCs w:val="18"/>
              </w:rPr>
              <w:t xml:space="preserve"> This performance measure is also  linked to Tier 2 statistics available via Ministry website http://www.health.govt.nz/our-work/primary-health-care/about-primary-health-organisations/enrolment-primary-health-organisation</w:t>
            </w:r>
          </w:p>
        </w:tc>
        <w:tc>
          <w:tcPr>
            <w:tcW w:w="1021" w:type="dxa"/>
            <w:tcBorders>
              <w:left w:val="nil"/>
            </w:tcBorders>
            <w:vAlign w:val="center"/>
          </w:tcPr>
          <w:p w14:paraId="6DC7A315" w14:textId="77777777" w:rsidR="00F61E9C" w:rsidRPr="00050AE3" w:rsidRDefault="00F61E9C" w:rsidP="000A54FC">
            <w:pPr>
              <w:shd w:val="clear" w:color="auto" w:fill="FFFFFF"/>
              <w:spacing w:before="60" w:after="60"/>
              <w:jc w:val="center"/>
              <w:rPr>
                <w:rFonts w:ascii="Arial" w:hAnsi="Arial" w:cs="Arial"/>
                <w:i/>
                <w:sz w:val="18"/>
                <w:szCs w:val="18"/>
              </w:rPr>
            </w:pPr>
          </w:p>
        </w:tc>
      </w:tr>
    </w:tbl>
    <w:p w14:paraId="06A6F440" w14:textId="77777777" w:rsidR="00F61E9C" w:rsidRDefault="00F61E9C" w:rsidP="00F61E9C"/>
    <w:p w14:paraId="4DF4FE63" w14:textId="77777777" w:rsidR="00F61E9C" w:rsidRPr="006261AF" w:rsidRDefault="00F61E9C" w:rsidP="00F61E9C">
      <w:pPr>
        <w:shd w:val="clear" w:color="auto" w:fill="FFFFFF"/>
        <w:spacing w:before="60" w:after="60"/>
        <w:jc w:val="both"/>
        <w:rPr>
          <w:rFonts w:ascii="Arial" w:hAnsi="Arial" w:cs="Arial"/>
          <w:b/>
          <w:i/>
        </w:rPr>
      </w:pPr>
      <w:r w:rsidRPr="006261AF">
        <w:rPr>
          <w:rFonts w:ascii="Arial" w:hAnsi="Arial" w:cs="Arial"/>
          <w:b/>
        </w:rPr>
        <w:t>Link to outcomes and priority areas</w:t>
      </w:r>
    </w:p>
    <w:p w14:paraId="4ACFEC36" w14:textId="77777777" w:rsidR="00F61E9C" w:rsidRPr="006261AF" w:rsidRDefault="00F61E9C" w:rsidP="00F61E9C">
      <w:pPr>
        <w:spacing w:after="120" w:line="300" w:lineRule="auto"/>
        <w:rPr>
          <w:rFonts w:ascii="Arial" w:hAnsi="Arial" w:cs="Arial"/>
        </w:rPr>
      </w:pPr>
      <w:r w:rsidRPr="006261AF">
        <w:rPr>
          <w:rFonts w:ascii="Arial" w:hAnsi="Arial" w:cs="Arial"/>
        </w:rPr>
        <w:t xml:space="preserve">Delivery of this measure supports the vision for the New Zealand health and disability system of </w:t>
      </w:r>
      <w:proofErr w:type="spellStart"/>
      <w:r w:rsidRPr="006261AF">
        <w:rPr>
          <w:rFonts w:ascii="Arial" w:hAnsi="Arial" w:cs="Arial"/>
        </w:rPr>
        <w:t>Pae</w:t>
      </w:r>
      <w:proofErr w:type="spellEnd"/>
      <w:r w:rsidRPr="006261AF">
        <w:rPr>
          <w:rFonts w:ascii="Arial" w:hAnsi="Arial" w:cs="Arial"/>
        </w:rPr>
        <w:t xml:space="preserve"> Ora – healthy futures.</w:t>
      </w:r>
    </w:p>
    <w:p w14:paraId="25A5C210" w14:textId="77777777" w:rsidR="00F61E9C" w:rsidRPr="006261AF" w:rsidRDefault="00F61E9C" w:rsidP="00F61E9C">
      <w:pPr>
        <w:spacing w:before="60" w:after="60"/>
        <w:jc w:val="both"/>
        <w:rPr>
          <w:rFonts w:ascii="Arial" w:hAnsi="Arial" w:cs="Arial"/>
          <w:lang w:val="en-US"/>
        </w:rPr>
      </w:pPr>
      <w:r w:rsidRPr="006261AF">
        <w:rPr>
          <w:rFonts w:ascii="Arial" w:hAnsi="Arial" w:cs="Arial"/>
        </w:rPr>
        <w:t>By</w:t>
      </w:r>
      <w:r w:rsidRPr="006261AF">
        <w:rPr>
          <w:rFonts w:ascii="Arial" w:hAnsi="Arial" w:cs="Arial"/>
          <w:color w:val="000000"/>
        </w:rPr>
        <w:t xml:space="preserve"> improv</w:t>
      </w:r>
      <w:r>
        <w:rPr>
          <w:rFonts w:ascii="Arial" w:hAnsi="Arial" w:cs="Arial"/>
          <w:color w:val="000000"/>
        </w:rPr>
        <w:t>ing</w:t>
      </w:r>
      <w:r w:rsidRPr="006261AF">
        <w:rPr>
          <w:rFonts w:ascii="Arial" w:hAnsi="Arial" w:cs="Arial"/>
          <w:color w:val="000000"/>
        </w:rPr>
        <w:t xml:space="preserve"> </w:t>
      </w:r>
      <w:r>
        <w:rPr>
          <w:rFonts w:ascii="Arial" w:hAnsi="Arial" w:cs="Arial"/>
          <w:color w:val="000000"/>
        </w:rPr>
        <w:t xml:space="preserve">ethnicity </w:t>
      </w:r>
      <w:r w:rsidRPr="006261AF">
        <w:rPr>
          <w:rFonts w:ascii="Arial" w:hAnsi="Arial" w:cs="Arial"/>
          <w:color w:val="000000"/>
        </w:rPr>
        <w:t xml:space="preserve">data quality </w:t>
      </w:r>
      <w:r w:rsidRPr="006261AF">
        <w:rPr>
          <w:rFonts w:ascii="Arial" w:hAnsi="Arial" w:cs="Arial"/>
        </w:rPr>
        <w:t>in PHO and NHI registers</w:t>
      </w:r>
      <w:r>
        <w:rPr>
          <w:rFonts w:ascii="Arial" w:hAnsi="Arial" w:cs="Arial"/>
        </w:rPr>
        <w:t xml:space="preserve">, </w:t>
      </w:r>
      <w:r w:rsidRPr="006261AF">
        <w:rPr>
          <w:rFonts w:ascii="Arial" w:hAnsi="Arial" w:cs="Arial"/>
        </w:rPr>
        <w:t>DHBs</w:t>
      </w:r>
      <w:r>
        <w:rPr>
          <w:rFonts w:ascii="Arial" w:hAnsi="Arial" w:cs="Arial"/>
        </w:rPr>
        <w:t xml:space="preserve"> will </w:t>
      </w:r>
      <w:r w:rsidRPr="006261AF">
        <w:rPr>
          <w:rFonts w:ascii="Arial" w:hAnsi="Arial" w:cs="Arial"/>
        </w:rPr>
        <w:t xml:space="preserve">assist in </w:t>
      </w:r>
      <w:r>
        <w:rPr>
          <w:rFonts w:ascii="Arial" w:hAnsi="Arial" w:cs="Arial"/>
        </w:rPr>
        <w:t xml:space="preserve">the </w:t>
      </w:r>
      <w:r w:rsidRPr="006261AF">
        <w:rPr>
          <w:rFonts w:ascii="Arial" w:hAnsi="Arial" w:cs="Arial"/>
        </w:rPr>
        <w:t xml:space="preserve">delivery of </w:t>
      </w:r>
      <w:r>
        <w:rPr>
          <w:rFonts w:ascii="Arial" w:hAnsi="Arial" w:cs="Arial"/>
        </w:rPr>
        <w:t xml:space="preserve">the </w:t>
      </w:r>
      <w:r w:rsidRPr="006261AF">
        <w:rPr>
          <w:rFonts w:ascii="Arial" w:hAnsi="Arial" w:cs="Arial"/>
        </w:rPr>
        <w:t xml:space="preserve">Government's priority to support healthier, safer and more connected communities and our health system outcome that we have </w:t>
      </w:r>
      <w:r>
        <w:rPr>
          <w:rFonts w:ascii="Arial" w:hAnsi="Arial" w:cs="Arial"/>
        </w:rPr>
        <w:t xml:space="preserve">health </w:t>
      </w:r>
      <w:r w:rsidRPr="006261AF">
        <w:rPr>
          <w:rFonts w:ascii="Arial" w:hAnsi="Arial" w:cs="Arial"/>
        </w:rPr>
        <w:t>equity for M</w:t>
      </w:r>
      <w:r>
        <w:rPr>
          <w:rFonts w:ascii="Arial" w:hAnsi="Arial" w:cs="Arial"/>
        </w:rPr>
        <w:t>ā</w:t>
      </w:r>
      <w:r w:rsidRPr="006261AF">
        <w:rPr>
          <w:rFonts w:ascii="Arial" w:hAnsi="Arial" w:cs="Arial"/>
        </w:rPr>
        <w:t xml:space="preserve">ori and other groups. </w:t>
      </w:r>
      <w:r w:rsidRPr="006261AF">
        <w:rPr>
          <w:rFonts w:ascii="Arial" w:hAnsi="Arial" w:cs="Arial"/>
          <w:lang w:val="en-US"/>
        </w:rPr>
        <w:t xml:space="preserve"> </w:t>
      </w:r>
    </w:p>
    <w:p w14:paraId="6312AF9C" w14:textId="77777777" w:rsidR="00F61E9C" w:rsidRPr="00045B4F" w:rsidRDefault="00F61E9C" w:rsidP="00F61E9C">
      <w:pPr>
        <w:shd w:val="clear" w:color="auto" w:fill="FFFFFF"/>
        <w:spacing w:before="60" w:after="60"/>
        <w:jc w:val="both"/>
        <w:rPr>
          <w:rFonts w:ascii="Arial" w:hAnsi="Arial" w:cs="Arial"/>
        </w:rPr>
      </w:pPr>
      <w:r w:rsidRPr="006261AF">
        <w:rPr>
          <w:rFonts w:ascii="Arial" w:hAnsi="Arial" w:cs="Arial"/>
          <w:color w:val="000000"/>
          <w:lang w:eastAsia="en-NZ"/>
        </w:rPr>
        <w:t xml:space="preserve">The health and disability sector has a role in providing quality ethnicity information that enables </w:t>
      </w:r>
      <w:r w:rsidRPr="00045B4F">
        <w:rPr>
          <w:rFonts w:ascii="Arial" w:hAnsi="Arial" w:cs="Arial"/>
        </w:rPr>
        <w:t xml:space="preserve">wider sector analysis of economic, social and cultural experiences of different ethnic groups within the New Zealand population. </w:t>
      </w:r>
    </w:p>
    <w:p w14:paraId="5EE7DEAB" w14:textId="77777777" w:rsidR="00F61E9C" w:rsidRPr="006261AF" w:rsidRDefault="00F61E9C" w:rsidP="00F61E9C">
      <w:pPr>
        <w:shd w:val="clear" w:color="auto" w:fill="FFFFFF"/>
        <w:spacing w:before="60" w:after="60"/>
        <w:jc w:val="both"/>
        <w:rPr>
          <w:rFonts w:ascii="Arial" w:hAnsi="Arial" w:cs="Arial"/>
        </w:rPr>
      </w:pPr>
      <w:r w:rsidRPr="006261AF">
        <w:rPr>
          <w:rFonts w:ascii="Arial" w:hAnsi="Arial" w:cs="Arial"/>
        </w:rPr>
        <w:t xml:space="preserve">Collecting quality ethnicity data will ensure that the Government is able to track health trends by ethnicity and effectively monitor its performance to improve health outcomes and reduce health inequalities. Also by accurately recording and collecting ethnicity data, the quality of information available to DHBs/PHOs will improve and enable better service planning, funding of services for different population groups and </w:t>
      </w:r>
      <w:r>
        <w:rPr>
          <w:rFonts w:ascii="Arial" w:hAnsi="Arial" w:cs="Arial"/>
        </w:rPr>
        <w:t xml:space="preserve">enhance the </w:t>
      </w:r>
      <w:r w:rsidRPr="006261AF">
        <w:rPr>
          <w:rFonts w:ascii="Arial" w:hAnsi="Arial" w:cs="Arial"/>
        </w:rPr>
        <w:t>quality of services provided</w:t>
      </w:r>
      <w:r>
        <w:rPr>
          <w:rFonts w:ascii="Arial" w:hAnsi="Arial" w:cs="Arial"/>
        </w:rPr>
        <w:t xml:space="preserve"> to communities.</w:t>
      </w:r>
      <w:r w:rsidRPr="006261AF">
        <w:rPr>
          <w:rFonts w:ascii="Arial" w:hAnsi="Arial" w:cs="Arial"/>
        </w:rPr>
        <w:t xml:space="preserve"> </w:t>
      </w:r>
    </w:p>
    <w:p w14:paraId="00562EA6" w14:textId="77777777" w:rsidR="00F61E9C" w:rsidRPr="006261AF" w:rsidRDefault="00F61E9C" w:rsidP="00F61E9C">
      <w:pPr>
        <w:shd w:val="clear" w:color="auto" w:fill="FFFFFF"/>
        <w:spacing w:before="60" w:after="60"/>
        <w:jc w:val="both"/>
        <w:rPr>
          <w:rFonts w:ascii="Arial" w:hAnsi="Arial" w:cs="Arial"/>
        </w:rPr>
      </w:pPr>
      <w:r w:rsidRPr="006261AF">
        <w:rPr>
          <w:rFonts w:ascii="Arial" w:hAnsi="Arial" w:cs="Arial"/>
        </w:rPr>
        <w:lastRenderedPageBreak/>
        <w:t xml:space="preserve">The measure </w:t>
      </w:r>
      <w:r>
        <w:rPr>
          <w:rFonts w:ascii="Arial" w:hAnsi="Arial" w:cs="Arial"/>
        </w:rPr>
        <w:t>supports</w:t>
      </w:r>
      <w:r w:rsidRPr="006261AF">
        <w:rPr>
          <w:rFonts w:ascii="Arial" w:hAnsi="Arial" w:cs="Arial"/>
        </w:rPr>
        <w:t xml:space="preserve"> DHBs/PHOs to </w:t>
      </w:r>
      <w:r w:rsidRPr="00045B4F">
        <w:rPr>
          <w:rFonts w:ascii="Arial" w:hAnsi="Arial" w:cs="Arial"/>
        </w:rPr>
        <w:t>understand the health care needs of all ethnicities through accurate information</w:t>
      </w:r>
      <w:r w:rsidRPr="006261AF">
        <w:rPr>
          <w:rFonts w:ascii="Arial" w:hAnsi="Arial" w:cs="Arial"/>
        </w:rPr>
        <w:t>. It also provides M</w:t>
      </w:r>
      <w:r>
        <w:rPr>
          <w:rFonts w:ascii="Arial" w:hAnsi="Arial" w:cs="Arial"/>
        </w:rPr>
        <w:t>ā</w:t>
      </w:r>
      <w:r w:rsidRPr="006261AF">
        <w:rPr>
          <w:rFonts w:ascii="Arial" w:hAnsi="Arial" w:cs="Arial"/>
        </w:rPr>
        <w:t>ori with quality information about their health status and enables M</w:t>
      </w:r>
      <w:r>
        <w:rPr>
          <w:rFonts w:ascii="Arial" w:hAnsi="Arial" w:cs="Arial"/>
        </w:rPr>
        <w:t>ā</w:t>
      </w:r>
      <w:r w:rsidRPr="006261AF">
        <w:rPr>
          <w:rFonts w:ascii="Arial" w:hAnsi="Arial" w:cs="Arial"/>
        </w:rPr>
        <w:t>ori to participate in, and contribute to, strategies for M</w:t>
      </w:r>
      <w:r>
        <w:rPr>
          <w:rFonts w:ascii="Arial" w:hAnsi="Arial" w:cs="Arial"/>
        </w:rPr>
        <w:t>ā</w:t>
      </w:r>
      <w:r w:rsidRPr="006261AF">
        <w:rPr>
          <w:rFonts w:ascii="Arial" w:hAnsi="Arial" w:cs="Arial"/>
        </w:rPr>
        <w:t xml:space="preserve">ori health improvement. </w:t>
      </w:r>
    </w:p>
    <w:p w14:paraId="054858B2" w14:textId="77777777" w:rsidR="00F61E9C" w:rsidRPr="00045B4F" w:rsidRDefault="00F61E9C" w:rsidP="00F61E9C">
      <w:pPr>
        <w:autoSpaceDE w:val="0"/>
        <w:autoSpaceDN w:val="0"/>
        <w:adjustRightInd w:val="0"/>
        <w:rPr>
          <w:rFonts w:ascii="Arial" w:hAnsi="Arial" w:cs="Arial"/>
        </w:rPr>
      </w:pPr>
      <w:r>
        <w:rPr>
          <w:rFonts w:ascii="Arial" w:hAnsi="Arial" w:cs="Arial"/>
        </w:rPr>
        <w:t xml:space="preserve">Utilisation of the </w:t>
      </w:r>
      <w:r w:rsidRPr="00045B4F">
        <w:rPr>
          <w:rFonts w:ascii="Arial" w:hAnsi="Arial" w:cs="Arial"/>
        </w:rPr>
        <w:t>EDAT toolkit will</w:t>
      </w:r>
      <w:r>
        <w:rPr>
          <w:rFonts w:ascii="Arial" w:hAnsi="Arial" w:cs="Arial"/>
        </w:rPr>
        <w:t xml:space="preserve"> facilitate</w:t>
      </w:r>
      <w:r w:rsidRPr="00045B4F">
        <w:rPr>
          <w:rFonts w:ascii="Arial" w:hAnsi="Arial" w:cs="Arial"/>
        </w:rPr>
        <w:t xml:space="preserve"> accurate reporting and collection of ethnicity </w:t>
      </w:r>
      <w:r>
        <w:rPr>
          <w:rFonts w:ascii="Arial" w:hAnsi="Arial" w:cs="Arial"/>
        </w:rPr>
        <w:t xml:space="preserve">data and </w:t>
      </w:r>
      <w:r w:rsidRPr="00045B4F">
        <w:rPr>
          <w:rFonts w:ascii="Arial" w:hAnsi="Arial" w:cs="Arial"/>
        </w:rPr>
        <w:t xml:space="preserve">improve </w:t>
      </w:r>
      <w:r>
        <w:rPr>
          <w:rFonts w:ascii="Arial" w:hAnsi="Arial" w:cs="Arial"/>
        </w:rPr>
        <w:t xml:space="preserve">the </w:t>
      </w:r>
      <w:r w:rsidRPr="00045B4F">
        <w:rPr>
          <w:rFonts w:ascii="Arial" w:hAnsi="Arial" w:cs="Arial"/>
        </w:rPr>
        <w:t xml:space="preserve">quality of information used for service planning, targeting and delivery of funding for priority and high needs populations. </w:t>
      </w:r>
    </w:p>
    <w:p w14:paraId="437F5598" w14:textId="77777777" w:rsidR="00F61E9C" w:rsidRPr="006261AF" w:rsidRDefault="00F61E9C" w:rsidP="00F61E9C">
      <w:pPr>
        <w:shd w:val="clear" w:color="auto" w:fill="FFFFFF"/>
        <w:spacing w:before="60" w:after="60"/>
        <w:jc w:val="both"/>
        <w:rPr>
          <w:rFonts w:ascii="Arial" w:hAnsi="Arial" w:cs="Arial"/>
        </w:rPr>
      </w:pPr>
    </w:p>
    <w:p w14:paraId="07038186" w14:textId="77777777" w:rsidR="00F61E9C" w:rsidRPr="006261AF" w:rsidRDefault="00F61E9C" w:rsidP="00F61E9C">
      <w:pPr>
        <w:shd w:val="clear" w:color="auto" w:fill="FFFFFF"/>
        <w:spacing w:before="60" w:after="60"/>
        <w:jc w:val="both"/>
        <w:rPr>
          <w:rFonts w:ascii="Arial" w:hAnsi="Arial" w:cs="Arial"/>
          <w:b/>
        </w:rPr>
      </w:pPr>
      <w:r w:rsidRPr="006261AF">
        <w:rPr>
          <w:rFonts w:ascii="Arial" w:hAnsi="Arial" w:cs="Arial"/>
          <w:b/>
        </w:rPr>
        <w:t xml:space="preserve">Deliverables definitions </w:t>
      </w:r>
    </w:p>
    <w:p w14:paraId="2C8CA216" w14:textId="77777777" w:rsidR="00F61E9C" w:rsidRDefault="00F61E9C" w:rsidP="00F61E9C">
      <w:pPr>
        <w:shd w:val="clear" w:color="auto" w:fill="FFFFFF"/>
        <w:autoSpaceDE w:val="0"/>
        <w:autoSpaceDN w:val="0"/>
        <w:adjustRightInd w:val="0"/>
        <w:spacing w:before="60" w:after="60" w:line="240" w:lineRule="atLeast"/>
        <w:jc w:val="both"/>
        <w:rPr>
          <w:rFonts w:ascii="Arial" w:hAnsi="Arial" w:cs="Arial"/>
        </w:rPr>
      </w:pPr>
      <w:r>
        <w:rPr>
          <w:rFonts w:ascii="Arial" w:hAnsi="Arial" w:cs="Arial"/>
        </w:rPr>
        <w:t>PHO</w:t>
      </w:r>
      <w:r w:rsidRPr="006261AF">
        <w:rPr>
          <w:rFonts w:ascii="Arial" w:hAnsi="Arial" w:cs="Arial"/>
        </w:rPr>
        <w:t>s are expected to</w:t>
      </w:r>
      <w:r>
        <w:rPr>
          <w:rFonts w:ascii="Arial" w:hAnsi="Arial" w:cs="Arial"/>
        </w:rPr>
        <w:t>:</w:t>
      </w:r>
      <w:r w:rsidRPr="006261AF">
        <w:rPr>
          <w:rFonts w:ascii="Arial" w:hAnsi="Arial" w:cs="Arial"/>
        </w:rPr>
        <w:t xml:space="preserve"> </w:t>
      </w:r>
    </w:p>
    <w:p w14:paraId="2A32E682" w14:textId="77777777" w:rsidR="00F61E9C" w:rsidRPr="00463776" w:rsidRDefault="00F61E9C" w:rsidP="00C04FF1">
      <w:pPr>
        <w:pStyle w:val="ListParagraph"/>
        <w:numPr>
          <w:ilvl w:val="0"/>
          <w:numId w:val="125"/>
        </w:numPr>
        <w:shd w:val="clear" w:color="auto" w:fill="FFFFFF"/>
        <w:autoSpaceDE w:val="0"/>
        <w:autoSpaceDN w:val="0"/>
        <w:adjustRightInd w:val="0"/>
        <w:spacing w:before="60" w:after="60" w:line="240" w:lineRule="atLeast"/>
        <w:jc w:val="both"/>
        <w:rPr>
          <w:rFonts w:ascii="Arial" w:hAnsi="Arial" w:cs="Arial"/>
          <w:color w:val="000000"/>
        </w:rPr>
      </w:pPr>
      <w:r w:rsidRPr="00463776">
        <w:rPr>
          <w:rFonts w:ascii="Arial" w:hAnsi="Arial" w:cs="Arial"/>
        </w:rPr>
        <w:t xml:space="preserve">meet ethnicity data collection standards outlined in the </w:t>
      </w:r>
      <w:r>
        <w:rPr>
          <w:rFonts w:ascii="Arial" w:hAnsi="Arial" w:cs="Arial"/>
        </w:rPr>
        <w:t xml:space="preserve">2017 </w:t>
      </w:r>
      <w:r w:rsidRPr="00463776">
        <w:rPr>
          <w:rFonts w:ascii="Arial" w:hAnsi="Arial" w:cs="Arial"/>
        </w:rPr>
        <w:t>Ethnicity Data Protocol</w:t>
      </w:r>
      <w:r>
        <w:rPr>
          <w:rFonts w:ascii="Arial" w:hAnsi="Arial" w:cs="Arial"/>
        </w:rPr>
        <w:t>,</w:t>
      </w:r>
    </w:p>
    <w:p w14:paraId="7DC1CBC2" w14:textId="77777777" w:rsidR="00F61E9C" w:rsidRPr="00463776" w:rsidRDefault="00F61E9C" w:rsidP="00C04FF1">
      <w:pPr>
        <w:pStyle w:val="ListParagraph"/>
        <w:numPr>
          <w:ilvl w:val="0"/>
          <w:numId w:val="125"/>
        </w:numPr>
        <w:shd w:val="clear" w:color="auto" w:fill="FFFFFF"/>
        <w:autoSpaceDE w:val="0"/>
        <w:autoSpaceDN w:val="0"/>
        <w:adjustRightInd w:val="0"/>
        <w:spacing w:before="60" w:after="60" w:line="240" w:lineRule="atLeast"/>
        <w:jc w:val="both"/>
        <w:rPr>
          <w:rFonts w:ascii="Arial" w:hAnsi="Arial" w:cs="Arial"/>
          <w:color w:val="000000"/>
        </w:rPr>
      </w:pPr>
      <w:r w:rsidRPr="00463776">
        <w:rPr>
          <w:rFonts w:ascii="Arial" w:hAnsi="Arial" w:cs="Arial"/>
        </w:rPr>
        <w:t xml:space="preserve">train </w:t>
      </w:r>
      <w:r>
        <w:rPr>
          <w:rFonts w:ascii="Arial" w:hAnsi="Arial" w:cs="Arial"/>
        </w:rPr>
        <w:t xml:space="preserve">all </w:t>
      </w:r>
      <w:r w:rsidRPr="00463776">
        <w:rPr>
          <w:rFonts w:ascii="Arial" w:hAnsi="Arial" w:cs="Arial"/>
        </w:rPr>
        <w:t xml:space="preserve">staff </w:t>
      </w:r>
      <w:r>
        <w:rPr>
          <w:rFonts w:ascii="Arial" w:hAnsi="Arial" w:cs="Arial"/>
        </w:rPr>
        <w:t xml:space="preserve">who are involved in the collecting and/or recording of patient ethnicity data using </w:t>
      </w:r>
      <w:r w:rsidRPr="00463776">
        <w:rPr>
          <w:rFonts w:ascii="Arial" w:hAnsi="Arial" w:cs="Arial"/>
        </w:rPr>
        <w:t>the online training module</w:t>
      </w:r>
    </w:p>
    <w:p w14:paraId="0EB2DD12" w14:textId="77777777" w:rsidR="00F61E9C" w:rsidRPr="00463776" w:rsidRDefault="00F61E9C" w:rsidP="00C04FF1">
      <w:pPr>
        <w:pStyle w:val="ListParagraph"/>
        <w:numPr>
          <w:ilvl w:val="0"/>
          <w:numId w:val="125"/>
        </w:numPr>
        <w:shd w:val="clear" w:color="auto" w:fill="FFFFFF"/>
        <w:autoSpaceDE w:val="0"/>
        <w:autoSpaceDN w:val="0"/>
        <w:adjustRightInd w:val="0"/>
        <w:spacing w:before="60" w:after="60" w:line="240" w:lineRule="atLeast"/>
        <w:jc w:val="both"/>
        <w:rPr>
          <w:rFonts w:ascii="Arial" w:hAnsi="Arial" w:cs="Arial"/>
          <w:color w:val="000000"/>
        </w:rPr>
      </w:pPr>
      <w:r>
        <w:rPr>
          <w:rFonts w:ascii="Arial" w:hAnsi="Arial" w:cs="Arial"/>
        </w:rPr>
        <w:t xml:space="preserve">and </w:t>
      </w:r>
      <w:r w:rsidRPr="00463776">
        <w:rPr>
          <w:rFonts w:ascii="Arial" w:hAnsi="Arial" w:cs="Arial"/>
        </w:rPr>
        <w:t>audit the quali</w:t>
      </w:r>
      <w:r>
        <w:rPr>
          <w:rFonts w:ascii="Arial" w:hAnsi="Arial" w:cs="Arial"/>
        </w:rPr>
        <w:t>ty of ethnicity data using EDAT.</w:t>
      </w:r>
    </w:p>
    <w:p w14:paraId="7ED7BE4C" w14:textId="77777777" w:rsidR="00F61E9C" w:rsidRDefault="00F61E9C" w:rsidP="00F61E9C">
      <w:pPr>
        <w:shd w:val="clear" w:color="auto" w:fill="FFFFFF"/>
        <w:autoSpaceDE w:val="0"/>
        <w:autoSpaceDN w:val="0"/>
        <w:adjustRightInd w:val="0"/>
        <w:spacing w:before="60" w:after="60" w:line="240" w:lineRule="atLeast"/>
        <w:jc w:val="both"/>
        <w:rPr>
          <w:rFonts w:ascii="Arial" w:hAnsi="Arial" w:cs="Arial"/>
        </w:rPr>
      </w:pPr>
    </w:p>
    <w:p w14:paraId="35AC63BE" w14:textId="77777777" w:rsidR="00F61E9C" w:rsidRPr="00463776" w:rsidRDefault="00F61E9C" w:rsidP="00F61E9C">
      <w:pPr>
        <w:shd w:val="clear" w:color="auto" w:fill="FFFFFF"/>
        <w:autoSpaceDE w:val="0"/>
        <w:autoSpaceDN w:val="0"/>
        <w:adjustRightInd w:val="0"/>
        <w:spacing w:before="60" w:after="60" w:line="240" w:lineRule="atLeast"/>
        <w:jc w:val="both"/>
        <w:rPr>
          <w:rFonts w:ascii="Arial" w:hAnsi="Arial" w:cs="Arial"/>
          <w:color w:val="000000"/>
        </w:rPr>
      </w:pPr>
      <w:r>
        <w:rPr>
          <w:rFonts w:ascii="Arial" w:hAnsi="Arial" w:cs="Arial"/>
        </w:rPr>
        <w:t>If the EDAT audit process does not identify any issues, then the audit process should be repeated every three years.</w:t>
      </w:r>
      <w:r w:rsidRPr="00463776">
        <w:rPr>
          <w:rFonts w:ascii="Arial" w:hAnsi="Arial" w:cs="Arial"/>
        </w:rPr>
        <w:t xml:space="preserve"> </w:t>
      </w:r>
      <w:r>
        <w:rPr>
          <w:rFonts w:ascii="Arial" w:hAnsi="Arial" w:cs="Arial"/>
          <w:color w:val="000000"/>
        </w:rPr>
        <w:t>Where the process identifies some issues, then the PHO is expected to undertake quality improvement activities and repeat any relevant stages of the audit within 12 months.</w:t>
      </w:r>
    </w:p>
    <w:p w14:paraId="317B4CDC" w14:textId="77777777" w:rsidR="00F61E9C" w:rsidRDefault="00F61E9C" w:rsidP="00F61E9C">
      <w:pPr>
        <w:shd w:val="clear" w:color="auto" w:fill="FFFFFF"/>
        <w:autoSpaceDE w:val="0"/>
        <w:autoSpaceDN w:val="0"/>
        <w:adjustRightInd w:val="0"/>
        <w:spacing w:before="60" w:after="60" w:line="240" w:lineRule="atLeast"/>
        <w:jc w:val="both"/>
        <w:rPr>
          <w:rFonts w:ascii="Arial" w:hAnsi="Arial" w:cs="Arial"/>
          <w:color w:val="000000"/>
        </w:rPr>
      </w:pPr>
    </w:p>
    <w:p w14:paraId="62406FC8" w14:textId="77777777" w:rsidR="00F61E9C" w:rsidRDefault="00F61E9C" w:rsidP="00F61E9C">
      <w:pPr>
        <w:shd w:val="clear" w:color="auto" w:fill="FFFFFF"/>
        <w:autoSpaceDE w:val="0"/>
        <w:autoSpaceDN w:val="0"/>
        <w:adjustRightInd w:val="0"/>
        <w:spacing w:before="60" w:after="60" w:line="240" w:lineRule="atLeast"/>
        <w:jc w:val="both"/>
        <w:rPr>
          <w:rFonts w:ascii="Arial" w:hAnsi="Arial" w:cs="Arial"/>
          <w:color w:val="000000"/>
        </w:rPr>
      </w:pPr>
      <w:r>
        <w:rPr>
          <w:rFonts w:ascii="Arial" w:hAnsi="Arial" w:cs="Arial"/>
          <w:color w:val="000000"/>
        </w:rPr>
        <w:t>DHBs are required to provide six-monthly updates identifying:</w:t>
      </w:r>
    </w:p>
    <w:p w14:paraId="5D0D4005" w14:textId="77777777" w:rsidR="00F61E9C" w:rsidRDefault="00F61E9C" w:rsidP="00C04FF1">
      <w:pPr>
        <w:pStyle w:val="ListParagraph"/>
        <w:numPr>
          <w:ilvl w:val="0"/>
          <w:numId w:val="51"/>
        </w:numPr>
        <w:shd w:val="clear" w:color="auto" w:fill="FFFFFF"/>
        <w:autoSpaceDE w:val="0"/>
        <w:autoSpaceDN w:val="0"/>
        <w:adjustRightInd w:val="0"/>
        <w:spacing w:before="60" w:after="60" w:line="240" w:lineRule="atLeast"/>
        <w:ind w:left="360"/>
        <w:jc w:val="both"/>
        <w:rPr>
          <w:rFonts w:ascii="Arial" w:hAnsi="Arial" w:cs="Arial"/>
          <w:color w:val="000000"/>
        </w:rPr>
      </w:pPr>
      <w:r>
        <w:rPr>
          <w:rFonts w:ascii="Arial" w:hAnsi="Arial" w:cs="Arial"/>
          <w:color w:val="000000"/>
        </w:rPr>
        <w:t>the percentage</w:t>
      </w:r>
      <w:r w:rsidRPr="00463776">
        <w:rPr>
          <w:rFonts w:ascii="Arial" w:hAnsi="Arial" w:cs="Arial"/>
          <w:color w:val="000000"/>
        </w:rPr>
        <w:t xml:space="preserve"> of PHOs </w:t>
      </w:r>
      <w:r>
        <w:rPr>
          <w:rFonts w:ascii="Arial" w:hAnsi="Arial" w:cs="Arial"/>
          <w:color w:val="000000"/>
        </w:rPr>
        <w:t xml:space="preserve">that </w:t>
      </w:r>
      <w:r w:rsidRPr="00463776">
        <w:rPr>
          <w:rFonts w:ascii="Arial" w:hAnsi="Arial" w:cs="Arial"/>
          <w:color w:val="000000"/>
        </w:rPr>
        <w:t>have undertaken an audit using EDAT</w:t>
      </w:r>
      <w:r>
        <w:rPr>
          <w:rFonts w:ascii="Arial" w:hAnsi="Arial" w:cs="Arial"/>
          <w:color w:val="000000"/>
        </w:rPr>
        <w:t xml:space="preserve"> in the past three years</w:t>
      </w:r>
    </w:p>
    <w:p w14:paraId="605DDD07" w14:textId="77777777" w:rsidR="00F61E9C" w:rsidRDefault="00F61E9C" w:rsidP="00C04FF1">
      <w:pPr>
        <w:pStyle w:val="ListParagraph"/>
        <w:numPr>
          <w:ilvl w:val="0"/>
          <w:numId w:val="51"/>
        </w:numPr>
        <w:shd w:val="clear" w:color="auto" w:fill="FFFFFF"/>
        <w:autoSpaceDE w:val="0"/>
        <w:autoSpaceDN w:val="0"/>
        <w:adjustRightInd w:val="0"/>
        <w:spacing w:before="60" w:after="60" w:line="240" w:lineRule="atLeast"/>
        <w:ind w:left="360"/>
        <w:jc w:val="both"/>
        <w:rPr>
          <w:rFonts w:ascii="Arial" w:hAnsi="Arial" w:cs="Arial"/>
          <w:color w:val="000000"/>
        </w:rPr>
      </w:pPr>
      <w:r w:rsidRPr="00463776">
        <w:rPr>
          <w:rFonts w:ascii="Arial" w:hAnsi="Arial" w:cs="Arial"/>
          <w:color w:val="000000"/>
        </w:rPr>
        <w:t>PHOs’ most recent Stage 3 EDAT performance (i.e. level of match in ethnicity data)</w:t>
      </w:r>
    </w:p>
    <w:p w14:paraId="0BF52DE3" w14:textId="77777777" w:rsidR="00F61E9C" w:rsidRPr="00463776" w:rsidRDefault="00F61E9C" w:rsidP="00C04FF1">
      <w:pPr>
        <w:pStyle w:val="ListParagraph"/>
        <w:numPr>
          <w:ilvl w:val="0"/>
          <w:numId w:val="51"/>
        </w:numPr>
        <w:shd w:val="clear" w:color="auto" w:fill="FFFFFF"/>
        <w:autoSpaceDE w:val="0"/>
        <w:autoSpaceDN w:val="0"/>
        <w:adjustRightInd w:val="0"/>
        <w:spacing w:before="60" w:after="60" w:line="240" w:lineRule="atLeast"/>
        <w:ind w:left="360"/>
        <w:jc w:val="both"/>
        <w:rPr>
          <w:rFonts w:ascii="Arial" w:hAnsi="Arial" w:cs="Arial"/>
          <w:color w:val="000000"/>
        </w:rPr>
      </w:pPr>
      <w:r w:rsidRPr="00463776">
        <w:rPr>
          <w:rFonts w:ascii="Arial" w:hAnsi="Arial" w:cs="Arial"/>
          <w:color w:val="000000"/>
        </w:rPr>
        <w:t xml:space="preserve">the percentage of PHOs that have reported improvement in quality of ethnicity data collection </w:t>
      </w:r>
      <w:r>
        <w:rPr>
          <w:rFonts w:ascii="Arial" w:hAnsi="Arial" w:cs="Arial"/>
          <w:color w:val="000000"/>
        </w:rPr>
        <w:t xml:space="preserve"> </w:t>
      </w:r>
    </w:p>
    <w:p w14:paraId="57EE16DC" w14:textId="77777777" w:rsidR="00F61E9C" w:rsidRDefault="00F61E9C" w:rsidP="00F61E9C">
      <w:pPr>
        <w:shd w:val="clear" w:color="auto" w:fill="FFFFFF"/>
        <w:autoSpaceDE w:val="0"/>
        <w:autoSpaceDN w:val="0"/>
        <w:adjustRightInd w:val="0"/>
        <w:rPr>
          <w:rFonts w:ascii="Arial" w:hAnsi="Arial" w:cs="Arial"/>
          <w:color w:val="000000"/>
        </w:rPr>
      </w:pPr>
    </w:p>
    <w:p w14:paraId="63EFD501" w14:textId="77777777" w:rsidR="00F61E9C" w:rsidRPr="006261AF" w:rsidRDefault="00F61E9C" w:rsidP="00F61E9C">
      <w:pPr>
        <w:shd w:val="clear" w:color="auto" w:fill="FFFFFF"/>
        <w:autoSpaceDE w:val="0"/>
        <w:autoSpaceDN w:val="0"/>
        <w:adjustRightInd w:val="0"/>
        <w:rPr>
          <w:rFonts w:ascii="Helv" w:hAnsi="Helv" w:cs="Helv"/>
          <w:color w:val="000000"/>
          <w:lang w:eastAsia="en-NZ"/>
        </w:rPr>
      </w:pPr>
      <w:r>
        <w:rPr>
          <w:rFonts w:ascii="Arial" w:hAnsi="Arial" w:cs="Arial"/>
          <w:color w:val="000000"/>
        </w:rPr>
        <w:t xml:space="preserve">Where a PHO has a level of match in ethnicity data below 90 percent, the report must indicate whether the PHO has </w:t>
      </w:r>
      <w:r>
        <w:rPr>
          <w:rFonts w:ascii="Helv" w:hAnsi="Helv" w:cs="Helv"/>
          <w:color w:val="000000"/>
          <w:lang w:eastAsia="en-NZ"/>
        </w:rPr>
        <w:t>developed a clear plan outlining activities to improve performance, set an appropriate timeframe to achieve the proposed performance target, and whether it is on track to meet the performance target.</w:t>
      </w:r>
    </w:p>
    <w:p w14:paraId="02CB7477" w14:textId="77777777" w:rsidR="00F61E9C" w:rsidRPr="006261AF" w:rsidRDefault="00F61E9C" w:rsidP="00F61E9C">
      <w:pPr>
        <w:shd w:val="clear" w:color="auto" w:fill="FFFFFF"/>
        <w:autoSpaceDE w:val="0"/>
        <w:autoSpaceDN w:val="0"/>
        <w:adjustRightInd w:val="0"/>
        <w:spacing w:before="60" w:after="60" w:line="240" w:lineRule="atLeast"/>
        <w:jc w:val="both"/>
        <w:rPr>
          <w:rFonts w:ascii="Arial" w:hAnsi="Arial" w:cs="Arial"/>
          <w:sz w:val="16"/>
          <w:szCs w:val="16"/>
        </w:rPr>
      </w:pPr>
    </w:p>
    <w:p w14:paraId="523F9853" w14:textId="77777777" w:rsidR="00F61E9C" w:rsidRDefault="00F61E9C" w:rsidP="00F61E9C">
      <w:pPr>
        <w:shd w:val="clear" w:color="auto" w:fill="FFFFFF"/>
        <w:spacing w:before="60" w:after="60"/>
        <w:jc w:val="both"/>
        <w:rPr>
          <w:rFonts w:ascii="Arial" w:hAnsi="Arial" w:cs="Arial"/>
          <w:b/>
        </w:rPr>
      </w:pPr>
    </w:p>
    <w:p w14:paraId="6CC3909A" w14:textId="77777777" w:rsidR="00F61E9C" w:rsidRPr="006261AF" w:rsidRDefault="00F61E9C" w:rsidP="00F61E9C">
      <w:pPr>
        <w:shd w:val="clear" w:color="auto" w:fill="FFFFFF"/>
        <w:spacing w:before="60" w:after="60"/>
        <w:jc w:val="both"/>
        <w:rPr>
          <w:rFonts w:ascii="Arial" w:hAnsi="Arial" w:cs="Arial"/>
          <w:b/>
        </w:rPr>
      </w:pPr>
      <w:r w:rsidRPr="006261AF">
        <w:rPr>
          <w:rFonts w:ascii="Arial" w:hAnsi="Arial" w:cs="Arial"/>
          <w:b/>
        </w:rPr>
        <w:t xml:space="preserve">Reporting Period </w:t>
      </w:r>
    </w:p>
    <w:p w14:paraId="258F5CBB" w14:textId="77777777" w:rsidR="00F61E9C" w:rsidRPr="006261AF" w:rsidRDefault="00F61E9C" w:rsidP="00F61E9C">
      <w:pPr>
        <w:shd w:val="clear" w:color="auto" w:fill="FFFFFF"/>
        <w:spacing w:before="60" w:after="60"/>
        <w:jc w:val="both"/>
        <w:rPr>
          <w:rFonts w:ascii="Arial" w:hAnsi="Arial" w:cs="Arial"/>
        </w:rPr>
      </w:pPr>
      <w:r w:rsidRPr="006261AF">
        <w:rPr>
          <w:rFonts w:ascii="Arial" w:hAnsi="Arial" w:cs="Arial"/>
          <w:b/>
          <w:i/>
        </w:rPr>
        <w:t>Reporting required</w:t>
      </w:r>
      <w:r w:rsidRPr="006261AF">
        <w:rPr>
          <w:rFonts w:ascii="Arial" w:hAnsi="Arial" w:cs="Arial"/>
          <w:i/>
        </w:rPr>
        <w:t>:</w:t>
      </w:r>
      <w:r w:rsidRPr="006261AF">
        <w:rPr>
          <w:rFonts w:ascii="Arial" w:hAnsi="Arial" w:cs="Arial"/>
        </w:rPr>
        <w:t xml:space="preserve"> Six-monthly, in </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4323"/>
      </w:tblGrid>
      <w:tr w:rsidR="00F61E9C" w:rsidRPr="006261AF" w14:paraId="2506DC45" w14:textId="77777777" w:rsidTr="000A54FC">
        <w:trPr>
          <w:jc w:val="center"/>
        </w:trPr>
        <w:tc>
          <w:tcPr>
            <w:tcW w:w="161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E54449" w14:textId="77777777" w:rsidR="00F61E9C" w:rsidRPr="006261AF" w:rsidRDefault="00F61E9C" w:rsidP="000A54FC">
            <w:pPr>
              <w:spacing w:before="60" w:after="60"/>
              <w:jc w:val="both"/>
              <w:rPr>
                <w:rFonts w:ascii="Arial" w:hAnsi="Arial" w:cs="Arial"/>
                <w:b/>
              </w:rPr>
            </w:pPr>
            <w:r w:rsidRPr="006261AF">
              <w:rPr>
                <w:rFonts w:ascii="Arial" w:hAnsi="Arial" w:cs="Arial"/>
                <w:b/>
              </w:rPr>
              <w:t xml:space="preserve">Quarter </w:t>
            </w:r>
          </w:p>
        </w:tc>
        <w:tc>
          <w:tcPr>
            <w:tcW w:w="43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179498A" w14:textId="77777777" w:rsidR="00F61E9C" w:rsidRPr="006261AF" w:rsidRDefault="00F61E9C" w:rsidP="000A54FC">
            <w:pPr>
              <w:spacing w:before="60" w:after="60"/>
              <w:jc w:val="both"/>
              <w:rPr>
                <w:rFonts w:ascii="Arial" w:hAnsi="Arial" w:cs="Arial"/>
                <w:b/>
              </w:rPr>
            </w:pPr>
            <w:r w:rsidRPr="006261AF">
              <w:rPr>
                <w:rFonts w:ascii="Arial" w:hAnsi="Arial" w:cs="Arial"/>
                <w:b/>
              </w:rPr>
              <w:t>For the time period</w:t>
            </w:r>
          </w:p>
        </w:tc>
      </w:tr>
      <w:tr w:rsidR="00F61E9C" w:rsidRPr="006261AF" w14:paraId="10A39CD1" w14:textId="77777777" w:rsidTr="000A54FC">
        <w:trPr>
          <w:jc w:val="center"/>
        </w:trPr>
        <w:tc>
          <w:tcPr>
            <w:tcW w:w="1617" w:type="dxa"/>
            <w:tcBorders>
              <w:top w:val="single" w:sz="4" w:space="0" w:color="auto"/>
              <w:left w:val="single" w:sz="4" w:space="0" w:color="auto"/>
              <w:bottom w:val="single" w:sz="4" w:space="0" w:color="auto"/>
              <w:right w:val="single" w:sz="4" w:space="0" w:color="auto"/>
            </w:tcBorders>
            <w:hideMark/>
          </w:tcPr>
          <w:p w14:paraId="133D1232" w14:textId="77777777" w:rsidR="00F61E9C" w:rsidRPr="006261AF" w:rsidRDefault="00F61E9C" w:rsidP="000A54FC">
            <w:pPr>
              <w:spacing w:before="60" w:after="60"/>
              <w:jc w:val="both"/>
              <w:rPr>
                <w:rFonts w:ascii="Arial" w:hAnsi="Arial" w:cs="Arial"/>
              </w:rPr>
            </w:pPr>
            <w:r w:rsidRPr="006261AF">
              <w:rPr>
                <w:rFonts w:ascii="Arial" w:hAnsi="Arial" w:cs="Arial"/>
              </w:rPr>
              <w:t>Quarter 2</w:t>
            </w:r>
          </w:p>
        </w:tc>
        <w:tc>
          <w:tcPr>
            <w:tcW w:w="4323" w:type="dxa"/>
            <w:tcBorders>
              <w:top w:val="single" w:sz="4" w:space="0" w:color="auto"/>
              <w:left w:val="single" w:sz="4" w:space="0" w:color="auto"/>
              <w:bottom w:val="single" w:sz="4" w:space="0" w:color="auto"/>
              <w:right w:val="single" w:sz="4" w:space="0" w:color="auto"/>
            </w:tcBorders>
          </w:tcPr>
          <w:p w14:paraId="28EFBFF3" w14:textId="77777777" w:rsidR="00F61E9C" w:rsidRPr="006261AF" w:rsidRDefault="00F61E9C" w:rsidP="000A54FC">
            <w:pPr>
              <w:spacing w:before="60" w:after="60"/>
              <w:jc w:val="both"/>
              <w:rPr>
                <w:rFonts w:ascii="Arial" w:hAnsi="Arial" w:cs="Arial"/>
              </w:rPr>
            </w:pPr>
            <w:r w:rsidRPr="006261AF">
              <w:rPr>
                <w:rFonts w:ascii="Arial" w:hAnsi="Arial" w:cs="Arial"/>
              </w:rPr>
              <w:t xml:space="preserve">Data to cover the period 1 October to  31 December </w:t>
            </w:r>
          </w:p>
        </w:tc>
      </w:tr>
      <w:tr w:rsidR="00F61E9C" w:rsidRPr="006261AF" w14:paraId="242BDB58" w14:textId="77777777" w:rsidTr="000A54FC">
        <w:trPr>
          <w:jc w:val="center"/>
        </w:trPr>
        <w:tc>
          <w:tcPr>
            <w:tcW w:w="1617" w:type="dxa"/>
            <w:tcBorders>
              <w:top w:val="single" w:sz="4" w:space="0" w:color="auto"/>
              <w:left w:val="single" w:sz="4" w:space="0" w:color="auto"/>
              <w:bottom w:val="single" w:sz="4" w:space="0" w:color="auto"/>
              <w:right w:val="single" w:sz="4" w:space="0" w:color="auto"/>
            </w:tcBorders>
            <w:hideMark/>
          </w:tcPr>
          <w:p w14:paraId="6FC3BD5A" w14:textId="77777777" w:rsidR="00F61E9C" w:rsidRPr="006261AF" w:rsidRDefault="00F61E9C" w:rsidP="000A54FC">
            <w:pPr>
              <w:spacing w:before="60" w:after="60"/>
              <w:jc w:val="both"/>
              <w:rPr>
                <w:rFonts w:ascii="Arial" w:hAnsi="Arial" w:cs="Arial"/>
              </w:rPr>
            </w:pPr>
            <w:r w:rsidRPr="006261AF">
              <w:rPr>
                <w:rFonts w:ascii="Arial" w:hAnsi="Arial" w:cs="Arial"/>
              </w:rPr>
              <w:t>Quarter 4</w:t>
            </w:r>
          </w:p>
        </w:tc>
        <w:tc>
          <w:tcPr>
            <w:tcW w:w="4323" w:type="dxa"/>
            <w:tcBorders>
              <w:top w:val="single" w:sz="4" w:space="0" w:color="auto"/>
              <w:left w:val="single" w:sz="4" w:space="0" w:color="auto"/>
              <w:bottom w:val="single" w:sz="4" w:space="0" w:color="auto"/>
              <w:right w:val="single" w:sz="4" w:space="0" w:color="auto"/>
            </w:tcBorders>
          </w:tcPr>
          <w:p w14:paraId="43440976" w14:textId="77777777" w:rsidR="00F61E9C" w:rsidRPr="006261AF" w:rsidRDefault="00F61E9C" w:rsidP="000A54FC">
            <w:pPr>
              <w:spacing w:before="60" w:after="60"/>
              <w:jc w:val="both"/>
              <w:rPr>
                <w:rFonts w:ascii="Arial" w:hAnsi="Arial" w:cs="Arial"/>
              </w:rPr>
            </w:pPr>
            <w:r w:rsidRPr="006261AF">
              <w:rPr>
                <w:rFonts w:ascii="Arial" w:hAnsi="Arial" w:cs="Arial"/>
              </w:rPr>
              <w:t>Data to cover the period 1 April to 30 June</w:t>
            </w:r>
          </w:p>
        </w:tc>
      </w:tr>
    </w:tbl>
    <w:p w14:paraId="418A92E3" w14:textId="77777777" w:rsidR="00F61E9C" w:rsidRPr="006261AF" w:rsidRDefault="00F61E9C" w:rsidP="00F61E9C">
      <w:pPr>
        <w:shd w:val="clear" w:color="auto" w:fill="FFFFFF"/>
        <w:spacing w:before="60" w:after="60"/>
        <w:jc w:val="both"/>
        <w:rPr>
          <w:rFonts w:ascii="Arial" w:hAnsi="Arial" w:cs="Arial"/>
          <w:b/>
        </w:rPr>
      </w:pPr>
    </w:p>
    <w:p w14:paraId="7C31F916" w14:textId="77777777" w:rsidR="00F61E9C" w:rsidRDefault="00F61E9C" w:rsidP="00F61E9C">
      <w:pPr>
        <w:shd w:val="clear" w:color="auto" w:fill="FFFFFF"/>
        <w:spacing w:before="60" w:after="60"/>
        <w:jc w:val="both"/>
        <w:rPr>
          <w:rFonts w:ascii="Arial" w:hAnsi="Arial" w:cs="Arial"/>
          <w:b/>
        </w:rPr>
      </w:pPr>
    </w:p>
    <w:p w14:paraId="242DAD0A" w14:textId="77777777" w:rsidR="00F61E9C" w:rsidRDefault="00F61E9C" w:rsidP="00F61E9C">
      <w:pPr>
        <w:shd w:val="clear" w:color="auto" w:fill="FFFFFF"/>
        <w:spacing w:before="60" w:after="60"/>
        <w:jc w:val="both"/>
        <w:rPr>
          <w:rFonts w:ascii="Arial" w:hAnsi="Arial" w:cs="Arial"/>
          <w:b/>
        </w:rPr>
      </w:pPr>
    </w:p>
    <w:p w14:paraId="07542FC7" w14:textId="77777777" w:rsidR="00F61E9C" w:rsidRDefault="00F61E9C" w:rsidP="00F61E9C">
      <w:pPr>
        <w:shd w:val="clear" w:color="auto" w:fill="FFFFFF"/>
        <w:spacing w:before="60" w:after="60"/>
        <w:jc w:val="both"/>
        <w:rPr>
          <w:rFonts w:ascii="Arial" w:hAnsi="Arial" w:cs="Arial"/>
          <w:b/>
        </w:rPr>
      </w:pPr>
    </w:p>
    <w:p w14:paraId="43B9A249" w14:textId="77777777" w:rsidR="00F61E9C" w:rsidRDefault="00F61E9C" w:rsidP="00F61E9C">
      <w:pPr>
        <w:shd w:val="clear" w:color="auto" w:fill="FFFFFF"/>
        <w:spacing w:before="60" w:after="60"/>
        <w:jc w:val="both"/>
        <w:rPr>
          <w:rFonts w:ascii="Arial" w:hAnsi="Arial" w:cs="Arial"/>
          <w:b/>
        </w:rPr>
      </w:pPr>
    </w:p>
    <w:p w14:paraId="43939ED0" w14:textId="77777777" w:rsidR="00F61E9C" w:rsidRDefault="00F61E9C" w:rsidP="00F61E9C">
      <w:pPr>
        <w:shd w:val="clear" w:color="auto" w:fill="FFFFFF"/>
        <w:spacing w:before="60" w:after="60"/>
        <w:jc w:val="both"/>
        <w:rPr>
          <w:rFonts w:ascii="Arial" w:hAnsi="Arial" w:cs="Arial"/>
          <w:b/>
        </w:rPr>
      </w:pPr>
    </w:p>
    <w:p w14:paraId="47C06A53" w14:textId="77777777" w:rsidR="00F61E9C" w:rsidRDefault="00F61E9C" w:rsidP="00F61E9C">
      <w:pPr>
        <w:shd w:val="clear" w:color="auto" w:fill="FFFFFF"/>
        <w:spacing w:before="60" w:after="60"/>
        <w:jc w:val="both"/>
        <w:rPr>
          <w:rFonts w:ascii="Arial" w:hAnsi="Arial" w:cs="Arial"/>
          <w:b/>
        </w:rPr>
      </w:pPr>
    </w:p>
    <w:p w14:paraId="114078AB" w14:textId="53E30840" w:rsidR="00F61E9C" w:rsidRDefault="00F61E9C" w:rsidP="00F61E9C">
      <w:pPr>
        <w:shd w:val="clear" w:color="auto" w:fill="FFFFFF"/>
        <w:spacing w:before="60" w:after="60"/>
        <w:jc w:val="both"/>
        <w:rPr>
          <w:rFonts w:ascii="Arial" w:hAnsi="Arial" w:cs="Arial"/>
        </w:rPr>
      </w:pPr>
      <w:r w:rsidRPr="006261AF">
        <w:rPr>
          <w:rFonts w:ascii="Arial" w:hAnsi="Arial" w:cs="Arial"/>
          <w:b/>
        </w:rPr>
        <w:lastRenderedPageBreak/>
        <w:t>Expectations</w:t>
      </w:r>
    </w:p>
    <w:p w14:paraId="7161E932" w14:textId="77777777" w:rsidR="00F61E9C" w:rsidRDefault="00F61E9C" w:rsidP="00F61E9C">
      <w:pPr>
        <w:spacing w:before="60" w:after="60"/>
        <w:jc w:val="both"/>
        <w:rPr>
          <w:rFonts w:ascii="Arial" w:hAnsi="Arial" w:cs="Arial"/>
        </w:rPr>
      </w:pPr>
      <w:r>
        <w:rPr>
          <w:rFonts w:ascii="Arial" w:hAnsi="Arial" w:cs="Arial"/>
        </w:rPr>
        <w:t>DHBs should be ensuring timely and effective PHO implementation of the 2017 Ethnicity Data Protocols and use of EDAT.</w:t>
      </w:r>
    </w:p>
    <w:p w14:paraId="543C2264" w14:textId="77777777" w:rsidR="00F61E9C" w:rsidRDefault="00F61E9C" w:rsidP="00F61E9C">
      <w:pPr>
        <w:spacing w:before="60" w:after="60"/>
        <w:jc w:val="both"/>
        <w:rPr>
          <w:rFonts w:ascii="Arial" w:hAnsi="Arial" w:cs="Arial"/>
        </w:rPr>
      </w:pPr>
    </w:p>
    <w:p w14:paraId="220040A7" w14:textId="77777777" w:rsidR="00F61E9C" w:rsidRDefault="00F61E9C" w:rsidP="00F61E9C">
      <w:pPr>
        <w:spacing w:before="60" w:after="60"/>
        <w:jc w:val="both"/>
        <w:rPr>
          <w:rFonts w:ascii="Arial" w:hAnsi="Arial" w:cs="Arial"/>
        </w:rPr>
      </w:pPr>
      <w:r>
        <w:rPr>
          <w:rFonts w:ascii="Arial" w:hAnsi="Arial" w:cs="Arial"/>
        </w:rPr>
        <w:t>Specifically:</w:t>
      </w:r>
    </w:p>
    <w:p w14:paraId="7EBD16D6" w14:textId="77777777" w:rsidR="00F61E9C" w:rsidRPr="006261AF" w:rsidRDefault="00F61E9C" w:rsidP="00363573">
      <w:pPr>
        <w:numPr>
          <w:ilvl w:val="0"/>
          <w:numId w:val="27"/>
        </w:numPr>
        <w:spacing w:before="60" w:after="60" w:line="276" w:lineRule="auto"/>
        <w:jc w:val="both"/>
        <w:rPr>
          <w:rFonts w:ascii="Arial" w:hAnsi="Arial" w:cs="Arial"/>
        </w:rPr>
      </w:pPr>
      <w:r>
        <w:rPr>
          <w:rFonts w:ascii="Arial" w:hAnsi="Arial" w:cs="Arial"/>
        </w:rPr>
        <w:t>i</w:t>
      </w:r>
      <w:r w:rsidRPr="006261AF">
        <w:rPr>
          <w:rFonts w:ascii="Arial" w:hAnsi="Arial" w:cs="Arial"/>
        </w:rPr>
        <w:t xml:space="preserve">t is expected </w:t>
      </w:r>
      <w:r>
        <w:rPr>
          <w:rFonts w:ascii="Arial" w:hAnsi="Arial" w:cs="Arial"/>
        </w:rPr>
        <w:t xml:space="preserve">the </w:t>
      </w:r>
      <w:r w:rsidRPr="006261AF">
        <w:rPr>
          <w:rFonts w:ascii="Arial" w:hAnsi="Arial" w:cs="Arial"/>
        </w:rPr>
        <w:t>PHO</w:t>
      </w:r>
      <w:r>
        <w:rPr>
          <w:rFonts w:ascii="Arial" w:hAnsi="Arial" w:cs="Arial"/>
        </w:rPr>
        <w:t xml:space="preserve">s </w:t>
      </w:r>
      <w:r w:rsidRPr="006261AF">
        <w:rPr>
          <w:rFonts w:ascii="Arial" w:hAnsi="Arial" w:cs="Arial"/>
        </w:rPr>
        <w:t xml:space="preserve">accurately record ethnicity information about clients </w:t>
      </w:r>
      <w:r>
        <w:rPr>
          <w:rFonts w:ascii="Arial" w:hAnsi="Arial" w:cs="Arial"/>
        </w:rPr>
        <w:t>according to the 2017 Ethnicity Data Protocols.</w:t>
      </w:r>
    </w:p>
    <w:p w14:paraId="37221D95" w14:textId="77777777" w:rsidR="00F61E9C" w:rsidRPr="006261AF" w:rsidRDefault="00F61E9C" w:rsidP="00363573">
      <w:pPr>
        <w:numPr>
          <w:ilvl w:val="0"/>
          <w:numId w:val="27"/>
        </w:numPr>
        <w:spacing w:before="60" w:after="60" w:line="276" w:lineRule="auto"/>
        <w:jc w:val="both"/>
        <w:rPr>
          <w:rFonts w:ascii="Arial" w:hAnsi="Arial" w:cs="Arial"/>
        </w:rPr>
      </w:pPr>
      <w:r>
        <w:rPr>
          <w:rFonts w:ascii="Arial" w:hAnsi="Arial" w:cs="Arial"/>
        </w:rPr>
        <w:t>i</w:t>
      </w:r>
      <w:r w:rsidRPr="006261AF">
        <w:rPr>
          <w:rFonts w:ascii="Arial" w:hAnsi="Arial" w:cs="Arial"/>
        </w:rPr>
        <w:t>t is expected th</w:t>
      </w:r>
      <w:r>
        <w:rPr>
          <w:rFonts w:ascii="Arial" w:hAnsi="Arial" w:cs="Arial"/>
        </w:rPr>
        <w:t>e</w:t>
      </w:r>
      <w:r w:rsidRPr="006261AF">
        <w:rPr>
          <w:rFonts w:ascii="Arial" w:hAnsi="Arial" w:cs="Arial"/>
        </w:rPr>
        <w:t xml:space="preserve"> </w:t>
      </w:r>
      <w:r>
        <w:rPr>
          <w:rFonts w:ascii="Arial" w:hAnsi="Arial" w:cs="Arial"/>
        </w:rPr>
        <w:t>PHOs</w:t>
      </w:r>
      <w:r w:rsidRPr="006261AF">
        <w:rPr>
          <w:rFonts w:ascii="Arial" w:hAnsi="Arial" w:cs="Arial"/>
        </w:rPr>
        <w:t xml:space="preserve"> have processes in place to ensure all clients ethnicity information are up-to-date</w:t>
      </w:r>
    </w:p>
    <w:p w14:paraId="32D5B120" w14:textId="77777777" w:rsidR="00F61E9C" w:rsidRPr="00666D07" w:rsidRDefault="00F61E9C" w:rsidP="00363573">
      <w:pPr>
        <w:numPr>
          <w:ilvl w:val="0"/>
          <w:numId w:val="27"/>
        </w:numPr>
        <w:spacing w:before="60" w:after="60" w:line="276" w:lineRule="auto"/>
        <w:jc w:val="both"/>
        <w:rPr>
          <w:rFonts w:ascii="Arial" w:hAnsi="Arial" w:cs="Arial"/>
        </w:rPr>
      </w:pPr>
      <w:r>
        <w:rPr>
          <w:rFonts w:ascii="Arial" w:hAnsi="Arial" w:cs="Arial"/>
        </w:rPr>
        <w:t>p</w:t>
      </w:r>
      <w:r w:rsidRPr="00666D07">
        <w:rPr>
          <w:rFonts w:ascii="Arial" w:hAnsi="Arial" w:cs="Arial"/>
        </w:rPr>
        <w:t xml:space="preserve">rovide </w:t>
      </w:r>
      <w:r>
        <w:rPr>
          <w:rFonts w:ascii="Arial" w:hAnsi="Arial" w:cs="Arial"/>
        </w:rPr>
        <w:t xml:space="preserve">a </w:t>
      </w:r>
      <w:r w:rsidRPr="00666D07">
        <w:rPr>
          <w:rFonts w:ascii="Arial" w:hAnsi="Arial" w:cs="Arial"/>
        </w:rPr>
        <w:t xml:space="preserve">resolution plan on what it is doing to address the PHO’s performance </w:t>
      </w:r>
    </w:p>
    <w:p w14:paraId="4AF8E3DA" w14:textId="77777777" w:rsidR="00F61E9C" w:rsidRPr="006261AF" w:rsidRDefault="00F61E9C" w:rsidP="00363573">
      <w:pPr>
        <w:numPr>
          <w:ilvl w:val="0"/>
          <w:numId w:val="27"/>
        </w:numPr>
        <w:spacing w:before="60" w:after="60" w:line="276" w:lineRule="auto"/>
        <w:jc w:val="both"/>
        <w:rPr>
          <w:rFonts w:ascii="Arial" w:hAnsi="Arial" w:cs="Arial"/>
        </w:rPr>
      </w:pPr>
      <w:r>
        <w:rPr>
          <w:rFonts w:ascii="Arial" w:hAnsi="Arial" w:cs="Arial"/>
        </w:rPr>
        <w:t>w</w:t>
      </w:r>
      <w:r w:rsidRPr="006261AF">
        <w:rPr>
          <w:rFonts w:ascii="Arial" w:hAnsi="Arial" w:cs="Arial"/>
        </w:rPr>
        <w:t xml:space="preserve">ork </w:t>
      </w:r>
      <w:r>
        <w:rPr>
          <w:rFonts w:ascii="Arial" w:hAnsi="Arial" w:cs="Arial"/>
        </w:rPr>
        <w:t xml:space="preserve">is </w:t>
      </w:r>
      <w:r w:rsidRPr="006261AF">
        <w:rPr>
          <w:rFonts w:ascii="Arial" w:hAnsi="Arial" w:cs="Arial"/>
        </w:rPr>
        <w:t>contin</w:t>
      </w:r>
      <w:r>
        <w:rPr>
          <w:rFonts w:ascii="Arial" w:hAnsi="Arial" w:cs="Arial"/>
        </w:rPr>
        <w:t xml:space="preserve">uously undertaken </w:t>
      </w:r>
      <w:r w:rsidRPr="006261AF">
        <w:rPr>
          <w:rFonts w:ascii="Arial" w:hAnsi="Arial" w:cs="Arial"/>
        </w:rPr>
        <w:t>to improve ethnicity data quality and reporting mechanisms</w:t>
      </w:r>
    </w:p>
    <w:p w14:paraId="494A0A1F" w14:textId="77777777" w:rsidR="00F61E9C" w:rsidRPr="006261AF" w:rsidRDefault="00F61E9C" w:rsidP="00363573">
      <w:pPr>
        <w:numPr>
          <w:ilvl w:val="0"/>
          <w:numId w:val="27"/>
        </w:numPr>
        <w:spacing w:before="60" w:after="60" w:line="276" w:lineRule="auto"/>
        <w:jc w:val="both"/>
        <w:rPr>
          <w:rFonts w:ascii="Arial" w:hAnsi="Arial" w:cs="Arial"/>
        </w:rPr>
      </w:pPr>
      <w:r>
        <w:rPr>
          <w:rFonts w:ascii="Arial" w:hAnsi="Arial" w:cs="Arial"/>
        </w:rPr>
        <w:t xml:space="preserve">there are </w:t>
      </w:r>
      <w:r w:rsidRPr="006261AF">
        <w:rPr>
          <w:rFonts w:ascii="Arial" w:hAnsi="Arial" w:cs="Arial"/>
        </w:rPr>
        <w:t>strategies for reviewing and correcting ethnicity data quality issues</w:t>
      </w:r>
    </w:p>
    <w:p w14:paraId="38731EA1" w14:textId="77777777" w:rsidR="00F61E9C" w:rsidRPr="006261AF" w:rsidRDefault="00F61E9C" w:rsidP="00363573">
      <w:pPr>
        <w:numPr>
          <w:ilvl w:val="0"/>
          <w:numId w:val="27"/>
        </w:numPr>
        <w:spacing w:before="60" w:after="60" w:line="276" w:lineRule="auto"/>
        <w:jc w:val="both"/>
        <w:rPr>
          <w:rFonts w:ascii="Arial" w:hAnsi="Arial" w:cs="Arial"/>
        </w:rPr>
      </w:pPr>
      <w:r>
        <w:rPr>
          <w:rFonts w:ascii="Arial" w:hAnsi="Arial" w:cs="Arial"/>
        </w:rPr>
        <w:t xml:space="preserve">a </w:t>
      </w:r>
      <w:r w:rsidRPr="006261AF">
        <w:rPr>
          <w:rFonts w:ascii="Arial" w:hAnsi="Arial" w:cs="Arial"/>
        </w:rPr>
        <w:t xml:space="preserve">proactive </w:t>
      </w:r>
      <w:r>
        <w:rPr>
          <w:rFonts w:ascii="Arial" w:hAnsi="Arial" w:cs="Arial"/>
        </w:rPr>
        <w:t>approach is taken</w:t>
      </w:r>
      <w:r w:rsidRPr="006261AF">
        <w:rPr>
          <w:rFonts w:ascii="Arial" w:hAnsi="Arial" w:cs="Arial"/>
        </w:rPr>
        <w:t xml:space="preserve"> to develop and improve internal processes in order to maximise </w:t>
      </w:r>
      <w:r>
        <w:rPr>
          <w:rFonts w:ascii="Arial" w:hAnsi="Arial" w:cs="Arial"/>
        </w:rPr>
        <w:t xml:space="preserve">ethnicity </w:t>
      </w:r>
      <w:r w:rsidRPr="006261AF">
        <w:rPr>
          <w:rFonts w:ascii="Arial" w:hAnsi="Arial" w:cs="Arial"/>
        </w:rPr>
        <w:t>data quality. This activity must include:</w:t>
      </w:r>
    </w:p>
    <w:p w14:paraId="336AD863" w14:textId="77777777" w:rsidR="00F61E9C" w:rsidRPr="006261AF" w:rsidRDefault="00F61E9C" w:rsidP="00363573">
      <w:pPr>
        <w:numPr>
          <w:ilvl w:val="1"/>
          <w:numId w:val="27"/>
        </w:numPr>
        <w:spacing w:before="60" w:after="60" w:line="276" w:lineRule="auto"/>
        <w:jc w:val="both"/>
        <w:rPr>
          <w:rFonts w:ascii="Arial" w:hAnsi="Arial" w:cs="Arial"/>
        </w:rPr>
      </w:pPr>
      <w:r w:rsidRPr="006261AF">
        <w:rPr>
          <w:rFonts w:ascii="Arial" w:hAnsi="Arial" w:cs="Arial"/>
        </w:rPr>
        <w:t xml:space="preserve">considering the negative effect any proposed system change may have on </w:t>
      </w:r>
      <w:r>
        <w:rPr>
          <w:rFonts w:ascii="Arial" w:hAnsi="Arial" w:cs="Arial"/>
        </w:rPr>
        <w:t xml:space="preserve">ethnicity </w:t>
      </w:r>
      <w:r w:rsidRPr="006261AF">
        <w:rPr>
          <w:rFonts w:ascii="Arial" w:hAnsi="Arial" w:cs="Arial"/>
        </w:rPr>
        <w:t>data quality and minimising this impact</w:t>
      </w:r>
    </w:p>
    <w:p w14:paraId="24FC15E6" w14:textId="77777777" w:rsidR="00F61E9C" w:rsidRDefault="00F61E9C" w:rsidP="00363573">
      <w:pPr>
        <w:numPr>
          <w:ilvl w:val="1"/>
          <w:numId w:val="27"/>
        </w:numPr>
        <w:spacing w:before="60" w:after="60" w:line="276" w:lineRule="auto"/>
        <w:jc w:val="both"/>
        <w:rPr>
          <w:rFonts w:ascii="Arial" w:hAnsi="Arial" w:cs="Arial"/>
        </w:rPr>
      </w:pPr>
      <w:r w:rsidRPr="008764B2">
        <w:rPr>
          <w:rFonts w:ascii="Arial" w:hAnsi="Arial" w:cs="Arial"/>
        </w:rPr>
        <w:t xml:space="preserve">train </w:t>
      </w:r>
      <w:r>
        <w:rPr>
          <w:rFonts w:ascii="Arial" w:hAnsi="Arial" w:cs="Arial"/>
        </w:rPr>
        <w:t xml:space="preserve">all </w:t>
      </w:r>
      <w:r w:rsidRPr="008764B2">
        <w:rPr>
          <w:rFonts w:ascii="Arial" w:hAnsi="Arial" w:cs="Arial"/>
        </w:rPr>
        <w:t xml:space="preserve">staff </w:t>
      </w:r>
      <w:r>
        <w:rPr>
          <w:rFonts w:ascii="Arial" w:hAnsi="Arial" w:cs="Arial"/>
        </w:rPr>
        <w:t xml:space="preserve">who are involved in the collecting and/or recording of patient ethnicity data using </w:t>
      </w:r>
      <w:r w:rsidRPr="008764B2">
        <w:rPr>
          <w:rFonts w:ascii="Arial" w:hAnsi="Arial" w:cs="Arial"/>
        </w:rPr>
        <w:t>the online training module</w:t>
      </w:r>
    </w:p>
    <w:p w14:paraId="75E0DA6A" w14:textId="77777777" w:rsidR="00F61E9C" w:rsidRPr="00666D07" w:rsidRDefault="00F61E9C" w:rsidP="00F61E9C">
      <w:pPr>
        <w:spacing w:before="60" w:after="60" w:line="276" w:lineRule="auto"/>
        <w:jc w:val="both"/>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647"/>
      </w:tblGrid>
      <w:tr w:rsidR="00F61E9C" w:rsidRPr="006261AF" w14:paraId="46D15E6E" w14:textId="77777777" w:rsidTr="000A54FC">
        <w:tc>
          <w:tcPr>
            <w:tcW w:w="1418" w:type="dxa"/>
            <w:shd w:val="clear" w:color="auto" w:fill="FFFFFF"/>
            <w:vAlign w:val="center"/>
          </w:tcPr>
          <w:p w14:paraId="4E2807BF" w14:textId="77777777" w:rsidR="00F61E9C" w:rsidRPr="006261AF" w:rsidRDefault="00F61E9C" w:rsidP="000A54FC">
            <w:pPr>
              <w:shd w:val="clear" w:color="auto" w:fill="FFFFFF"/>
              <w:spacing w:before="60" w:after="60"/>
              <w:jc w:val="both"/>
              <w:rPr>
                <w:rFonts w:ascii="Arial" w:hAnsi="Arial" w:cs="Arial"/>
                <w:b/>
              </w:rPr>
            </w:pPr>
            <w:r w:rsidRPr="006261AF">
              <w:rPr>
                <w:rFonts w:ascii="Arial" w:hAnsi="Arial" w:cs="Arial"/>
                <w:b/>
              </w:rPr>
              <w:t xml:space="preserve">Rating: </w:t>
            </w:r>
          </w:p>
        </w:tc>
        <w:tc>
          <w:tcPr>
            <w:tcW w:w="8647" w:type="dxa"/>
            <w:shd w:val="clear" w:color="auto" w:fill="FFFFFF"/>
            <w:vAlign w:val="center"/>
          </w:tcPr>
          <w:p w14:paraId="70BE124F" w14:textId="77777777" w:rsidR="00F61E9C" w:rsidRPr="006261AF" w:rsidRDefault="00F61E9C" w:rsidP="000A54FC">
            <w:pPr>
              <w:shd w:val="clear" w:color="auto" w:fill="FFFFFF"/>
              <w:spacing w:before="60" w:after="60"/>
              <w:jc w:val="both"/>
              <w:rPr>
                <w:rFonts w:ascii="Arial" w:hAnsi="Arial" w:cs="Arial"/>
                <w:b/>
              </w:rPr>
            </w:pPr>
            <w:r w:rsidRPr="006261AF">
              <w:rPr>
                <w:rFonts w:ascii="Arial" w:hAnsi="Arial" w:cs="Arial"/>
                <w:b/>
              </w:rPr>
              <w:t>Definition</w:t>
            </w:r>
          </w:p>
        </w:tc>
      </w:tr>
      <w:tr w:rsidR="00F61E9C" w:rsidRPr="006261AF" w14:paraId="137E3985" w14:textId="77777777" w:rsidTr="000A54FC">
        <w:tc>
          <w:tcPr>
            <w:tcW w:w="1418" w:type="dxa"/>
            <w:shd w:val="clear" w:color="auto" w:fill="auto"/>
          </w:tcPr>
          <w:p w14:paraId="69207401" w14:textId="77777777" w:rsidR="00F61E9C" w:rsidRPr="006261AF" w:rsidRDefault="00F61E9C" w:rsidP="000A54FC">
            <w:pPr>
              <w:shd w:val="clear" w:color="auto" w:fill="FFFFFF"/>
              <w:spacing w:before="60" w:after="60"/>
              <w:jc w:val="both"/>
              <w:rPr>
                <w:rFonts w:ascii="Arial" w:hAnsi="Arial" w:cs="Arial"/>
              </w:rPr>
            </w:pPr>
            <w:r w:rsidRPr="006261AF">
              <w:rPr>
                <w:rFonts w:ascii="Arial" w:hAnsi="Arial" w:cs="Arial"/>
              </w:rPr>
              <w:t>Achieved</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D0F4699" w14:textId="77777777" w:rsidR="00F61E9C" w:rsidRPr="00E41335" w:rsidRDefault="00F61E9C" w:rsidP="000A54FC">
            <w:pPr>
              <w:shd w:val="clear" w:color="auto" w:fill="FFFFFF"/>
              <w:spacing w:before="60" w:after="60"/>
              <w:jc w:val="both"/>
              <w:rPr>
                <w:rFonts w:ascii="Arial" w:hAnsi="Arial" w:cs="Arial"/>
                <w:lang w:val="en-GB"/>
              </w:rPr>
            </w:pPr>
            <w:r w:rsidRPr="00E41335">
              <w:rPr>
                <w:rFonts w:ascii="Arial" w:hAnsi="Arial" w:cs="Arial"/>
                <w:lang w:val="en-GB"/>
              </w:rPr>
              <w:t xml:space="preserve">PHO has implemented, trained staff and audited the quality of ethnicity data using  EDAT within the past three year period. </w:t>
            </w:r>
          </w:p>
          <w:p w14:paraId="6E141533" w14:textId="77777777" w:rsidR="00F61E9C" w:rsidRPr="006261AF" w:rsidRDefault="00F61E9C" w:rsidP="000A54FC">
            <w:pPr>
              <w:shd w:val="clear" w:color="auto" w:fill="FFFFFF"/>
              <w:spacing w:before="60" w:after="60"/>
              <w:jc w:val="both"/>
              <w:rPr>
                <w:rFonts w:ascii="Arial" w:hAnsi="Arial" w:cs="Arial"/>
                <w:lang w:val="en-GB"/>
              </w:rPr>
            </w:pPr>
            <w:r w:rsidRPr="00E41335">
              <w:rPr>
                <w:rFonts w:ascii="Arial" w:hAnsi="Arial" w:cs="Arial"/>
                <w:lang w:val="en-GB"/>
              </w:rPr>
              <w:t>The current results from Stage 3 EDAT show a level of match in ethnicity data of greater than 90 percent.</w:t>
            </w:r>
          </w:p>
        </w:tc>
      </w:tr>
      <w:tr w:rsidR="00F61E9C" w:rsidRPr="006261AF" w14:paraId="48021129" w14:textId="77777777" w:rsidTr="000A54FC">
        <w:tblPrEx>
          <w:tblLook w:val="01E0" w:firstRow="1" w:lastRow="1" w:firstColumn="1" w:lastColumn="1" w:noHBand="0" w:noVBand="0"/>
        </w:tblPrEx>
        <w:tc>
          <w:tcPr>
            <w:tcW w:w="1418" w:type="dxa"/>
            <w:shd w:val="clear" w:color="auto" w:fill="auto"/>
          </w:tcPr>
          <w:p w14:paraId="6C715DAF" w14:textId="77777777" w:rsidR="00F61E9C" w:rsidRPr="006261AF" w:rsidRDefault="00F61E9C" w:rsidP="000A54FC">
            <w:pPr>
              <w:shd w:val="clear" w:color="auto" w:fill="FFFFFF"/>
              <w:spacing w:before="60" w:after="60"/>
              <w:jc w:val="both"/>
              <w:rPr>
                <w:rFonts w:ascii="Arial" w:hAnsi="Arial" w:cs="Arial"/>
              </w:rPr>
            </w:pPr>
            <w:r w:rsidRPr="006261AF">
              <w:rPr>
                <w:rFonts w:ascii="Arial" w:hAnsi="Arial" w:cs="Arial"/>
              </w:rPr>
              <w:t>Partially Achieved</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23EF85" w14:textId="77777777" w:rsidR="00F61E9C" w:rsidRDefault="00F61E9C" w:rsidP="000A54FC">
            <w:pPr>
              <w:shd w:val="clear" w:color="auto" w:fill="FFFFFF"/>
              <w:spacing w:before="60" w:after="60"/>
              <w:jc w:val="both"/>
              <w:rPr>
                <w:rFonts w:ascii="Arial" w:hAnsi="Arial" w:cs="Arial"/>
                <w:lang w:val="en-GB"/>
              </w:rPr>
            </w:pPr>
            <w:r w:rsidRPr="006261AF">
              <w:rPr>
                <w:rFonts w:ascii="Arial" w:hAnsi="Arial" w:cs="Arial"/>
                <w:lang w:val="en-GB"/>
              </w:rPr>
              <w:t>PHO has implemented, trained staff and audited</w:t>
            </w:r>
            <w:r>
              <w:rPr>
                <w:rFonts w:ascii="Arial" w:hAnsi="Arial" w:cs="Arial"/>
                <w:lang w:val="en-GB"/>
              </w:rPr>
              <w:t xml:space="preserve"> the quality of ethnicity data using</w:t>
            </w:r>
            <w:r w:rsidRPr="006261AF">
              <w:rPr>
                <w:rFonts w:ascii="Arial" w:hAnsi="Arial" w:cs="Arial"/>
                <w:lang w:val="en-GB"/>
              </w:rPr>
              <w:t xml:space="preserve"> EDAT </w:t>
            </w:r>
            <w:r>
              <w:rPr>
                <w:rFonts w:ascii="Arial" w:hAnsi="Arial" w:cs="Arial"/>
                <w:lang w:val="en-GB"/>
              </w:rPr>
              <w:t xml:space="preserve">within the past three year period. </w:t>
            </w:r>
          </w:p>
          <w:p w14:paraId="01A89F5B" w14:textId="77777777" w:rsidR="00F61E9C" w:rsidRDefault="00F61E9C" w:rsidP="000A54FC">
            <w:pPr>
              <w:shd w:val="clear" w:color="auto" w:fill="FFFFFF"/>
              <w:spacing w:before="60" w:after="60"/>
              <w:jc w:val="both"/>
              <w:rPr>
                <w:rFonts w:ascii="Arial" w:hAnsi="Arial" w:cs="Arial"/>
                <w:lang w:val="en-GB"/>
              </w:rPr>
            </w:pPr>
            <w:r>
              <w:rPr>
                <w:rFonts w:ascii="Arial" w:hAnsi="Arial" w:cs="Arial"/>
                <w:lang w:val="en-GB"/>
              </w:rPr>
              <w:t xml:space="preserve">The current results from Stage 3 EDAT show a level of match in ethnicity data between 70 and 90 percent. </w:t>
            </w:r>
          </w:p>
          <w:p w14:paraId="3CF617F6" w14:textId="77777777" w:rsidR="00F61E9C" w:rsidRPr="00463776" w:rsidRDefault="00F61E9C" w:rsidP="000A54FC">
            <w:pPr>
              <w:shd w:val="clear" w:color="auto" w:fill="FFFFFF"/>
              <w:spacing w:before="60" w:after="60"/>
              <w:jc w:val="both"/>
              <w:rPr>
                <w:rFonts w:ascii="Helv" w:hAnsi="Helv" w:cs="Helv"/>
                <w:color w:val="000000"/>
                <w:lang w:eastAsia="en-NZ"/>
              </w:rPr>
            </w:pPr>
            <w:r>
              <w:rPr>
                <w:rFonts w:ascii="Arial" w:hAnsi="Arial" w:cs="Arial"/>
                <w:lang w:val="en-GB"/>
              </w:rPr>
              <w:t xml:space="preserve">The PHO has provided a clear plan outlining activities to improve performance, </w:t>
            </w:r>
            <w:r>
              <w:rPr>
                <w:rFonts w:ascii="Helv" w:hAnsi="Helv" w:cs="Helv"/>
                <w:color w:val="000000"/>
                <w:lang w:eastAsia="en-NZ"/>
              </w:rPr>
              <w:t>set an appropriate timeframe to achieve a proposed performance target, and is on track to meet the performance target.</w:t>
            </w:r>
          </w:p>
        </w:tc>
      </w:tr>
      <w:tr w:rsidR="00F61E9C" w:rsidRPr="006261AF" w14:paraId="1408E512" w14:textId="77777777" w:rsidTr="000A54FC">
        <w:tblPrEx>
          <w:tblLook w:val="01E0" w:firstRow="1" w:lastRow="1" w:firstColumn="1" w:lastColumn="1" w:noHBand="0" w:noVBand="0"/>
        </w:tblPrEx>
        <w:tc>
          <w:tcPr>
            <w:tcW w:w="1418" w:type="dxa"/>
            <w:shd w:val="clear" w:color="auto" w:fill="auto"/>
          </w:tcPr>
          <w:p w14:paraId="12591A34" w14:textId="77777777" w:rsidR="00F61E9C" w:rsidRPr="006261AF" w:rsidRDefault="00F61E9C" w:rsidP="000A54FC">
            <w:pPr>
              <w:shd w:val="clear" w:color="auto" w:fill="FFFFFF"/>
              <w:spacing w:before="60" w:after="60"/>
              <w:jc w:val="both"/>
              <w:rPr>
                <w:rFonts w:ascii="Arial" w:hAnsi="Arial" w:cs="Arial"/>
              </w:rPr>
            </w:pPr>
            <w:r w:rsidRPr="006261AF">
              <w:rPr>
                <w:rFonts w:ascii="Arial" w:hAnsi="Arial" w:cs="Arial"/>
              </w:rPr>
              <w:t>Not Achieved</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F4EFB3A" w14:textId="77777777" w:rsidR="00F61E9C" w:rsidRPr="00463776" w:rsidRDefault="00F61E9C" w:rsidP="000A54FC">
            <w:pPr>
              <w:shd w:val="clear" w:color="auto" w:fill="FFFFFF"/>
              <w:spacing w:before="60" w:after="60"/>
              <w:jc w:val="both"/>
              <w:rPr>
                <w:rFonts w:ascii="Arial" w:hAnsi="Arial" w:cs="Arial"/>
                <w:color w:val="000000"/>
                <w:lang w:val="en-GB"/>
              </w:rPr>
            </w:pPr>
            <w:r>
              <w:rPr>
                <w:rFonts w:ascii="Arial" w:hAnsi="Arial" w:cs="Arial"/>
                <w:lang w:val="en-GB"/>
              </w:rPr>
              <w:t>Not meeting the Achieved or Partially Achieved rating requirements.</w:t>
            </w:r>
          </w:p>
        </w:tc>
      </w:tr>
    </w:tbl>
    <w:p w14:paraId="6AFBA877" w14:textId="77777777" w:rsidR="00A44158" w:rsidRDefault="00A44158"/>
    <w:p w14:paraId="29491732" w14:textId="77777777" w:rsidR="00A44158" w:rsidRDefault="00A44158">
      <w:r>
        <w:br w:type="page"/>
      </w:r>
    </w:p>
    <w:p w14:paraId="4C7D1F0F" w14:textId="77777777" w:rsidR="00A44158" w:rsidRPr="00FD2C3B" w:rsidRDefault="00A44158" w:rsidP="00A44158">
      <w:pPr>
        <w:spacing w:before="60" w:after="120"/>
        <w:jc w:val="both"/>
        <w:rPr>
          <w:rFonts w:ascii="Arial" w:hAnsi="Arial" w:cs="Arial"/>
          <w:b/>
          <w:i/>
        </w:rPr>
      </w:pPr>
      <w:r w:rsidRPr="00FD2C3B">
        <w:rPr>
          <w:rFonts w:ascii="Arial" w:hAnsi="Arial" w:cs="Arial"/>
          <w:b/>
          <w:i/>
        </w:rPr>
        <w:lastRenderedPageBreak/>
        <w:t>Outcome priority:  We have equity for M</w:t>
      </w:r>
      <w:r>
        <w:rPr>
          <w:rFonts w:ascii="Arial" w:hAnsi="Arial" w:cs="Arial"/>
          <w:b/>
          <w:i/>
        </w:rPr>
        <w:t>ā</w:t>
      </w:r>
      <w:r w:rsidRPr="00FD2C3B">
        <w:rPr>
          <w:rFonts w:ascii="Arial" w:hAnsi="Arial" w:cs="Arial"/>
          <w:b/>
          <w:i/>
        </w:rPr>
        <w:t xml:space="preserve">ori and other groups  </w:t>
      </w:r>
    </w:p>
    <w:p w14:paraId="771D64FA" w14:textId="77777777" w:rsidR="00A44158" w:rsidRPr="00FD2C3B" w:rsidRDefault="00A44158" w:rsidP="00A44158">
      <w:pPr>
        <w:keepNext/>
        <w:shd w:val="clear" w:color="auto" w:fill="FFFFFF"/>
        <w:spacing w:before="60" w:after="60"/>
        <w:jc w:val="both"/>
        <w:outlineLvl w:val="0"/>
        <w:rPr>
          <w:rFonts w:ascii="Arial" w:hAnsi="Arial" w:cs="Arial"/>
          <w:b/>
          <w:bCs/>
          <w:i/>
          <w:kern w:val="32"/>
          <w:sz w:val="28"/>
          <w:szCs w:val="28"/>
        </w:rPr>
      </w:pPr>
      <w:bookmarkStart w:id="544" w:name="_Toc491938858"/>
      <w:bookmarkStart w:id="545" w:name="_Toc513555939"/>
      <w:bookmarkStart w:id="546" w:name="_Toc4588573"/>
      <w:bookmarkStart w:id="547" w:name="_Toc9592042"/>
      <w:r w:rsidRPr="00FD2C3B">
        <w:rPr>
          <w:rFonts w:ascii="Arial" w:hAnsi="Arial" w:cs="Arial"/>
          <w:b/>
          <w:bCs/>
          <w:i/>
          <w:kern w:val="32"/>
          <w:sz w:val="28"/>
          <w:szCs w:val="28"/>
        </w:rPr>
        <w:t>Better population health outcomes supported by primary health care PH03: Improving M</w:t>
      </w:r>
      <w:r>
        <w:rPr>
          <w:rFonts w:ascii="Arial" w:hAnsi="Arial" w:cs="Arial"/>
          <w:b/>
          <w:bCs/>
          <w:i/>
          <w:kern w:val="32"/>
          <w:sz w:val="28"/>
          <w:szCs w:val="28"/>
        </w:rPr>
        <w:t>ā</w:t>
      </w:r>
      <w:r w:rsidRPr="00FD2C3B">
        <w:rPr>
          <w:rFonts w:ascii="Arial" w:hAnsi="Arial" w:cs="Arial"/>
          <w:b/>
          <w:bCs/>
          <w:i/>
          <w:kern w:val="32"/>
          <w:sz w:val="28"/>
          <w:szCs w:val="28"/>
        </w:rPr>
        <w:t xml:space="preserve">ori enrolment in PHOs to meet the </w:t>
      </w:r>
      <w:r>
        <w:rPr>
          <w:rFonts w:ascii="Arial" w:hAnsi="Arial" w:cs="Arial"/>
          <w:b/>
          <w:bCs/>
          <w:i/>
          <w:kern w:val="32"/>
          <w:sz w:val="28"/>
          <w:szCs w:val="28"/>
        </w:rPr>
        <w:t>Budget Standard</w:t>
      </w:r>
      <w:r w:rsidRPr="00FD2C3B">
        <w:rPr>
          <w:rFonts w:ascii="Arial" w:hAnsi="Arial" w:cs="Arial"/>
          <w:b/>
          <w:bCs/>
          <w:i/>
          <w:kern w:val="32"/>
          <w:sz w:val="28"/>
          <w:szCs w:val="28"/>
        </w:rPr>
        <w:t xml:space="preserve"> of 9</w:t>
      </w:r>
      <w:r>
        <w:rPr>
          <w:rFonts w:ascii="Arial" w:hAnsi="Arial" w:cs="Arial"/>
          <w:b/>
          <w:bCs/>
          <w:i/>
          <w:kern w:val="32"/>
          <w:sz w:val="28"/>
          <w:szCs w:val="28"/>
        </w:rPr>
        <w:t>5 percent</w:t>
      </w:r>
      <w:bookmarkEnd w:id="544"/>
      <w:bookmarkEnd w:id="545"/>
      <w:bookmarkEnd w:id="546"/>
      <w:bookmarkEnd w:id="547"/>
    </w:p>
    <w:p w14:paraId="4E22A071" w14:textId="77777777" w:rsidR="00A44158" w:rsidRPr="00FD2C3B" w:rsidRDefault="00A44158" w:rsidP="00A44158">
      <w:pPr>
        <w:shd w:val="clear" w:color="auto" w:fill="FFFFFF"/>
        <w:spacing w:before="60" w:after="60"/>
        <w:jc w:val="both"/>
        <w:rPr>
          <w:rFonts w:ascii="Arial" w:hAnsi="Arial" w:cs="Arial"/>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209"/>
        <w:gridCol w:w="1021"/>
      </w:tblGrid>
      <w:tr w:rsidR="00A44158" w:rsidRPr="00FD2C3B" w14:paraId="2B1CD7B3" w14:textId="77777777" w:rsidTr="000A54FC">
        <w:tc>
          <w:tcPr>
            <w:tcW w:w="10094" w:type="dxa"/>
            <w:gridSpan w:val="3"/>
            <w:shd w:val="clear" w:color="auto" w:fill="D9D9D9"/>
          </w:tcPr>
          <w:p w14:paraId="2171F04F" w14:textId="77777777" w:rsidR="00A44158" w:rsidRPr="00FD2C3B" w:rsidRDefault="00A44158" w:rsidP="000A54FC">
            <w:pPr>
              <w:shd w:val="clear" w:color="auto" w:fill="FFFFFF"/>
              <w:spacing w:before="60" w:after="60"/>
              <w:jc w:val="center"/>
              <w:rPr>
                <w:rFonts w:ascii="Arial" w:hAnsi="Arial" w:cs="Arial"/>
                <w:b/>
              </w:rPr>
            </w:pPr>
            <w:r w:rsidRPr="00FD2C3B">
              <w:rPr>
                <w:rFonts w:ascii="Arial" w:hAnsi="Arial" w:cs="Arial"/>
                <w:b/>
              </w:rPr>
              <w:t>Summary information</w:t>
            </w:r>
          </w:p>
        </w:tc>
      </w:tr>
      <w:tr w:rsidR="00A44158" w:rsidRPr="00FD2C3B" w14:paraId="73D07F11" w14:textId="77777777" w:rsidTr="000A54FC">
        <w:tc>
          <w:tcPr>
            <w:tcW w:w="2864" w:type="dxa"/>
            <w:shd w:val="clear" w:color="auto" w:fill="auto"/>
          </w:tcPr>
          <w:p w14:paraId="0C8BAF12" w14:textId="77777777" w:rsidR="00A44158" w:rsidRPr="00FD2C3B" w:rsidRDefault="00A44158" w:rsidP="000A54FC">
            <w:pPr>
              <w:shd w:val="clear" w:color="auto" w:fill="FFFFFF"/>
              <w:spacing w:before="60" w:after="60"/>
              <w:rPr>
                <w:rFonts w:ascii="Arial" w:hAnsi="Arial" w:cs="Arial"/>
                <w:b/>
                <w:i/>
                <w:sz w:val="20"/>
                <w:szCs w:val="20"/>
              </w:rPr>
            </w:pPr>
            <w:r w:rsidRPr="00FD2C3B">
              <w:rPr>
                <w:rFonts w:ascii="Arial" w:hAnsi="Arial" w:cs="Arial"/>
                <w:b/>
                <w:i/>
                <w:sz w:val="20"/>
                <w:szCs w:val="20"/>
              </w:rPr>
              <w:t>Target/performance expectation</w:t>
            </w:r>
          </w:p>
        </w:tc>
        <w:tc>
          <w:tcPr>
            <w:tcW w:w="7230" w:type="dxa"/>
            <w:gridSpan w:val="2"/>
            <w:shd w:val="clear" w:color="auto" w:fill="auto"/>
          </w:tcPr>
          <w:p w14:paraId="65C7EC20" w14:textId="77777777" w:rsidR="00A44158" w:rsidRPr="00FD2C3B" w:rsidRDefault="00A44158" w:rsidP="000A54FC">
            <w:pPr>
              <w:shd w:val="clear" w:color="auto" w:fill="FFFFFF"/>
              <w:spacing w:before="60" w:after="60"/>
              <w:jc w:val="both"/>
              <w:rPr>
                <w:rFonts w:ascii="Arial" w:hAnsi="Arial" w:cs="Arial"/>
                <w:sz w:val="20"/>
                <w:szCs w:val="20"/>
              </w:rPr>
            </w:pPr>
            <w:r w:rsidRPr="00FD2C3B">
              <w:rPr>
                <w:rFonts w:ascii="Arial" w:hAnsi="Arial" w:cs="Arial"/>
                <w:sz w:val="20"/>
                <w:szCs w:val="20"/>
              </w:rPr>
              <w:t>Agreed in DHB Annual Plan</w:t>
            </w:r>
          </w:p>
          <w:p w14:paraId="41BA765F" w14:textId="77777777" w:rsidR="00A44158" w:rsidRPr="00FD2C3B" w:rsidRDefault="00A44158" w:rsidP="000A54FC">
            <w:pPr>
              <w:shd w:val="clear" w:color="auto" w:fill="FFFFFF"/>
              <w:spacing w:before="60" w:after="60"/>
              <w:jc w:val="both"/>
              <w:rPr>
                <w:rFonts w:ascii="Arial" w:hAnsi="Arial" w:cs="Arial"/>
                <w:sz w:val="18"/>
                <w:szCs w:val="18"/>
              </w:rPr>
            </w:pPr>
            <w:r w:rsidRPr="00FD2C3B">
              <w:rPr>
                <w:rFonts w:ascii="Arial" w:hAnsi="Arial" w:cs="Arial"/>
                <w:sz w:val="18"/>
                <w:szCs w:val="18"/>
              </w:rPr>
              <w:t>DHBs with M</w:t>
            </w:r>
            <w:r>
              <w:rPr>
                <w:rFonts w:ascii="Arial" w:hAnsi="Arial" w:cs="Arial"/>
                <w:sz w:val="18"/>
                <w:szCs w:val="18"/>
              </w:rPr>
              <w:t>ā</w:t>
            </w:r>
            <w:r w:rsidRPr="00FD2C3B">
              <w:rPr>
                <w:rFonts w:ascii="Arial" w:hAnsi="Arial" w:cs="Arial"/>
                <w:sz w:val="18"/>
                <w:szCs w:val="18"/>
              </w:rPr>
              <w:t>ori enrolment rates less than 9</w:t>
            </w:r>
            <w:r>
              <w:rPr>
                <w:rFonts w:ascii="Arial" w:hAnsi="Arial" w:cs="Arial"/>
                <w:sz w:val="18"/>
                <w:szCs w:val="18"/>
              </w:rPr>
              <w:t>5 percent</w:t>
            </w:r>
          </w:p>
          <w:p w14:paraId="295BDFD2" w14:textId="77777777" w:rsidR="00A44158" w:rsidRPr="00FD2C3B" w:rsidRDefault="00A44158" w:rsidP="00C04FF1">
            <w:pPr>
              <w:numPr>
                <w:ilvl w:val="0"/>
                <w:numId w:val="55"/>
              </w:numPr>
              <w:shd w:val="clear" w:color="auto" w:fill="FFFFFF"/>
              <w:spacing w:before="60" w:after="60"/>
              <w:ind w:left="488" w:hanging="284"/>
              <w:contextualSpacing/>
              <w:jc w:val="both"/>
              <w:rPr>
                <w:rFonts w:ascii="Arial" w:hAnsi="Arial" w:cs="Arial"/>
                <w:sz w:val="18"/>
                <w:szCs w:val="18"/>
              </w:rPr>
            </w:pPr>
            <w:r w:rsidRPr="00FD2C3B">
              <w:rPr>
                <w:rFonts w:ascii="Arial" w:hAnsi="Arial" w:cs="Arial"/>
                <w:sz w:val="18"/>
                <w:szCs w:val="18"/>
              </w:rPr>
              <w:t>Work with their PHOs to target those people who are not enrolled</w:t>
            </w:r>
          </w:p>
          <w:p w14:paraId="44A655CD" w14:textId="77777777" w:rsidR="00A44158" w:rsidRPr="00FD2C3B" w:rsidRDefault="00A44158" w:rsidP="00C04FF1">
            <w:pPr>
              <w:numPr>
                <w:ilvl w:val="0"/>
                <w:numId w:val="55"/>
              </w:numPr>
              <w:shd w:val="clear" w:color="auto" w:fill="FFFFFF"/>
              <w:spacing w:before="60" w:after="60"/>
              <w:ind w:left="488" w:hanging="284"/>
              <w:contextualSpacing/>
              <w:jc w:val="both"/>
              <w:rPr>
                <w:rFonts w:ascii="Arial" w:hAnsi="Arial" w:cs="Arial"/>
                <w:sz w:val="18"/>
                <w:szCs w:val="18"/>
              </w:rPr>
            </w:pPr>
            <w:r w:rsidRPr="00FD2C3B">
              <w:rPr>
                <w:rFonts w:ascii="Arial" w:hAnsi="Arial" w:cs="Arial"/>
                <w:sz w:val="18"/>
                <w:szCs w:val="18"/>
              </w:rPr>
              <w:t>PHOs and/or DHBs deliver enrolment messages to those who are not enrolled through outreach clinics and NGOs</w:t>
            </w:r>
          </w:p>
          <w:p w14:paraId="3C36837F" w14:textId="77777777" w:rsidR="00A44158" w:rsidRPr="00FD2C3B" w:rsidRDefault="00A44158" w:rsidP="000A54FC">
            <w:pPr>
              <w:shd w:val="clear" w:color="auto" w:fill="FFFFFF"/>
              <w:spacing w:before="60" w:after="60"/>
              <w:jc w:val="both"/>
              <w:rPr>
                <w:rFonts w:ascii="Arial" w:hAnsi="Arial" w:cs="Arial"/>
                <w:sz w:val="18"/>
                <w:szCs w:val="18"/>
              </w:rPr>
            </w:pPr>
            <w:r w:rsidRPr="00FD2C3B">
              <w:rPr>
                <w:rFonts w:ascii="Arial" w:hAnsi="Arial" w:cs="Arial"/>
                <w:sz w:val="18"/>
                <w:szCs w:val="18"/>
              </w:rPr>
              <w:t>DHBs already meeting or exceeding the national average of 9</w:t>
            </w:r>
            <w:r>
              <w:rPr>
                <w:rFonts w:ascii="Arial" w:hAnsi="Arial" w:cs="Arial"/>
                <w:sz w:val="18"/>
                <w:szCs w:val="18"/>
              </w:rPr>
              <w:t>5 percent</w:t>
            </w:r>
          </w:p>
          <w:p w14:paraId="125F79CE" w14:textId="77777777" w:rsidR="00A44158" w:rsidRPr="00FD2C3B" w:rsidRDefault="00A44158" w:rsidP="00C04FF1">
            <w:pPr>
              <w:numPr>
                <w:ilvl w:val="0"/>
                <w:numId w:val="54"/>
              </w:numPr>
              <w:shd w:val="clear" w:color="auto" w:fill="FFFFFF"/>
              <w:spacing w:before="60" w:after="60"/>
              <w:ind w:left="488" w:hanging="284"/>
              <w:contextualSpacing/>
              <w:jc w:val="both"/>
              <w:rPr>
                <w:rFonts w:ascii="Arial" w:hAnsi="Arial" w:cs="Arial"/>
                <w:b/>
                <w:i/>
                <w:sz w:val="20"/>
                <w:szCs w:val="20"/>
              </w:rPr>
            </w:pPr>
            <w:r w:rsidRPr="00FD2C3B">
              <w:rPr>
                <w:rFonts w:ascii="Arial" w:hAnsi="Arial" w:cs="Arial"/>
                <w:sz w:val="18"/>
                <w:szCs w:val="18"/>
              </w:rPr>
              <w:t>Continue to maintain the M</w:t>
            </w:r>
            <w:r>
              <w:rPr>
                <w:rFonts w:ascii="Arial" w:hAnsi="Arial" w:cs="Arial"/>
                <w:sz w:val="18"/>
                <w:szCs w:val="18"/>
              </w:rPr>
              <w:t>ā</w:t>
            </w:r>
            <w:r w:rsidRPr="00FD2C3B">
              <w:rPr>
                <w:rFonts w:ascii="Arial" w:hAnsi="Arial" w:cs="Arial"/>
                <w:sz w:val="18"/>
                <w:szCs w:val="18"/>
              </w:rPr>
              <w:t>ori enrolment percentage</w:t>
            </w:r>
          </w:p>
        </w:tc>
      </w:tr>
      <w:tr w:rsidR="00A44158" w:rsidRPr="00FD2C3B" w14:paraId="5F1BE9DB" w14:textId="77777777" w:rsidTr="000A54FC">
        <w:trPr>
          <w:trHeight w:val="493"/>
        </w:trPr>
        <w:tc>
          <w:tcPr>
            <w:tcW w:w="2864" w:type="dxa"/>
            <w:shd w:val="clear" w:color="auto" w:fill="auto"/>
          </w:tcPr>
          <w:p w14:paraId="20A7A7F6" w14:textId="77777777" w:rsidR="00A44158" w:rsidRPr="00FD2C3B" w:rsidRDefault="00A44158" w:rsidP="000A54FC">
            <w:pPr>
              <w:shd w:val="clear" w:color="auto" w:fill="FFFFFF"/>
              <w:spacing w:before="60" w:after="60"/>
              <w:rPr>
                <w:rFonts w:ascii="Arial" w:hAnsi="Arial" w:cs="Arial"/>
                <w:b/>
                <w:i/>
                <w:sz w:val="20"/>
                <w:szCs w:val="20"/>
              </w:rPr>
            </w:pPr>
            <w:r w:rsidRPr="00FD2C3B">
              <w:rPr>
                <w:rFonts w:ascii="Arial" w:hAnsi="Arial" w:cs="Arial"/>
                <w:b/>
                <w:i/>
                <w:sz w:val="20"/>
                <w:szCs w:val="20"/>
              </w:rPr>
              <w:t>Reporting frequency</w:t>
            </w:r>
          </w:p>
        </w:tc>
        <w:tc>
          <w:tcPr>
            <w:tcW w:w="7230" w:type="dxa"/>
            <w:gridSpan w:val="2"/>
            <w:shd w:val="clear" w:color="auto" w:fill="auto"/>
          </w:tcPr>
          <w:p w14:paraId="5AE35AB6" w14:textId="77777777" w:rsidR="00A44158" w:rsidRPr="00FD2C3B" w:rsidRDefault="00A44158" w:rsidP="000A54FC">
            <w:pPr>
              <w:shd w:val="clear" w:color="auto" w:fill="FFFFFF"/>
              <w:spacing w:before="60" w:after="60"/>
              <w:jc w:val="both"/>
              <w:rPr>
                <w:rFonts w:ascii="Arial" w:hAnsi="Arial" w:cs="Arial"/>
                <w:sz w:val="20"/>
                <w:szCs w:val="20"/>
              </w:rPr>
            </w:pPr>
            <w:r w:rsidRPr="00FD2C3B">
              <w:rPr>
                <w:rFonts w:ascii="Arial" w:hAnsi="Arial" w:cs="Arial"/>
                <w:sz w:val="20"/>
                <w:szCs w:val="20"/>
              </w:rPr>
              <w:t>Six monthly (quarters 2 and 4)</w:t>
            </w:r>
          </w:p>
        </w:tc>
      </w:tr>
      <w:tr w:rsidR="00A44158" w:rsidRPr="00FD2C3B" w14:paraId="12C6AE12" w14:textId="77777777" w:rsidTr="000A54FC">
        <w:tc>
          <w:tcPr>
            <w:tcW w:w="2864" w:type="dxa"/>
            <w:shd w:val="clear" w:color="auto" w:fill="auto"/>
          </w:tcPr>
          <w:p w14:paraId="4CE76C6C" w14:textId="77777777" w:rsidR="00A44158" w:rsidRPr="00FD2C3B" w:rsidRDefault="00A44158" w:rsidP="000A54FC">
            <w:pPr>
              <w:shd w:val="clear" w:color="auto" w:fill="FFFFFF"/>
              <w:spacing w:before="60" w:after="60"/>
              <w:rPr>
                <w:rFonts w:ascii="Arial" w:hAnsi="Arial" w:cs="Arial"/>
                <w:b/>
                <w:i/>
                <w:sz w:val="20"/>
                <w:szCs w:val="20"/>
              </w:rPr>
            </w:pPr>
            <w:r w:rsidRPr="00FD2C3B">
              <w:rPr>
                <w:rFonts w:ascii="Arial" w:hAnsi="Arial" w:cs="Arial"/>
                <w:b/>
                <w:i/>
                <w:sz w:val="20"/>
                <w:szCs w:val="20"/>
              </w:rPr>
              <w:t>Source information for reporting provided by:</w:t>
            </w:r>
          </w:p>
        </w:tc>
        <w:tc>
          <w:tcPr>
            <w:tcW w:w="7230" w:type="dxa"/>
            <w:gridSpan w:val="2"/>
            <w:shd w:val="clear" w:color="auto" w:fill="auto"/>
          </w:tcPr>
          <w:p w14:paraId="65373A5B" w14:textId="77777777" w:rsidR="00A44158" w:rsidRPr="00FD2C3B" w:rsidRDefault="00A44158" w:rsidP="000A54FC">
            <w:pPr>
              <w:shd w:val="clear" w:color="auto" w:fill="FFFFFF"/>
              <w:spacing w:before="60" w:after="60"/>
              <w:rPr>
                <w:rFonts w:ascii="Arial" w:hAnsi="Arial" w:cs="Arial"/>
                <w:i/>
                <w:sz w:val="20"/>
                <w:szCs w:val="20"/>
              </w:rPr>
            </w:pPr>
            <w:r w:rsidRPr="00FD2C3B">
              <w:rPr>
                <w:rFonts w:ascii="Arial" w:hAnsi="Arial" w:cs="Arial"/>
                <w:i/>
                <w:sz w:val="20"/>
                <w:szCs w:val="20"/>
              </w:rPr>
              <w:t xml:space="preserve">Data is sourced from CBF file. Information for reporting in </w:t>
            </w:r>
            <w:proofErr w:type="spellStart"/>
            <w:r w:rsidRPr="00FD2C3B">
              <w:rPr>
                <w:rFonts w:ascii="Arial" w:hAnsi="Arial" w:cs="Arial"/>
                <w:i/>
                <w:sz w:val="20"/>
                <w:szCs w:val="20"/>
              </w:rPr>
              <w:t>publically</w:t>
            </w:r>
            <w:proofErr w:type="spellEnd"/>
            <w:r w:rsidRPr="00FD2C3B">
              <w:rPr>
                <w:rFonts w:ascii="Arial" w:hAnsi="Arial" w:cs="Arial"/>
                <w:i/>
                <w:sz w:val="20"/>
                <w:szCs w:val="20"/>
              </w:rPr>
              <w:t xml:space="preserve"> available on the Ministry of Health website http://www.health.govt.nz/our -work/primary-health-care/about_primary-health-organsiation/enrolment-primary-health-organisation</w:t>
            </w:r>
          </w:p>
        </w:tc>
      </w:tr>
      <w:tr w:rsidR="00A44158" w:rsidRPr="00FD2C3B" w14:paraId="37783DB4" w14:textId="77777777" w:rsidTr="000A54FC">
        <w:trPr>
          <w:trHeight w:val="2182"/>
        </w:trPr>
        <w:tc>
          <w:tcPr>
            <w:tcW w:w="2864" w:type="dxa"/>
            <w:shd w:val="clear" w:color="auto" w:fill="auto"/>
          </w:tcPr>
          <w:p w14:paraId="6B10A96D" w14:textId="77777777" w:rsidR="00A44158" w:rsidRPr="00FD2C3B" w:rsidRDefault="00A44158" w:rsidP="000A54FC">
            <w:pPr>
              <w:shd w:val="clear" w:color="auto" w:fill="FFFFFF"/>
              <w:spacing w:before="60" w:after="60"/>
              <w:rPr>
                <w:rFonts w:ascii="Arial" w:hAnsi="Arial" w:cs="Arial"/>
                <w:b/>
                <w:i/>
                <w:sz w:val="20"/>
                <w:szCs w:val="20"/>
              </w:rPr>
            </w:pPr>
            <w:r w:rsidRPr="00FD2C3B">
              <w:rPr>
                <w:rFonts w:ascii="Arial" w:hAnsi="Arial" w:cs="Arial"/>
                <w:b/>
                <w:i/>
                <w:sz w:val="20"/>
                <w:szCs w:val="20"/>
              </w:rPr>
              <w:t>Quarterly reporting  - standard timeline applies</w:t>
            </w:r>
          </w:p>
        </w:tc>
        <w:tc>
          <w:tcPr>
            <w:tcW w:w="7230" w:type="dxa"/>
            <w:gridSpan w:val="2"/>
            <w:shd w:val="clear" w:color="auto" w:fill="auto"/>
          </w:tcPr>
          <w:p w14:paraId="79409FF9" w14:textId="77777777" w:rsidR="00A44158" w:rsidRPr="00FD2C3B" w:rsidRDefault="00A44158" w:rsidP="000A54FC">
            <w:pPr>
              <w:shd w:val="clear" w:color="auto" w:fill="FFFFFF"/>
              <w:spacing w:before="60" w:after="60"/>
              <w:jc w:val="both"/>
              <w:rPr>
                <w:rFonts w:ascii="Arial" w:hAnsi="Arial" w:cs="Arial"/>
                <w:i/>
                <w:sz w:val="16"/>
                <w:szCs w:val="16"/>
              </w:rPr>
            </w:pPr>
          </w:p>
          <w:tbl>
            <w:tblPr>
              <w:tblW w:w="7117" w:type="dxa"/>
              <w:jc w:val="center"/>
              <w:tblLayout w:type="fixed"/>
              <w:tblLook w:val="0000" w:firstRow="0" w:lastRow="0" w:firstColumn="0" w:lastColumn="0" w:noHBand="0" w:noVBand="0"/>
            </w:tblPr>
            <w:tblGrid>
              <w:gridCol w:w="3006"/>
              <w:gridCol w:w="4111"/>
            </w:tblGrid>
            <w:tr w:rsidR="00A44158" w:rsidRPr="00FD2C3B" w14:paraId="2AE92AC7"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0A85"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DHB Reports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5BEA"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20th of the month following the end of the quarter</w:t>
                  </w:r>
                </w:p>
              </w:tc>
            </w:tr>
            <w:tr w:rsidR="00A44158" w:rsidRPr="00FD2C3B" w14:paraId="336F393F"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AD70E"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 xml:space="preserve">Ministry Initial rating &amp;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907DA"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8-10 working days from receiving reports</w:t>
                  </w:r>
                </w:p>
              </w:tc>
            </w:tr>
            <w:tr w:rsidR="00A44158" w:rsidRPr="00FD2C3B" w14:paraId="43854D30"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F3E3"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DHB Response due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028AD"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5 working days from receiving initial ratings</w:t>
                  </w:r>
                </w:p>
              </w:tc>
            </w:tr>
            <w:tr w:rsidR="00A44158" w:rsidRPr="00FD2C3B" w14:paraId="265B010F" w14:textId="77777777" w:rsidTr="000A54FC">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F0A32"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 xml:space="preserve">Confirmed rating and feedback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6FF3F" w14:textId="77777777" w:rsidR="00A44158" w:rsidRPr="00FD2C3B" w:rsidRDefault="00A44158" w:rsidP="000A54FC">
                  <w:pPr>
                    <w:ind w:left="205" w:hanging="205"/>
                    <w:rPr>
                      <w:rFonts w:ascii="Calibri" w:hAnsi="Calibri"/>
                      <w:sz w:val="20"/>
                      <w:szCs w:val="20"/>
                    </w:rPr>
                  </w:pPr>
                  <w:r w:rsidRPr="00FD2C3B">
                    <w:rPr>
                      <w:rFonts w:ascii="Calibri" w:hAnsi="Calibri"/>
                      <w:sz w:val="20"/>
                      <w:szCs w:val="20"/>
                    </w:rPr>
                    <w:t>4-5 working days from receiving DHB feedback</w:t>
                  </w:r>
                </w:p>
              </w:tc>
            </w:tr>
          </w:tbl>
          <w:p w14:paraId="0C4468E1" w14:textId="77777777" w:rsidR="00A44158" w:rsidRPr="00FD2C3B" w:rsidRDefault="00A44158" w:rsidP="000A54FC">
            <w:pPr>
              <w:shd w:val="clear" w:color="auto" w:fill="FFFFFF"/>
              <w:spacing w:before="60" w:after="60"/>
              <w:jc w:val="both"/>
              <w:rPr>
                <w:rFonts w:ascii="Arial" w:hAnsi="Arial" w:cs="Arial"/>
                <w:i/>
                <w:sz w:val="16"/>
                <w:szCs w:val="16"/>
              </w:rPr>
            </w:pPr>
          </w:p>
        </w:tc>
      </w:tr>
      <w:tr w:rsidR="00A44158" w:rsidRPr="00FD2C3B" w14:paraId="10670743" w14:textId="77777777" w:rsidTr="000A54FC">
        <w:tc>
          <w:tcPr>
            <w:tcW w:w="9073" w:type="dxa"/>
            <w:gridSpan w:val="2"/>
            <w:tcBorders>
              <w:right w:val="nil"/>
            </w:tcBorders>
          </w:tcPr>
          <w:p w14:paraId="1AE4048D" w14:textId="77777777" w:rsidR="00A44158" w:rsidRPr="00FD2C3B" w:rsidRDefault="00A44158" w:rsidP="000A54FC">
            <w:pPr>
              <w:shd w:val="clear" w:color="auto" w:fill="FFFFFF"/>
              <w:spacing w:before="60" w:after="60"/>
              <w:jc w:val="both"/>
              <w:rPr>
                <w:rFonts w:ascii="Arial" w:hAnsi="Arial" w:cs="Arial"/>
                <w:sz w:val="18"/>
                <w:szCs w:val="18"/>
              </w:rPr>
            </w:pPr>
            <w:r w:rsidRPr="00FD2C3B">
              <w:rPr>
                <w:rFonts w:ascii="Arial" w:hAnsi="Arial" w:cs="Arial"/>
                <w:b/>
                <w:i/>
                <w:sz w:val="18"/>
                <w:szCs w:val="18"/>
              </w:rPr>
              <w:t>Linkages:</w:t>
            </w:r>
            <w:r w:rsidRPr="00FD2C3B">
              <w:rPr>
                <w:rFonts w:ascii="Arial" w:hAnsi="Arial" w:cs="Arial"/>
                <w:sz w:val="18"/>
                <w:szCs w:val="18"/>
              </w:rPr>
              <w:t xml:space="preserve"> This performance measure is also linked to the Tier 1 Statistics available via Ministry website</w:t>
            </w:r>
          </w:p>
          <w:p w14:paraId="388F46C0" w14:textId="77777777" w:rsidR="00A44158" w:rsidRPr="00FD2C3B" w:rsidRDefault="00A44158" w:rsidP="000A54FC">
            <w:pPr>
              <w:shd w:val="clear" w:color="auto" w:fill="FFFFFF"/>
              <w:spacing w:before="60" w:after="60"/>
              <w:jc w:val="both"/>
              <w:rPr>
                <w:rFonts w:ascii="Arial" w:hAnsi="Arial" w:cs="Arial"/>
                <w:sz w:val="18"/>
                <w:szCs w:val="18"/>
              </w:rPr>
            </w:pPr>
            <w:r w:rsidRPr="00FD2C3B">
              <w:rPr>
                <w:rFonts w:ascii="Arial" w:hAnsi="Arial" w:cs="Arial"/>
                <w:sz w:val="18"/>
                <w:szCs w:val="18"/>
              </w:rPr>
              <w:t xml:space="preserve">http://www.health.govt.nz/our-work/primary-health-care/about-primary-health-organisation/enrolment-primary-health-organisation </w:t>
            </w:r>
          </w:p>
        </w:tc>
        <w:tc>
          <w:tcPr>
            <w:tcW w:w="1021" w:type="dxa"/>
            <w:tcBorders>
              <w:left w:val="nil"/>
            </w:tcBorders>
            <w:vAlign w:val="center"/>
          </w:tcPr>
          <w:p w14:paraId="6B9A100F" w14:textId="77777777" w:rsidR="00A44158" w:rsidRPr="00FD2C3B" w:rsidRDefault="00A44158" w:rsidP="000A54FC">
            <w:pPr>
              <w:shd w:val="clear" w:color="auto" w:fill="FFFFFF"/>
              <w:spacing w:before="60" w:after="60"/>
              <w:jc w:val="center"/>
              <w:rPr>
                <w:rFonts w:ascii="Arial" w:hAnsi="Arial" w:cs="Arial"/>
                <w:i/>
                <w:sz w:val="18"/>
                <w:szCs w:val="18"/>
              </w:rPr>
            </w:pPr>
          </w:p>
        </w:tc>
      </w:tr>
    </w:tbl>
    <w:p w14:paraId="5B8E59E6" w14:textId="77777777" w:rsidR="00A44158" w:rsidRDefault="00A44158" w:rsidP="00A44158">
      <w:pPr>
        <w:shd w:val="clear" w:color="auto" w:fill="FFFFFF"/>
        <w:spacing w:before="60" w:after="60"/>
        <w:jc w:val="both"/>
        <w:rPr>
          <w:rFonts w:ascii="Arial" w:hAnsi="Arial" w:cs="Arial"/>
          <w:b/>
        </w:rPr>
      </w:pPr>
    </w:p>
    <w:p w14:paraId="7F1BAE1C" w14:textId="77777777" w:rsidR="00A44158" w:rsidRPr="00FD2C3B" w:rsidRDefault="00A44158" w:rsidP="00A44158">
      <w:pPr>
        <w:shd w:val="clear" w:color="auto" w:fill="FFFFFF"/>
        <w:spacing w:before="60" w:after="60"/>
        <w:jc w:val="both"/>
        <w:rPr>
          <w:rFonts w:ascii="Arial" w:hAnsi="Arial" w:cs="Arial"/>
          <w:b/>
          <w:i/>
        </w:rPr>
      </w:pPr>
      <w:r w:rsidRPr="00FD2C3B">
        <w:rPr>
          <w:rFonts w:ascii="Arial" w:hAnsi="Arial" w:cs="Arial"/>
          <w:b/>
        </w:rPr>
        <w:t>Link to outcomes and priority areas</w:t>
      </w:r>
    </w:p>
    <w:p w14:paraId="63F3550A" w14:textId="77777777" w:rsidR="00A44158" w:rsidRPr="00FD2C3B" w:rsidRDefault="00A44158" w:rsidP="00A44158">
      <w:pPr>
        <w:spacing w:after="120" w:line="300" w:lineRule="auto"/>
        <w:rPr>
          <w:rFonts w:ascii="Arial" w:hAnsi="Arial" w:cs="Arial"/>
        </w:rPr>
      </w:pPr>
      <w:r w:rsidRPr="00FD2C3B">
        <w:rPr>
          <w:rFonts w:ascii="Arial" w:hAnsi="Arial" w:cs="Arial"/>
        </w:rPr>
        <w:t xml:space="preserve">Delivery of this measure supports the vision for the New Zealand health and disability system of </w:t>
      </w:r>
      <w:proofErr w:type="spellStart"/>
      <w:r w:rsidRPr="00FD2C3B">
        <w:rPr>
          <w:rFonts w:ascii="Arial" w:hAnsi="Arial" w:cs="Arial"/>
        </w:rPr>
        <w:t>Pae</w:t>
      </w:r>
      <w:proofErr w:type="spellEnd"/>
      <w:r w:rsidRPr="00FD2C3B">
        <w:rPr>
          <w:rFonts w:ascii="Arial" w:hAnsi="Arial" w:cs="Arial"/>
        </w:rPr>
        <w:t xml:space="preserve"> Ora – healthy futures.</w:t>
      </w:r>
    </w:p>
    <w:p w14:paraId="09125DFE" w14:textId="77777777" w:rsidR="00A44158" w:rsidRPr="00FD2C3B" w:rsidRDefault="00A44158" w:rsidP="00A44158">
      <w:pPr>
        <w:spacing w:before="60" w:after="60"/>
        <w:jc w:val="both"/>
        <w:rPr>
          <w:rFonts w:ascii="Arial" w:hAnsi="Arial" w:cs="Arial"/>
        </w:rPr>
      </w:pPr>
      <w:r w:rsidRPr="00FD2C3B">
        <w:rPr>
          <w:rFonts w:ascii="Arial" w:hAnsi="Arial" w:cs="Arial"/>
        </w:rPr>
        <w:t xml:space="preserve">By </w:t>
      </w:r>
      <w:r w:rsidRPr="00FD2C3B">
        <w:rPr>
          <w:rFonts w:ascii="Arial" w:hAnsi="Arial" w:cs="Arial"/>
          <w:color w:val="000000"/>
        </w:rPr>
        <w:t>improving M</w:t>
      </w:r>
      <w:r>
        <w:rPr>
          <w:rFonts w:ascii="Arial" w:hAnsi="Arial" w:cs="Arial"/>
          <w:color w:val="000000"/>
        </w:rPr>
        <w:t>ā</w:t>
      </w:r>
      <w:r w:rsidRPr="00FD2C3B">
        <w:rPr>
          <w:rFonts w:ascii="Arial" w:hAnsi="Arial" w:cs="Arial"/>
          <w:color w:val="000000"/>
        </w:rPr>
        <w:t xml:space="preserve">ori enrolment in </w:t>
      </w:r>
      <w:r w:rsidRPr="00FD2C3B">
        <w:rPr>
          <w:rFonts w:ascii="Arial" w:hAnsi="Arial" w:cs="Arial"/>
        </w:rPr>
        <w:t>PHOs and NHI registers DHBs will assist in delivery of Government's priority to support healthier, safer and more connected communities and our health system outcome that we have</w:t>
      </w:r>
      <w:r>
        <w:rPr>
          <w:rFonts w:ascii="Arial" w:hAnsi="Arial" w:cs="Arial"/>
        </w:rPr>
        <w:t xml:space="preserve"> health</w:t>
      </w:r>
      <w:r w:rsidRPr="00FD2C3B">
        <w:rPr>
          <w:rFonts w:ascii="Arial" w:hAnsi="Arial" w:cs="Arial"/>
        </w:rPr>
        <w:t xml:space="preserve"> equity for M</w:t>
      </w:r>
      <w:r>
        <w:rPr>
          <w:rFonts w:ascii="Arial" w:hAnsi="Arial" w:cs="Arial"/>
        </w:rPr>
        <w:t>ā</w:t>
      </w:r>
      <w:r w:rsidRPr="00FD2C3B">
        <w:rPr>
          <w:rFonts w:ascii="Arial" w:hAnsi="Arial" w:cs="Arial"/>
        </w:rPr>
        <w:t>ori and other groups.</w:t>
      </w:r>
      <w:r w:rsidRPr="00FD2C3B">
        <w:rPr>
          <w:rFonts w:ascii="Arial" w:hAnsi="Arial" w:cs="Arial"/>
          <w:lang w:val="en-US"/>
        </w:rPr>
        <w:t xml:space="preserve"> </w:t>
      </w:r>
    </w:p>
    <w:p w14:paraId="20AC8855" w14:textId="77777777" w:rsidR="00A44158" w:rsidRPr="00FD2C3B" w:rsidRDefault="00A44158" w:rsidP="00A44158">
      <w:pPr>
        <w:shd w:val="clear" w:color="auto" w:fill="FFFFFF"/>
        <w:spacing w:before="60" w:after="60"/>
        <w:jc w:val="both"/>
        <w:rPr>
          <w:rFonts w:ascii="Arial" w:hAnsi="Arial" w:cs="Arial"/>
        </w:rPr>
      </w:pPr>
      <w:r w:rsidRPr="00FD2C3B">
        <w:rPr>
          <w:rFonts w:ascii="Arial" w:hAnsi="Arial" w:cs="Arial"/>
        </w:rPr>
        <w:t>The health and disability sector has a role in providing ethnicity information that enables wider sector analysis of economic, social and cultural experiences in different ethnic group</w:t>
      </w:r>
      <w:r>
        <w:rPr>
          <w:rFonts w:ascii="Arial" w:hAnsi="Arial" w:cs="Arial"/>
        </w:rPr>
        <w:t>s</w:t>
      </w:r>
      <w:r w:rsidRPr="00FD2C3B">
        <w:rPr>
          <w:rFonts w:ascii="Arial" w:hAnsi="Arial" w:cs="Arial"/>
        </w:rPr>
        <w:t xml:space="preserve"> within the New Zealand population. </w:t>
      </w:r>
    </w:p>
    <w:p w14:paraId="15F6DB0E" w14:textId="77777777" w:rsidR="00A44158" w:rsidRPr="00FD2C3B" w:rsidRDefault="00A44158" w:rsidP="00A44158">
      <w:pPr>
        <w:shd w:val="clear" w:color="auto" w:fill="FFFFFF"/>
        <w:spacing w:before="60" w:after="60"/>
        <w:jc w:val="both"/>
        <w:rPr>
          <w:rFonts w:ascii="Arial" w:hAnsi="Arial" w:cs="Arial"/>
        </w:rPr>
      </w:pPr>
      <w:r w:rsidRPr="00FD2C3B">
        <w:rPr>
          <w:rFonts w:ascii="Arial" w:hAnsi="Arial" w:cs="Arial"/>
        </w:rPr>
        <w:t>The measure provide</w:t>
      </w:r>
      <w:r>
        <w:rPr>
          <w:rFonts w:ascii="Arial" w:hAnsi="Arial" w:cs="Arial"/>
        </w:rPr>
        <w:t>s</w:t>
      </w:r>
      <w:r w:rsidRPr="00FD2C3B">
        <w:rPr>
          <w:rFonts w:ascii="Arial" w:hAnsi="Arial" w:cs="Arial"/>
        </w:rPr>
        <w:t xml:space="preserve"> information that allow DHB/PHOs to understand the health care needs of all ethnicities through accurate information. It also provides M</w:t>
      </w:r>
      <w:r>
        <w:rPr>
          <w:rFonts w:ascii="Arial" w:hAnsi="Arial" w:cs="Arial"/>
        </w:rPr>
        <w:t>ā</w:t>
      </w:r>
      <w:r w:rsidRPr="00FD2C3B">
        <w:rPr>
          <w:rFonts w:ascii="Arial" w:hAnsi="Arial" w:cs="Arial"/>
        </w:rPr>
        <w:t>ori with quality information about their health status and enables M</w:t>
      </w:r>
      <w:r>
        <w:rPr>
          <w:rFonts w:ascii="Arial" w:hAnsi="Arial" w:cs="Arial"/>
        </w:rPr>
        <w:t>ā</w:t>
      </w:r>
      <w:r w:rsidRPr="00FD2C3B">
        <w:rPr>
          <w:rFonts w:ascii="Arial" w:hAnsi="Arial" w:cs="Arial"/>
        </w:rPr>
        <w:t>ori to participate in, and contribute to, strategies for M</w:t>
      </w:r>
      <w:r>
        <w:rPr>
          <w:rFonts w:ascii="Arial" w:hAnsi="Arial" w:cs="Arial"/>
        </w:rPr>
        <w:t>ā</w:t>
      </w:r>
      <w:r w:rsidRPr="00FD2C3B">
        <w:rPr>
          <w:rFonts w:ascii="Arial" w:hAnsi="Arial" w:cs="Arial"/>
        </w:rPr>
        <w:t xml:space="preserve">ori health improvement. </w:t>
      </w:r>
    </w:p>
    <w:p w14:paraId="3A3E6813" w14:textId="77777777" w:rsidR="00A44158" w:rsidRDefault="00A44158" w:rsidP="00A44158">
      <w:pPr>
        <w:shd w:val="clear" w:color="auto" w:fill="FFFFFF"/>
        <w:spacing w:before="60" w:after="60"/>
        <w:jc w:val="both"/>
        <w:rPr>
          <w:rFonts w:ascii="Arial" w:hAnsi="Arial" w:cs="Arial"/>
        </w:rPr>
      </w:pPr>
    </w:p>
    <w:p w14:paraId="072B7F64" w14:textId="77777777" w:rsidR="00A44158" w:rsidRPr="00FD2C3B" w:rsidRDefault="00A44158" w:rsidP="00A44158">
      <w:pPr>
        <w:shd w:val="clear" w:color="auto" w:fill="FFFFFF"/>
        <w:spacing w:before="60" w:after="60"/>
        <w:jc w:val="both"/>
        <w:rPr>
          <w:rFonts w:ascii="Arial" w:hAnsi="Arial" w:cs="Arial"/>
        </w:rPr>
      </w:pPr>
      <w:r>
        <w:rPr>
          <w:rFonts w:ascii="Arial" w:hAnsi="Arial" w:cs="Arial"/>
        </w:rPr>
        <w:br/>
      </w:r>
    </w:p>
    <w:p w14:paraId="2AC2D4AE" w14:textId="77777777" w:rsidR="00A44158" w:rsidRPr="00FD2C3B" w:rsidRDefault="00A44158" w:rsidP="00A44158">
      <w:pPr>
        <w:shd w:val="clear" w:color="auto" w:fill="FFFFFF"/>
        <w:spacing w:before="60" w:after="60"/>
        <w:jc w:val="both"/>
        <w:rPr>
          <w:rFonts w:ascii="Arial" w:hAnsi="Arial" w:cs="Arial"/>
          <w:b/>
        </w:rPr>
      </w:pPr>
      <w:r w:rsidRPr="00FD2C3B">
        <w:rPr>
          <w:rFonts w:ascii="Arial" w:hAnsi="Arial" w:cs="Arial"/>
          <w:b/>
        </w:rPr>
        <w:lastRenderedPageBreak/>
        <w:t>Deliverables definitions</w:t>
      </w:r>
    </w:p>
    <w:p w14:paraId="0F65D747" w14:textId="77777777" w:rsidR="00A44158" w:rsidRPr="00FD2C3B" w:rsidRDefault="00A44158" w:rsidP="00A44158">
      <w:pPr>
        <w:shd w:val="clear" w:color="auto" w:fill="FFFFFF"/>
        <w:spacing w:before="60" w:after="60"/>
        <w:jc w:val="both"/>
        <w:rPr>
          <w:rFonts w:ascii="Arial" w:hAnsi="Arial" w:cs="Arial"/>
        </w:rPr>
      </w:pPr>
      <w:r w:rsidRPr="00FD2C3B">
        <w:rPr>
          <w:rFonts w:ascii="Arial" w:hAnsi="Arial" w:cs="Arial"/>
        </w:rPr>
        <w:t>DHBs are expected to report on delivery of the actions and milestones to improve M</w:t>
      </w:r>
      <w:r>
        <w:rPr>
          <w:rFonts w:ascii="Arial" w:hAnsi="Arial" w:cs="Arial"/>
        </w:rPr>
        <w:t>ā</w:t>
      </w:r>
      <w:r w:rsidRPr="00FD2C3B">
        <w:rPr>
          <w:rFonts w:ascii="Arial" w:hAnsi="Arial" w:cs="Arial"/>
        </w:rPr>
        <w:t>ori enrolment rates with PHOs.</w:t>
      </w:r>
    </w:p>
    <w:p w14:paraId="51007DE2" w14:textId="77777777" w:rsidR="00A44158" w:rsidRPr="00FD2C3B" w:rsidRDefault="00A44158" w:rsidP="00A44158">
      <w:pPr>
        <w:shd w:val="clear" w:color="auto" w:fill="FFFFFF"/>
        <w:spacing w:before="60" w:after="60"/>
        <w:jc w:val="both"/>
        <w:rPr>
          <w:rFonts w:ascii="Arial" w:hAnsi="Arial" w:cs="Arial"/>
          <w:sz w:val="16"/>
          <w:szCs w:val="16"/>
        </w:rPr>
      </w:pPr>
    </w:p>
    <w:p w14:paraId="1AEA1EB2" w14:textId="77777777" w:rsidR="00A44158" w:rsidRDefault="00A44158" w:rsidP="00A44158">
      <w:pPr>
        <w:shd w:val="clear" w:color="auto" w:fill="FFFFFF"/>
        <w:spacing w:before="60" w:after="60"/>
        <w:jc w:val="both"/>
        <w:rPr>
          <w:rFonts w:ascii="Arial" w:hAnsi="Arial" w:cs="Arial"/>
        </w:rPr>
      </w:pPr>
      <w:r w:rsidRPr="00FD2C3B">
        <w:rPr>
          <w:rFonts w:ascii="Arial" w:hAnsi="Arial" w:cs="Arial"/>
        </w:rPr>
        <w:t>DHBs are required to provide six-monthly update</w:t>
      </w:r>
      <w:r>
        <w:rPr>
          <w:rFonts w:ascii="Arial" w:hAnsi="Arial" w:cs="Arial"/>
        </w:rPr>
        <w:t>s</w:t>
      </w:r>
      <w:r w:rsidRPr="00FD2C3B">
        <w:rPr>
          <w:rFonts w:ascii="Arial" w:hAnsi="Arial" w:cs="Arial"/>
        </w:rPr>
        <w:t xml:space="preserve"> identifying </w:t>
      </w:r>
      <w:r>
        <w:rPr>
          <w:rFonts w:ascii="Arial" w:hAnsi="Arial" w:cs="Arial"/>
        </w:rPr>
        <w:t>the current Māori enrolment percentage. If the DHB has an enrolled Māori enrolment rate of below 95 percent, then the progress update must indicate whether there is:</w:t>
      </w:r>
    </w:p>
    <w:p w14:paraId="22A8531B" w14:textId="77777777" w:rsidR="00A44158" w:rsidRDefault="00A44158" w:rsidP="00C04FF1">
      <w:pPr>
        <w:pStyle w:val="ListParagraph"/>
        <w:numPr>
          <w:ilvl w:val="0"/>
          <w:numId w:val="52"/>
        </w:numPr>
        <w:shd w:val="clear" w:color="auto" w:fill="FFFFFF"/>
        <w:spacing w:before="60" w:after="60"/>
        <w:jc w:val="both"/>
        <w:rPr>
          <w:rFonts w:ascii="Arial" w:hAnsi="Arial" w:cs="Arial"/>
        </w:rPr>
      </w:pPr>
      <w:r>
        <w:rPr>
          <w:rFonts w:ascii="Arial" w:hAnsi="Arial" w:cs="Arial"/>
        </w:rPr>
        <w:t>a</w:t>
      </w:r>
      <w:r w:rsidRPr="00112379">
        <w:rPr>
          <w:rFonts w:ascii="Arial" w:hAnsi="Arial" w:cs="Arial"/>
        </w:rPr>
        <w:t xml:space="preserve"> clear </w:t>
      </w:r>
      <w:r>
        <w:rPr>
          <w:rFonts w:ascii="Arial" w:hAnsi="Arial" w:cs="Arial"/>
        </w:rPr>
        <w:t>plan the outlines</w:t>
      </w:r>
      <w:r w:rsidRPr="00112379">
        <w:rPr>
          <w:rFonts w:ascii="Arial" w:hAnsi="Arial" w:cs="Arial"/>
        </w:rPr>
        <w:t xml:space="preserve"> activities to improve </w:t>
      </w:r>
      <w:r>
        <w:rPr>
          <w:rFonts w:ascii="Arial" w:hAnsi="Arial" w:cs="Arial"/>
        </w:rPr>
        <w:t>the PHO’s performance</w:t>
      </w:r>
    </w:p>
    <w:p w14:paraId="2E88EE61" w14:textId="77777777" w:rsidR="00A44158" w:rsidRPr="00112379" w:rsidRDefault="00A44158" w:rsidP="00C04FF1">
      <w:pPr>
        <w:pStyle w:val="ListParagraph"/>
        <w:numPr>
          <w:ilvl w:val="0"/>
          <w:numId w:val="52"/>
        </w:numPr>
        <w:shd w:val="clear" w:color="auto" w:fill="FFFFFF"/>
        <w:spacing w:before="60" w:after="60"/>
        <w:jc w:val="both"/>
      </w:pPr>
      <w:r>
        <w:rPr>
          <w:rFonts w:ascii="Arial" w:hAnsi="Arial" w:cs="Arial"/>
        </w:rPr>
        <w:t>a proposed performance target and an appropriate timeline to achieve it.</w:t>
      </w:r>
      <w:r w:rsidRPr="00112379">
        <w:rPr>
          <w:rFonts w:ascii="Arial" w:hAnsi="Arial" w:cs="Arial"/>
        </w:rPr>
        <w:t xml:space="preserve"> </w:t>
      </w:r>
    </w:p>
    <w:p w14:paraId="562DC239" w14:textId="77777777" w:rsidR="00A44158" w:rsidRPr="00FD2C3B" w:rsidRDefault="00A44158" w:rsidP="00A44158">
      <w:pPr>
        <w:shd w:val="clear" w:color="auto" w:fill="FFFFFF"/>
        <w:spacing w:before="60" w:after="60"/>
        <w:ind w:left="720"/>
        <w:contextualSpacing/>
        <w:jc w:val="both"/>
        <w:rPr>
          <w:rFonts w:ascii="Arial" w:hAnsi="Arial" w:cs="Arial"/>
        </w:rPr>
      </w:pPr>
    </w:p>
    <w:p w14:paraId="3480ED62" w14:textId="77777777" w:rsidR="00A44158" w:rsidRPr="00FD2C3B" w:rsidRDefault="00A44158" w:rsidP="00A44158">
      <w:pPr>
        <w:shd w:val="clear" w:color="auto" w:fill="FFFFFF"/>
        <w:spacing w:before="60" w:after="60"/>
        <w:jc w:val="both"/>
        <w:rPr>
          <w:rFonts w:ascii="Arial" w:hAnsi="Arial" w:cs="Arial"/>
          <w:b/>
        </w:rPr>
      </w:pPr>
      <w:r w:rsidRPr="00FD2C3B">
        <w:rPr>
          <w:rFonts w:ascii="Arial" w:hAnsi="Arial" w:cs="Arial"/>
          <w:b/>
        </w:rPr>
        <w:t>Reporting Period</w:t>
      </w:r>
    </w:p>
    <w:p w14:paraId="511F98ED" w14:textId="77777777" w:rsidR="00A44158" w:rsidRPr="00FD2C3B" w:rsidRDefault="00A44158" w:rsidP="00A44158">
      <w:pPr>
        <w:shd w:val="clear" w:color="auto" w:fill="FFFFFF"/>
        <w:spacing w:before="60" w:after="60"/>
        <w:jc w:val="both"/>
        <w:rPr>
          <w:rFonts w:ascii="Arial" w:hAnsi="Arial" w:cs="Arial"/>
          <w:i/>
        </w:rPr>
      </w:pPr>
      <w:r w:rsidRPr="00FD2C3B">
        <w:rPr>
          <w:rFonts w:ascii="Arial" w:hAnsi="Arial" w:cs="Arial"/>
          <w:b/>
          <w:i/>
        </w:rPr>
        <w:t xml:space="preserve">Reporting required: </w:t>
      </w:r>
      <w:r w:rsidRPr="00FD2C3B">
        <w:rPr>
          <w:rFonts w:ascii="Arial" w:hAnsi="Arial" w:cs="Arial"/>
          <w:i/>
        </w:rPr>
        <w:t>Six monthly, in</w:t>
      </w:r>
    </w:p>
    <w:tbl>
      <w:tblPr>
        <w:tblStyle w:val="TableGrid"/>
        <w:tblW w:w="0" w:type="auto"/>
        <w:tblInd w:w="2198" w:type="dxa"/>
        <w:tblLook w:val="04A0" w:firstRow="1" w:lastRow="0" w:firstColumn="1" w:lastColumn="0" w:noHBand="0" w:noVBand="1"/>
      </w:tblPr>
      <w:tblGrid>
        <w:gridCol w:w="1838"/>
        <w:gridCol w:w="3954"/>
      </w:tblGrid>
      <w:tr w:rsidR="00A44158" w:rsidRPr="00FD2C3B" w14:paraId="2EFAE60F" w14:textId="77777777" w:rsidTr="000A54FC">
        <w:trPr>
          <w:trHeight w:val="259"/>
        </w:trPr>
        <w:tc>
          <w:tcPr>
            <w:tcW w:w="1838" w:type="dxa"/>
            <w:shd w:val="clear" w:color="auto" w:fill="D9D9D9"/>
          </w:tcPr>
          <w:p w14:paraId="443A8B26" w14:textId="77777777" w:rsidR="00A44158" w:rsidRPr="00FD2C3B" w:rsidRDefault="00A44158" w:rsidP="000A54FC">
            <w:pPr>
              <w:spacing w:before="60" w:after="60"/>
              <w:jc w:val="both"/>
              <w:rPr>
                <w:rFonts w:ascii="Arial" w:hAnsi="Arial" w:cs="Arial"/>
                <w:b/>
              </w:rPr>
            </w:pPr>
            <w:r w:rsidRPr="00FD2C3B">
              <w:rPr>
                <w:rFonts w:ascii="Arial" w:hAnsi="Arial" w:cs="Arial"/>
                <w:b/>
              </w:rPr>
              <w:t>Quarter</w:t>
            </w:r>
          </w:p>
        </w:tc>
        <w:tc>
          <w:tcPr>
            <w:tcW w:w="3954" w:type="dxa"/>
            <w:shd w:val="clear" w:color="auto" w:fill="D9D9D9"/>
          </w:tcPr>
          <w:p w14:paraId="14F8FC7C" w14:textId="77777777" w:rsidR="00A44158" w:rsidRPr="00FD2C3B" w:rsidRDefault="00A44158" w:rsidP="000A54FC">
            <w:pPr>
              <w:spacing w:before="60" w:after="60"/>
              <w:jc w:val="both"/>
              <w:rPr>
                <w:rFonts w:ascii="Arial" w:hAnsi="Arial" w:cs="Arial"/>
                <w:b/>
              </w:rPr>
            </w:pPr>
            <w:r w:rsidRPr="00FD2C3B">
              <w:rPr>
                <w:rFonts w:ascii="Arial" w:hAnsi="Arial" w:cs="Arial"/>
                <w:b/>
              </w:rPr>
              <w:t>For the time period</w:t>
            </w:r>
          </w:p>
        </w:tc>
      </w:tr>
      <w:tr w:rsidR="00A44158" w:rsidRPr="00FD2C3B" w14:paraId="2D4F61AB" w14:textId="77777777" w:rsidTr="000A54FC">
        <w:trPr>
          <w:trHeight w:val="250"/>
        </w:trPr>
        <w:tc>
          <w:tcPr>
            <w:tcW w:w="1838" w:type="dxa"/>
          </w:tcPr>
          <w:p w14:paraId="6A588C16" w14:textId="77777777" w:rsidR="00A44158" w:rsidRPr="00FD2C3B" w:rsidRDefault="00A44158" w:rsidP="000A54FC">
            <w:pPr>
              <w:spacing w:before="60" w:after="60"/>
              <w:jc w:val="both"/>
              <w:rPr>
                <w:rFonts w:ascii="Arial" w:hAnsi="Arial" w:cs="Arial"/>
              </w:rPr>
            </w:pPr>
            <w:r w:rsidRPr="00FD2C3B">
              <w:rPr>
                <w:rFonts w:ascii="Arial" w:hAnsi="Arial" w:cs="Arial"/>
              </w:rPr>
              <w:t>Quarter 2</w:t>
            </w:r>
          </w:p>
        </w:tc>
        <w:tc>
          <w:tcPr>
            <w:tcW w:w="3954" w:type="dxa"/>
          </w:tcPr>
          <w:p w14:paraId="62032280" w14:textId="77777777" w:rsidR="00A44158" w:rsidRPr="00FD2C3B" w:rsidRDefault="00A44158" w:rsidP="000A54FC">
            <w:pPr>
              <w:spacing w:before="60" w:after="60"/>
              <w:jc w:val="both"/>
              <w:rPr>
                <w:rFonts w:ascii="Arial" w:hAnsi="Arial" w:cs="Arial"/>
              </w:rPr>
            </w:pPr>
            <w:r w:rsidRPr="00FD2C3B">
              <w:rPr>
                <w:rFonts w:ascii="Arial" w:hAnsi="Arial" w:cs="Arial"/>
              </w:rPr>
              <w:t>1 July – 31 December</w:t>
            </w:r>
          </w:p>
        </w:tc>
      </w:tr>
      <w:tr w:rsidR="00A44158" w:rsidRPr="00FD2C3B" w14:paraId="41944D7A" w14:textId="77777777" w:rsidTr="000A54FC">
        <w:trPr>
          <w:trHeight w:val="259"/>
        </w:trPr>
        <w:tc>
          <w:tcPr>
            <w:tcW w:w="1838" w:type="dxa"/>
          </w:tcPr>
          <w:p w14:paraId="59629671" w14:textId="77777777" w:rsidR="00A44158" w:rsidRPr="00FD2C3B" w:rsidRDefault="00A44158" w:rsidP="000A54FC">
            <w:pPr>
              <w:spacing w:before="60" w:after="60"/>
              <w:jc w:val="both"/>
              <w:rPr>
                <w:rFonts w:ascii="Arial" w:hAnsi="Arial" w:cs="Arial"/>
              </w:rPr>
            </w:pPr>
            <w:r w:rsidRPr="00FD2C3B">
              <w:rPr>
                <w:rFonts w:ascii="Arial" w:hAnsi="Arial" w:cs="Arial"/>
              </w:rPr>
              <w:t>Quarter 4</w:t>
            </w:r>
          </w:p>
        </w:tc>
        <w:tc>
          <w:tcPr>
            <w:tcW w:w="3954" w:type="dxa"/>
          </w:tcPr>
          <w:p w14:paraId="3632452B" w14:textId="77777777" w:rsidR="00A44158" w:rsidRPr="00FD2C3B" w:rsidRDefault="00A44158" w:rsidP="000A54FC">
            <w:pPr>
              <w:spacing w:before="60" w:after="60"/>
              <w:jc w:val="both"/>
              <w:rPr>
                <w:rFonts w:ascii="Arial" w:hAnsi="Arial" w:cs="Arial"/>
              </w:rPr>
            </w:pPr>
            <w:r w:rsidRPr="00FD2C3B">
              <w:rPr>
                <w:rFonts w:ascii="Arial" w:hAnsi="Arial" w:cs="Arial"/>
              </w:rPr>
              <w:t>1 April – 30 June</w:t>
            </w:r>
          </w:p>
        </w:tc>
      </w:tr>
    </w:tbl>
    <w:p w14:paraId="716D0667" w14:textId="77777777" w:rsidR="00A44158" w:rsidRPr="00FD2C3B" w:rsidRDefault="00A44158" w:rsidP="00A44158">
      <w:pPr>
        <w:shd w:val="clear" w:color="auto" w:fill="FFFFFF"/>
        <w:spacing w:before="60" w:after="60"/>
        <w:jc w:val="both"/>
        <w:rPr>
          <w:rFonts w:ascii="Arial" w:hAnsi="Arial" w:cs="Arial"/>
          <w:i/>
          <w:sz w:val="16"/>
          <w:szCs w:val="16"/>
        </w:rPr>
      </w:pPr>
    </w:p>
    <w:p w14:paraId="7E9B8963" w14:textId="77777777" w:rsidR="00A44158" w:rsidRPr="00FD2C3B" w:rsidRDefault="00A44158" w:rsidP="00A44158">
      <w:pPr>
        <w:shd w:val="clear" w:color="auto" w:fill="FFFFFF"/>
        <w:spacing w:before="60" w:after="60"/>
        <w:jc w:val="both"/>
        <w:rPr>
          <w:rFonts w:ascii="Arial" w:hAnsi="Arial" w:cs="Arial"/>
          <w:b/>
        </w:rPr>
      </w:pPr>
      <w:r w:rsidRPr="00FD2C3B">
        <w:rPr>
          <w:rFonts w:ascii="Arial" w:hAnsi="Arial" w:cs="Arial"/>
          <w:b/>
        </w:rPr>
        <w:t>Expectations</w:t>
      </w:r>
    </w:p>
    <w:p w14:paraId="2FF2916E" w14:textId="77777777" w:rsidR="00A44158" w:rsidRPr="00FD2C3B" w:rsidRDefault="00A44158" w:rsidP="00A44158">
      <w:pPr>
        <w:shd w:val="clear" w:color="auto" w:fill="FFFFFF"/>
        <w:spacing w:before="60" w:after="60"/>
        <w:jc w:val="both"/>
        <w:rPr>
          <w:rFonts w:ascii="Arial" w:hAnsi="Arial" w:cs="Arial"/>
        </w:rPr>
      </w:pPr>
      <w:r w:rsidRPr="00FD2C3B">
        <w:rPr>
          <w:rFonts w:ascii="Arial" w:hAnsi="Arial" w:cs="Arial"/>
        </w:rPr>
        <w:t>DHBs/PHOs are expected to have in place a process that ensures the M</w:t>
      </w:r>
      <w:r>
        <w:rPr>
          <w:rFonts w:ascii="Arial" w:hAnsi="Arial" w:cs="Arial"/>
        </w:rPr>
        <w:t>ā</w:t>
      </w:r>
      <w:r w:rsidRPr="00FD2C3B">
        <w:rPr>
          <w:rFonts w:ascii="Arial" w:hAnsi="Arial" w:cs="Arial"/>
        </w:rPr>
        <w:t xml:space="preserve">ori population within their region is enrolled with a PHO. </w:t>
      </w:r>
    </w:p>
    <w:p w14:paraId="07C1E32F" w14:textId="77777777" w:rsidR="00A44158" w:rsidRPr="00FD2C3B" w:rsidRDefault="00A44158" w:rsidP="00C04FF1">
      <w:pPr>
        <w:numPr>
          <w:ilvl w:val="0"/>
          <w:numId w:val="53"/>
        </w:numPr>
        <w:shd w:val="clear" w:color="auto" w:fill="FFFFFF"/>
        <w:spacing w:before="60" w:after="60"/>
        <w:contextualSpacing/>
        <w:jc w:val="both"/>
        <w:rPr>
          <w:rFonts w:ascii="Arial" w:hAnsi="Arial" w:cs="Arial"/>
        </w:rPr>
      </w:pPr>
      <w:r w:rsidRPr="00FD2C3B">
        <w:rPr>
          <w:rFonts w:ascii="Arial" w:hAnsi="Arial" w:cs="Arial"/>
        </w:rPr>
        <w:t xml:space="preserve">It is expected </w:t>
      </w:r>
      <w:r>
        <w:rPr>
          <w:rFonts w:ascii="Arial" w:hAnsi="Arial" w:cs="Arial"/>
        </w:rPr>
        <w:t xml:space="preserve">that </w:t>
      </w:r>
      <w:r w:rsidRPr="00FD2C3B">
        <w:rPr>
          <w:rFonts w:ascii="Arial" w:hAnsi="Arial" w:cs="Arial"/>
        </w:rPr>
        <w:t>the DHB/PHO accurately record ethnicity information about clients</w:t>
      </w:r>
      <w:r>
        <w:rPr>
          <w:rFonts w:ascii="Arial" w:hAnsi="Arial" w:cs="Arial"/>
        </w:rPr>
        <w:t xml:space="preserve"> in line with the Ethnicity Data Protocol (2017)</w:t>
      </w:r>
    </w:p>
    <w:p w14:paraId="34353AB9" w14:textId="77777777" w:rsidR="00A44158" w:rsidRPr="00FD2C3B" w:rsidRDefault="00A44158" w:rsidP="00C04FF1">
      <w:pPr>
        <w:numPr>
          <w:ilvl w:val="0"/>
          <w:numId w:val="53"/>
        </w:numPr>
        <w:shd w:val="clear" w:color="auto" w:fill="FFFFFF"/>
        <w:spacing w:before="60" w:after="60"/>
        <w:contextualSpacing/>
        <w:jc w:val="both"/>
        <w:rPr>
          <w:rFonts w:ascii="Arial" w:hAnsi="Arial" w:cs="Arial"/>
        </w:rPr>
      </w:pPr>
      <w:r w:rsidRPr="00FD2C3B">
        <w:rPr>
          <w:rFonts w:ascii="Arial" w:hAnsi="Arial" w:cs="Arial"/>
        </w:rPr>
        <w:t xml:space="preserve">It is expected </w:t>
      </w:r>
      <w:r>
        <w:rPr>
          <w:rFonts w:ascii="Arial" w:hAnsi="Arial" w:cs="Arial"/>
        </w:rPr>
        <w:t xml:space="preserve">that </w:t>
      </w:r>
      <w:r w:rsidRPr="00FD2C3B">
        <w:rPr>
          <w:rFonts w:ascii="Arial" w:hAnsi="Arial" w:cs="Arial"/>
        </w:rPr>
        <w:t xml:space="preserve">the DHBs have processes in place to ensure all </w:t>
      </w:r>
      <w:r>
        <w:rPr>
          <w:rFonts w:ascii="Arial" w:hAnsi="Arial" w:cs="Arial"/>
        </w:rPr>
        <w:t>patient</w:t>
      </w:r>
      <w:r w:rsidRPr="00FD2C3B">
        <w:rPr>
          <w:rFonts w:ascii="Arial" w:hAnsi="Arial" w:cs="Arial"/>
        </w:rPr>
        <w:t xml:space="preserve"> ethnicity information </w:t>
      </w:r>
      <w:r>
        <w:rPr>
          <w:rFonts w:ascii="Arial" w:hAnsi="Arial" w:cs="Arial"/>
        </w:rPr>
        <w:t>is</w:t>
      </w:r>
      <w:r w:rsidRPr="00FD2C3B">
        <w:rPr>
          <w:rFonts w:ascii="Arial" w:hAnsi="Arial" w:cs="Arial"/>
        </w:rPr>
        <w:t xml:space="preserve"> up-to-date</w:t>
      </w:r>
      <w:r>
        <w:rPr>
          <w:rFonts w:ascii="Arial" w:hAnsi="Arial" w:cs="Arial"/>
        </w:rPr>
        <w:t>, and ethnicity data collection is regularly audited (refer PHO2)</w:t>
      </w:r>
    </w:p>
    <w:p w14:paraId="791A8AF8" w14:textId="77777777" w:rsidR="00A44158" w:rsidRPr="00FD2C3B" w:rsidRDefault="00A44158" w:rsidP="00C04FF1">
      <w:pPr>
        <w:numPr>
          <w:ilvl w:val="0"/>
          <w:numId w:val="53"/>
        </w:numPr>
        <w:shd w:val="clear" w:color="auto" w:fill="FFFFFF"/>
        <w:spacing w:before="60" w:after="60"/>
        <w:contextualSpacing/>
        <w:jc w:val="both"/>
        <w:rPr>
          <w:rFonts w:ascii="Arial" w:hAnsi="Arial" w:cs="Arial"/>
        </w:rPr>
      </w:pPr>
      <w:r w:rsidRPr="00FD2C3B">
        <w:rPr>
          <w:rFonts w:ascii="Arial" w:hAnsi="Arial" w:cs="Arial"/>
        </w:rPr>
        <w:t xml:space="preserve">Provide </w:t>
      </w:r>
      <w:r>
        <w:rPr>
          <w:rFonts w:ascii="Arial" w:hAnsi="Arial" w:cs="Arial"/>
        </w:rPr>
        <w:t xml:space="preserve">a </w:t>
      </w:r>
      <w:r w:rsidRPr="00FD2C3B">
        <w:rPr>
          <w:rFonts w:ascii="Arial" w:hAnsi="Arial" w:cs="Arial"/>
        </w:rPr>
        <w:t>resolution plan on what it is doing to address</w:t>
      </w:r>
      <w:r>
        <w:rPr>
          <w:rFonts w:ascii="Arial" w:hAnsi="Arial" w:cs="Arial"/>
        </w:rPr>
        <w:t xml:space="preserve"> the PHO’s </w:t>
      </w:r>
      <w:r w:rsidRPr="00FD2C3B">
        <w:rPr>
          <w:rFonts w:ascii="Arial" w:hAnsi="Arial" w:cs="Arial"/>
        </w:rPr>
        <w:t xml:space="preserve">performance </w:t>
      </w:r>
    </w:p>
    <w:p w14:paraId="0A523C0A" w14:textId="77777777" w:rsidR="00A44158" w:rsidRPr="00FD2C3B" w:rsidRDefault="00A44158" w:rsidP="00C04FF1">
      <w:pPr>
        <w:numPr>
          <w:ilvl w:val="0"/>
          <w:numId w:val="53"/>
        </w:numPr>
        <w:shd w:val="clear" w:color="auto" w:fill="FFFFFF"/>
        <w:spacing w:before="60" w:after="60"/>
        <w:contextualSpacing/>
        <w:jc w:val="both"/>
        <w:rPr>
          <w:rFonts w:ascii="Arial" w:hAnsi="Arial" w:cs="Arial"/>
        </w:rPr>
      </w:pPr>
      <w:r>
        <w:rPr>
          <w:rFonts w:ascii="Arial" w:hAnsi="Arial" w:cs="Arial"/>
        </w:rPr>
        <w:t>DHBs and PHOs w</w:t>
      </w:r>
      <w:r w:rsidRPr="00FD2C3B">
        <w:rPr>
          <w:rFonts w:ascii="Arial" w:hAnsi="Arial" w:cs="Arial"/>
        </w:rPr>
        <w:t>ork contin</w:t>
      </w:r>
      <w:r>
        <w:rPr>
          <w:rFonts w:ascii="Arial" w:hAnsi="Arial" w:cs="Arial"/>
        </w:rPr>
        <w:t>uously</w:t>
      </w:r>
      <w:r w:rsidRPr="00FD2C3B">
        <w:rPr>
          <w:rFonts w:ascii="Arial" w:hAnsi="Arial" w:cs="Arial"/>
        </w:rPr>
        <w:t xml:space="preserve"> to improve M</w:t>
      </w:r>
      <w:r>
        <w:rPr>
          <w:rFonts w:ascii="Arial" w:hAnsi="Arial" w:cs="Arial"/>
        </w:rPr>
        <w:t>ā</w:t>
      </w:r>
      <w:r w:rsidRPr="00FD2C3B">
        <w:rPr>
          <w:rFonts w:ascii="Arial" w:hAnsi="Arial" w:cs="Arial"/>
        </w:rPr>
        <w:t>ori enrolment rates within their region</w:t>
      </w:r>
    </w:p>
    <w:p w14:paraId="0FD60D80" w14:textId="77777777" w:rsidR="00A44158" w:rsidRDefault="00A44158" w:rsidP="00C04FF1">
      <w:pPr>
        <w:numPr>
          <w:ilvl w:val="0"/>
          <w:numId w:val="53"/>
        </w:numPr>
        <w:shd w:val="clear" w:color="auto" w:fill="FFFFFF"/>
        <w:spacing w:before="60" w:after="60"/>
        <w:contextualSpacing/>
        <w:jc w:val="both"/>
        <w:rPr>
          <w:rFonts w:ascii="Arial" w:hAnsi="Arial" w:cs="Arial"/>
        </w:rPr>
      </w:pPr>
      <w:r>
        <w:rPr>
          <w:rFonts w:ascii="Arial" w:hAnsi="Arial" w:cs="Arial"/>
        </w:rPr>
        <w:t xml:space="preserve">Ensure that the PHO has </w:t>
      </w:r>
      <w:r w:rsidRPr="00FD2C3B">
        <w:rPr>
          <w:rFonts w:ascii="Arial" w:hAnsi="Arial" w:cs="Arial"/>
        </w:rPr>
        <w:t xml:space="preserve">strategies for reviewing enrolment rates and </w:t>
      </w:r>
      <w:r>
        <w:rPr>
          <w:rFonts w:ascii="Arial" w:hAnsi="Arial" w:cs="Arial"/>
        </w:rPr>
        <w:t>enrolling</w:t>
      </w:r>
      <w:r w:rsidRPr="00FD2C3B">
        <w:rPr>
          <w:rFonts w:ascii="Arial" w:hAnsi="Arial" w:cs="Arial"/>
        </w:rPr>
        <w:t xml:space="preserve"> those who are not </w:t>
      </w:r>
      <w:r>
        <w:rPr>
          <w:rFonts w:ascii="Arial" w:hAnsi="Arial" w:cs="Arial"/>
        </w:rPr>
        <w:t xml:space="preserve">currently </w:t>
      </w:r>
      <w:r w:rsidRPr="00FD2C3B">
        <w:rPr>
          <w:rFonts w:ascii="Arial" w:hAnsi="Arial" w:cs="Arial"/>
        </w:rPr>
        <w:t>enrolled.</w:t>
      </w:r>
    </w:p>
    <w:p w14:paraId="21D08E04" w14:textId="77777777" w:rsidR="00A44158" w:rsidRPr="00FD2C3B" w:rsidRDefault="00A44158" w:rsidP="00A44158">
      <w:pPr>
        <w:shd w:val="clear" w:color="auto" w:fill="FFFFFF"/>
        <w:spacing w:before="60" w:after="60"/>
        <w:ind w:left="720"/>
        <w:contextualSpacing/>
        <w:jc w:val="both"/>
        <w:rPr>
          <w:rFonts w:ascii="Arial" w:hAnsi="Arial" w:cs="Arial"/>
        </w:rPr>
      </w:pPr>
    </w:p>
    <w:p w14:paraId="58E4F0DD" w14:textId="77777777" w:rsidR="00A44158" w:rsidRPr="00FD2C3B" w:rsidRDefault="00A44158" w:rsidP="00A44158">
      <w:pPr>
        <w:shd w:val="clear" w:color="auto" w:fill="FFFFFF"/>
        <w:spacing w:before="60" w:after="60"/>
        <w:jc w:val="both"/>
        <w:rPr>
          <w:rFonts w:ascii="Arial" w:hAnsi="Arial" w:cs="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647"/>
      </w:tblGrid>
      <w:tr w:rsidR="00A44158" w:rsidRPr="00FD2C3B" w14:paraId="7B8BDFF6" w14:textId="77777777" w:rsidTr="000A54FC">
        <w:tc>
          <w:tcPr>
            <w:tcW w:w="1418" w:type="dxa"/>
            <w:shd w:val="clear" w:color="auto" w:fill="auto"/>
            <w:vAlign w:val="center"/>
          </w:tcPr>
          <w:p w14:paraId="61F93E14" w14:textId="77777777" w:rsidR="00A44158" w:rsidRPr="00FD2C3B" w:rsidRDefault="00A44158" w:rsidP="000A54FC">
            <w:pPr>
              <w:shd w:val="clear" w:color="auto" w:fill="FFFFFF"/>
              <w:spacing w:before="60" w:after="60"/>
              <w:jc w:val="both"/>
              <w:rPr>
                <w:rFonts w:ascii="Arial" w:hAnsi="Arial" w:cs="Arial"/>
                <w:b/>
              </w:rPr>
            </w:pPr>
            <w:r w:rsidRPr="00FD2C3B">
              <w:rPr>
                <w:rFonts w:ascii="Arial" w:hAnsi="Arial" w:cs="Arial"/>
                <w:b/>
              </w:rPr>
              <w:t xml:space="preserve">Rating: </w:t>
            </w:r>
          </w:p>
        </w:tc>
        <w:tc>
          <w:tcPr>
            <w:tcW w:w="8647" w:type="dxa"/>
            <w:shd w:val="clear" w:color="auto" w:fill="auto"/>
            <w:vAlign w:val="center"/>
          </w:tcPr>
          <w:p w14:paraId="31CF5F68" w14:textId="77777777" w:rsidR="00A44158" w:rsidRPr="00FD2C3B" w:rsidRDefault="00A44158" w:rsidP="000A54FC">
            <w:pPr>
              <w:shd w:val="clear" w:color="auto" w:fill="FFFFFF"/>
              <w:spacing w:before="60" w:after="60"/>
              <w:jc w:val="both"/>
              <w:rPr>
                <w:rFonts w:ascii="Arial" w:hAnsi="Arial" w:cs="Arial"/>
                <w:b/>
              </w:rPr>
            </w:pPr>
            <w:r w:rsidRPr="00FD2C3B">
              <w:rPr>
                <w:rFonts w:ascii="Arial" w:hAnsi="Arial" w:cs="Arial"/>
                <w:b/>
              </w:rPr>
              <w:t>Definition</w:t>
            </w:r>
          </w:p>
        </w:tc>
      </w:tr>
      <w:tr w:rsidR="00A44158" w:rsidRPr="00FD2C3B" w14:paraId="4D4B0E16" w14:textId="77777777" w:rsidTr="000A54FC">
        <w:tc>
          <w:tcPr>
            <w:tcW w:w="1418" w:type="dxa"/>
            <w:shd w:val="clear" w:color="auto" w:fill="auto"/>
          </w:tcPr>
          <w:p w14:paraId="401BCFA3"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Achieved</w:t>
            </w:r>
          </w:p>
        </w:tc>
        <w:tc>
          <w:tcPr>
            <w:tcW w:w="8647" w:type="dxa"/>
            <w:shd w:val="clear" w:color="auto" w:fill="auto"/>
          </w:tcPr>
          <w:p w14:paraId="05F97004"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 xml:space="preserve">DHB has </w:t>
            </w:r>
            <w:r>
              <w:rPr>
                <w:rFonts w:ascii="Arial" w:hAnsi="Arial" w:cs="Arial"/>
              </w:rPr>
              <w:t xml:space="preserve">an </w:t>
            </w:r>
            <w:r w:rsidRPr="00FD2C3B">
              <w:rPr>
                <w:rFonts w:ascii="Arial" w:hAnsi="Arial" w:cs="Arial"/>
              </w:rPr>
              <w:t>enrolled M</w:t>
            </w:r>
            <w:r>
              <w:rPr>
                <w:rFonts w:ascii="Arial" w:hAnsi="Arial" w:cs="Arial"/>
              </w:rPr>
              <w:t>ā</w:t>
            </w:r>
            <w:r w:rsidRPr="00FD2C3B">
              <w:rPr>
                <w:rFonts w:ascii="Arial" w:hAnsi="Arial" w:cs="Arial"/>
              </w:rPr>
              <w:t>ori population of 9</w:t>
            </w:r>
            <w:r>
              <w:rPr>
                <w:rFonts w:ascii="Arial" w:hAnsi="Arial" w:cs="Arial"/>
              </w:rPr>
              <w:t>5 percent or above and is maintaining and/or increasing their enrolment rate.</w:t>
            </w:r>
          </w:p>
        </w:tc>
      </w:tr>
      <w:tr w:rsidR="00A44158" w:rsidRPr="00FD2C3B" w14:paraId="01ABDAB0" w14:textId="77777777" w:rsidTr="000A54FC">
        <w:tblPrEx>
          <w:tblLook w:val="01E0" w:firstRow="1" w:lastRow="1" w:firstColumn="1" w:lastColumn="1" w:noHBand="0" w:noVBand="0"/>
        </w:tblPrEx>
        <w:tc>
          <w:tcPr>
            <w:tcW w:w="1418" w:type="dxa"/>
            <w:shd w:val="clear" w:color="auto" w:fill="auto"/>
          </w:tcPr>
          <w:p w14:paraId="53684A84"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Partially Achieved</w:t>
            </w:r>
          </w:p>
        </w:tc>
        <w:tc>
          <w:tcPr>
            <w:tcW w:w="8647" w:type="dxa"/>
            <w:shd w:val="clear" w:color="auto" w:fill="auto"/>
          </w:tcPr>
          <w:p w14:paraId="62FF92B3"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DHB has an enrolled M</w:t>
            </w:r>
            <w:r>
              <w:rPr>
                <w:rFonts w:ascii="Arial" w:hAnsi="Arial" w:cs="Arial"/>
              </w:rPr>
              <w:t>ā</w:t>
            </w:r>
            <w:r w:rsidRPr="00FD2C3B">
              <w:rPr>
                <w:rFonts w:ascii="Arial" w:hAnsi="Arial" w:cs="Arial"/>
              </w:rPr>
              <w:t xml:space="preserve">ori population of </w:t>
            </w:r>
            <w:r>
              <w:rPr>
                <w:rFonts w:ascii="Arial" w:hAnsi="Arial" w:cs="Arial"/>
              </w:rPr>
              <w:t xml:space="preserve">&lt; 95 percent but </w:t>
            </w:r>
            <w:r w:rsidRPr="00FD2C3B">
              <w:rPr>
                <w:rFonts w:ascii="Arial" w:hAnsi="Arial" w:cs="Arial"/>
              </w:rPr>
              <w:t xml:space="preserve">has </w:t>
            </w:r>
            <w:r>
              <w:rPr>
                <w:rFonts w:ascii="Arial" w:hAnsi="Arial" w:cs="Arial"/>
              </w:rPr>
              <w:t>provided a clear plan outlining activities to improve Māori enrolment and determined an appropriate timeframe to meet proposed performance target.</w:t>
            </w:r>
          </w:p>
        </w:tc>
      </w:tr>
      <w:tr w:rsidR="00A44158" w:rsidRPr="00FD2C3B" w14:paraId="4EDD15DC" w14:textId="77777777" w:rsidTr="000A54FC">
        <w:tblPrEx>
          <w:tblLook w:val="01E0" w:firstRow="1" w:lastRow="1" w:firstColumn="1" w:lastColumn="1" w:noHBand="0" w:noVBand="0"/>
        </w:tblPrEx>
        <w:tc>
          <w:tcPr>
            <w:tcW w:w="1418" w:type="dxa"/>
            <w:shd w:val="clear" w:color="auto" w:fill="auto"/>
          </w:tcPr>
          <w:p w14:paraId="38F13681"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Not Achieved</w:t>
            </w:r>
          </w:p>
        </w:tc>
        <w:tc>
          <w:tcPr>
            <w:tcW w:w="8647" w:type="dxa"/>
            <w:shd w:val="clear" w:color="auto" w:fill="auto"/>
          </w:tcPr>
          <w:p w14:paraId="18C4BEEC" w14:textId="77777777" w:rsidR="00A44158" w:rsidRPr="00FD2C3B" w:rsidRDefault="00A44158" w:rsidP="000A54FC">
            <w:pPr>
              <w:shd w:val="clear" w:color="auto" w:fill="FFFFFF"/>
              <w:spacing w:before="60" w:after="60"/>
              <w:jc w:val="both"/>
              <w:rPr>
                <w:rFonts w:ascii="Arial" w:hAnsi="Arial" w:cs="Arial"/>
              </w:rPr>
            </w:pPr>
            <w:r w:rsidRPr="00FD2C3B">
              <w:rPr>
                <w:rFonts w:ascii="Arial" w:hAnsi="Arial" w:cs="Arial"/>
              </w:rPr>
              <w:t xml:space="preserve">DHB has </w:t>
            </w:r>
            <w:r>
              <w:rPr>
                <w:rFonts w:ascii="Arial" w:hAnsi="Arial" w:cs="Arial"/>
              </w:rPr>
              <w:t xml:space="preserve">an </w:t>
            </w:r>
            <w:r w:rsidRPr="00FD2C3B">
              <w:rPr>
                <w:rFonts w:ascii="Arial" w:hAnsi="Arial" w:cs="Arial"/>
              </w:rPr>
              <w:t>enrolled M</w:t>
            </w:r>
            <w:r>
              <w:rPr>
                <w:rFonts w:ascii="Arial" w:hAnsi="Arial" w:cs="Arial"/>
              </w:rPr>
              <w:t>ā</w:t>
            </w:r>
            <w:r w:rsidRPr="00FD2C3B">
              <w:rPr>
                <w:rFonts w:ascii="Arial" w:hAnsi="Arial" w:cs="Arial"/>
              </w:rPr>
              <w:t>ori population</w:t>
            </w:r>
            <w:r>
              <w:rPr>
                <w:rFonts w:ascii="Arial" w:hAnsi="Arial" w:cs="Arial"/>
              </w:rPr>
              <w:t xml:space="preserve"> of</w:t>
            </w:r>
            <w:r w:rsidRPr="00FD2C3B">
              <w:rPr>
                <w:rFonts w:ascii="Arial" w:hAnsi="Arial" w:cs="Arial"/>
              </w:rPr>
              <w:t xml:space="preserve"> </w:t>
            </w:r>
            <w:r>
              <w:rPr>
                <w:rFonts w:ascii="Arial" w:hAnsi="Arial" w:cs="Arial"/>
              </w:rPr>
              <w:t>&lt;</w:t>
            </w:r>
            <w:r w:rsidRPr="00FD2C3B">
              <w:rPr>
                <w:rFonts w:ascii="Arial" w:hAnsi="Arial" w:cs="Arial"/>
              </w:rPr>
              <w:t xml:space="preserve"> </w:t>
            </w:r>
            <w:r>
              <w:rPr>
                <w:rFonts w:ascii="Arial" w:hAnsi="Arial" w:cs="Arial"/>
              </w:rPr>
              <w:t>95 percent</w:t>
            </w:r>
            <w:r w:rsidRPr="00FD2C3B">
              <w:rPr>
                <w:rFonts w:ascii="Arial" w:hAnsi="Arial" w:cs="Arial"/>
              </w:rPr>
              <w:t xml:space="preserve"> </w:t>
            </w:r>
            <w:r>
              <w:rPr>
                <w:rFonts w:ascii="Arial" w:hAnsi="Arial" w:cs="Arial"/>
              </w:rPr>
              <w:t>and has not provided a clear plan outlining activities to improve Māori enrolments, or has not determined an appropriate timeframe to meet proposed performance target, or is not on track to meet proposed performance target.</w:t>
            </w:r>
          </w:p>
        </w:tc>
      </w:tr>
    </w:tbl>
    <w:p w14:paraId="61AB8B38" w14:textId="537ACE4C" w:rsidR="00F61E9C" w:rsidRDefault="00F61E9C">
      <w:pPr>
        <w:rPr>
          <w:rFonts w:asciiTheme="minorHAnsi" w:eastAsiaTheme="minorEastAsia" w:hAnsiTheme="minorHAnsi" w:cstheme="minorBidi"/>
          <w:sz w:val="22"/>
          <w:szCs w:val="22"/>
          <w:lang w:val="en-US"/>
        </w:rPr>
      </w:pPr>
      <w:r>
        <w:br w:type="page"/>
      </w:r>
    </w:p>
    <w:p w14:paraId="0F9C3915" w14:textId="4AD17CBF" w:rsidR="0045036B" w:rsidRPr="00B57FB6" w:rsidRDefault="0045036B" w:rsidP="007A4A23">
      <w:pPr>
        <w:pStyle w:val="NoSpacing"/>
      </w:pPr>
      <w:r w:rsidRPr="00B57FB6">
        <w:lastRenderedPageBreak/>
        <w:t>Outcome priority</w:t>
      </w:r>
      <w:r>
        <w:t>: We live longer in good health</w:t>
      </w:r>
      <w:bookmarkEnd w:id="535"/>
      <w:bookmarkEnd w:id="536"/>
      <w:bookmarkEnd w:id="537"/>
    </w:p>
    <w:p w14:paraId="7746893B" w14:textId="669D6C29" w:rsidR="0045036B" w:rsidRPr="0045036B" w:rsidRDefault="00B711CC" w:rsidP="00522314">
      <w:pPr>
        <w:pStyle w:val="Heading2"/>
      </w:pPr>
      <w:bookmarkStart w:id="548" w:name="_Toc4588575"/>
      <w:bookmarkStart w:id="549" w:name="_Toc9592044"/>
      <w:r w:rsidRPr="00B711CC">
        <w:t xml:space="preserve">Better population health outcomes supported by </w:t>
      </w:r>
      <w:r>
        <w:t>p</w:t>
      </w:r>
      <w:r w:rsidR="0045036B" w:rsidRPr="0045036B">
        <w:t>rimary health care PH04: Better help for smokers to quit</w:t>
      </w:r>
      <w:bookmarkEnd w:id="538"/>
      <w:bookmarkEnd w:id="539"/>
      <w:r w:rsidR="0045036B" w:rsidRPr="0045036B">
        <w:t xml:space="preserve"> (primary care)</w:t>
      </w:r>
      <w:bookmarkEnd w:id="548"/>
      <w:bookmarkEnd w:id="549"/>
    </w:p>
    <w:p w14:paraId="680B9BE2" w14:textId="5DD31FB0" w:rsidR="0045036B" w:rsidRPr="00D77CF3" w:rsidRDefault="0045036B" w:rsidP="007A4A23">
      <w:pPr>
        <w:pStyle w:val="NoSpacing"/>
      </w:pPr>
      <w:bookmarkStart w:id="550" w:name="_Toc4588576"/>
      <w:bookmarkStart w:id="551" w:name="_Toc4588719"/>
      <w:bookmarkStart w:id="552" w:name="_Toc9592045"/>
      <w:r>
        <w:t xml:space="preserve">Includes </w:t>
      </w:r>
      <w:r w:rsidR="00B711CC">
        <w:t>Improving c</w:t>
      </w:r>
      <w:r>
        <w:t>hild wellbeing CW09: Better help for smokers to quit (maternity)</w:t>
      </w:r>
      <w:bookmarkEnd w:id="550"/>
      <w:bookmarkEnd w:id="551"/>
      <w:bookmarkEnd w:id="552"/>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034"/>
        <w:gridCol w:w="4252"/>
        <w:gridCol w:w="2786"/>
      </w:tblGrid>
      <w:tr w:rsidR="0045036B" w:rsidRPr="00D77CF3" w14:paraId="57769CD1" w14:textId="77777777" w:rsidTr="0045036B">
        <w:tc>
          <w:tcPr>
            <w:tcW w:w="10440" w:type="dxa"/>
            <w:gridSpan w:val="4"/>
            <w:shd w:val="clear" w:color="auto" w:fill="D9D9D9"/>
          </w:tcPr>
          <w:p w14:paraId="20682C42" w14:textId="77777777" w:rsidR="0045036B" w:rsidRPr="00D77CF3" w:rsidRDefault="0045036B" w:rsidP="0045036B">
            <w:pPr>
              <w:spacing w:before="60" w:after="60"/>
              <w:jc w:val="center"/>
              <w:rPr>
                <w:rFonts w:ascii="Arial" w:hAnsi="Arial" w:cs="Arial"/>
                <w:b/>
                <w:sz w:val="22"/>
                <w:szCs w:val="22"/>
              </w:rPr>
            </w:pPr>
            <w:r w:rsidRPr="00D77CF3">
              <w:rPr>
                <w:rFonts w:ascii="Arial" w:hAnsi="Arial" w:cs="Arial"/>
                <w:b/>
                <w:sz w:val="22"/>
                <w:szCs w:val="22"/>
              </w:rPr>
              <w:t>Summary information</w:t>
            </w:r>
          </w:p>
        </w:tc>
      </w:tr>
      <w:tr w:rsidR="0045036B" w:rsidRPr="00D77CF3" w14:paraId="02854545" w14:textId="77777777" w:rsidTr="0045036B">
        <w:tc>
          <w:tcPr>
            <w:tcW w:w="10440" w:type="dxa"/>
            <w:gridSpan w:val="4"/>
            <w:shd w:val="clear" w:color="auto" w:fill="auto"/>
          </w:tcPr>
          <w:p w14:paraId="7C6AEAA5" w14:textId="77777777" w:rsidR="0045036B" w:rsidRPr="00D77CF3" w:rsidRDefault="0045036B" w:rsidP="00C04FF1">
            <w:pPr>
              <w:numPr>
                <w:ilvl w:val="0"/>
                <w:numId w:val="70"/>
              </w:numPr>
              <w:jc w:val="both"/>
              <w:rPr>
                <w:rFonts w:ascii="Arial" w:hAnsi="Arial" w:cs="Arial"/>
                <w:sz w:val="22"/>
                <w:szCs w:val="22"/>
              </w:rPr>
            </w:pPr>
            <w:r w:rsidRPr="00D77CF3">
              <w:rPr>
                <w:rFonts w:ascii="Arial" w:hAnsi="Arial" w:cs="Arial"/>
                <w:sz w:val="22"/>
                <w:szCs w:val="22"/>
              </w:rPr>
              <w:t>90 percent of PHO enrolled patients who smoke have been offered help to quit smoking by a health care practitioner in the last 15 months</w:t>
            </w:r>
          </w:p>
          <w:p w14:paraId="2CB8AB49" w14:textId="77777777" w:rsidR="0045036B" w:rsidRPr="00D77CF3" w:rsidRDefault="0045036B" w:rsidP="00C04FF1">
            <w:pPr>
              <w:numPr>
                <w:ilvl w:val="0"/>
                <w:numId w:val="70"/>
              </w:numPr>
              <w:jc w:val="both"/>
              <w:rPr>
                <w:rFonts w:ascii="Arial" w:hAnsi="Arial" w:cs="Arial"/>
                <w:sz w:val="22"/>
                <w:szCs w:val="22"/>
              </w:rPr>
            </w:pPr>
            <w:r w:rsidRPr="00D77CF3">
              <w:rPr>
                <w:rFonts w:ascii="Arial" w:hAnsi="Arial" w:cs="Arial"/>
                <w:sz w:val="22"/>
                <w:szCs w:val="22"/>
              </w:rPr>
              <w:t>90 percent of pregnant women who identify as smokers upon registration with a DHB-employed midwife or Lead Maternity Carer are offered brief advice and support to quit smoking</w:t>
            </w:r>
          </w:p>
          <w:p w14:paraId="438FE65D" w14:textId="77777777" w:rsidR="0045036B" w:rsidRPr="00D77CF3" w:rsidRDefault="0045036B" w:rsidP="0045036B">
            <w:pPr>
              <w:spacing w:before="60" w:after="60" w:line="240" w:lineRule="exact"/>
              <w:ind w:left="360"/>
              <w:jc w:val="both"/>
              <w:rPr>
                <w:rFonts w:ascii="Arial" w:hAnsi="Arial"/>
                <w:b/>
                <w:sz w:val="22"/>
                <w:szCs w:val="22"/>
              </w:rPr>
            </w:pPr>
          </w:p>
        </w:tc>
      </w:tr>
      <w:tr w:rsidR="0045036B" w:rsidRPr="00D77CF3" w14:paraId="2014470D" w14:textId="77777777" w:rsidTr="0045036B">
        <w:tc>
          <w:tcPr>
            <w:tcW w:w="3402" w:type="dxa"/>
            <w:gridSpan w:val="2"/>
            <w:shd w:val="clear" w:color="auto" w:fill="D9D9D9"/>
          </w:tcPr>
          <w:p w14:paraId="4DBF267B" w14:textId="77777777" w:rsidR="0045036B" w:rsidRPr="00D77CF3" w:rsidRDefault="0045036B" w:rsidP="0045036B">
            <w:pPr>
              <w:spacing w:before="60" w:after="60"/>
              <w:jc w:val="both"/>
              <w:rPr>
                <w:rFonts w:ascii="Arial" w:hAnsi="Arial" w:cs="Arial"/>
                <w:b/>
                <w:i/>
                <w:sz w:val="22"/>
                <w:szCs w:val="22"/>
              </w:rPr>
            </w:pPr>
            <w:r w:rsidRPr="00D77CF3">
              <w:rPr>
                <w:rFonts w:ascii="Arial" w:hAnsi="Arial" w:cs="Arial"/>
                <w:b/>
                <w:i/>
                <w:sz w:val="22"/>
                <w:szCs w:val="22"/>
              </w:rPr>
              <w:t>Measures</w:t>
            </w:r>
          </w:p>
        </w:tc>
        <w:tc>
          <w:tcPr>
            <w:tcW w:w="7038" w:type="dxa"/>
            <w:gridSpan w:val="2"/>
            <w:shd w:val="clear" w:color="auto" w:fill="D9D9D9"/>
          </w:tcPr>
          <w:p w14:paraId="3934224A" w14:textId="77777777" w:rsidR="0045036B" w:rsidRPr="00D77CF3" w:rsidRDefault="0045036B" w:rsidP="0045036B">
            <w:pPr>
              <w:spacing w:before="60" w:after="60"/>
              <w:jc w:val="both"/>
              <w:rPr>
                <w:rFonts w:ascii="Arial" w:hAnsi="Arial" w:cs="Arial"/>
                <w:b/>
                <w:i/>
                <w:sz w:val="22"/>
                <w:szCs w:val="22"/>
              </w:rPr>
            </w:pPr>
            <w:r w:rsidRPr="00D77CF3">
              <w:rPr>
                <w:rFonts w:ascii="Arial" w:hAnsi="Arial" w:cs="Arial"/>
                <w:b/>
                <w:i/>
                <w:sz w:val="22"/>
                <w:szCs w:val="22"/>
              </w:rPr>
              <w:t>Reporting</w:t>
            </w:r>
          </w:p>
        </w:tc>
      </w:tr>
      <w:tr w:rsidR="0045036B" w:rsidRPr="00D77CF3" w14:paraId="5E303002" w14:textId="77777777" w:rsidTr="0045036B">
        <w:tc>
          <w:tcPr>
            <w:tcW w:w="1368" w:type="dxa"/>
            <w:vMerge w:val="restart"/>
            <w:shd w:val="clear" w:color="auto" w:fill="auto"/>
          </w:tcPr>
          <w:p w14:paraId="44F69337"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Target:</w:t>
            </w:r>
          </w:p>
        </w:tc>
        <w:tc>
          <w:tcPr>
            <w:tcW w:w="2034" w:type="dxa"/>
            <w:vMerge w:val="restart"/>
            <w:shd w:val="clear" w:color="auto" w:fill="auto"/>
          </w:tcPr>
          <w:p w14:paraId="427A887C" w14:textId="77777777" w:rsidR="0045036B" w:rsidRPr="00D77CF3" w:rsidRDefault="0045036B" w:rsidP="0045036B">
            <w:pPr>
              <w:spacing w:before="60" w:after="60"/>
              <w:rPr>
                <w:rFonts w:ascii="Arial" w:hAnsi="Arial" w:cs="Arial"/>
                <w:sz w:val="22"/>
                <w:szCs w:val="22"/>
              </w:rPr>
            </w:pPr>
            <w:r w:rsidRPr="00D77CF3">
              <w:rPr>
                <w:rFonts w:ascii="Arial" w:hAnsi="Arial" w:cs="Arial"/>
                <w:sz w:val="22"/>
                <w:szCs w:val="22"/>
              </w:rPr>
              <w:t>Target agreed in Annual Plans</w:t>
            </w:r>
          </w:p>
        </w:tc>
        <w:tc>
          <w:tcPr>
            <w:tcW w:w="4252" w:type="dxa"/>
            <w:shd w:val="clear" w:color="auto" w:fill="auto"/>
          </w:tcPr>
          <w:p w14:paraId="71D2DF46"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Type:</w:t>
            </w:r>
          </w:p>
        </w:tc>
        <w:tc>
          <w:tcPr>
            <w:tcW w:w="2786" w:type="dxa"/>
            <w:shd w:val="clear" w:color="auto" w:fill="auto"/>
          </w:tcPr>
          <w:p w14:paraId="41CC85A7"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Data &amp; report</w:t>
            </w:r>
          </w:p>
        </w:tc>
      </w:tr>
      <w:tr w:rsidR="0045036B" w:rsidRPr="00D77CF3" w14:paraId="62FA721E" w14:textId="77777777" w:rsidTr="0045036B">
        <w:tc>
          <w:tcPr>
            <w:tcW w:w="1368" w:type="dxa"/>
            <w:vMerge/>
            <w:shd w:val="clear" w:color="auto" w:fill="auto"/>
          </w:tcPr>
          <w:p w14:paraId="79AE9C7B" w14:textId="77777777" w:rsidR="0045036B" w:rsidRPr="00D77CF3" w:rsidRDefault="0045036B" w:rsidP="0045036B">
            <w:pPr>
              <w:spacing w:before="60" w:after="60"/>
              <w:jc w:val="both"/>
              <w:rPr>
                <w:rFonts w:ascii="Arial" w:hAnsi="Arial" w:cs="Arial"/>
                <w:sz w:val="22"/>
                <w:szCs w:val="22"/>
              </w:rPr>
            </w:pPr>
          </w:p>
        </w:tc>
        <w:tc>
          <w:tcPr>
            <w:tcW w:w="2034" w:type="dxa"/>
            <w:vMerge/>
            <w:shd w:val="clear" w:color="auto" w:fill="auto"/>
          </w:tcPr>
          <w:p w14:paraId="3AB62022" w14:textId="77777777" w:rsidR="0045036B" w:rsidRPr="00D77CF3" w:rsidRDefault="0045036B" w:rsidP="0045036B">
            <w:pPr>
              <w:spacing w:before="60" w:after="60"/>
              <w:jc w:val="both"/>
              <w:rPr>
                <w:rFonts w:ascii="Arial" w:hAnsi="Arial" w:cs="Arial"/>
                <w:sz w:val="22"/>
                <w:szCs w:val="22"/>
              </w:rPr>
            </w:pPr>
          </w:p>
        </w:tc>
        <w:tc>
          <w:tcPr>
            <w:tcW w:w="4252" w:type="dxa"/>
            <w:shd w:val="clear" w:color="auto" w:fill="auto"/>
          </w:tcPr>
          <w:p w14:paraId="77FB7F28"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Reporting frequency:</w:t>
            </w:r>
          </w:p>
        </w:tc>
        <w:tc>
          <w:tcPr>
            <w:tcW w:w="2786" w:type="dxa"/>
            <w:shd w:val="clear" w:color="auto" w:fill="auto"/>
          </w:tcPr>
          <w:p w14:paraId="064A1453" w14:textId="77777777" w:rsidR="0045036B" w:rsidRPr="00D77CF3" w:rsidRDefault="0045036B" w:rsidP="0045036B">
            <w:pPr>
              <w:tabs>
                <w:tab w:val="center" w:pos="1285"/>
              </w:tabs>
              <w:spacing w:before="60" w:after="60"/>
              <w:jc w:val="both"/>
              <w:rPr>
                <w:rFonts w:ascii="Arial" w:hAnsi="Arial" w:cs="Arial"/>
                <w:sz w:val="22"/>
                <w:szCs w:val="22"/>
              </w:rPr>
            </w:pPr>
            <w:r w:rsidRPr="00D77CF3">
              <w:rPr>
                <w:rFonts w:ascii="Arial" w:hAnsi="Arial" w:cs="Arial"/>
                <w:sz w:val="22"/>
                <w:szCs w:val="22"/>
              </w:rPr>
              <w:t>Quarterly</w:t>
            </w:r>
          </w:p>
        </w:tc>
      </w:tr>
      <w:tr w:rsidR="0045036B" w:rsidRPr="00D77CF3" w14:paraId="4BA2B7F5" w14:textId="77777777" w:rsidTr="0045036B">
        <w:tc>
          <w:tcPr>
            <w:tcW w:w="3402" w:type="dxa"/>
            <w:gridSpan w:val="2"/>
            <w:shd w:val="clear" w:color="auto" w:fill="auto"/>
          </w:tcPr>
          <w:p w14:paraId="3CF8CB0E" w14:textId="77777777" w:rsidR="0045036B" w:rsidRPr="00D77CF3" w:rsidRDefault="0045036B" w:rsidP="0045036B">
            <w:pPr>
              <w:spacing w:before="60" w:after="60"/>
              <w:rPr>
                <w:rFonts w:ascii="Arial" w:hAnsi="Arial" w:cs="Arial"/>
                <w:b/>
                <w:i/>
                <w:sz w:val="22"/>
                <w:szCs w:val="22"/>
              </w:rPr>
            </w:pPr>
            <w:r w:rsidRPr="00D77CF3">
              <w:rPr>
                <w:rFonts w:ascii="Arial" w:hAnsi="Arial" w:cs="Arial"/>
                <w:b/>
                <w:i/>
                <w:sz w:val="22"/>
                <w:szCs w:val="22"/>
              </w:rPr>
              <w:t>Source data/template for reporting provided by:</w:t>
            </w:r>
          </w:p>
        </w:tc>
        <w:tc>
          <w:tcPr>
            <w:tcW w:w="7038" w:type="dxa"/>
            <w:gridSpan w:val="2"/>
            <w:shd w:val="clear" w:color="auto" w:fill="auto"/>
          </w:tcPr>
          <w:p w14:paraId="2F92AFFA" w14:textId="77777777" w:rsidR="0045036B" w:rsidRPr="00D77CF3" w:rsidRDefault="0045036B" w:rsidP="00C04FF1">
            <w:pPr>
              <w:numPr>
                <w:ilvl w:val="0"/>
                <w:numId w:val="71"/>
              </w:numPr>
              <w:spacing w:before="60" w:after="60"/>
              <w:rPr>
                <w:rFonts w:ascii="Arial" w:hAnsi="Arial" w:cs="Arial"/>
                <w:sz w:val="22"/>
                <w:szCs w:val="22"/>
              </w:rPr>
            </w:pPr>
            <w:r w:rsidRPr="00D77CF3">
              <w:rPr>
                <w:rFonts w:ascii="Arial" w:hAnsi="Arial" w:cs="Arial"/>
                <w:sz w:val="22"/>
                <w:szCs w:val="22"/>
              </w:rPr>
              <w:t>Primary care target data – supplied to the Ministry of Health through the PHO performance programme (PPP) system</w:t>
            </w:r>
          </w:p>
          <w:p w14:paraId="2975E622" w14:textId="77777777" w:rsidR="0045036B" w:rsidRPr="00D77CF3" w:rsidRDefault="0045036B" w:rsidP="00C04FF1">
            <w:pPr>
              <w:numPr>
                <w:ilvl w:val="0"/>
                <w:numId w:val="71"/>
              </w:numPr>
              <w:spacing w:before="60" w:after="60"/>
              <w:rPr>
                <w:rFonts w:ascii="Arial" w:hAnsi="Arial" w:cs="Arial"/>
                <w:sz w:val="22"/>
                <w:szCs w:val="22"/>
              </w:rPr>
            </w:pPr>
            <w:r w:rsidRPr="00D77CF3">
              <w:rPr>
                <w:rFonts w:ascii="Arial" w:hAnsi="Arial" w:cs="Arial"/>
                <w:sz w:val="22"/>
                <w:szCs w:val="22"/>
              </w:rPr>
              <w:t>Maternity target data –supplied to the Ministry by Midwifery and Maternity Provider Organisation (MMPO and DHBs</w:t>
            </w:r>
          </w:p>
          <w:p w14:paraId="2B0A77CD" w14:textId="77777777" w:rsidR="0045036B" w:rsidRPr="00D77CF3" w:rsidRDefault="0045036B" w:rsidP="0045036B">
            <w:pPr>
              <w:spacing w:before="60" w:after="60"/>
              <w:jc w:val="both"/>
              <w:rPr>
                <w:rFonts w:ascii="Arial" w:hAnsi="Arial" w:cs="Arial"/>
                <w:i/>
                <w:sz w:val="22"/>
                <w:szCs w:val="22"/>
              </w:rPr>
            </w:pPr>
            <w:r w:rsidRPr="00D77CF3">
              <w:rPr>
                <w:rFonts w:ascii="Arial" w:hAnsi="Arial" w:cs="Arial"/>
                <w:sz w:val="22"/>
                <w:szCs w:val="22"/>
              </w:rPr>
              <w:t>All reporting templates will be supplied by the Ministry.</w:t>
            </w:r>
          </w:p>
        </w:tc>
      </w:tr>
    </w:tbl>
    <w:p w14:paraId="3C780C98" w14:textId="77777777" w:rsidR="0045036B" w:rsidRPr="00D77CF3" w:rsidRDefault="0045036B" w:rsidP="0045036B">
      <w:pPr>
        <w:spacing w:before="120" w:after="120"/>
        <w:jc w:val="both"/>
        <w:rPr>
          <w:rFonts w:ascii="Arial" w:hAnsi="Arial" w:cs="Arial"/>
          <w:b/>
          <w:szCs w:val="22"/>
        </w:rPr>
      </w:pPr>
      <w:r w:rsidRPr="00D77CF3">
        <w:rPr>
          <w:rFonts w:ascii="Arial" w:hAnsi="Arial" w:cs="Arial"/>
          <w:b/>
          <w:szCs w:val="22"/>
        </w:rPr>
        <w:t xml:space="preserve">Link to outcomes </w:t>
      </w:r>
    </w:p>
    <w:p w14:paraId="6487EDD8" w14:textId="77777777" w:rsidR="0045036B" w:rsidRPr="0072302C" w:rsidRDefault="0045036B" w:rsidP="0045036B">
      <w:pPr>
        <w:spacing w:after="120" w:line="300" w:lineRule="auto"/>
        <w:rPr>
          <w:rFonts w:ascii="Arial" w:hAnsi="Arial" w:cs="Arial"/>
          <w:sz w:val="22"/>
          <w:szCs w:val="22"/>
        </w:rPr>
      </w:pPr>
      <w:r w:rsidRPr="0072302C">
        <w:rPr>
          <w:rFonts w:ascii="Arial" w:hAnsi="Arial" w:cs="Arial"/>
          <w:sz w:val="22"/>
          <w:szCs w:val="22"/>
        </w:rPr>
        <w:t xml:space="preserve">Delivery of this measure supports the vision for the New Zealand health and disability system of </w:t>
      </w:r>
      <w:proofErr w:type="spellStart"/>
      <w:r w:rsidRPr="0072302C">
        <w:rPr>
          <w:rFonts w:ascii="Arial" w:hAnsi="Arial" w:cs="Arial"/>
          <w:sz w:val="22"/>
          <w:szCs w:val="22"/>
        </w:rPr>
        <w:t>Pae</w:t>
      </w:r>
      <w:proofErr w:type="spellEnd"/>
      <w:r w:rsidRPr="0072302C">
        <w:rPr>
          <w:rFonts w:ascii="Arial" w:hAnsi="Arial" w:cs="Arial"/>
          <w:sz w:val="22"/>
          <w:szCs w:val="22"/>
        </w:rPr>
        <w:t xml:space="preserve"> Ora – healthy futures.</w:t>
      </w:r>
    </w:p>
    <w:p w14:paraId="4DBC7460" w14:textId="77777777" w:rsidR="0045036B" w:rsidRDefault="0045036B" w:rsidP="0045036B">
      <w:pPr>
        <w:rPr>
          <w:rFonts w:ascii="Arial" w:hAnsi="Arial" w:cs="Arial"/>
          <w:sz w:val="22"/>
          <w:szCs w:val="22"/>
        </w:rPr>
      </w:pPr>
      <w:r w:rsidRPr="003A54D1">
        <w:rPr>
          <w:rFonts w:ascii="Arial" w:hAnsi="Arial" w:cs="Arial"/>
          <w:sz w:val="22"/>
          <w:szCs w:val="22"/>
        </w:rPr>
        <w:t xml:space="preserve">By </w:t>
      </w:r>
      <w:r>
        <w:rPr>
          <w:rFonts w:ascii="Arial" w:hAnsi="Arial" w:cs="Arial"/>
          <w:sz w:val="22"/>
          <w:szCs w:val="22"/>
        </w:rPr>
        <w:t xml:space="preserve">ensuring better help for smokers to quit in primary care settings </w:t>
      </w:r>
      <w:r w:rsidRPr="003A54D1">
        <w:rPr>
          <w:rFonts w:ascii="Arial" w:hAnsi="Arial" w:cs="Arial"/>
          <w:sz w:val="22"/>
          <w:szCs w:val="22"/>
        </w:rPr>
        <w:t>DHB</w:t>
      </w:r>
      <w:r>
        <w:rPr>
          <w:rFonts w:ascii="Arial" w:hAnsi="Arial" w:cs="Arial"/>
          <w:sz w:val="22"/>
          <w:szCs w:val="22"/>
        </w:rPr>
        <w:t>s</w:t>
      </w:r>
      <w:r w:rsidRPr="003A54D1">
        <w:rPr>
          <w:rFonts w:ascii="Arial" w:hAnsi="Arial" w:cs="Arial"/>
          <w:sz w:val="22"/>
          <w:szCs w:val="22"/>
        </w:rPr>
        <w:t xml:space="preserve"> will assist in delivery of Government's priority to support healthier, safer and more connected communities and </w:t>
      </w:r>
      <w:r>
        <w:rPr>
          <w:rFonts w:ascii="Arial" w:hAnsi="Arial" w:cs="Arial"/>
          <w:sz w:val="22"/>
          <w:szCs w:val="22"/>
        </w:rPr>
        <w:t xml:space="preserve">by ensuring better help for pregnant women to quit smoking DHBs </w:t>
      </w:r>
      <w:r w:rsidRPr="003A54D1">
        <w:rPr>
          <w:rFonts w:ascii="Arial" w:hAnsi="Arial" w:cs="Arial"/>
          <w:sz w:val="22"/>
          <w:szCs w:val="22"/>
        </w:rPr>
        <w:t>will support Government's priority to make New Zealand the best place in the world to be a child</w:t>
      </w:r>
      <w:r>
        <w:rPr>
          <w:rFonts w:ascii="Arial" w:hAnsi="Arial" w:cs="Arial"/>
          <w:sz w:val="22"/>
          <w:szCs w:val="22"/>
        </w:rPr>
        <w:t>. Both measures support our</w:t>
      </w:r>
      <w:r w:rsidRPr="003A54D1">
        <w:rPr>
          <w:rFonts w:ascii="Arial" w:hAnsi="Arial" w:cs="Arial"/>
          <w:sz w:val="22"/>
          <w:szCs w:val="22"/>
        </w:rPr>
        <w:t xml:space="preserve"> health system outcome</w:t>
      </w:r>
      <w:r>
        <w:rPr>
          <w:rFonts w:ascii="Arial" w:hAnsi="Arial" w:cs="Arial"/>
          <w:sz w:val="22"/>
          <w:szCs w:val="22"/>
        </w:rPr>
        <w:t xml:space="preserve"> that we live longer in good health.</w:t>
      </w:r>
    </w:p>
    <w:p w14:paraId="51C958D9" w14:textId="77777777" w:rsidR="0045036B" w:rsidRDefault="0045036B" w:rsidP="0045036B">
      <w:pPr>
        <w:rPr>
          <w:rFonts w:ascii="Arial" w:hAnsi="Arial" w:cs="Arial"/>
          <w:sz w:val="22"/>
          <w:szCs w:val="22"/>
        </w:rPr>
      </w:pPr>
    </w:p>
    <w:p w14:paraId="34624BBC" w14:textId="77777777" w:rsidR="0045036B" w:rsidRPr="00D77CF3" w:rsidRDefault="0045036B" w:rsidP="0045036B">
      <w:pPr>
        <w:rPr>
          <w:rFonts w:ascii="Arial" w:hAnsi="Arial" w:cs="Arial"/>
          <w:sz w:val="22"/>
          <w:szCs w:val="22"/>
        </w:rPr>
      </w:pPr>
      <w:r w:rsidRPr="00D77CF3">
        <w:rPr>
          <w:rFonts w:ascii="Arial" w:hAnsi="Arial" w:cs="Arial"/>
          <w:sz w:val="22"/>
          <w:szCs w:val="22"/>
        </w:rPr>
        <w:t xml:space="preserve">The measure also supports the Government’s aspirational goal of a </w:t>
      </w:r>
      <w:proofErr w:type="spellStart"/>
      <w:r w:rsidRPr="00D77CF3">
        <w:rPr>
          <w:rFonts w:ascii="Arial" w:hAnsi="Arial" w:cs="Arial"/>
          <w:sz w:val="22"/>
          <w:szCs w:val="22"/>
        </w:rPr>
        <w:t>Smokefree</w:t>
      </w:r>
      <w:proofErr w:type="spellEnd"/>
      <w:r w:rsidRPr="00D77CF3">
        <w:rPr>
          <w:rFonts w:ascii="Arial" w:hAnsi="Arial" w:cs="Arial"/>
          <w:sz w:val="22"/>
          <w:szCs w:val="22"/>
        </w:rPr>
        <w:t xml:space="preserve"> New Zealand by 2025. Achieving a </w:t>
      </w:r>
      <w:proofErr w:type="spellStart"/>
      <w:r w:rsidRPr="00D77CF3">
        <w:rPr>
          <w:rFonts w:ascii="Arial" w:hAnsi="Arial" w:cs="Arial"/>
          <w:sz w:val="22"/>
          <w:szCs w:val="22"/>
        </w:rPr>
        <w:t>Smokefree</w:t>
      </w:r>
      <w:proofErr w:type="spellEnd"/>
      <w:r w:rsidRPr="00D77CF3">
        <w:rPr>
          <w:rFonts w:ascii="Arial" w:hAnsi="Arial" w:cs="Arial"/>
          <w:sz w:val="22"/>
          <w:szCs w:val="22"/>
        </w:rPr>
        <w:t xml:space="preserve"> New Zealand will mean that: </w:t>
      </w:r>
    </w:p>
    <w:p w14:paraId="3A00290A" w14:textId="77777777" w:rsidR="0045036B" w:rsidRPr="00D77CF3" w:rsidRDefault="0045036B" w:rsidP="00C04FF1">
      <w:pPr>
        <w:numPr>
          <w:ilvl w:val="0"/>
          <w:numId w:val="43"/>
        </w:numPr>
        <w:spacing w:before="60" w:after="60"/>
        <w:jc w:val="both"/>
        <w:rPr>
          <w:rFonts w:ascii="Arial" w:hAnsi="Arial" w:cs="Arial"/>
          <w:sz w:val="22"/>
          <w:szCs w:val="22"/>
        </w:rPr>
      </w:pPr>
      <w:r w:rsidRPr="00D77CF3">
        <w:rPr>
          <w:rFonts w:ascii="Arial" w:hAnsi="Arial" w:cs="Arial"/>
          <w:sz w:val="22"/>
          <w:szCs w:val="22"/>
        </w:rPr>
        <w:t>our children and grandchildren will be free from exposure to tobacco and tobacco use</w:t>
      </w:r>
    </w:p>
    <w:p w14:paraId="333331E3" w14:textId="77777777" w:rsidR="0045036B" w:rsidRPr="00D77CF3" w:rsidRDefault="0045036B" w:rsidP="00C04FF1">
      <w:pPr>
        <w:numPr>
          <w:ilvl w:val="0"/>
          <w:numId w:val="43"/>
        </w:numPr>
        <w:spacing w:before="60" w:after="60"/>
        <w:jc w:val="both"/>
        <w:rPr>
          <w:rFonts w:ascii="Arial" w:hAnsi="Arial" w:cs="Arial"/>
          <w:sz w:val="22"/>
          <w:szCs w:val="22"/>
        </w:rPr>
      </w:pPr>
      <w:r w:rsidRPr="00D77CF3">
        <w:rPr>
          <w:rFonts w:ascii="Arial" w:hAnsi="Arial" w:cs="Arial"/>
          <w:sz w:val="22"/>
          <w:szCs w:val="22"/>
        </w:rPr>
        <w:t>the prevalence of smoking across all populations will be less than 5 percent</w:t>
      </w:r>
    </w:p>
    <w:p w14:paraId="4E0D8F5B" w14:textId="77777777" w:rsidR="0045036B" w:rsidRPr="00D77CF3" w:rsidRDefault="0045036B" w:rsidP="00C04FF1">
      <w:pPr>
        <w:numPr>
          <w:ilvl w:val="0"/>
          <w:numId w:val="43"/>
        </w:numPr>
        <w:spacing w:before="60" w:after="60"/>
        <w:jc w:val="both"/>
        <w:rPr>
          <w:rFonts w:ascii="Arial" w:hAnsi="Arial" w:cs="Arial"/>
          <w:sz w:val="22"/>
          <w:szCs w:val="22"/>
        </w:rPr>
      </w:pPr>
      <w:r w:rsidRPr="00D77CF3">
        <w:rPr>
          <w:rFonts w:ascii="Arial" w:hAnsi="Arial" w:cs="Arial"/>
          <w:sz w:val="22"/>
          <w:szCs w:val="22"/>
        </w:rPr>
        <w:t>tobacco will be difficult to sell and supply.</w:t>
      </w:r>
    </w:p>
    <w:p w14:paraId="7941713E" w14:textId="77777777" w:rsidR="0045036B" w:rsidRPr="00D77CF3" w:rsidRDefault="0045036B" w:rsidP="0045036B">
      <w:pPr>
        <w:spacing w:before="60" w:after="60"/>
        <w:jc w:val="both"/>
        <w:rPr>
          <w:rFonts w:ascii="Arial" w:hAnsi="Arial" w:cs="Arial"/>
          <w:sz w:val="22"/>
          <w:szCs w:val="22"/>
        </w:rPr>
      </w:pPr>
    </w:p>
    <w:p w14:paraId="5EA259E6" w14:textId="77777777" w:rsidR="0045036B" w:rsidRPr="00D77CF3" w:rsidRDefault="0045036B" w:rsidP="0045036B">
      <w:pPr>
        <w:spacing w:after="60"/>
        <w:jc w:val="both"/>
        <w:rPr>
          <w:rFonts w:ascii="Arial" w:hAnsi="Arial" w:cs="Arial"/>
          <w:sz w:val="22"/>
          <w:szCs w:val="22"/>
        </w:rPr>
      </w:pPr>
      <w:r w:rsidRPr="00D77CF3">
        <w:rPr>
          <w:rFonts w:ascii="Arial" w:hAnsi="Arial" w:cs="Arial"/>
          <w:sz w:val="22"/>
          <w:szCs w:val="22"/>
        </w:rPr>
        <w:t xml:space="preserve">At present, tobacco smoking places a significant burden on the health of New Zealander’s and on the New Zealand health system. Tobacco smoking is related to a number of life-threatening diseases, including cardiovascular disease, chronic obstructive pulmonary disease and lung cancer. It also increases pregnant smokers’ risk of miscarriage, premature birth and low birth weight, as well as their children’s risk of Asthma and Sudden Unexplained Death in Infants (SUDI).   </w:t>
      </w:r>
    </w:p>
    <w:p w14:paraId="155FA87F" w14:textId="77777777" w:rsidR="0045036B" w:rsidRPr="00D77CF3" w:rsidRDefault="0045036B" w:rsidP="0045036B">
      <w:pPr>
        <w:spacing w:before="60" w:after="60"/>
        <w:jc w:val="both"/>
        <w:rPr>
          <w:rFonts w:ascii="Arial" w:hAnsi="Arial" w:cs="Arial"/>
          <w:sz w:val="22"/>
          <w:szCs w:val="22"/>
        </w:rPr>
      </w:pPr>
    </w:p>
    <w:p w14:paraId="11CFBEBF" w14:textId="77777777" w:rsidR="0045036B" w:rsidRPr="00D77CF3" w:rsidRDefault="0045036B" w:rsidP="0045036B">
      <w:pPr>
        <w:spacing w:before="60" w:after="60"/>
        <w:jc w:val="both"/>
        <w:rPr>
          <w:rFonts w:ascii="Arial" w:hAnsi="Arial" w:cs="Arial"/>
          <w:i/>
          <w:sz w:val="22"/>
          <w:szCs w:val="22"/>
        </w:rPr>
      </w:pPr>
      <w:r w:rsidRPr="00D77CF3">
        <w:rPr>
          <w:rFonts w:ascii="Arial" w:hAnsi="Arial" w:cs="Arial"/>
          <w:sz w:val="22"/>
          <w:szCs w:val="22"/>
        </w:rPr>
        <w:t xml:space="preserve">Stopping smoking confers immediate health benefits on all people, and is the only way to reduce smokers’ risk of developing a smoking-related disease. Providing smokers with brief advice to quit increases their chances of making a quit attempt.  The chance of that quit attempt being successful is increased if medication and/or cessation support are also provided. Most medications roughly double a smoker’s chance of quitting, but using medication in conjunction with a cessation support service (such as the Quitline or an </w:t>
      </w:r>
      <w:proofErr w:type="spellStart"/>
      <w:r w:rsidRPr="00D77CF3">
        <w:rPr>
          <w:rFonts w:ascii="Arial" w:hAnsi="Arial" w:cs="Arial"/>
          <w:sz w:val="22"/>
          <w:szCs w:val="22"/>
        </w:rPr>
        <w:t>Aukati</w:t>
      </w:r>
      <w:proofErr w:type="spellEnd"/>
      <w:r w:rsidRPr="00D77CF3">
        <w:rPr>
          <w:rFonts w:ascii="Arial" w:hAnsi="Arial" w:cs="Arial"/>
          <w:sz w:val="22"/>
          <w:szCs w:val="22"/>
        </w:rPr>
        <w:t xml:space="preserve"> </w:t>
      </w:r>
      <w:proofErr w:type="spellStart"/>
      <w:r w:rsidRPr="00D77CF3">
        <w:rPr>
          <w:rFonts w:ascii="Arial" w:hAnsi="Arial" w:cs="Arial"/>
          <w:sz w:val="22"/>
          <w:szCs w:val="22"/>
        </w:rPr>
        <w:t>KaiPaipa</w:t>
      </w:r>
      <w:proofErr w:type="spellEnd"/>
      <w:r w:rsidRPr="00D77CF3">
        <w:rPr>
          <w:rFonts w:ascii="Arial" w:hAnsi="Arial" w:cs="Arial"/>
          <w:sz w:val="22"/>
          <w:szCs w:val="22"/>
        </w:rPr>
        <w:t xml:space="preserve"> service) can increase a smoker’s chance of quitting by as much as four times.</w:t>
      </w:r>
    </w:p>
    <w:p w14:paraId="69D5581C" w14:textId="77777777" w:rsidR="0045036B" w:rsidRPr="00D77CF3" w:rsidRDefault="0045036B" w:rsidP="0045036B">
      <w:pPr>
        <w:spacing w:before="60" w:after="60"/>
        <w:jc w:val="both"/>
        <w:rPr>
          <w:rFonts w:ascii="Arial" w:hAnsi="Arial" w:cs="Arial"/>
          <w:sz w:val="22"/>
          <w:szCs w:val="22"/>
        </w:rPr>
      </w:pPr>
    </w:p>
    <w:p w14:paraId="38A22940"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 xml:space="preserve">By ensuring that all health professionals are routinely providing their patients with advice and support to quit, DHBs, PHOs and midwives are helping to ensure that people receive better health and disability services, and live longer and healthier lives.  </w:t>
      </w:r>
    </w:p>
    <w:p w14:paraId="4015587D" w14:textId="77777777" w:rsidR="0045036B" w:rsidRPr="00D77CF3" w:rsidRDefault="0045036B" w:rsidP="0045036B">
      <w:pPr>
        <w:spacing w:before="60" w:after="60"/>
        <w:jc w:val="both"/>
        <w:rPr>
          <w:rFonts w:ascii="Arial" w:hAnsi="Arial" w:cs="Arial"/>
          <w:sz w:val="22"/>
          <w:szCs w:val="22"/>
        </w:rPr>
      </w:pPr>
    </w:p>
    <w:p w14:paraId="0DF07DE4" w14:textId="77777777" w:rsidR="0045036B" w:rsidRPr="00D77CF3" w:rsidRDefault="0045036B" w:rsidP="0045036B">
      <w:pPr>
        <w:spacing w:before="60" w:after="60"/>
        <w:jc w:val="both"/>
        <w:rPr>
          <w:rFonts w:ascii="Arial" w:hAnsi="Arial" w:cs="Arial"/>
          <w:sz w:val="22"/>
          <w:szCs w:val="22"/>
        </w:rPr>
      </w:pPr>
      <w:r w:rsidRPr="00D77CF3">
        <w:rPr>
          <w:rFonts w:ascii="Arial" w:hAnsi="Arial" w:cs="Arial"/>
          <w:sz w:val="22"/>
          <w:szCs w:val="22"/>
        </w:rPr>
        <w:t xml:space="preserve">The following actions and activities are examples of initiatives that have had an impact on this measure in both hospital, maternity and primary care settings: </w:t>
      </w:r>
    </w:p>
    <w:p w14:paraId="5E1A5C6F" w14:textId="77777777" w:rsidR="0045036B" w:rsidRPr="00D77CF3" w:rsidRDefault="0045036B" w:rsidP="00C04FF1">
      <w:pPr>
        <w:numPr>
          <w:ilvl w:val="0"/>
          <w:numId w:val="42"/>
        </w:numPr>
        <w:spacing w:before="60" w:after="60"/>
        <w:jc w:val="both"/>
        <w:rPr>
          <w:rFonts w:ascii="Arial" w:hAnsi="Arial" w:cs="Arial"/>
          <w:sz w:val="22"/>
          <w:szCs w:val="22"/>
        </w:rPr>
      </w:pPr>
      <w:r w:rsidRPr="00D77CF3">
        <w:rPr>
          <w:rFonts w:ascii="Arial" w:hAnsi="Arial" w:cs="Arial"/>
          <w:sz w:val="22"/>
          <w:szCs w:val="22"/>
        </w:rPr>
        <w:t>Mechanisms for capturing data are accessible and easy to use.</w:t>
      </w:r>
    </w:p>
    <w:p w14:paraId="3458E88A" w14:textId="77777777" w:rsidR="0045036B" w:rsidRPr="00D77CF3" w:rsidRDefault="0045036B" w:rsidP="00C04FF1">
      <w:pPr>
        <w:numPr>
          <w:ilvl w:val="0"/>
          <w:numId w:val="42"/>
        </w:numPr>
        <w:spacing w:before="60" w:after="60"/>
        <w:jc w:val="both"/>
        <w:rPr>
          <w:rFonts w:ascii="Arial" w:hAnsi="Arial" w:cs="Arial"/>
          <w:sz w:val="22"/>
          <w:szCs w:val="22"/>
        </w:rPr>
      </w:pPr>
      <w:r w:rsidRPr="00D77CF3">
        <w:rPr>
          <w:rFonts w:ascii="Arial" w:hAnsi="Arial" w:cs="Arial"/>
          <w:sz w:val="22"/>
          <w:szCs w:val="22"/>
        </w:rPr>
        <w:t>Methods for referring patients to cessation support services are simple and succinct.</w:t>
      </w:r>
    </w:p>
    <w:p w14:paraId="51DDC448" w14:textId="77777777" w:rsidR="0045036B" w:rsidRPr="00D77CF3" w:rsidRDefault="0045036B" w:rsidP="00C04FF1">
      <w:pPr>
        <w:numPr>
          <w:ilvl w:val="0"/>
          <w:numId w:val="42"/>
        </w:numPr>
        <w:rPr>
          <w:rFonts w:ascii="Arial" w:hAnsi="Arial" w:cs="Arial"/>
          <w:sz w:val="22"/>
          <w:szCs w:val="22"/>
        </w:rPr>
      </w:pPr>
      <w:r w:rsidRPr="00D77CF3">
        <w:rPr>
          <w:rFonts w:ascii="Arial" w:hAnsi="Arial" w:cs="Arial"/>
          <w:sz w:val="22"/>
          <w:szCs w:val="22"/>
        </w:rPr>
        <w:t>Services are able to monitor their progress towards the target on a regular basis.</w:t>
      </w:r>
    </w:p>
    <w:p w14:paraId="43BFE94E" w14:textId="77777777" w:rsidR="0045036B" w:rsidRPr="00D77CF3" w:rsidRDefault="0045036B" w:rsidP="00C04FF1">
      <w:pPr>
        <w:numPr>
          <w:ilvl w:val="0"/>
          <w:numId w:val="42"/>
        </w:numPr>
        <w:spacing w:before="60" w:after="60"/>
        <w:jc w:val="both"/>
        <w:rPr>
          <w:rFonts w:ascii="Arial" w:hAnsi="Arial" w:cs="Arial"/>
          <w:sz w:val="22"/>
          <w:szCs w:val="22"/>
        </w:rPr>
      </w:pPr>
      <w:proofErr w:type="spellStart"/>
      <w:r w:rsidRPr="00D77CF3">
        <w:rPr>
          <w:rFonts w:ascii="Arial" w:hAnsi="Arial" w:cs="Arial"/>
          <w:sz w:val="22"/>
          <w:szCs w:val="22"/>
        </w:rPr>
        <w:t>Smokefree</w:t>
      </w:r>
      <w:proofErr w:type="spellEnd"/>
      <w:r w:rsidRPr="00D77CF3">
        <w:rPr>
          <w:rFonts w:ascii="Arial" w:hAnsi="Arial" w:cs="Arial"/>
          <w:sz w:val="22"/>
          <w:szCs w:val="22"/>
        </w:rPr>
        <w:t xml:space="preserve"> champions are in place within each ward, practice or service to provide motivation, education and support for the target. </w:t>
      </w:r>
    </w:p>
    <w:p w14:paraId="3466256F" w14:textId="77777777" w:rsidR="0045036B" w:rsidRPr="00D77CF3" w:rsidRDefault="0045036B" w:rsidP="0045036B">
      <w:pPr>
        <w:pBdr>
          <w:bottom w:val="single" w:sz="12" w:space="1" w:color="auto"/>
        </w:pBdr>
        <w:spacing w:before="60" w:after="60"/>
        <w:jc w:val="both"/>
      </w:pPr>
    </w:p>
    <w:p w14:paraId="4DB6F3D5" w14:textId="77777777" w:rsidR="0045036B" w:rsidRPr="00D77CF3" w:rsidRDefault="0045036B" w:rsidP="0045036B">
      <w:pPr>
        <w:spacing w:before="60" w:after="60"/>
        <w:jc w:val="both"/>
        <w:rPr>
          <w:rFonts w:ascii="Arial" w:hAnsi="Arial" w:cs="Arial"/>
          <w:b/>
          <w:szCs w:val="22"/>
          <w:lang w:val="en-GB"/>
        </w:rPr>
      </w:pPr>
    </w:p>
    <w:p w14:paraId="7EB50A6B" w14:textId="77777777" w:rsidR="0045036B" w:rsidRPr="00D77CF3" w:rsidRDefault="0045036B" w:rsidP="0045036B">
      <w:pPr>
        <w:spacing w:before="60" w:after="60"/>
        <w:jc w:val="both"/>
        <w:rPr>
          <w:rFonts w:ascii="Arial" w:hAnsi="Arial" w:cs="Arial"/>
          <w:b/>
          <w:szCs w:val="22"/>
          <w:lang w:val="en-GB"/>
        </w:rPr>
      </w:pPr>
      <w:r w:rsidRPr="00D77CF3">
        <w:rPr>
          <w:rFonts w:ascii="Arial" w:hAnsi="Arial" w:cs="Arial"/>
          <w:b/>
          <w:szCs w:val="22"/>
          <w:lang w:val="en-GB"/>
        </w:rPr>
        <w:t>Deliverables</w:t>
      </w:r>
    </w:p>
    <w:p w14:paraId="025D9520" w14:textId="77777777" w:rsidR="0045036B" w:rsidRPr="00D77CF3" w:rsidRDefault="0045036B" w:rsidP="0045036B">
      <w:pPr>
        <w:spacing w:before="60" w:after="60"/>
        <w:jc w:val="both"/>
        <w:rPr>
          <w:rFonts w:ascii="Arial" w:hAnsi="Arial" w:cs="Arial"/>
          <w:sz w:val="22"/>
          <w:szCs w:val="22"/>
          <w:lang w:val="en-GB"/>
        </w:rPr>
      </w:pPr>
    </w:p>
    <w:p w14:paraId="5B2E8F9D" w14:textId="77777777" w:rsidR="0045036B" w:rsidRPr="00D77CF3" w:rsidRDefault="0045036B" w:rsidP="0045036B">
      <w:pPr>
        <w:spacing w:before="60" w:after="60"/>
        <w:jc w:val="both"/>
        <w:rPr>
          <w:rFonts w:ascii="Arial" w:hAnsi="Arial" w:cs="Arial"/>
          <w:b/>
          <w:sz w:val="22"/>
          <w:szCs w:val="22"/>
          <w:lang w:val="en-GB"/>
        </w:rPr>
      </w:pPr>
      <w:r w:rsidRPr="00D77CF3">
        <w:rPr>
          <w:rFonts w:ascii="Arial" w:hAnsi="Arial" w:cs="Arial"/>
          <w:b/>
          <w:sz w:val="22"/>
          <w:szCs w:val="22"/>
          <w:lang w:val="en-GB"/>
        </w:rPr>
        <w:t>Primary care target:</w:t>
      </w:r>
    </w:p>
    <w:p w14:paraId="24487393"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Each quarter, DHBs, in collaboration with their local PHOs, will be required to complete the template supplied by the Ministry. The Ministry will provide DHBs with their region’s primary care result once it has received the data from the PPP system.</w:t>
      </w:r>
    </w:p>
    <w:p w14:paraId="0A868A59" w14:textId="77777777" w:rsidR="0045036B" w:rsidRPr="00D77CF3" w:rsidRDefault="0045036B" w:rsidP="0045036B">
      <w:pPr>
        <w:spacing w:before="60" w:after="60"/>
        <w:jc w:val="both"/>
        <w:rPr>
          <w:rFonts w:ascii="Arial" w:hAnsi="Arial" w:cs="Arial"/>
          <w:sz w:val="22"/>
          <w:szCs w:val="22"/>
          <w:lang w:val="en-GB"/>
        </w:rPr>
      </w:pPr>
    </w:p>
    <w:p w14:paraId="667637CB" w14:textId="77777777" w:rsidR="0045036B" w:rsidRPr="00D77CF3" w:rsidRDefault="0045036B" w:rsidP="0045036B">
      <w:pPr>
        <w:spacing w:before="60" w:after="60"/>
        <w:jc w:val="both"/>
        <w:rPr>
          <w:rFonts w:ascii="Arial" w:hAnsi="Arial" w:cs="Arial"/>
          <w:b/>
          <w:sz w:val="22"/>
          <w:szCs w:val="22"/>
          <w:lang w:val="en-GB"/>
        </w:rPr>
      </w:pPr>
      <w:r w:rsidRPr="00D77CF3">
        <w:rPr>
          <w:rFonts w:ascii="Arial" w:hAnsi="Arial" w:cs="Arial"/>
          <w:b/>
          <w:sz w:val="22"/>
          <w:szCs w:val="22"/>
          <w:lang w:val="en-GB"/>
        </w:rPr>
        <w:t>Maternity target:</w:t>
      </w:r>
    </w:p>
    <w:p w14:paraId="6047612D" w14:textId="77777777" w:rsidR="0045036B" w:rsidRPr="00D77CF3" w:rsidRDefault="0045036B" w:rsidP="0045036B">
      <w:pPr>
        <w:spacing w:before="60" w:after="60"/>
        <w:jc w:val="both"/>
        <w:rPr>
          <w:rFonts w:ascii="Arial" w:hAnsi="Arial" w:cs="Arial"/>
          <w:b/>
          <w:sz w:val="22"/>
          <w:szCs w:val="22"/>
          <w:lang w:val="en-GB"/>
        </w:rPr>
      </w:pPr>
      <w:r w:rsidRPr="00D77CF3">
        <w:rPr>
          <w:rFonts w:ascii="Arial" w:hAnsi="Arial" w:cs="Arial"/>
          <w:sz w:val="22"/>
          <w:szCs w:val="22"/>
          <w:lang w:val="en-GB"/>
        </w:rPr>
        <w:t>The Ministry will start online reporting of the maternity target from quarter one 2015/16. Each quarter, DHBs will be required to complete the two template supplied by the Ministry. The Ministry will provide DHBs with their region’s result once it has received the data from MMPO and DHBs.</w:t>
      </w:r>
    </w:p>
    <w:p w14:paraId="2D67F3E9" w14:textId="77777777" w:rsidR="0045036B" w:rsidRPr="00D77CF3" w:rsidRDefault="0045036B" w:rsidP="0045036B">
      <w:pPr>
        <w:spacing w:before="60" w:after="60"/>
        <w:jc w:val="both"/>
        <w:rPr>
          <w:rFonts w:ascii="Arial" w:hAnsi="Arial" w:cs="Arial"/>
          <w:b/>
          <w:szCs w:val="22"/>
          <w:lang w:val="en-GB"/>
        </w:rPr>
      </w:pPr>
    </w:p>
    <w:p w14:paraId="0804EF17" w14:textId="77777777" w:rsidR="0045036B" w:rsidRPr="00D77CF3" w:rsidRDefault="0045036B" w:rsidP="0045036B">
      <w:pPr>
        <w:spacing w:before="60" w:after="60"/>
        <w:jc w:val="both"/>
        <w:rPr>
          <w:rFonts w:ascii="Arial" w:hAnsi="Arial" w:cs="Arial"/>
          <w:b/>
          <w:szCs w:val="22"/>
          <w:lang w:val="en-GB"/>
        </w:rPr>
      </w:pPr>
      <w:r w:rsidRPr="00D77CF3">
        <w:rPr>
          <w:rFonts w:ascii="Arial" w:hAnsi="Arial" w:cs="Arial"/>
          <w:b/>
          <w:szCs w:val="22"/>
          <w:lang w:val="en-GB"/>
        </w:rPr>
        <w:t>Eligible populations</w:t>
      </w:r>
    </w:p>
    <w:p w14:paraId="4054F6BC" w14:textId="77777777" w:rsidR="0045036B" w:rsidRPr="00D77CF3" w:rsidRDefault="0045036B" w:rsidP="0045036B">
      <w:pPr>
        <w:spacing w:before="60" w:after="60"/>
        <w:jc w:val="both"/>
        <w:rPr>
          <w:rFonts w:ascii="Arial" w:hAnsi="Arial" w:cs="Arial"/>
          <w:sz w:val="22"/>
          <w:szCs w:val="22"/>
          <w:lang w:val="en-GB"/>
        </w:rPr>
      </w:pPr>
    </w:p>
    <w:p w14:paraId="168A58AD" w14:textId="77777777" w:rsidR="0045036B" w:rsidRPr="00D77CF3" w:rsidRDefault="0045036B" w:rsidP="0045036B">
      <w:pPr>
        <w:spacing w:before="60" w:after="60"/>
        <w:jc w:val="both"/>
        <w:rPr>
          <w:rFonts w:ascii="Arial" w:hAnsi="Arial" w:cs="Arial"/>
          <w:b/>
          <w:sz w:val="22"/>
          <w:szCs w:val="22"/>
          <w:lang w:val="en-GB"/>
        </w:rPr>
      </w:pPr>
      <w:r w:rsidRPr="00D77CF3">
        <w:rPr>
          <w:rFonts w:ascii="Arial" w:hAnsi="Arial" w:cs="Arial"/>
          <w:b/>
          <w:sz w:val="22"/>
          <w:szCs w:val="22"/>
          <w:lang w:val="en-GB"/>
        </w:rPr>
        <w:t>Primary care target:</w:t>
      </w:r>
    </w:p>
    <w:p w14:paraId="5478982C"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All adults who are:</w:t>
      </w:r>
    </w:p>
    <w:p w14:paraId="3172BA16" w14:textId="77777777" w:rsidR="0045036B" w:rsidRPr="00D77CF3" w:rsidRDefault="0045036B" w:rsidP="00C04FF1">
      <w:pPr>
        <w:numPr>
          <w:ilvl w:val="0"/>
          <w:numId w:val="74"/>
        </w:numPr>
        <w:spacing w:before="60" w:after="60"/>
        <w:ind w:left="284" w:hanging="284"/>
        <w:jc w:val="both"/>
        <w:rPr>
          <w:rFonts w:ascii="Arial" w:hAnsi="Arial" w:cs="Arial"/>
          <w:sz w:val="22"/>
          <w:szCs w:val="22"/>
        </w:rPr>
      </w:pPr>
      <w:r w:rsidRPr="00D77CF3">
        <w:rPr>
          <w:rFonts w:ascii="Arial" w:hAnsi="Arial" w:cs="Arial"/>
          <w:sz w:val="22"/>
          <w:szCs w:val="22"/>
          <w:lang w:val="en-GB"/>
        </w:rPr>
        <w:t xml:space="preserve">aged between 15 to 75 years </w:t>
      </w:r>
    </w:p>
    <w:p w14:paraId="19599943" w14:textId="77777777" w:rsidR="0045036B" w:rsidRPr="00D77CF3" w:rsidRDefault="0045036B" w:rsidP="00C04FF1">
      <w:pPr>
        <w:numPr>
          <w:ilvl w:val="0"/>
          <w:numId w:val="74"/>
        </w:numPr>
        <w:spacing w:before="60" w:after="60"/>
        <w:ind w:left="284" w:hanging="284"/>
        <w:jc w:val="both"/>
        <w:rPr>
          <w:rFonts w:ascii="Arial" w:hAnsi="Arial" w:cs="Arial"/>
          <w:sz w:val="22"/>
          <w:szCs w:val="22"/>
        </w:rPr>
      </w:pPr>
      <w:r w:rsidRPr="00D77CF3">
        <w:rPr>
          <w:rFonts w:ascii="Arial" w:hAnsi="Arial" w:cs="Arial"/>
          <w:sz w:val="22"/>
          <w:szCs w:val="22"/>
          <w:lang w:val="en-GB"/>
        </w:rPr>
        <w:t xml:space="preserve">enrolled in a PHO; and </w:t>
      </w:r>
    </w:p>
    <w:p w14:paraId="1D596CD1" w14:textId="77777777" w:rsidR="0045036B" w:rsidRPr="00D77CF3" w:rsidRDefault="0045036B" w:rsidP="00C04FF1">
      <w:pPr>
        <w:numPr>
          <w:ilvl w:val="0"/>
          <w:numId w:val="74"/>
        </w:numPr>
        <w:spacing w:before="60" w:after="60"/>
        <w:ind w:left="284" w:hanging="284"/>
        <w:jc w:val="both"/>
        <w:rPr>
          <w:rFonts w:ascii="Arial" w:hAnsi="Arial" w:cs="Arial"/>
          <w:sz w:val="22"/>
          <w:szCs w:val="22"/>
        </w:rPr>
      </w:pPr>
      <w:r w:rsidRPr="00D77CF3">
        <w:rPr>
          <w:rFonts w:ascii="Arial" w:hAnsi="Arial" w:cs="Arial"/>
          <w:sz w:val="22"/>
          <w:szCs w:val="22"/>
          <w:lang w:val="en-GB"/>
        </w:rPr>
        <w:t>identified as a current smoker.</w:t>
      </w:r>
    </w:p>
    <w:p w14:paraId="0AB060BA"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 xml:space="preserve">  </w:t>
      </w:r>
    </w:p>
    <w:p w14:paraId="2B7B6808"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b/>
          <w:sz w:val="22"/>
          <w:szCs w:val="22"/>
          <w:lang w:val="en-GB"/>
        </w:rPr>
        <w:t>Maternity target:</w:t>
      </w:r>
    </w:p>
    <w:p w14:paraId="3852D80B"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All pregnant women who are:</w:t>
      </w:r>
    </w:p>
    <w:p w14:paraId="5D36EF5E" w14:textId="77777777" w:rsidR="0045036B" w:rsidRPr="00D77CF3" w:rsidRDefault="0045036B" w:rsidP="00C04FF1">
      <w:pPr>
        <w:numPr>
          <w:ilvl w:val="0"/>
          <w:numId w:val="75"/>
        </w:numPr>
        <w:spacing w:before="60" w:after="60"/>
        <w:ind w:left="284" w:hanging="284"/>
        <w:jc w:val="both"/>
        <w:rPr>
          <w:rFonts w:ascii="Arial" w:hAnsi="Arial" w:cs="Arial"/>
          <w:sz w:val="22"/>
          <w:szCs w:val="22"/>
          <w:lang w:val="en-GB"/>
        </w:rPr>
      </w:pPr>
      <w:r w:rsidRPr="00D77CF3">
        <w:rPr>
          <w:rFonts w:ascii="Arial" w:hAnsi="Arial" w:cs="Arial"/>
          <w:sz w:val="22"/>
          <w:szCs w:val="22"/>
          <w:lang w:val="en-GB"/>
        </w:rPr>
        <w:t>aged 15 years and over; and</w:t>
      </w:r>
    </w:p>
    <w:p w14:paraId="1F89CD08" w14:textId="77777777" w:rsidR="0045036B" w:rsidRPr="00D77CF3" w:rsidRDefault="0045036B" w:rsidP="00C04FF1">
      <w:pPr>
        <w:numPr>
          <w:ilvl w:val="0"/>
          <w:numId w:val="75"/>
        </w:numPr>
        <w:spacing w:before="60" w:after="60"/>
        <w:ind w:left="284" w:hanging="284"/>
        <w:jc w:val="both"/>
        <w:rPr>
          <w:rFonts w:ascii="Arial" w:hAnsi="Arial" w:cs="Arial"/>
          <w:sz w:val="22"/>
          <w:szCs w:val="22"/>
          <w:lang w:val="en-GB"/>
        </w:rPr>
      </w:pPr>
      <w:r w:rsidRPr="00D77CF3">
        <w:rPr>
          <w:rFonts w:ascii="Arial" w:hAnsi="Arial" w:cs="Arial"/>
          <w:sz w:val="22"/>
          <w:szCs w:val="22"/>
          <w:lang w:val="en-GB"/>
        </w:rPr>
        <w:t xml:space="preserve">identified as a current smoker upon registration with a DHB-employed midwife or Lead Maternity Carer. </w:t>
      </w:r>
    </w:p>
    <w:p w14:paraId="048B6442" w14:textId="77777777" w:rsidR="0045036B" w:rsidRPr="00D77CF3" w:rsidRDefault="0045036B" w:rsidP="0045036B">
      <w:pPr>
        <w:spacing w:before="60" w:after="60"/>
        <w:jc w:val="both"/>
        <w:rPr>
          <w:rFonts w:ascii="Arial" w:hAnsi="Arial" w:cs="Arial"/>
          <w:b/>
          <w:sz w:val="22"/>
          <w:szCs w:val="22"/>
          <w:lang w:val="en-GB"/>
        </w:rPr>
      </w:pPr>
    </w:p>
    <w:p w14:paraId="7291DBDD"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Explanation of terms</w:t>
      </w:r>
    </w:p>
    <w:p w14:paraId="60ACADB6"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For the purpose of the primary care target and the maternity target a current smoker is someone who has smoked more than 100 cigarettes in their lifetime and has smoked tobacco in the last 28 days.</w:t>
      </w:r>
    </w:p>
    <w:p w14:paraId="5B9105D8" w14:textId="77777777" w:rsidR="0045036B" w:rsidRPr="00D77CF3" w:rsidRDefault="0045036B" w:rsidP="0045036B">
      <w:pPr>
        <w:spacing w:before="60" w:after="60"/>
        <w:jc w:val="both"/>
        <w:rPr>
          <w:rFonts w:ascii="Arial" w:hAnsi="Arial" w:cs="Arial"/>
          <w:sz w:val="22"/>
          <w:szCs w:val="22"/>
          <w:lang w:val="en-GB"/>
        </w:rPr>
      </w:pPr>
    </w:p>
    <w:p w14:paraId="659A0A6E" w14:textId="77777777" w:rsidR="0045036B" w:rsidRDefault="0045036B" w:rsidP="0045036B">
      <w:pPr>
        <w:spacing w:before="60" w:after="60"/>
        <w:jc w:val="both"/>
        <w:rPr>
          <w:rFonts w:ascii="Arial" w:hAnsi="Arial" w:cs="Arial"/>
          <w:b/>
          <w:szCs w:val="22"/>
          <w:lang w:val="en-GB"/>
        </w:rPr>
      </w:pPr>
    </w:p>
    <w:p w14:paraId="618F0B6E" w14:textId="77777777" w:rsidR="0045036B" w:rsidRPr="00D77CF3" w:rsidRDefault="0045036B" w:rsidP="0045036B">
      <w:pPr>
        <w:spacing w:before="60" w:after="60"/>
        <w:jc w:val="both"/>
        <w:rPr>
          <w:rFonts w:ascii="Arial" w:hAnsi="Arial" w:cs="Arial"/>
          <w:b/>
          <w:szCs w:val="22"/>
          <w:lang w:val="en-GB"/>
        </w:rPr>
      </w:pPr>
      <w:r w:rsidRPr="00D77CF3">
        <w:rPr>
          <w:rFonts w:ascii="Arial" w:hAnsi="Arial" w:cs="Arial"/>
          <w:b/>
          <w:szCs w:val="22"/>
          <w:lang w:val="en-GB"/>
        </w:rPr>
        <w:t>Reporting period</w:t>
      </w:r>
    </w:p>
    <w:p w14:paraId="47B66343"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Quarterly reports must be submitted to the Ministry by the 20th of the month following the relevant quarter.</w:t>
      </w:r>
    </w:p>
    <w:p w14:paraId="3B0AD52F" w14:textId="77777777" w:rsidR="0045036B" w:rsidRPr="00D77CF3" w:rsidRDefault="0045036B" w:rsidP="0045036B">
      <w:pPr>
        <w:spacing w:before="60" w:after="60"/>
        <w:jc w:val="both"/>
        <w:rPr>
          <w:rFonts w:ascii="Arial" w:hAnsi="Arial" w:cs="Arial"/>
          <w:sz w:val="22"/>
          <w:szCs w:val="22"/>
          <w:lang w:val="en-GB"/>
        </w:rPr>
      </w:pPr>
    </w:p>
    <w:p w14:paraId="29A14FBB" w14:textId="77777777" w:rsidR="0045036B" w:rsidRPr="00D77CF3" w:rsidRDefault="0045036B" w:rsidP="0045036B">
      <w:pPr>
        <w:spacing w:before="60" w:after="60"/>
        <w:jc w:val="both"/>
        <w:rPr>
          <w:rFonts w:ascii="Arial" w:hAnsi="Arial" w:cs="Arial"/>
          <w:b/>
          <w:szCs w:val="22"/>
          <w:lang w:val="en-GB"/>
        </w:rPr>
      </w:pPr>
      <w:r w:rsidRPr="00D77CF3">
        <w:rPr>
          <w:rFonts w:ascii="Arial" w:hAnsi="Arial" w:cs="Arial"/>
          <w:b/>
          <w:szCs w:val="22"/>
          <w:lang w:val="en-GB"/>
        </w:rPr>
        <w:t xml:space="preserve">Expectations </w:t>
      </w:r>
    </w:p>
    <w:p w14:paraId="2C7C82BD"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 xml:space="preserve">All DHBs are expected to meet the 90 percent primary care target and 90 percent maternity target. The achievement scale below will be applied to each of the target areas individually every quarter.  </w:t>
      </w:r>
    </w:p>
    <w:p w14:paraId="3FB06347" w14:textId="77777777" w:rsidR="0045036B" w:rsidRPr="00D77CF3" w:rsidRDefault="0045036B" w:rsidP="0045036B">
      <w:pPr>
        <w:spacing w:before="60" w:after="60"/>
        <w:jc w:val="both"/>
        <w:rPr>
          <w:rFonts w:ascii="Arial" w:hAnsi="Arial" w:cs="Arial"/>
          <w:sz w:val="22"/>
          <w:szCs w:val="22"/>
          <w:lang w:val="en-GB"/>
        </w:rPr>
      </w:pPr>
    </w:p>
    <w:p w14:paraId="6CDD73BB" w14:textId="77777777" w:rsidR="0045036B" w:rsidRPr="00D77CF3" w:rsidRDefault="0045036B" w:rsidP="0045036B">
      <w:pPr>
        <w:spacing w:before="60" w:after="60"/>
        <w:jc w:val="both"/>
        <w:rPr>
          <w:rFonts w:ascii="Arial" w:hAnsi="Arial" w:cs="Arial"/>
          <w:sz w:val="22"/>
          <w:szCs w:val="22"/>
          <w:lang w:val="en-GB"/>
        </w:rPr>
      </w:pPr>
      <w:r w:rsidRPr="00D77CF3">
        <w:rPr>
          <w:rFonts w:ascii="Arial" w:hAnsi="Arial" w:cs="Arial"/>
          <w:sz w:val="22"/>
          <w:szCs w:val="22"/>
          <w:lang w:val="en-GB"/>
        </w:rPr>
        <w:t>Table 2: Health target achievement Scale</w:t>
      </w:r>
    </w:p>
    <w:p w14:paraId="06ADBE14" w14:textId="77777777" w:rsidR="0045036B" w:rsidRPr="00D77CF3" w:rsidRDefault="0045036B" w:rsidP="0045036B">
      <w:pPr>
        <w:spacing w:before="60" w:after="60"/>
        <w:jc w:val="both"/>
        <w:rPr>
          <w:rFonts w:ascii="Arial" w:hAnsi="Arial" w:cs="Arial"/>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920"/>
      </w:tblGrid>
      <w:tr w:rsidR="0045036B" w:rsidRPr="00D77CF3" w14:paraId="3D50704F" w14:textId="77777777" w:rsidTr="0045036B">
        <w:tc>
          <w:tcPr>
            <w:tcW w:w="2340" w:type="dxa"/>
            <w:shd w:val="clear" w:color="auto" w:fill="CCCCCC"/>
            <w:vAlign w:val="center"/>
          </w:tcPr>
          <w:p w14:paraId="5261C388" w14:textId="77777777" w:rsidR="0045036B" w:rsidRPr="00D77CF3" w:rsidRDefault="0045036B" w:rsidP="0045036B">
            <w:pPr>
              <w:spacing w:before="60" w:after="60"/>
              <w:jc w:val="both"/>
              <w:rPr>
                <w:rFonts w:ascii="Arial" w:hAnsi="Arial" w:cs="Arial"/>
                <w:b/>
                <w:sz w:val="20"/>
                <w:szCs w:val="22"/>
              </w:rPr>
            </w:pPr>
            <w:r w:rsidRPr="00D77CF3">
              <w:rPr>
                <w:rFonts w:ascii="Arial" w:hAnsi="Arial" w:cs="Arial"/>
                <w:b/>
                <w:sz w:val="20"/>
                <w:szCs w:val="22"/>
              </w:rPr>
              <w:t>Rating</w:t>
            </w:r>
          </w:p>
        </w:tc>
        <w:tc>
          <w:tcPr>
            <w:tcW w:w="7920" w:type="dxa"/>
            <w:shd w:val="clear" w:color="auto" w:fill="CCCCCC"/>
            <w:vAlign w:val="center"/>
          </w:tcPr>
          <w:p w14:paraId="0B971013" w14:textId="77777777" w:rsidR="0045036B" w:rsidRPr="00D77CF3" w:rsidRDefault="0045036B" w:rsidP="0045036B">
            <w:pPr>
              <w:spacing w:before="60" w:after="60"/>
              <w:jc w:val="both"/>
              <w:rPr>
                <w:rFonts w:ascii="Arial" w:hAnsi="Arial" w:cs="Arial"/>
                <w:b/>
                <w:sz w:val="20"/>
                <w:szCs w:val="22"/>
              </w:rPr>
            </w:pPr>
            <w:r w:rsidRPr="00D77CF3">
              <w:rPr>
                <w:rFonts w:ascii="Arial" w:hAnsi="Arial" w:cs="Arial"/>
                <w:b/>
                <w:sz w:val="20"/>
                <w:szCs w:val="22"/>
              </w:rPr>
              <w:t>Definition</w:t>
            </w:r>
          </w:p>
        </w:tc>
      </w:tr>
      <w:tr w:rsidR="0045036B" w:rsidRPr="00D77CF3" w14:paraId="6E29276E" w14:textId="77777777" w:rsidTr="0045036B">
        <w:tc>
          <w:tcPr>
            <w:tcW w:w="2340" w:type="dxa"/>
            <w:shd w:val="clear" w:color="auto" w:fill="auto"/>
          </w:tcPr>
          <w:p w14:paraId="51F16482" w14:textId="77777777" w:rsidR="0045036B" w:rsidRPr="00D77CF3" w:rsidRDefault="0045036B" w:rsidP="0045036B">
            <w:pPr>
              <w:spacing w:before="60" w:after="60"/>
              <w:jc w:val="both"/>
              <w:rPr>
                <w:rFonts w:ascii="Arial" w:hAnsi="Arial" w:cs="Arial"/>
                <w:sz w:val="20"/>
                <w:szCs w:val="22"/>
              </w:rPr>
            </w:pPr>
            <w:r w:rsidRPr="00D77CF3">
              <w:rPr>
                <w:rFonts w:ascii="Arial" w:hAnsi="Arial" w:cs="Arial"/>
                <w:sz w:val="20"/>
                <w:szCs w:val="22"/>
              </w:rPr>
              <w:t>Achieved*</w:t>
            </w:r>
          </w:p>
        </w:tc>
        <w:tc>
          <w:tcPr>
            <w:tcW w:w="7920" w:type="dxa"/>
            <w:shd w:val="clear" w:color="auto" w:fill="auto"/>
          </w:tcPr>
          <w:p w14:paraId="34A9B8F4" w14:textId="77777777" w:rsidR="0045036B" w:rsidRPr="00D77CF3" w:rsidRDefault="0045036B" w:rsidP="0045036B">
            <w:pPr>
              <w:spacing w:before="60" w:after="60"/>
              <w:jc w:val="both"/>
              <w:rPr>
                <w:rFonts w:ascii="Arial" w:hAnsi="Arial" w:cs="Arial"/>
                <w:sz w:val="20"/>
                <w:szCs w:val="22"/>
                <w:lang w:val="en-GB"/>
              </w:rPr>
            </w:pPr>
            <w:r w:rsidRPr="00D77CF3">
              <w:rPr>
                <w:rFonts w:ascii="Arial" w:hAnsi="Arial" w:cs="Arial"/>
                <w:sz w:val="20"/>
                <w:szCs w:val="22"/>
                <w:lang w:val="en-GB"/>
              </w:rPr>
              <w:t>The DHB has met the percentage target for the quarter  90 percent for the primary care target and 90 percent for the maternity target).</w:t>
            </w:r>
          </w:p>
        </w:tc>
      </w:tr>
      <w:tr w:rsidR="0045036B" w:rsidRPr="00D77CF3" w14:paraId="21B266AD" w14:textId="77777777" w:rsidTr="0045036B">
        <w:tblPrEx>
          <w:tblLook w:val="01E0" w:firstRow="1" w:lastRow="1" w:firstColumn="1" w:lastColumn="1" w:noHBand="0" w:noVBand="0"/>
        </w:tblPrEx>
        <w:tc>
          <w:tcPr>
            <w:tcW w:w="2340" w:type="dxa"/>
            <w:shd w:val="clear" w:color="auto" w:fill="auto"/>
          </w:tcPr>
          <w:p w14:paraId="3BDA890B" w14:textId="77777777" w:rsidR="0045036B" w:rsidRPr="00D77CF3" w:rsidRDefault="0045036B" w:rsidP="0045036B">
            <w:pPr>
              <w:spacing w:before="60" w:after="60"/>
              <w:jc w:val="both"/>
              <w:rPr>
                <w:rFonts w:ascii="Arial" w:hAnsi="Arial" w:cs="Arial"/>
                <w:sz w:val="20"/>
                <w:szCs w:val="22"/>
              </w:rPr>
            </w:pPr>
            <w:r w:rsidRPr="00D77CF3">
              <w:rPr>
                <w:rFonts w:ascii="Arial" w:hAnsi="Arial" w:cs="Arial"/>
                <w:sz w:val="20"/>
                <w:szCs w:val="22"/>
              </w:rPr>
              <w:t>Partial Achievement</w:t>
            </w:r>
          </w:p>
        </w:tc>
        <w:tc>
          <w:tcPr>
            <w:tcW w:w="7920" w:type="dxa"/>
            <w:shd w:val="clear" w:color="auto" w:fill="auto"/>
          </w:tcPr>
          <w:p w14:paraId="49C83BFE" w14:textId="77777777" w:rsidR="0045036B" w:rsidRPr="00D77CF3" w:rsidRDefault="0045036B" w:rsidP="0045036B">
            <w:pPr>
              <w:spacing w:before="60" w:after="60"/>
              <w:jc w:val="both"/>
              <w:rPr>
                <w:rFonts w:ascii="Arial" w:hAnsi="Arial" w:cs="Arial"/>
                <w:sz w:val="20"/>
                <w:szCs w:val="22"/>
                <w:lang w:val="en-GB"/>
              </w:rPr>
            </w:pPr>
            <w:r w:rsidRPr="00D77CF3">
              <w:rPr>
                <w:rFonts w:ascii="Arial" w:hAnsi="Arial" w:cs="Arial"/>
                <w:sz w:val="20"/>
                <w:szCs w:val="22"/>
                <w:lang w:val="en-GB"/>
              </w:rPr>
              <w:t xml:space="preserve">The DHB has not met the percentage target, but has improved on its result from the previous quarter. </w:t>
            </w:r>
          </w:p>
        </w:tc>
      </w:tr>
      <w:tr w:rsidR="0045036B" w:rsidRPr="00D77CF3" w14:paraId="782355DD" w14:textId="77777777" w:rsidTr="0045036B">
        <w:tblPrEx>
          <w:tblLook w:val="01E0" w:firstRow="1" w:lastRow="1" w:firstColumn="1" w:lastColumn="1" w:noHBand="0" w:noVBand="0"/>
        </w:tblPrEx>
        <w:tc>
          <w:tcPr>
            <w:tcW w:w="2340" w:type="dxa"/>
            <w:shd w:val="clear" w:color="auto" w:fill="auto"/>
          </w:tcPr>
          <w:p w14:paraId="5419C7CC" w14:textId="77777777" w:rsidR="0045036B" w:rsidRPr="00D77CF3" w:rsidRDefault="0045036B" w:rsidP="0045036B">
            <w:pPr>
              <w:spacing w:before="60" w:after="60"/>
              <w:jc w:val="both"/>
              <w:rPr>
                <w:rFonts w:ascii="Arial" w:hAnsi="Arial" w:cs="Arial"/>
                <w:sz w:val="20"/>
                <w:szCs w:val="22"/>
              </w:rPr>
            </w:pPr>
            <w:r w:rsidRPr="00D77CF3">
              <w:rPr>
                <w:rFonts w:ascii="Arial" w:hAnsi="Arial" w:cs="Arial"/>
                <w:sz w:val="20"/>
                <w:szCs w:val="22"/>
              </w:rPr>
              <w:t>Not Achieved</w:t>
            </w:r>
          </w:p>
        </w:tc>
        <w:tc>
          <w:tcPr>
            <w:tcW w:w="7920" w:type="dxa"/>
            <w:shd w:val="clear" w:color="auto" w:fill="auto"/>
          </w:tcPr>
          <w:p w14:paraId="7C12CBDA" w14:textId="77777777" w:rsidR="0045036B" w:rsidRPr="00D77CF3" w:rsidRDefault="0045036B" w:rsidP="0045036B">
            <w:pPr>
              <w:spacing w:before="60" w:after="60"/>
              <w:jc w:val="both"/>
              <w:rPr>
                <w:rFonts w:ascii="Arial" w:hAnsi="Arial" w:cs="Arial"/>
                <w:sz w:val="20"/>
                <w:szCs w:val="22"/>
              </w:rPr>
            </w:pPr>
            <w:r w:rsidRPr="00D77CF3">
              <w:rPr>
                <w:rFonts w:ascii="Arial" w:hAnsi="Arial" w:cs="Arial"/>
                <w:sz w:val="20"/>
                <w:szCs w:val="22"/>
                <w:lang w:val="en-GB"/>
              </w:rPr>
              <w:t>The DHB has not met the percentage target, and its result has dropped since the previous quarter.</w:t>
            </w:r>
          </w:p>
        </w:tc>
      </w:tr>
    </w:tbl>
    <w:p w14:paraId="7EA2003C" w14:textId="77777777" w:rsidR="0045036B" w:rsidRPr="00D77CF3" w:rsidRDefault="0045036B" w:rsidP="0045036B">
      <w:pPr>
        <w:autoSpaceDE w:val="0"/>
        <w:autoSpaceDN w:val="0"/>
        <w:adjustRightInd w:val="0"/>
        <w:spacing w:before="60" w:after="60" w:line="240" w:lineRule="atLeast"/>
        <w:jc w:val="both"/>
        <w:rPr>
          <w:rFonts w:ascii="Calibri" w:hAnsi="Calibri" w:cs="Arial"/>
          <w:sz w:val="22"/>
          <w:szCs w:val="22"/>
          <w:lang w:val="en-GB"/>
        </w:rPr>
      </w:pPr>
      <w:r w:rsidRPr="00D77CF3">
        <w:rPr>
          <w:rFonts w:ascii="Calibri" w:hAnsi="Calibri" w:cs="Arial"/>
          <w:sz w:val="22"/>
          <w:szCs w:val="22"/>
          <w:lang w:val="en-GB"/>
        </w:rPr>
        <w:t xml:space="preserve">*From 2014/15 for all performance measures included in the Maori health plan this rating is applied when the DHB has met the target agreed in its Annual Plan </w:t>
      </w:r>
      <w:r w:rsidRPr="00D77CF3">
        <w:rPr>
          <w:rFonts w:ascii="Calibri" w:hAnsi="Calibri" w:cs="Arial"/>
          <w:b/>
          <w:sz w:val="22"/>
          <w:szCs w:val="22"/>
          <w:lang w:val="en-GB"/>
        </w:rPr>
        <w:t xml:space="preserve">and </w:t>
      </w:r>
      <w:r w:rsidRPr="00D77CF3">
        <w:rPr>
          <w:rFonts w:ascii="Calibri" w:hAnsi="Calibri" w:cs="Arial"/>
          <w:sz w:val="22"/>
          <w:szCs w:val="22"/>
          <w:lang w:val="en-GB"/>
        </w:rPr>
        <w:t>has achieved significant progress for the Maori population group, and the Pacific population group.</w:t>
      </w:r>
    </w:p>
    <w:p w14:paraId="27EFEEDE" w14:textId="77777777" w:rsidR="0045036B" w:rsidRDefault="0045036B" w:rsidP="0045036B">
      <w:pPr>
        <w:rPr>
          <w:rFonts w:ascii="Calibri" w:hAnsi="Calibri" w:cs="Arial"/>
          <w:sz w:val="22"/>
          <w:szCs w:val="22"/>
          <w:lang w:val="en-GB"/>
        </w:rPr>
      </w:pPr>
      <w:r>
        <w:rPr>
          <w:rFonts w:ascii="Calibri" w:hAnsi="Calibri" w:cs="Arial"/>
          <w:sz w:val="22"/>
          <w:szCs w:val="22"/>
          <w:lang w:val="en-GB"/>
        </w:rPr>
        <w:br w:type="page"/>
      </w:r>
    </w:p>
    <w:p w14:paraId="357B9B3F" w14:textId="077381E0" w:rsidR="001D775C" w:rsidRPr="008F0D5D" w:rsidRDefault="008F0D5D" w:rsidP="00522314">
      <w:pPr>
        <w:pStyle w:val="Heading2"/>
        <w:rPr>
          <w:lang w:val="en-GB"/>
        </w:rPr>
      </w:pPr>
      <w:bookmarkStart w:id="553" w:name="_Hlk50368230"/>
      <w:r w:rsidRPr="008F0D5D">
        <w:rPr>
          <w:lang w:val="en-GB"/>
        </w:rPr>
        <w:lastRenderedPageBreak/>
        <w:t>Appendix one: S</w:t>
      </w:r>
      <w:r w:rsidR="001713BC" w:rsidRPr="008F0D5D">
        <w:rPr>
          <w:lang w:val="en-GB"/>
        </w:rPr>
        <w:t xml:space="preserve">tatus update Reports </w:t>
      </w:r>
      <w:bookmarkEnd w:id="553"/>
      <w:r w:rsidR="001D775C" w:rsidRPr="008F0D5D">
        <w:rPr>
          <w:lang w:val="en-GB"/>
        </w:rPr>
        <w:t>– actions included in annual plans</w:t>
      </w:r>
    </w:p>
    <w:p w14:paraId="3A6B93EA" w14:textId="3D660D4B" w:rsidR="001D775C" w:rsidRPr="00EF069A" w:rsidRDefault="001D775C" w:rsidP="001D775C">
      <w:pPr>
        <w:shd w:val="clear" w:color="auto" w:fill="FFFFFF" w:themeFill="background1"/>
        <w:spacing w:before="120" w:after="120"/>
        <w:rPr>
          <w:rFonts w:ascii="Arial" w:hAnsi="Arial" w:cs="Arial"/>
          <w:b/>
          <w:bCs/>
          <w:color w:val="000000" w:themeColor="text1"/>
          <w:kern w:val="32"/>
          <w:sz w:val="20"/>
          <w:szCs w:val="20"/>
        </w:rPr>
      </w:pPr>
      <w:r w:rsidRPr="00EF069A">
        <w:rPr>
          <w:rFonts w:ascii="Arial" w:hAnsi="Arial" w:cs="Arial"/>
          <w:b/>
          <w:bCs/>
          <w:color w:val="000000" w:themeColor="text1"/>
          <w:kern w:val="32"/>
          <w:sz w:val="20"/>
          <w:szCs w:val="20"/>
        </w:rPr>
        <w:t xml:space="preserve">Please use the template below to provide status updates on the progress of delivery of annual plan actions and milestones.  Please note that the EOA actions included in these updates will be published on the nationwide service framework library web site following quarter two and quarter four reporting periods.  </w:t>
      </w:r>
      <w:hyperlink r:id="rId37" w:history="1">
        <w:r w:rsidR="000376B2" w:rsidRPr="00EF069A">
          <w:rPr>
            <w:rStyle w:val="Hyperlink"/>
            <w:rFonts w:ascii="Arial" w:hAnsi="Arial" w:cs="Arial"/>
            <w:b/>
            <w:bCs/>
            <w:kern w:val="32"/>
            <w:sz w:val="20"/>
            <w:szCs w:val="20"/>
          </w:rPr>
          <w:t>https://nsfl.health.govt.nz/dhb-planning-package/equity-actions-dhb-annual-plans</w:t>
        </w:r>
      </w:hyperlink>
      <w:r w:rsidR="0049332D" w:rsidRPr="00EF069A">
        <w:rPr>
          <w:rFonts w:ascii="Arial" w:hAnsi="Arial" w:cs="Arial"/>
          <w:b/>
          <w:bCs/>
          <w:color w:val="000000" w:themeColor="text1"/>
          <w:kern w:val="32"/>
          <w:sz w:val="20"/>
          <w:szCs w:val="20"/>
        </w:rPr>
        <w:t>.</w:t>
      </w:r>
    </w:p>
    <w:p w14:paraId="1ABCDC07" w14:textId="41003E4A" w:rsidR="0049332D" w:rsidRPr="000B2DFF" w:rsidRDefault="0049332D" w:rsidP="001D775C">
      <w:p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 xml:space="preserve">Please note </w:t>
      </w:r>
      <w:r w:rsidR="004D05BD" w:rsidRPr="000B2DFF">
        <w:rPr>
          <w:rFonts w:ascii="Arial" w:hAnsi="Arial" w:cs="Arial"/>
          <w:bCs/>
          <w:color w:val="000000" w:themeColor="text1"/>
          <w:kern w:val="32"/>
          <w:sz w:val="20"/>
          <w:szCs w:val="20"/>
        </w:rPr>
        <w:t xml:space="preserve">that </w:t>
      </w:r>
      <w:r w:rsidR="00971AB3" w:rsidRPr="000B2DFF">
        <w:rPr>
          <w:rFonts w:ascii="Arial" w:hAnsi="Arial" w:cs="Arial"/>
          <w:bCs/>
          <w:color w:val="000000" w:themeColor="text1"/>
          <w:kern w:val="32"/>
          <w:sz w:val="20"/>
          <w:szCs w:val="20"/>
        </w:rPr>
        <w:t>seven</w:t>
      </w:r>
      <w:r w:rsidRPr="000B2DFF">
        <w:rPr>
          <w:rFonts w:ascii="Arial" w:hAnsi="Arial" w:cs="Arial"/>
          <w:bCs/>
          <w:color w:val="000000" w:themeColor="text1"/>
          <w:kern w:val="32"/>
          <w:sz w:val="20"/>
          <w:szCs w:val="20"/>
        </w:rPr>
        <w:t xml:space="preserve"> individual templates are expected</w:t>
      </w:r>
      <w:r w:rsidR="004D05BD" w:rsidRPr="000B2DFF">
        <w:rPr>
          <w:rFonts w:ascii="Arial" w:hAnsi="Arial" w:cs="Arial"/>
          <w:bCs/>
          <w:color w:val="000000" w:themeColor="text1"/>
          <w:kern w:val="32"/>
          <w:sz w:val="20"/>
          <w:szCs w:val="20"/>
        </w:rPr>
        <w:t xml:space="preserve"> acting as </w:t>
      </w:r>
      <w:r w:rsidR="00971AB3" w:rsidRPr="000B2DFF">
        <w:rPr>
          <w:rFonts w:ascii="Arial" w:hAnsi="Arial" w:cs="Arial"/>
          <w:bCs/>
          <w:color w:val="000000" w:themeColor="text1"/>
          <w:kern w:val="32"/>
          <w:sz w:val="20"/>
          <w:szCs w:val="20"/>
        </w:rPr>
        <w:t>seven</w:t>
      </w:r>
      <w:r w:rsidR="004D05BD" w:rsidRPr="000B2DFF">
        <w:rPr>
          <w:rFonts w:ascii="Arial" w:hAnsi="Arial" w:cs="Arial"/>
          <w:bCs/>
          <w:color w:val="000000" w:themeColor="text1"/>
          <w:kern w:val="32"/>
          <w:sz w:val="20"/>
          <w:szCs w:val="20"/>
        </w:rPr>
        <w:t xml:space="preserve"> separate deliverables for reporting purposes,</w:t>
      </w:r>
      <w:r w:rsidRPr="000B2DFF">
        <w:rPr>
          <w:rFonts w:ascii="Arial" w:hAnsi="Arial" w:cs="Arial"/>
          <w:bCs/>
          <w:color w:val="000000" w:themeColor="text1"/>
          <w:kern w:val="32"/>
          <w:sz w:val="20"/>
          <w:szCs w:val="20"/>
        </w:rPr>
        <w:t xml:space="preserve"> one for each priority area</w:t>
      </w:r>
      <w:r w:rsidR="000376B2" w:rsidRPr="000B2DFF">
        <w:rPr>
          <w:rFonts w:ascii="Arial" w:hAnsi="Arial" w:cs="Arial"/>
          <w:bCs/>
          <w:color w:val="000000" w:themeColor="text1"/>
          <w:kern w:val="32"/>
          <w:sz w:val="20"/>
          <w:szCs w:val="20"/>
        </w:rPr>
        <w:t xml:space="preserve"> (an example template for </w:t>
      </w:r>
      <w:r w:rsidR="00E119CB" w:rsidRPr="000B2DFF">
        <w:rPr>
          <w:rFonts w:ascii="Arial" w:hAnsi="Arial" w:cs="Arial"/>
          <w:bCs/>
          <w:color w:val="000000" w:themeColor="text1"/>
          <w:kern w:val="32"/>
          <w:sz w:val="20"/>
          <w:szCs w:val="20"/>
        </w:rPr>
        <w:t xml:space="preserve">Improving </w:t>
      </w:r>
      <w:r w:rsidR="000376B2" w:rsidRPr="000B2DFF">
        <w:rPr>
          <w:rFonts w:ascii="Arial" w:hAnsi="Arial" w:cs="Arial"/>
          <w:bCs/>
          <w:color w:val="000000" w:themeColor="text1"/>
          <w:kern w:val="32"/>
          <w:sz w:val="20"/>
          <w:szCs w:val="20"/>
        </w:rPr>
        <w:t>child wellbeing is provided)</w:t>
      </w:r>
      <w:r w:rsidRPr="000B2DFF">
        <w:rPr>
          <w:rFonts w:ascii="Arial" w:hAnsi="Arial" w:cs="Arial"/>
          <w:bCs/>
          <w:color w:val="000000" w:themeColor="text1"/>
          <w:kern w:val="32"/>
          <w:sz w:val="20"/>
          <w:szCs w:val="20"/>
        </w:rPr>
        <w:t>:</w:t>
      </w:r>
    </w:p>
    <w:p w14:paraId="62B9D79C" w14:textId="77777777" w:rsidR="00E119CB" w:rsidRPr="000B2DFF" w:rsidRDefault="00E119CB"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Improving child wellbeing</w:t>
      </w:r>
    </w:p>
    <w:p w14:paraId="0E917522" w14:textId="77777777" w:rsidR="00E119CB" w:rsidRPr="000B2DFF" w:rsidRDefault="00E119CB"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Improving mental wellbeing</w:t>
      </w:r>
    </w:p>
    <w:p w14:paraId="7D475DAF" w14:textId="77777777" w:rsidR="00E119CB" w:rsidRPr="000B2DFF" w:rsidRDefault="00E119CB"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 xml:space="preserve">Improving wellbeing through prevention. </w:t>
      </w:r>
    </w:p>
    <w:p w14:paraId="35E1F597" w14:textId="77777777" w:rsidR="00E119CB" w:rsidRPr="000B2DFF" w:rsidRDefault="00E119CB"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Better population health outcomes supported by strong and equitable public health services</w:t>
      </w:r>
    </w:p>
    <w:p w14:paraId="389774CD" w14:textId="2479FBC8" w:rsidR="00E119CB" w:rsidRPr="000B2DFF" w:rsidRDefault="00E119CB"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 xml:space="preserve">Better population health outcomes supported by primary health care. </w:t>
      </w:r>
    </w:p>
    <w:p w14:paraId="76BCEFE2" w14:textId="26A0B658" w:rsidR="00E264EA" w:rsidRPr="000B2DFF" w:rsidRDefault="00963AF3"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 xml:space="preserve">Give practical effect to </w:t>
      </w:r>
      <w:proofErr w:type="spellStart"/>
      <w:r w:rsidRPr="000B2DFF">
        <w:rPr>
          <w:rFonts w:ascii="Arial" w:hAnsi="Arial" w:cs="Arial"/>
          <w:bCs/>
          <w:color w:val="000000" w:themeColor="text1"/>
          <w:kern w:val="32"/>
          <w:sz w:val="20"/>
          <w:szCs w:val="20"/>
        </w:rPr>
        <w:t>He</w:t>
      </w:r>
      <w:proofErr w:type="spellEnd"/>
      <w:r w:rsidRPr="000B2DFF">
        <w:rPr>
          <w:rFonts w:ascii="Arial" w:hAnsi="Arial" w:cs="Arial"/>
          <w:bCs/>
          <w:color w:val="000000" w:themeColor="text1"/>
          <w:kern w:val="32"/>
          <w:sz w:val="20"/>
          <w:szCs w:val="20"/>
        </w:rPr>
        <w:t xml:space="preserve"> Korowai </w:t>
      </w:r>
      <w:proofErr w:type="spellStart"/>
      <w:r w:rsidRPr="000B2DFF">
        <w:rPr>
          <w:rFonts w:ascii="Arial" w:hAnsi="Arial" w:cs="Arial"/>
          <w:bCs/>
          <w:color w:val="000000" w:themeColor="text1"/>
          <w:kern w:val="32"/>
          <w:sz w:val="20"/>
          <w:szCs w:val="20"/>
        </w:rPr>
        <w:t>Oranga</w:t>
      </w:r>
      <w:proofErr w:type="spellEnd"/>
      <w:r w:rsidRPr="000B2DFF">
        <w:rPr>
          <w:rFonts w:ascii="Arial" w:hAnsi="Arial" w:cs="Arial"/>
          <w:bCs/>
          <w:color w:val="000000" w:themeColor="text1"/>
          <w:kern w:val="32"/>
          <w:sz w:val="20"/>
          <w:szCs w:val="20"/>
        </w:rPr>
        <w:t xml:space="preserve"> – the Māori Health Strategy</w:t>
      </w:r>
    </w:p>
    <w:p w14:paraId="7E801B24" w14:textId="6BF1051A" w:rsidR="00963AF3" w:rsidRPr="000B2DFF" w:rsidRDefault="00963AF3" w:rsidP="00C04FF1">
      <w:pPr>
        <w:pStyle w:val="ListParagraph"/>
        <w:numPr>
          <w:ilvl w:val="0"/>
          <w:numId w:val="97"/>
        </w:numPr>
        <w:shd w:val="clear" w:color="auto" w:fill="FFFFFF" w:themeFill="background1"/>
        <w:spacing w:before="120" w:after="120"/>
        <w:rPr>
          <w:rFonts w:ascii="Arial" w:hAnsi="Arial" w:cs="Arial"/>
          <w:bCs/>
          <w:color w:val="000000" w:themeColor="text1"/>
          <w:kern w:val="32"/>
          <w:sz w:val="20"/>
          <w:szCs w:val="20"/>
        </w:rPr>
      </w:pPr>
      <w:r w:rsidRPr="000B2DFF">
        <w:rPr>
          <w:rFonts w:ascii="Arial" w:hAnsi="Arial" w:cs="Arial"/>
          <w:bCs/>
          <w:color w:val="000000" w:themeColor="text1"/>
          <w:kern w:val="32"/>
          <w:sz w:val="20"/>
          <w:szCs w:val="20"/>
        </w:rPr>
        <w:t>Improving sustainability</w:t>
      </w:r>
    </w:p>
    <w:tbl>
      <w:tblPr>
        <w:tblStyle w:val="TableGrid"/>
        <w:tblpPr w:leftFromText="180" w:rightFromText="180" w:vertAnchor="text" w:tblpY="1"/>
        <w:tblOverlap w:val="never"/>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3954"/>
        <w:gridCol w:w="1560"/>
        <w:gridCol w:w="1417"/>
        <w:gridCol w:w="3544"/>
      </w:tblGrid>
      <w:tr w:rsidR="001D775C" w:rsidRPr="00494B42" w14:paraId="5432921A" w14:textId="77777777" w:rsidTr="0079064E">
        <w:tc>
          <w:tcPr>
            <w:tcW w:w="5514" w:type="dxa"/>
            <w:gridSpan w:val="2"/>
            <w:shd w:val="clear" w:color="auto" w:fill="auto"/>
          </w:tcPr>
          <w:p w14:paraId="4C164230" w14:textId="55B1CB6C" w:rsidR="001D775C" w:rsidRPr="00494B42" w:rsidRDefault="002E234E" w:rsidP="00300E03">
            <w:pPr>
              <w:spacing w:before="60"/>
              <w:ind w:right="86"/>
              <w:rPr>
                <w:rFonts w:ascii="Calibri" w:eastAsia="Calibri" w:hAnsi="Calibri"/>
                <w:b/>
                <w:color w:val="000000" w:themeColor="text1"/>
                <w:sz w:val="22"/>
                <w:szCs w:val="22"/>
              </w:rPr>
            </w:pPr>
            <w:r>
              <w:rPr>
                <w:rFonts w:ascii="Calibri" w:eastAsia="Calibri" w:hAnsi="Calibri"/>
                <w:b/>
                <w:color w:val="000000" w:themeColor="text1"/>
                <w:sz w:val="22"/>
                <w:szCs w:val="22"/>
              </w:rPr>
              <w:t>2021/22</w:t>
            </w:r>
            <w:r w:rsidR="001D775C">
              <w:rPr>
                <w:rFonts w:ascii="Calibri" w:eastAsia="Calibri" w:hAnsi="Calibri"/>
                <w:b/>
                <w:color w:val="000000" w:themeColor="text1"/>
                <w:sz w:val="22"/>
                <w:szCs w:val="22"/>
              </w:rPr>
              <w:t xml:space="preserve"> a</w:t>
            </w:r>
            <w:r w:rsidR="001D775C" w:rsidRPr="00494B42">
              <w:rPr>
                <w:rFonts w:ascii="Calibri" w:eastAsia="Calibri" w:hAnsi="Calibri"/>
                <w:b/>
                <w:color w:val="000000" w:themeColor="text1"/>
                <w:sz w:val="22"/>
                <w:szCs w:val="22"/>
              </w:rPr>
              <w:t xml:space="preserve">nnual plan – status report for priority actions </w:t>
            </w:r>
          </w:p>
        </w:tc>
        <w:tc>
          <w:tcPr>
            <w:tcW w:w="4961" w:type="dxa"/>
            <w:gridSpan w:val="2"/>
            <w:shd w:val="clear" w:color="auto" w:fill="E5DFEC" w:themeFill="accent4" w:themeFillTint="33"/>
          </w:tcPr>
          <w:p w14:paraId="0CF5FE89" w14:textId="72579F94" w:rsidR="001D775C" w:rsidRPr="00494B42" w:rsidRDefault="00266B9C" w:rsidP="00266B9C">
            <w:pPr>
              <w:spacing w:before="60"/>
              <w:ind w:right="86"/>
              <w:rPr>
                <w:rFonts w:ascii="Calibri" w:eastAsia="Calibri" w:hAnsi="Calibri"/>
                <w:b/>
                <w:color w:val="000000" w:themeColor="text1"/>
                <w:sz w:val="22"/>
                <w:szCs w:val="22"/>
              </w:rPr>
            </w:pPr>
            <w:r>
              <w:rPr>
                <w:rFonts w:ascii="Calibri" w:eastAsia="Calibri" w:hAnsi="Calibri"/>
                <w:b/>
                <w:color w:val="000000" w:themeColor="text1"/>
                <w:sz w:val="22"/>
                <w:szCs w:val="22"/>
              </w:rPr>
              <w:t xml:space="preserve">Improving </w:t>
            </w:r>
            <w:r w:rsidR="001D775C">
              <w:rPr>
                <w:rFonts w:ascii="Calibri" w:eastAsia="Calibri" w:hAnsi="Calibri"/>
                <w:b/>
                <w:color w:val="000000" w:themeColor="text1"/>
                <w:sz w:val="22"/>
                <w:szCs w:val="22"/>
              </w:rPr>
              <w:t>Child wellbeing</w:t>
            </w:r>
          </w:p>
        </w:tc>
      </w:tr>
      <w:tr w:rsidR="001D775C" w:rsidRPr="000B51D9" w14:paraId="74BCBA26" w14:textId="77777777" w:rsidTr="0079064E">
        <w:tc>
          <w:tcPr>
            <w:tcW w:w="5514" w:type="dxa"/>
            <w:gridSpan w:val="2"/>
            <w:shd w:val="clear" w:color="auto" w:fill="BFBFBF" w:themeFill="background1" w:themeFillShade="BF"/>
          </w:tcPr>
          <w:p w14:paraId="331BE276" w14:textId="486025A2" w:rsidR="001D775C" w:rsidRPr="000B51D9" w:rsidRDefault="00266B9C" w:rsidP="00266B9C">
            <w:pPr>
              <w:spacing w:before="60"/>
              <w:ind w:right="86"/>
              <w:rPr>
                <w:rFonts w:ascii="Calibri" w:eastAsia="Calibri" w:hAnsi="Calibri"/>
                <w:sz w:val="22"/>
                <w:szCs w:val="22"/>
              </w:rPr>
            </w:pPr>
            <w:r>
              <w:rPr>
                <w:rFonts w:ascii="Calibri" w:eastAsia="Calibri" w:hAnsi="Calibri"/>
                <w:sz w:val="22"/>
                <w:szCs w:val="22"/>
              </w:rPr>
              <w:t>Improving c</w:t>
            </w:r>
            <w:r w:rsidR="005107CE">
              <w:rPr>
                <w:rFonts w:ascii="Calibri" w:eastAsia="Calibri" w:hAnsi="Calibri"/>
                <w:sz w:val="22"/>
                <w:szCs w:val="22"/>
              </w:rPr>
              <w:t xml:space="preserve">hild wellbeing </w:t>
            </w:r>
            <w:r w:rsidR="001D775C" w:rsidRPr="000B51D9">
              <w:rPr>
                <w:rFonts w:ascii="Calibri" w:eastAsia="Calibri" w:hAnsi="Calibri"/>
                <w:sz w:val="22"/>
                <w:szCs w:val="22"/>
              </w:rPr>
              <w:t xml:space="preserve">Priority </w:t>
            </w:r>
            <w:r w:rsidR="001D775C">
              <w:rPr>
                <w:rFonts w:ascii="Calibri" w:eastAsia="Calibri" w:hAnsi="Calibri"/>
                <w:sz w:val="22"/>
                <w:szCs w:val="22"/>
              </w:rPr>
              <w:t xml:space="preserve">focus </w:t>
            </w:r>
            <w:r w:rsidR="00CC133C">
              <w:rPr>
                <w:rFonts w:ascii="Calibri" w:eastAsia="Calibri" w:hAnsi="Calibri"/>
                <w:sz w:val="22"/>
                <w:szCs w:val="22"/>
              </w:rPr>
              <w:t>areas</w:t>
            </w:r>
          </w:p>
        </w:tc>
        <w:tc>
          <w:tcPr>
            <w:tcW w:w="4961" w:type="dxa"/>
            <w:gridSpan w:val="2"/>
            <w:shd w:val="clear" w:color="auto" w:fill="BFBFBF" w:themeFill="background1" w:themeFillShade="BF"/>
          </w:tcPr>
          <w:p w14:paraId="4FCB9BBD" w14:textId="77777777" w:rsidR="001D775C" w:rsidRDefault="001D775C" w:rsidP="00300E03">
            <w:pPr>
              <w:spacing w:before="60"/>
              <w:ind w:right="86"/>
              <w:rPr>
                <w:rFonts w:ascii="Calibri" w:eastAsia="Calibri" w:hAnsi="Calibri"/>
                <w:sz w:val="22"/>
                <w:szCs w:val="22"/>
              </w:rPr>
            </w:pPr>
            <w:r>
              <w:rPr>
                <w:rFonts w:ascii="Calibri" w:eastAsia="Calibri" w:hAnsi="Calibri"/>
                <w:sz w:val="22"/>
                <w:szCs w:val="22"/>
              </w:rPr>
              <w:t>Status report for quarter X</w:t>
            </w:r>
          </w:p>
          <w:p w14:paraId="51227774" w14:textId="77777777" w:rsidR="001D775C" w:rsidRPr="00232D02" w:rsidRDefault="001D775C" w:rsidP="00300E03">
            <w:pPr>
              <w:spacing w:before="60"/>
              <w:ind w:right="85"/>
              <w:contextualSpacing/>
              <w:rPr>
                <w:rFonts w:ascii="Calibri" w:eastAsia="Calibri" w:hAnsi="Calibri"/>
                <w:i/>
                <w:sz w:val="22"/>
                <w:szCs w:val="16"/>
                <w:vertAlign w:val="subscript"/>
              </w:rPr>
            </w:pPr>
            <w:r w:rsidRPr="00232D02">
              <w:rPr>
                <w:rFonts w:ascii="Calibri" w:eastAsia="Calibri" w:hAnsi="Calibri"/>
                <w:i/>
                <w:sz w:val="22"/>
                <w:szCs w:val="16"/>
                <w:vertAlign w:val="subscript"/>
              </w:rPr>
              <w:t>Green = action complete</w:t>
            </w:r>
          </w:p>
          <w:p w14:paraId="324D7628" w14:textId="77777777" w:rsidR="001D775C" w:rsidRPr="00232D02" w:rsidRDefault="001D775C" w:rsidP="00300E03">
            <w:pPr>
              <w:spacing w:before="60"/>
              <w:ind w:right="85"/>
              <w:contextualSpacing/>
              <w:rPr>
                <w:rFonts w:ascii="Calibri" w:eastAsia="Calibri" w:hAnsi="Calibri"/>
                <w:i/>
                <w:sz w:val="22"/>
                <w:szCs w:val="16"/>
                <w:vertAlign w:val="subscript"/>
              </w:rPr>
            </w:pPr>
            <w:r w:rsidRPr="00232D02">
              <w:rPr>
                <w:rFonts w:ascii="Calibri" w:eastAsia="Calibri" w:hAnsi="Calibri"/>
                <w:i/>
                <w:sz w:val="22"/>
                <w:szCs w:val="16"/>
                <w:vertAlign w:val="subscript"/>
              </w:rPr>
              <w:t>Orange = completion of action delayed mitigation in place</w:t>
            </w:r>
          </w:p>
          <w:p w14:paraId="60BAAE47" w14:textId="448BD106" w:rsidR="001D775C" w:rsidRPr="000B51D9" w:rsidRDefault="001D775C" w:rsidP="00300E03">
            <w:pPr>
              <w:spacing w:before="60"/>
              <w:ind w:right="85"/>
              <w:contextualSpacing/>
              <w:rPr>
                <w:rFonts w:ascii="Calibri" w:eastAsia="Calibri" w:hAnsi="Calibri"/>
                <w:sz w:val="22"/>
                <w:szCs w:val="22"/>
              </w:rPr>
            </w:pPr>
            <w:r w:rsidRPr="00232D02">
              <w:rPr>
                <w:rFonts w:ascii="Calibri" w:eastAsia="Calibri" w:hAnsi="Calibri"/>
                <w:i/>
                <w:sz w:val="22"/>
                <w:szCs w:val="16"/>
                <w:vertAlign w:val="subscript"/>
              </w:rPr>
              <w:t xml:space="preserve">Red =completion of action delayed mitigation not expected to allow completion in </w:t>
            </w:r>
            <w:r w:rsidR="002E234E">
              <w:rPr>
                <w:rFonts w:ascii="Calibri" w:eastAsia="Calibri" w:hAnsi="Calibri"/>
                <w:i/>
                <w:sz w:val="22"/>
                <w:szCs w:val="16"/>
                <w:vertAlign w:val="subscript"/>
              </w:rPr>
              <w:t>2021/22</w:t>
            </w:r>
          </w:p>
        </w:tc>
      </w:tr>
      <w:tr w:rsidR="001D775C" w:rsidRPr="00B83D65" w14:paraId="042D9342" w14:textId="77777777" w:rsidTr="0079064E">
        <w:tc>
          <w:tcPr>
            <w:tcW w:w="3954" w:type="dxa"/>
            <w:shd w:val="clear" w:color="auto" w:fill="F2F2F2"/>
          </w:tcPr>
          <w:p w14:paraId="073E3447" w14:textId="77777777" w:rsidR="001D775C" w:rsidRDefault="001D775C" w:rsidP="00300E03">
            <w:pPr>
              <w:ind w:right="86"/>
              <w:rPr>
                <w:rFonts w:ascii="Calibri" w:eastAsia="Calibri" w:hAnsi="Calibri"/>
                <w:b/>
                <w:color w:val="000000"/>
                <w:sz w:val="16"/>
                <w:szCs w:val="19"/>
              </w:rPr>
            </w:pPr>
            <w:r w:rsidRPr="00B83D65">
              <w:rPr>
                <w:rFonts w:ascii="Calibri" w:eastAsia="Calibri" w:hAnsi="Calibri"/>
                <w:b/>
                <w:color w:val="000000"/>
                <w:sz w:val="16"/>
                <w:szCs w:val="19"/>
              </w:rPr>
              <w:t>Key Actions from the Annual Plan</w:t>
            </w:r>
          </w:p>
          <w:p w14:paraId="78682DA1" w14:textId="7CC60D2D" w:rsidR="001D775C" w:rsidRDefault="005F39E9" w:rsidP="00300E03">
            <w:pPr>
              <w:ind w:right="86"/>
              <w:rPr>
                <w:rFonts w:ascii="Calibri" w:eastAsia="Calibri" w:hAnsi="Calibri"/>
                <w:i/>
                <w:color w:val="000000"/>
                <w:sz w:val="16"/>
                <w:szCs w:val="19"/>
              </w:rPr>
            </w:pPr>
            <w:r>
              <w:rPr>
                <w:rFonts w:ascii="Calibri" w:eastAsia="Calibri" w:hAnsi="Calibri"/>
                <w:i/>
                <w:color w:val="000000"/>
                <w:sz w:val="16"/>
                <w:szCs w:val="19"/>
              </w:rPr>
              <w:t xml:space="preserve">1. </w:t>
            </w:r>
            <w:r w:rsidR="001D775C" w:rsidRPr="00350367">
              <w:rPr>
                <w:rFonts w:ascii="Calibri" w:eastAsia="Calibri" w:hAnsi="Calibri"/>
                <w:i/>
                <w:color w:val="000000"/>
                <w:sz w:val="16"/>
                <w:szCs w:val="19"/>
              </w:rPr>
              <w:t>Please Identify each action from the plan and indicate if EOA.</w:t>
            </w:r>
            <w:r w:rsidR="001D775C">
              <w:rPr>
                <w:rFonts w:ascii="Calibri" w:eastAsia="Calibri" w:hAnsi="Calibri"/>
                <w:i/>
                <w:color w:val="000000"/>
                <w:sz w:val="16"/>
                <w:szCs w:val="19"/>
              </w:rPr>
              <w:t xml:space="preserve"> </w:t>
            </w:r>
          </w:p>
          <w:p w14:paraId="5C22470B" w14:textId="49D38C55" w:rsidR="001D775C" w:rsidRDefault="005F39E9" w:rsidP="00300E03">
            <w:pPr>
              <w:ind w:right="86"/>
              <w:rPr>
                <w:rFonts w:ascii="Calibri" w:eastAsia="Calibri" w:hAnsi="Calibri"/>
                <w:i/>
                <w:color w:val="000000"/>
                <w:sz w:val="16"/>
                <w:szCs w:val="19"/>
              </w:rPr>
            </w:pPr>
            <w:r>
              <w:rPr>
                <w:rFonts w:ascii="Calibri" w:eastAsia="Calibri" w:hAnsi="Calibri"/>
                <w:i/>
                <w:color w:val="000000"/>
                <w:sz w:val="16"/>
                <w:szCs w:val="19"/>
              </w:rPr>
              <w:t xml:space="preserve">2. </w:t>
            </w:r>
            <w:r w:rsidR="001D775C">
              <w:rPr>
                <w:rFonts w:ascii="Calibri" w:eastAsia="Calibri" w:hAnsi="Calibri"/>
                <w:i/>
                <w:color w:val="000000"/>
                <w:sz w:val="16"/>
                <w:szCs w:val="19"/>
              </w:rPr>
              <w:t>Please also identify the system outcome and Government priority outcome supported by each action or group of actions as identified in the annual plan</w:t>
            </w:r>
            <w:r w:rsidR="00300E03">
              <w:rPr>
                <w:rFonts w:ascii="Calibri" w:eastAsia="Calibri" w:hAnsi="Calibri"/>
                <w:i/>
                <w:color w:val="000000"/>
                <w:sz w:val="16"/>
                <w:szCs w:val="19"/>
              </w:rPr>
              <w:t>:</w:t>
            </w:r>
          </w:p>
          <w:p w14:paraId="2A0C5806" w14:textId="4BC997AD" w:rsidR="001D775C" w:rsidRPr="00300E03" w:rsidRDefault="001D775C" w:rsidP="00C04FF1">
            <w:pPr>
              <w:pStyle w:val="ListParagraph"/>
              <w:numPr>
                <w:ilvl w:val="0"/>
                <w:numId w:val="98"/>
              </w:numPr>
              <w:ind w:left="354" w:right="86"/>
              <w:rPr>
                <w:rFonts w:ascii="Calibri" w:eastAsia="Calibri" w:hAnsi="Calibri"/>
                <w:i/>
                <w:color w:val="000000"/>
                <w:sz w:val="16"/>
                <w:szCs w:val="19"/>
              </w:rPr>
            </w:pPr>
            <w:r w:rsidRPr="00300E03">
              <w:rPr>
                <w:rFonts w:ascii="Calibri" w:eastAsia="Calibri" w:hAnsi="Calibri"/>
                <w:i/>
                <w:color w:val="000000"/>
                <w:sz w:val="16"/>
                <w:szCs w:val="19"/>
              </w:rPr>
              <w:t>LLGH</w:t>
            </w:r>
            <w:r w:rsidR="00300E03" w:rsidRPr="00300E03">
              <w:rPr>
                <w:rFonts w:ascii="Calibri" w:eastAsia="Calibri" w:hAnsi="Calibri"/>
                <w:i/>
                <w:color w:val="000000"/>
                <w:sz w:val="16"/>
                <w:szCs w:val="19"/>
              </w:rPr>
              <w:t xml:space="preserve"> - we live longer in good health</w:t>
            </w:r>
          </w:p>
          <w:p w14:paraId="3699AEA7" w14:textId="23266413" w:rsidR="001D775C" w:rsidRPr="00300E03" w:rsidRDefault="00300E03" w:rsidP="00C04FF1">
            <w:pPr>
              <w:pStyle w:val="ListParagraph"/>
              <w:numPr>
                <w:ilvl w:val="0"/>
                <w:numId w:val="98"/>
              </w:numPr>
              <w:ind w:left="354" w:right="86"/>
              <w:rPr>
                <w:rFonts w:ascii="Calibri" w:eastAsia="Calibri" w:hAnsi="Calibri"/>
                <w:i/>
                <w:color w:val="000000"/>
                <w:sz w:val="16"/>
                <w:szCs w:val="19"/>
              </w:rPr>
            </w:pPr>
            <w:r w:rsidRPr="00300E03">
              <w:rPr>
                <w:rFonts w:ascii="Calibri" w:eastAsia="Calibri" w:hAnsi="Calibri"/>
                <w:i/>
                <w:color w:val="000000"/>
                <w:sz w:val="16"/>
                <w:szCs w:val="19"/>
              </w:rPr>
              <w:t>IQOL- we have improved quality of life</w:t>
            </w:r>
          </w:p>
          <w:p w14:paraId="40CE19A7" w14:textId="0F253EC8" w:rsidR="001D775C" w:rsidRPr="00300E03" w:rsidRDefault="001D775C" w:rsidP="00C04FF1">
            <w:pPr>
              <w:pStyle w:val="ListParagraph"/>
              <w:numPr>
                <w:ilvl w:val="0"/>
                <w:numId w:val="98"/>
              </w:numPr>
              <w:ind w:left="354" w:right="86"/>
              <w:rPr>
                <w:rFonts w:ascii="Calibri" w:eastAsia="Calibri" w:hAnsi="Calibri"/>
                <w:i/>
                <w:color w:val="000000"/>
                <w:sz w:val="16"/>
                <w:szCs w:val="19"/>
              </w:rPr>
            </w:pPr>
            <w:r w:rsidRPr="00300E03">
              <w:rPr>
                <w:rFonts w:ascii="Calibri" w:eastAsia="Calibri" w:hAnsi="Calibri"/>
                <w:i/>
                <w:color w:val="000000"/>
                <w:sz w:val="16"/>
                <w:szCs w:val="19"/>
              </w:rPr>
              <w:t>HEMO</w:t>
            </w:r>
            <w:r w:rsidR="00300E03" w:rsidRPr="00300E03">
              <w:rPr>
                <w:rFonts w:ascii="Calibri" w:eastAsia="Calibri" w:hAnsi="Calibri"/>
                <w:i/>
                <w:color w:val="000000"/>
                <w:sz w:val="16"/>
                <w:szCs w:val="19"/>
              </w:rPr>
              <w:t xml:space="preserve"> </w:t>
            </w:r>
            <w:r w:rsidR="005F39E9">
              <w:rPr>
                <w:rFonts w:ascii="Calibri" w:eastAsia="Calibri" w:hAnsi="Calibri"/>
                <w:i/>
                <w:color w:val="000000"/>
                <w:sz w:val="16"/>
                <w:szCs w:val="19"/>
              </w:rPr>
              <w:t>-</w:t>
            </w:r>
            <w:r w:rsidR="00300E03" w:rsidRPr="00300E03">
              <w:rPr>
                <w:rFonts w:ascii="Calibri" w:eastAsia="Calibri" w:hAnsi="Calibri"/>
                <w:i/>
                <w:color w:val="000000"/>
                <w:sz w:val="16"/>
                <w:szCs w:val="19"/>
              </w:rPr>
              <w:t xml:space="preserve"> we have equity for Maori and other groups</w:t>
            </w:r>
          </w:p>
          <w:p w14:paraId="4ACD925A" w14:textId="2F6CAF2F" w:rsidR="001D775C" w:rsidRPr="005F39E9" w:rsidRDefault="001D775C" w:rsidP="00C04FF1">
            <w:pPr>
              <w:pStyle w:val="ListParagraph"/>
              <w:numPr>
                <w:ilvl w:val="0"/>
                <w:numId w:val="99"/>
              </w:numPr>
              <w:ind w:left="354" w:right="86"/>
              <w:rPr>
                <w:rFonts w:ascii="Calibri" w:eastAsia="Calibri" w:hAnsi="Calibri"/>
                <w:i/>
                <w:color w:val="000000"/>
                <w:sz w:val="16"/>
                <w:szCs w:val="19"/>
              </w:rPr>
            </w:pPr>
            <w:r w:rsidRPr="005F39E9">
              <w:rPr>
                <w:rFonts w:ascii="Calibri" w:eastAsia="Calibri" w:hAnsi="Calibri"/>
                <w:i/>
                <w:color w:val="000000"/>
                <w:sz w:val="16"/>
                <w:szCs w:val="19"/>
              </w:rPr>
              <w:t>HSCC</w:t>
            </w:r>
            <w:r w:rsidR="00300E03" w:rsidRPr="005F39E9">
              <w:rPr>
                <w:rFonts w:ascii="Calibri" w:eastAsia="Calibri" w:hAnsi="Calibri"/>
                <w:i/>
                <w:color w:val="000000"/>
                <w:sz w:val="16"/>
                <w:szCs w:val="19"/>
              </w:rPr>
              <w:t>- support healthier, safer and more connected communities</w:t>
            </w:r>
          </w:p>
          <w:p w14:paraId="4B7464A8" w14:textId="28436759" w:rsidR="001D775C" w:rsidRPr="005F39E9" w:rsidRDefault="001D775C" w:rsidP="00C04FF1">
            <w:pPr>
              <w:pStyle w:val="ListParagraph"/>
              <w:numPr>
                <w:ilvl w:val="0"/>
                <w:numId w:val="99"/>
              </w:numPr>
              <w:ind w:left="354" w:right="86"/>
              <w:rPr>
                <w:rFonts w:ascii="Calibri" w:eastAsia="Calibri" w:hAnsi="Calibri"/>
                <w:i/>
                <w:color w:val="000000"/>
                <w:sz w:val="16"/>
                <w:szCs w:val="19"/>
              </w:rPr>
            </w:pPr>
            <w:r w:rsidRPr="005F39E9">
              <w:rPr>
                <w:rFonts w:ascii="Calibri" w:eastAsia="Calibri" w:hAnsi="Calibri"/>
                <w:i/>
                <w:color w:val="000000"/>
                <w:sz w:val="16"/>
                <w:szCs w:val="19"/>
              </w:rPr>
              <w:t>BPWC</w:t>
            </w:r>
            <w:r w:rsidR="00300E03" w:rsidRPr="005F39E9">
              <w:rPr>
                <w:rFonts w:ascii="Calibri" w:eastAsia="Calibri" w:hAnsi="Calibri"/>
                <w:i/>
                <w:color w:val="000000"/>
                <w:sz w:val="16"/>
                <w:szCs w:val="19"/>
              </w:rPr>
              <w:t xml:space="preserve"> – make New Zealand the best place in the world to be  a child</w:t>
            </w:r>
          </w:p>
          <w:p w14:paraId="275C82D8" w14:textId="3E0FD5A6" w:rsidR="001D775C" w:rsidRPr="00350367" w:rsidRDefault="001D775C" w:rsidP="00C04FF1">
            <w:pPr>
              <w:pStyle w:val="ListParagraph"/>
              <w:numPr>
                <w:ilvl w:val="0"/>
                <w:numId w:val="99"/>
              </w:numPr>
              <w:ind w:left="354" w:right="86"/>
              <w:rPr>
                <w:rFonts w:ascii="Calibri" w:eastAsia="Calibri" w:hAnsi="Calibri"/>
                <w:i/>
                <w:color w:val="000000"/>
                <w:sz w:val="16"/>
                <w:szCs w:val="19"/>
              </w:rPr>
            </w:pPr>
            <w:r w:rsidRPr="005F39E9">
              <w:rPr>
                <w:rFonts w:ascii="Calibri" w:eastAsia="Calibri" w:hAnsi="Calibri"/>
                <w:i/>
                <w:color w:val="000000"/>
                <w:sz w:val="16"/>
                <w:szCs w:val="19"/>
              </w:rPr>
              <w:t>ELCV</w:t>
            </w:r>
            <w:r w:rsidR="00300E03" w:rsidRPr="005F39E9">
              <w:rPr>
                <w:rFonts w:ascii="Calibri" w:eastAsia="Calibri" w:hAnsi="Calibri"/>
                <w:i/>
                <w:color w:val="000000"/>
                <w:sz w:val="16"/>
                <w:szCs w:val="19"/>
              </w:rPr>
              <w:t xml:space="preserve">- ensure everyone who is able is earning, learning, caring or volunteering. </w:t>
            </w:r>
          </w:p>
        </w:tc>
        <w:tc>
          <w:tcPr>
            <w:tcW w:w="1560" w:type="dxa"/>
            <w:shd w:val="clear" w:color="auto" w:fill="F2F2F2"/>
          </w:tcPr>
          <w:p w14:paraId="23144FD8" w14:textId="77777777" w:rsidR="001D775C" w:rsidRDefault="001D775C" w:rsidP="00300E03">
            <w:pPr>
              <w:ind w:right="86"/>
              <w:rPr>
                <w:rFonts w:ascii="Calibri" w:eastAsia="Calibri" w:hAnsi="Calibri"/>
                <w:b/>
                <w:color w:val="000000"/>
                <w:sz w:val="16"/>
                <w:szCs w:val="19"/>
              </w:rPr>
            </w:pPr>
            <w:r w:rsidRPr="00B83D65">
              <w:rPr>
                <w:rFonts w:ascii="Calibri" w:eastAsia="Calibri" w:hAnsi="Calibri"/>
                <w:b/>
                <w:color w:val="000000"/>
                <w:sz w:val="16"/>
                <w:szCs w:val="19"/>
              </w:rPr>
              <w:t>Milestones</w:t>
            </w:r>
          </w:p>
          <w:p w14:paraId="5D47CDDC" w14:textId="77777777" w:rsidR="001D775C" w:rsidRPr="00350367" w:rsidRDefault="001D775C" w:rsidP="00300E03">
            <w:pPr>
              <w:ind w:right="86"/>
              <w:rPr>
                <w:rFonts w:ascii="Calibri" w:eastAsia="Calibri" w:hAnsi="Calibri"/>
                <w:i/>
                <w:color w:val="000000"/>
                <w:sz w:val="16"/>
                <w:szCs w:val="19"/>
              </w:rPr>
            </w:pPr>
            <w:r w:rsidRPr="00350367">
              <w:rPr>
                <w:rFonts w:ascii="Calibri" w:eastAsia="Calibri" w:hAnsi="Calibri"/>
                <w:i/>
                <w:color w:val="000000"/>
                <w:sz w:val="16"/>
                <w:szCs w:val="19"/>
              </w:rPr>
              <w:t>Identify the milestones agreed for each quarter.</w:t>
            </w:r>
          </w:p>
        </w:tc>
        <w:tc>
          <w:tcPr>
            <w:tcW w:w="1417" w:type="dxa"/>
            <w:shd w:val="clear" w:color="auto" w:fill="F2F2F2"/>
          </w:tcPr>
          <w:p w14:paraId="26B15A33" w14:textId="77777777" w:rsidR="001D775C" w:rsidRDefault="001D775C" w:rsidP="00300E03">
            <w:pPr>
              <w:ind w:right="86"/>
              <w:rPr>
                <w:rFonts w:ascii="Calibri" w:eastAsia="Calibri" w:hAnsi="Calibri"/>
                <w:b/>
                <w:color w:val="000000"/>
                <w:sz w:val="16"/>
                <w:szCs w:val="19"/>
              </w:rPr>
            </w:pPr>
            <w:r w:rsidRPr="00B83D65">
              <w:rPr>
                <w:rFonts w:ascii="Calibri" w:eastAsia="Calibri" w:hAnsi="Calibri"/>
                <w:b/>
                <w:color w:val="000000"/>
                <w:sz w:val="16"/>
                <w:szCs w:val="19"/>
              </w:rPr>
              <w:t>Status</w:t>
            </w:r>
          </w:p>
          <w:p w14:paraId="7CDE11DE" w14:textId="30FF5ADC" w:rsidR="001D775C" w:rsidRPr="00B83D65" w:rsidRDefault="001D775C" w:rsidP="00300E03">
            <w:pPr>
              <w:ind w:right="86"/>
              <w:rPr>
                <w:rFonts w:ascii="Calibri" w:eastAsia="Calibri" w:hAnsi="Calibri"/>
                <w:b/>
                <w:color w:val="000000"/>
                <w:sz w:val="16"/>
                <w:szCs w:val="19"/>
              </w:rPr>
            </w:pPr>
            <w:r w:rsidRPr="00232D02">
              <w:rPr>
                <w:rFonts w:ascii="Calibri" w:eastAsia="Calibri" w:hAnsi="Calibri"/>
                <w:i/>
                <w:color w:val="000000"/>
                <w:sz w:val="16"/>
                <w:szCs w:val="19"/>
              </w:rPr>
              <w:t xml:space="preserve">Use star to identify </w:t>
            </w:r>
            <w:r w:rsidRPr="004A6139">
              <w:rPr>
                <w:rFonts w:ascii="Calibri" w:eastAsia="Calibri" w:hAnsi="Calibri"/>
                <w:b/>
                <w:i/>
                <w:color w:val="000000"/>
                <w:sz w:val="16"/>
                <w:szCs w:val="19"/>
                <w:u w:val="single"/>
              </w:rPr>
              <w:t>one</w:t>
            </w:r>
            <w:r w:rsidRPr="00232D02">
              <w:rPr>
                <w:rFonts w:ascii="Calibri" w:eastAsia="Calibri" w:hAnsi="Calibri"/>
                <w:i/>
                <w:color w:val="000000"/>
                <w:sz w:val="16"/>
                <w:szCs w:val="19"/>
              </w:rPr>
              <w:t xml:space="preserve"> action from </w:t>
            </w:r>
            <w:r>
              <w:rPr>
                <w:rFonts w:ascii="Calibri" w:eastAsia="Calibri" w:hAnsi="Calibri"/>
                <w:i/>
                <w:color w:val="000000"/>
                <w:sz w:val="16"/>
                <w:szCs w:val="19"/>
              </w:rPr>
              <w:t xml:space="preserve">all </w:t>
            </w:r>
            <w:r w:rsidRPr="00232D02">
              <w:rPr>
                <w:rFonts w:ascii="Calibri" w:eastAsia="Calibri" w:hAnsi="Calibri"/>
                <w:i/>
                <w:color w:val="000000"/>
                <w:sz w:val="16"/>
                <w:szCs w:val="19"/>
              </w:rPr>
              <w:t xml:space="preserve">the </w:t>
            </w:r>
            <w:r w:rsidR="00E119CB">
              <w:rPr>
                <w:rFonts w:ascii="Calibri" w:eastAsia="Calibri" w:hAnsi="Calibri"/>
                <w:i/>
                <w:color w:val="000000"/>
                <w:sz w:val="16"/>
                <w:szCs w:val="19"/>
              </w:rPr>
              <w:t xml:space="preserve">improving </w:t>
            </w:r>
            <w:r w:rsidRPr="00EC5F0A">
              <w:rPr>
                <w:rFonts w:ascii="Calibri" w:eastAsia="Calibri" w:hAnsi="Calibri"/>
                <w:b/>
                <w:i/>
                <w:color w:val="000000"/>
                <w:sz w:val="16"/>
                <w:szCs w:val="19"/>
              </w:rPr>
              <w:t>child wellbeing actions</w:t>
            </w:r>
            <w:r w:rsidRPr="00232D02">
              <w:rPr>
                <w:rFonts w:ascii="Calibri" w:eastAsia="Calibri" w:hAnsi="Calibri"/>
                <w:i/>
                <w:color w:val="000000"/>
                <w:sz w:val="16"/>
                <w:szCs w:val="19"/>
              </w:rPr>
              <w:t xml:space="preserve"> to  be includ</w:t>
            </w:r>
            <w:r w:rsidR="005F39E9">
              <w:rPr>
                <w:rFonts w:ascii="Calibri" w:eastAsia="Calibri" w:hAnsi="Calibri"/>
                <w:i/>
                <w:color w:val="000000"/>
                <w:sz w:val="16"/>
                <w:szCs w:val="19"/>
              </w:rPr>
              <w:t>ed on performance dashboard as the q</w:t>
            </w:r>
            <w:r w:rsidRPr="00232D02">
              <w:rPr>
                <w:rFonts w:ascii="Calibri" w:eastAsia="Calibri" w:hAnsi="Calibri"/>
                <w:i/>
                <w:color w:val="000000"/>
                <w:sz w:val="16"/>
                <w:szCs w:val="19"/>
              </w:rPr>
              <w:t>uarter highlight</w:t>
            </w:r>
          </w:p>
        </w:tc>
        <w:tc>
          <w:tcPr>
            <w:tcW w:w="3544" w:type="dxa"/>
            <w:shd w:val="clear" w:color="auto" w:fill="F2F2F2"/>
          </w:tcPr>
          <w:p w14:paraId="6E606C74" w14:textId="77777777" w:rsidR="001D775C" w:rsidRPr="00B83D65" w:rsidRDefault="001D775C" w:rsidP="00300E03">
            <w:pPr>
              <w:ind w:right="86"/>
              <w:rPr>
                <w:rFonts w:ascii="Calibri" w:eastAsia="Calibri" w:hAnsi="Calibri"/>
                <w:b/>
                <w:color w:val="000000"/>
                <w:sz w:val="16"/>
                <w:szCs w:val="19"/>
              </w:rPr>
            </w:pPr>
            <w:r w:rsidRPr="00B83D65">
              <w:rPr>
                <w:rFonts w:ascii="Calibri" w:eastAsia="Calibri" w:hAnsi="Calibri"/>
                <w:b/>
                <w:color w:val="000000"/>
                <w:sz w:val="16"/>
                <w:szCs w:val="19"/>
              </w:rPr>
              <w:t>Comments</w:t>
            </w:r>
          </w:p>
        </w:tc>
      </w:tr>
      <w:tr w:rsidR="001D775C" w:rsidRPr="00B83D65" w14:paraId="537B9515" w14:textId="77777777" w:rsidTr="0079064E">
        <w:trPr>
          <w:trHeight w:val="191"/>
        </w:trPr>
        <w:tc>
          <w:tcPr>
            <w:tcW w:w="3954" w:type="dxa"/>
            <w:vMerge w:val="restart"/>
            <w:shd w:val="clear" w:color="auto" w:fill="F2F2F2"/>
          </w:tcPr>
          <w:p w14:paraId="3BB71C22" w14:textId="12F3407D" w:rsidR="00CC133C" w:rsidRPr="00CC133C" w:rsidRDefault="00CC133C" w:rsidP="00300E03">
            <w:pPr>
              <w:ind w:right="86"/>
              <w:rPr>
                <w:rFonts w:ascii="Calibri" w:eastAsia="Calibri" w:hAnsi="Calibri"/>
                <w:b/>
                <w:color w:val="000000"/>
                <w:sz w:val="16"/>
                <w:szCs w:val="19"/>
              </w:rPr>
            </w:pPr>
            <w:r>
              <w:rPr>
                <w:rFonts w:ascii="Calibri" w:eastAsia="Calibri" w:hAnsi="Calibri"/>
                <w:b/>
                <w:color w:val="000000"/>
                <w:sz w:val="16"/>
                <w:szCs w:val="19"/>
              </w:rPr>
              <w:t xml:space="preserve">For example </w:t>
            </w:r>
            <w:r w:rsidRPr="00CC133C">
              <w:rPr>
                <w:rFonts w:ascii="Calibri" w:eastAsia="Calibri" w:hAnsi="Calibri"/>
                <w:b/>
                <w:color w:val="000000"/>
                <w:sz w:val="16"/>
                <w:szCs w:val="19"/>
              </w:rPr>
              <w:t>Focus area Immunisation</w:t>
            </w:r>
          </w:p>
          <w:p w14:paraId="0FF36F0D" w14:textId="7A01B007" w:rsidR="005F39E9" w:rsidRPr="00CC133C" w:rsidRDefault="005F39E9" w:rsidP="00300E03">
            <w:pPr>
              <w:ind w:right="86"/>
              <w:rPr>
                <w:rFonts w:ascii="Calibri" w:eastAsia="Calibri" w:hAnsi="Calibri"/>
                <w:i/>
                <w:color w:val="000000"/>
                <w:sz w:val="16"/>
                <w:szCs w:val="19"/>
              </w:rPr>
            </w:pPr>
            <w:r w:rsidRPr="00CC133C">
              <w:rPr>
                <w:rFonts w:ascii="Calibri" w:eastAsia="Calibri" w:hAnsi="Calibri"/>
                <w:i/>
                <w:color w:val="000000"/>
                <w:sz w:val="16"/>
                <w:szCs w:val="19"/>
              </w:rPr>
              <w:t xml:space="preserve">Actions 1-3 link to HSCC </w:t>
            </w:r>
          </w:p>
          <w:p w14:paraId="6376FADB" w14:textId="4403BFF5" w:rsidR="001D775C" w:rsidRPr="00B83D65" w:rsidRDefault="001D775C" w:rsidP="00300E03">
            <w:pPr>
              <w:ind w:right="86"/>
              <w:rPr>
                <w:rFonts w:ascii="Calibri" w:eastAsia="Calibri" w:hAnsi="Calibri"/>
                <w:color w:val="000000"/>
                <w:sz w:val="16"/>
                <w:szCs w:val="19"/>
              </w:rPr>
            </w:pPr>
            <w:r>
              <w:rPr>
                <w:rFonts w:ascii="Calibri" w:eastAsia="Calibri" w:hAnsi="Calibri"/>
                <w:color w:val="000000"/>
                <w:sz w:val="16"/>
                <w:szCs w:val="19"/>
              </w:rPr>
              <w:t>Action 1</w:t>
            </w:r>
            <w:r w:rsidR="00CC133C">
              <w:rPr>
                <w:rFonts w:ascii="Calibri" w:eastAsia="Calibri" w:hAnsi="Calibri"/>
                <w:color w:val="000000"/>
                <w:sz w:val="16"/>
                <w:szCs w:val="19"/>
              </w:rPr>
              <w:t>.</w:t>
            </w:r>
            <w:r w:rsidRPr="00B83D65">
              <w:rPr>
                <w:rFonts w:ascii="Calibri" w:eastAsia="Calibri" w:hAnsi="Calibri"/>
                <w:color w:val="000000"/>
                <w:sz w:val="16"/>
                <w:szCs w:val="19"/>
              </w:rPr>
              <w:t xml:space="preserve"> (EOA)</w:t>
            </w:r>
            <w:r w:rsidR="005F39E9">
              <w:rPr>
                <w:rFonts w:ascii="Calibri" w:eastAsia="Calibri" w:hAnsi="Calibri"/>
                <w:color w:val="000000"/>
                <w:sz w:val="16"/>
                <w:szCs w:val="19"/>
              </w:rPr>
              <w:t xml:space="preserve"> (HEMO)</w:t>
            </w:r>
          </w:p>
          <w:p w14:paraId="66828005" w14:textId="5127B079" w:rsidR="001D775C" w:rsidRDefault="001D775C" w:rsidP="00300E03">
            <w:pPr>
              <w:spacing w:before="60"/>
              <w:ind w:right="86"/>
              <w:rPr>
                <w:rFonts w:ascii="Calibri" w:eastAsia="Calibri" w:hAnsi="Calibri"/>
                <w:color w:val="000000"/>
                <w:sz w:val="16"/>
                <w:szCs w:val="19"/>
              </w:rPr>
            </w:pPr>
            <w:r>
              <w:rPr>
                <w:rFonts w:ascii="Calibri" w:eastAsia="Calibri" w:hAnsi="Calibri"/>
                <w:color w:val="000000"/>
                <w:sz w:val="16"/>
                <w:szCs w:val="19"/>
              </w:rPr>
              <w:t>Action 2</w:t>
            </w:r>
            <w:r w:rsidRPr="00B83D65">
              <w:rPr>
                <w:rFonts w:ascii="Calibri" w:eastAsia="Calibri" w:hAnsi="Calibri"/>
                <w:color w:val="000000"/>
                <w:sz w:val="16"/>
                <w:szCs w:val="19"/>
              </w:rPr>
              <w:t>.</w:t>
            </w:r>
            <w:r w:rsidR="00CC133C">
              <w:rPr>
                <w:rFonts w:ascii="Calibri" w:eastAsia="Calibri" w:hAnsi="Calibri"/>
                <w:color w:val="000000"/>
                <w:sz w:val="16"/>
                <w:szCs w:val="19"/>
              </w:rPr>
              <w:t xml:space="preserve"> </w:t>
            </w:r>
            <w:r w:rsidR="005F39E9">
              <w:rPr>
                <w:rFonts w:ascii="Calibri" w:eastAsia="Calibri" w:hAnsi="Calibri"/>
                <w:color w:val="000000"/>
                <w:sz w:val="16"/>
                <w:szCs w:val="19"/>
              </w:rPr>
              <w:t>(HEMO)</w:t>
            </w:r>
          </w:p>
          <w:p w14:paraId="37761F33" w14:textId="160822B1" w:rsidR="001D775C" w:rsidRDefault="001D775C" w:rsidP="00300E03">
            <w:pPr>
              <w:spacing w:before="60"/>
              <w:ind w:right="86"/>
              <w:rPr>
                <w:rFonts w:ascii="Calibri" w:eastAsia="Calibri" w:hAnsi="Calibri"/>
                <w:color w:val="000000"/>
                <w:sz w:val="16"/>
                <w:szCs w:val="19"/>
              </w:rPr>
            </w:pPr>
            <w:r>
              <w:rPr>
                <w:rFonts w:ascii="Calibri" w:eastAsia="Calibri" w:hAnsi="Calibri"/>
                <w:color w:val="000000"/>
                <w:sz w:val="16"/>
                <w:szCs w:val="19"/>
              </w:rPr>
              <w:t>Action 3.</w:t>
            </w:r>
            <w:r w:rsidR="00CC133C">
              <w:rPr>
                <w:rFonts w:ascii="Calibri" w:eastAsia="Calibri" w:hAnsi="Calibri"/>
                <w:color w:val="000000"/>
                <w:sz w:val="16"/>
                <w:szCs w:val="19"/>
              </w:rPr>
              <w:t xml:space="preserve"> </w:t>
            </w:r>
            <w:r w:rsidR="005F39E9">
              <w:rPr>
                <w:rFonts w:ascii="Calibri" w:eastAsia="Calibri" w:hAnsi="Calibri"/>
                <w:color w:val="000000"/>
                <w:sz w:val="16"/>
                <w:szCs w:val="19"/>
              </w:rPr>
              <w:t>(LLGH)</w:t>
            </w:r>
          </w:p>
          <w:p w14:paraId="2F70A840" w14:textId="22E63355" w:rsidR="005F39E9" w:rsidRPr="00CC133C" w:rsidRDefault="005F39E9" w:rsidP="00300E03">
            <w:pPr>
              <w:spacing w:before="60"/>
              <w:ind w:right="86"/>
              <w:rPr>
                <w:rFonts w:ascii="Calibri" w:eastAsia="Calibri" w:hAnsi="Calibri"/>
                <w:i/>
                <w:color w:val="000000"/>
                <w:sz w:val="16"/>
                <w:szCs w:val="19"/>
              </w:rPr>
            </w:pPr>
            <w:r w:rsidRPr="00CC133C">
              <w:rPr>
                <w:rFonts w:ascii="Calibri" w:eastAsia="Calibri" w:hAnsi="Calibri"/>
                <w:i/>
                <w:color w:val="000000"/>
                <w:sz w:val="16"/>
                <w:szCs w:val="19"/>
              </w:rPr>
              <w:t xml:space="preserve">Actions 4- 6 link to BPWC </w:t>
            </w:r>
          </w:p>
          <w:p w14:paraId="4997CA22" w14:textId="7AA9F96E" w:rsidR="001D775C" w:rsidRDefault="001D775C" w:rsidP="00300E03">
            <w:pPr>
              <w:spacing w:before="60"/>
              <w:ind w:right="86"/>
              <w:rPr>
                <w:rFonts w:ascii="Calibri" w:eastAsia="Calibri" w:hAnsi="Calibri"/>
                <w:color w:val="000000"/>
                <w:sz w:val="16"/>
                <w:szCs w:val="19"/>
              </w:rPr>
            </w:pPr>
            <w:r>
              <w:rPr>
                <w:rFonts w:ascii="Calibri" w:eastAsia="Calibri" w:hAnsi="Calibri"/>
                <w:color w:val="000000"/>
                <w:sz w:val="16"/>
                <w:szCs w:val="19"/>
              </w:rPr>
              <w:t>Action 4</w:t>
            </w:r>
            <w:r w:rsidR="00CC133C">
              <w:rPr>
                <w:rFonts w:ascii="Calibri" w:eastAsia="Calibri" w:hAnsi="Calibri"/>
                <w:color w:val="000000"/>
                <w:sz w:val="16"/>
                <w:szCs w:val="19"/>
              </w:rPr>
              <w:t>.</w:t>
            </w:r>
            <w:r>
              <w:rPr>
                <w:rFonts w:ascii="Calibri" w:eastAsia="Calibri" w:hAnsi="Calibri"/>
                <w:color w:val="000000"/>
                <w:sz w:val="16"/>
                <w:szCs w:val="19"/>
              </w:rPr>
              <w:t xml:space="preserve"> </w:t>
            </w:r>
            <w:r w:rsidRPr="00B83D65">
              <w:rPr>
                <w:rFonts w:ascii="Calibri" w:eastAsia="Calibri" w:hAnsi="Calibri"/>
                <w:color w:val="000000"/>
                <w:sz w:val="16"/>
                <w:szCs w:val="19"/>
              </w:rPr>
              <w:t>(EOA)</w:t>
            </w:r>
            <w:r w:rsidR="005F39E9">
              <w:rPr>
                <w:rFonts w:ascii="Calibri" w:eastAsia="Calibri" w:hAnsi="Calibri"/>
                <w:color w:val="000000"/>
                <w:sz w:val="16"/>
                <w:szCs w:val="19"/>
              </w:rPr>
              <w:t>(LLGH)</w:t>
            </w:r>
          </w:p>
          <w:p w14:paraId="5F3255B0" w14:textId="77777777" w:rsidR="001D775C" w:rsidRPr="00B83D65" w:rsidRDefault="001D775C" w:rsidP="00300E03">
            <w:pPr>
              <w:spacing w:before="60"/>
              <w:ind w:right="86"/>
              <w:rPr>
                <w:rFonts w:ascii="Calibri" w:eastAsia="Calibri" w:hAnsi="Calibri" w:cs="Calibri"/>
                <w:color w:val="000000"/>
                <w:sz w:val="16"/>
                <w:szCs w:val="16"/>
              </w:rPr>
            </w:pPr>
            <w:r>
              <w:rPr>
                <w:rFonts w:ascii="Calibri" w:eastAsia="Calibri" w:hAnsi="Calibri"/>
                <w:color w:val="000000"/>
                <w:sz w:val="16"/>
                <w:szCs w:val="19"/>
              </w:rPr>
              <w:t>Etc.</w:t>
            </w:r>
          </w:p>
        </w:tc>
        <w:tc>
          <w:tcPr>
            <w:tcW w:w="1560" w:type="dxa"/>
            <w:shd w:val="clear" w:color="auto" w:fill="F2F2F2"/>
          </w:tcPr>
          <w:p w14:paraId="290E2AE3" w14:textId="77777777" w:rsidR="001D775C" w:rsidRPr="00B83D65" w:rsidRDefault="001D775C" w:rsidP="00300E03">
            <w:pPr>
              <w:spacing w:line="276" w:lineRule="auto"/>
              <w:ind w:right="-51"/>
              <w:rPr>
                <w:rFonts w:ascii="Calibri" w:eastAsia="Calibri" w:hAnsi="Calibri"/>
                <w:color w:val="000000"/>
                <w:sz w:val="16"/>
                <w:szCs w:val="19"/>
              </w:rPr>
            </w:pPr>
            <w:r>
              <w:rPr>
                <w:rFonts w:ascii="Calibri" w:eastAsia="Calibri" w:hAnsi="Calibri"/>
                <w:color w:val="000000"/>
                <w:sz w:val="16"/>
                <w:szCs w:val="19"/>
              </w:rPr>
              <w:t>Q1</w:t>
            </w:r>
            <w:r w:rsidRPr="00B83D65">
              <w:rPr>
                <w:rFonts w:ascii="Calibri" w:eastAsia="Calibri" w:hAnsi="Calibri"/>
                <w:color w:val="000000"/>
                <w:sz w:val="16"/>
                <w:szCs w:val="19"/>
              </w:rPr>
              <w:t>.</w:t>
            </w:r>
          </w:p>
        </w:tc>
        <w:tc>
          <w:tcPr>
            <w:tcW w:w="1417" w:type="dxa"/>
            <w:shd w:val="clear" w:color="auto" w:fill="C2D69B" w:themeFill="accent3" w:themeFillTint="99"/>
            <w:vAlign w:val="center"/>
          </w:tcPr>
          <w:p w14:paraId="1F901A29" w14:textId="77777777" w:rsidR="001D775C" w:rsidRPr="00B83D65" w:rsidRDefault="001D775C" w:rsidP="00300E03">
            <w:pPr>
              <w:ind w:right="86"/>
              <w:jc w:val="center"/>
              <w:rPr>
                <w:rFonts w:ascii="Calibri" w:eastAsia="Calibri" w:hAnsi="Calibri" w:cs="Calibri"/>
                <w:color w:val="000000"/>
                <w:sz w:val="16"/>
                <w:szCs w:val="16"/>
              </w:rPr>
            </w:pPr>
            <w:r>
              <w:rPr>
                <w:rFonts w:ascii="Calibri" w:eastAsia="Calibri" w:hAnsi="Calibri" w:cs="Calibri"/>
                <w:noProof/>
                <w:color w:val="000000"/>
                <w:sz w:val="16"/>
                <w:szCs w:val="16"/>
                <w:lang w:eastAsia="en-NZ"/>
              </w:rPr>
              <mc:AlternateContent>
                <mc:Choice Requires="wps">
                  <w:drawing>
                    <wp:anchor distT="0" distB="0" distL="114300" distR="114300" simplePos="0" relativeHeight="251658240" behindDoc="0" locked="0" layoutInCell="1" allowOverlap="1" wp14:anchorId="36CE0911" wp14:editId="193EAE04">
                      <wp:simplePos x="0" y="0"/>
                      <wp:positionH relativeFrom="column">
                        <wp:posOffset>119380</wp:posOffset>
                      </wp:positionH>
                      <wp:positionV relativeFrom="paragraph">
                        <wp:posOffset>5715</wp:posOffset>
                      </wp:positionV>
                      <wp:extent cx="81280" cy="74930"/>
                      <wp:effectExtent l="19050" t="38100" r="33020" b="39370"/>
                      <wp:wrapNone/>
                      <wp:docPr id="4" name="5-Point Star 4"/>
                      <wp:cNvGraphicFramePr/>
                      <a:graphic xmlns:a="http://schemas.openxmlformats.org/drawingml/2006/main">
                        <a:graphicData uri="http://schemas.microsoft.com/office/word/2010/wordprocessingShape">
                          <wps:wsp>
                            <wps:cNvSpPr/>
                            <wps:spPr>
                              <a:xfrm>
                                <a:off x="0" y="0"/>
                                <a:ext cx="81280" cy="74930"/>
                              </a:xfrm>
                              <a:prstGeom prst="star5">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10BC1" id="5-Point Star 4" o:spid="_x0000_s1026" style="position:absolute;margin-left:9.4pt;margin-top:.45pt;width:6.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280,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" path="m,28621r31046,l40640,r9594,28621l81280,28621,56163,46309r9594,28621l40640,57241,15523,74930,25117,46309,,28621xe" fillcolor="white [3212]" strokecolor="white [3212]" strokeweight="2pt">
                      <v:path arrowok="t" o:connecttype="custom" o:connectlocs="0,28621;31046,28621;40640,0;50234,28621;81280,28621;56163,46309;65757,74930;40640,57241;15523,74930;25117,46309;0,28621" o:connectangles="0,0,0,0,0,0,0,0,0,0,0"/>
                    </v:shape>
                  </w:pict>
                </mc:Fallback>
              </mc:AlternateContent>
            </w:r>
          </w:p>
        </w:tc>
        <w:tc>
          <w:tcPr>
            <w:tcW w:w="3544" w:type="dxa"/>
            <w:shd w:val="clear" w:color="auto" w:fill="F2F2F2"/>
          </w:tcPr>
          <w:p w14:paraId="76486C9C" w14:textId="77777777" w:rsidR="001D775C" w:rsidRPr="00B83D65" w:rsidRDefault="001D775C" w:rsidP="00300E03">
            <w:pPr>
              <w:ind w:right="86"/>
              <w:rPr>
                <w:rFonts w:ascii="Calibri" w:eastAsia="Calibri" w:hAnsi="Calibri"/>
                <w:color w:val="000000"/>
                <w:sz w:val="18"/>
                <w:szCs w:val="19"/>
              </w:rPr>
            </w:pPr>
          </w:p>
        </w:tc>
      </w:tr>
      <w:tr w:rsidR="001D775C" w:rsidRPr="00B83D65" w14:paraId="0B56597B" w14:textId="77777777" w:rsidTr="0079064E">
        <w:tc>
          <w:tcPr>
            <w:tcW w:w="3954" w:type="dxa"/>
            <w:vMerge/>
            <w:shd w:val="clear" w:color="auto" w:fill="F2F2F2"/>
          </w:tcPr>
          <w:p w14:paraId="47131C92"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433BF3FE" w14:textId="77777777" w:rsidR="001D775C" w:rsidRPr="00B83D65" w:rsidRDefault="001D775C" w:rsidP="00300E03">
            <w:pPr>
              <w:ind w:right="-51"/>
              <w:rPr>
                <w:rFonts w:ascii="Calibri" w:eastAsia="Calibri" w:hAnsi="Calibri"/>
                <w:color w:val="000000"/>
                <w:sz w:val="16"/>
                <w:szCs w:val="19"/>
              </w:rPr>
            </w:pPr>
            <w:r w:rsidRPr="00B83D65">
              <w:rPr>
                <w:rFonts w:ascii="Calibri" w:eastAsia="Calibri" w:hAnsi="Calibri"/>
                <w:color w:val="000000"/>
                <w:sz w:val="16"/>
                <w:szCs w:val="19"/>
              </w:rPr>
              <w:t>Q1.</w:t>
            </w:r>
          </w:p>
        </w:tc>
        <w:tc>
          <w:tcPr>
            <w:tcW w:w="1417" w:type="dxa"/>
            <w:shd w:val="clear" w:color="auto" w:fill="C2D69B" w:themeFill="accent3" w:themeFillTint="99"/>
            <w:vAlign w:val="center"/>
          </w:tcPr>
          <w:p w14:paraId="6E0C20C7" w14:textId="77777777" w:rsidR="001D775C" w:rsidRPr="00B83D65" w:rsidRDefault="001D775C" w:rsidP="00300E03">
            <w:pPr>
              <w:ind w:right="86"/>
              <w:rPr>
                <w:rFonts w:ascii="Calibri" w:eastAsia="Calibri" w:hAnsi="Calibri" w:cs="Calibri"/>
                <w:color w:val="000000"/>
                <w:sz w:val="16"/>
                <w:szCs w:val="16"/>
              </w:rPr>
            </w:pPr>
          </w:p>
        </w:tc>
        <w:tc>
          <w:tcPr>
            <w:tcW w:w="3544" w:type="dxa"/>
            <w:shd w:val="clear" w:color="auto" w:fill="F2F2F2"/>
          </w:tcPr>
          <w:p w14:paraId="62525366"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6C3EE68C" w14:textId="77777777" w:rsidTr="0079064E">
        <w:tc>
          <w:tcPr>
            <w:tcW w:w="3954" w:type="dxa"/>
            <w:vMerge/>
            <w:shd w:val="clear" w:color="auto" w:fill="F2F2F2"/>
          </w:tcPr>
          <w:p w14:paraId="0AB38CF8"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2533ABEF" w14:textId="77777777" w:rsidR="001D775C" w:rsidRPr="00B83D65" w:rsidRDefault="001D775C" w:rsidP="00300E03">
            <w:pPr>
              <w:ind w:right="-51"/>
              <w:rPr>
                <w:rFonts w:ascii="Calibri" w:eastAsia="Calibri" w:hAnsi="Calibri"/>
                <w:color w:val="000000"/>
                <w:sz w:val="16"/>
                <w:szCs w:val="19"/>
              </w:rPr>
            </w:pPr>
            <w:r>
              <w:rPr>
                <w:rFonts w:ascii="Calibri" w:eastAsia="Calibri" w:hAnsi="Calibri"/>
                <w:color w:val="000000"/>
                <w:sz w:val="16"/>
                <w:szCs w:val="19"/>
              </w:rPr>
              <w:t>Q2.</w:t>
            </w:r>
          </w:p>
        </w:tc>
        <w:tc>
          <w:tcPr>
            <w:tcW w:w="1417" w:type="dxa"/>
            <w:shd w:val="clear" w:color="auto" w:fill="FABF8F" w:themeFill="accent6" w:themeFillTint="99"/>
            <w:vAlign w:val="center"/>
          </w:tcPr>
          <w:p w14:paraId="4A57BF3F"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2350C268"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5B289A3E" w14:textId="77777777" w:rsidTr="0079064E">
        <w:tc>
          <w:tcPr>
            <w:tcW w:w="3954" w:type="dxa"/>
            <w:vMerge/>
            <w:shd w:val="clear" w:color="auto" w:fill="F2F2F2"/>
          </w:tcPr>
          <w:p w14:paraId="441F6FBC"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050E6846" w14:textId="77777777" w:rsidR="001D775C" w:rsidRPr="00B83D65" w:rsidRDefault="001D775C" w:rsidP="00300E03">
            <w:pPr>
              <w:ind w:right="-51"/>
              <w:rPr>
                <w:rFonts w:ascii="Calibri" w:eastAsia="Calibri" w:hAnsi="Calibri"/>
                <w:color w:val="000000"/>
                <w:sz w:val="16"/>
                <w:szCs w:val="19"/>
              </w:rPr>
            </w:pPr>
            <w:r>
              <w:rPr>
                <w:rFonts w:ascii="Calibri" w:eastAsia="Calibri" w:hAnsi="Calibri"/>
                <w:color w:val="000000"/>
                <w:sz w:val="16"/>
                <w:szCs w:val="19"/>
              </w:rPr>
              <w:t>Q2.</w:t>
            </w:r>
          </w:p>
        </w:tc>
        <w:tc>
          <w:tcPr>
            <w:tcW w:w="1417" w:type="dxa"/>
            <w:shd w:val="clear" w:color="auto" w:fill="D99594" w:themeFill="accent2" w:themeFillTint="99"/>
            <w:vAlign w:val="center"/>
          </w:tcPr>
          <w:p w14:paraId="14C30B44"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1993EE45"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2ABEAE99" w14:textId="77777777" w:rsidTr="0079064E">
        <w:tc>
          <w:tcPr>
            <w:tcW w:w="3954" w:type="dxa"/>
            <w:vMerge/>
            <w:shd w:val="clear" w:color="auto" w:fill="F2F2F2"/>
          </w:tcPr>
          <w:p w14:paraId="3FB219CF"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2E94F982" w14:textId="77777777" w:rsidR="001D775C" w:rsidRPr="00B83D65" w:rsidRDefault="001D775C" w:rsidP="00300E03">
            <w:pPr>
              <w:ind w:right="-51"/>
              <w:rPr>
                <w:rFonts w:ascii="Calibri" w:eastAsia="Calibri" w:hAnsi="Calibri"/>
                <w:color w:val="000000"/>
                <w:sz w:val="16"/>
                <w:szCs w:val="19"/>
              </w:rPr>
            </w:pPr>
            <w:r>
              <w:rPr>
                <w:rFonts w:ascii="Calibri" w:eastAsia="Calibri" w:hAnsi="Calibri"/>
                <w:color w:val="000000"/>
                <w:sz w:val="16"/>
                <w:szCs w:val="19"/>
              </w:rPr>
              <w:t>Q3.</w:t>
            </w:r>
          </w:p>
        </w:tc>
        <w:tc>
          <w:tcPr>
            <w:tcW w:w="1417" w:type="dxa"/>
            <w:shd w:val="clear" w:color="auto" w:fill="F2F2F2"/>
            <w:vAlign w:val="center"/>
          </w:tcPr>
          <w:p w14:paraId="2434CBDE"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187DBCBF"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55E17FB7" w14:textId="77777777" w:rsidTr="0079064E">
        <w:tc>
          <w:tcPr>
            <w:tcW w:w="3954" w:type="dxa"/>
            <w:vMerge/>
            <w:shd w:val="clear" w:color="auto" w:fill="F2F2F2"/>
          </w:tcPr>
          <w:p w14:paraId="703CFACC"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6E6E4E6E" w14:textId="77777777" w:rsidR="001D775C" w:rsidRPr="00B83D65" w:rsidRDefault="001D775C" w:rsidP="00300E03">
            <w:pPr>
              <w:ind w:right="-51"/>
              <w:rPr>
                <w:rFonts w:ascii="Calibri" w:eastAsia="Calibri" w:hAnsi="Calibri"/>
                <w:color w:val="000000"/>
                <w:sz w:val="16"/>
                <w:szCs w:val="19"/>
              </w:rPr>
            </w:pPr>
            <w:r>
              <w:rPr>
                <w:rFonts w:ascii="Calibri" w:eastAsia="Calibri" w:hAnsi="Calibri"/>
                <w:color w:val="000000"/>
                <w:sz w:val="16"/>
                <w:szCs w:val="19"/>
              </w:rPr>
              <w:t>Q3.</w:t>
            </w:r>
          </w:p>
        </w:tc>
        <w:tc>
          <w:tcPr>
            <w:tcW w:w="1417" w:type="dxa"/>
            <w:shd w:val="clear" w:color="auto" w:fill="F2F2F2"/>
            <w:vAlign w:val="center"/>
          </w:tcPr>
          <w:p w14:paraId="18C3C893"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29F2778F"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1219AB00" w14:textId="77777777" w:rsidTr="0079064E">
        <w:tc>
          <w:tcPr>
            <w:tcW w:w="3954" w:type="dxa"/>
            <w:vMerge/>
            <w:shd w:val="clear" w:color="auto" w:fill="F2F2F2"/>
          </w:tcPr>
          <w:p w14:paraId="46ED765B"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1EE269F6" w14:textId="77777777" w:rsidR="001D775C" w:rsidRPr="00B83D65" w:rsidRDefault="001D775C" w:rsidP="00300E03">
            <w:pPr>
              <w:ind w:right="-51"/>
              <w:rPr>
                <w:rFonts w:ascii="Calibri" w:eastAsia="Calibri" w:hAnsi="Calibri"/>
                <w:color w:val="000000"/>
                <w:sz w:val="16"/>
                <w:szCs w:val="19"/>
              </w:rPr>
            </w:pPr>
            <w:r w:rsidRPr="00B83D65">
              <w:rPr>
                <w:rFonts w:ascii="Calibri" w:eastAsia="Calibri" w:hAnsi="Calibri"/>
                <w:color w:val="000000"/>
                <w:sz w:val="16"/>
                <w:szCs w:val="19"/>
              </w:rPr>
              <w:t>Q</w:t>
            </w:r>
            <w:r>
              <w:rPr>
                <w:rFonts w:ascii="Calibri" w:eastAsia="Calibri" w:hAnsi="Calibri"/>
                <w:color w:val="000000"/>
                <w:sz w:val="16"/>
                <w:szCs w:val="19"/>
              </w:rPr>
              <w:t>4.</w:t>
            </w:r>
          </w:p>
        </w:tc>
        <w:tc>
          <w:tcPr>
            <w:tcW w:w="1417" w:type="dxa"/>
            <w:shd w:val="clear" w:color="auto" w:fill="F2F2F2"/>
            <w:vAlign w:val="center"/>
          </w:tcPr>
          <w:p w14:paraId="6F07C13B"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178CDD7C" w14:textId="77777777" w:rsidR="001D775C" w:rsidRPr="00B83D65" w:rsidRDefault="001D775C" w:rsidP="00300E03">
            <w:pPr>
              <w:ind w:right="86"/>
              <w:rPr>
                <w:rFonts w:ascii="Calibri" w:eastAsia="Calibri" w:hAnsi="Calibri" w:cs="Calibri"/>
                <w:color w:val="000000"/>
                <w:sz w:val="16"/>
                <w:szCs w:val="16"/>
              </w:rPr>
            </w:pPr>
          </w:p>
        </w:tc>
      </w:tr>
      <w:tr w:rsidR="001D775C" w:rsidRPr="00B83D65" w14:paraId="6B115C23" w14:textId="77777777" w:rsidTr="0079064E">
        <w:tc>
          <w:tcPr>
            <w:tcW w:w="3954" w:type="dxa"/>
            <w:vMerge/>
            <w:shd w:val="clear" w:color="auto" w:fill="F2F2F2"/>
          </w:tcPr>
          <w:p w14:paraId="7DC1E761"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12D65FEA" w14:textId="77777777" w:rsidR="001D775C" w:rsidRPr="00B83D65" w:rsidRDefault="001D775C" w:rsidP="00300E03">
            <w:pPr>
              <w:rPr>
                <w:rFonts w:ascii="Calibri" w:eastAsia="Calibri" w:hAnsi="Calibri" w:cs="Calibri"/>
                <w:color w:val="000000"/>
                <w:sz w:val="16"/>
                <w:szCs w:val="16"/>
              </w:rPr>
            </w:pPr>
            <w:r>
              <w:rPr>
                <w:rFonts w:ascii="Calibri" w:eastAsia="Calibri" w:hAnsi="Calibri"/>
                <w:color w:val="000000"/>
                <w:sz w:val="16"/>
                <w:szCs w:val="19"/>
              </w:rPr>
              <w:t>Q4.</w:t>
            </w:r>
          </w:p>
        </w:tc>
        <w:tc>
          <w:tcPr>
            <w:tcW w:w="1417" w:type="dxa"/>
            <w:shd w:val="clear" w:color="auto" w:fill="F2F2F2"/>
            <w:vAlign w:val="center"/>
          </w:tcPr>
          <w:p w14:paraId="452A483C" w14:textId="77777777" w:rsidR="001D775C" w:rsidRPr="00B83D65" w:rsidRDefault="001D775C" w:rsidP="00300E03">
            <w:pPr>
              <w:ind w:right="86"/>
              <w:rPr>
                <w:rFonts w:ascii="Calibri" w:eastAsia="Calibri" w:hAnsi="Calibri" w:cs="Calibri"/>
                <w:color w:val="000000"/>
                <w:sz w:val="16"/>
                <w:szCs w:val="16"/>
              </w:rPr>
            </w:pPr>
          </w:p>
        </w:tc>
        <w:tc>
          <w:tcPr>
            <w:tcW w:w="3544" w:type="dxa"/>
            <w:shd w:val="clear" w:color="auto" w:fill="F2F2F2"/>
          </w:tcPr>
          <w:p w14:paraId="0221F06E" w14:textId="77777777" w:rsidR="001D775C" w:rsidRPr="00B83D65" w:rsidRDefault="001D775C" w:rsidP="00300E03">
            <w:pPr>
              <w:ind w:right="86"/>
              <w:rPr>
                <w:rFonts w:ascii="Calibri" w:eastAsia="Calibri" w:hAnsi="Calibri" w:cs="Calibri"/>
                <w:color w:val="000000"/>
                <w:sz w:val="16"/>
                <w:szCs w:val="16"/>
              </w:rPr>
            </w:pPr>
          </w:p>
        </w:tc>
      </w:tr>
      <w:tr w:rsidR="001D775C" w:rsidRPr="005F39E9" w14:paraId="287D56AC" w14:textId="77777777" w:rsidTr="0079064E">
        <w:tc>
          <w:tcPr>
            <w:tcW w:w="3954" w:type="dxa"/>
            <w:vMerge w:val="restart"/>
            <w:shd w:val="clear" w:color="auto" w:fill="F2F2F2"/>
          </w:tcPr>
          <w:p w14:paraId="10637612" w14:textId="76916CB1" w:rsidR="00CC133C" w:rsidRDefault="00CC133C" w:rsidP="00300E03">
            <w:pPr>
              <w:ind w:right="86"/>
              <w:rPr>
                <w:rFonts w:ascii="Calibri" w:eastAsia="Calibri" w:hAnsi="Calibri"/>
                <w:b/>
                <w:color w:val="000000"/>
                <w:sz w:val="16"/>
                <w:szCs w:val="19"/>
              </w:rPr>
            </w:pPr>
            <w:r w:rsidRPr="00CC133C">
              <w:rPr>
                <w:rFonts w:ascii="Calibri" w:eastAsia="Calibri" w:hAnsi="Calibri"/>
                <w:b/>
                <w:color w:val="000000"/>
                <w:sz w:val="16"/>
                <w:szCs w:val="19"/>
              </w:rPr>
              <w:t xml:space="preserve">For example focus area First 1000 days </w:t>
            </w:r>
          </w:p>
          <w:p w14:paraId="2E483147" w14:textId="67979425" w:rsidR="00CC133C" w:rsidRPr="00CC133C" w:rsidRDefault="00CC133C" w:rsidP="00300E03">
            <w:pPr>
              <w:ind w:right="86"/>
              <w:rPr>
                <w:rFonts w:ascii="Calibri" w:eastAsia="Calibri" w:hAnsi="Calibri"/>
                <w:i/>
                <w:color w:val="000000"/>
                <w:sz w:val="16"/>
                <w:szCs w:val="19"/>
              </w:rPr>
            </w:pPr>
            <w:r w:rsidRPr="00CC133C">
              <w:rPr>
                <w:rFonts w:ascii="Calibri" w:eastAsia="Calibri" w:hAnsi="Calibri"/>
                <w:i/>
                <w:color w:val="000000"/>
                <w:sz w:val="16"/>
                <w:szCs w:val="19"/>
              </w:rPr>
              <w:t>Actions 1-3 link to BPWC</w:t>
            </w:r>
            <w:r>
              <w:rPr>
                <w:rFonts w:ascii="Calibri" w:eastAsia="Calibri" w:hAnsi="Calibri"/>
                <w:i/>
                <w:color w:val="000000"/>
                <w:sz w:val="16"/>
                <w:szCs w:val="19"/>
              </w:rPr>
              <w:t xml:space="preserve"> and HEMO</w:t>
            </w:r>
          </w:p>
          <w:p w14:paraId="1A09DB24" w14:textId="5EE7E501" w:rsidR="001D775C" w:rsidRPr="005F39E9" w:rsidRDefault="001D775C" w:rsidP="00300E03">
            <w:pPr>
              <w:ind w:right="86"/>
              <w:rPr>
                <w:rFonts w:ascii="Calibri" w:eastAsia="Calibri" w:hAnsi="Calibri"/>
                <w:color w:val="000000"/>
                <w:sz w:val="16"/>
                <w:szCs w:val="19"/>
              </w:rPr>
            </w:pPr>
            <w:r w:rsidRPr="005F39E9">
              <w:rPr>
                <w:rFonts w:ascii="Calibri" w:eastAsia="Calibri" w:hAnsi="Calibri"/>
                <w:color w:val="000000"/>
                <w:sz w:val="16"/>
                <w:szCs w:val="19"/>
              </w:rPr>
              <w:t>Action 1</w:t>
            </w:r>
            <w:r w:rsidR="00CC133C">
              <w:rPr>
                <w:rFonts w:ascii="Calibri" w:eastAsia="Calibri" w:hAnsi="Calibri"/>
                <w:color w:val="000000"/>
                <w:sz w:val="16"/>
                <w:szCs w:val="19"/>
              </w:rPr>
              <w:t>.</w:t>
            </w:r>
            <w:r w:rsidRPr="005F39E9">
              <w:rPr>
                <w:rFonts w:ascii="Calibri" w:eastAsia="Calibri" w:hAnsi="Calibri"/>
                <w:color w:val="000000"/>
                <w:sz w:val="16"/>
                <w:szCs w:val="19"/>
              </w:rPr>
              <w:t xml:space="preserve"> (EOA)</w:t>
            </w:r>
          </w:p>
          <w:p w14:paraId="0728A6F5" w14:textId="16B417F7" w:rsidR="001D775C" w:rsidRPr="005F39E9" w:rsidRDefault="001D775C" w:rsidP="00300E03">
            <w:pPr>
              <w:spacing w:before="60"/>
              <w:ind w:right="86"/>
              <w:rPr>
                <w:rFonts w:ascii="Calibri" w:eastAsia="Calibri" w:hAnsi="Calibri"/>
                <w:color w:val="000000"/>
                <w:sz w:val="16"/>
                <w:szCs w:val="19"/>
              </w:rPr>
            </w:pPr>
            <w:r w:rsidRPr="005F39E9">
              <w:rPr>
                <w:rFonts w:ascii="Calibri" w:eastAsia="Calibri" w:hAnsi="Calibri"/>
                <w:color w:val="000000"/>
                <w:sz w:val="16"/>
                <w:szCs w:val="19"/>
              </w:rPr>
              <w:t>Action 2.</w:t>
            </w:r>
            <w:r w:rsidR="00CC133C">
              <w:rPr>
                <w:rFonts w:ascii="Calibri" w:eastAsia="Calibri" w:hAnsi="Calibri"/>
                <w:color w:val="000000"/>
                <w:sz w:val="16"/>
                <w:szCs w:val="19"/>
              </w:rPr>
              <w:t xml:space="preserve"> (EOA)</w:t>
            </w:r>
          </w:p>
          <w:p w14:paraId="7C6F357F" w14:textId="77777777" w:rsidR="00CC133C" w:rsidRDefault="001D775C" w:rsidP="00CC133C">
            <w:pPr>
              <w:spacing w:before="60"/>
              <w:ind w:right="86"/>
              <w:rPr>
                <w:rFonts w:ascii="Calibri" w:eastAsia="Calibri" w:hAnsi="Calibri"/>
                <w:color w:val="000000"/>
                <w:sz w:val="16"/>
                <w:szCs w:val="19"/>
              </w:rPr>
            </w:pPr>
            <w:r w:rsidRPr="005F39E9">
              <w:rPr>
                <w:rFonts w:ascii="Calibri" w:eastAsia="Calibri" w:hAnsi="Calibri"/>
                <w:color w:val="000000"/>
                <w:sz w:val="16"/>
                <w:szCs w:val="19"/>
              </w:rPr>
              <w:t>Action 3.</w:t>
            </w:r>
            <w:r w:rsidR="00CC133C">
              <w:rPr>
                <w:rFonts w:ascii="Calibri" w:eastAsia="Calibri" w:hAnsi="Calibri"/>
                <w:color w:val="000000"/>
                <w:sz w:val="16"/>
                <w:szCs w:val="19"/>
              </w:rPr>
              <w:t xml:space="preserve"> </w:t>
            </w:r>
          </w:p>
          <w:p w14:paraId="6486EFC0" w14:textId="516446B7" w:rsidR="001D775C" w:rsidRPr="005F39E9" w:rsidRDefault="001D775C" w:rsidP="00CC133C">
            <w:pPr>
              <w:spacing w:before="60"/>
              <w:ind w:right="86"/>
              <w:rPr>
                <w:rFonts w:ascii="Calibri" w:eastAsia="Calibri" w:hAnsi="Calibri" w:cs="Calibri"/>
                <w:color w:val="000000"/>
                <w:sz w:val="16"/>
                <w:szCs w:val="16"/>
              </w:rPr>
            </w:pPr>
            <w:r w:rsidRPr="005F39E9">
              <w:rPr>
                <w:rFonts w:ascii="Calibri" w:eastAsia="Calibri" w:hAnsi="Calibri"/>
                <w:color w:val="000000"/>
                <w:sz w:val="16"/>
                <w:szCs w:val="19"/>
              </w:rPr>
              <w:t>Etc.</w:t>
            </w:r>
          </w:p>
        </w:tc>
        <w:tc>
          <w:tcPr>
            <w:tcW w:w="1560" w:type="dxa"/>
            <w:shd w:val="clear" w:color="auto" w:fill="F2F2F2"/>
          </w:tcPr>
          <w:p w14:paraId="27A880AD" w14:textId="77777777" w:rsidR="001D775C" w:rsidRPr="005F39E9" w:rsidRDefault="001D775C" w:rsidP="00300E03">
            <w:pPr>
              <w:spacing w:line="276" w:lineRule="auto"/>
              <w:ind w:right="-51"/>
              <w:rPr>
                <w:rFonts w:ascii="Calibri" w:eastAsia="Calibri" w:hAnsi="Calibri"/>
                <w:color w:val="000000"/>
                <w:sz w:val="16"/>
                <w:szCs w:val="19"/>
              </w:rPr>
            </w:pPr>
            <w:r w:rsidRPr="005F39E9">
              <w:rPr>
                <w:rFonts w:ascii="Calibri" w:eastAsia="Calibri" w:hAnsi="Calibri"/>
                <w:color w:val="000000"/>
                <w:sz w:val="16"/>
                <w:szCs w:val="19"/>
              </w:rPr>
              <w:t>Q1.</w:t>
            </w:r>
          </w:p>
        </w:tc>
        <w:tc>
          <w:tcPr>
            <w:tcW w:w="1417" w:type="dxa"/>
            <w:shd w:val="clear" w:color="auto" w:fill="C2D69B" w:themeFill="accent3" w:themeFillTint="99"/>
            <w:vAlign w:val="center"/>
          </w:tcPr>
          <w:p w14:paraId="065D4438" w14:textId="417C99AC" w:rsidR="001D775C" w:rsidRPr="005F39E9"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430EC3E1" w14:textId="77777777" w:rsidR="001D775C" w:rsidRPr="005F39E9" w:rsidRDefault="001D775C" w:rsidP="00300E03">
            <w:pPr>
              <w:ind w:right="86"/>
              <w:rPr>
                <w:rFonts w:ascii="Calibri" w:eastAsia="Calibri" w:hAnsi="Calibri"/>
                <w:color w:val="000000"/>
                <w:sz w:val="18"/>
                <w:szCs w:val="19"/>
              </w:rPr>
            </w:pPr>
          </w:p>
        </w:tc>
      </w:tr>
      <w:tr w:rsidR="001D775C" w:rsidRPr="005F39E9" w14:paraId="5FEED329" w14:textId="77777777" w:rsidTr="0079064E">
        <w:tc>
          <w:tcPr>
            <w:tcW w:w="3954" w:type="dxa"/>
            <w:vMerge/>
            <w:shd w:val="clear" w:color="auto" w:fill="F2F2F2"/>
          </w:tcPr>
          <w:p w14:paraId="6B72C658" w14:textId="77777777" w:rsidR="001D775C" w:rsidRPr="005F39E9" w:rsidRDefault="001D775C" w:rsidP="00300E03">
            <w:pPr>
              <w:ind w:right="86"/>
              <w:rPr>
                <w:rFonts w:ascii="Calibri" w:eastAsia="Calibri" w:hAnsi="Calibri" w:cs="Calibri"/>
                <w:color w:val="000000"/>
                <w:sz w:val="16"/>
                <w:szCs w:val="16"/>
              </w:rPr>
            </w:pPr>
          </w:p>
        </w:tc>
        <w:tc>
          <w:tcPr>
            <w:tcW w:w="1560" w:type="dxa"/>
            <w:shd w:val="clear" w:color="auto" w:fill="F2F2F2"/>
          </w:tcPr>
          <w:p w14:paraId="2D301136" w14:textId="77777777" w:rsidR="001D775C" w:rsidRPr="005F39E9" w:rsidRDefault="001D775C" w:rsidP="00300E03">
            <w:pPr>
              <w:ind w:right="-51"/>
              <w:rPr>
                <w:rFonts w:ascii="Calibri" w:eastAsia="Calibri" w:hAnsi="Calibri"/>
                <w:color w:val="000000"/>
                <w:sz w:val="16"/>
                <w:szCs w:val="19"/>
              </w:rPr>
            </w:pPr>
            <w:r w:rsidRPr="005F39E9">
              <w:rPr>
                <w:rFonts w:ascii="Calibri" w:eastAsia="Calibri" w:hAnsi="Calibri"/>
                <w:color w:val="000000"/>
                <w:sz w:val="16"/>
                <w:szCs w:val="19"/>
              </w:rPr>
              <w:t>Q1.</w:t>
            </w:r>
          </w:p>
        </w:tc>
        <w:tc>
          <w:tcPr>
            <w:tcW w:w="1417" w:type="dxa"/>
            <w:shd w:val="clear" w:color="auto" w:fill="C2D69B" w:themeFill="accent3" w:themeFillTint="99"/>
            <w:vAlign w:val="center"/>
          </w:tcPr>
          <w:p w14:paraId="2811062E" w14:textId="77777777" w:rsidR="001D775C" w:rsidRPr="005F39E9" w:rsidRDefault="001D775C" w:rsidP="00300E03">
            <w:pPr>
              <w:ind w:right="86"/>
              <w:rPr>
                <w:rFonts w:ascii="Calibri" w:eastAsia="Calibri" w:hAnsi="Calibri" w:cs="Calibri"/>
                <w:color w:val="000000"/>
                <w:sz w:val="16"/>
                <w:szCs w:val="16"/>
              </w:rPr>
            </w:pPr>
          </w:p>
        </w:tc>
        <w:tc>
          <w:tcPr>
            <w:tcW w:w="3544" w:type="dxa"/>
            <w:shd w:val="clear" w:color="auto" w:fill="F2F2F2"/>
          </w:tcPr>
          <w:p w14:paraId="3026EA14" w14:textId="77777777" w:rsidR="001D775C" w:rsidRPr="005F39E9" w:rsidRDefault="001D775C" w:rsidP="00300E03">
            <w:pPr>
              <w:ind w:right="86"/>
              <w:rPr>
                <w:rFonts w:ascii="Calibri" w:eastAsia="Calibri" w:hAnsi="Calibri" w:cs="Calibri"/>
                <w:color w:val="000000"/>
                <w:sz w:val="16"/>
                <w:szCs w:val="16"/>
              </w:rPr>
            </w:pPr>
          </w:p>
        </w:tc>
      </w:tr>
      <w:tr w:rsidR="001D775C" w:rsidRPr="005F39E9" w14:paraId="6366ECEB" w14:textId="77777777" w:rsidTr="0079064E">
        <w:trPr>
          <w:trHeight w:val="283"/>
        </w:trPr>
        <w:tc>
          <w:tcPr>
            <w:tcW w:w="3954" w:type="dxa"/>
            <w:vMerge/>
            <w:shd w:val="clear" w:color="auto" w:fill="F2F2F2"/>
          </w:tcPr>
          <w:p w14:paraId="6827BA30" w14:textId="77777777" w:rsidR="001D775C" w:rsidRPr="005F39E9" w:rsidRDefault="001D775C" w:rsidP="00300E03">
            <w:pPr>
              <w:ind w:right="86"/>
              <w:rPr>
                <w:rFonts w:ascii="Calibri" w:eastAsia="Calibri" w:hAnsi="Calibri" w:cs="Calibri"/>
                <w:color w:val="000000"/>
                <w:sz w:val="16"/>
                <w:szCs w:val="16"/>
              </w:rPr>
            </w:pPr>
          </w:p>
        </w:tc>
        <w:tc>
          <w:tcPr>
            <w:tcW w:w="1560" w:type="dxa"/>
            <w:shd w:val="clear" w:color="auto" w:fill="F2F2F2"/>
          </w:tcPr>
          <w:p w14:paraId="571EABA9" w14:textId="77777777" w:rsidR="001D775C" w:rsidRPr="005F39E9" w:rsidRDefault="001D775C" w:rsidP="00300E03">
            <w:pPr>
              <w:ind w:right="-51"/>
              <w:rPr>
                <w:rFonts w:ascii="Calibri" w:eastAsia="Calibri" w:hAnsi="Calibri"/>
                <w:color w:val="000000"/>
                <w:sz w:val="16"/>
                <w:szCs w:val="19"/>
              </w:rPr>
            </w:pPr>
            <w:r w:rsidRPr="005F39E9">
              <w:rPr>
                <w:rFonts w:ascii="Calibri" w:eastAsia="Calibri" w:hAnsi="Calibri"/>
                <w:color w:val="000000"/>
                <w:sz w:val="16"/>
                <w:szCs w:val="19"/>
              </w:rPr>
              <w:t>Q2.</w:t>
            </w:r>
          </w:p>
        </w:tc>
        <w:tc>
          <w:tcPr>
            <w:tcW w:w="1417" w:type="dxa"/>
            <w:shd w:val="clear" w:color="auto" w:fill="FABF8F" w:themeFill="accent6" w:themeFillTint="99"/>
            <w:vAlign w:val="center"/>
          </w:tcPr>
          <w:p w14:paraId="4EAC65A2" w14:textId="77777777" w:rsidR="001D775C" w:rsidRPr="005F39E9"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46C3DFA1" w14:textId="77777777" w:rsidR="001D775C" w:rsidRPr="005F39E9" w:rsidRDefault="001D775C" w:rsidP="00300E03">
            <w:pPr>
              <w:ind w:right="86"/>
              <w:rPr>
                <w:rFonts w:ascii="Calibri" w:eastAsia="Calibri" w:hAnsi="Calibri" w:cs="Calibri"/>
                <w:color w:val="000000"/>
                <w:sz w:val="16"/>
                <w:szCs w:val="16"/>
              </w:rPr>
            </w:pPr>
          </w:p>
        </w:tc>
      </w:tr>
      <w:tr w:rsidR="001D775C" w:rsidRPr="005F39E9" w14:paraId="75E7C30A" w14:textId="77777777" w:rsidTr="0079064E">
        <w:tc>
          <w:tcPr>
            <w:tcW w:w="3954" w:type="dxa"/>
            <w:vMerge/>
            <w:shd w:val="clear" w:color="auto" w:fill="F2F2F2"/>
          </w:tcPr>
          <w:p w14:paraId="7E9BCD82" w14:textId="77777777" w:rsidR="001D775C" w:rsidRPr="005F39E9" w:rsidRDefault="001D775C" w:rsidP="00300E03">
            <w:pPr>
              <w:ind w:right="86"/>
              <w:rPr>
                <w:rFonts w:ascii="Calibri" w:eastAsia="Calibri" w:hAnsi="Calibri" w:cs="Calibri"/>
                <w:color w:val="000000"/>
                <w:sz w:val="16"/>
                <w:szCs w:val="16"/>
              </w:rPr>
            </w:pPr>
          </w:p>
        </w:tc>
        <w:tc>
          <w:tcPr>
            <w:tcW w:w="1560" w:type="dxa"/>
            <w:shd w:val="clear" w:color="auto" w:fill="F2F2F2"/>
          </w:tcPr>
          <w:p w14:paraId="3A27E1C6" w14:textId="77777777" w:rsidR="001D775C" w:rsidRPr="005F39E9" w:rsidRDefault="001D775C" w:rsidP="00300E03">
            <w:pPr>
              <w:ind w:right="-51"/>
              <w:rPr>
                <w:rFonts w:ascii="Calibri" w:eastAsia="Calibri" w:hAnsi="Calibri"/>
                <w:color w:val="000000"/>
                <w:sz w:val="16"/>
                <w:szCs w:val="19"/>
              </w:rPr>
            </w:pPr>
            <w:r w:rsidRPr="005F39E9">
              <w:rPr>
                <w:rFonts w:ascii="Calibri" w:eastAsia="Calibri" w:hAnsi="Calibri"/>
                <w:color w:val="000000"/>
                <w:sz w:val="16"/>
                <w:szCs w:val="19"/>
              </w:rPr>
              <w:t>Q2.</w:t>
            </w:r>
          </w:p>
        </w:tc>
        <w:tc>
          <w:tcPr>
            <w:tcW w:w="1417" w:type="dxa"/>
            <w:shd w:val="clear" w:color="auto" w:fill="D99594" w:themeFill="accent2" w:themeFillTint="99"/>
            <w:vAlign w:val="center"/>
          </w:tcPr>
          <w:p w14:paraId="270D31FD" w14:textId="77777777" w:rsidR="001D775C" w:rsidRPr="005F39E9"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40436E35" w14:textId="77777777" w:rsidR="001D775C" w:rsidRPr="005F39E9" w:rsidRDefault="001D775C" w:rsidP="00300E03">
            <w:pPr>
              <w:ind w:right="86"/>
              <w:rPr>
                <w:rFonts w:ascii="Calibri" w:eastAsia="Calibri" w:hAnsi="Calibri" w:cs="Calibri"/>
                <w:color w:val="000000"/>
                <w:sz w:val="16"/>
                <w:szCs w:val="16"/>
              </w:rPr>
            </w:pPr>
          </w:p>
        </w:tc>
      </w:tr>
      <w:tr w:rsidR="000376B2" w:rsidRPr="005F39E9" w14:paraId="676A23CA" w14:textId="77777777" w:rsidTr="0079064E">
        <w:trPr>
          <w:trHeight w:val="283"/>
        </w:trPr>
        <w:tc>
          <w:tcPr>
            <w:tcW w:w="3954" w:type="dxa"/>
            <w:vMerge/>
            <w:shd w:val="clear" w:color="auto" w:fill="F2F2F2"/>
          </w:tcPr>
          <w:p w14:paraId="57324407" w14:textId="77777777" w:rsidR="000376B2" w:rsidRPr="005F39E9" w:rsidRDefault="000376B2" w:rsidP="00300E03">
            <w:pPr>
              <w:ind w:right="86"/>
              <w:rPr>
                <w:rFonts w:ascii="Calibri" w:eastAsia="Calibri" w:hAnsi="Calibri" w:cs="Calibri"/>
                <w:color w:val="000000"/>
                <w:sz w:val="16"/>
                <w:szCs w:val="16"/>
              </w:rPr>
            </w:pPr>
          </w:p>
        </w:tc>
        <w:tc>
          <w:tcPr>
            <w:tcW w:w="1560" w:type="dxa"/>
            <w:shd w:val="clear" w:color="auto" w:fill="F2F2F2"/>
          </w:tcPr>
          <w:p w14:paraId="3E68A1E0" w14:textId="558180F7" w:rsidR="000376B2" w:rsidRPr="005F39E9" w:rsidRDefault="0079064E" w:rsidP="000376B2">
            <w:pPr>
              <w:ind w:right="-51"/>
              <w:rPr>
                <w:rFonts w:ascii="Calibri" w:eastAsia="Calibri" w:hAnsi="Calibri"/>
                <w:color w:val="000000"/>
                <w:sz w:val="16"/>
                <w:szCs w:val="19"/>
              </w:rPr>
            </w:pPr>
            <w:r>
              <w:rPr>
                <w:rFonts w:ascii="Calibri" w:eastAsia="Calibri" w:hAnsi="Calibri"/>
                <w:color w:val="000000"/>
                <w:sz w:val="16"/>
                <w:szCs w:val="19"/>
              </w:rPr>
              <w:t>Q3</w:t>
            </w:r>
          </w:p>
        </w:tc>
        <w:tc>
          <w:tcPr>
            <w:tcW w:w="1417" w:type="dxa"/>
            <w:shd w:val="clear" w:color="auto" w:fill="F2F2F2"/>
            <w:vAlign w:val="center"/>
          </w:tcPr>
          <w:p w14:paraId="4F16E657" w14:textId="77777777" w:rsidR="000376B2" w:rsidRPr="005F39E9" w:rsidRDefault="000376B2" w:rsidP="00300E03">
            <w:pPr>
              <w:ind w:right="86"/>
              <w:jc w:val="center"/>
              <w:rPr>
                <w:rFonts w:ascii="Calibri" w:eastAsia="Calibri" w:hAnsi="Calibri" w:cs="Calibri"/>
                <w:color w:val="000000"/>
                <w:sz w:val="16"/>
                <w:szCs w:val="16"/>
              </w:rPr>
            </w:pPr>
          </w:p>
        </w:tc>
        <w:tc>
          <w:tcPr>
            <w:tcW w:w="3544" w:type="dxa"/>
            <w:shd w:val="clear" w:color="auto" w:fill="F2F2F2"/>
          </w:tcPr>
          <w:p w14:paraId="3C8F7AE3" w14:textId="77777777" w:rsidR="000376B2" w:rsidRPr="005F39E9" w:rsidRDefault="000376B2" w:rsidP="00300E03">
            <w:pPr>
              <w:ind w:right="86"/>
              <w:rPr>
                <w:rFonts w:ascii="Calibri" w:eastAsia="Calibri" w:hAnsi="Calibri" w:cs="Calibri"/>
                <w:color w:val="000000"/>
                <w:sz w:val="16"/>
                <w:szCs w:val="16"/>
              </w:rPr>
            </w:pPr>
          </w:p>
        </w:tc>
      </w:tr>
      <w:tr w:rsidR="001D775C" w:rsidRPr="00B83D65" w14:paraId="0D9C4606" w14:textId="77777777" w:rsidTr="0079064E">
        <w:tc>
          <w:tcPr>
            <w:tcW w:w="3954" w:type="dxa"/>
            <w:vMerge/>
            <w:shd w:val="clear" w:color="auto" w:fill="F2F2F2"/>
          </w:tcPr>
          <w:p w14:paraId="0906668D" w14:textId="77777777" w:rsidR="001D775C" w:rsidRPr="00B83D65" w:rsidRDefault="001D775C" w:rsidP="00300E03">
            <w:pPr>
              <w:ind w:right="86"/>
              <w:rPr>
                <w:rFonts w:ascii="Calibri" w:eastAsia="Calibri" w:hAnsi="Calibri" w:cs="Calibri"/>
                <w:color w:val="000000"/>
                <w:sz w:val="16"/>
                <w:szCs w:val="16"/>
              </w:rPr>
            </w:pPr>
          </w:p>
        </w:tc>
        <w:tc>
          <w:tcPr>
            <w:tcW w:w="1560" w:type="dxa"/>
            <w:shd w:val="clear" w:color="auto" w:fill="F2F2F2"/>
          </w:tcPr>
          <w:p w14:paraId="5598F641" w14:textId="77777777" w:rsidR="001D775C" w:rsidRPr="00B83D65" w:rsidRDefault="001D775C" w:rsidP="00300E03">
            <w:pPr>
              <w:ind w:right="-51"/>
              <w:rPr>
                <w:rFonts w:ascii="Calibri" w:eastAsia="Calibri" w:hAnsi="Calibri"/>
                <w:color w:val="000000"/>
                <w:sz w:val="16"/>
                <w:szCs w:val="19"/>
              </w:rPr>
            </w:pPr>
            <w:r w:rsidRPr="00B83D65">
              <w:rPr>
                <w:rFonts w:ascii="Calibri" w:eastAsia="Calibri" w:hAnsi="Calibri"/>
                <w:color w:val="000000"/>
                <w:sz w:val="16"/>
                <w:szCs w:val="19"/>
              </w:rPr>
              <w:t>Q</w:t>
            </w:r>
            <w:r>
              <w:rPr>
                <w:rFonts w:ascii="Calibri" w:eastAsia="Calibri" w:hAnsi="Calibri"/>
                <w:color w:val="000000"/>
                <w:sz w:val="16"/>
                <w:szCs w:val="19"/>
              </w:rPr>
              <w:t>4.</w:t>
            </w:r>
          </w:p>
        </w:tc>
        <w:tc>
          <w:tcPr>
            <w:tcW w:w="1417" w:type="dxa"/>
            <w:shd w:val="clear" w:color="auto" w:fill="F2F2F2"/>
            <w:vAlign w:val="center"/>
          </w:tcPr>
          <w:p w14:paraId="682BFCF1" w14:textId="77777777" w:rsidR="001D775C" w:rsidRPr="00B83D65" w:rsidRDefault="001D775C" w:rsidP="00300E03">
            <w:pPr>
              <w:ind w:right="86"/>
              <w:jc w:val="center"/>
              <w:rPr>
                <w:rFonts w:ascii="Calibri" w:eastAsia="Calibri" w:hAnsi="Calibri" w:cs="Calibri"/>
                <w:color w:val="000000"/>
                <w:sz w:val="16"/>
                <w:szCs w:val="16"/>
              </w:rPr>
            </w:pPr>
          </w:p>
        </w:tc>
        <w:tc>
          <w:tcPr>
            <w:tcW w:w="3544" w:type="dxa"/>
            <w:shd w:val="clear" w:color="auto" w:fill="F2F2F2"/>
          </w:tcPr>
          <w:p w14:paraId="7A93A7E0" w14:textId="77777777" w:rsidR="001D775C" w:rsidRPr="00B83D65" w:rsidRDefault="001D775C" w:rsidP="00300E03">
            <w:pPr>
              <w:ind w:right="86"/>
              <w:rPr>
                <w:rFonts w:ascii="Calibri" w:eastAsia="Calibri" w:hAnsi="Calibri" w:cs="Calibri"/>
                <w:color w:val="000000"/>
                <w:sz w:val="16"/>
                <w:szCs w:val="16"/>
              </w:rPr>
            </w:pPr>
          </w:p>
        </w:tc>
      </w:tr>
    </w:tbl>
    <w:p w14:paraId="151805FF" w14:textId="2C4BCAC6" w:rsidR="00E700FB" w:rsidRPr="00E700FB" w:rsidRDefault="00306448" w:rsidP="00F00D0A">
      <w:pPr>
        <w:pStyle w:val="Heading2"/>
      </w:pPr>
      <w:bookmarkStart w:id="554" w:name="_Toc461709093"/>
      <w:bookmarkStart w:id="555" w:name="_Toc461709387"/>
      <w:bookmarkStart w:id="556" w:name="_Toc491938890"/>
      <w:bookmarkStart w:id="557" w:name="_Toc501611073"/>
      <w:bookmarkStart w:id="558" w:name="_Toc513555984"/>
      <w:bookmarkStart w:id="559" w:name="_Toc4588577"/>
      <w:bookmarkStart w:id="560" w:name="_Toc9592046"/>
      <w:r w:rsidRPr="00E700FB">
        <w:lastRenderedPageBreak/>
        <w:t xml:space="preserve">Appendix </w:t>
      </w:r>
      <w:r w:rsidR="008F0D5D">
        <w:t>two</w:t>
      </w:r>
      <w:r w:rsidR="008C74DC" w:rsidRPr="00E700FB">
        <w:t>:</w:t>
      </w:r>
      <w:r w:rsidRPr="00E700FB">
        <w:t xml:space="preserve"> </w:t>
      </w:r>
      <w:r w:rsidR="00AE0329" w:rsidRPr="00E700FB">
        <w:t>NZ organised acute stroke service specifications</w:t>
      </w:r>
      <w:r w:rsidR="00F00D0A">
        <w:t>,</w:t>
      </w:r>
      <w:r w:rsidR="00AE0329" w:rsidRPr="00E700FB">
        <w:t xml:space="preserve"> stroke rehabilitation service specifications</w:t>
      </w:r>
      <w:r w:rsidR="00F00D0A">
        <w:t xml:space="preserve"> and Organised Inpatient Stroke Rehabilitation Service Minimum Expectations </w:t>
      </w:r>
      <w:r w:rsidR="008E2BBD">
        <w:t>(</w:t>
      </w:r>
      <w:r w:rsidR="00AE0329" w:rsidRPr="00E700FB">
        <w:t xml:space="preserve">refer </w:t>
      </w:r>
      <w:r w:rsidR="00FB7085">
        <w:t>SS13</w:t>
      </w:r>
      <w:r w:rsidR="00AE0329" w:rsidRPr="00E700FB">
        <w:t>)</w:t>
      </w:r>
      <w:bookmarkEnd w:id="554"/>
      <w:bookmarkEnd w:id="555"/>
      <w:bookmarkEnd w:id="556"/>
      <w:bookmarkEnd w:id="557"/>
      <w:bookmarkEnd w:id="558"/>
      <w:bookmarkEnd w:id="559"/>
      <w:bookmarkEnd w:id="560"/>
    </w:p>
    <w:p w14:paraId="29749A6B" w14:textId="5A042DEB" w:rsidR="00AE0329" w:rsidRDefault="00AE0329" w:rsidP="00F00D0A">
      <w:pPr>
        <w:tabs>
          <w:tab w:val="left" w:pos="1005"/>
        </w:tabs>
        <w:rPr>
          <w:rFonts w:ascii="Arial" w:hAnsi="Arial" w:cs="Arial"/>
        </w:rPr>
      </w:pPr>
    </w:p>
    <w:p w14:paraId="07611F37" w14:textId="77777777" w:rsidR="0064187B" w:rsidRDefault="0064187B" w:rsidP="0064187B"/>
    <w:p w14:paraId="33F725FF" w14:textId="77777777" w:rsidR="0064187B" w:rsidRDefault="0064187B" w:rsidP="0064187B"/>
    <w:p w14:paraId="2B797723" w14:textId="77777777" w:rsidR="0064187B" w:rsidRPr="00DC77FD" w:rsidRDefault="0064187B" w:rsidP="0064187B">
      <w:pPr>
        <w:pStyle w:val="Title"/>
        <w:jc w:val="center"/>
        <w:rPr>
          <w:rFonts w:ascii="Arial" w:hAnsi="Arial" w:cs="Arial"/>
          <w:color w:val="002060"/>
          <w:sz w:val="40"/>
          <w:szCs w:val="40"/>
        </w:rPr>
      </w:pPr>
      <w:r>
        <w:rPr>
          <w:rFonts w:ascii="Arial" w:hAnsi="Arial" w:cs="Arial"/>
          <w:color w:val="002060"/>
          <w:sz w:val="40"/>
          <w:szCs w:val="40"/>
        </w:rPr>
        <w:t xml:space="preserve">Stroke </w:t>
      </w:r>
      <w:r w:rsidRPr="00DC77FD">
        <w:rPr>
          <w:rFonts w:ascii="Arial" w:hAnsi="Arial" w:cs="Arial"/>
          <w:color w:val="002060"/>
          <w:sz w:val="40"/>
          <w:szCs w:val="40"/>
        </w:rPr>
        <w:t>Service Specifications</w:t>
      </w:r>
    </w:p>
    <w:p w14:paraId="6DDC48D6" w14:textId="77777777" w:rsidR="0064187B" w:rsidRPr="00DC77FD" w:rsidRDefault="0064187B" w:rsidP="0064187B">
      <w:pPr>
        <w:pStyle w:val="Heading2"/>
        <w:spacing w:before="0"/>
        <w:rPr>
          <w:sz w:val="32"/>
          <w:szCs w:val="32"/>
        </w:rPr>
      </w:pPr>
      <w:r w:rsidRPr="00DC77FD">
        <w:rPr>
          <w:sz w:val="32"/>
          <w:szCs w:val="32"/>
        </w:rPr>
        <w:t>Prepared by the National Stroke Network to outline minimal standards and strongly recommended standards for DHBs providing In-patient Stroke Services.</w:t>
      </w:r>
    </w:p>
    <w:p w14:paraId="36E332C1" w14:textId="77777777" w:rsidR="0064187B" w:rsidRPr="009A3243" w:rsidRDefault="0064187B" w:rsidP="0064187B"/>
    <w:p w14:paraId="451ED713" w14:textId="77777777" w:rsidR="0064187B" w:rsidRPr="00DC77FD" w:rsidRDefault="0064187B" w:rsidP="0064187B">
      <w:pPr>
        <w:rPr>
          <w:rFonts w:ascii="Arial" w:hAnsi="Arial" w:cs="Arial"/>
          <w:b/>
          <w:sz w:val="22"/>
          <w:szCs w:val="22"/>
        </w:rPr>
      </w:pPr>
      <w:r w:rsidRPr="00DC77FD">
        <w:rPr>
          <w:rFonts w:ascii="Arial" w:hAnsi="Arial" w:cs="Arial"/>
          <w:sz w:val="22"/>
          <w:szCs w:val="22"/>
        </w:rPr>
        <w:t>Organised Acute Stroke Services are provided by a coordinated specialised interdisciplinary team (IDT) and consist of early and ongoing comprehensive assessments and treatment which is guided by best practice. This is reflected in the use of stroke specific protocols. The IDT meets regularly to discuss, formulate and implement patient management and optimise rehabilitation and patient function. Ideally care is provided in a geographically discrete unit</w:t>
      </w:r>
      <w:r>
        <w:rPr>
          <w:rFonts w:ascii="Arial" w:hAnsi="Arial" w:cs="Arial"/>
          <w:sz w:val="22"/>
          <w:szCs w:val="22"/>
        </w:rPr>
        <w:t xml:space="preserve"> </w:t>
      </w:r>
      <w:r w:rsidRPr="00DC77FD">
        <w:rPr>
          <w:rFonts w:ascii="Arial" w:hAnsi="Arial" w:cs="Arial"/>
          <w:sz w:val="22"/>
          <w:szCs w:val="22"/>
        </w:rPr>
        <w:t>but depending on DHB size this may not always be feasible.</w:t>
      </w:r>
    </w:p>
    <w:p w14:paraId="4B2DE040" w14:textId="77777777" w:rsidR="0064187B" w:rsidRPr="00DC77FD" w:rsidRDefault="0064187B" w:rsidP="0064187B">
      <w:pPr>
        <w:rPr>
          <w:rFonts w:ascii="Arial" w:hAnsi="Arial" w:cs="Arial"/>
          <w:b/>
          <w:sz w:val="22"/>
          <w:szCs w:val="22"/>
        </w:rPr>
      </w:pPr>
    </w:p>
    <w:p w14:paraId="3A00C3C1" w14:textId="77777777" w:rsidR="0064187B" w:rsidRPr="00DC77FD" w:rsidRDefault="0064187B" w:rsidP="0064187B">
      <w:pPr>
        <w:rPr>
          <w:rFonts w:ascii="Arial" w:hAnsi="Arial" w:cs="Arial"/>
          <w:b/>
          <w:sz w:val="22"/>
          <w:szCs w:val="22"/>
        </w:rPr>
      </w:pPr>
      <w:r w:rsidRPr="00DC77FD">
        <w:rPr>
          <w:rFonts w:ascii="Arial" w:hAnsi="Arial" w:cs="Arial"/>
          <w:b/>
          <w:sz w:val="22"/>
          <w:szCs w:val="22"/>
        </w:rPr>
        <w:t>Services provided:</w:t>
      </w:r>
    </w:p>
    <w:p w14:paraId="4A62880C" w14:textId="77777777" w:rsidR="0064187B" w:rsidRPr="00DC77FD" w:rsidRDefault="0064187B" w:rsidP="00C04FF1">
      <w:pPr>
        <w:pStyle w:val="ListParagraph"/>
        <w:numPr>
          <w:ilvl w:val="0"/>
          <w:numId w:val="135"/>
        </w:numPr>
        <w:rPr>
          <w:rFonts w:ascii="Arial" w:hAnsi="Arial" w:cs="Arial"/>
          <w:sz w:val="22"/>
          <w:szCs w:val="22"/>
        </w:rPr>
      </w:pPr>
      <w:r w:rsidRPr="00DC77FD">
        <w:rPr>
          <w:rFonts w:ascii="Arial" w:hAnsi="Arial" w:cs="Arial"/>
          <w:sz w:val="22"/>
          <w:szCs w:val="22"/>
        </w:rPr>
        <w:t>Stroke Thrombolysis available 24 / 7</w:t>
      </w:r>
    </w:p>
    <w:p w14:paraId="410A1265" w14:textId="77777777" w:rsidR="0064187B" w:rsidRPr="00DC77FD" w:rsidRDefault="0064187B" w:rsidP="00C04FF1">
      <w:pPr>
        <w:pStyle w:val="ListParagraph"/>
        <w:numPr>
          <w:ilvl w:val="0"/>
          <w:numId w:val="135"/>
        </w:numPr>
        <w:rPr>
          <w:rFonts w:ascii="Arial" w:hAnsi="Arial" w:cs="Arial"/>
          <w:sz w:val="22"/>
          <w:szCs w:val="22"/>
        </w:rPr>
      </w:pPr>
      <w:r w:rsidRPr="00DC77FD">
        <w:rPr>
          <w:rFonts w:ascii="Arial" w:hAnsi="Arial" w:cs="Arial"/>
          <w:sz w:val="22"/>
          <w:szCs w:val="22"/>
        </w:rPr>
        <w:t>Stroke Clot Retrieval (SCR)(in designated stroke centres) or access to SCR</w:t>
      </w:r>
    </w:p>
    <w:p w14:paraId="3A7084F5" w14:textId="77777777" w:rsidR="0064187B" w:rsidRPr="00DC77FD" w:rsidRDefault="0064187B" w:rsidP="00C04FF1">
      <w:pPr>
        <w:pStyle w:val="ListParagraph"/>
        <w:numPr>
          <w:ilvl w:val="0"/>
          <w:numId w:val="135"/>
        </w:numPr>
        <w:rPr>
          <w:rFonts w:ascii="Arial" w:hAnsi="Arial" w:cs="Arial"/>
          <w:sz w:val="22"/>
          <w:szCs w:val="22"/>
        </w:rPr>
      </w:pPr>
      <w:r w:rsidRPr="00DC77FD">
        <w:rPr>
          <w:rFonts w:ascii="Arial" w:hAnsi="Arial" w:cs="Arial"/>
          <w:sz w:val="22"/>
          <w:szCs w:val="22"/>
        </w:rPr>
        <w:t>Rapid TIA Access</w:t>
      </w:r>
    </w:p>
    <w:p w14:paraId="09A983CC" w14:textId="77777777" w:rsidR="0064187B" w:rsidRPr="00DC77FD" w:rsidRDefault="0064187B" w:rsidP="00C04FF1">
      <w:pPr>
        <w:pStyle w:val="ListParagraph"/>
        <w:numPr>
          <w:ilvl w:val="0"/>
          <w:numId w:val="135"/>
        </w:numPr>
        <w:rPr>
          <w:rFonts w:ascii="Arial" w:hAnsi="Arial" w:cs="Arial"/>
          <w:sz w:val="22"/>
          <w:szCs w:val="22"/>
        </w:rPr>
      </w:pPr>
      <w:r w:rsidRPr="00DC77FD">
        <w:rPr>
          <w:rFonts w:ascii="Arial" w:hAnsi="Arial" w:cs="Arial"/>
          <w:sz w:val="22"/>
          <w:szCs w:val="22"/>
        </w:rPr>
        <w:t>Acute Stroke Care</w:t>
      </w:r>
    </w:p>
    <w:p w14:paraId="4731E5F3" w14:textId="77777777" w:rsidR="0064187B" w:rsidRPr="00DC77FD" w:rsidRDefault="0064187B" w:rsidP="00C04FF1">
      <w:pPr>
        <w:pStyle w:val="ListParagraph"/>
        <w:numPr>
          <w:ilvl w:val="0"/>
          <w:numId w:val="135"/>
        </w:numPr>
        <w:rPr>
          <w:rFonts w:ascii="Arial" w:hAnsi="Arial" w:cs="Arial"/>
          <w:sz w:val="22"/>
          <w:szCs w:val="22"/>
        </w:rPr>
      </w:pPr>
      <w:r w:rsidRPr="00DC77FD">
        <w:rPr>
          <w:rFonts w:ascii="Arial" w:hAnsi="Arial" w:cs="Arial"/>
          <w:sz w:val="22"/>
          <w:szCs w:val="22"/>
        </w:rPr>
        <w:t xml:space="preserve">Inpatient and Community Stroke Rehabilitation </w:t>
      </w:r>
    </w:p>
    <w:p w14:paraId="604F87FF" w14:textId="77777777" w:rsidR="0064187B" w:rsidRPr="00DC77FD" w:rsidRDefault="0064187B" w:rsidP="0064187B">
      <w:pPr>
        <w:rPr>
          <w:rFonts w:ascii="Arial" w:hAnsi="Arial" w:cs="Arial"/>
          <w:sz w:val="22"/>
          <w:szCs w:val="22"/>
          <w:u w:val="single"/>
        </w:rPr>
      </w:pPr>
    </w:p>
    <w:p w14:paraId="662130FA" w14:textId="77777777" w:rsidR="0064187B" w:rsidRPr="00DC77FD" w:rsidRDefault="0064187B" w:rsidP="0064187B">
      <w:pPr>
        <w:rPr>
          <w:rFonts w:ascii="Arial" w:hAnsi="Arial" w:cs="Arial"/>
          <w:b/>
          <w:sz w:val="22"/>
          <w:szCs w:val="22"/>
        </w:rPr>
      </w:pPr>
      <w:r w:rsidRPr="00DC77FD">
        <w:rPr>
          <w:rFonts w:ascii="Arial" w:hAnsi="Arial" w:cs="Arial"/>
          <w:b/>
          <w:sz w:val="22"/>
          <w:szCs w:val="22"/>
        </w:rPr>
        <w:t xml:space="preserve">Members of an in-patient stroke team: </w:t>
      </w:r>
    </w:p>
    <w:p w14:paraId="2260E3E1" w14:textId="77777777" w:rsidR="0064187B" w:rsidRPr="00DC77FD" w:rsidRDefault="0064187B" w:rsidP="0064187B">
      <w:pPr>
        <w:rPr>
          <w:rFonts w:ascii="Arial" w:hAnsi="Arial" w:cs="Arial"/>
          <w:sz w:val="22"/>
          <w:szCs w:val="22"/>
        </w:rPr>
      </w:pPr>
      <w:r w:rsidRPr="00DC77FD">
        <w:rPr>
          <w:rFonts w:ascii="Arial" w:hAnsi="Arial" w:cs="Arial"/>
          <w:sz w:val="22"/>
          <w:szCs w:val="22"/>
        </w:rPr>
        <w:t>Designated to stroke (not necessarily designated to stroke exclusively):</w:t>
      </w:r>
    </w:p>
    <w:p w14:paraId="7A12E848"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Stroke physician*</w:t>
      </w:r>
    </w:p>
    <w:p w14:paraId="4265FF2D"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Stroke nurse*</w:t>
      </w:r>
    </w:p>
    <w:p w14:paraId="5DFB4646"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Physiotherapist</w:t>
      </w:r>
    </w:p>
    <w:p w14:paraId="0BC3DEF9"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Occupational Therapist</w:t>
      </w:r>
    </w:p>
    <w:p w14:paraId="744DAD60"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Speech and Language Therapist</w:t>
      </w:r>
    </w:p>
    <w:p w14:paraId="6301418C"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 xml:space="preserve">Social worker </w:t>
      </w:r>
    </w:p>
    <w:p w14:paraId="423C737F" w14:textId="77777777" w:rsidR="0064187B" w:rsidRPr="00DC77FD" w:rsidRDefault="0064187B" w:rsidP="0064187B">
      <w:pPr>
        <w:rPr>
          <w:rFonts w:ascii="Arial" w:hAnsi="Arial" w:cs="Arial"/>
          <w:sz w:val="22"/>
          <w:szCs w:val="22"/>
        </w:rPr>
      </w:pPr>
      <w:r w:rsidRPr="00DC77FD">
        <w:rPr>
          <w:rFonts w:ascii="Arial" w:hAnsi="Arial" w:cs="Arial"/>
          <w:sz w:val="22"/>
          <w:szCs w:val="22"/>
        </w:rPr>
        <w:t xml:space="preserve">Clinicians that should be available but not necessarily members of the acute stroke team: </w:t>
      </w:r>
    </w:p>
    <w:p w14:paraId="2427AE99" w14:textId="77777777" w:rsidR="0064187B" w:rsidRPr="00DC77FD" w:rsidRDefault="0064187B" w:rsidP="00C04FF1">
      <w:pPr>
        <w:pStyle w:val="ListParagraph"/>
        <w:numPr>
          <w:ilvl w:val="0"/>
          <w:numId w:val="136"/>
        </w:numPr>
        <w:rPr>
          <w:rFonts w:ascii="Arial" w:hAnsi="Arial" w:cs="Arial"/>
          <w:sz w:val="22"/>
          <w:szCs w:val="22"/>
        </w:rPr>
      </w:pPr>
      <w:r w:rsidRPr="00DC77FD">
        <w:rPr>
          <w:rFonts w:ascii="Arial" w:hAnsi="Arial" w:cs="Arial"/>
          <w:sz w:val="22"/>
          <w:szCs w:val="22"/>
        </w:rPr>
        <w:t>Dietician</w:t>
      </w:r>
    </w:p>
    <w:p w14:paraId="2161E6CB"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 xml:space="preserve">Clinical Psychologist </w:t>
      </w:r>
    </w:p>
    <w:p w14:paraId="43DFD0F6" w14:textId="77777777" w:rsidR="0064187B" w:rsidRPr="00DC77FD" w:rsidRDefault="0064187B" w:rsidP="00C04FF1">
      <w:pPr>
        <w:numPr>
          <w:ilvl w:val="0"/>
          <w:numId w:val="131"/>
        </w:numPr>
        <w:rPr>
          <w:rFonts w:ascii="Arial" w:hAnsi="Arial" w:cs="Arial"/>
          <w:sz w:val="22"/>
          <w:szCs w:val="22"/>
        </w:rPr>
      </w:pPr>
      <w:r w:rsidRPr="00DC77FD">
        <w:rPr>
          <w:rFonts w:ascii="Arial" w:hAnsi="Arial" w:cs="Arial"/>
          <w:sz w:val="22"/>
          <w:szCs w:val="22"/>
        </w:rPr>
        <w:t xml:space="preserve">Pharmacist </w:t>
      </w:r>
    </w:p>
    <w:p w14:paraId="7C6057B0" w14:textId="77777777" w:rsidR="0064187B" w:rsidRPr="00DC77FD" w:rsidRDefault="0064187B" w:rsidP="0064187B">
      <w:pPr>
        <w:rPr>
          <w:rFonts w:ascii="Arial" w:hAnsi="Arial" w:cs="Arial"/>
          <w:sz w:val="22"/>
          <w:szCs w:val="22"/>
        </w:rPr>
      </w:pPr>
      <w:r w:rsidRPr="00DC77FD">
        <w:rPr>
          <w:rFonts w:ascii="Arial" w:hAnsi="Arial" w:cs="Arial"/>
          <w:sz w:val="22"/>
          <w:szCs w:val="22"/>
        </w:rPr>
        <w:t xml:space="preserve">* Each DHB should have a designated </w:t>
      </w:r>
      <w:r w:rsidRPr="00DC77FD">
        <w:rPr>
          <w:rFonts w:ascii="Arial" w:hAnsi="Arial" w:cs="Arial"/>
          <w:i/>
          <w:sz w:val="22"/>
          <w:szCs w:val="22"/>
        </w:rPr>
        <w:t>lead</w:t>
      </w:r>
      <w:r w:rsidRPr="00DC77FD">
        <w:rPr>
          <w:rFonts w:ascii="Arial" w:hAnsi="Arial" w:cs="Arial"/>
          <w:sz w:val="22"/>
          <w:szCs w:val="22"/>
        </w:rPr>
        <w:t xml:space="preserve"> stroke physician and </w:t>
      </w:r>
      <w:r w:rsidRPr="00DC77FD">
        <w:rPr>
          <w:rFonts w:ascii="Arial" w:hAnsi="Arial" w:cs="Arial"/>
          <w:i/>
          <w:sz w:val="22"/>
          <w:szCs w:val="22"/>
        </w:rPr>
        <w:t>lead</w:t>
      </w:r>
      <w:r w:rsidRPr="00DC77FD">
        <w:rPr>
          <w:rFonts w:ascii="Arial" w:hAnsi="Arial" w:cs="Arial"/>
          <w:sz w:val="22"/>
          <w:szCs w:val="22"/>
        </w:rPr>
        <w:t xml:space="preserve"> stroke nurse, and a lead allied health professional. For daily clinical activities several clinicians can share patient responsibilities on a rotating basis.  </w:t>
      </w:r>
    </w:p>
    <w:p w14:paraId="1710F17A" w14:textId="77777777" w:rsidR="0064187B" w:rsidRPr="00DC77FD" w:rsidRDefault="0064187B" w:rsidP="0064187B">
      <w:pPr>
        <w:rPr>
          <w:rFonts w:ascii="Arial" w:hAnsi="Arial" w:cs="Arial"/>
          <w:b/>
          <w:sz w:val="22"/>
          <w:szCs w:val="22"/>
        </w:rPr>
      </w:pPr>
      <w:r w:rsidRPr="00DC77FD">
        <w:rPr>
          <w:rFonts w:ascii="Arial" w:hAnsi="Arial" w:cs="Arial"/>
          <w:b/>
          <w:sz w:val="22"/>
          <w:szCs w:val="22"/>
        </w:rPr>
        <w:t>Education:</w:t>
      </w:r>
    </w:p>
    <w:p w14:paraId="000C9696" w14:textId="77777777" w:rsidR="0064187B" w:rsidRPr="00DC77FD" w:rsidRDefault="0064187B" w:rsidP="00C04FF1">
      <w:pPr>
        <w:numPr>
          <w:ilvl w:val="0"/>
          <w:numId w:val="133"/>
        </w:numPr>
        <w:rPr>
          <w:rFonts w:ascii="Arial" w:hAnsi="Arial" w:cs="Arial"/>
          <w:sz w:val="22"/>
          <w:szCs w:val="22"/>
        </w:rPr>
      </w:pPr>
      <w:r w:rsidRPr="00DC77FD">
        <w:rPr>
          <w:rFonts w:ascii="Arial" w:hAnsi="Arial" w:cs="Arial"/>
          <w:sz w:val="22"/>
          <w:szCs w:val="22"/>
        </w:rPr>
        <w:t xml:space="preserve">Baseline qualifications with expectation of expertise in stroke management </w:t>
      </w:r>
    </w:p>
    <w:p w14:paraId="7DF9B3FB" w14:textId="77777777" w:rsidR="0064187B" w:rsidRPr="00DC77FD" w:rsidRDefault="0064187B" w:rsidP="00C04FF1">
      <w:pPr>
        <w:numPr>
          <w:ilvl w:val="0"/>
          <w:numId w:val="133"/>
        </w:numPr>
        <w:rPr>
          <w:rFonts w:ascii="Arial" w:hAnsi="Arial" w:cs="Arial"/>
          <w:sz w:val="22"/>
          <w:szCs w:val="22"/>
        </w:rPr>
      </w:pPr>
      <w:r w:rsidRPr="00DC77FD">
        <w:rPr>
          <w:rFonts w:ascii="Arial" w:hAnsi="Arial" w:cs="Arial"/>
          <w:sz w:val="22"/>
          <w:szCs w:val="22"/>
        </w:rPr>
        <w:t>Ongoing education should include a minimum of eight hours of annual formal stroke education for each designated acute stroke team member</w:t>
      </w:r>
    </w:p>
    <w:p w14:paraId="6F7AACED" w14:textId="77777777" w:rsidR="0064187B" w:rsidRPr="00DC77FD" w:rsidRDefault="0064187B" w:rsidP="00C04FF1">
      <w:pPr>
        <w:numPr>
          <w:ilvl w:val="0"/>
          <w:numId w:val="133"/>
        </w:numPr>
        <w:rPr>
          <w:rFonts w:ascii="Arial" w:hAnsi="Arial" w:cs="Arial"/>
          <w:sz w:val="22"/>
          <w:szCs w:val="22"/>
        </w:rPr>
      </w:pPr>
      <w:r w:rsidRPr="00DC77FD">
        <w:rPr>
          <w:rFonts w:ascii="Arial" w:hAnsi="Arial" w:cs="Arial"/>
          <w:sz w:val="22"/>
          <w:szCs w:val="22"/>
        </w:rPr>
        <w:t>Provision of education to other clinical staff working with stroke</w:t>
      </w:r>
    </w:p>
    <w:p w14:paraId="5048FA9B" w14:textId="77777777" w:rsidR="0064187B" w:rsidRPr="00DC77FD" w:rsidRDefault="0064187B" w:rsidP="00C04FF1">
      <w:pPr>
        <w:numPr>
          <w:ilvl w:val="0"/>
          <w:numId w:val="133"/>
        </w:numPr>
        <w:rPr>
          <w:rFonts w:ascii="Arial" w:hAnsi="Arial" w:cs="Arial"/>
          <w:sz w:val="22"/>
          <w:szCs w:val="22"/>
        </w:rPr>
      </w:pPr>
      <w:r w:rsidRPr="00DC77FD">
        <w:rPr>
          <w:rFonts w:ascii="Arial" w:hAnsi="Arial" w:cs="Arial"/>
          <w:sz w:val="22"/>
          <w:szCs w:val="22"/>
        </w:rPr>
        <w:t>A credentialing process in place for physician’s supervising/providing thrombolysis.</w:t>
      </w:r>
    </w:p>
    <w:p w14:paraId="1AC2E58D" w14:textId="77777777" w:rsidR="0064187B" w:rsidRPr="00DC77FD" w:rsidRDefault="0064187B" w:rsidP="0064187B">
      <w:pPr>
        <w:rPr>
          <w:rFonts w:ascii="Arial" w:hAnsi="Arial" w:cs="Arial"/>
          <w:sz w:val="22"/>
          <w:szCs w:val="22"/>
        </w:rPr>
      </w:pPr>
    </w:p>
    <w:p w14:paraId="41ED1283" w14:textId="77777777" w:rsidR="0064187B" w:rsidRPr="00DC77FD" w:rsidRDefault="0064187B" w:rsidP="0064187B">
      <w:pPr>
        <w:rPr>
          <w:rFonts w:ascii="Arial" w:hAnsi="Arial" w:cs="Arial"/>
          <w:sz w:val="22"/>
          <w:szCs w:val="22"/>
        </w:rPr>
      </w:pPr>
    </w:p>
    <w:p w14:paraId="3EEBFF96" w14:textId="77777777" w:rsidR="0064187B" w:rsidRPr="00DC77FD" w:rsidRDefault="0064187B" w:rsidP="0064187B">
      <w:pPr>
        <w:rPr>
          <w:rFonts w:ascii="Arial" w:hAnsi="Arial" w:cs="Arial"/>
          <w:sz w:val="22"/>
          <w:szCs w:val="22"/>
        </w:rPr>
      </w:pPr>
      <w:r w:rsidRPr="00DC77FD">
        <w:rPr>
          <w:rFonts w:ascii="Arial" w:hAnsi="Arial" w:cs="Arial"/>
          <w:b/>
          <w:sz w:val="22"/>
          <w:szCs w:val="22"/>
        </w:rPr>
        <w:t>Meetings/collaboration</w:t>
      </w:r>
      <w:r w:rsidRPr="00DC77FD">
        <w:rPr>
          <w:rFonts w:ascii="Arial" w:hAnsi="Arial" w:cs="Arial"/>
          <w:sz w:val="22"/>
          <w:szCs w:val="22"/>
        </w:rPr>
        <w:t>:</w:t>
      </w:r>
    </w:p>
    <w:p w14:paraId="7EB8E8B7" w14:textId="77777777" w:rsidR="0064187B" w:rsidRPr="00DC77FD" w:rsidRDefault="0064187B" w:rsidP="00C04FF1">
      <w:pPr>
        <w:numPr>
          <w:ilvl w:val="0"/>
          <w:numId w:val="134"/>
        </w:numPr>
        <w:rPr>
          <w:rFonts w:ascii="Arial" w:hAnsi="Arial" w:cs="Arial"/>
          <w:sz w:val="22"/>
          <w:szCs w:val="22"/>
        </w:rPr>
      </w:pPr>
      <w:r w:rsidRPr="00DC77FD">
        <w:rPr>
          <w:rFonts w:ascii="Arial" w:hAnsi="Arial" w:cs="Arial"/>
          <w:sz w:val="22"/>
          <w:szCs w:val="22"/>
        </w:rPr>
        <w:t>Minimum IDT meeting once a week to discuss ongoing management, goal setting, and discharge planning</w:t>
      </w:r>
    </w:p>
    <w:p w14:paraId="16C4C2C6" w14:textId="77777777" w:rsidR="0064187B" w:rsidRPr="00DC77FD" w:rsidRDefault="0064187B" w:rsidP="0064187B">
      <w:pPr>
        <w:rPr>
          <w:rFonts w:ascii="Arial" w:hAnsi="Arial" w:cs="Arial"/>
          <w:sz w:val="22"/>
          <w:szCs w:val="22"/>
        </w:rPr>
      </w:pPr>
    </w:p>
    <w:p w14:paraId="1570D703" w14:textId="77777777" w:rsidR="0064187B" w:rsidRPr="00DC77FD" w:rsidRDefault="0064187B" w:rsidP="0064187B">
      <w:pPr>
        <w:rPr>
          <w:rFonts w:ascii="Arial" w:hAnsi="Arial" w:cs="Arial"/>
          <w:b/>
          <w:sz w:val="22"/>
          <w:szCs w:val="22"/>
        </w:rPr>
      </w:pPr>
      <w:r w:rsidRPr="00DC77FD">
        <w:rPr>
          <w:rFonts w:ascii="Arial" w:hAnsi="Arial" w:cs="Arial"/>
          <w:b/>
          <w:sz w:val="22"/>
          <w:szCs w:val="22"/>
        </w:rPr>
        <w:t>Offering key components of stroke management utilising protocols with specified time frames:</w:t>
      </w:r>
    </w:p>
    <w:p w14:paraId="24F54098" w14:textId="77777777" w:rsidR="0064187B" w:rsidRPr="00DC77FD" w:rsidRDefault="0064187B" w:rsidP="00C04FF1">
      <w:pPr>
        <w:numPr>
          <w:ilvl w:val="0"/>
          <w:numId w:val="132"/>
        </w:numPr>
        <w:rPr>
          <w:rFonts w:ascii="Arial" w:hAnsi="Arial" w:cs="Arial"/>
          <w:sz w:val="22"/>
          <w:szCs w:val="22"/>
        </w:rPr>
      </w:pPr>
      <w:r w:rsidRPr="00DC77FD">
        <w:rPr>
          <w:rFonts w:ascii="Arial" w:hAnsi="Arial" w:cs="Arial"/>
          <w:sz w:val="22"/>
          <w:szCs w:val="22"/>
        </w:rPr>
        <w:t>Pre-notification of stroke teams, rapid access to imaging, thrombolysis, stroke clot retrieval pathway, TIA, stroke care guidelines (medical, nursing, dysphagia, early mobilisation, functional assessments, education of patients and family), hospital transfers, discharge planning, transitions to inpatient rehabilitation or community and secondary prevention.</w:t>
      </w:r>
    </w:p>
    <w:p w14:paraId="6FBBCB07" w14:textId="77777777" w:rsidR="0064187B" w:rsidRPr="00DC77FD" w:rsidRDefault="0064187B" w:rsidP="0064187B">
      <w:pPr>
        <w:rPr>
          <w:rFonts w:ascii="Arial" w:hAnsi="Arial" w:cs="Arial"/>
          <w:sz w:val="22"/>
          <w:szCs w:val="22"/>
        </w:rPr>
      </w:pPr>
    </w:p>
    <w:p w14:paraId="1268B425" w14:textId="77777777" w:rsidR="0064187B" w:rsidRPr="00DC77FD" w:rsidRDefault="0064187B" w:rsidP="0064187B">
      <w:pPr>
        <w:rPr>
          <w:rFonts w:ascii="Arial" w:hAnsi="Arial" w:cs="Arial"/>
          <w:b/>
          <w:sz w:val="22"/>
          <w:szCs w:val="22"/>
        </w:rPr>
      </w:pPr>
      <w:r w:rsidRPr="00DC77FD">
        <w:rPr>
          <w:rFonts w:ascii="Arial" w:hAnsi="Arial" w:cs="Arial"/>
          <w:b/>
          <w:sz w:val="22"/>
          <w:szCs w:val="22"/>
        </w:rPr>
        <w:t>Links to Emergency Medical Services, ED, radiology, neurosurgery, vascular surgery, rehabilitation, Stroke Foundation.</w:t>
      </w:r>
    </w:p>
    <w:p w14:paraId="55D3B8CC" w14:textId="77777777" w:rsidR="0064187B" w:rsidRPr="00DC77FD" w:rsidRDefault="0064187B" w:rsidP="0064187B">
      <w:pPr>
        <w:rPr>
          <w:rFonts w:ascii="Arial" w:hAnsi="Arial" w:cs="Arial"/>
          <w:sz w:val="22"/>
          <w:szCs w:val="22"/>
        </w:rPr>
      </w:pPr>
      <w:r w:rsidRPr="00DC77FD">
        <w:rPr>
          <w:rFonts w:ascii="Arial" w:hAnsi="Arial" w:cs="Arial"/>
          <w:sz w:val="22"/>
          <w:szCs w:val="22"/>
        </w:rPr>
        <w:t xml:space="preserve"> </w:t>
      </w:r>
    </w:p>
    <w:p w14:paraId="36653D48" w14:textId="77777777" w:rsidR="0064187B" w:rsidRPr="00DC77FD" w:rsidRDefault="0064187B" w:rsidP="0064187B">
      <w:pPr>
        <w:rPr>
          <w:rFonts w:ascii="Arial" w:hAnsi="Arial" w:cs="Arial"/>
          <w:b/>
          <w:sz w:val="22"/>
          <w:szCs w:val="22"/>
        </w:rPr>
      </w:pPr>
      <w:r w:rsidRPr="00DC77FD">
        <w:rPr>
          <w:rFonts w:ascii="Arial" w:hAnsi="Arial" w:cs="Arial"/>
          <w:b/>
          <w:sz w:val="22"/>
          <w:szCs w:val="22"/>
        </w:rPr>
        <w:t>Quality Assurance and audit</w:t>
      </w:r>
    </w:p>
    <w:p w14:paraId="64ECBE75" w14:textId="77777777" w:rsidR="0064187B" w:rsidRPr="00DC77FD" w:rsidRDefault="0064187B" w:rsidP="00C04FF1">
      <w:pPr>
        <w:numPr>
          <w:ilvl w:val="0"/>
          <w:numId w:val="132"/>
        </w:numPr>
        <w:rPr>
          <w:rFonts w:ascii="Arial" w:hAnsi="Arial" w:cs="Arial"/>
          <w:b/>
          <w:sz w:val="22"/>
          <w:szCs w:val="22"/>
        </w:rPr>
      </w:pPr>
      <w:r w:rsidRPr="00DC77FD">
        <w:rPr>
          <w:rFonts w:ascii="Arial" w:hAnsi="Arial" w:cs="Arial"/>
          <w:sz w:val="22"/>
          <w:szCs w:val="22"/>
        </w:rPr>
        <w:t>Mandatory entry of stroke thrombolysis and clot retrieval cases to the Reperfusion Register., Regular audit processes must be in place which may be managed through the extended stroke registry. All serious adverse events should be fully investigated and discussed as a team and as appropriate used as learning opportunities at regional/national network meetings.</w:t>
      </w:r>
    </w:p>
    <w:p w14:paraId="69537D65" w14:textId="77777777" w:rsidR="0064187B" w:rsidRPr="00DC77FD" w:rsidRDefault="0064187B" w:rsidP="00C04FF1">
      <w:pPr>
        <w:numPr>
          <w:ilvl w:val="0"/>
          <w:numId w:val="132"/>
        </w:numPr>
        <w:rPr>
          <w:rFonts w:ascii="Arial" w:hAnsi="Arial" w:cs="Arial"/>
          <w:b/>
          <w:sz w:val="22"/>
          <w:szCs w:val="22"/>
        </w:rPr>
      </w:pPr>
      <w:r w:rsidRPr="00DC77FD">
        <w:rPr>
          <w:rFonts w:ascii="Arial" w:hAnsi="Arial" w:cs="Arial"/>
          <w:sz w:val="22"/>
          <w:szCs w:val="22"/>
        </w:rPr>
        <w:t>Patient reported experience and outcomes are measured and monitored.</w:t>
      </w:r>
    </w:p>
    <w:p w14:paraId="42FE854D" w14:textId="77777777" w:rsidR="0064187B" w:rsidRPr="00DC77FD" w:rsidRDefault="0064187B" w:rsidP="0064187B">
      <w:pPr>
        <w:rPr>
          <w:rFonts w:ascii="Arial" w:hAnsi="Arial" w:cs="Arial"/>
          <w:sz w:val="22"/>
          <w:szCs w:val="22"/>
        </w:rPr>
      </w:pPr>
    </w:p>
    <w:p w14:paraId="394CAD3F" w14:textId="77777777" w:rsidR="0064187B" w:rsidRPr="00DC77FD" w:rsidRDefault="0064187B" w:rsidP="0064187B">
      <w:pPr>
        <w:rPr>
          <w:rFonts w:ascii="Arial" w:hAnsi="Arial" w:cs="Arial"/>
          <w:b/>
          <w:sz w:val="22"/>
          <w:szCs w:val="22"/>
        </w:rPr>
      </w:pPr>
      <w:r w:rsidRPr="00DC77FD">
        <w:rPr>
          <w:rFonts w:ascii="Arial" w:hAnsi="Arial" w:cs="Arial"/>
          <w:b/>
          <w:sz w:val="22"/>
          <w:szCs w:val="22"/>
        </w:rPr>
        <w:t xml:space="preserve">Research/Advocacy </w:t>
      </w:r>
    </w:p>
    <w:p w14:paraId="4D9F0E4C" w14:textId="77777777" w:rsidR="0064187B" w:rsidRPr="00DC77FD" w:rsidRDefault="0064187B" w:rsidP="00C04FF1">
      <w:pPr>
        <w:pStyle w:val="ListParagraph"/>
        <w:numPr>
          <w:ilvl w:val="0"/>
          <w:numId w:val="132"/>
        </w:numPr>
        <w:rPr>
          <w:rFonts w:ascii="Arial" w:hAnsi="Arial" w:cs="Arial"/>
          <w:b/>
          <w:sz w:val="22"/>
          <w:szCs w:val="22"/>
        </w:rPr>
      </w:pPr>
      <w:r w:rsidRPr="00DC77FD">
        <w:rPr>
          <w:rFonts w:ascii="Arial" w:hAnsi="Arial" w:cs="Arial"/>
          <w:sz w:val="22"/>
          <w:szCs w:val="22"/>
        </w:rPr>
        <w:t>There should be some evidence that the service engages in clinical stroke research or stroke audits and patient advocacy relating to stroke.</w:t>
      </w:r>
    </w:p>
    <w:p w14:paraId="69F44D3A" w14:textId="77777777" w:rsidR="0064187B" w:rsidRPr="00DC77FD" w:rsidRDefault="0064187B" w:rsidP="0064187B">
      <w:pPr>
        <w:rPr>
          <w:rFonts w:ascii="Arial" w:hAnsi="Arial" w:cs="Arial"/>
          <w:b/>
          <w:sz w:val="22"/>
          <w:szCs w:val="22"/>
        </w:rPr>
      </w:pPr>
    </w:p>
    <w:p w14:paraId="5C439F2F" w14:textId="77777777" w:rsidR="0064187B" w:rsidRPr="00DC77FD" w:rsidRDefault="0064187B" w:rsidP="0064187B">
      <w:pPr>
        <w:rPr>
          <w:rFonts w:ascii="Arial" w:hAnsi="Arial" w:cs="Arial"/>
          <w:b/>
          <w:sz w:val="22"/>
          <w:szCs w:val="22"/>
        </w:rPr>
      </w:pPr>
      <w:r w:rsidRPr="00DC77FD">
        <w:rPr>
          <w:rFonts w:ascii="Arial" w:hAnsi="Arial" w:cs="Arial"/>
          <w:b/>
          <w:sz w:val="22"/>
          <w:szCs w:val="22"/>
        </w:rPr>
        <w:t xml:space="preserve">Acute Stroke Unit/Organised In-patient Stroke Services </w:t>
      </w:r>
    </w:p>
    <w:p w14:paraId="293EA43E" w14:textId="77777777" w:rsidR="0064187B" w:rsidRPr="00DC77FD" w:rsidRDefault="0064187B" w:rsidP="0064187B">
      <w:pPr>
        <w:rPr>
          <w:rFonts w:ascii="Arial" w:hAnsi="Arial" w:cs="Arial"/>
          <w:color w:val="000000"/>
          <w:sz w:val="22"/>
          <w:szCs w:val="22"/>
        </w:rPr>
      </w:pPr>
      <w:r w:rsidRPr="00DC77FD">
        <w:rPr>
          <w:rFonts w:ascii="Arial" w:hAnsi="Arial" w:cs="Arial"/>
          <w:b/>
          <w:sz w:val="22"/>
          <w:szCs w:val="22"/>
        </w:rPr>
        <w:t xml:space="preserve">A stroke unit </w:t>
      </w:r>
      <w:r w:rsidRPr="00DC77FD">
        <w:rPr>
          <w:rFonts w:ascii="Arial" w:hAnsi="Arial" w:cs="Arial"/>
          <w:color w:val="000000"/>
          <w:sz w:val="22"/>
          <w:szCs w:val="22"/>
        </w:rPr>
        <w:t>is defined as a discrete ward, or beds within a ward, with a dedicated specialised multi-disciplinary team (MDT) and could include acute stroke units that discharge patients to a rehabilitation service, or an integrated acute and rehabilitation unit. A stroke patient needs to be admitted/transferred to a stroke unit as soon as possible after presentation.</w:t>
      </w:r>
    </w:p>
    <w:p w14:paraId="632FB404" w14:textId="77777777" w:rsidR="0064187B" w:rsidRPr="00DC77FD" w:rsidRDefault="0064187B" w:rsidP="0064187B">
      <w:pPr>
        <w:rPr>
          <w:rFonts w:ascii="Arial" w:hAnsi="Arial" w:cs="Arial"/>
          <w:b/>
          <w:sz w:val="22"/>
          <w:szCs w:val="22"/>
        </w:rPr>
      </w:pPr>
    </w:p>
    <w:p w14:paraId="3819E0F5" w14:textId="77777777" w:rsidR="0064187B" w:rsidRPr="00DC77FD" w:rsidRDefault="0064187B" w:rsidP="0064187B">
      <w:pPr>
        <w:rPr>
          <w:rFonts w:ascii="Arial" w:hAnsi="Arial" w:cs="Arial"/>
          <w:sz w:val="22"/>
          <w:szCs w:val="22"/>
        </w:rPr>
      </w:pPr>
      <w:r w:rsidRPr="00DC77FD">
        <w:rPr>
          <w:rFonts w:ascii="Arial" w:hAnsi="Arial" w:cs="Arial"/>
          <w:sz w:val="22"/>
          <w:szCs w:val="22"/>
        </w:rPr>
        <w:t>Hospitals designated as providing an ‘Organised Stroke Service’ should have a designated geographical area with stroke patients spending the majority of their acute hospital stay in this ‘unit.’  Ideally beds are dedicated to stroke patients.  In small hospitals where a dedicated ‘unit’ may not be feasible due to low patient volumes patients may be admitted to a single general medical ward if all other components of an organised stroke service are provided. In this situation the patient should be seen by a member of the stroke team within 24 hours of admission. Alternatively, if organised acute stroke services are not available patients should be transferred to a larger centre using a defined pathway.</w:t>
      </w:r>
    </w:p>
    <w:p w14:paraId="53D7F93C" w14:textId="77777777" w:rsidR="0064187B" w:rsidRPr="00DC77FD" w:rsidRDefault="0064187B" w:rsidP="0064187B">
      <w:pPr>
        <w:rPr>
          <w:rFonts w:ascii="Arial" w:hAnsi="Arial" w:cs="Arial"/>
          <w:sz w:val="22"/>
          <w:szCs w:val="22"/>
        </w:rPr>
      </w:pPr>
    </w:p>
    <w:p w14:paraId="1F8151A9" w14:textId="77777777" w:rsidR="0064187B" w:rsidRPr="00DC77FD" w:rsidRDefault="0064187B" w:rsidP="0064187B">
      <w:pPr>
        <w:rPr>
          <w:rFonts w:ascii="Arial" w:hAnsi="Arial" w:cs="Arial"/>
          <w:b/>
          <w:sz w:val="22"/>
          <w:szCs w:val="22"/>
        </w:rPr>
      </w:pPr>
      <w:r w:rsidRPr="00DC77FD">
        <w:rPr>
          <w:rFonts w:ascii="Arial" w:hAnsi="Arial" w:cs="Arial"/>
          <w:b/>
          <w:sz w:val="22"/>
          <w:szCs w:val="22"/>
        </w:rPr>
        <w:t>Staffing Levels</w:t>
      </w:r>
    </w:p>
    <w:p w14:paraId="3F267239" w14:textId="77777777" w:rsidR="0064187B" w:rsidRPr="00DC77FD" w:rsidRDefault="0064187B" w:rsidP="0064187B">
      <w:pPr>
        <w:rPr>
          <w:rFonts w:ascii="Arial" w:hAnsi="Arial" w:cs="Arial"/>
          <w:sz w:val="22"/>
          <w:szCs w:val="22"/>
        </w:rPr>
      </w:pPr>
      <w:r w:rsidRPr="00DC77FD">
        <w:rPr>
          <w:rFonts w:ascii="Arial" w:hAnsi="Arial" w:cs="Arial"/>
          <w:sz w:val="22"/>
          <w:szCs w:val="22"/>
        </w:rPr>
        <w:t>Exact FTE allocation for interdisciplinary stroke team member staffing levels has not been firmly established at this point in time.  However, as a general guide staffing levels should be sufficient to enable care of patients in accordance with current Stroke Guidelines</w:t>
      </w:r>
      <w:r w:rsidRPr="00DC77FD">
        <w:rPr>
          <w:rFonts w:ascii="Arial" w:hAnsi="Arial" w:cs="Arial"/>
          <w:sz w:val="22"/>
          <w:szCs w:val="22"/>
          <w:vertAlign w:val="superscript"/>
        </w:rPr>
        <w:t>1</w:t>
      </w:r>
      <w:r w:rsidRPr="00DC77FD">
        <w:rPr>
          <w:rFonts w:ascii="Arial" w:hAnsi="Arial" w:cs="Arial"/>
          <w:sz w:val="22"/>
          <w:szCs w:val="22"/>
        </w:rPr>
        <w:t xml:space="preserve"> approved by the National Stroke Network. All designated members of the stroke team should have some dedicated time (part- or full-time depending on patient volumes) specifically allocated to stroke care and maintenance of stroke care competencies</w:t>
      </w:r>
      <w:r w:rsidRPr="00DC77FD">
        <w:rPr>
          <w:rFonts w:ascii="Arial" w:hAnsi="Arial" w:cs="Arial"/>
          <w:sz w:val="22"/>
          <w:szCs w:val="22"/>
          <w:vertAlign w:val="superscript"/>
        </w:rPr>
        <w:t>2</w:t>
      </w:r>
      <w:r w:rsidRPr="00DC77FD">
        <w:rPr>
          <w:rFonts w:ascii="Arial" w:hAnsi="Arial" w:cs="Arial"/>
          <w:sz w:val="22"/>
          <w:szCs w:val="22"/>
        </w:rPr>
        <w:t>.</w:t>
      </w:r>
    </w:p>
    <w:p w14:paraId="40F8C687" w14:textId="77777777" w:rsidR="0064187B" w:rsidRPr="002B0E58" w:rsidRDefault="0064187B" w:rsidP="0064187B">
      <w:pPr>
        <w:rPr>
          <w:rFonts w:ascii="Calibri" w:hAnsi="Calibri" w:cs="Calibri"/>
        </w:rPr>
      </w:pPr>
    </w:p>
    <w:p w14:paraId="22E5105F" w14:textId="77777777" w:rsidR="0064187B" w:rsidRDefault="0064187B" w:rsidP="0064187B">
      <w:r>
        <w:t xml:space="preserve">References: </w:t>
      </w:r>
    </w:p>
    <w:p w14:paraId="48B1D27F" w14:textId="77777777" w:rsidR="0064187B" w:rsidRDefault="00BA09BC" w:rsidP="00C04FF1">
      <w:pPr>
        <w:pStyle w:val="ListParagraph"/>
        <w:numPr>
          <w:ilvl w:val="0"/>
          <w:numId w:val="137"/>
        </w:numPr>
        <w:spacing w:line="276" w:lineRule="auto"/>
      </w:pPr>
      <w:hyperlink r:id="rId38" w:history="1">
        <w:r w:rsidR="0064187B">
          <w:rPr>
            <w:rStyle w:val="Hyperlink"/>
          </w:rPr>
          <w:t>https://informme.org.au/Guidelines/Clinical-Guidelines-for-Stroke-Management-2017</w:t>
        </w:r>
      </w:hyperlink>
    </w:p>
    <w:p w14:paraId="68E51EA3" w14:textId="77777777" w:rsidR="0064187B" w:rsidRDefault="00BA09BC" w:rsidP="00C04FF1">
      <w:pPr>
        <w:pStyle w:val="ListParagraph"/>
        <w:numPr>
          <w:ilvl w:val="0"/>
          <w:numId w:val="137"/>
        </w:numPr>
        <w:spacing w:line="276" w:lineRule="auto"/>
      </w:pPr>
      <w:hyperlink r:id="rId39" w:history="1">
        <w:r w:rsidR="0064187B" w:rsidRPr="00542CEC">
          <w:rPr>
            <w:color w:val="0000FF"/>
            <w:u w:val="single"/>
          </w:rPr>
          <w:t>https://strokenetwork.org.nz/Nurse%20Working%20Group</w:t>
        </w:r>
      </w:hyperlink>
    </w:p>
    <w:p w14:paraId="38D53E83" w14:textId="77777777" w:rsidR="0064187B" w:rsidRDefault="0064187B" w:rsidP="0064187B">
      <w:r>
        <w:tab/>
      </w:r>
    </w:p>
    <w:p w14:paraId="67CC059F" w14:textId="77777777" w:rsidR="0064187B" w:rsidRPr="00033F7E" w:rsidRDefault="0064187B" w:rsidP="0064187B"/>
    <w:p w14:paraId="1900A365" w14:textId="77777777" w:rsidR="0064187B" w:rsidRDefault="0064187B" w:rsidP="0064187B">
      <w:pPr>
        <w:rPr>
          <w:rFonts w:ascii="Arial" w:hAnsi="Arial" w:cs="Arial"/>
          <w:sz w:val="32"/>
          <w:szCs w:val="32"/>
          <w:u w:val="dotted"/>
        </w:rPr>
      </w:pPr>
      <w:r>
        <w:rPr>
          <w:rFonts w:ascii="Arial" w:hAnsi="Arial" w:cs="Arial"/>
          <w:sz w:val="32"/>
          <w:szCs w:val="32"/>
          <w:u w:val="dotted"/>
        </w:rPr>
        <w:br w:type="page"/>
      </w:r>
    </w:p>
    <w:p w14:paraId="48890C1E" w14:textId="77777777" w:rsidR="0064187B" w:rsidRDefault="0064187B" w:rsidP="0064187B">
      <w:pPr>
        <w:jc w:val="center"/>
        <w:rPr>
          <w:rFonts w:ascii="Arial" w:hAnsi="Arial" w:cs="Arial"/>
          <w:sz w:val="32"/>
          <w:szCs w:val="32"/>
          <w:u w:val="dotted"/>
        </w:rPr>
      </w:pPr>
      <w:r w:rsidRPr="001004B2">
        <w:rPr>
          <w:rFonts w:ascii="Arial" w:hAnsi="Arial" w:cs="Arial"/>
          <w:sz w:val="32"/>
          <w:szCs w:val="32"/>
          <w:u w:val="dotted"/>
        </w:rPr>
        <w:lastRenderedPageBreak/>
        <w:t xml:space="preserve">In-patient and Community Stroke Rehabilitation </w:t>
      </w:r>
      <w:r>
        <w:rPr>
          <w:rFonts w:ascii="Arial" w:hAnsi="Arial" w:cs="Arial"/>
          <w:sz w:val="32"/>
          <w:szCs w:val="32"/>
          <w:u w:val="dotted"/>
        </w:rPr>
        <w:t>M</w:t>
      </w:r>
      <w:r w:rsidRPr="001004B2">
        <w:rPr>
          <w:rFonts w:ascii="Arial" w:hAnsi="Arial" w:cs="Arial"/>
          <w:sz w:val="32"/>
          <w:szCs w:val="32"/>
          <w:u w:val="dotted"/>
        </w:rPr>
        <w:t xml:space="preserve">inimum </w:t>
      </w:r>
      <w:r>
        <w:rPr>
          <w:rFonts w:ascii="Arial" w:hAnsi="Arial" w:cs="Arial"/>
          <w:sz w:val="32"/>
          <w:szCs w:val="32"/>
          <w:u w:val="dotted"/>
        </w:rPr>
        <w:t>E</w:t>
      </w:r>
      <w:r w:rsidRPr="001004B2">
        <w:rPr>
          <w:rFonts w:ascii="Arial" w:hAnsi="Arial" w:cs="Arial"/>
          <w:sz w:val="32"/>
          <w:szCs w:val="32"/>
          <w:u w:val="dotted"/>
        </w:rPr>
        <w:t>xpectations for DHBs</w:t>
      </w:r>
    </w:p>
    <w:p w14:paraId="4CA2BE1A" w14:textId="77777777" w:rsidR="0064187B" w:rsidRDefault="0064187B" w:rsidP="0064187B">
      <w:pPr>
        <w:pStyle w:val="ListParagraph"/>
        <w:ind w:left="0"/>
        <w:rPr>
          <w:rFonts w:ascii="Arial" w:hAnsi="Arial" w:cs="Arial"/>
          <w:sz w:val="22"/>
          <w:szCs w:val="22"/>
        </w:rPr>
      </w:pPr>
    </w:p>
    <w:p w14:paraId="1A63D82B" w14:textId="77777777" w:rsidR="0064187B" w:rsidRPr="001004B2" w:rsidRDefault="0064187B" w:rsidP="0064187B">
      <w:pPr>
        <w:pStyle w:val="ListParagraph"/>
        <w:ind w:left="0"/>
        <w:rPr>
          <w:rFonts w:ascii="Arial" w:hAnsi="Arial" w:cs="Arial"/>
          <w:sz w:val="22"/>
          <w:szCs w:val="22"/>
        </w:rPr>
      </w:pPr>
      <w:r w:rsidRPr="001004B2">
        <w:rPr>
          <w:rFonts w:ascii="Arial" w:hAnsi="Arial" w:cs="Arial"/>
          <w:sz w:val="22"/>
          <w:szCs w:val="22"/>
        </w:rPr>
        <w:t>These expectations are based on the “NZ Organised Stroke Rehabilitation Service Specifications” document (in-patient and community) prepared by the National</w:t>
      </w:r>
      <w:r>
        <w:rPr>
          <w:rFonts w:ascii="Arial" w:hAnsi="Arial" w:cs="Arial"/>
          <w:sz w:val="22"/>
          <w:szCs w:val="22"/>
        </w:rPr>
        <w:t xml:space="preserve"> Stroke Network in December 2014.</w:t>
      </w:r>
    </w:p>
    <w:p w14:paraId="0368B29B" w14:textId="77777777" w:rsidR="0064187B" w:rsidRPr="00362CB3" w:rsidRDefault="0064187B" w:rsidP="0064187B">
      <w:pPr>
        <w:rPr>
          <w:rFonts w:ascii="Arial" w:hAnsi="Arial" w:cs="Arial"/>
          <w:sz w:val="28"/>
          <w:szCs w:val="28"/>
          <w:u w:val="dotted"/>
        </w:rPr>
      </w:pPr>
    </w:p>
    <w:p w14:paraId="629894A3" w14:textId="77777777" w:rsidR="0064187B" w:rsidRPr="001004B2" w:rsidRDefault="0064187B" w:rsidP="0064187B">
      <w:pPr>
        <w:jc w:val="center"/>
        <w:rPr>
          <w:rFonts w:ascii="Arial" w:hAnsi="Arial" w:cs="Arial"/>
          <w:sz w:val="32"/>
          <w:szCs w:val="32"/>
          <w:u w:val="dotted"/>
        </w:rPr>
      </w:pPr>
    </w:p>
    <w:p w14:paraId="128B1120" w14:textId="77777777" w:rsidR="0064187B" w:rsidRPr="001004B2" w:rsidRDefault="0064187B" w:rsidP="0064187B">
      <w:pPr>
        <w:jc w:val="center"/>
        <w:rPr>
          <w:rFonts w:ascii="Arial" w:hAnsi="Arial" w:cs="Arial"/>
          <w:sz w:val="32"/>
          <w:szCs w:val="32"/>
        </w:rPr>
      </w:pPr>
      <w:r w:rsidRPr="001004B2">
        <w:rPr>
          <w:rFonts w:ascii="Arial" w:hAnsi="Arial" w:cs="Arial"/>
          <w:sz w:val="32"/>
          <w:szCs w:val="32"/>
          <w:u w:val="dotted"/>
        </w:rPr>
        <w:t>‘Organised</w:t>
      </w:r>
      <w:r w:rsidRPr="001004B2">
        <w:rPr>
          <w:rFonts w:ascii="Arial" w:hAnsi="Arial" w:cs="Arial"/>
          <w:sz w:val="32"/>
          <w:szCs w:val="32"/>
        </w:rPr>
        <w:t xml:space="preserve"> Inpatient Stroke Rehabilitation Service’</w:t>
      </w:r>
    </w:p>
    <w:p w14:paraId="7C1CBF47" w14:textId="77777777" w:rsidR="0064187B" w:rsidRPr="001004B2" w:rsidRDefault="0064187B" w:rsidP="0064187B">
      <w:pPr>
        <w:jc w:val="center"/>
        <w:rPr>
          <w:rFonts w:ascii="Arial" w:hAnsi="Arial" w:cs="Arial"/>
          <w:sz w:val="32"/>
          <w:szCs w:val="32"/>
        </w:rPr>
      </w:pPr>
      <w:r w:rsidRPr="001004B2">
        <w:rPr>
          <w:rFonts w:ascii="Arial" w:hAnsi="Arial" w:cs="Arial"/>
          <w:sz w:val="32"/>
          <w:szCs w:val="32"/>
          <w:u w:val="dotted"/>
        </w:rPr>
        <w:t xml:space="preserve">Minimum Expectations </w:t>
      </w:r>
    </w:p>
    <w:p w14:paraId="75E31202" w14:textId="77777777" w:rsidR="0064187B" w:rsidRPr="001004B2" w:rsidRDefault="0064187B" w:rsidP="0064187B">
      <w:pPr>
        <w:jc w:val="center"/>
        <w:rPr>
          <w:rFonts w:ascii="Arial" w:hAnsi="Arial" w:cs="Arial"/>
          <w:sz w:val="22"/>
          <w:szCs w:val="22"/>
        </w:rPr>
      </w:pPr>
    </w:p>
    <w:p w14:paraId="2336C373"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On-site availability of core stroke rehabilitation team members (Doctor, Nurse, Physiotherapist, Occupational Therapist, Speech and Language Therapist, Social Worker)</w:t>
      </w:r>
    </w:p>
    <w:p w14:paraId="06F4DBD6"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Co-location of all adult ages stroke rehabilitation beds on a single rehabilitation ward</w:t>
      </w:r>
    </w:p>
    <w:p w14:paraId="7AA25809"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 xml:space="preserve">Regular inter-disciplinary meeting with documented goal setting at least once per week </w:t>
      </w:r>
    </w:p>
    <w:p w14:paraId="4118536C"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Written clinical guidelines for shoulder pain, continence, mood, falls, pressure injuries, dysphagia, nutrition and aphasia available and accessible to staff</w:t>
      </w:r>
    </w:p>
    <w:p w14:paraId="5D451D57"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Documented goal specific rehabilitation plan for each patient that is developed in conjunction with the patient and their family</w:t>
      </w:r>
    </w:p>
    <w:p w14:paraId="3F837AE8"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Written stroke education for patients, families, and carers available on ward</w:t>
      </w:r>
    </w:p>
    <w:p w14:paraId="320EEA21"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Pre-discharge education and training for family/carers completed and documented for each patient prior to discharge</w:t>
      </w:r>
    </w:p>
    <w:p w14:paraId="0138B149"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 xml:space="preserve">Regular measurement and documentation of rehab intensity (i.e. time patient spends in active rehabilitation grouped by provider – e.g. PT, SLT, RN, therapy assistant) </w:t>
      </w:r>
    </w:p>
    <w:p w14:paraId="76F5E0F5"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 xml:space="preserve">Participation in AROC data collection in addition to regular reporting of </w:t>
      </w:r>
      <w:proofErr w:type="spellStart"/>
      <w:r w:rsidRPr="001004B2">
        <w:rPr>
          <w:rFonts w:ascii="Arial" w:hAnsi="Arial" w:cs="Arial"/>
          <w:sz w:val="22"/>
          <w:szCs w:val="22"/>
        </w:rPr>
        <w:t>MoH</w:t>
      </w:r>
      <w:proofErr w:type="spellEnd"/>
      <w:r w:rsidRPr="001004B2">
        <w:rPr>
          <w:rFonts w:ascii="Arial" w:hAnsi="Arial" w:cs="Arial"/>
          <w:sz w:val="22"/>
          <w:szCs w:val="22"/>
        </w:rPr>
        <w:t xml:space="preserve"> stroke KPIs</w:t>
      </w:r>
    </w:p>
    <w:p w14:paraId="51C413FC"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 xml:space="preserve">Annual audit of at least one additional aspect of stroke rehabilitation services </w:t>
      </w:r>
    </w:p>
    <w:p w14:paraId="6A3F8F06" w14:textId="77777777" w:rsidR="0064187B" w:rsidRPr="001004B2"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Stroke specific education for core clinical staff available (minimum 8 hours per year)</w:t>
      </w:r>
    </w:p>
    <w:p w14:paraId="235EC946" w14:textId="77777777" w:rsidR="0064187B" w:rsidRPr="00AD5B16" w:rsidRDefault="0064187B" w:rsidP="00C04FF1">
      <w:pPr>
        <w:pStyle w:val="ListParagraph"/>
        <w:numPr>
          <w:ilvl w:val="0"/>
          <w:numId w:val="47"/>
        </w:numPr>
        <w:spacing w:after="200" w:line="276" w:lineRule="auto"/>
        <w:rPr>
          <w:rFonts w:ascii="Arial" w:hAnsi="Arial" w:cs="Arial"/>
          <w:sz w:val="22"/>
          <w:szCs w:val="22"/>
        </w:rPr>
      </w:pPr>
      <w:r w:rsidRPr="001004B2">
        <w:rPr>
          <w:rFonts w:ascii="Arial" w:hAnsi="Arial" w:cs="Arial"/>
          <w:sz w:val="22"/>
          <w:szCs w:val="22"/>
        </w:rPr>
        <w:t>Access as required to a clinical psychologist, dietician, pharmacist, and service co-ordinator/NASC</w:t>
      </w:r>
      <w:r w:rsidRPr="00AD5B16">
        <w:rPr>
          <w:rFonts w:ascii="Arial" w:hAnsi="Arial" w:cs="Arial"/>
          <w:sz w:val="22"/>
          <w:szCs w:val="22"/>
        </w:rPr>
        <w:br w:type="page"/>
      </w:r>
    </w:p>
    <w:p w14:paraId="065C5215" w14:textId="77777777" w:rsidR="0064187B" w:rsidRPr="001004B2" w:rsidRDefault="0064187B" w:rsidP="0064187B">
      <w:pPr>
        <w:jc w:val="center"/>
        <w:rPr>
          <w:rFonts w:ascii="Arial" w:hAnsi="Arial" w:cs="Arial"/>
          <w:sz w:val="32"/>
          <w:szCs w:val="32"/>
        </w:rPr>
      </w:pPr>
      <w:r w:rsidRPr="001004B2">
        <w:rPr>
          <w:rFonts w:ascii="Arial" w:hAnsi="Arial" w:cs="Arial"/>
          <w:sz w:val="32"/>
          <w:szCs w:val="32"/>
        </w:rPr>
        <w:lastRenderedPageBreak/>
        <w:t xml:space="preserve"> ‘</w:t>
      </w:r>
      <w:r>
        <w:rPr>
          <w:rFonts w:ascii="Arial" w:hAnsi="Arial" w:cs="Arial"/>
          <w:sz w:val="32"/>
          <w:szCs w:val="32"/>
        </w:rPr>
        <w:t xml:space="preserve">Organised </w:t>
      </w:r>
      <w:r w:rsidRPr="001004B2">
        <w:rPr>
          <w:rFonts w:ascii="Arial" w:hAnsi="Arial" w:cs="Arial"/>
          <w:sz w:val="32"/>
          <w:szCs w:val="32"/>
        </w:rPr>
        <w:t>Community Stroke Rehabilitation Service’</w:t>
      </w:r>
    </w:p>
    <w:p w14:paraId="1EC5A654" w14:textId="77777777" w:rsidR="0064187B" w:rsidRPr="001004B2" w:rsidRDefault="0064187B" w:rsidP="0064187B">
      <w:pPr>
        <w:jc w:val="center"/>
        <w:rPr>
          <w:rFonts w:ascii="Arial" w:hAnsi="Arial" w:cs="Arial"/>
          <w:sz w:val="32"/>
          <w:szCs w:val="32"/>
        </w:rPr>
      </w:pPr>
      <w:r w:rsidRPr="001004B2">
        <w:rPr>
          <w:rFonts w:ascii="Arial" w:hAnsi="Arial" w:cs="Arial"/>
          <w:sz w:val="32"/>
          <w:szCs w:val="32"/>
        </w:rPr>
        <w:t xml:space="preserve">Minimum </w:t>
      </w:r>
      <w:r>
        <w:rPr>
          <w:rFonts w:ascii="Arial" w:hAnsi="Arial" w:cs="Arial"/>
          <w:sz w:val="32"/>
          <w:szCs w:val="32"/>
        </w:rPr>
        <w:t>E</w:t>
      </w:r>
      <w:r w:rsidRPr="001004B2">
        <w:rPr>
          <w:rFonts w:ascii="Arial" w:hAnsi="Arial" w:cs="Arial"/>
          <w:sz w:val="32"/>
          <w:szCs w:val="32"/>
        </w:rPr>
        <w:t>xpectations</w:t>
      </w:r>
    </w:p>
    <w:p w14:paraId="1F8AAEEC" w14:textId="77777777" w:rsidR="0064187B" w:rsidRPr="001004B2" w:rsidRDefault="0064187B" w:rsidP="0064187B">
      <w:pPr>
        <w:rPr>
          <w:rFonts w:ascii="Arial" w:hAnsi="Arial" w:cs="Arial"/>
          <w:sz w:val="22"/>
          <w:szCs w:val="22"/>
        </w:rPr>
      </w:pPr>
      <w:r w:rsidRPr="001004B2">
        <w:rPr>
          <w:rFonts w:ascii="Arial" w:hAnsi="Arial" w:cs="Arial"/>
          <w:sz w:val="22"/>
          <w:szCs w:val="22"/>
        </w:rPr>
        <w:t>April 2017</w:t>
      </w:r>
    </w:p>
    <w:p w14:paraId="26655560"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An interdisciplinary community rehabilitation team with stroke specific skills, who support people with stroke to transition seamlessly into the community.</w:t>
      </w:r>
    </w:p>
    <w:p w14:paraId="1888FBD9"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The team includes the following members:</w:t>
      </w:r>
    </w:p>
    <w:p w14:paraId="5A32819B" w14:textId="77777777" w:rsidR="0064187B" w:rsidRPr="001004B2" w:rsidRDefault="0064187B" w:rsidP="00C04FF1">
      <w:pPr>
        <w:pStyle w:val="ListParagraph"/>
        <w:numPr>
          <w:ilvl w:val="1"/>
          <w:numId w:val="130"/>
        </w:numPr>
        <w:spacing w:after="200" w:line="276" w:lineRule="auto"/>
        <w:rPr>
          <w:rFonts w:ascii="Arial" w:hAnsi="Arial" w:cs="Arial"/>
          <w:sz w:val="22"/>
          <w:szCs w:val="22"/>
        </w:rPr>
      </w:pPr>
      <w:r w:rsidRPr="001004B2">
        <w:rPr>
          <w:rFonts w:ascii="Arial" w:hAnsi="Arial" w:cs="Arial"/>
          <w:sz w:val="22"/>
          <w:szCs w:val="22"/>
        </w:rPr>
        <w:t>Nurse Specialist or Speciality Nurse</w:t>
      </w:r>
    </w:p>
    <w:p w14:paraId="5EA305FA" w14:textId="77777777" w:rsidR="0064187B" w:rsidRPr="001004B2" w:rsidRDefault="0064187B" w:rsidP="00C04FF1">
      <w:pPr>
        <w:pStyle w:val="ListParagraph"/>
        <w:numPr>
          <w:ilvl w:val="1"/>
          <w:numId w:val="130"/>
        </w:numPr>
        <w:spacing w:after="200" w:line="276" w:lineRule="auto"/>
        <w:rPr>
          <w:rFonts w:ascii="Arial" w:hAnsi="Arial" w:cs="Arial"/>
          <w:sz w:val="22"/>
          <w:szCs w:val="22"/>
        </w:rPr>
      </w:pPr>
      <w:r w:rsidRPr="001004B2">
        <w:rPr>
          <w:rFonts w:ascii="Arial" w:hAnsi="Arial" w:cs="Arial"/>
          <w:sz w:val="22"/>
          <w:szCs w:val="22"/>
        </w:rPr>
        <w:t>Allied Health Professionals (including PT, OT, SLT and social work) with expertise in stroke</w:t>
      </w:r>
    </w:p>
    <w:p w14:paraId="2F292C86" w14:textId="77777777" w:rsidR="0064187B" w:rsidRPr="001004B2" w:rsidRDefault="0064187B" w:rsidP="00C04FF1">
      <w:pPr>
        <w:pStyle w:val="ListParagraph"/>
        <w:numPr>
          <w:ilvl w:val="1"/>
          <w:numId w:val="130"/>
        </w:numPr>
        <w:spacing w:after="200" w:line="276" w:lineRule="auto"/>
        <w:rPr>
          <w:rFonts w:ascii="Arial" w:hAnsi="Arial" w:cs="Arial"/>
          <w:sz w:val="22"/>
          <w:szCs w:val="22"/>
        </w:rPr>
      </w:pPr>
      <w:r w:rsidRPr="001004B2">
        <w:rPr>
          <w:rFonts w:ascii="Arial" w:hAnsi="Arial" w:cs="Arial"/>
          <w:sz w:val="22"/>
          <w:szCs w:val="22"/>
        </w:rPr>
        <w:t>Medical practitioner with expertise in stroke medicine</w:t>
      </w:r>
    </w:p>
    <w:p w14:paraId="599DEF50" w14:textId="77777777" w:rsidR="0064187B" w:rsidRPr="001004B2" w:rsidRDefault="0064187B" w:rsidP="00C04FF1">
      <w:pPr>
        <w:pStyle w:val="ListParagraph"/>
        <w:numPr>
          <w:ilvl w:val="1"/>
          <w:numId w:val="130"/>
        </w:numPr>
        <w:spacing w:after="200" w:line="276" w:lineRule="auto"/>
        <w:rPr>
          <w:rFonts w:ascii="Arial" w:hAnsi="Arial" w:cs="Arial"/>
          <w:sz w:val="22"/>
          <w:szCs w:val="22"/>
        </w:rPr>
      </w:pPr>
      <w:r w:rsidRPr="001004B2">
        <w:rPr>
          <w:rFonts w:ascii="Arial" w:hAnsi="Arial" w:cs="Arial"/>
          <w:sz w:val="22"/>
          <w:szCs w:val="22"/>
        </w:rPr>
        <w:t>Access to, dietetics, psychology and NASC as required</w:t>
      </w:r>
    </w:p>
    <w:p w14:paraId="1AF2B9B7"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Team members have access to stroke specific training (minimum 8 hrs/ year)</w:t>
      </w:r>
    </w:p>
    <w:p w14:paraId="6CCB594D"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A single point of entry for referrals for all adult stroke service users and health professionals</w:t>
      </w:r>
    </w:p>
    <w:p w14:paraId="502DC52D"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Work in partnership with the patient and family/Whanau to enhance autonomy and self-management, with use of ‘homework’ to increase intensity of practice and activity levels</w:t>
      </w:r>
    </w:p>
    <w:p w14:paraId="06F21FE6"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Documented goal specific rehabilitation plans for each patient that are developed in</w:t>
      </w:r>
      <w:r>
        <w:rPr>
          <w:rFonts w:ascii="Arial" w:hAnsi="Arial" w:cs="Arial"/>
          <w:sz w:val="22"/>
          <w:szCs w:val="22"/>
        </w:rPr>
        <w:t xml:space="preserve"> </w:t>
      </w:r>
    </w:p>
    <w:p w14:paraId="11BE7826" w14:textId="77777777" w:rsidR="0064187B" w:rsidRPr="001004B2" w:rsidRDefault="0064187B" w:rsidP="0064187B">
      <w:pPr>
        <w:pStyle w:val="ListParagraph"/>
        <w:rPr>
          <w:rFonts w:ascii="Arial" w:hAnsi="Arial" w:cs="Arial"/>
          <w:sz w:val="22"/>
          <w:szCs w:val="22"/>
        </w:rPr>
      </w:pPr>
      <w:r w:rsidRPr="001004B2">
        <w:rPr>
          <w:rFonts w:ascii="Arial" w:hAnsi="Arial" w:cs="Arial"/>
          <w:sz w:val="22"/>
          <w:szCs w:val="22"/>
        </w:rPr>
        <w:t>conjunction with the patient and their family</w:t>
      </w:r>
    </w:p>
    <w:p w14:paraId="5314091E"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Ability to deliver up to three sessions per week of Physiotherapy, Occupational Therapy or Speech Language Therapy as needed in the first four weeks of the community rehabilitation* programme to work towards patient/family/</w:t>
      </w:r>
      <w:proofErr w:type="spellStart"/>
      <w:r w:rsidRPr="001004B2">
        <w:rPr>
          <w:rFonts w:ascii="Arial" w:hAnsi="Arial" w:cs="Arial"/>
          <w:sz w:val="22"/>
          <w:szCs w:val="22"/>
        </w:rPr>
        <w:t>whānau</w:t>
      </w:r>
      <w:proofErr w:type="spellEnd"/>
      <w:r w:rsidRPr="001004B2">
        <w:rPr>
          <w:rFonts w:ascii="Arial" w:hAnsi="Arial" w:cs="Arial"/>
          <w:sz w:val="22"/>
          <w:szCs w:val="22"/>
        </w:rPr>
        <w:t xml:space="preserve"> goals. Sessions may be delegated to trained therapy/rehabilitation assistants as appropriate.</w:t>
      </w:r>
    </w:p>
    <w:p w14:paraId="42AEB065"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A weekly interdisciplinary team meeting</w:t>
      </w:r>
    </w:p>
    <w:p w14:paraId="42B1ED21"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Strong links between the in-patient rehabilitation team and the community team to assist with discharge planning and to discuss long term goals for the patient’s rehabilitation once they are in a community setting</w:t>
      </w:r>
    </w:p>
    <w:p w14:paraId="3EE2EE0B" w14:textId="77777777" w:rsidR="0064187B" w:rsidRPr="001004B2" w:rsidRDefault="0064187B" w:rsidP="00C04FF1">
      <w:pPr>
        <w:pStyle w:val="ListParagraph"/>
        <w:numPr>
          <w:ilvl w:val="0"/>
          <w:numId w:val="130"/>
        </w:numPr>
        <w:spacing w:after="200" w:line="276" w:lineRule="auto"/>
        <w:rPr>
          <w:rFonts w:ascii="Arial" w:hAnsi="Arial" w:cs="Arial"/>
          <w:sz w:val="22"/>
          <w:szCs w:val="22"/>
        </w:rPr>
      </w:pPr>
      <w:r w:rsidRPr="001004B2">
        <w:rPr>
          <w:rFonts w:ascii="Arial" w:hAnsi="Arial" w:cs="Arial"/>
          <w:sz w:val="22"/>
          <w:szCs w:val="22"/>
        </w:rPr>
        <w:t>Established processes for communicating effectively with GPs, other primary care providers and the Stroke Foundation and options for ongoing rehabilitation in the community.</w:t>
      </w:r>
    </w:p>
    <w:p w14:paraId="22D2FAC8" w14:textId="77777777" w:rsidR="0064187B" w:rsidRPr="001004B2" w:rsidRDefault="0064187B" w:rsidP="0064187B">
      <w:pPr>
        <w:pStyle w:val="ListParagraph"/>
        <w:rPr>
          <w:rFonts w:ascii="Arial" w:hAnsi="Arial" w:cs="Arial"/>
          <w:sz w:val="22"/>
          <w:szCs w:val="22"/>
        </w:rPr>
      </w:pPr>
    </w:p>
    <w:p w14:paraId="12EB9BE2" w14:textId="77777777" w:rsidR="0064187B" w:rsidRPr="001004B2" w:rsidRDefault="0064187B" w:rsidP="0064187B">
      <w:pPr>
        <w:pStyle w:val="ListParagraph"/>
        <w:ind w:left="0"/>
        <w:rPr>
          <w:rFonts w:ascii="Arial" w:hAnsi="Arial" w:cs="Arial"/>
          <w:i/>
          <w:sz w:val="22"/>
          <w:szCs w:val="22"/>
        </w:rPr>
      </w:pPr>
      <w:r w:rsidRPr="001004B2">
        <w:rPr>
          <w:rFonts w:ascii="Arial" w:hAnsi="Arial" w:cs="Arial"/>
          <w:i/>
          <w:sz w:val="22"/>
          <w:szCs w:val="22"/>
        </w:rPr>
        <w:t>*Sessions can be held in individuals own home, outpatient setting or other community setting depending on the individual’s needs.</w:t>
      </w:r>
    </w:p>
    <w:p w14:paraId="73C7DCAE" w14:textId="77777777" w:rsidR="0064187B" w:rsidRDefault="0064187B" w:rsidP="0064187B">
      <w:pPr>
        <w:rPr>
          <w:sz w:val="28"/>
          <w:szCs w:val="28"/>
        </w:rPr>
      </w:pPr>
    </w:p>
    <w:p w14:paraId="6D628209" w14:textId="77777777" w:rsidR="0064187B" w:rsidRPr="00F00D0A" w:rsidRDefault="0064187B" w:rsidP="00F00D0A">
      <w:pPr>
        <w:tabs>
          <w:tab w:val="left" w:pos="1005"/>
        </w:tabs>
        <w:rPr>
          <w:rFonts w:ascii="Arial" w:hAnsi="Arial" w:cs="Arial"/>
        </w:rPr>
      </w:pPr>
    </w:p>
    <w:sectPr w:rsidR="0064187B" w:rsidRPr="00F00D0A" w:rsidSect="002259B6">
      <w:headerReference w:type="default" r:id="rId40"/>
      <w:footerReference w:type="even" r:id="rId41"/>
      <w:footerReference w:type="default" r:id="rId42"/>
      <w:headerReference w:type="first" r:id="rId43"/>
      <w:footerReference w:type="first" r:id="rId44"/>
      <w:pgSz w:w="11906" w:h="16838"/>
      <w:pgMar w:top="709" w:right="84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DC16" w14:textId="77777777" w:rsidR="008F082B" w:rsidRDefault="008F082B">
      <w:r>
        <w:separator/>
      </w:r>
    </w:p>
  </w:endnote>
  <w:endnote w:type="continuationSeparator" w:id="0">
    <w:p w14:paraId="1363CEFC" w14:textId="77777777" w:rsidR="008F082B" w:rsidRDefault="008F082B">
      <w:r>
        <w:continuationSeparator/>
      </w:r>
    </w:p>
  </w:endnote>
  <w:endnote w:type="continuationNotice" w:id="1">
    <w:p w14:paraId="15E717B1" w14:textId="77777777" w:rsidR="008F082B" w:rsidRDefault="008F0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ZWAdobeF">
    <w:altName w:val="Times New Roman"/>
    <w:charset w:val="00"/>
    <w:family w:val="auto"/>
    <w:pitch w:val="variable"/>
    <w:sig w:usb0="20002A85"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E1E2" w14:textId="77777777" w:rsidR="00AF0F9D" w:rsidRDefault="00AF0F9D" w:rsidP="00F21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78CC5" w14:textId="77777777" w:rsidR="00AF0F9D" w:rsidRDefault="00AF0F9D" w:rsidP="00F21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B432" w14:textId="77777777" w:rsidR="00AF0F9D" w:rsidRDefault="00AF0F9D">
    <w:pPr>
      <w:pStyle w:val="Footer"/>
      <w:jc w:val="right"/>
    </w:pPr>
    <w:r>
      <w:fldChar w:fldCharType="begin"/>
    </w:r>
    <w:r>
      <w:instrText xml:space="preserve"> PAGE   \* MERGEFORMAT </w:instrText>
    </w:r>
    <w:r>
      <w:fldChar w:fldCharType="separate"/>
    </w:r>
    <w:r>
      <w:rPr>
        <w:noProof/>
      </w:rPr>
      <w:t>58</w:t>
    </w:r>
    <w:r>
      <w:rPr>
        <w:noProof/>
      </w:rPr>
      <w:fldChar w:fldCharType="end"/>
    </w:r>
  </w:p>
  <w:p w14:paraId="3313D6AE" w14:textId="77777777" w:rsidR="00AF0F9D" w:rsidRPr="00F67A69" w:rsidRDefault="00AF0F9D" w:rsidP="00F21A12">
    <w:pPr>
      <w:pStyle w:val="Footer"/>
      <w:ind w:right="-56"/>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C89F" w14:textId="77777777" w:rsidR="00AF0F9D" w:rsidRDefault="00AF0F9D">
    <w:pPr>
      <w:pStyle w:val="Footer"/>
      <w:jc w:val="right"/>
    </w:pPr>
    <w:r>
      <w:fldChar w:fldCharType="begin"/>
    </w:r>
    <w:r>
      <w:instrText xml:space="preserve"> PAGE   \* MERGEFORMAT </w:instrText>
    </w:r>
    <w:r>
      <w:fldChar w:fldCharType="separate"/>
    </w:r>
    <w:r>
      <w:rPr>
        <w:noProof/>
      </w:rPr>
      <w:t>15</w:t>
    </w:r>
    <w:r>
      <w:rPr>
        <w:noProof/>
      </w:rPr>
      <w:fldChar w:fldCharType="end"/>
    </w:r>
  </w:p>
  <w:p w14:paraId="52E16B54" w14:textId="77777777" w:rsidR="00AF0F9D" w:rsidRDefault="00AF0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D9C76" w14:textId="77777777" w:rsidR="008F082B" w:rsidRDefault="008F082B">
      <w:r>
        <w:separator/>
      </w:r>
    </w:p>
  </w:footnote>
  <w:footnote w:type="continuationSeparator" w:id="0">
    <w:p w14:paraId="65E500E1" w14:textId="77777777" w:rsidR="008F082B" w:rsidRDefault="008F082B">
      <w:r>
        <w:continuationSeparator/>
      </w:r>
    </w:p>
  </w:footnote>
  <w:footnote w:type="continuationNotice" w:id="1">
    <w:p w14:paraId="76D96701" w14:textId="77777777" w:rsidR="008F082B" w:rsidRDefault="008F082B"/>
  </w:footnote>
  <w:footnote w:id="2">
    <w:p w14:paraId="3509FCC5" w14:textId="77777777" w:rsidR="00AF0F9D" w:rsidRDefault="00AF0F9D" w:rsidP="00B116B8">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It is acknowledged that use of the “prioritised ethnicity” approach is not consistent with New Zealand’s </w:t>
      </w:r>
      <w:hyperlink r:id="rId1" w:history="1">
        <w:r>
          <w:rPr>
            <w:rStyle w:val="Hyperlink"/>
            <w:rFonts w:ascii="Arial" w:hAnsi="Arial" w:cs="Arial"/>
            <w:sz w:val="18"/>
            <w:szCs w:val="18"/>
          </w:rPr>
          <w:t>Statistical Standard for Ethnicity</w:t>
        </w:r>
      </w:hyperlink>
      <w:r>
        <w:rPr>
          <w:rFonts w:ascii="Arial" w:hAnsi="Arial" w:cs="Arial"/>
          <w:sz w:val="18"/>
          <w:szCs w:val="18"/>
        </w:rPr>
        <w:t>; but it is considered that this approach is acceptable given that:</w:t>
      </w:r>
    </w:p>
    <w:p w14:paraId="5B32DFB7" w14:textId="77777777" w:rsidR="00AF0F9D" w:rsidRDefault="00AF0F9D" w:rsidP="00B116B8">
      <w:pPr>
        <w:pStyle w:val="FootnoteText"/>
        <w:numPr>
          <w:ilvl w:val="0"/>
          <w:numId w:val="25"/>
        </w:numPr>
        <w:rPr>
          <w:rFonts w:ascii="Arial" w:hAnsi="Arial" w:cs="Arial"/>
          <w:sz w:val="18"/>
          <w:szCs w:val="18"/>
        </w:rPr>
      </w:pPr>
      <w:r>
        <w:rPr>
          <w:rFonts w:ascii="Arial" w:hAnsi="Arial" w:cs="Arial"/>
          <w:sz w:val="18"/>
          <w:szCs w:val="18"/>
        </w:rPr>
        <w:t xml:space="preserve">the historical use of this approach in the long-term data series since 1990 and </w:t>
      </w:r>
    </w:p>
    <w:p w14:paraId="49BD5AA1" w14:textId="77777777" w:rsidR="00AF0F9D" w:rsidRDefault="00AF0F9D" w:rsidP="00B116B8">
      <w:pPr>
        <w:pStyle w:val="FootnoteText"/>
        <w:numPr>
          <w:ilvl w:val="0"/>
          <w:numId w:val="25"/>
        </w:numPr>
        <w:rPr>
          <w:rFonts w:ascii="Arial" w:hAnsi="Arial" w:cs="Arial"/>
          <w:sz w:val="18"/>
          <w:szCs w:val="18"/>
        </w:rPr>
      </w:pPr>
      <w:r>
        <w:rPr>
          <w:rFonts w:ascii="Arial" w:hAnsi="Arial" w:cs="Arial"/>
          <w:sz w:val="18"/>
          <w:szCs w:val="18"/>
        </w:rPr>
        <w:t>the standard “total response” approach will not provide an accurate picture of the number of children examined by DHBs’ Community Oral Health Service and other contracted third party providers.</w:t>
      </w:r>
    </w:p>
  </w:footnote>
  <w:footnote w:id="3">
    <w:p w14:paraId="004AA297" w14:textId="77777777" w:rsidR="00AF0F9D" w:rsidRDefault="00AF0F9D" w:rsidP="00B116B8">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It is acknowledged that use of the “prioritised ethnicity” approach is not consistent with New Zealand’s </w:t>
      </w:r>
      <w:hyperlink r:id="rId2" w:history="1">
        <w:r>
          <w:rPr>
            <w:rStyle w:val="Hyperlink"/>
            <w:rFonts w:ascii="Arial" w:hAnsi="Arial" w:cs="Arial"/>
            <w:sz w:val="18"/>
            <w:szCs w:val="18"/>
          </w:rPr>
          <w:t>Statistical Standard for Ethnicity</w:t>
        </w:r>
      </w:hyperlink>
      <w:r>
        <w:rPr>
          <w:rFonts w:ascii="Arial" w:hAnsi="Arial" w:cs="Arial"/>
          <w:sz w:val="18"/>
          <w:szCs w:val="18"/>
        </w:rPr>
        <w:t>; but it is considered that this approach is acceptable given that:</w:t>
      </w:r>
    </w:p>
    <w:p w14:paraId="4A4C3500" w14:textId="77777777" w:rsidR="00AF0F9D" w:rsidRDefault="00AF0F9D" w:rsidP="00B116B8">
      <w:pPr>
        <w:pStyle w:val="FootnoteText"/>
        <w:numPr>
          <w:ilvl w:val="0"/>
          <w:numId w:val="25"/>
        </w:numPr>
        <w:rPr>
          <w:rFonts w:ascii="Arial" w:hAnsi="Arial" w:cs="Arial"/>
          <w:sz w:val="18"/>
          <w:szCs w:val="18"/>
        </w:rPr>
      </w:pPr>
      <w:r>
        <w:rPr>
          <w:rFonts w:ascii="Arial" w:hAnsi="Arial" w:cs="Arial"/>
          <w:sz w:val="18"/>
          <w:szCs w:val="18"/>
        </w:rPr>
        <w:t xml:space="preserve">the historical use of this approach in the long-term data series since 1990 and </w:t>
      </w:r>
    </w:p>
    <w:p w14:paraId="689A190A" w14:textId="77777777" w:rsidR="00AF0F9D" w:rsidRDefault="00AF0F9D" w:rsidP="00B116B8">
      <w:pPr>
        <w:pStyle w:val="FootnoteText"/>
        <w:numPr>
          <w:ilvl w:val="0"/>
          <w:numId w:val="25"/>
        </w:numPr>
        <w:rPr>
          <w:rFonts w:ascii="Arial" w:hAnsi="Arial" w:cs="Arial"/>
          <w:sz w:val="18"/>
          <w:szCs w:val="18"/>
        </w:rPr>
      </w:pPr>
      <w:r>
        <w:rPr>
          <w:rFonts w:ascii="Arial" w:hAnsi="Arial" w:cs="Arial"/>
          <w:sz w:val="18"/>
          <w:szCs w:val="18"/>
        </w:rPr>
        <w:t>the standard “total response” approach will not provide an accurate picture of the number of children examined by DHBs’ Community Oral Health Service and other contracted third party providers.</w:t>
      </w:r>
    </w:p>
  </w:footnote>
  <w:footnote w:id="4">
    <w:p w14:paraId="01722126" w14:textId="77777777" w:rsidR="007117E9" w:rsidRDefault="007117E9" w:rsidP="007117E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It is acknowledged that use of the “prioritised ethnicity” approach is not consistent with New Zealand’s </w:t>
      </w:r>
      <w:hyperlink r:id="rId3" w:history="1">
        <w:r>
          <w:rPr>
            <w:rStyle w:val="Hyperlink"/>
            <w:rFonts w:ascii="Arial" w:hAnsi="Arial" w:cs="Arial"/>
            <w:sz w:val="18"/>
            <w:szCs w:val="18"/>
          </w:rPr>
          <w:t>Statistical Standard for Ethnicity</w:t>
        </w:r>
      </w:hyperlink>
      <w:r>
        <w:rPr>
          <w:rFonts w:ascii="Arial" w:hAnsi="Arial" w:cs="Arial"/>
          <w:sz w:val="18"/>
          <w:szCs w:val="18"/>
        </w:rPr>
        <w:t>; but it is considered that this approach is acceptable given that:</w:t>
      </w:r>
    </w:p>
    <w:p w14:paraId="126E57DE" w14:textId="77777777" w:rsidR="007117E9" w:rsidRDefault="007117E9" w:rsidP="007117E9">
      <w:pPr>
        <w:pStyle w:val="FootnoteText"/>
        <w:numPr>
          <w:ilvl w:val="0"/>
          <w:numId w:val="25"/>
        </w:numPr>
        <w:rPr>
          <w:rFonts w:ascii="Arial" w:hAnsi="Arial" w:cs="Arial"/>
          <w:sz w:val="18"/>
          <w:szCs w:val="18"/>
        </w:rPr>
      </w:pPr>
      <w:r>
        <w:rPr>
          <w:rFonts w:ascii="Arial" w:hAnsi="Arial" w:cs="Arial"/>
          <w:sz w:val="18"/>
          <w:szCs w:val="18"/>
        </w:rPr>
        <w:t xml:space="preserve">the historical use of this approach in the long-term data series since 1990 and </w:t>
      </w:r>
    </w:p>
    <w:p w14:paraId="2E2DA7CF" w14:textId="77777777" w:rsidR="007117E9" w:rsidRDefault="007117E9" w:rsidP="007117E9">
      <w:pPr>
        <w:pStyle w:val="FootnoteText"/>
        <w:numPr>
          <w:ilvl w:val="0"/>
          <w:numId w:val="25"/>
        </w:numPr>
        <w:rPr>
          <w:rFonts w:ascii="Arial" w:hAnsi="Arial" w:cs="Arial"/>
          <w:sz w:val="18"/>
          <w:szCs w:val="18"/>
        </w:rPr>
      </w:pPr>
      <w:r>
        <w:rPr>
          <w:rFonts w:ascii="Arial" w:hAnsi="Arial" w:cs="Arial"/>
          <w:sz w:val="18"/>
          <w:szCs w:val="18"/>
        </w:rPr>
        <w:t>the standard “total response” approach will not provide an accurate picture of the number of children examined by DHBs’ Community Oral Health Service and other contracted third party providers.</w:t>
      </w:r>
    </w:p>
  </w:footnote>
  <w:footnote w:id="5">
    <w:p w14:paraId="288B6C1B" w14:textId="77777777" w:rsidR="007117E9" w:rsidRDefault="007117E9" w:rsidP="007117E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It is acknowledged that use of the “prioritised ethnicity” approach is not consistent with New Zealand’s </w:t>
      </w:r>
      <w:hyperlink r:id="rId4" w:history="1">
        <w:r>
          <w:rPr>
            <w:rStyle w:val="Hyperlink"/>
            <w:rFonts w:ascii="Arial" w:hAnsi="Arial" w:cs="Arial"/>
            <w:sz w:val="18"/>
            <w:szCs w:val="18"/>
          </w:rPr>
          <w:t>Statistical Standard for Ethnicity</w:t>
        </w:r>
      </w:hyperlink>
      <w:r>
        <w:rPr>
          <w:rFonts w:ascii="Arial" w:hAnsi="Arial" w:cs="Arial"/>
          <w:sz w:val="18"/>
          <w:szCs w:val="18"/>
        </w:rPr>
        <w:t>; but it is considered that this approach is acceptable given that:</w:t>
      </w:r>
    </w:p>
    <w:p w14:paraId="07BF16F9" w14:textId="77777777" w:rsidR="007117E9" w:rsidRDefault="007117E9" w:rsidP="007117E9">
      <w:pPr>
        <w:pStyle w:val="FootnoteText"/>
        <w:numPr>
          <w:ilvl w:val="0"/>
          <w:numId w:val="25"/>
        </w:numPr>
        <w:rPr>
          <w:rFonts w:ascii="Arial" w:hAnsi="Arial" w:cs="Arial"/>
          <w:sz w:val="18"/>
          <w:szCs w:val="18"/>
        </w:rPr>
      </w:pPr>
      <w:r>
        <w:rPr>
          <w:rFonts w:ascii="Arial" w:hAnsi="Arial" w:cs="Arial"/>
          <w:sz w:val="18"/>
          <w:szCs w:val="18"/>
        </w:rPr>
        <w:t xml:space="preserve">the historical use of this approach in the long-term data series since 1990 and </w:t>
      </w:r>
    </w:p>
    <w:p w14:paraId="48E11168" w14:textId="77777777" w:rsidR="007117E9" w:rsidRDefault="007117E9" w:rsidP="007117E9">
      <w:pPr>
        <w:pStyle w:val="FootnoteText"/>
        <w:numPr>
          <w:ilvl w:val="0"/>
          <w:numId w:val="25"/>
        </w:numPr>
        <w:rPr>
          <w:rFonts w:ascii="Arial" w:hAnsi="Arial" w:cs="Arial"/>
          <w:sz w:val="18"/>
          <w:szCs w:val="18"/>
        </w:rPr>
      </w:pPr>
      <w:r>
        <w:rPr>
          <w:rFonts w:ascii="Arial" w:hAnsi="Arial" w:cs="Arial"/>
          <w:sz w:val="18"/>
          <w:szCs w:val="18"/>
        </w:rPr>
        <w:t>the standard “total response” approach will not provide an accurate picture of the number of children examined by DHBs’ Community Oral Health Service and other contracted third party providers.</w:t>
      </w:r>
    </w:p>
  </w:footnote>
  <w:footnote w:id="6">
    <w:p w14:paraId="14306400" w14:textId="77777777" w:rsidR="00AF0F9D" w:rsidRPr="00333734" w:rsidRDefault="00AF0F9D" w:rsidP="00A62D59">
      <w:pPr>
        <w:pStyle w:val="FootnoteText"/>
        <w:rPr>
          <w:rFonts w:asciiTheme="minorHAnsi" w:hAnsiTheme="minorHAnsi"/>
        </w:rPr>
      </w:pPr>
      <w:r w:rsidRPr="000E0657">
        <w:rPr>
          <w:rStyle w:val="FootnoteReference"/>
          <w:rFonts w:asciiTheme="minorHAnsi" w:hAnsiTheme="minorHAnsi"/>
          <w:sz w:val="16"/>
          <w:szCs w:val="16"/>
        </w:rPr>
        <w:footnoteRef/>
      </w:r>
      <w:r w:rsidRPr="00333734">
        <w:rPr>
          <w:rFonts w:asciiTheme="minorHAnsi" w:hAnsiTheme="minorHAnsi"/>
        </w:rPr>
        <w:t xml:space="preserve"> </w:t>
      </w:r>
      <w:r w:rsidRPr="00333734">
        <w:rPr>
          <w:rFonts w:asciiTheme="minorHAnsi" w:hAnsiTheme="minorHAnsi"/>
          <w:sz w:val="16"/>
          <w:szCs w:val="16"/>
        </w:rPr>
        <w:t xml:space="preserve">National Breastfeeding Advisory Committee of New Zealand. 2009. </w:t>
      </w:r>
      <w:r w:rsidRPr="00333734">
        <w:rPr>
          <w:rFonts w:asciiTheme="minorHAnsi" w:hAnsiTheme="minorHAnsi"/>
          <w:i/>
          <w:iCs/>
          <w:sz w:val="16"/>
          <w:szCs w:val="16"/>
        </w:rPr>
        <w:t>National Strategic Plan of Action for Breastfeeding 2008–2012: National Breastfeeding Advisory Committee of New Zealand’s advice to the Director-General of Health</w:t>
      </w:r>
      <w:r w:rsidRPr="00333734">
        <w:rPr>
          <w:rFonts w:asciiTheme="minorHAnsi" w:hAnsiTheme="minorHAnsi"/>
          <w:sz w:val="16"/>
          <w:szCs w:val="16"/>
        </w:rPr>
        <w:t>. Wellington. Ministry of Health</w:t>
      </w:r>
      <w:r w:rsidRPr="00333734">
        <w:rPr>
          <w:rFonts w:asciiTheme="minorHAnsi" w:hAnsiTheme="minorHAnsi"/>
          <w:sz w:val="22"/>
          <w:szCs w:val="22"/>
        </w:rPr>
        <w:t>.</w:t>
      </w:r>
      <w:r w:rsidRPr="00333734">
        <w:rPr>
          <w:rFonts w:asciiTheme="minorHAnsi" w:hAnsiTheme="minorHAnsi"/>
        </w:rPr>
        <w:t xml:space="preserve"> </w:t>
      </w:r>
    </w:p>
  </w:footnote>
  <w:footnote w:id="7">
    <w:p w14:paraId="1F790AA0" w14:textId="77777777" w:rsidR="00AF0F9D" w:rsidRPr="000E0657" w:rsidRDefault="00AF0F9D" w:rsidP="00A62D59">
      <w:pPr>
        <w:pStyle w:val="FootnoteText"/>
        <w:rPr>
          <w:rFonts w:asciiTheme="minorHAnsi" w:hAnsiTheme="minorHAnsi"/>
          <w:sz w:val="16"/>
          <w:szCs w:val="16"/>
        </w:rPr>
      </w:pPr>
      <w:r w:rsidRPr="000E0657">
        <w:rPr>
          <w:rStyle w:val="FootnoteReference"/>
          <w:rFonts w:asciiTheme="minorHAnsi" w:hAnsiTheme="minorHAnsi"/>
          <w:sz w:val="16"/>
          <w:szCs w:val="16"/>
        </w:rPr>
        <w:footnoteRef/>
      </w:r>
      <w:r w:rsidRPr="000E0657">
        <w:rPr>
          <w:rFonts w:asciiTheme="minorHAnsi" w:hAnsiTheme="minorHAnsi"/>
          <w:sz w:val="16"/>
          <w:szCs w:val="16"/>
        </w:rPr>
        <w:t xml:space="preserve"> WHO 2003. Global strategy for infant and young child feeding.</w:t>
      </w:r>
    </w:p>
  </w:footnote>
  <w:footnote w:id="8">
    <w:p w14:paraId="01995F91" w14:textId="77777777" w:rsidR="00AF0F9D" w:rsidRPr="000E0657" w:rsidRDefault="00AF0F9D" w:rsidP="00A62D59">
      <w:pPr>
        <w:pStyle w:val="FootnoteText"/>
        <w:rPr>
          <w:rFonts w:asciiTheme="minorHAnsi" w:hAnsiTheme="minorHAnsi"/>
          <w:sz w:val="16"/>
          <w:szCs w:val="16"/>
        </w:rPr>
      </w:pPr>
      <w:r w:rsidRPr="000E0657">
        <w:rPr>
          <w:rStyle w:val="FootnoteReference"/>
          <w:rFonts w:asciiTheme="minorHAnsi" w:hAnsiTheme="minorHAnsi"/>
          <w:sz w:val="16"/>
          <w:szCs w:val="16"/>
        </w:rPr>
        <w:footnoteRef/>
      </w:r>
      <w:r w:rsidRPr="000E0657">
        <w:rPr>
          <w:rFonts w:asciiTheme="minorHAnsi" w:hAnsiTheme="minorHAnsi"/>
          <w:sz w:val="16"/>
          <w:szCs w:val="16"/>
        </w:rPr>
        <w:t xml:space="preserve"> Martinelli et al, 2015.</w:t>
      </w:r>
      <w:r w:rsidRPr="000E0657">
        <w:rPr>
          <w:rFonts w:asciiTheme="minorHAnsi" w:hAnsiTheme="minorHAnsi" w:cs="Segoe UI"/>
          <w:sz w:val="16"/>
          <w:szCs w:val="16"/>
        </w:rPr>
        <w:t xml:space="preserve"> The effects of frenotomy on breastfeeding. </w:t>
      </w:r>
      <w:r w:rsidRPr="000E0657">
        <w:rPr>
          <w:rFonts w:asciiTheme="minorHAnsi" w:hAnsiTheme="minorHAnsi" w:cs="Segoe UI"/>
          <w:i/>
          <w:sz w:val="16"/>
          <w:szCs w:val="16"/>
        </w:rPr>
        <w:t>Journal of Applied Oral Science</w:t>
      </w:r>
      <w:r w:rsidRPr="000E0657">
        <w:rPr>
          <w:rFonts w:asciiTheme="minorHAnsi" w:hAnsiTheme="minorHAnsi" w:cs="Segoe UI"/>
          <w:sz w:val="16"/>
          <w:szCs w:val="16"/>
        </w:rPr>
        <w:t xml:space="preserve"> 23 (2) p153-157.</w:t>
      </w:r>
    </w:p>
  </w:footnote>
  <w:footnote w:id="9">
    <w:p w14:paraId="73F3DD11" w14:textId="77777777" w:rsidR="00AF0F9D" w:rsidRPr="00333734" w:rsidRDefault="00AF0F9D" w:rsidP="00A62D59">
      <w:pPr>
        <w:pStyle w:val="FootnoteText"/>
        <w:rPr>
          <w:rFonts w:asciiTheme="minorHAnsi" w:hAnsiTheme="minorHAnsi"/>
        </w:rPr>
      </w:pPr>
      <w:r w:rsidRPr="000E0657">
        <w:rPr>
          <w:rStyle w:val="FootnoteReference"/>
          <w:rFonts w:asciiTheme="minorHAnsi" w:hAnsiTheme="minorHAnsi"/>
          <w:sz w:val="16"/>
          <w:szCs w:val="16"/>
        </w:rPr>
        <w:footnoteRef/>
      </w:r>
      <w:r w:rsidRPr="00333734">
        <w:rPr>
          <w:rFonts w:asciiTheme="minorHAnsi" w:hAnsiTheme="minorHAnsi"/>
        </w:rPr>
        <w:t xml:space="preserve"> </w:t>
      </w:r>
      <w:r w:rsidRPr="00333734">
        <w:rPr>
          <w:rFonts w:asciiTheme="minorHAnsi" w:hAnsiTheme="minorHAnsi" w:cs="Arial"/>
          <w:sz w:val="16"/>
          <w:szCs w:val="16"/>
          <w:lang w:val="en"/>
        </w:rPr>
        <w:t xml:space="preserve">Ministry of Health 2008. </w:t>
      </w:r>
      <w:r w:rsidRPr="000E0657">
        <w:rPr>
          <w:rFonts w:asciiTheme="minorHAnsi" w:hAnsiTheme="minorHAnsi" w:cs="Arial"/>
          <w:i/>
          <w:sz w:val="16"/>
          <w:szCs w:val="16"/>
          <w:lang w:val="en"/>
        </w:rPr>
        <w:t>Food and Nutrition Guidelines for Healthy Infants and Toddlers (Aged 0–2): A background paper</w:t>
      </w:r>
      <w:r w:rsidRPr="00333734">
        <w:rPr>
          <w:rFonts w:asciiTheme="minorHAnsi" w:hAnsiTheme="minorHAnsi" w:cs="Arial"/>
          <w:sz w:val="16"/>
          <w:szCs w:val="16"/>
          <w:lang w:val="en"/>
        </w:rPr>
        <w:t xml:space="preserve"> - Partially revised December 2012. Wellington: Ministry of Health.</w:t>
      </w:r>
    </w:p>
  </w:footnote>
  <w:footnote w:id="10">
    <w:p w14:paraId="6D74D97F" w14:textId="77777777" w:rsidR="00AF0F9D" w:rsidRDefault="00AF0F9D" w:rsidP="00A62D59">
      <w:pPr>
        <w:pStyle w:val="FootnoteText"/>
      </w:pPr>
      <w:r w:rsidRPr="00333734">
        <w:rPr>
          <w:rStyle w:val="FootnoteReference"/>
          <w:rFonts w:asciiTheme="minorHAnsi" w:hAnsiTheme="minorHAnsi"/>
        </w:rPr>
        <w:footnoteRef/>
      </w:r>
      <w:r w:rsidRPr="00333734">
        <w:rPr>
          <w:rFonts w:asciiTheme="minorHAnsi" w:hAnsiTheme="minorHAnsi"/>
        </w:rPr>
        <w:t xml:space="preserve"> </w:t>
      </w:r>
      <w:r w:rsidRPr="00333734">
        <w:rPr>
          <w:rFonts w:asciiTheme="minorHAnsi" w:hAnsiTheme="minorHAnsi"/>
          <w:sz w:val="16"/>
          <w:szCs w:val="16"/>
        </w:rPr>
        <w:t>New Zealand Breastfeeding Alliance Report, December 2015.</w:t>
      </w:r>
    </w:p>
  </w:footnote>
  <w:footnote w:id="11">
    <w:p w14:paraId="36C8E056" w14:textId="77777777" w:rsidR="00AF0F9D" w:rsidRPr="00CE5FD8" w:rsidRDefault="00AF0F9D" w:rsidP="00A62D59">
      <w:pPr>
        <w:pStyle w:val="FootnoteText"/>
        <w:rPr>
          <w:rFonts w:asciiTheme="minorHAnsi" w:hAnsiTheme="minorHAnsi"/>
          <w:sz w:val="16"/>
          <w:szCs w:val="16"/>
        </w:rPr>
      </w:pPr>
      <w:r w:rsidRPr="000E0657">
        <w:rPr>
          <w:rStyle w:val="FootnoteReference"/>
          <w:rFonts w:asciiTheme="minorHAnsi" w:hAnsiTheme="minorHAnsi"/>
          <w:sz w:val="16"/>
          <w:szCs w:val="16"/>
        </w:rPr>
        <w:footnoteRef/>
      </w:r>
      <w:r w:rsidRPr="000E0657">
        <w:rPr>
          <w:rFonts w:asciiTheme="minorHAnsi" w:hAnsiTheme="minorHAnsi"/>
          <w:sz w:val="16"/>
          <w:szCs w:val="16"/>
        </w:rPr>
        <w:t xml:space="preserve"> </w:t>
      </w:r>
      <w:r w:rsidRPr="00333734">
        <w:rPr>
          <w:rFonts w:asciiTheme="minorHAnsi" w:hAnsiTheme="minorHAnsi"/>
          <w:sz w:val="16"/>
          <w:szCs w:val="16"/>
        </w:rPr>
        <w:t xml:space="preserve">Ministry of Health. 2016. </w:t>
      </w:r>
      <w:r>
        <w:rPr>
          <w:rFonts w:asciiTheme="minorHAnsi" w:hAnsiTheme="minorHAnsi"/>
          <w:sz w:val="16"/>
          <w:szCs w:val="16"/>
        </w:rPr>
        <w:t xml:space="preserve">Indicators for the Well Child / </w:t>
      </w:r>
      <w:r w:rsidRPr="00333734">
        <w:rPr>
          <w:rFonts w:asciiTheme="minorHAnsi" w:hAnsiTheme="minorHAnsi"/>
          <w:sz w:val="16"/>
          <w:szCs w:val="16"/>
        </w:rPr>
        <w:t>Tamariki Ora Quality Impro</w:t>
      </w:r>
      <w:r>
        <w:rPr>
          <w:rFonts w:asciiTheme="minorHAnsi" w:hAnsiTheme="minorHAnsi"/>
          <w:sz w:val="16"/>
          <w:szCs w:val="16"/>
        </w:rPr>
        <w:t>vement Framework: March 2016</w:t>
      </w:r>
      <w:r w:rsidRPr="00333734">
        <w:rPr>
          <w:rFonts w:asciiTheme="minorHAnsi" w:hAnsiTheme="minorHAnsi"/>
          <w:sz w:val="16"/>
          <w:szCs w:val="16"/>
        </w:rPr>
        <w:t>. Wellington: Ministry of Health.</w:t>
      </w:r>
    </w:p>
  </w:footnote>
  <w:footnote w:id="12">
    <w:p w14:paraId="376A200F" w14:textId="77777777" w:rsidR="00AF0F9D" w:rsidRDefault="00AF0F9D" w:rsidP="003545EA">
      <w:pPr>
        <w:pStyle w:val="FootnoteText"/>
      </w:pPr>
      <w:r>
        <w:rPr>
          <w:rStyle w:val="FootnoteReference"/>
        </w:rPr>
        <w:footnoteRef/>
      </w:r>
      <w:r>
        <w:t xml:space="preserve"> This would be a registered health professional w</w:t>
      </w:r>
      <w:r w:rsidRPr="00F5447B">
        <w:t>orking in a primary care health care or community setting as part of their role in the ongoing care of a child, and to ensure clinical assessment has occurred following referral from the B4SC.  This could also be a referral into a multi-disciplinary team that includes at least one registered health care professional in attendance, although we would expect a clinical assessment to occur from this referral.  The referral pathway from the B4SC for a child may simultaneously include a referral to a family based nutrition, activity and lifestyle intervention, however this alone would not count as referred for the purposes of the health target.  The B4SC itself cannot count as a referral</w:t>
      </w:r>
    </w:p>
  </w:footnote>
  <w:footnote w:id="13">
    <w:p w14:paraId="20176B56" w14:textId="77777777" w:rsidR="00AF0F9D" w:rsidRDefault="00AF0F9D" w:rsidP="00B3232A">
      <w:pPr>
        <w:pStyle w:val="FootnoteText"/>
      </w:pPr>
      <w:r>
        <w:rPr>
          <w:rStyle w:val="FootnoteReference"/>
        </w:rPr>
        <w:footnoteRef/>
      </w:r>
      <w:r>
        <w:t xml:space="preserve"> </w:t>
      </w:r>
      <w:r>
        <w:rPr>
          <w:rFonts w:ascii="Arial" w:hAnsi="Arial" w:cs="Arial"/>
          <w:sz w:val="16"/>
          <w:szCs w:val="16"/>
          <w:u w:val="single"/>
        </w:rPr>
        <w:t>N</w:t>
      </w:r>
      <w:r>
        <w:rPr>
          <w:rFonts w:ascii="Arial" w:hAnsi="Arial" w:cs="Arial"/>
          <w:sz w:val="16"/>
          <w:szCs w:val="16"/>
        </w:rPr>
        <w:t xml:space="preserve">ot in </w:t>
      </w:r>
      <w:r>
        <w:rPr>
          <w:rFonts w:ascii="Arial" w:hAnsi="Arial" w:cs="Arial"/>
          <w:sz w:val="16"/>
          <w:szCs w:val="16"/>
          <w:u w:val="single"/>
        </w:rPr>
        <w:t>E</w:t>
      </w:r>
      <w:r>
        <w:rPr>
          <w:rFonts w:ascii="Arial" w:hAnsi="Arial" w:cs="Arial"/>
          <w:sz w:val="16"/>
          <w:szCs w:val="16"/>
        </w:rPr>
        <w:t xml:space="preserve">ducation, </w:t>
      </w:r>
      <w:r>
        <w:rPr>
          <w:rFonts w:ascii="Arial" w:hAnsi="Arial" w:cs="Arial"/>
          <w:sz w:val="16"/>
          <w:szCs w:val="16"/>
          <w:u w:val="single"/>
        </w:rPr>
        <w:t>E</w:t>
      </w:r>
      <w:r>
        <w:rPr>
          <w:rFonts w:ascii="Arial" w:hAnsi="Arial" w:cs="Arial"/>
          <w:sz w:val="16"/>
          <w:szCs w:val="16"/>
        </w:rPr>
        <w:t xml:space="preserve">mployment or </w:t>
      </w:r>
      <w:r>
        <w:rPr>
          <w:rFonts w:ascii="Arial" w:hAnsi="Arial" w:cs="Arial"/>
          <w:sz w:val="16"/>
          <w:szCs w:val="16"/>
          <w:u w:val="single"/>
        </w:rPr>
        <w:t>T</w:t>
      </w:r>
      <w:r>
        <w:rPr>
          <w:rFonts w:ascii="Arial" w:hAnsi="Arial" w:cs="Arial"/>
          <w:sz w:val="16"/>
          <w:szCs w:val="16"/>
        </w:rPr>
        <w:t>raining</w:t>
      </w:r>
    </w:p>
  </w:footnote>
  <w:footnote w:id="14">
    <w:p w14:paraId="59C697EC" w14:textId="77777777" w:rsidR="008871A4" w:rsidRPr="004E7FED" w:rsidRDefault="008871A4" w:rsidP="008871A4">
      <w:pPr>
        <w:pStyle w:val="Heading1"/>
        <w:pBdr>
          <w:bottom w:val="single" w:sz="18" w:space="27" w:color="F99839"/>
        </w:pBdr>
        <w:shd w:val="clear" w:color="auto" w:fill="FFFFFF"/>
        <w:ind w:right="-180"/>
        <w:rPr>
          <w:b w:val="0"/>
          <w:bCs w:val="0"/>
          <w:sz w:val="18"/>
          <w:szCs w:val="18"/>
        </w:rPr>
      </w:pPr>
      <w:r w:rsidRPr="004E7FED">
        <w:rPr>
          <w:rStyle w:val="FootnoteReference"/>
          <w:b w:val="0"/>
          <w:bCs w:val="0"/>
          <w:sz w:val="18"/>
          <w:szCs w:val="18"/>
        </w:rPr>
        <w:footnoteRef/>
      </w:r>
      <w:r w:rsidRPr="004E7FED">
        <w:rPr>
          <w:b w:val="0"/>
          <w:bCs w:val="0"/>
          <w:sz w:val="18"/>
          <w:szCs w:val="18"/>
        </w:rPr>
        <w:t xml:space="preserve"> In alignment with Whakamaua: Māori Health Action Plan 2020-2025. Link: https://www.health.govt.nz/publication/whakamaua-maori-health-action-plan-2020-2025</w:t>
      </w:r>
    </w:p>
  </w:footnote>
  <w:footnote w:id="15">
    <w:p w14:paraId="32BF2FF2" w14:textId="77777777" w:rsidR="008871A4" w:rsidRDefault="008871A4" w:rsidP="008871A4">
      <w:pPr>
        <w:pStyle w:val="FootnoteText"/>
      </w:pPr>
      <w:r w:rsidRPr="004E7FED">
        <w:rPr>
          <w:rStyle w:val="FootnoteReference"/>
          <w:rFonts w:ascii="Arial" w:hAnsi="Arial" w:cs="Arial"/>
          <w:sz w:val="18"/>
          <w:szCs w:val="18"/>
        </w:rPr>
        <w:footnoteRef/>
      </w:r>
      <w:r w:rsidRPr="004E7FED">
        <w:rPr>
          <w:rFonts w:ascii="Arial" w:hAnsi="Arial" w:cs="Arial"/>
          <w:sz w:val="18"/>
          <w:szCs w:val="18"/>
        </w:rPr>
        <w:t xml:space="preserve"> </w:t>
      </w:r>
      <w:r w:rsidRPr="004E7FED">
        <w:rPr>
          <w:rFonts w:ascii="Arial" w:hAnsi="Arial" w:cs="Arial"/>
          <w:sz w:val="18"/>
          <w:szCs w:val="18"/>
          <w:lang w:val="mi-NZ"/>
        </w:rPr>
        <w:t xml:space="preserve">In alignment with </w:t>
      </w:r>
      <w:r w:rsidRPr="004E7FED">
        <w:rPr>
          <w:rFonts w:ascii="Arial" w:hAnsi="Arial" w:cs="Arial"/>
          <w:sz w:val="18"/>
          <w:szCs w:val="18"/>
        </w:rPr>
        <w:t>Ola Manuia: Pacific Health and Wellbeing Action Plan 2020–2025. Link:</w:t>
      </w:r>
      <w:r w:rsidRPr="004E7FED">
        <w:rPr>
          <w:rFonts w:ascii="Arial" w:hAnsi="Arial" w:cs="Arial"/>
          <w:sz w:val="18"/>
          <w:szCs w:val="18"/>
          <w:lang w:val="mi-NZ"/>
        </w:rPr>
        <w:t xml:space="preserve"> https://www.health.govt.nz/publication/ola-manuia-pacific-health-and-wellbeing-action-plan-2020-2025</w:t>
      </w:r>
    </w:p>
  </w:footnote>
  <w:footnote w:id="16">
    <w:p w14:paraId="2ABA5C1C" w14:textId="77777777" w:rsidR="00AF0F9D" w:rsidRPr="00632A74" w:rsidRDefault="00AF0F9D" w:rsidP="0093634F">
      <w:pPr>
        <w:pStyle w:val="FootnoteText"/>
        <w:rPr>
          <w:i/>
        </w:rPr>
      </w:pPr>
      <w:r>
        <w:rPr>
          <w:rStyle w:val="FootnoteReference"/>
        </w:rPr>
        <w:footnoteRef/>
      </w:r>
      <w:r>
        <w:t xml:space="preserve"> Basu, A., &amp; Brinson, D. (2008). The effectiveness of interventions for reducing ambulatory sensitive hospitalisations: A Systematic Review. </w:t>
      </w:r>
      <w:r>
        <w:rPr>
          <w:i/>
        </w:rPr>
        <w:t>HSAC Report.</w:t>
      </w:r>
    </w:p>
  </w:footnote>
  <w:footnote w:id="17">
    <w:p w14:paraId="12DD8E90" w14:textId="77777777" w:rsidR="00AF0F9D" w:rsidRPr="00185BFB" w:rsidRDefault="00AF0F9D" w:rsidP="009659C5">
      <w:pPr>
        <w:pStyle w:val="FootnoteText"/>
      </w:pPr>
      <w:r w:rsidRPr="008F0ACA">
        <w:rPr>
          <w:rStyle w:val="FootnoteReference"/>
          <w:rFonts w:ascii="Arial" w:hAnsi="Arial" w:cs="Arial"/>
        </w:rPr>
        <w:footnoteRef/>
      </w:r>
      <w:r w:rsidRPr="008F0ACA">
        <w:rPr>
          <w:rFonts w:ascii="Arial" w:hAnsi="Arial" w:cs="Arial"/>
        </w:rPr>
        <w:t xml:space="preserve"> For further information please refer to the </w:t>
      </w:r>
      <w:r w:rsidRPr="008F0ACA">
        <w:rPr>
          <w:rFonts w:ascii="Arial" w:hAnsi="Arial" w:cs="Arial"/>
          <w:i/>
        </w:rPr>
        <w:t>Guidance Statement:  ED Observation and  ED Assessment Units</w:t>
      </w:r>
      <w:r w:rsidRPr="008F0ACA">
        <w:rPr>
          <w:rFonts w:ascii="Arial" w:hAnsi="Arial" w:cs="Arial"/>
        </w:rPr>
        <w:t xml:space="preserve"> on http://www.hiirc.org.nz/page/18737/guidance-statement-ed-obervation-and-inpatient/?section=9088&amp;contentType=451&amp;tab=822</w:t>
      </w:r>
    </w:p>
  </w:footnote>
  <w:footnote w:id="18">
    <w:p w14:paraId="009921D9" w14:textId="77777777" w:rsidR="00AF0F9D" w:rsidRDefault="00AF0F9D" w:rsidP="009D6F69">
      <w:pPr>
        <w:pStyle w:val="FootnoteText"/>
      </w:pPr>
      <w:r>
        <w:rPr>
          <w:rStyle w:val="FootnoteReference"/>
        </w:rPr>
        <w:footnoteRef/>
      </w:r>
      <w:r>
        <w:t xml:space="preserve"> </w:t>
      </w:r>
      <w:r>
        <w:tab/>
        <w:t xml:space="preserve">Refer to Part 1, Section 4 Treaty of Waitangi in the New Zealand Public Health and Disability Act 2000 and Chapter 6 ‘Improving Māori Health’ in the OPF. </w:t>
      </w:r>
    </w:p>
  </w:footnote>
  <w:footnote w:id="19">
    <w:p w14:paraId="2139C6BE" w14:textId="77777777" w:rsidR="00AF0F9D" w:rsidRDefault="00AF0F9D" w:rsidP="00786B03">
      <w:pPr>
        <w:pStyle w:val="FootnoteText"/>
        <w:rPr>
          <w:rFonts w:cs="Arial"/>
          <w:sz w:val="18"/>
          <w:szCs w:val="18"/>
        </w:rPr>
      </w:pPr>
      <w:r>
        <w:rPr>
          <w:rStyle w:val="FootnoteReference"/>
          <w:rFonts w:cs="Arial"/>
          <w:sz w:val="18"/>
          <w:szCs w:val="18"/>
        </w:rPr>
        <w:footnoteRef/>
      </w:r>
      <w:r>
        <w:rPr>
          <w:rFonts w:cs="Arial"/>
          <w:sz w:val="18"/>
          <w:szCs w:val="18"/>
        </w:rPr>
        <w:t xml:space="preserve"> The requirement to report about Pacific people applies only to those DHBs with high Pacific populations. These DHBs are: Counties Manukau, Auckland, Waitemata, Waikato, Capital &amp; Coast, Hutt Valley and Canterbury.</w:t>
      </w:r>
    </w:p>
  </w:footnote>
  <w:footnote w:id="20">
    <w:p w14:paraId="017AB996" w14:textId="77777777" w:rsidR="00AF0F9D" w:rsidRPr="00407875" w:rsidRDefault="00AF0F9D" w:rsidP="006D20CE">
      <w:pPr>
        <w:pStyle w:val="FootnoteText"/>
        <w:rPr>
          <w:lang w:val="mi-NZ"/>
        </w:rPr>
      </w:pPr>
      <w:r>
        <w:rPr>
          <w:rStyle w:val="FootnoteReference"/>
        </w:rPr>
        <w:footnoteRef/>
      </w:r>
      <w:r>
        <w:t xml:space="preserve"> </w:t>
      </w:r>
      <w:r w:rsidRPr="00407875">
        <w:rPr>
          <w:rFonts w:ascii="Arial" w:hAnsi="Arial" w:cs="Arial"/>
          <w:sz w:val="18"/>
        </w:rPr>
        <w:t>Whānau Ora Review https://www.tpk.govt.nz/docs/tpk-wo-review-2019.pdf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35"/>
      <w:gridCol w:w="1271"/>
    </w:tblGrid>
    <w:tr w:rsidR="00AF0F9D" w:rsidRPr="00747EC5" w14:paraId="7FAD6548" w14:textId="77777777">
      <w:trPr>
        <w:trHeight w:val="288"/>
      </w:trPr>
      <w:sdt>
        <w:sdtPr>
          <w:rPr>
            <w:rFonts w:asciiTheme="minorHAnsi" w:hAnsiTheme="minorHAnsi" w:cs="Arial"/>
            <w:b/>
            <w:bCs/>
            <w:sz w:val="20"/>
            <w:szCs w:val="20"/>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FD4E2F4" w14:textId="3366E9A1" w:rsidR="00AF0F9D" w:rsidRPr="00747EC5" w:rsidRDefault="00AF0F9D" w:rsidP="006F3329">
              <w:pPr>
                <w:pStyle w:val="Header"/>
                <w:jc w:val="right"/>
                <w:rPr>
                  <w:rFonts w:asciiTheme="majorHAnsi" w:eastAsiaTheme="majorEastAsia" w:hAnsiTheme="majorHAnsi" w:cstheme="majorBidi"/>
                  <w:sz w:val="20"/>
                  <w:szCs w:val="20"/>
                </w:rPr>
              </w:pPr>
              <w:r w:rsidRPr="003F7CAF">
                <w:rPr>
                  <w:rFonts w:asciiTheme="minorHAnsi" w:hAnsiTheme="minorHAnsi" w:cs="Arial"/>
                  <w:b/>
                  <w:bCs/>
                  <w:sz w:val="20"/>
                  <w:szCs w:val="20"/>
                </w:rPr>
                <w:t>DHB non-financial monitoring framework and performance measures</w:t>
              </w:r>
            </w:p>
          </w:tc>
        </w:sdtContent>
      </w:sdt>
      <w:sdt>
        <w:sdtPr>
          <w:rPr>
            <w:rFonts w:asciiTheme="majorHAnsi" w:eastAsiaTheme="majorEastAsia" w:hAnsiTheme="majorHAnsi" w:cstheme="majorBidi"/>
            <w:bCs/>
            <w:color w:val="4F81BD" w:themeColor="accent1"/>
            <w:sz w:val="20"/>
            <w:szCs w:val="20"/>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2513B256" w14:textId="1126AF9D" w:rsidR="00AF0F9D" w:rsidRPr="00747EC5" w:rsidRDefault="00AF0F9D" w:rsidP="007A6361">
              <w:pPr>
                <w:pStyle w:val="Header"/>
                <w:rPr>
                  <w:rFonts w:asciiTheme="majorHAnsi" w:eastAsiaTheme="majorEastAsia" w:hAnsiTheme="majorHAnsi" w:cstheme="majorBidi"/>
                  <w:bCs/>
                  <w:color w:val="4F81BD" w:themeColor="accent1"/>
                  <w:sz w:val="20"/>
                  <w:szCs w:val="20"/>
                  <w14:numForm w14:val="oldStyle"/>
                </w:rPr>
              </w:pPr>
              <w:r>
                <w:rPr>
                  <w:rFonts w:asciiTheme="majorHAnsi" w:eastAsiaTheme="majorEastAsia" w:hAnsiTheme="majorHAnsi" w:cstheme="majorBidi"/>
                  <w:bCs/>
                  <w:color w:val="4F81BD" w:themeColor="accent1"/>
                  <w:sz w:val="20"/>
                  <w:szCs w:val="20"/>
                  <w:lang w:val="en-US"/>
                  <w14:shadow w14:blurRad="50800" w14:dist="38100" w14:dir="2700000" w14:sx="100000" w14:sy="100000" w14:kx="0" w14:ky="0" w14:algn="tl">
                    <w14:srgbClr w14:val="000000">
                      <w14:alpha w14:val="60000"/>
                    </w14:srgbClr>
                  </w14:shadow>
                  <w14:numForm w14:val="oldStyle"/>
                </w:rPr>
                <w:t>2021/22</w:t>
              </w:r>
            </w:p>
          </w:tc>
        </w:sdtContent>
      </w:sdt>
    </w:tr>
  </w:tbl>
  <w:p w14:paraId="3A136568" w14:textId="77777777" w:rsidR="00AF0F9D" w:rsidRDefault="00AF0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27BD" w14:textId="77777777" w:rsidR="00AF0F9D" w:rsidRPr="00860D6F" w:rsidRDefault="00AF0F9D" w:rsidP="00860D6F">
    <w:pPr>
      <w:pStyle w:val="Header"/>
      <w:jc w:val="right"/>
      <w:rPr>
        <w:rFonts w:ascii="Arial" w:hAnsi="Arial" w:cs="Arial"/>
        <w:sz w:val="22"/>
        <w:szCs w:val="22"/>
      </w:rPr>
    </w:pPr>
    <w:r>
      <w:tab/>
    </w:r>
    <w:r>
      <w:tab/>
    </w:r>
  </w:p>
  <w:p w14:paraId="576337CE" w14:textId="77777777" w:rsidR="00AF0F9D" w:rsidRDefault="00AF0F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FA1872"/>
    <w:lvl w:ilvl="0">
      <w:numFmt w:val="bullet"/>
      <w:lvlText w:val="*"/>
      <w:lvlJc w:val="left"/>
    </w:lvl>
  </w:abstractNum>
  <w:abstractNum w:abstractNumId="1" w15:restartNumberingAfterBreak="0">
    <w:nsid w:val="01943AC1"/>
    <w:multiLevelType w:val="hybridMultilevel"/>
    <w:tmpl w:val="FCEEE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9002F5"/>
    <w:multiLevelType w:val="hybridMultilevel"/>
    <w:tmpl w:val="235CE77E"/>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3" w15:restartNumberingAfterBreak="0">
    <w:nsid w:val="030505FB"/>
    <w:multiLevelType w:val="hybridMultilevel"/>
    <w:tmpl w:val="986AC734"/>
    <w:lvl w:ilvl="0" w:tplc="14090001">
      <w:start w:val="1"/>
      <w:numFmt w:val="bullet"/>
      <w:lvlText w:val=""/>
      <w:lvlJc w:val="left"/>
      <w:pPr>
        <w:ind w:left="360" w:hanging="360"/>
      </w:pPr>
      <w:rPr>
        <w:rFonts w:ascii="Symbol" w:hAnsi="Symbol" w:hint="default"/>
      </w:rPr>
    </w:lvl>
    <w:lvl w:ilvl="1" w:tplc="888A8710">
      <w:start w:val="90"/>
      <w:numFmt w:val="bullet"/>
      <w:lvlText w:val="-"/>
      <w:lvlJc w:val="left"/>
      <w:pPr>
        <w:ind w:left="1494" w:hanging="360"/>
      </w:pPr>
      <w:rPr>
        <w:rFonts w:ascii="Arial" w:eastAsia="Times New Roman" w:hAnsi="Arial" w:cs="Arial"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4A0081"/>
    <w:multiLevelType w:val="multilevel"/>
    <w:tmpl w:val="E33AE9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75B5BBF"/>
    <w:multiLevelType w:val="hybridMultilevel"/>
    <w:tmpl w:val="D2F8F2DE"/>
    <w:lvl w:ilvl="0" w:tplc="14090001">
      <w:start w:val="1"/>
      <w:numFmt w:val="bullet"/>
      <w:lvlText w:val=""/>
      <w:lvlJc w:val="left"/>
      <w:pPr>
        <w:ind w:left="756" w:hanging="360"/>
      </w:pPr>
      <w:rPr>
        <w:rFonts w:ascii="Symbol" w:hAnsi="Symbol" w:hint="default"/>
      </w:rPr>
    </w:lvl>
    <w:lvl w:ilvl="1" w:tplc="14090003">
      <w:start w:val="1"/>
      <w:numFmt w:val="bullet"/>
      <w:lvlText w:val="o"/>
      <w:lvlJc w:val="left"/>
      <w:pPr>
        <w:ind w:left="1476" w:hanging="360"/>
      </w:pPr>
      <w:rPr>
        <w:rFonts w:ascii="Courier New" w:hAnsi="Courier New" w:cs="Courier New" w:hint="default"/>
      </w:rPr>
    </w:lvl>
    <w:lvl w:ilvl="2" w:tplc="14090005" w:tentative="1">
      <w:start w:val="1"/>
      <w:numFmt w:val="bullet"/>
      <w:lvlText w:val=""/>
      <w:lvlJc w:val="left"/>
      <w:pPr>
        <w:ind w:left="2196" w:hanging="360"/>
      </w:pPr>
      <w:rPr>
        <w:rFonts w:ascii="Wingdings" w:hAnsi="Wingdings" w:hint="default"/>
      </w:rPr>
    </w:lvl>
    <w:lvl w:ilvl="3" w:tplc="14090001" w:tentative="1">
      <w:start w:val="1"/>
      <w:numFmt w:val="bullet"/>
      <w:lvlText w:val=""/>
      <w:lvlJc w:val="left"/>
      <w:pPr>
        <w:ind w:left="2916" w:hanging="360"/>
      </w:pPr>
      <w:rPr>
        <w:rFonts w:ascii="Symbol" w:hAnsi="Symbol" w:hint="default"/>
      </w:rPr>
    </w:lvl>
    <w:lvl w:ilvl="4" w:tplc="14090003" w:tentative="1">
      <w:start w:val="1"/>
      <w:numFmt w:val="bullet"/>
      <w:lvlText w:val="o"/>
      <w:lvlJc w:val="left"/>
      <w:pPr>
        <w:ind w:left="3636" w:hanging="360"/>
      </w:pPr>
      <w:rPr>
        <w:rFonts w:ascii="Courier New" w:hAnsi="Courier New" w:cs="Courier New" w:hint="default"/>
      </w:rPr>
    </w:lvl>
    <w:lvl w:ilvl="5" w:tplc="14090005" w:tentative="1">
      <w:start w:val="1"/>
      <w:numFmt w:val="bullet"/>
      <w:lvlText w:val=""/>
      <w:lvlJc w:val="left"/>
      <w:pPr>
        <w:ind w:left="4356" w:hanging="360"/>
      </w:pPr>
      <w:rPr>
        <w:rFonts w:ascii="Wingdings" w:hAnsi="Wingdings" w:hint="default"/>
      </w:rPr>
    </w:lvl>
    <w:lvl w:ilvl="6" w:tplc="14090001" w:tentative="1">
      <w:start w:val="1"/>
      <w:numFmt w:val="bullet"/>
      <w:lvlText w:val=""/>
      <w:lvlJc w:val="left"/>
      <w:pPr>
        <w:ind w:left="5076" w:hanging="360"/>
      </w:pPr>
      <w:rPr>
        <w:rFonts w:ascii="Symbol" w:hAnsi="Symbol" w:hint="default"/>
      </w:rPr>
    </w:lvl>
    <w:lvl w:ilvl="7" w:tplc="14090003" w:tentative="1">
      <w:start w:val="1"/>
      <w:numFmt w:val="bullet"/>
      <w:lvlText w:val="o"/>
      <w:lvlJc w:val="left"/>
      <w:pPr>
        <w:ind w:left="5796" w:hanging="360"/>
      </w:pPr>
      <w:rPr>
        <w:rFonts w:ascii="Courier New" w:hAnsi="Courier New" w:cs="Courier New" w:hint="default"/>
      </w:rPr>
    </w:lvl>
    <w:lvl w:ilvl="8" w:tplc="14090005" w:tentative="1">
      <w:start w:val="1"/>
      <w:numFmt w:val="bullet"/>
      <w:lvlText w:val=""/>
      <w:lvlJc w:val="left"/>
      <w:pPr>
        <w:ind w:left="6516" w:hanging="360"/>
      </w:pPr>
      <w:rPr>
        <w:rFonts w:ascii="Wingdings" w:hAnsi="Wingdings" w:hint="default"/>
      </w:rPr>
    </w:lvl>
  </w:abstractNum>
  <w:abstractNum w:abstractNumId="7" w15:restartNumberingAfterBreak="0">
    <w:nsid w:val="082B7D14"/>
    <w:multiLevelType w:val="hybridMultilevel"/>
    <w:tmpl w:val="592C5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6C1280"/>
    <w:multiLevelType w:val="hybridMultilevel"/>
    <w:tmpl w:val="EE3AB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9BE761D"/>
    <w:multiLevelType w:val="multilevel"/>
    <w:tmpl w:val="281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E4FE2"/>
    <w:multiLevelType w:val="hybridMultilevel"/>
    <w:tmpl w:val="065EBA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D4A10EE"/>
    <w:multiLevelType w:val="hybridMultilevel"/>
    <w:tmpl w:val="80D6214E"/>
    <w:lvl w:ilvl="0" w:tplc="469EB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6465CF"/>
    <w:multiLevelType w:val="hybridMultilevel"/>
    <w:tmpl w:val="FD5A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95A97"/>
    <w:multiLevelType w:val="hybridMultilevel"/>
    <w:tmpl w:val="80D6214E"/>
    <w:lvl w:ilvl="0" w:tplc="469EB0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7C5B93"/>
    <w:multiLevelType w:val="multilevel"/>
    <w:tmpl w:val="F47486F4"/>
    <w:lvl w:ilvl="0">
      <w:start w:val="1"/>
      <w:numFmt w:val="decimal"/>
      <w:pStyle w:val="MainOne"/>
      <w:lvlText w:val="%1."/>
      <w:lvlJc w:val="left"/>
      <w:pPr>
        <w:tabs>
          <w:tab w:val="num" w:pos="360"/>
        </w:tabs>
        <w:ind w:left="360" w:hanging="360"/>
      </w:pPr>
      <w:rPr>
        <w:rFonts w:hint="default"/>
      </w:rPr>
    </w:lvl>
    <w:lvl w:ilvl="1">
      <w:start w:val="1"/>
      <w:numFmt w:val="decimal"/>
      <w:pStyle w:val="SubMeasure"/>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EDF3800"/>
    <w:multiLevelType w:val="hybridMultilevel"/>
    <w:tmpl w:val="30E65FC2"/>
    <w:lvl w:ilvl="0" w:tplc="4FDC3FD4">
      <w:start w:val="1"/>
      <w:numFmt w:val="bullet"/>
      <w:lvlText w:val=""/>
      <w:lvlJc w:val="left"/>
      <w:pPr>
        <w:ind w:left="1780" w:hanging="360"/>
      </w:pPr>
      <w:rPr>
        <w:rFonts w:ascii="Symbol" w:hAnsi="Symbol" w:hint="default"/>
      </w:rPr>
    </w:lvl>
    <w:lvl w:ilvl="1" w:tplc="14090003">
      <w:start w:val="1"/>
      <w:numFmt w:val="bullet"/>
      <w:lvlText w:val="o"/>
      <w:lvlJc w:val="left"/>
      <w:pPr>
        <w:ind w:left="3438" w:hanging="360"/>
      </w:pPr>
      <w:rPr>
        <w:rFonts w:ascii="Courier New" w:hAnsi="Courier New" w:cs="Courier New" w:hint="default"/>
      </w:rPr>
    </w:lvl>
    <w:lvl w:ilvl="2" w:tplc="14090005" w:tentative="1">
      <w:start w:val="1"/>
      <w:numFmt w:val="bullet"/>
      <w:lvlText w:val=""/>
      <w:lvlJc w:val="left"/>
      <w:pPr>
        <w:ind w:left="4158" w:hanging="360"/>
      </w:pPr>
      <w:rPr>
        <w:rFonts w:ascii="Wingdings" w:hAnsi="Wingdings" w:hint="default"/>
      </w:rPr>
    </w:lvl>
    <w:lvl w:ilvl="3" w:tplc="14090001" w:tentative="1">
      <w:start w:val="1"/>
      <w:numFmt w:val="bullet"/>
      <w:lvlText w:val=""/>
      <w:lvlJc w:val="left"/>
      <w:pPr>
        <w:ind w:left="4878" w:hanging="360"/>
      </w:pPr>
      <w:rPr>
        <w:rFonts w:ascii="Symbol" w:hAnsi="Symbol" w:hint="default"/>
      </w:rPr>
    </w:lvl>
    <w:lvl w:ilvl="4" w:tplc="14090003" w:tentative="1">
      <w:start w:val="1"/>
      <w:numFmt w:val="bullet"/>
      <w:lvlText w:val="o"/>
      <w:lvlJc w:val="left"/>
      <w:pPr>
        <w:ind w:left="5598" w:hanging="360"/>
      </w:pPr>
      <w:rPr>
        <w:rFonts w:ascii="Courier New" w:hAnsi="Courier New" w:cs="Courier New" w:hint="default"/>
      </w:rPr>
    </w:lvl>
    <w:lvl w:ilvl="5" w:tplc="14090005" w:tentative="1">
      <w:start w:val="1"/>
      <w:numFmt w:val="bullet"/>
      <w:lvlText w:val=""/>
      <w:lvlJc w:val="left"/>
      <w:pPr>
        <w:ind w:left="6318" w:hanging="360"/>
      </w:pPr>
      <w:rPr>
        <w:rFonts w:ascii="Wingdings" w:hAnsi="Wingdings" w:hint="default"/>
      </w:rPr>
    </w:lvl>
    <w:lvl w:ilvl="6" w:tplc="14090001" w:tentative="1">
      <w:start w:val="1"/>
      <w:numFmt w:val="bullet"/>
      <w:lvlText w:val=""/>
      <w:lvlJc w:val="left"/>
      <w:pPr>
        <w:ind w:left="7038" w:hanging="360"/>
      </w:pPr>
      <w:rPr>
        <w:rFonts w:ascii="Symbol" w:hAnsi="Symbol" w:hint="default"/>
      </w:rPr>
    </w:lvl>
    <w:lvl w:ilvl="7" w:tplc="14090003" w:tentative="1">
      <w:start w:val="1"/>
      <w:numFmt w:val="bullet"/>
      <w:lvlText w:val="o"/>
      <w:lvlJc w:val="left"/>
      <w:pPr>
        <w:ind w:left="7758" w:hanging="360"/>
      </w:pPr>
      <w:rPr>
        <w:rFonts w:ascii="Courier New" w:hAnsi="Courier New" w:cs="Courier New" w:hint="default"/>
      </w:rPr>
    </w:lvl>
    <w:lvl w:ilvl="8" w:tplc="14090005" w:tentative="1">
      <w:start w:val="1"/>
      <w:numFmt w:val="bullet"/>
      <w:lvlText w:val=""/>
      <w:lvlJc w:val="left"/>
      <w:pPr>
        <w:ind w:left="8478" w:hanging="360"/>
      </w:pPr>
      <w:rPr>
        <w:rFonts w:ascii="Wingdings" w:hAnsi="Wingdings" w:hint="default"/>
      </w:rPr>
    </w:lvl>
  </w:abstractNum>
  <w:abstractNum w:abstractNumId="16" w15:restartNumberingAfterBreak="0">
    <w:nsid w:val="0F3061A4"/>
    <w:multiLevelType w:val="hybridMultilevel"/>
    <w:tmpl w:val="193A3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0F952EE"/>
    <w:multiLevelType w:val="hybridMultilevel"/>
    <w:tmpl w:val="91C6B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1441722"/>
    <w:multiLevelType w:val="hybridMultilevel"/>
    <w:tmpl w:val="401E3F3E"/>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19" w15:restartNumberingAfterBreak="0">
    <w:nsid w:val="12B5663F"/>
    <w:multiLevelType w:val="hybridMultilevel"/>
    <w:tmpl w:val="A12A6A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60A35B6"/>
    <w:multiLevelType w:val="hybridMultilevel"/>
    <w:tmpl w:val="EBC0DAAA"/>
    <w:lvl w:ilvl="0" w:tplc="CBB0D0A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1" w15:restartNumberingAfterBreak="0">
    <w:nsid w:val="16741EC2"/>
    <w:multiLevelType w:val="hybridMultilevel"/>
    <w:tmpl w:val="7B863CB0"/>
    <w:lvl w:ilvl="0" w:tplc="14090001">
      <w:start w:val="1"/>
      <w:numFmt w:val="bullet"/>
      <w:lvlText w:val=""/>
      <w:lvlJc w:val="left"/>
      <w:pPr>
        <w:ind w:left="361" w:hanging="360"/>
      </w:pPr>
      <w:rPr>
        <w:rFonts w:ascii="Symbol" w:hAnsi="Symbol" w:hint="default"/>
      </w:rPr>
    </w:lvl>
    <w:lvl w:ilvl="1" w:tplc="14090003">
      <w:start w:val="1"/>
      <w:numFmt w:val="bullet"/>
      <w:lvlText w:val="o"/>
      <w:lvlJc w:val="left"/>
      <w:pPr>
        <w:ind w:left="1081" w:hanging="360"/>
      </w:pPr>
      <w:rPr>
        <w:rFonts w:ascii="Courier New" w:hAnsi="Courier New" w:cs="Courier New" w:hint="default"/>
      </w:rPr>
    </w:lvl>
    <w:lvl w:ilvl="2" w:tplc="14090005" w:tentative="1">
      <w:start w:val="1"/>
      <w:numFmt w:val="bullet"/>
      <w:lvlText w:val=""/>
      <w:lvlJc w:val="left"/>
      <w:pPr>
        <w:ind w:left="1801" w:hanging="360"/>
      </w:pPr>
      <w:rPr>
        <w:rFonts w:ascii="Wingdings" w:hAnsi="Wingdings" w:hint="default"/>
      </w:rPr>
    </w:lvl>
    <w:lvl w:ilvl="3" w:tplc="14090001" w:tentative="1">
      <w:start w:val="1"/>
      <w:numFmt w:val="bullet"/>
      <w:lvlText w:val=""/>
      <w:lvlJc w:val="left"/>
      <w:pPr>
        <w:ind w:left="2521" w:hanging="360"/>
      </w:pPr>
      <w:rPr>
        <w:rFonts w:ascii="Symbol" w:hAnsi="Symbol" w:hint="default"/>
      </w:rPr>
    </w:lvl>
    <w:lvl w:ilvl="4" w:tplc="14090003" w:tentative="1">
      <w:start w:val="1"/>
      <w:numFmt w:val="bullet"/>
      <w:lvlText w:val="o"/>
      <w:lvlJc w:val="left"/>
      <w:pPr>
        <w:ind w:left="3241" w:hanging="360"/>
      </w:pPr>
      <w:rPr>
        <w:rFonts w:ascii="Courier New" w:hAnsi="Courier New" w:cs="Courier New" w:hint="default"/>
      </w:rPr>
    </w:lvl>
    <w:lvl w:ilvl="5" w:tplc="14090005" w:tentative="1">
      <w:start w:val="1"/>
      <w:numFmt w:val="bullet"/>
      <w:lvlText w:val=""/>
      <w:lvlJc w:val="left"/>
      <w:pPr>
        <w:ind w:left="3961" w:hanging="360"/>
      </w:pPr>
      <w:rPr>
        <w:rFonts w:ascii="Wingdings" w:hAnsi="Wingdings" w:hint="default"/>
      </w:rPr>
    </w:lvl>
    <w:lvl w:ilvl="6" w:tplc="14090001" w:tentative="1">
      <w:start w:val="1"/>
      <w:numFmt w:val="bullet"/>
      <w:lvlText w:val=""/>
      <w:lvlJc w:val="left"/>
      <w:pPr>
        <w:ind w:left="4681" w:hanging="360"/>
      </w:pPr>
      <w:rPr>
        <w:rFonts w:ascii="Symbol" w:hAnsi="Symbol" w:hint="default"/>
      </w:rPr>
    </w:lvl>
    <w:lvl w:ilvl="7" w:tplc="14090003" w:tentative="1">
      <w:start w:val="1"/>
      <w:numFmt w:val="bullet"/>
      <w:lvlText w:val="o"/>
      <w:lvlJc w:val="left"/>
      <w:pPr>
        <w:ind w:left="5401" w:hanging="360"/>
      </w:pPr>
      <w:rPr>
        <w:rFonts w:ascii="Courier New" w:hAnsi="Courier New" w:cs="Courier New" w:hint="default"/>
      </w:rPr>
    </w:lvl>
    <w:lvl w:ilvl="8" w:tplc="14090005" w:tentative="1">
      <w:start w:val="1"/>
      <w:numFmt w:val="bullet"/>
      <w:lvlText w:val=""/>
      <w:lvlJc w:val="left"/>
      <w:pPr>
        <w:ind w:left="6121" w:hanging="360"/>
      </w:pPr>
      <w:rPr>
        <w:rFonts w:ascii="Wingdings" w:hAnsi="Wingdings" w:hint="default"/>
      </w:rPr>
    </w:lvl>
  </w:abstractNum>
  <w:abstractNum w:abstractNumId="22" w15:restartNumberingAfterBreak="0">
    <w:nsid w:val="16E50542"/>
    <w:multiLevelType w:val="hybridMultilevel"/>
    <w:tmpl w:val="5066BB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5C4666"/>
    <w:multiLevelType w:val="hybridMultilevel"/>
    <w:tmpl w:val="04B6F6AE"/>
    <w:lvl w:ilvl="0" w:tplc="14090005">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18787C4B"/>
    <w:multiLevelType w:val="hybridMultilevel"/>
    <w:tmpl w:val="4454A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8EA0E55"/>
    <w:multiLevelType w:val="hybridMultilevel"/>
    <w:tmpl w:val="E8046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1061E4"/>
    <w:multiLevelType w:val="hybridMultilevel"/>
    <w:tmpl w:val="53BE372E"/>
    <w:lvl w:ilvl="0" w:tplc="F08CD47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AE2849"/>
    <w:multiLevelType w:val="hybridMultilevel"/>
    <w:tmpl w:val="71BE2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BB10CDA"/>
    <w:multiLevelType w:val="hybridMultilevel"/>
    <w:tmpl w:val="86F27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C4007CF"/>
    <w:multiLevelType w:val="hybridMultilevel"/>
    <w:tmpl w:val="770EBB6A"/>
    <w:lvl w:ilvl="0" w:tplc="14090003">
      <w:start w:val="1"/>
      <w:numFmt w:val="bullet"/>
      <w:lvlText w:val="o"/>
      <w:lvlJc w:val="left"/>
      <w:pPr>
        <w:ind w:left="3600" w:hanging="360"/>
      </w:pPr>
      <w:rPr>
        <w:rFonts w:ascii="Courier New" w:hAnsi="Courier New" w:cs="Courier New"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0" w15:restartNumberingAfterBreak="0">
    <w:nsid w:val="1CBD37F6"/>
    <w:multiLevelType w:val="hybridMultilevel"/>
    <w:tmpl w:val="22A68F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CC016FC"/>
    <w:multiLevelType w:val="hybridMultilevel"/>
    <w:tmpl w:val="FF260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E322782"/>
    <w:multiLevelType w:val="hybridMultilevel"/>
    <w:tmpl w:val="D91EF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EE740EC"/>
    <w:multiLevelType w:val="hybridMultilevel"/>
    <w:tmpl w:val="AE185374"/>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21586F8F"/>
    <w:multiLevelType w:val="hybridMultilevel"/>
    <w:tmpl w:val="1D9C6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1613C74"/>
    <w:multiLevelType w:val="hybridMultilevel"/>
    <w:tmpl w:val="E2849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22B16A5"/>
    <w:multiLevelType w:val="hybridMultilevel"/>
    <w:tmpl w:val="E7A8B2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22CF20B3"/>
    <w:multiLevelType w:val="hybridMultilevel"/>
    <w:tmpl w:val="590A5916"/>
    <w:lvl w:ilvl="0" w:tplc="8CC6F10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55F7115"/>
    <w:multiLevelType w:val="hybridMultilevel"/>
    <w:tmpl w:val="12B2AA6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9" w15:restartNumberingAfterBreak="0">
    <w:nsid w:val="25E33BCD"/>
    <w:multiLevelType w:val="hybridMultilevel"/>
    <w:tmpl w:val="66762130"/>
    <w:lvl w:ilvl="0" w:tplc="14090001">
      <w:start w:val="1"/>
      <w:numFmt w:val="bullet"/>
      <w:lvlText w:val=""/>
      <w:lvlJc w:val="left"/>
      <w:pPr>
        <w:ind w:left="720" w:hanging="360"/>
      </w:pPr>
      <w:rPr>
        <w:rFonts w:ascii="Symbol" w:hAnsi="Symbol" w:hint="default"/>
      </w:rPr>
    </w:lvl>
    <w:lvl w:ilvl="1" w:tplc="820A430A">
      <w:numFmt w:val="bullet"/>
      <w:lvlText w:val="•"/>
      <w:lvlJc w:val="left"/>
      <w:pPr>
        <w:ind w:left="1650" w:hanging="57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5E865EA"/>
    <w:multiLevelType w:val="hybridMultilevel"/>
    <w:tmpl w:val="1C1CC7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5EE47AD"/>
    <w:multiLevelType w:val="hybridMultilevel"/>
    <w:tmpl w:val="F4BC9B1E"/>
    <w:lvl w:ilvl="0" w:tplc="14090001">
      <w:start w:val="1"/>
      <w:numFmt w:val="bullet"/>
      <w:lvlText w:val=""/>
      <w:lvlJc w:val="left"/>
      <w:pPr>
        <w:ind w:left="735" w:hanging="360"/>
      </w:pPr>
      <w:rPr>
        <w:rFonts w:ascii="Symbol" w:hAnsi="Symbol" w:hint="default"/>
      </w:rPr>
    </w:lvl>
    <w:lvl w:ilvl="1" w:tplc="14090003" w:tentative="1">
      <w:start w:val="1"/>
      <w:numFmt w:val="bullet"/>
      <w:lvlText w:val="o"/>
      <w:lvlJc w:val="left"/>
      <w:pPr>
        <w:ind w:left="1455" w:hanging="360"/>
      </w:pPr>
      <w:rPr>
        <w:rFonts w:ascii="Courier New" w:hAnsi="Courier New" w:cs="Courier New" w:hint="default"/>
      </w:rPr>
    </w:lvl>
    <w:lvl w:ilvl="2" w:tplc="14090005" w:tentative="1">
      <w:start w:val="1"/>
      <w:numFmt w:val="bullet"/>
      <w:lvlText w:val=""/>
      <w:lvlJc w:val="left"/>
      <w:pPr>
        <w:ind w:left="2175" w:hanging="360"/>
      </w:pPr>
      <w:rPr>
        <w:rFonts w:ascii="Wingdings" w:hAnsi="Wingdings" w:hint="default"/>
      </w:rPr>
    </w:lvl>
    <w:lvl w:ilvl="3" w:tplc="14090001" w:tentative="1">
      <w:start w:val="1"/>
      <w:numFmt w:val="bullet"/>
      <w:lvlText w:val=""/>
      <w:lvlJc w:val="left"/>
      <w:pPr>
        <w:ind w:left="2895" w:hanging="360"/>
      </w:pPr>
      <w:rPr>
        <w:rFonts w:ascii="Symbol" w:hAnsi="Symbol" w:hint="default"/>
      </w:rPr>
    </w:lvl>
    <w:lvl w:ilvl="4" w:tplc="14090003" w:tentative="1">
      <w:start w:val="1"/>
      <w:numFmt w:val="bullet"/>
      <w:lvlText w:val="o"/>
      <w:lvlJc w:val="left"/>
      <w:pPr>
        <w:ind w:left="3615" w:hanging="360"/>
      </w:pPr>
      <w:rPr>
        <w:rFonts w:ascii="Courier New" w:hAnsi="Courier New" w:cs="Courier New" w:hint="default"/>
      </w:rPr>
    </w:lvl>
    <w:lvl w:ilvl="5" w:tplc="14090005" w:tentative="1">
      <w:start w:val="1"/>
      <w:numFmt w:val="bullet"/>
      <w:lvlText w:val=""/>
      <w:lvlJc w:val="left"/>
      <w:pPr>
        <w:ind w:left="4335" w:hanging="360"/>
      </w:pPr>
      <w:rPr>
        <w:rFonts w:ascii="Wingdings" w:hAnsi="Wingdings" w:hint="default"/>
      </w:rPr>
    </w:lvl>
    <w:lvl w:ilvl="6" w:tplc="14090001" w:tentative="1">
      <w:start w:val="1"/>
      <w:numFmt w:val="bullet"/>
      <w:lvlText w:val=""/>
      <w:lvlJc w:val="left"/>
      <w:pPr>
        <w:ind w:left="5055" w:hanging="360"/>
      </w:pPr>
      <w:rPr>
        <w:rFonts w:ascii="Symbol" w:hAnsi="Symbol" w:hint="default"/>
      </w:rPr>
    </w:lvl>
    <w:lvl w:ilvl="7" w:tplc="14090003" w:tentative="1">
      <w:start w:val="1"/>
      <w:numFmt w:val="bullet"/>
      <w:lvlText w:val="o"/>
      <w:lvlJc w:val="left"/>
      <w:pPr>
        <w:ind w:left="5775" w:hanging="360"/>
      </w:pPr>
      <w:rPr>
        <w:rFonts w:ascii="Courier New" w:hAnsi="Courier New" w:cs="Courier New" w:hint="default"/>
      </w:rPr>
    </w:lvl>
    <w:lvl w:ilvl="8" w:tplc="14090005" w:tentative="1">
      <w:start w:val="1"/>
      <w:numFmt w:val="bullet"/>
      <w:lvlText w:val=""/>
      <w:lvlJc w:val="left"/>
      <w:pPr>
        <w:ind w:left="6495" w:hanging="360"/>
      </w:pPr>
      <w:rPr>
        <w:rFonts w:ascii="Wingdings" w:hAnsi="Wingdings" w:hint="default"/>
      </w:rPr>
    </w:lvl>
  </w:abstractNum>
  <w:abstractNum w:abstractNumId="42" w15:restartNumberingAfterBreak="0">
    <w:nsid w:val="27C03949"/>
    <w:multiLevelType w:val="hybridMultilevel"/>
    <w:tmpl w:val="CAFA58C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3" w15:restartNumberingAfterBreak="0">
    <w:nsid w:val="280F6EF1"/>
    <w:multiLevelType w:val="hybridMultilevel"/>
    <w:tmpl w:val="BD5294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44" w15:restartNumberingAfterBreak="0">
    <w:nsid w:val="28502DC1"/>
    <w:multiLevelType w:val="hybridMultilevel"/>
    <w:tmpl w:val="74C8A0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29543FCB"/>
    <w:multiLevelType w:val="hybridMultilevel"/>
    <w:tmpl w:val="C34233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29985F76"/>
    <w:multiLevelType w:val="hybridMultilevel"/>
    <w:tmpl w:val="4D144824"/>
    <w:lvl w:ilvl="0" w:tplc="B4FCA2AC">
      <w:start w:val="1"/>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A1C3150"/>
    <w:multiLevelType w:val="hybridMultilevel"/>
    <w:tmpl w:val="0BB8DB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B4A77ED"/>
    <w:multiLevelType w:val="hybridMultilevel"/>
    <w:tmpl w:val="09460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B94131E"/>
    <w:multiLevelType w:val="hybridMultilevel"/>
    <w:tmpl w:val="4EE40B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2DE02516"/>
    <w:multiLevelType w:val="hybridMultilevel"/>
    <w:tmpl w:val="0F06D518"/>
    <w:lvl w:ilvl="0" w:tplc="14090005">
      <w:start w:val="1"/>
      <w:numFmt w:val="bullet"/>
      <w:lvlText w:val=""/>
      <w:lvlJc w:val="left"/>
      <w:pPr>
        <w:ind w:left="1800" w:hanging="360"/>
      </w:pPr>
      <w:rPr>
        <w:rFonts w:ascii="Wingdings" w:hAnsi="Wingdings" w:hint="default"/>
      </w:rPr>
    </w:lvl>
    <w:lvl w:ilvl="1" w:tplc="14090001">
      <w:start w:val="1"/>
      <w:numFmt w:val="bullet"/>
      <w:lvlText w:val=""/>
      <w:lvlJc w:val="left"/>
      <w:pPr>
        <w:ind w:left="2520" w:hanging="360"/>
      </w:pPr>
      <w:rPr>
        <w:rFonts w:ascii="Symbol" w:hAnsi="Symbol"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1" w15:restartNumberingAfterBreak="0">
    <w:nsid w:val="2F243F8F"/>
    <w:multiLevelType w:val="hybridMultilevel"/>
    <w:tmpl w:val="DB7E1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2F6F6ED4"/>
    <w:multiLevelType w:val="hybridMultilevel"/>
    <w:tmpl w:val="06CC10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0724395"/>
    <w:multiLevelType w:val="hybridMultilevel"/>
    <w:tmpl w:val="CC2AE8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30833E3D"/>
    <w:multiLevelType w:val="hybridMultilevel"/>
    <w:tmpl w:val="0278F3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08D5B31"/>
    <w:multiLevelType w:val="hybridMultilevel"/>
    <w:tmpl w:val="84484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913C4F"/>
    <w:multiLevelType w:val="hybridMultilevel"/>
    <w:tmpl w:val="2034EF48"/>
    <w:lvl w:ilvl="0" w:tplc="14090001">
      <w:start w:val="1"/>
      <w:numFmt w:val="bullet"/>
      <w:lvlText w:val=""/>
      <w:lvlJc w:val="left"/>
      <w:pPr>
        <w:ind w:left="360" w:hanging="360"/>
      </w:pPr>
      <w:rPr>
        <w:rFonts w:ascii="Symbol" w:hAnsi="Symbol" w:hint="default"/>
      </w:rPr>
    </w:lvl>
    <w:lvl w:ilvl="1" w:tplc="BA723768">
      <w:start w:val="1"/>
      <w:numFmt w:val="bullet"/>
      <w:lvlText w:val="o"/>
      <w:lvlJc w:val="left"/>
      <w:pPr>
        <w:ind w:left="1080" w:hanging="360"/>
      </w:pPr>
      <w:rPr>
        <w:rFonts w:ascii="Courier New" w:hAnsi="Courier New" w:cs="Courier New" w:hint="default"/>
        <w:color w:val="000000"/>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328E28C6"/>
    <w:multiLevelType w:val="hybridMultilevel"/>
    <w:tmpl w:val="C43A73FC"/>
    <w:lvl w:ilvl="0" w:tplc="0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005" w:hanging="360"/>
      </w:pPr>
      <w:rPr>
        <w:rFonts w:ascii="Courier New" w:hAnsi="Courier New" w:cs="Courier New" w:hint="default"/>
      </w:rPr>
    </w:lvl>
    <w:lvl w:ilvl="2" w:tplc="14090005">
      <w:start w:val="1"/>
      <w:numFmt w:val="bullet"/>
      <w:lvlText w:val=""/>
      <w:lvlJc w:val="left"/>
      <w:pPr>
        <w:ind w:left="1725" w:hanging="360"/>
      </w:pPr>
      <w:rPr>
        <w:rFonts w:ascii="Wingdings" w:hAnsi="Wingdings" w:hint="default"/>
      </w:rPr>
    </w:lvl>
    <w:lvl w:ilvl="3" w:tplc="14090001" w:tentative="1">
      <w:start w:val="1"/>
      <w:numFmt w:val="bullet"/>
      <w:lvlText w:val=""/>
      <w:lvlJc w:val="left"/>
      <w:pPr>
        <w:ind w:left="2445" w:hanging="360"/>
      </w:pPr>
      <w:rPr>
        <w:rFonts w:ascii="Symbol" w:hAnsi="Symbol" w:hint="default"/>
      </w:rPr>
    </w:lvl>
    <w:lvl w:ilvl="4" w:tplc="14090003" w:tentative="1">
      <w:start w:val="1"/>
      <w:numFmt w:val="bullet"/>
      <w:lvlText w:val="o"/>
      <w:lvlJc w:val="left"/>
      <w:pPr>
        <w:ind w:left="3165" w:hanging="360"/>
      </w:pPr>
      <w:rPr>
        <w:rFonts w:ascii="Courier New" w:hAnsi="Courier New" w:cs="Courier New" w:hint="default"/>
      </w:rPr>
    </w:lvl>
    <w:lvl w:ilvl="5" w:tplc="14090005" w:tentative="1">
      <w:start w:val="1"/>
      <w:numFmt w:val="bullet"/>
      <w:lvlText w:val=""/>
      <w:lvlJc w:val="left"/>
      <w:pPr>
        <w:ind w:left="3885" w:hanging="360"/>
      </w:pPr>
      <w:rPr>
        <w:rFonts w:ascii="Wingdings" w:hAnsi="Wingdings" w:hint="default"/>
      </w:rPr>
    </w:lvl>
    <w:lvl w:ilvl="6" w:tplc="14090001" w:tentative="1">
      <w:start w:val="1"/>
      <w:numFmt w:val="bullet"/>
      <w:lvlText w:val=""/>
      <w:lvlJc w:val="left"/>
      <w:pPr>
        <w:ind w:left="4605" w:hanging="360"/>
      </w:pPr>
      <w:rPr>
        <w:rFonts w:ascii="Symbol" w:hAnsi="Symbol" w:hint="default"/>
      </w:rPr>
    </w:lvl>
    <w:lvl w:ilvl="7" w:tplc="14090003" w:tentative="1">
      <w:start w:val="1"/>
      <w:numFmt w:val="bullet"/>
      <w:lvlText w:val="o"/>
      <w:lvlJc w:val="left"/>
      <w:pPr>
        <w:ind w:left="5325" w:hanging="360"/>
      </w:pPr>
      <w:rPr>
        <w:rFonts w:ascii="Courier New" w:hAnsi="Courier New" w:cs="Courier New" w:hint="default"/>
      </w:rPr>
    </w:lvl>
    <w:lvl w:ilvl="8" w:tplc="14090005" w:tentative="1">
      <w:start w:val="1"/>
      <w:numFmt w:val="bullet"/>
      <w:lvlText w:val=""/>
      <w:lvlJc w:val="left"/>
      <w:pPr>
        <w:ind w:left="6045" w:hanging="360"/>
      </w:pPr>
      <w:rPr>
        <w:rFonts w:ascii="Wingdings" w:hAnsi="Wingdings" w:hint="default"/>
      </w:rPr>
    </w:lvl>
  </w:abstractNum>
  <w:abstractNum w:abstractNumId="58" w15:restartNumberingAfterBreak="0">
    <w:nsid w:val="335D3844"/>
    <w:multiLevelType w:val="hybridMultilevel"/>
    <w:tmpl w:val="96A00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33F0436C"/>
    <w:multiLevelType w:val="hybridMultilevel"/>
    <w:tmpl w:val="44667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35193C80"/>
    <w:multiLevelType w:val="hybridMultilevel"/>
    <w:tmpl w:val="88B4FB9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61" w15:restartNumberingAfterBreak="0">
    <w:nsid w:val="357204BB"/>
    <w:multiLevelType w:val="hybridMultilevel"/>
    <w:tmpl w:val="6868F1CE"/>
    <w:lvl w:ilvl="0" w:tplc="CBB0D0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389"/>
        </w:tabs>
        <w:ind w:left="2389" w:hanging="360"/>
      </w:pPr>
      <w:rPr>
        <w:rFonts w:ascii="Courier New" w:hAnsi="Courier New" w:cs="Courier New" w:hint="default"/>
      </w:rPr>
    </w:lvl>
    <w:lvl w:ilvl="2" w:tplc="08090005" w:tentative="1">
      <w:start w:val="1"/>
      <w:numFmt w:val="bullet"/>
      <w:lvlText w:val=""/>
      <w:lvlJc w:val="left"/>
      <w:pPr>
        <w:tabs>
          <w:tab w:val="num" w:pos="3109"/>
        </w:tabs>
        <w:ind w:left="3109" w:hanging="360"/>
      </w:pPr>
      <w:rPr>
        <w:rFonts w:ascii="Wingdings" w:hAnsi="Wingdings" w:hint="default"/>
      </w:rPr>
    </w:lvl>
    <w:lvl w:ilvl="3" w:tplc="08090001" w:tentative="1">
      <w:start w:val="1"/>
      <w:numFmt w:val="bullet"/>
      <w:lvlText w:val=""/>
      <w:lvlJc w:val="left"/>
      <w:pPr>
        <w:tabs>
          <w:tab w:val="num" w:pos="3829"/>
        </w:tabs>
        <w:ind w:left="3829" w:hanging="360"/>
      </w:pPr>
      <w:rPr>
        <w:rFonts w:ascii="Symbol" w:hAnsi="Symbol" w:hint="default"/>
      </w:rPr>
    </w:lvl>
    <w:lvl w:ilvl="4" w:tplc="08090003" w:tentative="1">
      <w:start w:val="1"/>
      <w:numFmt w:val="bullet"/>
      <w:lvlText w:val="o"/>
      <w:lvlJc w:val="left"/>
      <w:pPr>
        <w:tabs>
          <w:tab w:val="num" w:pos="4549"/>
        </w:tabs>
        <w:ind w:left="4549" w:hanging="360"/>
      </w:pPr>
      <w:rPr>
        <w:rFonts w:ascii="Courier New" w:hAnsi="Courier New" w:cs="Courier New" w:hint="default"/>
      </w:rPr>
    </w:lvl>
    <w:lvl w:ilvl="5" w:tplc="08090005" w:tentative="1">
      <w:start w:val="1"/>
      <w:numFmt w:val="bullet"/>
      <w:lvlText w:val=""/>
      <w:lvlJc w:val="left"/>
      <w:pPr>
        <w:tabs>
          <w:tab w:val="num" w:pos="5269"/>
        </w:tabs>
        <w:ind w:left="5269" w:hanging="360"/>
      </w:pPr>
      <w:rPr>
        <w:rFonts w:ascii="Wingdings" w:hAnsi="Wingdings" w:hint="default"/>
      </w:rPr>
    </w:lvl>
    <w:lvl w:ilvl="6" w:tplc="08090001" w:tentative="1">
      <w:start w:val="1"/>
      <w:numFmt w:val="bullet"/>
      <w:lvlText w:val=""/>
      <w:lvlJc w:val="left"/>
      <w:pPr>
        <w:tabs>
          <w:tab w:val="num" w:pos="5989"/>
        </w:tabs>
        <w:ind w:left="5989" w:hanging="360"/>
      </w:pPr>
      <w:rPr>
        <w:rFonts w:ascii="Symbol" w:hAnsi="Symbol" w:hint="default"/>
      </w:rPr>
    </w:lvl>
    <w:lvl w:ilvl="7" w:tplc="08090003" w:tentative="1">
      <w:start w:val="1"/>
      <w:numFmt w:val="bullet"/>
      <w:lvlText w:val="o"/>
      <w:lvlJc w:val="left"/>
      <w:pPr>
        <w:tabs>
          <w:tab w:val="num" w:pos="6709"/>
        </w:tabs>
        <w:ind w:left="6709" w:hanging="360"/>
      </w:pPr>
      <w:rPr>
        <w:rFonts w:ascii="Courier New" w:hAnsi="Courier New" w:cs="Courier New" w:hint="default"/>
      </w:rPr>
    </w:lvl>
    <w:lvl w:ilvl="8" w:tplc="08090005" w:tentative="1">
      <w:start w:val="1"/>
      <w:numFmt w:val="bullet"/>
      <w:lvlText w:val=""/>
      <w:lvlJc w:val="left"/>
      <w:pPr>
        <w:tabs>
          <w:tab w:val="num" w:pos="7429"/>
        </w:tabs>
        <w:ind w:left="7429" w:hanging="360"/>
      </w:pPr>
      <w:rPr>
        <w:rFonts w:ascii="Wingdings" w:hAnsi="Wingdings" w:hint="default"/>
      </w:rPr>
    </w:lvl>
  </w:abstractNum>
  <w:abstractNum w:abstractNumId="62" w15:restartNumberingAfterBreak="0">
    <w:nsid w:val="36435A04"/>
    <w:multiLevelType w:val="multilevel"/>
    <w:tmpl w:val="6EB0DE2E"/>
    <w:lvl w:ilvl="0">
      <w:start w:val="1"/>
      <w:numFmt w:val="decimal"/>
      <w:pStyle w:val="ListNumber"/>
      <w:lvlText w:val="%1."/>
      <w:lvlJc w:val="left"/>
      <w:pPr>
        <w:tabs>
          <w:tab w:val="num" w:pos="567"/>
        </w:tabs>
        <w:ind w:left="567" w:hanging="567"/>
      </w:pPr>
      <w:rPr>
        <w:rFonts w:ascii="Arial" w:hAnsi="Arial" w:hint="default"/>
        <w:b/>
        <w:i/>
        <w:sz w:val="24"/>
      </w:rPr>
    </w:lvl>
    <w:lvl w:ilvl="1">
      <w:start w:val="1"/>
      <w:numFmt w:val="lowerLetter"/>
      <w:pStyle w:val="ListNumber2"/>
      <w:lvlText w:val="(%2)"/>
      <w:lvlJc w:val="left"/>
      <w:pPr>
        <w:tabs>
          <w:tab w:val="num" w:pos="1134"/>
        </w:tabs>
        <w:ind w:left="1134" w:hanging="567"/>
      </w:pPr>
      <w:rPr>
        <w:rFonts w:ascii="Arial" w:hAnsi="Arial" w:hint="default"/>
        <w:sz w:val="24"/>
      </w:rPr>
    </w:lvl>
    <w:lvl w:ilvl="2">
      <w:start w:val="1"/>
      <w:numFmt w:val="lowerLetter"/>
      <w:pStyle w:val="ListNumber3"/>
      <w:lvlText w:val="(%3)"/>
      <w:lvlJc w:val="left"/>
      <w:pPr>
        <w:tabs>
          <w:tab w:val="num" w:pos="2552"/>
        </w:tabs>
        <w:ind w:left="2552" w:hanging="851"/>
      </w:pPr>
      <w:rPr>
        <w:rFonts w:ascii="Comic Sans MS" w:hAnsi="Comic Sans MS" w:hint="default"/>
        <w:sz w:val="20"/>
      </w:rPr>
    </w:lvl>
    <w:lvl w:ilvl="3">
      <w:start w:val="1"/>
      <w:numFmt w:val="lowerRoman"/>
      <w:pStyle w:val="ListNumber4"/>
      <w:lvlText w:val="(%4)"/>
      <w:lvlJc w:val="left"/>
      <w:pPr>
        <w:tabs>
          <w:tab w:val="num" w:pos="3402"/>
        </w:tabs>
        <w:ind w:left="3402" w:hanging="850"/>
      </w:pPr>
      <w:rPr>
        <w:rFonts w:ascii="Comic Sans MS" w:hAnsi="Comic Sans MS" w:hint="default"/>
        <w:sz w:val="20"/>
      </w:rPr>
    </w:lvl>
    <w:lvl w:ilvl="4">
      <w:start w:val="1"/>
      <w:numFmt w:val="decimal"/>
      <w:lvlText w:val=".%5."/>
      <w:lvlJc w:val="left"/>
      <w:pPr>
        <w:tabs>
          <w:tab w:val="num" w:pos="0"/>
        </w:tabs>
        <w:ind w:left="4253" w:hanging="851"/>
      </w:pPr>
      <w:rPr>
        <w:rFonts w:hint="default"/>
      </w:rPr>
    </w:lvl>
    <w:lvl w:ilvl="5">
      <w:start w:val="1"/>
      <w:numFmt w:val="decimal"/>
      <w:lvlText w:val=".%5.%6."/>
      <w:lvlJc w:val="left"/>
      <w:pPr>
        <w:tabs>
          <w:tab w:val="num" w:pos="0"/>
        </w:tabs>
        <w:ind w:left="5103" w:hanging="850"/>
      </w:pPr>
      <w:rPr>
        <w:rFonts w:hint="default"/>
      </w:rPr>
    </w:lvl>
    <w:lvl w:ilvl="6">
      <w:start w:val="1"/>
      <w:numFmt w:val="decimal"/>
      <w:lvlText w:val=".%5.%6.%7."/>
      <w:lvlJc w:val="left"/>
      <w:pPr>
        <w:tabs>
          <w:tab w:val="num" w:pos="0"/>
        </w:tabs>
        <w:ind w:left="5954" w:hanging="851"/>
      </w:pPr>
      <w:rPr>
        <w:rFonts w:hint="default"/>
      </w:rPr>
    </w:lvl>
    <w:lvl w:ilvl="7">
      <w:start w:val="1"/>
      <w:numFmt w:val="decimal"/>
      <w:lvlText w:val=".%5.%6.%7.%8."/>
      <w:lvlJc w:val="left"/>
      <w:pPr>
        <w:tabs>
          <w:tab w:val="num" w:pos="0"/>
        </w:tabs>
        <w:ind w:left="6804" w:hanging="850"/>
      </w:pPr>
      <w:rPr>
        <w:rFonts w:hint="default"/>
      </w:rPr>
    </w:lvl>
    <w:lvl w:ilvl="8">
      <w:start w:val="1"/>
      <w:numFmt w:val="decimal"/>
      <w:lvlText w:val=".%5.%6.%7.%8.%9."/>
      <w:lvlJc w:val="left"/>
      <w:pPr>
        <w:tabs>
          <w:tab w:val="num" w:pos="0"/>
        </w:tabs>
        <w:ind w:left="7655" w:hanging="851"/>
      </w:pPr>
      <w:rPr>
        <w:rFonts w:hint="default"/>
      </w:rPr>
    </w:lvl>
  </w:abstractNum>
  <w:abstractNum w:abstractNumId="63" w15:restartNumberingAfterBreak="0">
    <w:nsid w:val="36620325"/>
    <w:multiLevelType w:val="hybridMultilevel"/>
    <w:tmpl w:val="7CE49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37D80544"/>
    <w:multiLevelType w:val="hybridMultilevel"/>
    <w:tmpl w:val="6C02E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38705983"/>
    <w:multiLevelType w:val="hybridMultilevel"/>
    <w:tmpl w:val="5DB43C90"/>
    <w:lvl w:ilvl="0" w:tplc="04090001">
      <w:start w:val="1"/>
      <w:numFmt w:val="bullet"/>
      <w:lvlText w:val=""/>
      <w:lvlJc w:val="left"/>
      <w:pPr>
        <w:tabs>
          <w:tab w:val="num" w:pos="1431"/>
        </w:tabs>
        <w:ind w:left="1431" w:hanging="360"/>
      </w:pPr>
      <w:rPr>
        <w:rFonts w:ascii="Symbol" w:hAnsi="Symbol" w:hint="default"/>
      </w:rPr>
    </w:lvl>
    <w:lvl w:ilvl="1" w:tplc="04090003">
      <w:start w:val="1"/>
      <w:numFmt w:val="bullet"/>
      <w:lvlText w:val="o"/>
      <w:lvlJc w:val="left"/>
      <w:pPr>
        <w:tabs>
          <w:tab w:val="num" w:pos="2151"/>
        </w:tabs>
        <w:ind w:left="2151" w:hanging="360"/>
      </w:pPr>
      <w:rPr>
        <w:rFonts w:ascii="Courier New" w:hAnsi="Courier New" w:cs="Courier New" w:hint="default"/>
      </w:rPr>
    </w:lvl>
    <w:lvl w:ilvl="2" w:tplc="04090005" w:tentative="1">
      <w:start w:val="1"/>
      <w:numFmt w:val="bullet"/>
      <w:lvlText w:val=""/>
      <w:lvlJc w:val="left"/>
      <w:pPr>
        <w:tabs>
          <w:tab w:val="num" w:pos="2871"/>
        </w:tabs>
        <w:ind w:left="2871" w:hanging="360"/>
      </w:pPr>
      <w:rPr>
        <w:rFonts w:ascii="Wingdings" w:hAnsi="Wingdings" w:hint="default"/>
      </w:rPr>
    </w:lvl>
    <w:lvl w:ilvl="3" w:tplc="04090001" w:tentative="1">
      <w:start w:val="1"/>
      <w:numFmt w:val="bullet"/>
      <w:lvlText w:val=""/>
      <w:lvlJc w:val="left"/>
      <w:pPr>
        <w:tabs>
          <w:tab w:val="num" w:pos="3591"/>
        </w:tabs>
        <w:ind w:left="3591" w:hanging="360"/>
      </w:pPr>
      <w:rPr>
        <w:rFonts w:ascii="Symbol" w:hAnsi="Symbol" w:hint="default"/>
      </w:rPr>
    </w:lvl>
    <w:lvl w:ilvl="4" w:tplc="04090003" w:tentative="1">
      <w:start w:val="1"/>
      <w:numFmt w:val="bullet"/>
      <w:lvlText w:val="o"/>
      <w:lvlJc w:val="left"/>
      <w:pPr>
        <w:tabs>
          <w:tab w:val="num" w:pos="4311"/>
        </w:tabs>
        <w:ind w:left="4311" w:hanging="360"/>
      </w:pPr>
      <w:rPr>
        <w:rFonts w:ascii="Courier New" w:hAnsi="Courier New" w:cs="Courier New" w:hint="default"/>
      </w:rPr>
    </w:lvl>
    <w:lvl w:ilvl="5" w:tplc="04090005" w:tentative="1">
      <w:start w:val="1"/>
      <w:numFmt w:val="bullet"/>
      <w:lvlText w:val=""/>
      <w:lvlJc w:val="left"/>
      <w:pPr>
        <w:tabs>
          <w:tab w:val="num" w:pos="5031"/>
        </w:tabs>
        <w:ind w:left="5031" w:hanging="360"/>
      </w:pPr>
      <w:rPr>
        <w:rFonts w:ascii="Wingdings" w:hAnsi="Wingdings" w:hint="default"/>
      </w:rPr>
    </w:lvl>
    <w:lvl w:ilvl="6" w:tplc="04090001" w:tentative="1">
      <w:start w:val="1"/>
      <w:numFmt w:val="bullet"/>
      <w:lvlText w:val=""/>
      <w:lvlJc w:val="left"/>
      <w:pPr>
        <w:tabs>
          <w:tab w:val="num" w:pos="5751"/>
        </w:tabs>
        <w:ind w:left="5751" w:hanging="360"/>
      </w:pPr>
      <w:rPr>
        <w:rFonts w:ascii="Symbol" w:hAnsi="Symbol" w:hint="default"/>
      </w:rPr>
    </w:lvl>
    <w:lvl w:ilvl="7" w:tplc="04090003" w:tentative="1">
      <w:start w:val="1"/>
      <w:numFmt w:val="bullet"/>
      <w:lvlText w:val="o"/>
      <w:lvlJc w:val="left"/>
      <w:pPr>
        <w:tabs>
          <w:tab w:val="num" w:pos="6471"/>
        </w:tabs>
        <w:ind w:left="6471" w:hanging="360"/>
      </w:pPr>
      <w:rPr>
        <w:rFonts w:ascii="Courier New" w:hAnsi="Courier New" w:cs="Courier New" w:hint="default"/>
      </w:rPr>
    </w:lvl>
    <w:lvl w:ilvl="8" w:tplc="04090005" w:tentative="1">
      <w:start w:val="1"/>
      <w:numFmt w:val="bullet"/>
      <w:lvlText w:val=""/>
      <w:lvlJc w:val="left"/>
      <w:pPr>
        <w:tabs>
          <w:tab w:val="num" w:pos="7191"/>
        </w:tabs>
        <w:ind w:left="7191" w:hanging="360"/>
      </w:pPr>
      <w:rPr>
        <w:rFonts w:ascii="Wingdings" w:hAnsi="Wingdings" w:hint="default"/>
      </w:rPr>
    </w:lvl>
  </w:abstractNum>
  <w:abstractNum w:abstractNumId="66" w15:restartNumberingAfterBreak="0">
    <w:nsid w:val="38CE707D"/>
    <w:multiLevelType w:val="hybridMultilevel"/>
    <w:tmpl w:val="7AA0F1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39827F8D"/>
    <w:multiLevelType w:val="hybridMultilevel"/>
    <w:tmpl w:val="6226E584"/>
    <w:lvl w:ilvl="0" w:tplc="04090003">
      <w:start w:val="1"/>
      <w:numFmt w:val="bullet"/>
      <w:lvlText w:val="o"/>
      <w:lvlJc w:val="left"/>
      <w:pPr>
        <w:tabs>
          <w:tab w:val="num" w:pos="795"/>
        </w:tabs>
        <w:ind w:left="795" w:hanging="360"/>
      </w:pPr>
      <w:rPr>
        <w:rFonts w:ascii="Courier New" w:hAnsi="Courier New" w:cs="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8" w15:restartNumberingAfterBreak="0">
    <w:nsid w:val="3A6B4D7F"/>
    <w:multiLevelType w:val="hybridMultilevel"/>
    <w:tmpl w:val="94120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AA4713A"/>
    <w:multiLevelType w:val="hybridMultilevel"/>
    <w:tmpl w:val="03C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3AC131AE"/>
    <w:multiLevelType w:val="hybridMultilevel"/>
    <w:tmpl w:val="2C80A7B6"/>
    <w:lvl w:ilvl="0" w:tplc="DEB0B82E">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B8A515E"/>
    <w:multiLevelType w:val="hybridMultilevel"/>
    <w:tmpl w:val="9A94B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DC27EDC"/>
    <w:multiLevelType w:val="hybridMultilevel"/>
    <w:tmpl w:val="2D6A7F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3" w15:restartNumberingAfterBreak="0">
    <w:nsid w:val="40A11C80"/>
    <w:multiLevelType w:val="hybridMultilevel"/>
    <w:tmpl w:val="CB980AB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41AA597C"/>
    <w:multiLevelType w:val="hybridMultilevel"/>
    <w:tmpl w:val="65340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1CB4F3A"/>
    <w:multiLevelType w:val="hybridMultilevel"/>
    <w:tmpl w:val="62D28DC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6" w15:restartNumberingAfterBreak="0">
    <w:nsid w:val="451733A9"/>
    <w:multiLevelType w:val="hybridMultilevel"/>
    <w:tmpl w:val="C9486B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451F781D"/>
    <w:multiLevelType w:val="hybridMultilevel"/>
    <w:tmpl w:val="07FA4CB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45F04E98"/>
    <w:multiLevelType w:val="hybridMultilevel"/>
    <w:tmpl w:val="B2DC1118"/>
    <w:lvl w:ilvl="0" w:tplc="4C5AA42C">
      <w:numFmt w:val="bullet"/>
      <w:lvlText w:val="•"/>
      <w:lvlJc w:val="left"/>
      <w:pPr>
        <w:ind w:left="1440" w:hanging="72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9" w15:restartNumberingAfterBreak="0">
    <w:nsid w:val="479A12B0"/>
    <w:multiLevelType w:val="hybridMultilevel"/>
    <w:tmpl w:val="24A2C3F2"/>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47CA50E7"/>
    <w:multiLevelType w:val="hybridMultilevel"/>
    <w:tmpl w:val="DEE46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1" w15:restartNumberingAfterBreak="0">
    <w:nsid w:val="4A5908AD"/>
    <w:multiLevelType w:val="hybridMultilevel"/>
    <w:tmpl w:val="73BA0CDC"/>
    <w:lvl w:ilvl="0" w:tplc="14090001">
      <w:start w:val="1"/>
      <w:numFmt w:val="bullet"/>
      <w:lvlText w:val=""/>
      <w:lvlJc w:val="left"/>
      <w:pPr>
        <w:ind w:left="1540" w:hanging="360"/>
      </w:pPr>
      <w:rPr>
        <w:rFonts w:ascii="Symbol" w:hAnsi="Symbol" w:hint="default"/>
      </w:rPr>
    </w:lvl>
    <w:lvl w:ilvl="1" w:tplc="14090003" w:tentative="1">
      <w:start w:val="1"/>
      <w:numFmt w:val="bullet"/>
      <w:lvlText w:val="o"/>
      <w:lvlJc w:val="left"/>
      <w:pPr>
        <w:ind w:left="2260" w:hanging="360"/>
      </w:pPr>
      <w:rPr>
        <w:rFonts w:ascii="Courier New" w:hAnsi="Courier New" w:cs="Courier New" w:hint="default"/>
      </w:rPr>
    </w:lvl>
    <w:lvl w:ilvl="2" w:tplc="14090005" w:tentative="1">
      <w:start w:val="1"/>
      <w:numFmt w:val="bullet"/>
      <w:lvlText w:val=""/>
      <w:lvlJc w:val="left"/>
      <w:pPr>
        <w:ind w:left="2980" w:hanging="360"/>
      </w:pPr>
      <w:rPr>
        <w:rFonts w:ascii="Wingdings" w:hAnsi="Wingdings" w:hint="default"/>
      </w:rPr>
    </w:lvl>
    <w:lvl w:ilvl="3" w:tplc="14090001" w:tentative="1">
      <w:start w:val="1"/>
      <w:numFmt w:val="bullet"/>
      <w:lvlText w:val=""/>
      <w:lvlJc w:val="left"/>
      <w:pPr>
        <w:ind w:left="3700" w:hanging="360"/>
      </w:pPr>
      <w:rPr>
        <w:rFonts w:ascii="Symbol" w:hAnsi="Symbol" w:hint="default"/>
      </w:rPr>
    </w:lvl>
    <w:lvl w:ilvl="4" w:tplc="14090003" w:tentative="1">
      <w:start w:val="1"/>
      <w:numFmt w:val="bullet"/>
      <w:lvlText w:val="o"/>
      <w:lvlJc w:val="left"/>
      <w:pPr>
        <w:ind w:left="4420" w:hanging="360"/>
      </w:pPr>
      <w:rPr>
        <w:rFonts w:ascii="Courier New" w:hAnsi="Courier New" w:cs="Courier New" w:hint="default"/>
      </w:rPr>
    </w:lvl>
    <w:lvl w:ilvl="5" w:tplc="14090005" w:tentative="1">
      <w:start w:val="1"/>
      <w:numFmt w:val="bullet"/>
      <w:lvlText w:val=""/>
      <w:lvlJc w:val="left"/>
      <w:pPr>
        <w:ind w:left="5140" w:hanging="360"/>
      </w:pPr>
      <w:rPr>
        <w:rFonts w:ascii="Wingdings" w:hAnsi="Wingdings" w:hint="default"/>
      </w:rPr>
    </w:lvl>
    <w:lvl w:ilvl="6" w:tplc="14090001" w:tentative="1">
      <w:start w:val="1"/>
      <w:numFmt w:val="bullet"/>
      <w:lvlText w:val=""/>
      <w:lvlJc w:val="left"/>
      <w:pPr>
        <w:ind w:left="5860" w:hanging="360"/>
      </w:pPr>
      <w:rPr>
        <w:rFonts w:ascii="Symbol" w:hAnsi="Symbol" w:hint="default"/>
      </w:rPr>
    </w:lvl>
    <w:lvl w:ilvl="7" w:tplc="14090003" w:tentative="1">
      <w:start w:val="1"/>
      <w:numFmt w:val="bullet"/>
      <w:lvlText w:val="o"/>
      <w:lvlJc w:val="left"/>
      <w:pPr>
        <w:ind w:left="6580" w:hanging="360"/>
      </w:pPr>
      <w:rPr>
        <w:rFonts w:ascii="Courier New" w:hAnsi="Courier New" w:cs="Courier New" w:hint="default"/>
      </w:rPr>
    </w:lvl>
    <w:lvl w:ilvl="8" w:tplc="14090005" w:tentative="1">
      <w:start w:val="1"/>
      <w:numFmt w:val="bullet"/>
      <w:lvlText w:val=""/>
      <w:lvlJc w:val="left"/>
      <w:pPr>
        <w:ind w:left="7300" w:hanging="360"/>
      </w:pPr>
      <w:rPr>
        <w:rFonts w:ascii="Wingdings" w:hAnsi="Wingdings" w:hint="default"/>
      </w:rPr>
    </w:lvl>
  </w:abstractNum>
  <w:abstractNum w:abstractNumId="82" w15:restartNumberingAfterBreak="0">
    <w:nsid w:val="4AAF54E6"/>
    <w:multiLevelType w:val="hybridMultilevel"/>
    <w:tmpl w:val="135AD8A2"/>
    <w:lvl w:ilvl="0" w:tplc="63368DC4">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4B194737"/>
    <w:multiLevelType w:val="hybridMultilevel"/>
    <w:tmpl w:val="927E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BB46D08"/>
    <w:multiLevelType w:val="hybridMultilevel"/>
    <w:tmpl w:val="4C1C5330"/>
    <w:lvl w:ilvl="0" w:tplc="C50602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E7A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74F18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E28AA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0504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4FC8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8472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EBCB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A292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BFE1916"/>
    <w:multiLevelType w:val="hybridMultilevel"/>
    <w:tmpl w:val="229862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4C907709"/>
    <w:multiLevelType w:val="hybridMultilevel"/>
    <w:tmpl w:val="DA9C37BC"/>
    <w:lvl w:ilvl="0" w:tplc="F08CD476">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4D1E44F8"/>
    <w:multiLevelType w:val="hybridMultilevel"/>
    <w:tmpl w:val="F64C72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8" w15:restartNumberingAfterBreak="0">
    <w:nsid w:val="4D3648FE"/>
    <w:multiLevelType w:val="hybridMultilevel"/>
    <w:tmpl w:val="D8DE7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D3B17E9"/>
    <w:multiLevelType w:val="hybridMultilevel"/>
    <w:tmpl w:val="0CDCD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E4E3E19"/>
    <w:multiLevelType w:val="hybridMultilevel"/>
    <w:tmpl w:val="098488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1" w15:restartNumberingAfterBreak="0">
    <w:nsid w:val="4F692C1C"/>
    <w:multiLevelType w:val="hybridMultilevel"/>
    <w:tmpl w:val="E13AF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50B1557C"/>
    <w:multiLevelType w:val="hybridMultilevel"/>
    <w:tmpl w:val="6D561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51253055"/>
    <w:multiLevelType w:val="hybridMultilevel"/>
    <w:tmpl w:val="DBB2BF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19B76AB"/>
    <w:multiLevelType w:val="hybridMultilevel"/>
    <w:tmpl w:val="409AA4DA"/>
    <w:lvl w:ilvl="0" w:tplc="A9187AB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52041962"/>
    <w:multiLevelType w:val="hybridMultilevel"/>
    <w:tmpl w:val="DBDAD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6" w15:restartNumberingAfterBreak="0">
    <w:nsid w:val="542D7C01"/>
    <w:multiLevelType w:val="hybridMultilevel"/>
    <w:tmpl w:val="1A4AE1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7" w15:restartNumberingAfterBreak="0">
    <w:nsid w:val="5433627B"/>
    <w:multiLevelType w:val="hybridMultilevel"/>
    <w:tmpl w:val="97F4F476"/>
    <w:lvl w:ilvl="0" w:tplc="51A230FA">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5E218F6"/>
    <w:multiLevelType w:val="hybridMultilevel"/>
    <w:tmpl w:val="90C43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56025457"/>
    <w:multiLevelType w:val="hybridMultilevel"/>
    <w:tmpl w:val="C75A3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564025EE"/>
    <w:multiLevelType w:val="hybridMultilevel"/>
    <w:tmpl w:val="93F80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57B1685D"/>
    <w:multiLevelType w:val="hybridMultilevel"/>
    <w:tmpl w:val="298A21B4"/>
    <w:lvl w:ilvl="0" w:tplc="39A4B7E4">
      <w:start w:val="4"/>
      <w:numFmt w:val="bullet"/>
      <w:lvlText w:val="-"/>
      <w:lvlJc w:val="left"/>
      <w:pPr>
        <w:ind w:left="1080" w:hanging="360"/>
      </w:pPr>
      <w:rPr>
        <w:rFonts w:ascii="Verdana" w:eastAsia="Calibri" w:hAnsi="Verdana"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2" w15:restartNumberingAfterBreak="0">
    <w:nsid w:val="58340005"/>
    <w:multiLevelType w:val="hybridMultilevel"/>
    <w:tmpl w:val="BCF0E234"/>
    <w:lvl w:ilvl="0" w:tplc="5A049E4A">
      <w:start w:val="1"/>
      <w:numFmt w:val="bullet"/>
      <w:lvlText w:val=""/>
      <w:lvlJc w:val="left"/>
      <w:pPr>
        <w:tabs>
          <w:tab w:val="num" w:pos="338"/>
        </w:tabs>
        <w:ind w:left="338" w:hanging="284"/>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03" w15:restartNumberingAfterBreak="0">
    <w:nsid w:val="58365434"/>
    <w:multiLevelType w:val="hybridMultilevel"/>
    <w:tmpl w:val="B1F80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597F33D1"/>
    <w:multiLevelType w:val="hybridMultilevel"/>
    <w:tmpl w:val="0868E8C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5" w15:restartNumberingAfterBreak="0">
    <w:nsid w:val="59F85431"/>
    <w:multiLevelType w:val="hybridMultilevel"/>
    <w:tmpl w:val="A73C2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5A0D76F2"/>
    <w:multiLevelType w:val="hybridMultilevel"/>
    <w:tmpl w:val="D1A064BE"/>
    <w:lvl w:ilvl="0" w:tplc="C250195A">
      <w:start w:val="2012"/>
      <w:numFmt w:val="bullet"/>
      <w:lvlText w:val="-"/>
      <w:lvlJc w:val="left"/>
      <w:pPr>
        <w:ind w:left="360" w:hanging="360"/>
      </w:pPr>
      <w:rPr>
        <w:rFonts w:ascii="Arial" w:hAnsi="Arial" w:hint="default"/>
        <w:spacing w:val="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7" w15:restartNumberingAfterBreak="0">
    <w:nsid w:val="5A595F3A"/>
    <w:multiLevelType w:val="hybridMultilevel"/>
    <w:tmpl w:val="E03E3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B3A047C"/>
    <w:multiLevelType w:val="hybridMultilevel"/>
    <w:tmpl w:val="31E81552"/>
    <w:lvl w:ilvl="0" w:tplc="14090005">
      <w:start w:val="1"/>
      <w:numFmt w:val="bullet"/>
      <w:lvlText w:val=""/>
      <w:lvlJc w:val="left"/>
      <w:pPr>
        <w:ind w:left="2160" w:hanging="360"/>
      </w:pPr>
      <w:rPr>
        <w:rFonts w:ascii="Wingdings" w:hAnsi="Wingdings" w:hint="default"/>
      </w:rPr>
    </w:lvl>
    <w:lvl w:ilvl="1" w:tplc="14090003">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9" w15:restartNumberingAfterBreak="0">
    <w:nsid w:val="5BD96C36"/>
    <w:multiLevelType w:val="hybridMultilevel"/>
    <w:tmpl w:val="6624F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0" w15:restartNumberingAfterBreak="0">
    <w:nsid w:val="5DCE6F10"/>
    <w:multiLevelType w:val="hybridMultilevel"/>
    <w:tmpl w:val="118C8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5E5C45F0"/>
    <w:multiLevelType w:val="hybridMultilevel"/>
    <w:tmpl w:val="9154E1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5F883A8A"/>
    <w:multiLevelType w:val="hybridMultilevel"/>
    <w:tmpl w:val="4BD0B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620A555E"/>
    <w:multiLevelType w:val="hybridMultilevel"/>
    <w:tmpl w:val="6720B5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20D65E5"/>
    <w:multiLevelType w:val="hybridMultilevel"/>
    <w:tmpl w:val="AB5A2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2AD557C"/>
    <w:multiLevelType w:val="hybridMultilevel"/>
    <w:tmpl w:val="A2229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6361458B"/>
    <w:multiLevelType w:val="hybridMultilevel"/>
    <w:tmpl w:val="C388C36C"/>
    <w:lvl w:ilvl="0" w:tplc="1EF029C6">
      <w:start w:val="1"/>
      <w:numFmt w:val="decimal"/>
      <w:lvlText w:val="%1."/>
      <w:lvlJc w:val="left"/>
      <w:pPr>
        <w:ind w:left="720" w:hanging="360"/>
      </w:pPr>
      <w:rPr>
        <w:rFonts w:hint="default"/>
        <w:b w:val="0"/>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64210AB0"/>
    <w:multiLevelType w:val="hybridMultilevel"/>
    <w:tmpl w:val="E0C6A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650664E3"/>
    <w:multiLevelType w:val="hybridMultilevel"/>
    <w:tmpl w:val="4112A514"/>
    <w:lvl w:ilvl="0" w:tplc="14090001">
      <w:start w:val="1"/>
      <w:numFmt w:val="bullet"/>
      <w:lvlText w:val=""/>
      <w:lvlJc w:val="left"/>
      <w:pPr>
        <w:ind w:left="371" w:hanging="360"/>
      </w:pPr>
      <w:rPr>
        <w:rFonts w:ascii="Symbol" w:hAnsi="Symbol" w:hint="default"/>
      </w:rPr>
    </w:lvl>
    <w:lvl w:ilvl="1" w:tplc="14090003">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119" w15:restartNumberingAfterBreak="0">
    <w:nsid w:val="65803506"/>
    <w:multiLevelType w:val="hybridMultilevel"/>
    <w:tmpl w:val="E1D41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67783ACA"/>
    <w:multiLevelType w:val="hybridMultilevel"/>
    <w:tmpl w:val="2416A7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21" w15:restartNumberingAfterBreak="0">
    <w:nsid w:val="67B84758"/>
    <w:multiLevelType w:val="hybridMultilevel"/>
    <w:tmpl w:val="8CF4F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2" w15:restartNumberingAfterBreak="0">
    <w:nsid w:val="67D63B12"/>
    <w:multiLevelType w:val="hybridMultilevel"/>
    <w:tmpl w:val="CAAA7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68350511"/>
    <w:multiLevelType w:val="hybridMultilevel"/>
    <w:tmpl w:val="2A882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683C0589"/>
    <w:multiLevelType w:val="hybridMultilevel"/>
    <w:tmpl w:val="1B2835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5" w15:restartNumberingAfterBreak="0">
    <w:nsid w:val="690822BC"/>
    <w:multiLevelType w:val="hybridMultilevel"/>
    <w:tmpl w:val="9FD070F2"/>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26" w15:restartNumberingAfterBreak="0">
    <w:nsid w:val="6A6C04B8"/>
    <w:multiLevelType w:val="hybridMultilevel"/>
    <w:tmpl w:val="6E30C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6A771B38"/>
    <w:multiLevelType w:val="hybridMultilevel"/>
    <w:tmpl w:val="B582B58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8" w15:restartNumberingAfterBreak="0">
    <w:nsid w:val="6A8C38BE"/>
    <w:multiLevelType w:val="hybridMultilevel"/>
    <w:tmpl w:val="27FEBA5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9" w15:restartNumberingAfterBreak="0">
    <w:nsid w:val="6BEB6BAB"/>
    <w:multiLevelType w:val="hybridMultilevel"/>
    <w:tmpl w:val="0190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DC5749D"/>
    <w:multiLevelType w:val="hybridMultilevel"/>
    <w:tmpl w:val="21AE6A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6EAB69D4"/>
    <w:multiLevelType w:val="hybridMultilevel"/>
    <w:tmpl w:val="8C16C5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2" w15:restartNumberingAfterBreak="0">
    <w:nsid w:val="6F2475CA"/>
    <w:multiLevelType w:val="hybridMultilevel"/>
    <w:tmpl w:val="2ADA7AF6"/>
    <w:lvl w:ilvl="0" w:tplc="F08CD47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6FFD1AA1"/>
    <w:multiLevelType w:val="hybridMultilevel"/>
    <w:tmpl w:val="1A3AAD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700536B7"/>
    <w:multiLevelType w:val="hybridMultilevel"/>
    <w:tmpl w:val="AE4AB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15:restartNumberingAfterBreak="0">
    <w:nsid w:val="722F46C7"/>
    <w:multiLevelType w:val="hybridMultilevel"/>
    <w:tmpl w:val="21D43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766254C5"/>
    <w:multiLevelType w:val="hybridMultilevel"/>
    <w:tmpl w:val="9934E66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774305B8"/>
    <w:multiLevelType w:val="hybridMultilevel"/>
    <w:tmpl w:val="3506845A"/>
    <w:lvl w:ilvl="0" w:tplc="14090001">
      <w:start w:val="1"/>
      <w:numFmt w:val="bullet"/>
      <w:lvlText w:val=""/>
      <w:lvlJc w:val="left"/>
      <w:pPr>
        <w:ind w:left="735" w:hanging="360"/>
      </w:pPr>
      <w:rPr>
        <w:rFonts w:ascii="Symbol" w:hAnsi="Symbol" w:hint="default"/>
      </w:rPr>
    </w:lvl>
    <w:lvl w:ilvl="1" w:tplc="14090003" w:tentative="1">
      <w:start w:val="1"/>
      <w:numFmt w:val="bullet"/>
      <w:lvlText w:val="o"/>
      <w:lvlJc w:val="left"/>
      <w:pPr>
        <w:ind w:left="1455" w:hanging="360"/>
      </w:pPr>
      <w:rPr>
        <w:rFonts w:ascii="Courier New" w:hAnsi="Courier New" w:cs="Courier New" w:hint="default"/>
      </w:rPr>
    </w:lvl>
    <w:lvl w:ilvl="2" w:tplc="14090005" w:tentative="1">
      <w:start w:val="1"/>
      <w:numFmt w:val="bullet"/>
      <w:lvlText w:val=""/>
      <w:lvlJc w:val="left"/>
      <w:pPr>
        <w:ind w:left="2175" w:hanging="360"/>
      </w:pPr>
      <w:rPr>
        <w:rFonts w:ascii="Wingdings" w:hAnsi="Wingdings" w:hint="default"/>
      </w:rPr>
    </w:lvl>
    <w:lvl w:ilvl="3" w:tplc="14090001" w:tentative="1">
      <w:start w:val="1"/>
      <w:numFmt w:val="bullet"/>
      <w:lvlText w:val=""/>
      <w:lvlJc w:val="left"/>
      <w:pPr>
        <w:ind w:left="2895" w:hanging="360"/>
      </w:pPr>
      <w:rPr>
        <w:rFonts w:ascii="Symbol" w:hAnsi="Symbol" w:hint="default"/>
      </w:rPr>
    </w:lvl>
    <w:lvl w:ilvl="4" w:tplc="14090003" w:tentative="1">
      <w:start w:val="1"/>
      <w:numFmt w:val="bullet"/>
      <w:lvlText w:val="o"/>
      <w:lvlJc w:val="left"/>
      <w:pPr>
        <w:ind w:left="3615" w:hanging="360"/>
      </w:pPr>
      <w:rPr>
        <w:rFonts w:ascii="Courier New" w:hAnsi="Courier New" w:cs="Courier New" w:hint="default"/>
      </w:rPr>
    </w:lvl>
    <w:lvl w:ilvl="5" w:tplc="14090005" w:tentative="1">
      <w:start w:val="1"/>
      <w:numFmt w:val="bullet"/>
      <w:lvlText w:val=""/>
      <w:lvlJc w:val="left"/>
      <w:pPr>
        <w:ind w:left="4335" w:hanging="360"/>
      </w:pPr>
      <w:rPr>
        <w:rFonts w:ascii="Wingdings" w:hAnsi="Wingdings" w:hint="default"/>
      </w:rPr>
    </w:lvl>
    <w:lvl w:ilvl="6" w:tplc="14090001" w:tentative="1">
      <w:start w:val="1"/>
      <w:numFmt w:val="bullet"/>
      <w:lvlText w:val=""/>
      <w:lvlJc w:val="left"/>
      <w:pPr>
        <w:ind w:left="5055" w:hanging="360"/>
      </w:pPr>
      <w:rPr>
        <w:rFonts w:ascii="Symbol" w:hAnsi="Symbol" w:hint="default"/>
      </w:rPr>
    </w:lvl>
    <w:lvl w:ilvl="7" w:tplc="14090003" w:tentative="1">
      <w:start w:val="1"/>
      <w:numFmt w:val="bullet"/>
      <w:lvlText w:val="o"/>
      <w:lvlJc w:val="left"/>
      <w:pPr>
        <w:ind w:left="5775" w:hanging="360"/>
      </w:pPr>
      <w:rPr>
        <w:rFonts w:ascii="Courier New" w:hAnsi="Courier New" w:cs="Courier New" w:hint="default"/>
      </w:rPr>
    </w:lvl>
    <w:lvl w:ilvl="8" w:tplc="14090005" w:tentative="1">
      <w:start w:val="1"/>
      <w:numFmt w:val="bullet"/>
      <w:lvlText w:val=""/>
      <w:lvlJc w:val="left"/>
      <w:pPr>
        <w:ind w:left="6495" w:hanging="360"/>
      </w:pPr>
      <w:rPr>
        <w:rFonts w:ascii="Wingdings" w:hAnsi="Wingdings" w:hint="default"/>
      </w:rPr>
    </w:lvl>
  </w:abstractNum>
  <w:abstractNum w:abstractNumId="138" w15:restartNumberingAfterBreak="0">
    <w:nsid w:val="7804745F"/>
    <w:multiLevelType w:val="hybridMultilevel"/>
    <w:tmpl w:val="56C6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8F77056"/>
    <w:multiLevelType w:val="hybridMultilevel"/>
    <w:tmpl w:val="D424F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7A7767F4"/>
    <w:multiLevelType w:val="hybridMultilevel"/>
    <w:tmpl w:val="AA143572"/>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41" w15:restartNumberingAfterBreak="0">
    <w:nsid w:val="7A8E5C54"/>
    <w:multiLevelType w:val="hybridMultilevel"/>
    <w:tmpl w:val="CFA6A8C0"/>
    <w:lvl w:ilvl="0" w:tplc="04090001">
      <w:start w:val="1"/>
      <w:numFmt w:val="bullet"/>
      <w:lvlText w:val=""/>
      <w:lvlJc w:val="left"/>
      <w:pPr>
        <w:tabs>
          <w:tab w:val="num" w:pos="720"/>
        </w:tabs>
        <w:ind w:left="720" w:hanging="360"/>
      </w:pPr>
      <w:rPr>
        <w:rFonts w:ascii="Symbol" w:hAnsi="Symbol" w:hint="default"/>
      </w:rPr>
    </w:lvl>
    <w:lvl w:ilvl="1" w:tplc="4B0428A6">
      <w:start w:val="1"/>
      <w:numFmt w:val="decimal"/>
      <w:lvlText w:val="%2."/>
      <w:lvlJc w:val="left"/>
      <w:pPr>
        <w:tabs>
          <w:tab w:val="num" w:pos="360"/>
        </w:tabs>
        <w:ind w:left="360" w:hanging="360"/>
      </w:pPr>
      <w:rPr>
        <w:rFonts w:hint="default"/>
        <w:b/>
      </w:rPr>
    </w:lvl>
    <w:lvl w:ilvl="2" w:tplc="76BEEA28">
      <w:numFmt w:val="bullet"/>
      <w:lvlText w:val="·"/>
      <w:lvlJc w:val="left"/>
      <w:pPr>
        <w:ind w:left="2355" w:hanging="555"/>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B2F16DF"/>
    <w:multiLevelType w:val="hybridMultilevel"/>
    <w:tmpl w:val="2DCEBD9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3" w15:restartNumberingAfterBreak="0">
    <w:nsid w:val="7C1218D3"/>
    <w:multiLevelType w:val="singleLevel"/>
    <w:tmpl w:val="50BC9C9C"/>
    <w:lvl w:ilvl="0">
      <w:start w:val="1"/>
      <w:numFmt w:val="bullet"/>
      <w:pStyle w:val="Bullet"/>
      <w:lvlText w:val=""/>
      <w:lvlJc w:val="left"/>
      <w:pPr>
        <w:tabs>
          <w:tab w:val="num" w:pos="284"/>
        </w:tabs>
        <w:ind w:left="284" w:hanging="284"/>
      </w:pPr>
      <w:rPr>
        <w:rFonts w:ascii="Symbol" w:hAnsi="Symbol" w:hint="default"/>
        <w:color w:val="004288"/>
        <w:sz w:val="18"/>
        <w:szCs w:val="18"/>
      </w:rPr>
    </w:lvl>
  </w:abstractNum>
  <w:abstractNum w:abstractNumId="144" w15:restartNumberingAfterBreak="0">
    <w:nsid w:val="7C3C5A8E"/>
    <w:multiLevelType w:val="hybridMultilevel"/>
    <w:tmpl w:val="9B626B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7CA81D8E"/>
    <w:multiLevelType w:val="hybridMultilevel"/>
    <w:tmpl w:val="BDF02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6" w15:restartNumberingAfterBreak="0">
    <w:nsid w:val="7EE03557"/>
    <w:multiLevelType w:val="hybridMultilevel"/>
    <w:tmpl w:val="00144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7" w15:restartNumberingAfterBreak="0">
    <w:nsid w:val="7FA94234"/>
    <w:multiLevelType w:val="hybridMultilevel"/>
    <w:tmpl w:val="10FA8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FB221DC"/>
    <w:multiLevelType w:val="hybridMultilevel"/>
    <w:tmpl w:val="63542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9" w15:restartNumberingAfterBreak="0">
    <w:nsid w:val="7FE551FA"/>
    <w:multiLevelType w:val="hybridMultilevel"/>
    <w:tmpl w:val="5478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3"/>
  </w:num>
  <w:num w:numId="2">
    <w:abstractNumId w:val="62"/>
  </w:num>
  <w:num w:numId="3">
    <w:abstractNumId w:val="14"/>
  </w:num>
  <w:num w:numId="4">
    <w:abstractNumId w:val="76"/>
  </w:num>
  <w:num w:numId="5">
    <w:abstractNumId w:val="74"/>
  </w:num>
  <w:num w:numId="6">
    <w:abstractNumId w:val="103"/>
  </w:num>
  <w:num w:numId="7">
    <w:abstractNumId w:val="48"/>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146"/>
  </w:num>
  <w:num w:numId="10">
    <w:abstractNumId w:val="139"/>
  </w:num>
  <w:num w:numId="11">
    <w:abstractNumId w:val="37"/>
  </w:num>
  <w:num w:numId="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1"/>
    <w:lvlOverride w:ilvl="0"/>
    <w:lvlOverride w:ilvl="1">
      <w:startOverride w:val="1"/>
    </w:lvlOverride>
    <w:lvlOverride w:ilvl="2"/>
    <w:lvlOverride w:ilvl="3"/>
    <w:lvlOverride w:ilvl="4"/>
    <w:lvlOverride w:ilvl="5"/>
    <w:lvlOverride w:ilvl="6"/>
    <w:lvlOverride w:ilvl="7"/>
    <w:lvlOverride w:ilvl="8"/>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num>
  <w:num w:numId="26">
    <w:abstractNumId w:val="58"/>
  </w:num>
  <w:num w:numId="27">
    <w:abstractNumId w:val="65"/>
  </w:num>
  <w:num w:numId="28">
    <w:abstractNumId w:val="12"/>
  </w:num>
  <w:num w:numId="29">
    <w:abstractNumId w:val="69"/>
  </w:num>
  <w:num w:numId="30">
    <w:abstractNumId w:val="114"/>
  </w:num>
  <w:num w:numId="31">
    <w:abstractNumId w:val="77"/>
  </w:num>
  <w:num w:numId="32">
    <w:abstractNumId w:val="61"/>
  </w:num>
  <w:num w:numId="33">
    <w:abstractNumId w:val="20"/>
  </w:num>
  <w:num w:numId="34">
    <w:abstractNumId w:val="55"/>
  </w:num>
  <w:num w:numId="35">
    <w:abstractNumId w:val="149"/>
  </w:num>
  <w:num w:numId="36">
    <w:abstractNumId w:val="83"/>
  </w:num>
  <w:num w:numId="37">
    <w:abstractNumId w:val="79"/>
  </w:num>
  <w:num w:numId="38">
    <w:abstractNumId w:val="144"/>
  </w:num>
  <w:num w:numId="39">
    <w:abstractNumId w:val="33"/>
  </w:num>
  <w:num w:numId="40">
    <w:abstractNumId w:val="32"/>
  </w:num>
  <w:num w:numId="41">
    <w:abstractNumId w:val="105"/>
  </w:num>
  <w:num w:numId="42">
    <w:abstractNumId w:val="3"/>
  </w:num>
  <w:num w:numId="43">
    <w:abstractNumId w:val="148"/>
  </w:num>
  <w:num w:numId="44">
    <w:abstractNumId w:val="43"/>
  </w:num>
  <w:num w:numId="45">
    <w:abstractNumId w:val="106"/>
  </w:num>
  <w:num w:numId="46">
    <w:abstractNumId w:val="123"/>
  </w:num>
  <w:num w:numId="47">
    <w:abstractNumId w:val="6"/>
  </w:num>
  <w:num w:numId="48">
    <w:abstractNumId w:val="31"/>
  </w:num>
  <w:num w:numId="49">
    <w:abstractNumId w:val="89"/>
  </w:num>
  <w:num w:numId="50">
    <w:abstractNumId w:val="98"/>
  </w:num>
  <w:num w:numId="51">
    <w:abstractNumId w:val="117"/>
  </w:num>
  <w:num w:numId="52">
    <w:abstractNumId w:val="68"/>
  </w:num>
  <w:num w:numId="53">
    <w:abstractNumId w:val="8"/>
  </w:num>
  <w:num w:numId="54">
    <w:abstractNumId w:val="81"/>
  </w:num>
  <w:num w:numId="55">
    <w:abstractNumId w:val="100"/>
  </w:num>
  <w:num w:numId="56">
    <w:abstractNumId w:val="28"/>
  </w:num>
  <w:num w:numId="57">
    <w:abstractNumId w:val="23"/>
  </w:num>
  <w:num w:numId="58">
    <w:abstractNumId w:val="34"/>
  </w:num>
  <w:num w:numId="59">
    <w:abstractNumId w:val="17"/>
  </w:num>
  <w:num w:numId="60">
    <w:abstractNumId w:val="63"/>
  </w:num>
  <w:num w:numId="61">
    <w:abstractNumId w:val="78"/>
  </w:num>
  <w:num w:numId="62">
    <w:abstractNumId w:val="44"/>
  </w:num>
  <w:num w:numId="63">
    <w:abstractNumId w:val="51"/>
  </w:num>
  <w:num w:numId="64">
    <w:abstractNumId w:val="133"/>
  </w:num>
  <w:num w:numId="65">
    <w:abstractNumId w:val="107"/>
  </w:num>
  <w:num w:numId="66">
    <w:abstractNumId w:val="97"/>
  </w:num>
  <w:num w:numId="67">
    <w:abstractNumId w:val="11"/>
  </w:num>
  <w:num w:numId="68">
    <w:abstractNumId w:val="70"/>
  </w:num>
  <w:num w:numId="69">
    <w:abstractNumId w:val="25"/>
  </w:num>
  <w:num w:numId="70">
    <w:abstractNumId w:val="73"/>
  </w:num>
  <w:num w:numId="71">
    <w:abstractNumId w:val="124"/>
  </w:num>
  <w:num w:numId="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27"/>
  </w:num>
  <w:num w:numId="75">
    <w:abstractNumId w:val="92"/>
  </w:num>
  <w:num w:numId="76">
    <w:abstractNumId w:val="113"/>
  </w:num>
  <w:num w:numId="77">
    <w:abstractNumId w:val="13"/>
  </w:num>
  <w:num w:numId="78">
    <w:abstractNumId w:val="115"/>
  </w:num>
  <w:num w:numId="79">
    <w:abstractNumId w:val="91"/>
  </w:num>
  <w:num w:numId="80">
    <w:abstractNumId w:val="104"/>
  </w:num>
  <w:num w:numId="81">
    <w:abstractNumId w:val="45"/>
  </w:num>
  <w:num w:numId="82">
    <w:abstractNumId w:val="1"/>
  </w:num>
  <w:num w:numId="83">
    <w:abstractNumId w:val="5"/>
  </w:num>
  <w:num w:numId="84">
    <w:abstractNumId w:val="9"/>
  </w:num>
  <w:num w:numId="85">
    <w:abstractNumId w:val="101"/>
  </w:num>
  <w:num w:numId="86">
    <w:abstractNumId w:val="4"/>
  </w:num>
  <w:num w:numId="87">
    <w:abstractNumId w:val="42"/>
  </w:num>
  <w:num w:numId="88">
    <w:abstractNumId w:val="35"/>
  </w:num>
  <w:num w:numId="89">
    <w:abstractNumId w:val="7"/>
  </w:num>
  <w:num w:numId="90">
    <w:abstractNumId w:val="54"/>
  </w:num>
  <w:num w:numId="91">
    <w:abstractNumId w:val="30"/>
  </w:num>
  <w:num w:numId="92">
    <w:abstractNumId w:val="119"/>
  </w:num>
  <w:num w:numId="93">
    <w:abstractNumId w:val="80"/>
  </w:num>
  <w:num w:numId="94">
    <w:abstractNumId w:val="129"/>
  </w:num>
  <w:num w:numId="95">
    <w:abstractNumId w:val="88"/>
  </w:num>
  <w:num w:numId="96">
    <w:abstractNumId w:val="46"/>
  </w:num>
  <w:num w:numId="97">
    <w:abstractNumId w:val="122"/>
  </w:num>
  <w:num w:numId="98">
    <w:abstractNumId w:val="64"/>
  </w:num>
  <w:num w:numId="99">
    <w:abstractNumId w:val="110"/>
  </w:num>
  <w:num w:numId="100">
    <w:abstractNumId w:val="127"/>
  </w:num>
  <w:num w:numId="101">
    <w:abstractNumId w:val="136"/>
  </w:num>
  <w:num w:numId="102">
    <w:abstractNumId w:val="118"/>
  </w:num>
  <w:num w:numId="103">
    <w:abstractNumId w:val="71"/>
  </w:num>
  <w:num w:numId="104">
    <w:abstractNumId w:val="66"/>
  </w:num>
  <w:num w:numId="105">
    <w:abstractNumId w:val="126"/>
  </w:num>
  <w:num w:numId="106">
    <w:abstractNumId w:val="19"/>
  </w:num>
  <w:num w:numId="107">
    <w:abstractNumId w:val="99"/>
  </w:num>
  <w:num w:numId="108">
    <w:abstractNumId w:val="16"/>
  </w:num>
  <w:num w:numId="109">
    <w:abstractNumId w:val="109"/>
  </w:num>
  <w:num w:numId="110">
    <w:abstractNumId w:val="125"/>
  </w:num>
  <w:num w:numId="111">
    <w:abstractNumId w:val="41"/>
  </w:num>
  <w:num w:numId="112">
    <w:abstractNumId w:val="60"/>
  </w:num>
  <w:num w:numId="113">
    <w:abstractNumId w:val="135"/>
  </w:num>
  <w:num w:numId="114">
    <w:abstractNumId w:val="59"/>
  </w:num>
  <w:num w:numId="115">
    <w:abstractNumId w:val="134"/>
  </w:num>
  <w:num w:numId="116">
    <w:abstractNumId w:val="137"/>
  </w:num>
  <w:num w:numId="117">
    <w:abstractNumId w:val="145"/>
  </w:num>
  <w:num w:numId="118">
    <w:abstractNumId w:val="120"/>
  </w:num>
  <w:num w:numId="119">
    <w:abstractNumId w:val="98"/>
  </w:num>
  <w:num w:numId="120">
    <w:abstractNumId w:val="57"/>
  </w:num>
  <w:num w:numId="121">
    <w:abstractNumId w:val="131"/>
  </w:num>
  <w:num w:numId="122">
    <w:abstractNumId w:val="2"/>
  </w:num>
  <w:num w:numId="123">
    <w:abstractNumId w:val="18"/>
  </w:num>
  <w:num w:numId="124">
    <w:abstractNumId w:val="15"/>
  </w:num>
  <w:num w:numId="125">
    <w:abstractNumId w:val="87"/>
  </w:num>
  <w:num w:numId="126">
    <w:abstractNumId w:val="94"/>
  </w:num>
  <w:num w:numId="127">
    <w:abstractNumId w:val="111"/>
  </w:num>
  <w:num w:numId="128">
    <w:abstractNumId w:val="128"/>
  </w:num>
  <w:num w:numId="129">
    <w:abstractNumId w:val="56"/>
  </w:num>
  <w:num w:numId="130">
    <w:abstractNumId w:val="85"/>
  </w:num>
  <w:num w:numId="131">
    <w:abstractNumId w:val="121"/>
  </w:num>
  <w:num w:numId="132">
    <w:abstractNumId w:val="10"/>
  </w:num>
  <w:num w:numId="133">
    <w:abstractNumId w:val="142"/>
  </w:num>
  <w:num w:numId="134">
    <w:abstractNumId w:val="53"/>
  </w:num>
  <w:num w:numId="135">
    <w:abstractNumId w:val="95"/>
  </w:num>
  <w:num w:numId="136">
    <w:abstractNumId w:val="90"/>
  </w:num>
  <w:num w:numId="137">
    <w:abstractNumId w:val="40"/>
  </w:num>
  <w:num w:numId="138">
    <w:abstractNumId w:val="38"/>
  </w:num>
  <w:num w:numId="139">
    <w:abstractNumId w:val="116"/>
  </w:num>
  <w:num w:numId="140">
    <w:abstractNumId w:val="82"/>
  </w:num>
  <w:num w:numId="141">
    <w:abstractNumId w:val="49"/>
  </w:num>
  <w:num w:numId="142">
    <w:abstractNumId w:val="36"/>
  </w:num>
  <w:num w:numId="143">
    <w:abstractNumId w:val="84"/>
  </w:num>
  <w:num w:numId="144">
    <w:abstractNumId w:val="21"/>
  </w:num>
  <w:num w:numId="145">
    <w:abstractNumId w:val="75"/>
  </w:num>
  <w:num w:numId="146">
    <w:abstractNumId w:val="140"/>
  </w:num>
  <w:num w:numId="147">
    <w:abstractNumId w:val="39"/>
  </w:num>
  <w:num w:numId="148">
    <w:abstractNumId w:val="108"/>
  </w:num>
  <w:num w:numId="149">
    <w:abstractNumId w:val="50"/>
  </w:num>
  <w:num w:numId="150">
    <w:abstractNumId w:val="29"/>
  </w:num>
  <w:num w:numId="151">
    <w:abstractNumId w:val="112"/>
  </w:num>
  <w:num w:numId="152">
    <w:abstractNumId w:val="7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12"/>
    <w:rsid w:val="00002433"/>
    <w:rsid w:val="0000335E"/>
    <w:rsid w:val="000034A8"/>
    <w:rsid w:val="0000506D"/>
    <w:rsid w:val="000062DD"/>
    <w:rsid w:val="0000646E"/>
    <w:rsid w:val="00006DD4"/>
    <w:rsid w:val="00007814"/>
    <w:rsid w:val="00007B54"/>
    <w:rsid w:val="00007CC1"/>
    <w:rsid w:val="00007F1C"/>
    <w:rsid w:val="00010581"/>
    <w:rsid w:val="000107CC"/>
    <w:rsid w:val="00010933"/>
    <w:rsid w:val="00012780"/>
    <w:rsid w:val="00012D90"/>
    <w:rsid w:val="00013046"/>
    <w:rsid w:val="00013290"/>
    <w:rsid w:val="00013367"/>
    <w:rsid w:val="00013E05"/>
    <w:rsid w:val="00014103"/>
    <w:rsid w:val="000143E7"/>
    <w:rsid w:val="00014445"/>
    <w:rsid w:val="00015369"/>
    <w:rsid w:val="0001603C"/>
    <w:rsid w:val="00016588"/>
    <w:rsid w:val="00016B61"/>
    <w:rsid w:val="00017A29"/>
    <w:rsid w:val="000201C1"/>
    <w:rsid w:val="00020333"/>
    <w:rsid w:val="0002061A"/>
    <w:rsid w:val="00020979"/>
    <w:rsid w:val="00020F69"/>
    <w:rsid w:val="000213DB"/>
    <w:rsid w:val="000216AB"/>
    <w:rsid w:val="000218B1"/>
    <w:rsid w:val="00021FF4"/>
    <w:rsid w:val="0002243D"/>
    <w:rsid w:val="00023173"/>
    <w:rsid w:val="00023FB7"/>
    <w:rsid w:val="00024F77"/>
    <w:rsid w:val="0002508C"/>
    <w:rsid w:val="00025F01"/>
    <w:rsid w:val="000267CE"/>
    <w:rsid w:val="00026F40"/>
    <w:rsid w:val="0002704F"/>
    <w:rsid w:val="00030506"/>
    <w:rsid w:val="00030579"/>
    <w:rsid w:val="000308A9"/>
    <w:rsid w:val="000308D5"/>
    <w:rsid w:val="0003243B"/>
    <w:rsid w:val="000329AA"/>
    <w:rsid w:val="00033597"/>
    <w:rsid w:val="00033D1D"/>
    <w:rsid w:val="0003441E"/>
    <w:rsid w:val="000354AB"/>
    <w:rsid w:val="00036325"/>
    <w:rsid w:val="00036FA4"/>
    <w:rsid w:val="000376AA"/>
    <w:rsid w:val="000376B2"/>
    <w:rsid w:val="00037AA1"/>
    <w:rsid w:val="00037EF3"/>
    <w:rsid w:val="00041208"/>
    <w:rsid w:val="00041DD8"/>
    <w:rsid w:val="0004264C"/>
    <w:rsid w:val="000429A6"/>
    <w:rsid w:val="00042E73"/>
    <w:rsid w:val="00042F1B"/>
    <w:rsid w:val="0004351C"/>
    <w:rsid w:val="000436D2"/>
    <w:rsid w:val="00043F5A"/>
    <w:rsid w:val="0004400A"/>
    <w:rsid w:val="000448C8"/>
    <w:rsid w:val="00044F75"/>
    <w:rsid w:val="00045308"/>
    <w:rsid w:val="0004534C"/>
    <w:rsid w:val="0004579D"/>
    <w:rsid w:val="00050077"/>
    <w:rsid w:val="0005016F"/>
    <w:rsid w:val="00050471"/>
    <w:rsid w:val="00051322"/>
    <w:rsid w:val="000518C1"/>
    <w:rsid w:val="00051BC7"/>
    <w:rsid w:val="00051FE9"/>
    <w:rsid w:val="00052456"/>
    <w:rsid w:val="000529F8"/>
    <w:rsid w:val="00053A22"/>
    <w:rsid w:val="00053B74"/>
    <w:rsid w:val="00053ECF"/>
    <w:rsid w:val="000551F7"/>
    <w:rsid w:val="00056542"/>
    <w:rsid w:val="00056D22"/>
    <w:rsid w:val="000572DD"/>
    <w:rsid w:val="000574E9"/>
    <w:rsid w:val="00057BBA"/>
    <w:rsid w:val="00057D9F"/>
    <w:rsid w:val="00060206"/>
    <w:rsid w:val="00060A02"/>
    <w:rsid w:val="00060D22"/>
    <w:rsid w:val="00061156"/>
    <w:rsid w:val="00061465"/>
    <w:rsid w:val="00061CD7"/>
    <w:rsid w:val="00061FF8"/>
    <w:rsid w:val="00062D34"/>
    <w:rsid w:val="00064227"/>
    <w:rsid w:val="00065093"/>
    <w:rsid w:val="00065EDF"/>
    <w:rsid w:val="000666CD"/>
    <w:rsid w:val="00066743"/>
    <w:rsid w:val="00066A1D"/>
    <w:rsid w:val="0007044C"/>
    <w:rsid w:val="00070EC5"/>
    <w:rsid w:val="00071C25"/>
    <w:rsid w:val="00071E71"/>
    <w:rsid w:val="0007231E"/>
    <w:rsid w:val="000724AA"/>
    <w:rsid w:val="00072F66"/>
    <w:rsid w:val="00073F71"/>
    <w:rsid w:val="00074523"/>
    <w:rsid w:val="00074763"/>
    <w:rsid w:val="00074885"/>
    <w:rsid w:val="00074C26"/>
    <w:rsid w:val="00074D7B"/>
    <w:rsid w:val="00075000"/>
    <w:rsid w:val="000750EA"/>
    <w:rsid w:val="0007551D"/>
    <w:rsid w:val="00075574"/>
    <w:rsid w:val="000756DE"/>
    <w:rsid w:val="00075954"/>
    <w:rsid w:val="00075A71"/>
    <w:rsid w:val="000775AA"/>
    <w:rsid w:val="00077762"/>
    <w:rsid w:val="00077A0F"/>
    <w:rsid w:val="00080B6D"/>
    <w:rsid w:val="00080FAF"/>
    <w:rsid w:val="000815F7"/>
    <w:rsid w:val="00081864"/>
    <w:rsid w:val="00081D81"/>
    <w:rsid w:val="00081E99"/>
    <w:rsid w:val="0008228D"/>
    <w:rsid w:val="000822D0"/>
    <w:rsid w:val="00082D73"/>
    <w:rsid w:val="000835AE"/>
    <w:rsid w:val="000838E1"/>
    <w:rsid w:val="0008394B"/>
    <w:rsid w:val="00083ADA"/>
    <w:rsid w:val="00083CCA"/>
    <w:rsid w:val="00083D06"/>
    <w:rsid w:val="0008421E"/>
    <w:rsid w:val="000843BF"/>
    <w:rsid w:val="00084C90"/>
    <w:rsid w:val="0008503A"/>
    <w:rsid w:val="00090782"/>
    <w:rsid w:val="000908F8"/>
    <w:rsid w:val="00090C52"/>
    <w:rsid w:val="00091772"/>
    <w:rsid w:val="00091D89"/>
    <w:rsid w:val="0009213B"/>
    <w:rsid w:val="000921F1"/>
    <w:rsid w:val="000930E7"/>
    <w:rsid w:val="00093C90"/>
    <w:rsid w:val="00095283"/>
    <w:rsid w:val="000961C0"/>
    <w:rsid w:val="00097A31"/>
    <w:rsid w:val="00097BEF"/>
    <w:rsid w:val="000A0247"/>
    <w:rsid w:val="000A0971"/>
    <w:rsid w:val="000A1189"/>
    <w:rsid w:val="000A1363"/>
    <w:rsid w:val="000A177B"/>
    <w:rsid w:val="000A27DD"/>
    <w:rsid w:val="000A2DA4"/>
    <w:rsid w:val="000A3572"/>
    <w:rsid w:val="000A35E7"/>
    <w:rsid w:val="000A3875"/>
    <w:rsid w:val="000A3C8B"/>
    <w:rsid w:val="000A3EEE"/>
    <w:rsid w:val="000A52F5"/>
    <w:rsid w:val="000A54FC"/>
    <w:rsid w:val="000A5D3D"/>
    <w:rsid w:val="000A5E06"/>
    <w:rsid w:val="000A6463"/>
    <w:rsid w:val="000A65F3"/>
    <w:rsid w:val="000A6C3F"/>
    <w:rsid w:val="000A6F25"/>
    <w:rsid w:val="000A6FDE"/>
    <w:rsid w:val="000B030D"/>
    <w:rsid w:val="000B06F7"/>
    <w:rsid w:val="000B0857"/>
    <w:rsid w:val="000B1193"/>
    <w:rsid w:val="000B1AFB"/>
    <w:rsid w:val="000B1C5D"/>
    <w:rsid w:val="000B2DFF"/>
    <w:rsid w:val="000B2FE2"/>
    <w:rsid w:val="000B39B7"/>
    <w:rsid w:val="000B3FB0"/>
    <w:rsid w:val="000B46AA"/>
    <w:rsid w:val="000B49CA"/>
    <w:rsid w:val="000B51D9"/>
    <w:rsid w:val="000B5290"/>
    <w:rsid w:val="000B615C"/>
    <w:rsid w:val="000B63BE"/>
    <w:rsid w:val="000B76C2"/>
    <w:rsid w:val="000C02E0"/>
    <w:rsid w:val="000C0C7D"/>
    <w:rsid w:val="000C112E"/>
    <w:rsid w:val="000C30D3"/>
    <w:rsid w:val="000C4AE5"/>
    <w:rsid w:val="000C4E46"/>
    <w:rsid w:val="000C5FA2"/>
    <w:rsid w:val="000C669D"/>
    <w:rsid w:val="000C6B6D"/>
    <w:rsid w:val="000C7DF4"/>
    <w:rsid w:val="000C7F35"/>
    <w:rsid w:val="000D1DD9"/>
    <w:rsid w:val="000D1E91"/>
    <w:rsid w:val="000D1EF6"/>
    <w:rsid w:val="000D2171"/>
    <w:rsid w:val="000D238F"/>
    <w:rsid w:val="000D2D67"/>
    <w:rsid w:val="000D30CE"/>
    <w:rsid w:val="000D32AD"/>
    <w:rsid w:val="000D39C5"/>
    <w:rsid w:val="000D49DF"/>
    <w:rsid w:val="000D4AB4"/>
    <w:rsid w:val="000D527C"/>
    <w:rsid w:val="000D629F"/>
    <w:rsid w:val="000D6618"/>
    <w:rsid w:val="000D6CCF"/>
    <w:rsid w:val="000D738E"/>
    <w:rsid w:val="000D7572"/>
    <w:rsid w:val="000D783A"/>
    <w:rsid w:val="000D7AF5"/>
    <w:rsid w:val="000E0A98"/>
    <w:rsid w:val="000E108B"/>
    <w:rsid w:val="000E112B"/>
    <w:rsid w:val="000E1649"/>
    <w:rsid w:val="000E26CC"/>
    <w:rsid w:val="000E2885"/>
    <w:rsid w:val="000E40CE"/>
    <w:rsid w:val="000E553D"/>
    <w:rsid w:val="000E604F"/>
    <w:rsid w:val="000E6085"/>
    <w:rsid w:val="000E67B8"/>
    <w:rsid w:val="000E68F9"/>
    <w:rsid w:val="000E6A0C"/>
    <w:rsid w:val="000E7BCD"/>
    <w:rsid w:val="000F0B0E"/>
    <w:rsid w:val="000F11DA"/>
    <w:rsid w:val="000F197B"/>
    <w:rsid w:val="000F19EF"/>
    <w:rsid w:val="000F1F9C"/>
    <w:rsid w:val="000F214A"/>
    <w:rsid w:val="000F229B"/>
    <w:rsid w:val="000F287D"/>
    <w:rsid w:val="000F28E1"/>
    <w:rsid w:val="000F29CB"/>
    <w:rsid w:val="000F3661"/>
    <w:rsid w:val="000F462F"/>
    <w:rsid w:val="000F4D00"/>
    <w:rsid w:val="000F58AF"/>
    <w:rsid w:val="000F5C9F"/>
    <w:rsid w:val="000F6BA6"/>
    <w:rsid w:val="000F6D37"/>
    <w:rsid w:val="000F7B9F"/>
    <w:rsid w:val="000F7FB4"/>
    <w:rsid w:val="00100D2C"/>
    <w:rsid w:val="00101995"/>
    <w:rsid w:val="0010261C"/>
    <w:rsid w:val="0010347F"/>
    <w:rsid w:val="001037EB"/>
    <w:rsid w:val="001045E0"/>
    <w:rsid w:val="00104A2E"/>
    <w:rsid w:val="00104B7C"/>
    <w:rsid w:val="00105F54"/>
    <w:rsid w:val="00106697"/>
    <w:rsid w:val="00107746"/>
    <w:rsid w:val="001077C7"/>
    <w:rsid w:val="001107C1"/>
    <w:rsid w:val="00110AB8"/>
    <w:rsid w:val="00110AF1"/>
    <w:rsid w:val="0011130B"/>
    <w:rsid w:val="00111537"/>
    <w:rsid w:val="001117EE"/>
    <w:rsid w:val="001126D6"/>
    <w:rsid w:val="001127DD"/>
    <w:rsid w:val="0011301A"/>
    <w:rsid w:val="001130A6"/>
    <w:rsid w:val="00113F4D"/>
    <w:rsid w:val="00115A36"/>
    <w:rsid w:val="0011654F"/>
    <w:rsid w:val="0011717A"/>
    <w:rsid w:val="00117697"/>
    <w:rsid w:val="00120E4B"/>
    <w:rsid w:val="001218F8"/>
    <w:rsid w:val="00121E9E"/>
    <w:rsid w:val="00122E86"/>
    <w:rsid w:val="001235B1"/>
    <w:rsid w:val="0012378B"/>
    <w:rsid w:val="00123A4F"/>
    <w:rsid w:val="0012427B"/>
    <w:rsid w:val="00124DDA"/>
    <w:rsid w:val="001264DC"/>
    <w:rsid w:val="00127631"/>
    <w:rsid w:val="00127862"/>
    <w:rsid w:val="0013052B"/>
    <w:rsid w:val="00130732"/>
    <w:rsid w:val="0013101E"/>
    <w:rsid w:val="0013137D"/>
    <w:rsid w:val="00131603"/>
    <w:rsid w:val="00131D42"/>
    <w:rsid w:val="00131F23"/>
    <w:rsid w:val="00132401"/>
    <w:rsid w:val="00132D60"/>
    <w:rsid w:val="0013405B"/>
    <w:rsid w:val="0013479D"/>
    <w:rsid w:val="00135554"/>
    <w:rsid w:val="001358FA"/>
    <w:rsid w:val="00135F8E"/>
    <w:rsid w:val="00136259"/>
    <w:rsid w:val="00136313"/>
    <w:rsid w:val="0013745A"/>
    <w:rsid w:val="0013755E"/>
    <w:rsid w:val="00137DBA"/>
    <w:rsid w:val="001400AE"/>
    <w:rsid w:val="00140A8E"/>
    <w:rsid w:val="00142521"/>
    <w:rsid w:val="00143ED4"/>
    <w:rsid w:val="00144223"/>
    <w:rsid w:val="00144EEB"/>
    <w:rsid w:val="001450D1"/>
    <w:rsid w:val="001451EA"/>
    <w:rsid w:val="001457F2"/>
    <w:rsid w:val="00145B7C"/>
    <w:rsid w:val="00146429"/>
    <w:rsid w:val="001476E4"/>
    <w:rsid w:val="00147DC8"/>
    <w:rsid w:val="0015014D"/>
    <w:rsid w:val="00150682"/>
    <w:rsid w:val="00150DCB"/>
    <w:rsid w:val="001510AF"/>
    <w:rsid w:val="00151341"/>
    <w:rsid w:val="00151B8C"/>
    <w:rsid w:val="001528A4"/>
    <w:rsid w:val="001543FB"/>
    <w:rsid w:val="00155B31"/>
    <w:rsid w:val="0015649C"/>
    <w:rsid w:val="00157EF1"/>
    <w:rsid w:val="00160661"/>
    <w:rsid w:val="00160690"/>
    <w:rsid w:val="00160E62"/>
    <w:rsid w:val="00161BD5"/>
    <w:rsid w:val="00162759"/>
    <w:rsid w:val="00162763"/>
    <w:rsid w:val="001638B9"/>
    <w:rsid w:val="001646A1"/>
    <w:rsid w:val="00164AC0"/>
    <w:rsid w:val="001660A1"/>
    <w:rsid w:val="00166896"/>
    <w:rsid w:val="00166CE0"/>
    <w:rsid w:val="001678A4"/>
    <w:rsid w:val="0017029B"/>
    <w:rsid w:val="001711F0"/>
    <w:rsid w:val="001713BC"/>
    <w:rsid w:val="00172006"/>
    <w:rsid w:val="00172E9C"/>
    <w:rsid w:val="00172F88"/>
    <w:rsid w:val="0017535D"/>
    <w:rsid w:val="00175B92"/>
    <w:rsid w:val="00175E59"/>
    <w:rsid w:val="00176316"/>
    <w:rsid w:val="00176C59"/>
    <w:rsid w:val="00177430"/>
    <w:rsid w:val="00180677"/>
    <w:rsid w:val="001807E7"/>
    <w:rsid w:val="0018086E"/>
    <w:rsid w:val="0018153C"/>
    <w:rsid w:val="00181E6F"/>
    <w:rsid w:val="001833E1"/>
    <w:rsid w:val="001837DB"/>
    <w:rsid w:val="001859A8"/>
    <w:rsid w:val="00187846"/>
    <w:rsid w:val="0019003E"/>
    <w:rsid w:val="001900C2"/>
    <w:rsid w:val="001908EF"/>
    <w:rsid w:val="00190A34"/>
    <w:rsid w:val="001910DD"/>
    <w:rsid w:val="00191177"/>
    <w:rsid w:val="001912F3"/>
    <w:rsid w:val="001914DB"/>
    <w:rsid w:val="00191BAF"/>
    <w:rsid w:val="00191FDA"/>
    <w:rsid w:val="0019379C"/>
    <w:rsid w:val="00194FF5"/>
    <w:rsid w:val="001956BA"/>
    <w:rsid w:val="00196EF7"/>
    <w:rsid w:val="001974F1"/>
    <w:rsid w:val="00197945"/>
    <w:rsid w:val="001A0254"/>
    <w:rsid w:val="001A1360"/>
    <w:rsid w:val="001A1CE3"/>
    <w:rsid w:val="001A266E"/>
    <w:rsid w:val="001A3394"/>
    <w:rsid w:val="001A3EF9"/>
    <w:rsid w:val="001A4387"/>
    <w:rsid w:val="001A445B"/>
    <w:rsid w:val="001A525C"/>
    <w:rsid w:val="001A629A"/>
    <w:rsid w:val="001A6A95"/>
    <w:rsid w:val="001A6EC0"/>
    <w:rsid w:val="001A7D1A"/>
    <w:rsid w:val="001A7F7D"/>
    <w:rsid w:val="001B024B"/>
    <w:rsid w:val="001B0422"/>
    <w:rsid w:val="001B0F22"/>
    <w:rsid w:val="001B130C"/>
    <w:rsid w:val="001B174A"/>
    <w:rsid w:val="001B17F3"/>
    <w:rsid w:val="001B1C73"/>
    <w:rsid w:val="001B2005"/>
    <w:rsid w:val="001B2247"/>
    <w:rsid w:val="001B36D6"/>
    <w:rsid w:val="001B4084"/>
    <w:rsid w:val="001B473F"/>
    <w:rsid w:val="001B5A73"/>
    <w:rsid w:val="001B69E9"/>
    <w:rsid w:val="001B6D54"/>
    <w:rsid w:val="001B712D"/>
    <w:rsid w:val="001B7A3F"/>
    <w:rsid w:val="001C05DE"/>
    <w:rsid w:val="001C0D62"/>
    <w:rsid w:val="001C1833"/>
    <w:rsid w:val="001C1FFD"/>
    <w:rsid w:val="001C21F6"/>
    <w:rsid w:val="001C29B3"/>
    <w:rsid w:val="001C2E32"/>
    <w:rsid w:val="001C31BC"/>
    <w:rsid w:val="001C3373"/>
    <w:rsid w:val="001C3E46"/>
    <w:rsid w:val="001C3F5E"/>
    <w:rsid w:val="001C487F"/>
    <w:rsid w:val="001C4E88"/>
    <w:rsid w:val="001C50D1"/>
    <w:rsid w:val="001C551E"/>
    <w:rsid w:val="001C59CD"/>
    <w:rsid w:val="001C5A62"/>
    <w:rsid w:val="001C6046"/>
    <w:rsid w:val="001C612C"/>
    <w:rsid w:val="001C63F1"/>
    <w:rsid w:val="001C6BDD"/>
    <w:rsid w:val="001C7CA5"/>
    <w:rsid w:val="001C7FD7"/>
    <w:rsid w:val="001D061D"/>
    <w:rsid w:val="001D0764"/>
    <w:rsid w:val="001D0C61"/>
    <w:rsid w:val="001D0E6F"/>
    <w:rsid w:val="001D1CAD"/>
    <w:rsid w:val="001D1D61"/>
    <w:rsid w:val="001D221B"/>
    <w:rsid w:val="001D252A"/>
    <w:rsid w:val="001D25D4"/>
    <w:rsid w:val="001D28A2"/>
    <w:rsid w:val="001D2918"/>
    <w:rsid w:val="001D291C"/>
    <w:rsid w:val="001D2DD1"/>
    <w:rsid w:val="001D4699"/>
    <w:rsid w:val="001D469F"/>
    <w:rsid w:val="001D4D07"/>
    <w:rsid w:val="001D4E24"/>
    <w:rsid w:val="001D50EC"/>
    <w:rsid w:val="001D530E"/>
    <w:rsid w:val="001D552F"/>
    <w:rsid w:val="001D5601"/>
    <w:rsid w:val="001D618F"/>
    <w:rsid w:val="001D654E"/>
    <w:rsid w:val="001D6C06"/>
    <w:rsid w:val="001D6D49"/>
    <w:rsid w:val="001D70C1"/>
    <w:rsid w:val="001D70D8"/>
    <w:rsid w:val="001D775C"/>
    <w:rsid w:val="001D7EE3"/>
    <w:rsid w:val="001E0986"/>
    <w:rsid w:val="001E1119"/>
    <w:rsid w:val="001E2661"/>
    <w:rsid w:val="001E2972"/>
    <w:rsid w:val="001E369D"/>
    <w:rsid w:val="001E42D6"/>
    <w:rsid w:val="001E5CBC"/>
    <w:rsid w:val="001E6DCD"/>
    <w:rsid w:val="001E6FC7"/>
    <w:rsid w:val="001E782D"/>
    <w:rsid w:val="001E7A70"/>
    <w:rsid w:val="001E7AB3"/>
    <w:rsid w:val="001E7BCC"/>
    <w:rsid w:val="001F07DD"/>
    <w:rsid w:val="001F0C52"/>
    <w:rsid w:val="001F0E2A"/>
    <w:rsid w:val="001F0E92"/>
    <w:rsid w:val="001F1573"/>
    <w:rsid w:val="001F15E5"/>
    <w:rsid w:val="001F28FD"/>
    <w:rsid w:val="001F3FA3"/>
    <w:rsid w:val="001F4606"/>
    <w:rsid w:val="001F484A"/>
    <w:rsid w:val="001F52A1"/>
    <w:rsid w:val="001F57FE"/>
    <w:rsid w:val="001F6672"/>
    <w:rsid w:val="001F6A5D"/>
    <w:rsid w:val="001F6B46"/>
    <w:rsid w:val="001F7949"/>
    <w:rsid w:val="002003D8"/>
    <w:rsid w:val="00200FD1"/>
    <w:rsid w:val="002033BC"/>
    <w:rsid w:val="00203550"/>
    <w:rsid w:val="002046E4"/>
    <w:rsid w:val="00204C1F"/>
    <w:rsid w:val="00204CE5"/>
    <w:rsid w:val="0020501F"/>
    <w:rsid w:val="00205713"/>
    <w:rsid w:val="00205A8B"/>
    <w:rsid w:val="00205B4D"/>
    <w:rsid w:val="00205F78"/>
    <w:rsid w:val="00206E23"/>
    <w:rsid w:val="00207155"/>
    <w:rsid w:val="00207E49"/>
    <w:rsid w:val="00210420"/>
    <w:rsid w:val="0021084B"/>
    <w:rsid w:val="002110AB"/>
    <w:rsid w:val="002112A9"/>
    <w:rsid w:val="00211638"/>
    <w:rsid w:val="002127DD"/>
    <w:rsid w:val="002130EB"/>
    <w:rsid w:val="0021337F"/>
    <w:rsid w:val="0021355A"/>
    <w:rsid w:val="00213750"/>
    <w:rsid w:val="00213A30"/>
    <w:rsid w:val="00213AFF"/>
    <w:rsid w:val="00213EDB"/>
    <w:rsid w:val="00214264"/>
    <w:rsid w:val="0021431C"/>
    <w:rsid w:val="00214B6C"/>
    <w:rsid w:val="00215051"/>
    <w:rsid w:val="002151BC"/>
    <w:rsid w:val="0021608C"/>
    <w:rsid w:val="00216421"/>
    <w:rsid w:val="00216C0D"/>
    <w:rsid w:val="00217581"/>
    <w:rsid w:val="002178BB"/>
    <w:rsid w:val="002204E7"/>
    <w:rsid w:val="002207DC"/>
    <w:rsid w:val="00220A3E"/>
    <w:rsid w:val="00220B47"/>
    <w:rsid w:val="00220E05"/>
    <w:rsid w:val="0022130C"/>
    <w:rsid w:val="002217F0"/>
    <w:rsid w:val="0022192B"/>
    <w:rsid w:val="00221B2C"/>
    <w:rsid w:val="0022226D"/>
    <w:rsid w:val="002226BE"/>
    <w:rsid w:val="002230CF"/>
    <w:rsid w:val="00223218"/>
    <w:rsid w:val="002236E5"/>
    <w:rsid w:val="0022383A"/>
    <w:rsid w:val="00223C8F"/>
    <w:rsid w:val="00225703"/>
    <w:rsid w:val="002259B6"/>
    <w:rsid w:val="00226C1A"/>
    <w:rsid w:val="00226CC4"/>
    <w:rsid w:val="0022701C"/>
    <w:rsid w:val="00227B21"/>
    <w:rsid w:val="00227CE9"/>
    <w:rsid w:val="00230A4D"/>
    <w:rsid w:val="00231B54"/>
    <w:rsid w:val="00231FF0"/>
    <w:rsid w:val="002323B6"/>
    <w:rsid w:val="00232D02"/>
    <w:rsid w:val="0023339C"/>
    <w:rsid w:val="002334C7"/>
    <w:rsid w:val="0023377D"/>
    <w:rsid w:val="00233FFE"/>
    <w:rsid w:val="002347A3"/>
    <w:rsid w:val="0023520E"/>
    <w:rsid w:val="00235597"/>
    <w:rsid w:val="00235657"/>
    <w:rsid w:val="00236978"/>
    <w:rsid w:val="00237A34"/>
    <w:rsid w:val="00237F13"/>
    <w:rsid w:val="00240075"/>
    <w:rsid w:val="002406D6"/>
    <w:rsid w:val="00241337"/>
    <w:rsid w:val="0024146B"/>
    <w:rsid w:val="00241737"/>
    <w:rsid w:val="00241F3E"/>
    <w:rsid w:val="002429FF"/>
    <w:rsid w:val="002430A7"/>
    <w:rsid w:val="00243181"/>
    <w:rsid w:val="00243848"/>
    <w:rsid w:val="00243A7B"/>
    <w:rsid w:val="00243C9E"/>
    <w:rsid w:val="00243CF5"/>
    <w:rsid w:val="0024527F"/>
    <w:rsid w:val="00245E73"/>
    <w:rsid w:val="0024610D"/>
    <w:rsid w:val="00246667"/>
    <w:rsid w:val="00246A94"/>
    <w:rsid w:val="00246AC8"/>
    <w:rsid w:val="00246ECA"/>
    <w:rsid w:val="0024747B"/>
    <w:rsid w:val="0024750B"/>
    <w:rsid w:val="00247575"/>
    <w:rsid w:val="0024772C"/>
    <w:rsid w:val="00250412"/>
    <w:rsid w:val="00250818"/>
    <w:rsid w:val="00250C12"/>
    <w:rsid w:val="00251EF3"/>
    <w:rsid w:val="00252473"/>
    <w:rsid w:val="00252945"/>
    <w:rsid w:val="00252CB2"/>
    <w:rsid w:val="00253672"/>
    <w:rsid w:val="00253972"/>
    <w:rsid w:val="002539EE"/>
    <w:rsid w:val="00253F8B"/>
    <w:rsid w:val="0025461F"/>
    <w:rsid w:val="002546D5"/>
    <w:rsid w:val="0025528B"/>
    <w:rsid w:val="002561F9"/>
    <w:rsid w:val="002574DC"/>
    <w:rsid w:val="002602C7"/>
    <w:rsid w:val="00260855"/>
    <w:rsid w:val="00261293"/>
    <w:rsid w:val="002623FD"/>
    <w:rsid w:val="00262C16"/>
    <w:rsid w:val="00262CAF"/>
    <w:rsid w:val="002630B6"/>
    <w:rsid w:val="00263C50"/>
    <w:rsid w:val="00264650"/>
    <w:rsid w:val="002650C6"/>
    <w:rsid w:val="0026586E"/>
    <w:rsid w:val="00265D6C"/>
    <w:rsid w:val="0026628C"/>
    <w:rsid w:val="00266B9C"/>
    <w:rsid w:val="00266E56"/>
    <w:rsid w:val="002673D4"/>
    <w:rsid w:val="00267BA6"/>
    <w:rsid w:val="00270064"/>
    <w:rsid w:val="00270DDC"/>
    <w:rsid w:val="0027122C"/>
    <w:rsid w:val="00273431"/>
    <w:rsid w:val="002736F5"/>
    <w:rsid w:val="00273E72"/>
    <w:rsid w:val="00273EBA"/>
    <w:rsid w:val="0027453E"/>
    <w:rsid w:val="0027473D"/>
    <w:rsid w:val="00275A1B"/>
    <w:rsid w:val="00275E83"/>
    <w:rsid w:val="00276440"/>
    <w:rsid w:val="00276A34"/>
    <w:rsid w:val="00277547"/>
    <w:rsid w:val="002776D1"/>
    <w:rsid w:val="00277951"/>
    <w:rsid w:val="002779CD"/>
    <w:rsid w:val="00277B9A"/>
    <w:rsid w:val="00280E85"/>
    <w:rsid w:val="00281092"/>
    <w:rsid w:val="0028179D"/>
    <w:rsid w:val="00281A15"/>
    <w:rsid w:val="00281E70"/>
    <w:rsid w:val="002837DC"/>
    <w:rsid w:val="00283F3D"/>
    <w:rsid w:val="00284862"/>
    <w:rsid w:val="002848D8"/>
    <w:rsid w:val="00284D4A"/>
    <w:rsid w:val="00285088"/>
    <w:rsid w:val="002856B0"/>
    <w:rsid w:val="00285A62"/>
    <w:rsid w:val="00285C47"/>
    <w:rsid w:val="00285F50"/>
    <w:rsid w:val="002866A8"/>
    <w:rsid w:val="002873CD"/>
    <w:rsid w:val="0028740F"/>
    <w:rsid w:val="00287EE2"/>
    <w:rsid w:val="0029092A"/>
    <w:rsid w:val="0029132E"/>
    <w:rsid w:val="00291FE0"/>
    <w:rsid w:val="002921E8"/>
    <w:rsid w:val="00292F1D"/>
    <w:rsid w:val="00292FBC"/>
    <w:rsid w:val="00293FBE"/>
    <w:rsid w:val="0029402F"/>
    <w:rsid w:val="00294471"/>
    <w:rsid w:val="002957DB"/>
    <w:rsid w:val="00295E07"/>
    <w:rsid w:val="00296768"/>
    <w:rsid w:val="00296917"/>
    <w:rsid w:val="00296AE7"/>
    <w:rsid w:val="002976AA"/>
    <w:rsid w:val="00297D8D"/>
    <w:rsid w:val="002A06F5"/>
    <w:rsid w:val="002A109A"/>
    <w:rsid w:val="002A16C2"/>
    <w:rsid w:val="002A22DB"/>
    <w:rsid w:val="002A24D3"/>
    <w:rsid w:val="002A2F6C"/>
    <w:rsid w:val="002A3331"/>
    <w:rsid w:val="002A36F7"/>
    <w:rsid w:val="002A3C2E"/>
    <w:rsid w:val="002A3CAE"/>
    <w:rsid w:val="002A3E9A"/>
    <w:rsid w:val="002A4490"/>
    <w:rsid w:val="002A49F8"/>
    <w:rsid w:val="002A5B49"/>
    <w:rsid w:val="002A75A5"/>
    <w:rsid w:val="002A7A64"/>
    <w:rsid w:val="002B05D7"/>
    <w:rsid w:val="002B0743"/>
    <w:rsid w:val="002B1A8C"/>
    <w:rsid w:val="002B257D"/>
    <w:rsid w:val="002B277B"/>
    <w:rsid w:val="002B2DFA"/>
    <w:rsid w:val="002B3DE0"/>
    <w:rsid w:val="002B3E98"/>
    <w:rsid w:val="002B4C9B"/>
    <w:rsid w:val="002B598C"/>
    <w:rsid w:val="002B5FF5"/>
    <w:rsid w:val="002B7094"/>
    <w:rsid w:val="002C00B4"/>
    <w:rsid w:val="002C1124"/>
    <w:rsid w:val="002C159D"/>
    <w:rsid w:val="002C15A3"/>
    <w:rsid w:val="002C1978"/>
    <w:rsid w:val="002C1A67"/>
    <w:rsid w:val="002C20B2"/>
    <w:rsid w:val="002C24DE"/>
    <w:rsid w:val="002C26C4"/>
    <w:rsid w:val="002C26DC"/>
    <w:rsid w:val="002C27DC"/>
    <w:rsid w:val="002C2913"/>
    <w:rsid w:val="002C2B96"/>
    <w:rsid w:val="002C302D"/>
    <w:rsid w:val="002C31DA"/>
    <w:rsid w:val="002C3BDE"/>
    <w:rsid w:val="002C400F"/>
    <w:rsid w:val="002C5349"/>
    <w:rsid w:val="002C75F6"/>
    <w:rsid w:val="002D0EB8"/>
    <w:rsid w:val="002D1F13"/>
    <w:rsid w:val="002D2854"/>
    <w:rsid w:val="002D2DC6"/>
    <w:rsid w:val="002D3F6E"/>
    <w:rsid w:val="002D4371"/>
    <w:rsid w:val="002D47DE"/>
    <w:rsid w:val="002D486D"/>
    <w:rsid w:val="002D5AFE"/>
    <w:rsid w:val="002D5BC8"/>
    <w:rsid w:val="002D5E1E"/>
    <w:rsid w:val="002D61D9"/>
    <w:rsid w:val="002D6441"/>
    <w:rsid w:val="002D733D"/>
    <w:rsid w:val="002E1CD7"/>
    <w:rsid w:val="002E234E"/>
    <w:rsid w:val="002E29F2"/>
    <w:rsid w:val="002E2B21"/>
    <w:rsid w:val="002E2FE4"/>
    <w:rsid w:val="002E3050"/>
    <w:rsid w:val="002E3266"/>
    <w:rsid w:val="002E3418"/>
    <w:rsid w:val="002E3720"/>
    <w:rsid w:val="002E3916"/>
    <w:rsid w:val="002E481C"/>
    <w:rsid w:val="002E59FF"/>
    <w:rsid w:val="002E5A7C"/>
    <w:rsid w:val="002E6B8F"/>
    <w:rsid w:val="002E6D33"/>
    <w:rsid w:val="002E7678"/>
    <w:rsid w:val="002E7B07"/>
    <w:rsid w:val="002E7B7F"/>
    <w:rsid w:val="002F0BD0"/>
    <w:rsid w:val="002F15F9"/>
    <w:rsid w:val="002F1F77"/>
    <w:rsid w:val="002F2751"/>
    <w:rsid w:val="002F3890"/>
    <w:rsid w:val="002F3B4F"/>
    <w:rsid w:val="002F4E71"/>
    <w:rsid w:val="002F4F4B"/>
    <w:rsid w:val="002F545A"/>
    <w:rsid w:val="002F6098"/>
    <w:rsid w:val="002F617B"/>
    <w:rsid w:val="002F6183"/>
    <w:rsid w:val="002F63E2"/>
    <w:rsid w:val="002F6DF9"/>
    <w:rsid w:val="002F6FBA"/>
    <w:rsid w:val="002F75DD"/>
    <w:rsid w:val="002F78D1"/>
    <w:rsid w:val="003007AB"/>
    <w:rsid w:val="00300E03"/>
    <w:rsid w:val="00302826"/>
    <w:rsid w:val="003032C7"/>
    <w:rsid w:val="00304242"/>
    <w:rsid w:val="0030464A"/>
    <w:rsid w:val="00304FA4"/>
    <w:rsid w:val="00305145"/>
    <w:rsid w:val="003060FE"/>
    <w:rsid w:val="00306448"/>
    <w:rsid w:val="00306851"/>
    <w:rsid w:val="00307025"/>
    <w:rsid w:val="003101B5"/>
    <w:rsid w:val="00310459"/>
    <w:rsid w:val="00311FFC"/>
    <w:rsid w:val="0031245A"/>
    <w:rsid w:val="00312B33"/>
    <w:rsid w:val="00312FA1"/>
    <w:rsid w:val="003136B1"/>
    <w:rsid w:val="00314554"/>
    <w:rsid w:val="00316F01"/>
    <w:rsid w:val="00317141"/>
    <w:rsid w:val="00317206"/>
    <w:rsid w:val="00317EAD"/>
    <w:rsid w:val="00321C5A"/>
    <w:rsid w:val="00322D13"/>
    <w:rsid w:val="00322E5E"/>
    <w:rsid w:val="00323768"/>
    <w:rsid w:val="00325492"/>
    <w:rsid w:val="00325B37"/>
    <w:rsid w:val="00326BE9"/>
    <w:rsid w:val="00326DBF"/>
    <w:rsid w:val="00327CB7"/>
    <w:rsid w:val="0033069A"/>
    <w:rsid w:val="00330AC9"/>
    <w:rsid w:val="00330FA9"/>
    <w:rsid w:val="003327C8"/>
    <w:rsid w:val="00332DE7"/>
    <w:rsid w:val="00333DFB"/>
    <w:rsid w:val="00334824"/>
    <w:rsid w:val="00335887"/>
    <w:rsid w:val="0033725B"/>
    <w:rsid w:val="003374C1"/>
    <w:rsid w:val="00341058"/>
    <w:rsid w:val="00341074"/>
    <w:rsid w:val="00341086"/>
    <w:rsid w:val="003411D5"/>
    <w:rsid w:val="00341221"/>
    <w:rsid w:val="00341700"/>
    <w:rsid w:val="00341BB8"/>
    <w:rsid w:val="00341C0B"/>
    <w:rsid w:val="00342FF1"/>
    <w:rsid w:val="003434FC"/>
    <w:rsid w:val="00343696"/>
    <w:rsid w:val="00343851"/>
    <w:rsid w:val="003443E7"/>
    <w:rsid w:val="00344D28"/>
    <w:rsid w:val="00347763"/>
    <w:rsid w:val="00347EA5"/>
    <w:rsid w:val="00350367"/>
    <w:rsid w:val="00351043"/>
    <w:rsid w:val="0035107F"/>
    <w:rsid w:val="003512EC"/>
    <w:rsid w:val="0035141A"/>
    <w:rsid w:val="0035169F"/>
    <w:rsid w:val="00351B6F"/>
    <w:rsid w:val="0035220F"/>
    <w:rsid w:val="00352916"/>
    <w:rsid w:val="003531AF"/>
    <w:rsid w:val="003533B8"/>
    <w:rsid w:val="003541A7"/>
    <w:rsid w:val="003541F8"/>
    <w:rsid w:val="00354258"/>
    <w:rsid w:val="003545EA"/>
    <w:rsid w:val="00354E5A"/>
    <w:rsid w:val="00357353"/>
    <w:rsid w:val="003575C0"/>
    <w:rsid w:val="00360CF7"/>
    <w:rsid w:val="003610A3"/>
    <w:rsid w:val="0036121D"/>
    <w:rsid w:val="00361581"/>
    <w:rsid w:val="00361632"/>
    <w:rsid w:val="00361984"/>
    <w:rsid w:val="00362119"/>
    <w:rsid w:val="00362317"/>
    <w:rsid w:val="00362AA1"/>
    <w:rsid w:val="00362C41"/>
    <w:rsid w:val="00362DD3"/>
    <w:rsid w:val="0036317F"/>
    <w:rsid w:val="00363573"/>
    <w:rsid w:val="00363900"/>
    <w:rsid w:val="00363B5A"/>
    <w:rsid w:val="00364929"/>
    <w:rsid w:val="00364E3A"/>
    <w:rsid w:val="00366C6B"/>
    <w:rsid w:val="003670D4"/>
    <w:rsid w:val="003670ED"/>
    <w:rsid w:val="00367860"/>
    <w:rsid w:val="00370326"/>
    <w:rsid w:val="00371E33"/>
    <w:rsid w:val="00372263"/>
    <w:rsid w:val="00372374"/>
    <w:rsid w:val="003724CC"/>
    <w:rsid w:val="003727CC"/>
    <w:rsid w:val="00372AF6"/>
    <w:rsid w:val="00374584"/>
    <w:rsid w:val="00375293"/>
    <w:rsid w:val="003765CC"/>
    <w:rsid w:val="00377B60"/>
    <w:rsid w:val="00377CA8"/>
    <w:rsid w:val="0038044A"/>
    <w:rsid w:val="00380631"/>
    <w:rsid w:val="0038163F"/>
    <w:rsid w:val="00381FC9"/>
    <w:rsid w:val="00383008"/>
    <w:rsid w:val="0038310B"/>
    <w:rsid w:val="00383B7D"/>
    <w:rsid w:val="00383F5F"/>
    <w:rsid w:val="00384F78"/>
    <w:rsid w:val="00385FA0"/>
    <w:rsid w:val="003861EE"/>
    <w:rsid w:val="00386ED7"/>
    <w:rsid w:val="00387517"/>
    <w:rsid w:val="0038784D"/>
    <w:rsid w:val="003879A2"/>
    <w:rsid w:val="00387FE7"/>
    <w:rsid w:val="003901F9"/>
    <w:rsid w:val="00390464"/>
    <w:rsid w:val="003915BD"/>
    <w:rsid w:val="0039162A"/>
    <w:rsid w:val="00391645"/>
    <w:rsid w:val="00392109"/>
    <w:rsid w:val="00392FFE"/>
    <w:rsid w:val="00393488"/>
    <w:rsid w:val="003936EF"/>
    <w:rsid w:val="00393A1B"/>
    <w:rsid w:val="00393ED6"/>
    <w:rsid w:val="00393F71"/>
    <w:rsid w:val="0039502E"/>
    <w:rsid w:val="003967BC"/>
    <w:rsid w:val="0039799D"/>
    <w:rsid w:val="003A0616"/>
    <w:rsid w:val="003A078B"/>
    <w:rsid w:val="003A1007"/>
    <w:rsid w:val="003A1108"/>
    <w:rsid w:val="003A14A9"/>
    <w:rsid w:val="003A1552"/>
    <w:rsid w:val="003A2785"/>
    <w:rsid w:val="003A3052"/>
    <w:rsid w:val="003A3524"/>
    <w:rsid w:val="003A3DEE"/>
    <w:rsid w:val="003A4331"/>
    <w:rsid w:val="003A497B"/>
    <w:rsid w:val="003A4F87"/>
    <w:rsid w:val="003A50AB"/>
    <w:rsid w:val="003A5202"/>
    <w:rsid w:val="003A5423"/>
    <w:rsid w:val="003A54D1"/>
    <w:rsid w:val="003A5F36"/>
    <w:rsid w:val="003A5F6C"/>
    <w:rsid w:val="003A61C0"/>
    <w:rsid w:val="003B0AF5"/>
    <w:rsid w:val="003B14E4"/>
    <w:rsid w:val="003B154C"/>
    <w:rsid w:val="003B237E"/>
    <w:rsid w:val="003B3CCD"/>
    <w:rsid w:val="003B3D2D"/>
    <w:rsid w:val="003B4714"/>
    <w:rsid w:val="003B5098"/>
    <w:rsid w:val="003B558A"/>
    <w:rsid w:val="003C0135"/>
    <w:rsid w:val="003C0285"/>
    <w:rsid w:val="003C1A08"/>
    <w:rsid w:val="003C1C87"/>
    <w:rsid w:val="003C2430"/>
    <w:rsid w:val="003C2A88"/>
    <w:rsid w:val="003C4288"/>
    <w:rsid w:val="003C4FE8"/>
    <w:rsid w:val="003C5441"/>
    <w:rsid w:val="003C5B2B"/>
    <w:rsid w:val="003C5EBC"/>
    <w:rsid w:val="003C6A59"/>
    <w:rsid w:val="003C6AEE"/>
    <w:rsid w:val="003C6D2F"/>
    <w:rsid w:val="003C6E5C"/>
    <w:rsid w:val="003C6EA2"/>
    <w:rsid w:val="003C78EA"/>
    <w:rsid w:val="003C7A6D"/>
    <w:rsid w:val="003D09E7"/>
    <w:rsid w:val="003D146E"/>
    <w:rsid w:val="003D1626"/>
    <w:rsid w:val="003D2D0B"/>
    <w:rsid w:val="003D338D"/>
    <w:rsid w:val="003D3BFE"/>
    <w:rsid w:val="003D3C4E"/>
    <w:rsid w:val="003D6129"/>
    <w:rsid w:val="003D6693"/>
    <w:rsid w:val="003D67D3"/>
    <w:rsid w:val="003D698D"/>
    <w:rsid w:val="003D7C38"/>
    <w:rsid w:val="003E047F"/>
    <w:rsid w:val="003E0A35"/>
    <w:rsid w:val="003E114A"/>
    <w:rsid w:val="003E1A49"/>
    <w:rsid w:val="003E2E2D"/>
    <w:rsid w:val="003E3D51"/>
    <w:rsid w:val="003E4662"/>
    <w:rsid w:val="003E4B24"/>
    <w:rsid w:val="003E4CBC"/>
    <w:rsid w:val="003E5CA1"/>
    <w:rsid w:val="003E657D"/>
    <w:rsid w:val="003E6868"/>
    <w:rsid w:val="003E6C61"/>
    <w:rsid w:val="003E71EE"/>
    <w:rsid w:val="003E74AF"/>
    <w:rsid w:val="003E7D9C"/>
    <w:rsid w:val="003F0326"/>
    <w:rsid w:val="003F0E52"/>
    <w:rsid w:val="003F15BE"/>
    <w:rsid w:val="003F1C70"/>
    <w:rsid w:val="003F1D0B"/>
    <w:rsid w:val="003F2DE8"/>
    <w:rsid w:val="003F2FA7"/>
    <w:rsid w:val="003F346C"/>
    <w:rsid w:val="003F3C43"/>
    <w:rsid w:val="003F443E"/>
    <w:rsid w:val="003F4F31"/>
    <w:rsid w:val="003F5591"/>
    <w:rsid w:val="003F59C2"/>
    <w:rsid w:val="003F633D"/>
    <w:rsid w:val="003F756C"/>
    <w:rsid w:val="003F772F"/>
    <w:rsid w:val="003F7CAF"/>
    <w:rsid w:val="004010A8"/>
    <w:rsid w:val="0040145D"/>
    <w:rsid w:val="0040303F"/>
    <w:rsid w:val="00403098"/>
    <w:rsid w:val="0040321F"/>
    <w:rsid w:val="00403D62"/>
    <w:rsid w:val="00404ABB"/>
    <w:rsid w:val="00405071"/>
    <w:rsid w:val="00406E42"/>
    <w:rsid w:val="00406EB5"/>
    <w:rsid w:val="00406FA2"/>
    <w:rsid w:val="004071B0"/>
    <w:rsid w:val="00407909"/>
    <w:rsid w:val="00407F77"/>
    <w:rsid w:val="00410CEE"/>
    <w:rsid w:val="00410F74"/>
    <w:rsid w:val="00411209"/>
    <w:rsid w:val="004112B3"/>
    <w:rsid w:val="00412B1F"/>
    <w:rsid w:val="00412B29"/>
    <w:rsid w:val="00412E09"/>
    <w:rsid w:val="00412E94"/>
    <w:rsid w:val="0041312E"/>
    <w:rsid w:val="0041318D"/>
    <w:rsid w:val="00413A8F"/>
    <w:rsid w:val="00413CA8"/>
    <w:rsid w:val="004143E4"/>
    <w:rsid w:val="00414A52"/>
    <w:rsid w:val="00414F61"/>
    <w:rsid w:val="0041531B"/>
    <w:rsid w:val="00415C19"/>
    <w:rsid w:val="00416196"/>
    <w:rsid w:val="0041662B"/>
    <w:rsid w:val="004171A1"/>
    <w:rsid w:val="00417374"/>
    <w:rsid w:val="00417774"/>
    <w:rsid w:val="00417A93"/>
    <w:rsid w:val="00417FE0"/>
    <w:rsid w:val="004208CA"/>
    <w:rsid w:val="004218FD"/>
    <w:rsid w:val="004219E7"/>
    <w:rsid w:val="004234F6"/>
    <w:rsid w:val="00423AC5"/>
    <w:rsid w:val="00423E3A"/>
    <w:rsid w:val="0042670C"/>
    <w:rsid w:val="004268FB"/>
    <w:rsid w:val="00426C83"/>
    <w:rsid w:val="00426D43"/>
    <w:rsid w:val="00426F0C"/>
    <w:rsid w:val="00427581"/>
    <w:rsid w:val="00427CB1"/>
    <w:rsid w:val="00430032"/>
    <w:rsid w:val="004303F7"/>
    <w:rsid w:val="00431EF3"/>
    <w:rsid w:val="004330E4"/>
    <w:rsid w:val="004336ED"/>
    <w:rsid w:val="00433DDC"/>
    <w:rsid w:val="00434329"/>
    <w:rsid w:val="00435C6C"/>
    <w:rsid w:val="00436322"/>
    <w:rsid w:val="00437639"/>
    <w:rsid w:val="004379B6"/>
    <w:rsid w:val="00437B2E"/>
    <w:rsid w:val="00437C96"/>
    <w:rsid w:val="0044112D"/>
    <w:rsid w:val="00441CD9"/>
    <w:rsid w:val="00441E2F"/>
    <w:rsid w:val="004425AC"/>
    <w:rsid w:val="00443001"/>
    <w:rsid w:val="0044372B"/>
    <w:rsid w:val="00443758"/>
    <w:rsid w:val="0044495E"/>
    <w:rsid w:val="00444A28"/>
    <w:rsid w:val="004451E6"/>
    <w:rsid w:val="0044521B"/>
    <w:rsid w:val="004455EF"/>
    <w:rsid w:val="00445E1D"/>
    <w:rsid w:val="00446473"/>
    <w:rsid w:val="00446A6D"/>
    <w:rsid w:val="00446FE8"/>
    <w:rsid w:val="0045036B"/>
    <w:rsid w:val="0045067C"/>
    <w:rsid w:val="00450953"/>
    <w:rsid w:val="00451374"/>
    <w:rsid w:val="00451917"/>
    <w:rsid w:val="00451B31"/>
    <w:rsid w:val="00452BB3"/>
    <w:rsid w:val="00453405"/>
    <w:rsid w:val="00453AC6"/>
    <w:rsid w:val="004548FB"/>
    <w:rsid w:val="00455247"/>
    <w:rsid w:val="004559FA"/>
    <w:rsid w:val="00455A0B"/>
    <w:rsid w:val="00455A7A"/>
    <w:rsid w:val="00455BA5"/>
    <w:rsid w:val="00456474"/>
    <w:rsid w:val="00456AE5"/>
    <w:rsid w:val="00456BEA"/>
    <w:rsid w:val="00460341"/>
    <w:rsid w:val="00460A85"/>
    <w:rsid w:val="00460AAF"/>
    <w:rsid w:val="00460DB4"/>
    <w:rsid w:val="00460EFB"/>
    <w:rsid w:val="00460F57"/>
    <w:rsid w:val="004613FC"/>
    <w:rsid w:val="00461494"/>
    <w:rsid w:val="004617EC"/>
    <w:rsid w:val="004622DC"/>
    <w:rsid w:val="0046265F"/>
    <w:rsid w:val="00462E6A"/>
    <w:rsid w:val="004635F4"/>
    <w:rsid w:val="004641A2"/>
    <w:rsid w:val="0046438F"/>
    <w:rsid w:val="004649E2"/>
    <w:rsid w:val="00464B24"/>
    <w:rsid w:val="00464C96"/>
    <w:rsid w:val="00464E4C"/>
    <w:rsid w:val="004655E3"/>
    <w:rsid w:val="00465BAA"/>
    <w:rsid w:val="00465E88"/>
    <w:rsid w:val="00465FC6"/>
    <w:rsid w:val="00466EE8"/>
    <w:rsid w:val="0046707C"/>
    <w:rsid w:val="00467CDE"/>
    <w:rsid w:val="00470B6E"/>
    <w:rsid w:val="00470BDE"/>
    <w:rsid w:val="004711B5"/>
    <w:rsid w:val="004724FC"/>
    <w:rsid w:val="00472685"/>
    <w:rsid w:val="00472C2B"/>
    <w:rsid w:val="004730E6"/>
    <w:rsid w:val="00473704"/>
    <w:rsid w:val="00473C73"/>
    <w:rsid w:val="0047477D"/>
    <w:rsid w:val="00474F62"/>
    <w:rsid w:val="00475432"/>
    <w:rsid w:val="004755F3"/>
    <w:rsid w:val="00475BF5"/>
    <w:rsid w:val="00475E08"/>
    <w:rsid w:val="00475E51"/>
    <w:rsid w:val="0047600A"/>
    <w:rsid w:val="00477387"/>
    <w:rsid w:val="004777F2"/>
    <w:rsid w:val="0047789C"/>
    <w:rsid w:val="00477AE4"/>
    <w:rsid w:val="00477D8B"/>
    <w:rsid w:val="00482389"/>
    <w:rsid w:val="0048241D"/>
    <w:rsid w:val="00482B42"/>
    <w:rsid w:val="004832DF"/>
    <w:rsid w:val="00483AB0"/>
    <w:rsid w:val="00483DE9"/>
    <w:rsid w:val="00483F4B"/>
    <w:rsid w:val="004840B0"/>
    <w:rsid w:val="00485512"/>
    <w:rsid w:val="00485619"/>
    <w:rsid w:val="004856B4"/>
    <w:rsid w:val="0048590A"/>
    <w:rsid w:val="004862F6"/>
    <w:rsid w:val="00486FD2"/>
    <w:rsid w:val="00490302"/>
    <w:rsid w:val="00490438"/>
    <w:rsid w:val="00490E99"/>
    <w:rsid w:val="0049219E"/>
    <w:rsid w:val="0049332D"/>
    <w:rsid w:val="004937FA"/>
    <w:rsid w:val="004938E9"/>
    <w:rsid w:val="004939DC"/>
    <w:rsid w:val="00493A24"/>
    <w:rsid w:val="00493FA1"/>
    <w:rsid w:val="00494AA9"/>
    <w:rsid w:val="00494AF2"/>
    <w:rsid w:val="00494B42"/>
    <w:rsid w:val="00494B67"/>
    <w:rsid w:val="004952CB"/>
    <w:rsid w:val="00495BEB"/>
    <w:rsid w:val="0049640F"/>
    <w:rsid w:val="004977D7"/>
    <w:rsid w:val="00497D62"/>
    <w:rsid w:val="00497E13"/>
    <w:rsid w:val="004A01F0"/>
    <w:rsid w:val="004A07CD"/>
    <w:rsid w:val="004A0966"/>
    <w:rsid w:val="004A16DC"/>
    <w:rsid w:val="004A1712"/>
    <w:rsid w:val="004A2482"/>
    <w:rsid w:val="004A27BB"/>
    <w:rsid w:val="004A2F09"/>
    <w:rsid w:val="004A3FA9"/>
    <w:rsid w:val="004A405C"/>
    <w:rsid w:val="004A6139"/>
    <w:rsid w:val="004A6BAB"/>
    <w:rsid w:val="004A7697"/>
    <w:rsid w:val="004A77CD"/>
    <w:rsid w:val="004A7C6C"/>
    <w:rsid w:val="004B1131"/>
    <w:rsid w:val="004B1604"/>
    <w:rsid w:val="004B1668"/>
    <w:rsid w:val="004B1778"/>
    <w:rsid w:val="004B1C2F"/>
    <w:rsid w:val="004B240E"/>
    <w:rsid w:val="004B277A"/>
    <w:rsid w:val="004B2825"/>
    <w:rsid w:val="004B2C5D"/>
    <w:rsid w:val="004B3EE7"/>
    <w:rsid w:val="004B42CC"/>
    <w:rsid w:val="004B431F"/>
    <w:rsid w:val="004B4352"/>
    <w:rsid w:val="004B4D0C"/>
    <w:rsid w:val="004B5653"/>
    <w:rsid w:val="004B602A"/>
    <w:rsid w:val="004B6662"/>
    <w:rsid w:val="004B67A5"/>
    <w:rsid w:val="004B686C"/>
    <w:rsid w:val="004B7198"/>
    <w:rsid w:val="004B75DD"/>
    <w:rsid w:val="004B7709"/>
    <w:rsid w:val="004B7A71"/>
    <w:rsid w:val="004B7D20"/>
    <w:rsid w:val="004B7D90"/>
    <w:rsid w:val="004C0E0D"/>
    <w:rsid w:val="004C0F20"/>
    <w:rsid w:val="004C1045"/>
    <w:rsid w:val="004C10AD"/>
    <w:rsid w:val="004C1939"/>
    <w:rsid w:val="004C3A78"/>
    <w:rsid w:val="004C3D91"/>
    <w:rsid w:val="004C414B"/>
    <w:rsid w:val="004C4358"/>
    <w:rsid w:val="004C456E"/>
    <w:rsid w:val="004C5088"/>
    <w:rsid w:val="004C5586"/>
    <w:rsid w:val="004C5F24"/>
    <w:rsid w:val="004C6A9E"/>
    <w:rsid w:val="004C714E"/>
    <w:rsid w:val="004C79A6"/>
    <w:rsid w:val="004C7DA6"/>
    <w:rsid w:val="004D0301"/>
    <w:rsid w:val="004D05BD"/>
    <w:rsid w:val="004D2447"/>
    <w:rsid w:val="004D247C"/>
    <w:rsid w:val="004D276A"/>
    <w:rsid w:val="004D277E"/>
    <w:rsid w:val="004D284B"/>
    <w:rsid w:val="004D41FB"/>
    <w:rsid w:val="004D427A"/>
    <w:rsid w:val="004D44C9"/>
    <w:rsid w:val="004D46FC"/>
    <w:rsid w:val="004D4C29"/>
    <w:rsid w:val="004D51C4"/>
    <w:rsid w:val="004D5B5D"/>
    <w:rsid w:val="004D72E1"/>
    <w:rsid w:val="004D7408"/>
    <w:rsid w:val="004D7F38"/>
    <w:rsid w:val="004E2864"/>
    <w:rsid w:val="004E3E24"/>
    <w:rsid w:val="004E417F"/>
    <w:rsid w:val="004E5431"/>
    <w:rsid w:val="004E5524"/>
    <w:rsid w:val="004E5BB4"/>
    <w:rsid w:val="004E6100"/>
    <w:rsid w:val="004E6AE3"/>
    <w:rsid w:val="004E7442"/>
    <w:rsid w:val="004E75CC"/>
    <w:rsid w:val="004E7BCC"/>
    <w:rsid w:val="004E7CBE"/>
    <w:rsid w:val="004F07B8"/>
    <w:rsid w:val="004F09D9"/>
    <w:rsid w:val="004F2E08"/>
    <w:rsid w:val="004F2FC6"/>
    <w:rsid w:val="004F34BE"/>
    <w:rsid w:val="004F3A4C"/>
    <w:rsid w:val="004F4DC7"/>
    <w:rsid w:val="004F4E77"/>
    <w:rsid w:val="004F5BF5"/>
    <w:rsid w:val="004F6A47"/>
    <w:rsid w:val="004F770C"/>
    <w:rsid w:val="0050045B"/>
    <w:rsid w:val="00501398"/>
    <w:rsid w:val="005023FD"/>
    <w:rsid w:val="00502760"/>
    <w:rsid w:val="00503A13"/>
    <w:rsid w:val="00503FB5"/>
    <w:rsid w:val="00505ED6"/>
    <w:rsid w:val="00507726"/>
    <w:rsid w:val="005078F9"/>
    <w:rsid w:val="0051002E"/>
    <w:rsid w:val="005104C7"/>
    <w:rsid w:val="005107CE"/>
    <w:rsid w:val="005115E3"/>
    <w:rsid w:val="00511E8B"/>
    <w:rsid w:val="00511F05"/>
    <w:rsid w:val="0051282A"/>
    <w:rsid w:val="00512F8F"/>
    <w:rsid w:val="0051328F"/>
    <w:rsid w:val="005138CE"/>
    <w:rsid w:val="0051428A"/>
    <w:rsid w:val="00515D23"/>
    <w:rsid w:val="00517CB4"/>
    <w:rsid w:val="00522314"/>
    <w:rsid w:val="00523094"/>
    <w:rsid w:val="00523477"/>
    <w:rsid w:val="00523E9C"/>
    <w:rsid w:val="00523FD5"/>
    <w:rsid w:val="00524F39"/>
    <w:rsid w:val="00525B80"/>
    <w:rsid w:val="00525C30"/>
    <w:rsid w:val="00525EB0"/>
    <w:rsid w:val="00526C8E"/>
    <w:rsid w:val="00526F38"/>
    <w:rsid w:val="0052710B"/>
    <w:rsid w:val="00530395"/>
    <w:rsid w:val="00531200"/>
    <w:rsid w:val="00532727"/>
    <w:rsid w:val="005348DD"/>
    <w:rsid w:val="005348F2"/>
    <w:rsid w:val="005354D2"/>
    <w:rsid w:val="005359C9"/>
    <w:rsid w:val="005361B7"/>
    <w:rsid w:val="005365B1"/>
    <w:rsid w:val="00537A29"/>
    <w:rsid w:val="00541865"/>
    <w:rsid w:val="005419FA"/>
    <w:rsid w:val="00541A38"/>
    <w:rsid w:val="0054205B"/>
    <w:rsid w:val="00542457"/>
    <w:rsid w:val="0054295D"/>
    <w:rsid w:val="00542CB2"/>
    <w:rsid w:val="00543578"/>
    <w:rsid w:val="0054402E"/>
    <w:rsid w:val="00544871"/>
    <w:rsid w:val="00544954"/>
    <w:rsid w:val="00544BB2"/>
    <w:rsid w:val="00544D88"/>
    <w:rsid w:val="005462E1"/>
    <w:rsid w:val="005463FF"/>
    <w:rsid w:val="0054722D"/>
    <w:rsid w:val="00550071"/>
    <w:rsid w:val="00550986"/>
    <w:rsid w:val="00550A1B"/>
    <w:rsid w:val="00550ECF"/>
    <w:rsid w:val="00551467"/>
    <w:rsid w:val="0055203D"/>
    <w:rsid w:val="00552398"/>
    <w:rsid w:val="0055257F"/>
    <w:rsid w:val="00552B50"/>
    <w:rsid w:val="00552CF6"/>
    <w:rsid w:val="0055323B"/>
    <w:rsid w:val="00553AC8"/>
    <w:rsid w:val="00553D97"/>
    <w:rsid w:val="00554E3F"/>
    <w:rsid w:val="00554E42"/>
    <w:rsid w:val="00555247"/>
    <w:rsid w:val="005555E3"/>
    <w:rsid w:val="005557A3"/>
    <w:rsid w:val="00555D8D"/>
    <w:rsid w:val="0055616F"/>
    <w:rsid w:val="005569CF"/>
    <w:rsid w:val="00556D02"/>
    <w:rsid w:val="0055725B"/>
    <w:rsid w:val="00557288"/>
    <w:rsid w:val="005572D8"/>
    <w:rsid w:val="00557ACE"/>
    <w:rsid w:val="0056078C"/>
    <w:rsid w:val="00560CBC"/>
    <w:rsid w:val="00563F9E"/>
    <w:rsid w:val="00564A6F"/>
    <w:rsid w:val="0056572B"/>
    <w:rsid w:val="0056665B"/>
    <w:rsid w:val="00566956"/>
    <w:rsid w:val="00567075"/>
    <w:rsid w:val="0056723E"/>
    <w:rsid w:val="00570157"/>
    <w:rsid w:val="00570AA1"/>
    <w:rsid w:val="00570EDA"/>
    <w:rsid w:val="00571C68"/>
    <w:rsid w:val="00572A0F"/>
    <w:rsid w:val="00572D5C"/>
    <w:rsid w:val="00572E22"/>
    <w:rsid w:val="00573930"/>
    <w:rsid w:val="00574A5E"/>
    <w:rsid w:val="005751A9"/>
    <w:rsid w:val="00575836"/>
    <w:rsid w:val="00576B66"/>
    <w:rsid w:val="00580326"/>
    <w:rsid w:val="00581175"/>
    <w:rsid w:val="00581854"/>
    <w:rsid w:val="005822D9"/>
    <w:rsid w:val="00582FD1"/>
    <w:rsid w:val="00583352"/>
    <w:rsid w:val="00584C86"/>
    <w:rsid w:val="00584CB4"/>
    <w:rsid w:val="00584E27"/>
    <w:rsid w:val="00585075"/>
    <w:rsid w:val="00585457"/>
    <w:rsid w:val="005855DD"/>
    <w:rsid w:val="00585B91"/>
    <w:rsid w:val="0058669B"/>
    <w:rsid w:val="0058772E"/>
    <w:rsid w:val="00587CBD"/>
    <w:rsid w:val="00590983"/>
    <w:rsid w:val="005912D6"/>
    <w:rsid w:val="00591979"/>
    <w:rsid w:val="005919DA"/>
    <w:rsid w:val="00594142"/>
    <w:rsid w:val="0059450E"/>
    <w:rsid w:val="00594BAF"/>
    <w:rsid w:val="005951FF"/>
    <w:rsid w:val="00595B8B"/>
    <w:rsid w:val="00595EFA"/>
    <w:rsid w:val="0059695A"/>
    <w:rsid w:val="0059699F"/>
    <w:rsid w:val="00596F33"/>
    <w:rsid w:val="0059737A"/>
    <w:rsid w:val="00597719"/>
    <w:rsid w:val="00597F7A"/>
    <w:rsid w:val="005A0355"/>
    <w:rsid w:val="005A0398"/>
    <w:rsid w:val="005A0A04"/>
    <w:rsid w:val="005A0A9F"/>
    <w:rsid w:val="005A1377"/>
    <w:rsid w:val="005A1AD8"/>
    <w:rsid w:val="005A1D81"/>
    <w:rsid w:val="005A1E5B"/>
    <w:rsid w:val="005A1F52"/>
    <w:rsid w:val="005A2331"/>
    <w:rsid w:val="005A2396"/>
    <w:rsid w:val="005A25DC"/>
    <w:rsid w:val="005A4481"/>
    <w:rsid w:val="005A4C7F"/>
    <w:rsid w:val="005A5B7B"/>
    <w:rsid w:val="005A6575"/>
    <w:rsid w:val="005A67D2"/>
    <w:rsid w:val="005A6918"/>
    <w:rsid w:val="005A721A"/>
    <w:rsid w:val="005A728D"/>
    <w:rsid w:val="005A777E"/>
    <w:rsid w:val="005A7B0E"/>
    <w:rsid w:val="005B0A53"/>
    <w:rsid w:val="005B1AD9"/>
    <w:rsid w:val="005B1DEF"/>
    <w:rsid w:val="005B3D1C"/>
    <w:rsid w:val="005B476B"/>
    <w:rsid w:val="005B54F4"/>
    <w:rsid w:val="005B570C"/>
    <w:rsid w:val="005B5DA4"/>
    <w:rsid w:val="005B7340"/>
    <w:rsid w:val="005B73BC"/>
    <w:rsid w:val="005B741F"/>
    <w:rsid w:val="005C0C67"/>
    <w:rsid w:val="005C0EBC"/>
    <w:rsid w:val="005C1863"/>
    <w:rsid w:val="005C1A05"/>
    <w:rsid w:val="005C20E0"/>
    <w:rsid w:val="005C268C"/>
    <w:rsid w:val="005C27DB"/>
    <w:rsid w:val="005C29B7"/>
    <w:rsid w:val="005C2FC3"/>
    <w:rsid w:val="005C378B"/>
    <w:rsid w:val="005C3B4E"/>
    <w:rsid w:val="005C3B63"/>
    <w:rsid w:val="005C4568"/>
    <w:rsid w:val="005C4764"/>
    <w:rsid w:val="005C5131"/>
    <w:rsid w:val="005C53FC"/>
    <w:rsid w:val="005C54C0"/>
    <w:rsid w:val="005C5767"/>
    <w:rsid w:val="005C5C21"/>
    <w:rsid w:val="005C66CA"/>
    <w:rsid w:val="005C71FD"/>
    <w:rsid w:val="005C79E6"/>
    <w:rsid w:val="005C7C78"/>
    <w:rsid w:val="005D0240"/>
    <w:rsid w:val="005D03AA"/>
    <w:rsid w:val="005D0498"/>
    <w:rsid w:val="005D04FB"/>
    <w:rsid w:val="005D08CA"/>
    <w:rsid w:val="005D0EE2"/>
    <w:rsid w:val="005D428C"/>
    <w:rsid w:val="005D69D3"/>
    <w:rsid w:val="005D6B9B"/>
    <w:rsid w:val="005D6BDC"/>
    <w:rsid w:val="005D75CC"/>
    <w:rsid w:val="005D7AC8"/>
    <w:rsid w:val="005D7BFC"/>
    <w:rsid w:val="005D7E8D"/>
    <w:rsid w:val="005E0650"/>
    <w:rsid w:val="005E0780"/>
    <w:rsid w:val="005E098F"/>
    <w:rsid w:val="005E0E0C"/>
    <w:rsid w:val="005E0F06"/>
    <w:rsid w:val="005E1DF9"/>
    <w:rsid w:val="005E2075"/>
    <w:rsid w:val="005E20A8"/>
    <w:rsid w:val="005E4266"/>
    <w:rsid w:val="005E4D4D"/>
    <w:rsid w:val="005E5202"/>
    <w:rsid w:val="005E5557"/>
    <w:rsid w:val="005E55F5"/>
    <w:rsid w:val="005E5A6F"/>
    <w:rsid w:val="005E61BF"/>
    <w:rsid w:val="005E688E"/>
    <w:rsid w:val="005E73C5"/>
    <w:rsid w:val="005F0A29"/>
    <w:rsid w:val="005F0C7E"/>
    <w:rsid w:val="005F106D"/>
    <w:rsid w:val="005F1610"/>
    <w:rsid w:val="005F255C"/>
    <w:rsid w:val="005F2E7E"/>
    <w:rsid w:val="005F2F6A"/>
    <w:rsid w:val="005F3269"/>
    <w:rsid w:val="005F3392"/>
    <w:rsid w:val="005F392C"/>
    <w:rsid w:val="005F39E9"/>
    <w:rsid w:val="005F3AA4"/>
    <w:rsid w:val="005F3E1D"/>
    <w:rsid w:val="005F47B9"/>
    <w:rsid w:val="005F4887"/>
    <w:rsid w:val="005F4D48"/>
    <w:rsid w:val="005F4ECA"/>
    <w:rsid w:val="005F4F32"/>
    <w:rsid w:val="005F5029"/>
    <w:rsid w:val="005F58E6"/>
    <w:rsid w:val="005F599D"/>
    <w:rsid w:val="005F6273"/>
    <w:rsid w:val="005F645E"/>
    <w:rsid w:val="005F6D6E"/>
    <w:rsid w:val="005F7647"/>
    <w:rsid w:val="0060005D"/>
    <w:rsid w:val="0060044B"/>
    <w:rsid w:val="0060079B"/>
    <w:rsid w:val="00601EDF"/>
    <w:rsid w:val="006029DA"/>
    <w:rsid w:val="006043A1"/>
    <w:rsid w:val="00604CF8"/>
    <w:rsid w:val="00604F7F"/>
    <w:rsid w:val="00605B9D"/>
    <w:rsid w:val="00605D66"/>
    <w:rsid w:val="00606013"/>
    <w:rsid w:val="0060627A"/>
    <w:rsid w:val="00606A51"/>
    <w:rsid w:val="00610A78"/>
    <w:rsid w:val="00611120"/>
    <w:rsid w:val="00611280"/>
    <w:rsid w:val="00611CD7"/>
    <w:rsid w:val="00612098"/>
    <w:rsid w:val="00612646"/>
    <w:rsid w:val="0061295C"/>
    <w:rsid w:val="00613329"/>
    <w:rsid w:val="00613F50"/>
    <w:rsid w:val="00613FA7"/>
    <w:rsid w:val="0061423C"/>
    <w:rsid w:val="0061433E"/>
    <w:rsid w:val="00614F3C"/>
    <w:rsid w:val="006158A4"/>
    <w:rsid w:val="0061661E"/>
    <w:rsid w:val="006167B1"/>
    <w:rsid w:val="006169FC"/>
    <w:rsid w:val="00616B5E"/>
    <w:rsid w:val="00616E8F"/>
    <w:rsid w:val="006173C5"/>
    <w:rsid w:val="00617E1C"/>
    <w:rsid w:val="00617E49"/>
    <w:rsid w:val="0062046B"/>
    <w:rsid w:val="00620C2D"/>
    <w:rsid w:val="006217C1"/>
    <w:rsid w:val="00622C96"/>
    <w:rsid w:val="00622F5D"/>
    <w:rsid w:val="00623346"/>
    <w:rsid w:val="00623718"/>
    <w:rsid w:val="00625219"/>
    <w:rsid w:val="0062550C"/>
    <w:rsid w:val="00625E36"/>
    <w:rsid w:val="00626183"/>
    <w:rsid w:val="00627B35"/>
    <w:rsid w:val="00627C70"/>
    <w:rsid w:val="00627EC5"/>
    <w:rsid w:val="00630525"/>
    <w:rsid w:val="006321F0"/>
    <w:rsid w:val="006322CD"/>
    <w:rsid w:val="00632E9E"/>
    <w:rsid w:val="006338D2"/>
    <w:rsid w:val="006342F3"/>
    <w:rsid w:val="0063437C"/>
    <w:rsid w:val="0063458C"/>
    <w:rsid w:val="006350CC"/>
    <w:rsid w:val="00635489"/>
    <w:rsid w:val="00635A73"/>
    <w:rsid w:val="00635B5B"/>
    <w:rsid w:val="006360BD"/>
    <w:rsid w:val="006361F4"/>
    <w:rsid w:val="00636A2B"/>
    <w:rsid w:val="00636D21"/>
    <w:rsid w:val="00636FF8"/>
    <w:rsid w:val="0063713C"/>
    <w:rsid w:val="006371DE"/>
    <w:rsid w:val="00637738"/>
    <w:rsid w:val="00637C89"/>
    <w:rsid w:val="0064004D"/>
    <w:rsid w:val="00640BF8"/>
    <w:rsid w:val="00640CAC"/>
    <w:rsid w:val="0064171D"/>
    <w:rsid w:val="0064187B"/>
    <w:rsid w:val="00642008"/>
    <w:rsid w:val="00642653"/>
    <w:rsid w:val="00642A70"/>
    <w:rsid w:val="00642AFC"/>
    <w:rsid w:val="006430D8"/>
    <w:rsid w:val="0064326F"/>
    <w:rsid w:val="006432EA"/>
    <w:rsid w:val="00643BF5"/>
    <w:rsid w:val="00643FBC"/>
    <w:rsid w:val="006457A2"/>
    <w:rsid w:val="00645A03"/>
    <w:rsid w:val="00645E34"/>
    <w:rsid w:val="006460F2"/>
    <w:rsid w:val="006464B1"/>
    <w:rsid w:val="006465B4"/>
    <w:rsid w:val="00646A2A"/>
    <w:rsid w:val="00647094"/>
    <w:rsid w:val="006472CF"/>
    <w:rsid w:val="0064789F"/>
    <w:rsid w:val="00651962"/>
    <w:rsid w:val="0065272A"/>
    <w:rsid w:val="00652DEF"/>
    <w:rsid w:val="00652E84"/>
    <w:rsid w:val="006536AE"/>
    <w:rsid w:val="00653C91"/>
    <w:rsid w:val="00653DC2"/>
    <w:rsid w:val="00653EBB"/>
    <w:rsid w:val="006550CE"/>
    <w:rsid w:val="00656002"/>
    <w:rsid w:val="00656868"/>
    <w:rsid w:val="00656966"/>
    <w:rsid w:val="00656EEF"/>
    <w:rsid w:val="006572C4"/>
    <w:rsid w:val="006574D4"/>
    <w:rsid w:val="006576F6"/>
    <w:rsid w:val="00657F61"/>
    <w:rsid w:val="00660002"/>
    <w:rsid w:val="006601A3"/>
    <w:rsid w:val="0066047E"/>
    <w:rsid w:val="00660B23"/>
    <w:rsid w:val="006612E3"/>
    <w:rsid w:val="0066178B"/>
    <w:rsid w:val="00661F2F"/>
    <w:rsid w:val="00662337"/>
    <w:rsid w:val="00662572"/>
    <w:rsid w:val="0066332A"/>
    <w:rsid w:val="00663810"/>
    <w:rsid w:val="00663E2A"/>
    <w:rsid w:val="006642BD"/>
    <w:rsid w:val="0066459B"/>
    <w:rsid w:val="00664E34"/>
    <w:rsid w:val="00665DB2"/>
    <w:rsid w:val="00666D9A"/>
    <w:rsid w:val="00666EC4"/>
    <w:rsid w:val="00667D0E"/>
    <w:rsid w:val="00667EE4"/>
    <w:rsid w:val="0067016F"/>
    <w:rsid w:val="00670B0F"/>
    <w:rsid w:val="00670F64"/>
    <w:rsid w:val="00671081"/>
    <w:rsid w:val="006710E0"/>
    <w:rsid w:val="00672223"/>
    <w:rsid w:val="006722CF"/>
    <w:rsid w:val="0067292E"/>
    <w:rsid w:val="00672A72"/>
    <w:rsid w:val="00672B1E"/>
    <w:rsid w:val="0067366C"/>
    <w:rsid w:val="00673C2C"/>
    <w:rsid w:val="00673DAA"/>
    <w:rsid w:val="006748C2"/>
    <w:rsid w:val="00674B80"/>
    <w:rsid w:val="00675569"/>
    <w:rsid w:val="00675604"/>
    <w:rsid w:val="00676700"/>
    <w:rsid w:val="0067683F"/>
    <w:rsid w:val="00677176"/>
    <w:rsid w:val="00677370"/>
    <w:rsid w:val="0068039F"/>
    <w:rsid w:val="00680877"/>
    <w:rsid w:val="006808C0"/>
    <w:rsid w:val="00680C97"/>
    <w:rsid w:val="00680EED"/>
    <w:rsid w:val="00682616"/>
    <w:rsid w:val="00682839"/>
    <w:rsid w:val="00682F64"/>
    <w:rsid w:val="0068399E"/>
    <w:rsid w:val="00683B8B"/>
    <w:rsid w:val="00685099"/>
    <w:rsid w:val="00685183"/>
    <w:rsid w:val="00685338"/>
    <w:rsid w:val="006857C1"/>
    <w:rsid w:val="00685F0F"/>
    <w:rsid w:val="0068627B"/>
    <w:rsid w:val="00686430"/>
    <w:rsid w:val="00686434"/>
    <w:rsid w:val="00687A4A"/>
    <w:rsid w:val="006906F5"/>
    <w:rsid w:val="00690D47"/>
    <w:rsid w:val="00690ECD"/>
    <w:rsid w:val="00690FA6"/>
    <w:rsid w:val="00691867"/>
    <w:rsid w:val="00691B2C"/>
    <w:rsid w:val="00691BC3"/>
    <w:rsid w:val="00691D3B"/>
    <w:rsid w:val="00692085"/>
    <w:rsid w:val="00693644"/>
    <w:rsid w:val="00693EFA"/>
    <w:rsid w:val="006945F1"/>
    <w:rsid w:val="00694918"/>
    <w:rsid w:val="006953A7"/>
    <w:rsid w:val="00695A7C"/>
    <w:rsid w:val="00696337"/>
    <w:rsid w:val="00696387"/>
    <w:rsid w:val="00696DB9"/>
    <w:rsid w:val="006971E7"/>
    <w:rsid w:val="006973AD"/>
    <w:rsid w:val="006A0885"/>
    <w:rsid w:val="006A1132"/>
    <w:rsid w:val="006A13AA"/>
    <w:rsid w:val="006A14AD"/>
    <w:rsid w:val="006A14EB"/>
    <w:rsid w:val="006A1B22"/>
    <w:rsid w:val="006A25D9"/>
    <w:rsid w:val="006A2809"/>
    <w:rsid w:val="006A327A"/>
    <w:rsid w:val="006A430E"/>
    <w:rsid w:val="006A47F9"/>
    <w:rsid w:val="006A4ACD"/>
    <w:rsid w:val="006A4BA0"/>
    <w:rsid w:val="006A50E3"/>
    <w:rsid w:val="006A5844"/>
    <w:rsid w:val="006A5986"/>
    <w:rsid w:val="006A60FD"/>
    <w:rsid w:val="006A702F"/>
    <w:rsid w:val="006A75EE"/>
    <w:rsid w:val="006A7698"/>
    <w:rsid w:val="006A771A"/>
    <w:rsid w:val="006A7FB2"/>
    <w:rsid w:val="006B0ECE"/>
    <w:rsid w:val="006B0EDD"/>
    <w:rsid w:val="006B14B8"/>
    <w:rsid w:val="006B1FE3"/>
    <w:rsid w:val="006B2909"/>
    <w:rsid w:val="006B3EF9"/>
    <w:rsid w:val="006B55BC"/>
    <w:rsid w:val="006B5712"/>
    <w:rsid w:val="006B6D6F"/>
    <w:rsid w:val="006B6D8A"/>
    <w:rsid w:val="006B6EA8"/>
    <w:rsid w:val="006B760D"/>
    <w:rsid w:val="006B7787"/>
    <w:rsid w:val="006B78FD"/>
    <w:rsid w:val="006C0D59"/>
    <w:rsid w:val="006C12C3"/>
    <w:rsid w:val="006C178D"/>
    <w:rsid w:val="006C1E3A"/>
    <w:rsid w:val="006C25B9"/>
    <w:rsid w:val="006C33F6"/>
    <w:rsid w:val="006C371E"/>
    <w:rsid w:val="006C3824"/>
    <w:rsid w:val="006C3B3B"/>
    <w:rsid w:val="006C3FB3"/>
    <w:rsid w:val="006C4910"/>
    <w:rsid w:val="006C52A6"/>
    <w:rsid w:val="006C54A6"/>
    <w:rsid w:val="006C5721"/>
    <w:rsid w:val="006C652B"/>
    <w:rsid w:val="006C7789"/>
    <w:rsid w:val="006D0885"/>
    <w:rsid w:val="006D0A06"/>
    <w:rsid w:val="006D1A0B"/>
    <w:rsid w:val="006D1E3C"/>
    <w:rsid w:val="006D20CE"/>
    <w:rsid w:val="006D28FD"/>
    <w:rsid w:val="006D35DA"/>
    <w:rsid w:val="006D3DE1"/>
    <w:rsid w:val="006D4063"/>
    <w:rsid w:val="006D4430"/>
    <w:rsid w:val="006D48CF"/>
    <w:rsid w:val="006D49B3"/>
    <w:rsid w:val="006D502D"/>
    <w:rsid w:val="006D56C5"/>
    <w:rsid w:val="006D5FEE"/>
    <w:rsid w:val="006D600E"/>
    <w:rsid w:val="006D62F6"/>
    <w:rsid w:val="006D6384"/>
    <w:rsid w:val="006D644E"/>
    <w:rsid w:val="006D657B"/>
    <w:rsid w:val="006D7674"/>
    <w:rsid w:val="006E0A04"/>
    <w:rsid w:val="006E0FAD"/>
    <w:rsid w:val="006E1112"/>
    <w:rsid w:val="006E125A"/>
    <w:rsid w:val="006E1618"/>
    <w:rsid w:val="006E1F0E"/>
    <w:rsid w:val="006E280A"/>
    <w:rsid w:val="006E28D8"/>
    <w:rsid w:val="006E39F0"/>
    <w:rsid w:val="006E40E0"/>
    <w:rsid w:val="006E4739"/>
    <w:rsid w:val="006E4A8E"/>
    <w:rsid w:val="006E4F89"/>
    <w:rsid w:val="006E505E"/>
    <w:rsid w:val="006E552C"/>
    <w:rsid w:val="006E5A0F"/>
    <w:rsid w:val="006E61D6"/>
    <w:rsid w:val="006E773E"/>
    <w:rsid w:val="006E7BBA"/>
    <w:rsid w:val="006F1F77"/>
    <w:rsid w:val="006F20F5"/>
    <w:rsid w:val="006F2FE5"/>
    <w:rsid w:val="006F3329"/>
    <w:rsid w:val="006F359E"/>
    <w:rsid w:val="006F35FC"/>
    <w:rsid w:val="006F3DC4"/>
    <w:rsid w:val="006F564E"/>
    <w:rsid w:val="006F6130"/>
    <w:rsid w:val="006F69D1"/>
    <w:rsid w:val="006F7260"/>
    <w:rsid w:val="007002F6"/>
    <w:rsid w:val="00700A33"/>
    <w:rsid w:val="00700B96"/>
    <w:rsid w:val="007017C5"/>
    <w:rsid w:val="00702038"/>
    <w:rsid w:val="00702271"/>
    <w:rsid w:val="007028A3"/>
    <w:rsid w:val="0070388C"/>
    <w:rsid w:val="007042E3"/>
    <w:rsid w:val="0070475E"/>
    <w:rsid w:val="00705127"/>
    <w:rsid w:val="007053FD"/>
    <w:rsid w:val="007056E2"/>
    <w:rsid w:val="00705E52"/>
    <w:rsid w:val="007064E9"/>
    <w:rsid w:val="0070702D"/>
    <w:rsid w:val="00707417"/>
    <w:rsid w:val="0070794E"/>
    <w:rsid w:val="00710F8E"/>
    <w:rsid w:val="007117E9"/>
    <w:rsid w:val="00711A07"/>
    <w:rsid w:val="00713029"/>
    <w:rsid w:val="00713147"/>
    <w:rsid w:val="0071499E"/>
    <w:rsid w:val="00714B34"/>
    <w:rsid w:val="00720118"/>
    <w:rsid w:val="00720667"/>
    <w:rsid w:val="00720D17"/>
    <w:rsid w:val="0072145A"/>
    <w:rsid w:val="007214D3"/>
    <w:rsid w:val="007225C0"/>
    <w:rsid w:val="007229DF"/>
    <w:rsid w:val="0072302C"/>
    <w:rsid w:val="00723D33"/>
    <w:rsid w:val="00723F30"/>
    <w:rsid w:val="007243EF"/>
    <w:rsid w:val="00724657"/>
    <w:rsid w:val="007248A8"/>
    <w:rsid w:val="007253E2"/>
    <w:rsid w:val="00725735"/>
    <w:rsid w:val="00725891"/>
    <w:rsid w:val="00726D8C"/>
    <w:rsid w:val="0072738A"/>
    <w:rsid w:val="00727A1F"/>
    <w:rsid w:val="00730743"/>
    <w:rsid w:val="00730BBD"/>
    <w:rsid w:val="00731942"/>
    <w:rsid w:val="0073197E"/>
    <w:rsid w:val="0073201E"/>
    <w:rsid w:val="007322D8"/>
    <w:rsid w:val="00732833"/>
    <w:rsid w:val="007330D9"/>
    <w:rsid w:val="007334EC"/>
    <w:rsid w:val="007341BD"/>
    <w:rsid w:val="0073488F"/>
    <w:rsid w:val="00734BA6"/>
    <w:rsid w:val="00734E13"/>
    <w:rsid w:val="00734E46"/>
    <w:rsid w:val="0073501A"/>
    <w:rsid w:val="007356AA"/>
    <w:rsid w:val="00735CBC"/>
    <w:rsid w:val="007374D4"/>
    <w:rsid w:val="00737B5A"/>
    <w:rsid w:val="00737B61"/>
    <w:rsid w:val="0074012A"/>
    <w:rsid w:val="00740139"/>
    <w:rsid w:val="00741894"/>
    <w:rsid w:val="007418E5"/>
    <w:rsid w:val="007438B6"/>
    <w:rsid w:val="00744982"/>
    <w:rsid w:val="007457E8"/>
    <w:rsid w:val="007458FE"/>
    <w:rsid w:val="00746F6B"/>
    <w:rsid w:val="007472C4"/>
    <w:rsid w:val="007473A0"/>
    <w:rsid w:val="00747A6A"/>
    <w:rsid w:val="00747EC5"/>
    <w:rsid w:val="0075036E"/>
    <w:rsid w:val="00750628"/>
    <w:rsid w:val="00750B28"/>
    <w:rsid w:val="00750CFC"/>
    <w:rsid w:val="00751689"/>
    <w:rsid w:val="00752034"/>
    <w:rsid w:val="0075213B"/>
    <w:rsid w:val="00753616"/>
    <w:rsid w:val="00753E46"/>
    <w:rsid w:val="00754C8B"/>
    <w:rsid w:val="00754D23"/>
    <w:rsid w:val="00755060"/>
    <w:rsid w:val="007554EE"/>
    <w:rsid w:val="00755B0D"/>
    <w:rsid w:val="00755CE2"/>
    <w:rsid w:val="0075602E"/>
    <w:rsid w:val="00756D46"/>
    <w:rsid w:val="0076076D"/>
    <w:rsid w:val="00762A9E"/>
    <w:rsid w:val="0076387E"/>
    <w:rsid w:val="00763DB5"/>
    <w:rsid w:val="00764BD5"/>
    <w:rsid w:val="00764E0A"/>
    <w:rsid w:val="007655FE"/>
    <w:rsid w:val="0076636F"/>
    <w:rsid w:val="007704E0"/>
    <w:rsid w:val="00770C33"/>
    <w:rsid w:val="007721B8"/>
    <w:rsid w:val="007728AC"/>
    <w:rsid w:val="00772F26"/>
    <w:rsid w:val="007734AB"/>
    <w:rsid w:val="007739B8"/>
    <w:rsid w:val="0077557F"/>
    <w:rsid w:val="00775F1D"/>
    <w:rsid w:val="0077617F"/>
    <w:rsid w:val="00777157"/>
    <w:rsid w:val="0078064D"/>
    <w:rsid w:val="007809C2"/>
    <w:rsid w:val="00781EBE"/>
    <w:rsid w:val="0078239F"/>
    <w:rsid w:val="00783552"/>
    <w:rsid w:val="00783653"/>
    <w:rsid w:val="00783C98"/>
    <w:rsid w:val="00783E96"/>
    <w:rsid w:val="00783F81"/>
    <w:rsid w:val="00784823"/>
    <w:rsid w:val="00784AF0"/>
    <w:rsid w:val="00784D0A"/>
    <w:rsid w:val="00785B0A"/>
    <w:rsid w:val="00785D8D"/>
    <w:rsid w:val="007860CD"/>
    <w:rsid w:val="007860CF"/>
    <w:rsid w:val="00786A00"/>
    <w:rsid w:val="00786B03"/>
    <w:rsid w:val="00786DC1"/>
    <w:rsid w:val="00786E54"/>
    <w:rsid w:val="0078720C"/>
    <w:rsid w:val="00787FE9"/>
    <w:rsid w:val="0079064E"/>
    <w:rsid w:val="00790652"/>
    <w:rsid w:val="007911F3"/>
    <w:rsid w:val="00791334"/>
    <w:rsid w:val="00791403"/>
    <w:rsid w:val="00791CE3"/>
    <w:rsid w:val="00792CFE"/>
    <w:rsid w:val="007930E4"/>
    <w:rsid w:val="00794DF7"/>
    <w:rsid w:val="00794FE2"/>
    <w:rsid w:val="0079511C"/>
    <w:rsid w:val="0079627A"/>
    <w:rsid w:val="007962C8"/>
    <w:rsid w:val="007964F9"/>
    <w:rsid w:val="007979D8"/>
    <w:rsid w:val="00797FE3"/>
    <w:rsid w:val="007A01F5"/>
    <w:rsid w:val="007A04E9"/>
    <w:rsid w:val="007A062F"/>
    <w:rsid w:val="007A0C5E"/>
    <w:rsid w:val="007A14D4"/>
    <w:rsid w:val="007A15A4"/>
    <w:rsid w:val="007A169C"/>
    <w:rsid w:val="007A1E27"/>
    <w:rsid w:val="007A1F86"/>
    <w:rsid w:val="007A2765"/>
    <w:rsid w:val="007A2C5A"/>
    <w:rsid w:val="007A3B71"/>
    <w:rsid w:val="007A3E54"/>
    <w:rsid w:val="007A3E6F"/>
    <w:rsid w:val="007A4011"/>
    <w:rsid w:val="007A4A23"/>
    <w:rsid w:val="007A4EE0"/>
    <w:rsid w:val="007A5D68"/>
    <w:rsid w:val="007A61C7"/>
    <w:rsid w:val="007A6361"/>
    <w:rsid w:val="007A6C54"/>
    <w:rsid w:val="007A7A9C"/>
    <w:rsid w:val="007A7C61"/>
    <w:rsid w:val="007B07F5"/>
    <w:rsid w:val="007B12E6"/>
    <w:rsid w:val="007B140C"/>
    <w:rsid w:val="007B1478"/>
    <w:rsid w:val="007B1927"/>
    <w:rsid w:val="007B1979"/>
    <w:rsid w:val="007B198A"/>
    <w:rsid w:val="007B19D6"/>
    <w:rsid w:val="007B1E47"/>
    <w:rsid w:val="007B2243"/>
    <w:rsid w:val="007B3104"/>
    <w:rsid w:val="007B3229"/>
    <w:rsid w:val="007B362B"/>
    <w:rsid w:val="007B3CDE"/>
    <w:rsid w:val="007B3E0D"/>
    <w:rsid w:val="007B3ED4"/>
    <w:rsid w:val="007B4076"/>
    <w:rsid w:val="007B5A5A"/>
    <w:rsid w:val="007B6822"/>
    <w:rsid w:val="007B6F0D"/>
    <w:rsid w:val="007B745B"/>
    <w:rsid w:val="007B7C11"/>
    <w:rsid w:val="007C0589"/>
    <w:rsid w:val="007C05E5"/>
    <w:rsid w:val="007C132D"/>
    <w:rsid w:val="007C2845"/>
    <w:rsid w:val="007C29C5"/>
    <w:rsid w:val="007C3195"/>
    <w:rsid w:val="007C414D"/>
    <w:rsid w:val="007C46EB"/>
    <w:rsid w:val="007C52D8"/>
    <w:rsid w:val="007C5EEB"/>
    <w:rsid w:val="007C623C"/>
    <w:rsid w:val="007C6514"/>
    <w:rsid w:val="007C6569"/>
    <w:rsid w:val="007C674B"/>
    <w:rsid w:val="007D03D8"/>
    <w:rsid w:val="007D03EC"/>
    <w:rsid w:val="007D0897"/>
    <w:rsid w:val="007D0E2E"/>
    <w:rsid w:val="007D0EFF"/>
    <w:rsid w:val="007D2B67"/>
    <w:rsid w:val="007D31B6"/>
    <w:rsid w:val="007D37A6"/>
    <w:rsid w:val="007D3B90"/>
    <w:rsid w:val="007D480D"/>
    <w:rsid w:val="007D5A67"/>
    <w:rsid w:val="007D6242"/>
    <w:rsid w:val="007D6905"/>
    <w:rsid w:val="007D6CD1"/>
    <w:rsid w:val="007D6D07"/>
    <w:rsid w:val="007D6D69"/>
    <w:rsid w:val="007D78B9"/>
    <w:rsid w:val="007D7E76"/>
    <w:rsid w:val="007E002A"/>
    <w:rsid w:val="007E0108"/>
    <w:rsid w:val="007E088C"/>
    <w:rsid w:val="007E1C24"/>
    <w:rsid w:val="007E22C7"/>
    <w:rsid w:val="007E28CD"/>
    <w:rsid w:val="007E2EAA"/>
    <w:rsid w:val="007E4B35"/>
    <w:rsid w:val="007E4BD1"/>
    <w:rsid w:val="007E5511"/>
    <w:rsid w:val="007E59F2"/>
    <w:rsid w:val="007E5B34"/>
    <w:rsid w:val="007E5D3B"/>
    <w:rsid w:val="007E5EFE"/>
    <w:rsid w:val="007E68A6"/>
    <w:rsid w:val="007E6AC5"/>
    <w:rsid w:val="007E7122"/>
    <w:rsid w:val="007E732D"/>
    <w:rsid w:val="007E7F75"/>
    <w:rsid w:val="007F0CE3"/>
    <w:rsid w:val="007F0D07"/>
    <w:rsid w:val="007F157F"/>
    <w:rsid w:val="007F176C"/>
    <w:rsid w:val="007F3099"/>
    <w:rsid w:val="007F3F7D"/>
    <w:rsid w:val="007F41DD"/>
    <w:rsid w:val="007F496F"/>
    <w:rsid w:val="007F4C5C"/>
    <w:rsid w:val="007F53A4"/>
    <w:rsid w:val="007F5CA8"/>
    <w:rsid w:val="007F613D"/>
    <w:rsid w:val="007F6DF0"/>
    <w:rsid w:val="008013FB"/>
    <w:rsid w:val="00801A72"/>
    <w:rsid w:val="00803913"/>
    <w:rsid w:val="00803947"/>
    <w:rsid w:val="00803A44"/>
    <w:rsid w:val="00803F38"/>
    <w:rsid w:val="008051E4"/>
    <w:rsid w:val="008052F3"/>
    <w:rsid w:val="008056B9"/>
    <w:rsid w:val="008057EC"/>
    <w:rsid w:val="00806077"/>
    <w:rsid w:val="008065DC"/>
    <w:rsid w:val="00807357"/>
    <w:rsid w:val="0080740D"/>
    <w:rsid w:val="0080746A"/>
    <w:rsid w:val="00807988"/>
    <w:rsid w:val="0081016E"/>
    <w:rsid w:val="00810579"/>
    <w:rsid w:val="00810935"/>
    <w:rsid w:val="00811257"/>
    <w:rsid w:val="00811B29"/>
    <w:rsid w:val="0081210B"/>
    <w:rsid w:val="00812687"/>
    <w:rsid w:val="0081271A"/>
    <w:rsid w:val="00812914"/>
    <w:rsid w:val="00813341"/>
    <w:rsid w:val="00813B9F"/>
    <w:rsid w:val="0081480C"/>
    <w:rsid w:val="00814E72"/>
    <w:rsid w:val="008157C8"/>
    <w:rsid w:val="00815B79"/>
    <w:rsid w:val="008161AB"/>
    <w:rsid w:val="00816380"/>
    <w:rsid w:val="00816D44"/>
    <w:rsid w:val="00817076"/>
    <w:rsid w:val="008173D8"/>
    <w:rsid w:val="00817BF8"/>
    <w:rsid w:val="00820447"/>
    <w:rsid w:val="008204D7"/>
    <w:rsid w:val="008205C9"/>
    <w:rsid w:val="008208E6"/>
    <w:rsid w:val="008209B3"/>
    <w:rsid w:val="00820E1A"/>
    <w:rsid w:val="008211B3"/>
    <w:rsid w:val="00821D41"/>
    <w:rsid w:val="00822460"/>
    <w:rsid w:val="00822B7C"/>
    <w:rsid w:val="00823811"/>
    <w:rsid w:val="0082382D"/>
    <w:rsid w:val="00823A69"/>
    <w:rsid w:val="00824E69"/>
    <w:rsid w:val="00824F7A"/>
    <w:rsid w:val="00825924"/>
    <w:rsid w:val="00826213"/>
    <w:rsid w:val="00826724"/>
    <w:rsid w:val="00826C8A"/>
    <w:rsid w:val="00827D0C"/>
    <w:rsid w:val="00827E03"/>
    <w:rsid w:val="00827E0F"/>
    <w:rsid w:val="0083081A"/>
    <w:rsid w:val="00830878"/>
    <w:rsid w:val="00833B7B"/>
    <w:rsid w:val="0083444C"/>
    <w:rsid w:val="00834501"/>
    <w:rsid w:val="0083459A"/>
    <w:rsid w:val="0083671C"/>
    <w:rsid w:val="00836EB7"/>
    <w:rsid w:val="00836F11"/>
    <w:rsid w:val="008400FB"/>
    <w:rsid w:val="008401EF"/>
    <w:rsid w:val="00840731"/>
    <w:rsid w:val="00840927"/>
    <w:rsid w:val="00841226"/>
    <w:rsid w:val="008413BB"/>
    <w:rsid w:val="00841741"/>
    <w:rsid w:val="00842610"/>
    <w:rsid w:val="0084329D"/>
    <w:rsid w:val="00843A22"/>
    <w:rsid w:val="00843F27"/>
    <w:rsid w:val="00844311"/>
    <w:rsid w:val="008443A7"/>
    <w:rsid w:val="00844A43"/>
    <w:rsid w:val="00845817"/>
    <w:rsid w:val="00847086"/>
    <w:rsid w:val="0085024B"/>
    <w:rsid w:val="00851559"/>
    <w:rsid w:val="00851884"/>
    <w:rsid w:val="00853243"/>
    <w:rsid w:val="00853287"/>
    <w:rsid w:val="008538CA"/>
    <w:rsid w:val="008538DD"/>
    <w:rsid w:val="008539C2"/>
    <w:rsid w:val="00853C65"/>
    <w:rsid w:val="00853D16"/>
    <w:rsid w:val="0085586A"/>
    <w:rsid w:val="00857018"/>
    <w:rsid w:val="00857174"/>
    <w:rsid w:val="00857180"/>
    <w:rsid w:val="00857AC7"/>
    <w:rsid w:val="00857D27"/>
    <w:rsid w:val="00860D6F"/>
    <w:rsid w:val="0086152C"/>
    <w:rsid w:val="0086313D"/>
    <w:rsid w:val="008632ED"/>
    <w:rsid w:val="00863D25"/>
    <w:rsid w:val="00865252"/>
    <w:rsid w:val="008654E1"/>
    <w:rsid w:val="008658C1"/>
    <w:rsid w:val="00865C0C"/>
    <w:rsid w:val="00866115"/>
    <w:rsid w:val="008661D0"/>
    <w:rsid w:val="00866301"/>
    <w:rsid w:val="0086684B"/>
    <w:rsid w:val="00866D45"/>
    <w:rsid w:val="00866DC5"/>
    <w:rsid w:val="008676E6"/>
    <w:rsid w:val="00870FC3"/>
    <w:rsid w:val="008714AA"/>
    <w:rsid w:val="008714FA"/>
    <w:rsid w:val="00871686"/>
    <w:rsid w:val="0087237F"/>
    <w:rsid w:val="0087286C"/>
    <w:rsid w:val="00872F30"/>
    <w:rsid w:val="00873978"/>
    <w:rsid w:val="00873F3C"/>
    <w:rsid w:val="008740C7"/>
    <w:rsid w:val="0087586B"/>
    <w:rsid w:val="00875935"/>
    <w:rsid w:val="0087594A"/>
    <w:rsid w:val="00875DAC"/>
    <w:rsid w:val="00876BAC"/>
    <w:rsid w:val="00876BC3"/>
    <w:rsid w:val="00876EC3"/>
    <w:rsid w:val="00877FFD"/>
    <w:rsid w:val="00880533"/>
    <w:rsid w:val="0088157C"/>
    <w:rsid w:val="0088227B"/>
    <w:rsid w:val="008834BA"/>
    <w:rsid w:val="0088499A"/>
    <w:rsid w:val="00884DC9"/>
    <w:rsid w:val="00885139"/>
    <w:rsid w:val="00885294"/>
    <w:rsid w:val="00887029"/>
    <w:rsid w:val="008871A4"/>
    <w:rsid w:val="008871CE"/>
    <w:rsid w:val="00887B0B"/>
    <w:rsid w:val="0089072C"/>
    <w:rsid w:val="0089090F"/>
    <w:rsid w:val="00891132"/>
    <w:rsid w:val="00891315"/>
    <w:rsid w:val="008927CB"/>
    <w:rsid w:val="00892CA9"/>
    <w:rsid w:val="008938A7"/>
    <w:rsid w:val="00893D68"/>
    <w:rsid w:val="0089427B"/>
    <w:rsid w:val="008951B7"/>
    <w:rsid w:val="00895857"/>
    <w:rsid w:val="00896280"/>
    <w:rsid w:val="00896869"/>
    <w:rsid w:val="00897A26"/>
    <w:rsid w:val="008A0009"/>
    <w:rsid w:val="008A0294"/>
    <w:rsid w:val="008A06B9"/>
    <w:rsid w:val="008A10CA"/>
    <w:rsid w:val="008A1213"/>
    <w:rsid w:val="008A20C7"/>
    <w:rsid w:val="008A20CF"/>
    <w:rsid w:val="008A342C"/>
    <w:rsid w:val="008A3D01"/>
    <w:rsid w:val="008A48F6"/>
    <w:rsid w:val="008A4A95"/>
    <w:rsid w:val="008A57D0"/>
    <w:rsid w:val="008A5CCC"/>
    <w:rsid w:val="008A5E44"/>
    <w:rsid w:val="008A63C0"/>
    <w:rsid w:val="008A64FB"/>
    <w:rsid w:val="008A7225"/>
    <w:rsid w:val="008A7F9C"/>
    <w:rsid w:val="008B014E"/>
    <w:rsid w:val="008B01B0"/>
    <w:rsid w:val="008B0C06"/>
    <w:rsid w:val="008B0CFD"/>
    <w:rsid w:val="008B1F8A"/>
    <w:rsid w:val="008B1FAD"/>
    <w:rsid w:val="008B2CA0"/>
    <w:rsid w:val="008B4F92"/>
    <w:rsid w:val="008B586C"/>
    <w:rsid w:val="008B59F2"/>
    <w:rsid w:val="008B5AA5"/>
    <w:rsid w:val="008B5B68"/>
    <w:rsid w:val="008B6880"/>
    <w:rsid w:val="008B6AE5"/>
    <w:rsid w:val="008B6C89"/>
    <w:rsid w:val="008B7898"/>
    <w:rsid w:val="008B7D34"/>
    <w:rsid w:val="008B7EB4"/>
    <w:rsid w:val="008C0511"/>
    <w:rsid w:val="008C09A0"/>
    <w:rsid w:val="008C13E0"/>
    <w:rsid w:val="008C3988"/>
    <w:rsid w:val="008C4AAD"/>
    <w:rsid w:val="008C7158"/>
    <w:rsid w:val="008C74DC"/>
    <w:rsid w:val="008C79C9"/>
    <w:rsid w:val="008C7E6E"/>
    <w:rsid w:val="008D098F"/>
    <w:rsid w:val="008D1745"/>
    <w:rsid w:val="008D1B85"/>
    <w:rsid w:val="008D2098"/>
    <w:rsid w:val="008D22EE"/>
    <w:rsid w:val="008D2483"/>
    <w:rsid w:val="008D2874"/>
    <w:rsid w:val="008D2CEE"/>
    <w:rsid w:val="008D341C"/>
    <w:rsid w:val="008D3481"/>
    <w:rsid w:val="008D3A1D"/>
    <w:rsid w:val="008D3B6C"/>
    <w:rsid w:val="008D5003"/>
    <w:rsid w:val="008D51B0"/>
    <w:rsid w:val="008D53B5"/>
    <w:rsid w:val="008D6B2E"/>
    <w:rsid w:val="008D6C0C"/>
    <w:rsid w:val="008D7D58"/>
    <w:rsid w:val="008D7E6F"/>
    <w:rsid w:val="008E128C"/>
    <w:rsid w:val="008E1370"/>
    <w:rsid w:val="008E2BBA"/>
    <w:rsid w:val="008E2BBD"/>
    <w:rsid w:val="008E2CD9"/>
    <w:rsid w:val="008E329E"/>
    <w:rsid w:val="008E3D59"/>
    <w:rsid w:val="008E4FE3"/>
    <w:rsid w:val="008E5492"/>
    <w:rsid w:val="008E5939"/>
    <w:rsid w:val="008E5FFC"/>
    <w:rsid w:val="008E62A3"/>
    <w:rsid w:val="008E64B3"/>
    <w:rsid w:val="008E6BB1"/>
    <w:rsid w:val="008E7296"/>
    <w:rsid w:val="008E74AE"/>
    <w:rsid w:val="008E74DA"/>
    <w:rsid w:val="008E7FF9"/>
    <w:rsid w:val="008F082B"/>
    <w:rsid w:val="008F0D5D"/>
    <w:rsid w:val="008F1150"/>
    <w:rsid w:val="008F14FD"/>
    <w:rsid w:val="008F1FAE"/>
    <w:rsid w:val="008F39AD"/>
    <w:rsid w:val="008F4F96"/>
    <w:rsid w:val="008F50D0"/>
    <w:rsid w:val="008F5194"/>
    <w:rsid w:val="008F5B07"/>
    <w:rsid w:val="008F647C"/>
    <w:rsid w:val="008F6CE6"/>
    <w:rsid w:val="009001A8"/>
    <w:rsid w:val="0090048F"/>
    <w:rsid w:val="00900D1D"/>
    <w:rsid w:val="00900F1C"/>
    <w:rsid w:val="009011CF"/>
    <w:rsid w:val="0090132E"/>
    <w:rsid w:val="0090169E"/>
    <w:rsid w:val="0090187C"/>
    <w:rsid w:val="00901B6E"/>
    <w:rsid w:val="00902196"/>
    <w:rsid w:val="009033C8"/>
    <w:rsid w:val="0090388B"/>
    <w:rsid w:val="00903EB5"/>
    <w:rsid w:val="00903F6B"/>
    <w:rsid w:val="009042D7"/>
    <w:rsid w:val="009044AD"/>
    <w:rsid w:val="00904798"/>
    <w:rsid w:val="00905262"/>
    <w:rsid w:val="009056A2"/>
    <w:rsid w:val="00905A14"/>
    <w:rsid w:val="00906F58"/>
    <w:rsid w:val="00907EE3"/>
    <w:rsid w:val="009101C4"/>
    <w:rsid w:val="00910B96"/>
    <w:rsid w:val="00910C73"/>
    <w:rsid w:val="00910FDB"/>
    <w:rsid w:val="0091150A"/>
    <w:rsid w:val="00912032"/>
    <w:rsid w:val="0091338C"/>
    <w:rsid w:val="009133D6"/>
    <w:rsid w:val="009142A3"/>
    <w:rsid w:val="009143BF"/>
    <w:rsid w:val="00914461"/>
    <w:rsid w:val="009148C0"/>
    <w:rsid w:val="00914C0C"/>
    <w:rsid w:val="00914C89"/>
    <w:rsid w:val="00916203"/>
    <w:rsid w:val="00917F31"/>
    <w:rsid w:val="0092148B"/>
    <w:rsid w:val="00922F18"/>
    <w:rsid w:val="00923668"/>
    <w:rsid w:val="00923932"/>
    <w:rsid w:val="0092393F"/>
    <w:rsid w:val="00923B0F"/>
    <w:rsid w:val="0092452D"/>
    <w:rsid w:val="00925182"/>
    <w:rsid w:val="0092528E"/>
    <w:rsid w:val="00925C57"/>
    <w:rsid w:val="009260DB"/>
    <w:rsid w:val="00926511"/>
    <w:rsid w:val="009265F3"/>
    <w:rsid w:val="0092687B"/>
    <w:rsid w:val="00926CF7"/>
    <w:rsid w:val="00927350"/>
    <w:rsid w:val="0092747C"/>
    <w:rsid w:val="00927ACB"/>
    <w:rsid w:val="0093067E"/>
    <w:rsid w:val="00930D1B"/>
    <w:rsid w:val="009312E7"/>
    <w:rsid w:val="0093169F"/>
    <w:rsid w:val="00931E8F"/>
    <w:rsid w:val="00932198"/>
    <w:rsid w:val="00932207"/>
    <w:rsid w:val="009328EA"/>
    <w:rsid w:val="00932CB0"/>
    <w:rsid w:val="00933654"/>
    <w:rsid w:val="00933709"/>
    <w:rsid w:val="009346F7"/>
    <w:rsid w:val="00934AD8"/>
    <w:rsid w:val="0093634F"/>
    <w:rsid w:val="009367DA"/>
    <w:rsid w:val="00936A16"/>
    <w:rsid w:val="009372BB"/>
    <w:rsid w:val="009377F5"/>
    <w:rsid w:val="00937A35"/>
    <w:rsid w:val="00940608"/>
    <w:rsid w:val="00940645"/>
    <w:rsid w:val="009423CB"/>
    <w:rsid w:val="00942883"/>
    <w:rsid w:val="009429C0"/>
    <w:rsid w:val="00943392"/>
    <w:rsid w:val="00944971"/>
    <w:rsid w:val="00945255"/>
    <w:rsid w:val="009455E9"/>
    <w:rsid w:val="0094586D"/>
    <w:rsid w:val="00946A2A"/>
    <w:rsid w:val="00946C40"/>
    <w:rsid w:val="009471DE"/>
    <w:rsid w:val="00950601"/>
    <w:rsid w:val="00951288"/>
    <w:rsid w:val="00951754"/>
    <w:rsid w:val="009517C4"/>
    <w:rsid w:val="00951986"/>
    <w:rsid w:val="00951E35"/>
    <w:rsid w:val="00951E3F"/>
    <w:rsid w:val="009529BC"/>
    <w:rsid w:val="0095340C"/>
    <w:rsid w:val="00953410"/>
    <w:rsid w:val="009538C3"/>
    <w:rsid w:val="00953A8F"/>
    <w:rsid w:val="00953F69"/>
    <w:rsid w:val="009542BB"/>
    <w:rsid w:val="009550B7"/>
    <w:rsid w:val="009552D2"/>
    <w:rsid w:val="00955D8F"/>
    <w:rsid w:val="00956DF9"/>
    <w:rsid w:val="00957336"/>
    <w:rsid w:val="009600F3"/>
    <w:rsid w:val="0096010F"/>
    <w:rsid w:val="00960625"/>
    <w:rsid w:val="009606CA"/>
    <w:rsid w:val="00960AF5"/>
    <w:rsid w:val="00960C89"/>
    <w:rsid w:val="009610CF"/>
    <w:rsid w:val="009637C4"/>
    <w:rsid w:val="00963AF3"/>
    <w:rsid w:val="0096540B"/>
    <w:rsid w:val="009659C5"/>
    <w:rsid w:val="00965F9A"/>
    <w:rsid w:val="0096600A"/>
    <w:rsid w:val="00966A84"/>
    <w:rsid w:val="00970000"/>
    <w:rsid w:val="009700BC"/>
    <w:rsid w:val="00971340"/>
    <w:rsid w:val="00971AB3"/>
    <w:rsid w:val="00972125"/>
    <w:rsid w:val="0097282E"/>
    <w:rsid w:val="009738C8"/>
    <w:rsid w:val="0097446D"/>
    <w:rsid w:val="00974F5C"/>
    <w:rsid w:val="009750F4"/>
    <w:rsid w:val="00975335"/>
    <w:rsid w:val="00975C62"/>
    <w:rsid w:val="00976B96"/>
    <w:rsid w:val="00977328"/>
    <w:rsid w:val="00977538"/>
    <w:rsid w:val="00977D8D"/>
    <w:rsid w:val="00980411"/>
    <w:rsid w:val="00980EF9"/>
    <w:rsid w:val="009811F2"/>
    <w:rsid w:val="00981250"/>
    <w:rsid w:val="0098157E"/>
    <w:rsid w:val="00981D66"/>
    <w:rsid w:val="0098240B"/>
    <w:rsid w:val="00983826"/>
    <w:rsid w:val="00983FC0"/>
    <w:rsid w:val="00983FDC"/>
    <w:rsid w:val="00984882"/>
    <w:rsid w:val="0098494F"/>
    <w:rsid w:val="00984A45"/>
    <w:rsid w:val="00984A98"/>
    <w:rsid w:val="00984B19"/>
    <w:rsid w:val="00985120"/>
    <w:rsid w:val="00985143"/>
    <w:rsid w:val="00985AF9"/>
    <w:rsid w:val="00985F00"/>
    <w:rsid w:val="00986A7D"/>
    <w:rsid w:val="00987560"/>
    <w:rsid w:val="009879F4"/>
    <w:rsid w:val="0099049D"/>
    <w:rsid w:val="009906AC"/>
    <w:rsid w:val="00990A1E"/>
    <w:rsid w:val="00990E47"/>
    <w:rsid w:val="0099118B"/>
    <w:rsid w:val="0099126F"/>
    <w:rsid w:val="009914D0"/>
    <w:rsid w:val="00991AE8"/>
    <w:rsid w:val="00992D35"/>
    <w:rsid w:val="00993065"/>
    <w:rsid w:val="00994299"/>
    <w:rsid w:val="00995B20"/>
    <w:rsid w:val="00996D8F"/>
    <w:rsid w:val="00997095"/>
    <w:rsid w:val="0099715A"/>
    <w:rsid w:val="00997542"/>
    <w:rsid w:val="00997AB2"/>
    <w:rsid w:val="009A1254"/>
    <w:rsid w:val="009A1B7B"/>
    <w:rsid w:val="009A1BF1"/>
    <w:rsid w:val="009A242D"/>
    <w:rsid w:val="009A3109"/>
    <w:rsid w:val="009A388B"/>
    <w:rsid w:val="009A3C20"/>
    <w:rsid w:val="009A3E18"/>
    <w:rsid w:val="009A421C"/>
    <w:rsid w:val="009A43D8"/>
    <w:rsid w:val="009A4655"/>
    <w:rsid w:val="009A55A1"/>
    <w:rsid w:val="009A56E3"/>
    <w:rsid w:val="009A6BB6"/>
    <w:rsid w:val="009A6D6C"/>
    <w:rsid w:val="009A6F0D"/>
    <w:rsid w:val="009A6F3F"/>
    <w:rsid w:val="009A6F79"/>
    <w:rsid w:val="009A74B1"/>
    <w:rsid w:val="009A7877"/>
    <w:rsid w:val="009A7A04"/>
    <w:rsid w:val="009B0621"/>
    <w:rsid w:val="009B08A8"/>
    <w:rsid w:val="009B144B"/>
    <w:rsid w:val="009B1A36"/>
    <w:rsid w:val="009B1C17"/>
    <w:rsid w:val="009B22B6"/>
    <w:rsid w:val="009B22D2"/>
    <w:rsid w:val="009B360D"/>
    <w:rsid w:val="009B37FD"/>
    <w:rsid w:val="009B3D6D"/>
    <w:rsid w:val="009B5818"/>
    <w:rsid w:val="009B5A1B"/>
    <w:rsid w:val="009B60E6"/>
    <w:rsid w:val="009B61D7"/>
    <w:rsid w:val="009B6A88"/>
    <w:rsid w:val="009B7649"/>
    <w:rsid w:val="009B789D"/>
    <w:rsid w:val="009B7A19"/>
    <w:rsid w:val="009B7B5F"/>
    <w:rsid w:val="009B7BB6"/>
    <w:rsid w:val="009C03B4"/>
    <w:rsid w:val="009C0809"/>
    <w:rsid w:val="009C0C71"/>
    <w:rsid w:val="009C0DB4"/>
    <w:rsid w:val="009C2117"/>
    <w:rsid w:val="009C2667"/>
    <w:rsid w:val="009C2DD3"/>
    <w:rsid w:val="009C367E"/>
    <w:rsid w:val="009C45AA"/>
    <w:rsid w:val="009C5610"/>
    <w:rsid w:val="009C6079"/>
    <w:rsid w:val="009C615B"/>
    <w:rsid w:val="009C636E"/>
    <w:rsid w:val="009C68F7"/>
    <w:rsid w:val="009C6AB2"/>
    <w:rsid w:val="009C7113"/>
    <w:rsid w:val="009C75B7"/>
    <w:rsid w:val="009C7B91"/>
    <w:rsid w:val="009D28F3"/>
    <w:rsid w:val="009D2A4C"/>
    <w:rsid w:val="009D37EB"/>
    <w:rsid w:val="009D6BC0"/>
    <w:rsid w:val="009D6F69"/>
    <w:rsid w:val="009D7409"/>
    <w:rsid w:val="009D7745"/>
    <w:rsid w:val="009D7838"/>
    <w:rsid w:val="009D7EEF"/>
    <w:rsid w:val="009E07D5"/>
    <w:rsid w:val="009E11F7"/>
    <w:rsid w:val="009E17C7"/>
    <w:rsid w:val="009E196B"/>
    <w:rsid w:val="009E1B0F"/>
    <w:rsid w:val="009E1C18"/>
    <w:rsid w:val="009E1E07"/>
    <w:rsid w:val="009E1F23"/>
    <w:rsid w:val="009E22EF"/>
    <w:rsid w:val="009E344C"/>
    <w:rsid w:val="009E36A8"/>
    <w:rsid w:val="009E3815"/>
    <w:rsid w:val="009E438E"/>
    <w:rsid w:val="009E4992"/>
    <w:rsid w:val="009E4DE9"/>
    <w:rsid w:val="009E4EAD"/>
    <w:rsid w:val="009E5A27"/>
    <w:rsid w:val="009E5DD7"/>
    <w:rsid w:val="009E607B"/>
    <w:rsid w:val="009E6530"/>
    <w:rsid w:val="009E663E"/>
    <w:rsid w:val="009F0987"/>
    <w:rsid w:val="009F0C47"/>
    <w:rsid w:val="009F0E22"/>
    <w:rsid w:val="009F15F5"/>
    <w:rsid w:val="009F1787"/>
    <w:rsid w:val="009F1A02"/>
    <w:rsid w:val="009F1ABE"/>
    <w:rsid w:val="009F2736"/>
    <w:rsid w:val="009F2E6C"/>
    <w:rsid w:val="009F3610"/>
    <w:rsid w:val="009F3BDC"/>
    <w:rsid w:val="009F41E5"/>
    <w:rsid w:val="009F5DDB"/>
    <w:rsid w:val="009F6086"/>
    <w:rsid w:val="009F62DE"/>
    <w:rsid w:val="00A004BC"/>
    <w:rsid w:val="00A007B2"/>
    <w:rsid w:val="00A00A9C"/>
    <w:rsid w:val="00A00BAF"/>
    <w:rsid w:val="00A00C8F"/>
    <w:rsid w:val="00A011AE"/>
    <w:rsid w:val="00A01BE4"/>
    <w:rsid w:val="00A01DBF"/>
    <w:rsid w:val="00A02A08"/>
    <w:rsid w:val="00A02E59"/>
    <w:rsid w:val="00A02FEE"/>
    <w:rsid w:val="00A034D9"/>
    <w:rsid w:val="00A03AE5"/>
    <w:rsid w:val="00A03EFC"/>
    <w:rsid w:val="00A04DC7"/>
    <w:rsid w:val="00A05323"/>
    <w:rsid w:val="00A0549C"/>
    <w:rsid w:val="00A06DA1"/>
    <w:rsid w:val="00A107B7"/>
    <w:rsid w:val="00A10C9A"/>
    <w:rsid w:val="00A10D37"/>
    <w:rsid w:val="00A10F17"/>
    <w:rsid w:val="00A110A0"/>
    <w:rsid w:val="00A1121A"/>
    <w:rsid w:val="00A11434"/>
    <w:rsid w:val="00A11C68"/>
    <w:rsid w:val="00A11F29"/>
    <w:rsid w:val="00A121EE"/>
    <w:rsid w:val="00A130BD"/>
    <w:rsid w:val="00A13ACA"/>
    <w:rsid w:val="00A13C66"/>
    <w:rsid w:val="00A1435D"/>
    <w:rsid w:val="00A146C1"/>
    <w:rsid w:val="00A148C1"/>
    <w:rsid w:val="00A14AFA"/>
    <w:rsid w:val="00A15638"/>
    <w:rsid w:val="00A16064"/>
    <w:rsid w:val="00A17485"/>
    <w:rsid w:val="00A17A7F"/>
    <w:rsid w:val="00A17C44"/>
    <w:rsid w:val="00A20D0A"/>
    <w:rsid w:val="00A20F5F"/>
    <w:rsid w:val="00A21432"/>
    <w:rsid w:val="00A2192B"/>
    <w:rsid w:val="00A2251C"/>
    <w:rsid w:val="00A22665"/>
    <w:rsid w:val="00A2364B"/>
    <w:rsid w:val="00A23859"/>
    <w:rsid w:val="00A23D76"/>
    <w:rsid w:val="00A2565E"/>
    <w:rsid w:val="00A25696"/>
    <w:rsid w:val="00A264AE"/>
    <w:rsid w:val="00A26B26"/>
    <w:rsid w:val="00A26DDC"/>
    <w:rsid w:val="00A27FF9"/>
    <w:rsid w:val="00A3172A"/>
    <w:rsid w:val="00A317DC"/>
    <w:rsid w:val="00A319B3"/>
    <w:rsid w:val="00A31FF9"/>
    <w:rsid w:val="00A326EC"/>
    <w:rsid w:val="00A32965"/>
    <w:rsid w:val="00A34876"/>
    <w:rsid w:val="00A34C5A"/>
    <w:rsid w:val="00A34CA4"/>
    <w:rsid w:val="00A359FB"/>
    <w:rsid w:val="00A35FE5"/>
    <w:rsid w:val="00A36065"/>
    <w:rsid w:val="00A36234"/>
    <w:rsid w:val="00A36F7C"/>
    <w:rsid w:val="00A377BB"/>
    <w:rsid w:val="00A378BC"/>
    <w:rsid w:val="00A409AE"/>
    <w:rsid w:val="00A40E6D"/>
    <w:rsid w:val="00A41666"/>
    <w:rsid w:val="00A41A73"/>
    <w:rsid w:val="00A41EFB"/>
    <w:rsid w:val="00A421A0"/>
    <w:rsid w:val="00A422C3"/>
    <w:rsid w:val="00A4252C"/>
    <w:rsid w:val="00A43238"/>
    <w:rsid w:val="00A43669"/>
    <w:rsid w:val="00A43D7C"/>
    <w:rsid w:val="00A4408A"/>
    <w:rsid w:val="00A44158"/>
    <w:rsid w:val="00A450C5"/>
    <w:rsid w:val="00A45463"/>
    <w:rsid w:val="00A45CA8"/>
    <w:rsid w:val="00A4777F"/>
    <w:rsid w:val="00A477B6"/>
    <w:rsid w:val="00A478FC"/>
    <w:rsid w:val="00A47EAD"/>
    <w:rsid w:val="00A5003A"/>
    <w:rsid w:val="00A50222"/>
    <w:rsid w:val="00A51A2D"/>
    <w:rsid w:val="00A51E66"/>
    <w:rsid w:val="00A5258E"/>
    <w:rsid w:val="00A52D60"/>
    <w:rsid w:val="00A52E11"/>
    <w:rsid w:val="00A52F13"/>
    <w:rsid w:val="00A53404"/>
    <w:rsid w:val="00A53939"/>
    <w:rsid w:val="00A546FC"/>
    <w:rsid w:val="00A54FA3"/>
    <w:rsid w:val="00A5504C"/>
    <w:rsid w:val="00A55553"/>
    <w:rsid w:val="00A56D32"/>
    <w:rsid w:val="00A5796E"/>
    <w:rsid w:val="00A6006F"/>
    <w:rsid w:val="00A62169"/>
    <w:rsid w:val="00A624A9"/>
    <w:rsid w:val="00A62D59"/>
    <w:rsid w:val="00A63EC6"/>
    <w:rsid w:val="00A65893"/>
    <w:rsid w:val="00A65A80"/>
    <w:rsid w:val="00A65DD8"/>
    <w:rsid w:val="00A67449"/>
    <w:rsid w:val="00A67C82"/>
    <w:rsid w:val="00A717E8"/>
    <w:rsid w:val="00A71CF1"/>
    <w:rsid w:val="00A71EA3"/>
    <w:rsid w:val="00A7230C"/>
    <w:rsid w:val="00A727A4"/>
    <w:rsid w:val="00A72E3E"/>
    <w:rsid w:val="00A73AB2"/>
    <w:rsid w:val="00A7447C"/>
    <w:rsid w:val="00A7488E"/>
    <w:rsid w:val="00A7567C"/>
    <w:rsid w:val="00A75DD5"/>
    <w:rsid w:val="00A76794"/>
    <w:rsid w:val="00A769AA"/>
    <w:rsid w:val="00A77446"/>
    <w:rsid w:val="00A7793F"/>
    <w:rsid w:val="00A77AAE"/>
    <w:rsid w:val="00A80037"/>
    <w:rsid w:val="00A8024C"/>
    <w:rsid w:val="00A80EBE"/>
    <w:rsid w:val="00A810D5"/>
    <w:rsid w:val="00A810D7"/>
    <w:rsid w:val="00A8134C"/>
    <w:rsid w:val="00A813EF"/>
    <w:rsid w:val="00A81655"/>
    <w:rsid w:val="00A81B14"/>
    <w:rsid w:val="00A81DE5"/>
    <w:rsid w:val="00A82202"/>
    <w:rsid w:val="00A8241E"/>
    <w:rsid w:val="00A8313B"/>
    <w:rsid w:val="00A8322D"/>
    <w:rsid w:val="00A84ED3"/>
    <w:rsid w:val="00A85B18"/>
    <w:rsid w:val="00A8608D"/>
    <w:rsid w:val="00A8691B"/>
    <w:rsid w:val="00A86FA7"/>
    <w:rsid w:val="00A87E1B"/>
    <w:rsid w:val="00A909E0"/>
    <w:rsid w:val="00A9144A"/>
    <w:rsid w:val="00A91745"/>
    <w:rsid w:val="00A92557"/>
    <w:rsid w:val="00A92919"/>
    <w:rsid w:val="00A9294F"/>
    <w:rsid w:val="00A937AB"/>
    <w:rsid w:val="00A939B1"/>
    <w:rsid w:val="00A93FBA"/>
    <w:rsid w:val="00A944EB"/>
    <w:rsid w:val="00A94510"/>
    <w:rsid w:val="00A94D23"/>
    <w:rsid w:val="00A94D99"/>
    <w:rsid w:val="00A96319"/>
    <w:rsid w:val="00A969DD"/>
    <w:rsid w:val="00A97896"/>
    <w:rsid w:val="00AA01EF"/>
    <w:rsid w:val="00AA175E"/>
    <w:rsid w:val="00AA1AAB"/>
    <w:rsid w:val="00AA1FA3"/>
    <w:rsid w:val="00AA2114"/>
    <w:rsid w:val="00AA2CE4"/>
    <w:rsid w:val="00AA59C1"/>
    <w:rsid w:val="00AA5E3B"/>
    <w:rsid w:val="00AA609C"/>
    <w:rsid w:val="00AA61B2"/>
    <w:rsid w:val="00AA65B7"/>
    <w:rsid w:val="00AA68C9"/>
    <w:rsid w:val="00AA6D17"/>
    <w:rsid w:val="00AA76CD"/>
    <w:rsid w:val="00AA781F"/>
    <w:rsid w:val="00AA7A4E"/>
    <w:rsid w:val="00AB036C"/>
    <w:rsid w:val="00AB07DF"/>
    <w:rsid w:val="00AB090B"/>
    <w:rsid w:val="00AB0B5E"/>
    <w:rsid w:val="00AB0F38"/>
    <w:rsid w:val="00AB1B67"/>
    <w:rsid w:val="00AB2061"/>
    <w:rsid w:val="00AB23E7"/>
    <w:rsid w:val="00AB2579"/>
    <w:rsid w:val="00AB264A"/>
    <w:rsid w:val="00AB2761"/>
    <w:rsid w:val="00AB3A50"/>
    <w:rsid w:val="00AB3EDC"/>
    <w:rsid w:val="00AB55FF"/>
    <w:rsid w:val="00AB6060"/>
    <w:rsid w:val="00AB7801"/>
    <w:rsid w:val="00AC0F6A"/>
    <w:rsid w:val="00AC10D5"/>
    <w:rsid w:val="00AC14A6"/>
    <w:rsid w:val="00AC14C2"/>
    <w:rsid w:val="00AC2244"/>
    <w:rsid w:val="00AC226B"/>
    <w:rsid w:val="00AC27B8"/>
    <w:rsid w:val="00AC4486"/>
    <w:rsid w:val="00AC457D"/>
    <w:rsid w:val="00AC7A26"/>
    <w:rsid w:val="00AD0611"/>
    <w:rsid w:val="00AD0C13"/>
    <w:rsid w:val="00AD1057"/>
    <w:rsid w:val="00AD237C"/>
    <w:rsid w:val="00AD246D"/>
    <w:rsid w:val="00AD33BB"/>
    <w:rsid w:val="00AD3BCC"/>
    <w:rsid w:val="00AD42F7"/>
    <w:rsid w:val="00AD43B0"/>
    <w:rsid w:val="00AD44FA"/>
    <w:rsid w:val="00AD4FF7"/>
    <w:rsid w:val="00AD5133"/>
    <w:rsid w:val="00AD524F"/>
    <w:rsid w:val="00AD6010"/>
    <w:rsid w:val="00AD6034"/>
    <w:rsid w:val="00AD6934"/>
    <w:rsid w:val="00AD7BFC"/>
    <w:rsid w:val="00AD7C5B"/>
    <w:rsid w:val="00AE007B"/>
    <w:rsid w:val="00AE0329"/>
    <w:rsid w:val="00AE0ED3"/>
    <w:rsid w:val="00AE0FCB"/>
    <w:rsid w:val="00AE1B12"/>
    <w:rsid w:val="00AE2049"/>
    <w:rsid w:val="00AE2163"/>
    <w:rsid w:val="00AE2705"/>
    <w:rsid w:val="00AE2D87"/>
    <w:rsid w:val="00AE2DAC"/>
    <w:rsid w:val="00AE42C5"/>
    <w:rsid w:val="00AE4531"/>
    <w:rsid w:val="00AE4577"/>
    <w:rsid w:val="00AE48DC"/>
    <w:rsid w:val="00AE48DD"/>
    <w:rsid w:val="00AE4B13"/>
    <w:rsid w:val="00AE4B2D"/>
    <w:rsid w:val="00AE5D7F"/>
    <w:rsid w:val="00AE7009"/>
    <w:rsid w:val="00AE7976"/>
    <w:rsid w:val="00AE7C82"/>
    <w:rsid w:val="00AF0781"/>
    <w:rsid w:val="00AF0F9D"/>
    <w:rsid w:val="00AF1D31"/>
    <w:rsid w:val="00AF224F"/>
    <w:rsid w:val="00AF2689"/>
    <w:rsid w:val="00AF2847"/>
    <w:rsid w:val="00AF2849"/>
    <w:rsid w:val="00AF326D"/>
    <w:rsid w:val="00AF3640"/>
    <w:rsid w:val="00AF3E68"/>
    <w:rsid w:val="00AF3FB1"/>
    <w:rsid w:val="00AF4D51"/>
    <w:rsid w:val="00AF4D95"/>
    <w:rsid w:val="00AF5A05"/>
    <w:rsid w:val="00AF5AC1"/>
    <w:rsid w:val="00AF6A25"/>
    <w:rsid w:val="00AF6AB0"/>
    <w:rsid w:val="00AF6AF7"/>
    <w:rsid w:val="00AF784B"/>
    <w:rsid w:val="00AF78B7"/>
    <w:rsid w:val="00B003F3"/>
    <w:rsid w:val="00B00A78"/>
    <w:rsid w:val="00B00F53"/>
    <w:rsid w:val="00B0175A"/>
    <w:rsid w:val="00B0270F"/>
    <w:rsid w:val="00B032CA"/>
    <w:rsid w:val="00B03A4D"/>
    <w:rsid w:val="00B03B98"/>
    <w:rsid w:val="00B04B58"/>
    <w:rsid w:val="00B04FA6"/>
    <w:rsid w:val="00B05012"/>
    <w:rsid w:val="00B05A38"/>
    <w:rsid w:val="00B075E4"/>
    <w:rsid w:val="00B100C7"/>
    <w:rsid w:val="00B10201"/>
    <w:rsid w:val="00B10291"/>
    <w:rsid w:val="00B10D24"/>
    <w:rsid w:val="00B10E10"/>
    <w:rsid w:val="00B10FEF"/>
    <w:rsid w:val="00B11378"/>
    <w:rsid w:val="00B116B8"/>
    <w:rsid w:val="00B11F88"/>
    <w:rsid w:val="00B122EF"/>
    <w:rsid w:val="00B12B8E"/>
    <w:rsid w:val="00B12C4E"/>
    <w:rsid w:val="00B14127"/>
    <w:rsid w:val="00B1487E"/>
    <w:rsid w:val="00B150ED"/>
    <w:rsid w:val="00B15AFF"/>
    <w:rsid w:val="00B15EA9"/>
    <w:rsid w:val="00B16A4F"/>
    <w:rsid w:val="00B16D54"/>
    <w:rsid w:val="00B17A90"/>
    <w:rsid w:val="00B17FA2"/>
    <w:rsid w:val="00B208CF"/>
    <w:rsid w:val="00B2094D"/>
    <w:rsid w:val="00B21CA3"/>
    <w:rsid w:val="00B22575"/>
    <w:rsid w:val="00B2297F"/>
    <w:rsid w:val="00B23D87"/>
    <w:rsid w:val="00B24603"/>
    <w:rsid w:val="00B24D9C"/>
    <w:rsid w:val="00B24DD8"/>
    <w:rsid w:val="00B251A1"/>
    <w:rsid w:val="00B253B7"/>
    <w:rsid w:val="00B25850"/>
    <w:rsid w:val="00B266B1"/>
    <w:rsid w:val="00B26874"/>
    <w:rsid w:val="00B26EB0"/>
    <w:rsid w:val="00B274C0"/>
    <w:rsid w:val="00B31675"/>
    <w:rsid w:val="00B3232A"/>
    <w:rsid w:val="00B3267A"/>
    <w:rsid w:val="00B329D4"/>
    <w:rsid w:val="00B32A57"/>
    <w:rsid w:val="00B33137"/>
    <w:rsid w:val="00B339D0"/>
    <w:rsid w:val="00B33EB6"/>
    <w:rsid w:val="00B34344"/>
    <w:rsid w:val="00B3462A"/>
    <w:rsid w:val="00B3462F"/>
    <w:rsid w:val="00B348BD"/>
    <w:rsid w:val="00B349A7"/>
    <w:rsid w:val="00B34BB6"/>
    <w:rsid w:val="00B34D2F"/>
    <w:rsid w:val="00B35C51"/>
    <w:rsid w:val="00B35DC7"/>
    <w:rsid w:val="00B36C0F"/>
    <w:rsid w:val="00B37729"/>
    <w:rsid w:val="00B3784F"/>
    <w:rsid w:val="00B37919"/>
    <w:rsid w:val="00B37C1C"/>
    <w:rsid w:val="00B37C60"/>
    <w:rsid w:val="00B37DF9"/>
    <w:rsid w:val="00B40138"/>
    <w:rsid w:val="00B4031E"/>
    <w:rsid w:val="00B40BDF"/>
    <w:rsid w:val="00B40C57"/>
    <w:rsid w:val="00B40D0B"/>
    <w:rsid w:val="00B41B89"/>
    <w:rsid w:val="00B41E94"/>
    <w:rsid w:val="00B4205B"/>
    <w:rsid w:val="00B421E3"/>
    <w:rsid w:val="00B429D8"/>
    <w:rsid w:val="00B42C29"/>
    <w:rsid w:val="00B435FA"/>
    <w:rsid w:val="00B439AB"/>
    <w:rsid w:val="00B43F19"/>
    <w:rsid w:val="00B43FF7"/>
    <w:rsid w:val="00B44342"/>
    <w:rsid w:val="00B4459D"/>
    <w:rsid w:val="00B44AD8"/>
    <w:rsid w:val="00B44EE7"/>
    <w:rsid w:val="00B44FFD"/>
    <w:rsid w:val="00B455C7"/>
    <w:rsid w:val="00B45714"/>
    <w:rsid w:val="00B45B82"/>
    <w:rsid w:val="00B45D47"/>
    <w:rsid w:val="00B45E26"/>
    <w:rsid w:val="00B45F76"/>
    <w:rsid w:val="00B46C58"/>
    <w:rsid w:val="00B46F2E"/>
    <w:rsid w:val="00B47C7E"/>
    <w:rsid w:val="00B50468"/>
    <w:rsid w:val="00B50617"/>
    <w:rsid w:val="00B510A1"/>
    <w:rsid w:val="00B5145A"/>
    <w:rsid w:val="00B51CE6"/>
    <w:rsid w:val="00B52152"/>
    <w:rsid w:val="00B522F3"/>
    <w:rsid w:val="00B5248B"/>
    <w:rsid w:val="00B52B7F"/>
    <w:rsid w:val="00B531E6"/>
    <w:rsid w:val="00B5386A"/>
    <w:rsid w:val="00B53C40"/>
    <w:rsid w:val="00B53FFF"/>
    <w:rsid w:val="00B55139"/>
    <w:rsid w:val="00B56746"/>
    <w:rsid w:val="00B57C06"/>
    <w:rsid w:val="00B57DA3"/>
    <w:rsid w:val="00B57FB6"/>
    <w:rsid w:val="00B61358"/>
    <w:rsid w:val="00B6183A"/>
    <w:rsid w:val="00B61C0B"/>
    <w:rsid w:val="00B622C0"/>
    <w:rsid w:val="00B62FEB"/>
    <w:rsid w:val="00B63160"/>
    <w:rsid w:val="00B63325"/>
    <w:rsid w:val="00B646B9"/>
    <w:rsid w:val="00B65641"/>
    <w:rsid w:val="00B6648E"/>
    <w:rsid w:val="00B67081"/>
    <w:rsid w:val="00B67113"/>
    <w:rsid w:val="00B6753E"/>
    <w:rsid w:val="00B67D6C"/>
    <w:rsid w:val="00B67ECF"/>
    <w:rsid w:val="00B705AA"/>
    <w:rsid w:val="00B70AB9"/>
    <w:rsid w:val="00B711CC"/>
    <w:rsid w:val="00B72173"/>
    <w:rsid w:val="00B72E6A"/>
    <w:rsid w:val="00B7355F"/>
    <w:rsid w:val="00B73C2B"/>
    <w:rsid w:val="00B74264"/>
    <w:rsid w:val="00B74E50"/>
    <w:rsid w:val="00B750F6"/>
    <w:rsid w:val="00B75522"/>
    <w:rsid w:val="00B7581E"/>
    <w:rsid w:val="00B75A4C"/>
    <w:rsid w:val="00B7622B"/>
    <w:rsid w:val="00B76673"/>
    <w:rsid w:val="00B76A20"/>
    <w:rsid w:val="00B76ADD"/>
    <w:rsid w:val="00B80360"/>
    <w:rsid w:val="00B80648"/>
    <w:rsid w:val="00B80CC0"/>
    <w:rsid w:val="00B8144D"/>
    <w:rsid w:val="00B81469"/>
    <w:rsid w:val="00B81525"/>
    <w:rsid w:val="00B8186A"/>
    <w:rsid w:val="00B823BC"/>
    <w:rsid w:val="00B831F2"/>
    <w:rsid w:val="00B83868"/>
    <w:rsid w:val="00B84CC2"/>
    <w:rsid w:val="00B85E74"/>
    <w:rsid w:val="00B86049"/>
    <w:rsid w:val="00B86505"/>
    <w:rsid w:val="00B86A70"/>
    <w:rsid w:val="00B8775A"/>
    <w:rsid w:val="00B87A46"/>
    <w:rsid w:val="00B9293B"/>
    <w:rsid w:val="00B938DC"/>
    <w:rsid w:val="00B93BAB"/>
    <w:rsid w:val="00B93DA7"/>
    <w:rsid w:val="00B946FD"/>
    <w:rsid w:val="00B94B46"/>
    <w:rsid w:val="00B94FDD"/>
    <w:rsid w:val="00B95503"/>
    <w:rsid w:val="00B95E4B"/>
    <w:rsid w:val="00B96BF5"/>
    <w:rsid w:val="00B96C29"/>
    <w:rsid w:val="00B96FCC"/>
    <w:rsid w:val="00B976B2"/>
    <w:rsid w:val="00B97D37"/>
    <w:rsid w:val="00B97FC7"/>
    <w:rsid w:val="00BA0603"/>
    <w:rsid w:val="00BA09BC"/>
    <w:rsid w:val="00BA09DC"/>
    <w:rsid w:val="00BA0A40"/>
    <w:rsid w:val="00BA12F5"/>
    <w:rsid w:val="00BA1541"/>
    <w:rsid w:val="00BA2302"/>
    <w:rsid w:val="00BA2997"/>
    <w:rsid w:val="00BA3C45"/>
    <w:rsid w:val="00BA3E00"/>
    <w:rsid w:val="00BA49BA"/>
    <w:rsid w:val="00BA5538"/>
    <w:rsid w:val="00BA6502"/>
    <w:rsid w:val="00BA670C"/>
    <w:rsid w:val="00BA68D4"/>
    <w:rsid w:val="00BA6A87"/>
    <w:rsid w:val="00BA6D52"/>
    <w:rsid w:val="00BA754E"/>
    <w:rsid w:val="00BA75E2"/>
    <w:rsid w:val="00BA7DB8"/>
    <w:rsid w:val="00BB0B53"/>
    <w:rsid w:val="00BB0C1A"/>
    <w:rsid w:val="00BB13CE"/>
    <w:rsid w:val="00BB1A34"/>
    <w:rsid w:val="00BB3A22"/>
    <w:rsid w:val="00BB4F35"/>
    <w:rsid w:val="00BB5590"/>
    <w:rsid w:val="00BB6815"/>
    <w:rsid w:val="00BB6EE4"/>
    <w:rsid w:val="00BB70C0"/>
    <w:rsid w:val="00BB7387"/>
    <w:rsid w:val="00BC0675"/>
    <w:rsid w:val="00BC09DC"/>
    <w:rsid w:val="00BC0D87"/>
    <w:rsid w:val="00BC21BE"/>
    <w:rsid w:val="00BC2878"/>
    <w:rsid w:val="00BC2ACE"/>
    <w:rsid w:val="00BC2E0D"/>
    <w:rsid w:val="00BC3303"/>
    <w:rsid w:val="00BC38FD"/>
    <w:rsid w:val="00BC41EC"/>
    <w:rsid w:val="00BC48DC"/>
    <w:rsid w:val="00BC5303"/>
    <w:rsid w:val="00BC5727"/>
    <w:rsid w:val="00BC5C24"/>
    <w:rsid w:val="00BC5DE3"/>
    <w:rsid w:val="00BC645C"/>
    <w:rsid w:val="00BC65AC"/>
    <w:rsid w:val="00BC6832"/>
    <w:rsid w:val="00BC7520"/>
    <w:rsid w:val="00BD046C"/>
    <w:rsid w:val="00BD0575"/>
    <w:rsid w:val="00BD0E83"/>
    <w:rsid w:val="00BD1266"/>
    <w:rsid w:val="00BD1B76"/>
    <w:rsid w:val="00BD2025"/>
    <w:rsid w:val="00BD2669"/>
    <w:rsid w:val="00BD2983"/>
    <w:rsid w:val="00BD2EF6"/>
    <w:rsid w:val="00BD3356"/>
    <w:rsid w:val="00BD3A3F"/>
    <w:rsid w:val="00BD41EB"/>
    <w:rsid w:val="00BD41F1"/>
    <w:rsid w:val="00BD4AA2"/>
    <w:rsid w:val="00BD510D"/>
    <w:rsid w:val="00BD5693"/>
    <w:rsid w:val="00BD56A3"/>
    <w:rsid w:val="00BD58C4"/>
    <w:rsid w:val="00BD5D87"/>
    <w:rsid w:val="00BD6A42"/>
    <w:rsid w:val="00BD6CD7"/>
    <w:rsid w:val="00BD6D61"/>
    <w:rsid w:val="00BD6DD5"/>
    <w:rsid w:val="00BD7362"/>
    <w:rsid w:val="00BD76AF"/>
    <w:rsid w:val="00BD7744"/>
    <w:rsid w:val="00BD7861"/>
    <w:rsid w:val="00BD7ED5"/>
    <w:rsid w:val="00BE0533"/>
    <w:rsid w:val="00BE1001"/>
    <w:rsid w:val="00BE1660"/>
    <w:rsid w:val="00BE1703"/>
    <w:rsid w:val="00BE1809"/>
    <w:rsid w:val="00BE1EB2"/>
    <w:rsid w:val="00BE25A4"/>
    <w:rsid w:val="00BE2A2B"/>
    <w:rsid w:val="00BE2BB0"/>
    <w:rsid w:val="00BE47FD"/>
    <w:rsid w:val="00BE5B13"/>
    <w:rsid w:val="00BE5EAF"/>
    <w:rsid w:val="00BE6E1D"/>
    <w:rsid w:val="00BE769E"/>
    <w:rsid w:val="00BE7AA5"/>
    <w:rsid w:val="00BE7C65"/>
    <w:rsid w:val="00BF0F1B"/>
    <w:rsid w:val="00BF1357"/>
    <w:rsid w:val="00BF23FD"/>
    <w:rsid w:val="00BF2415"/>
    <w:rsid w:val="00BF261C"/>
    <w:rsid w:val="00BF32B2"/>
    <w:rsid w:val="00BF54E8"/>
    <w:rsid w:val="00BF59D8"/>
    <w:rsid w:val="00BF5C7C"/>
    <w:rsid w:val="00BF660A"/>
    <w:rsid w:val="00BF6700"/>
    <w:rsid w:val="00BF6E45"/>
    <w:rsid w:val="00BF7012"/>
    <w:rsid w:val="00BF79CC"/>
    <w:rsid w:val="00BF7C4D"/>
    <w:rsid w:val="00C0059C"/>
    <w:rsid w:val="00C00846"/>
    <w:rsid w:val="00C01F39"/>
    <w:rsid w:val="00C020E1"/>
    <w:rsid w:val="00C03085"/>
    <w:rsid w:val="00C0398D"/>
    <w:rsid w:val="00C04865"/>
    <w:rsid w:val="00C04CE0"/>
    <w:rsid w:val="00C04FF1"/>
    <w:rsid w:val="00C0541A"/>
    <w:rsid w:val="00C05CB0"/>
    <w:rsid w:val="00C062C3"/>
    <w:rsid w:val="00C065E4"/>
    <w:rsid w:val="00C066E0"/>
    <w:rsid w:val="00C06830"/>
    <w:rsid w:val="00C06ED3"/>
    <w:rsid w:val="00C06FCF"/>
    <w:rsid w:val="00C0788B"/>
    <w:rsid w:val="00C07A27"/>
    <w:rsid w:val="00C10B8E"/>
    <w:rsid w:val="00C12308"/>
    <w:rsid w:val="00C12706"/>
    <w:rsid w:val="00C1292B"/>
    <w:rsid w:val="00C12F84"/>
    <w:rsid w:val="00C1306A"/>
    <w:rsid w:val="00C13446"/>
    <w:rsid w:val="00C13816"/>
    <w:rsid w:val="00C13C03"/>
    <w:rsid w:val="00C13FA8"/>
    <w:rsid w:val="00C14555"/>
    <w:rsid w:val="00C14A5A"/>
    <w:rsid w:val="00C15899"/>
    <w:rsid w:val="00C15B3F"/>
    <w:rsid w:val="00C16122"/>
    <w:rsid w:val="00C16A93"/>
    <w:rsid w:val="00C16AA0"/>
    <w:rsid w:val="00C16E0C"/>
    <w:rsid w:val="00C17F7A"/>
    <w:rsid w:val="00C20367"/>
    <w:rsid w:val="00C206CA"/>
    <w:rsid w:val="00C20A34"/>
    <w:rsid w:val="00C20D30"/>
    <w:rsid w:val="00C213CE"/>
    <w:rsid w:val="00C21625"/>
    <w:rsid w:val="00C216E3"/>
    <w:rsid w:val="00C21928"/>
    <w:rsid w:val="00C21BC2"/>
    <w:rsid w:val="00C21CD9"/>
    <w:rsid w:val="00C21D7F"/>
    <w:rsid w:val="00C22BEA"/>
    <w:rsid w:val="00C22EFF"/>
    <w:rsid w:val="00C23254"/>
    <w:rsid w:val="00C2451A"/>
    <w:rsid w:val="00C24B45"/>
    <w:rsid w:val="00C24C40"/>
    <w:rsid w:val="00C25BAA"/>
    <w:rsid w:val="00C26DF9"/>
    <w:rsid w:val="00C272D7"/>
    <w:rsid w:val="00C27508"/>
    <w:rsid w:val="00C27BA6"/>
    <w:rsid w:val="00C27E47"/>
    <w:rsid w:val="00C27F28"/>
    <w:rsid w:val="00C30346"/>
    <w:rsid w:val="00C30E45"/>
    <w:rsid w:val="00C30F03"/>
    <w:rsid w:val="00C310DD"/>
    <w:rsid w:val="00C31E42"/>
    <w:rsid w:val="00C31EFB"/>
    <w:rsid w:val="00C32D52"/>
    <w:rsid w:val="00C32D9E"/>
    <w:rsid w:val="00C33CF9"/>
    <w:rsid w:val="00C34972"/>
    <w:rsid w:val="00C34A97"/>
    <w:rsid w:val="00C34CB3"/>
    <w:rsid w:val="00C353D3"/>
    <w:rsid w:val="00C358A1"/>
    <w:rsid w:val="00C361C0"/>
    <w:rsid w:val="00C37059"/>
    <w:rsid w:val="00C3769D"/>
    <w:rsid w:val="00C404EE"/>
    <w:rsid w:val="00C412DA"/>
    <w:rsid w:val="00C41842"/>
    <w:rsid w:val="00C42044"/>
    <w:rsid w:val="00C42B7E"/>
    <w:rsid w:val="00C42F55"/>
    <w:rsid w:val="00C43834"/>
    <w:rsid w:val="00C449ED"/>
    <w:rsid w:val="00C46B28"/>
    <w:rsid w:val="00C473F3"/>
    <w:rsid w:val="00C522B3"/>
    <w:rsid w:val="00C522D9"/>
    <w:rsid w:val="00C5249A"/>
    <w:rsid w:val="00C526E5"/>
    <w:rsid w:val="00C52C05"/>
    <w:rsid w:val="00C533D1"/>
    <w:rsid w:val="00C53D6C"/>
    <w:rsid w:val="00C53E1B"/>
    <w:rsid w:val="00C54984"/>
    <w:rsid w:val="00C54A28"/>
    <w:rsid w:val="00C54B18"/>
    <w:rsid w:val="00C5561F"/>
    <w:rsid w:val="00C55D77"/>
    <w:rsid w:val="00C5754D"/>
    <w:rsid w:val="00C579BF"/>
    <w:rsid w:val="00C57C96"/>
    <w:rsid w:val="00C57F02"/>
    <w:rsid w:val="00C57FC0"/>
    <w:rsid w:val="00C60519"/>
    <w:rsid w:val="00C60B3B"/>
    <w:rsid w:val="00C611DD"/>
    <w:rsid w:val="00C615A0"/>
    <w:rsid w:val="00C61996"/>
    <w:rsid w:val="00C61CE2"/>
    <w:rsid w:val="00C62339"/>
    <w:rsid w:val="00C63061"/>
    <w:rsid w:val="00C6367A"/>
    <w:rsid w:val="00C64242"/>
    <w:rsid w:val="00C647EE"/>
    <w:rsid w:val="00C6552B"/>
    <w:rsid w:val="00C6679F"/>
    <w:rsid w:val="00C66ECD"/>
    <w:rsid w:val="00C66F05"/>
    <w:rsid w:val="00C677CB"/>
    <w:rsid w:val="00C67CAE"/>
    <w:rsid w:val="00C67CC6"/>
    <w:rsid w:val="00C70A24"/>
    <w:rsid w:val="00C70D6F"/>
    <w:rsid w:val="00C70ED3"/>
    <w:rsid w:val="00C71E7C"/>
    <w:rsid w:val="00C73424"/>
    <w:rsid w:val="00C73656"/>
    <w:rsid w:val="00C73838"/>
    <w:rsid w:val="00C73D66"/>
    <w:rsid w:val="00C73EA4"/>
    <w:rsid w:val="00C74AFA"/>
    <w:rsid w:val="00C74DC9"/>
    <w:rsid w:val="00C74FB2"/>
    <w:rsid w:val="00C7501F"/>
    <w:rsid w:val="00C75A76"/>
    <w:rsid w:val="00C76471"/>
    <w:rsid w:val="00C76E6E"/>
    <w:rsid w:val="00C775C1"/>
    <w:rsid w:val="00C77F26"/>
    <w:rsid w:val="00C80545"/>
    <w:rsid w:val="00C815FA"/>
    <w:rsid w:val="00C8209B"/>
    <w:rsid w:val="00C8216B"/>
    <w:rsid w:val="00C82551"/>
    <w:rsid w:val="00C831B5"/>
    <w:rsid w:val="00C839B1"/>
    <w:rsid w:val="00C83CD3"/>
    <w:rsid w:val="00C83EA3"/>
    <w:rsid w:val="00C84A7F"/>
    <w:rsid w:val="00C84C9C"/>
    <w:rsid w:val="00C84EE5"/>
    <w:rsid w:val="00C85FB3"/>
    <w:rsid w:val="00C86209"/>
    <w:rsid w:val="00C867CA"/>
    <w:rsid w:val="00C867D7"/>
    <w:rsid w:val="00C86FE3"/>
    <w:rsid w:val="00C87812"/>
    <w:rsid w:val="00C90481"/>
    <w:rsid w:val="00C907A2"/>
    <w:rsid w:val="00C90A4E"/>
    <w:rsid w:val="00C9165A"/>
    <w:rsid w:val="00C91705"/>
    <w:rsid w:val="00C92326"/>
    <w:rsid w:val="00C928F9"/>
    <w:rsid w:val="00C9369B"/>
    <w:rsid w:val="00C93B58"/>
    <w:rsid w:val="00C942FB"/>
    <w:rsid w:val="00C956D8"/>
    <w:rsid w:val="00C95933"/>
    <w:rsid w:val="00C95A1B"/>
    <w:rsid w:val="00C962AB"/>
    <w:rsid w:val="00C9681F"/>
    <w:rsid w:val="00C969B6"/>
    <w:rsid w:val="00C96D78"/>
    <w:rsid w:val="00C971AE"/>
    <w:rsid w:val="00CA01C4"/>
    <w:rsid w:val="00CA0EEB"/>
    <w:rsid w:val="00CA17AC"/>
    <w:rsid w:val="00CA1F64"/>
    <w:rsid w:val="00CA204F"/>
    <w:rsid w:val="00CA26AD"/>
    <w:rsid w:val="00CA2D5B"/>
    <w:rsid w:val="00CA2E88"/>
    <w:rsid w:val="00CA32F5"/>
    <w:rsid w:val="00CA3343"/>
    <w:rsid w:val="00CA40F5"/>
    <w:rsid w:val="00CA4152"/>
    <w:rsid w:val="00CA4974"/>
    <w:rsid w:val="00CA5212"/>
    <w:rsid w:val="00CA54FA"/>
    <w:rsid w:val="00CA6E16"/>
    <w:rsid w:val="00CA7AAE"/>
    <w:rsid w:val="00CA7F06"/>
    <w:rsid w:val="00CB02F3"/>
    <w:rsid w:val="00CB0588"/>
    <w:rsid w:val="00CB096A"/>
    <w:rsid w:val="00CB0D15"/>
    <w:rsid w:val="00CB1043"/>
    <w:rsid w:val="00CB12B4"/>
    <w:rsid w:val="00CB1BE6"/>
    <w:rsid w:val="00CB23BA"/>
    <w:rsid w:val="00CB295A"/>
    <w:rsid w:val="00CB3961"/>
    <w:rsid w:val="00CB3F70"/>
    <w:rsid w:val="00CB4276"/>
    <w:rsid w:val="00CB4733"/>
    <w:rsid w:val="00CB5A2B"/>
    <w:rsid w:val="00CB7030"/>
    <w:rsid w:val="00CB7C40"/>
    <w:rsid w:val="00CC0265"/>
    <w:rsid w:val="00CC02B1"/>
    <w:rsid w:val="00CC0349"/>
    <w:rsid w:val="00CC133C"/>
    <w:rsid w:val="00CC2456"/>
    <w:rsid w:val="00CC2E6F"/>
    <w:rsid w:val="00CC44AD"/>
    <w:rsid w:val="00CC5E7E"/>
    <w:rsid w:val="00CC5FC7"/>
    <w:rsid w:val="00CC6585"/>
    <w:rsid w:val="00CC66E6"/>
    <w:rsid w:val="00CC6BD7"/>
    <w:rsid w:val="00CC70B1"/>
    <w:rsid w:val="00CD026E"/>
    <w:rsid w:val="00CD0306"/>
    <w:rsid w:val="00CD2182"/>
    <w:rsid w:val="00CD2694"/>
    <w:rsid w:val="00CD271F"/>
    <w:rsid w:val="00CD2B57"/>
    <w:rsid w:val="00CD2C19"/>
    <w:rsid w:val="00CD38A8"/>
    <w:rsid w:val="00CD4DC1"/>
    <w:rsid w:val="00CD57C8"/>
    <w:rsid w:val="00CD5852"/>
    <w:rsid w:val="00CD5B96"/>
    <w:rsid w:val="00CD5CBD"/>
    <w:rsid w:val="00CD650D"/>
    <w:rsid w:val="00CD6689"/>
    <w:rsid w:val="00CD686E"/>
    <w:rsid w:val="00CD6BFC"/>
    <w:rsid w:val="00CD7053"/>
    <w:rsid w:val="00CD7BC9"/>
    <w:rsid w:val="00CD7CCF"/>
    <w:rsid w:val="00CD7F6D"/>
    <w:rsid w:val="00CE0190"/>
    <w:rsid w:val="00CE047E"/>
    <w:rsid w:val="00CE0572"/>
    <w:rsid w:val="00CE0AE4"/>
    <w:rsid w:val="00CE0D59"/>
    <w:rsid w:val="00CE10DD"/>
    <w:rsid w:val="00CE13A6"/>
    <w:rsid w:val="00CE240E"/>
    <w:rsid w:val="00CE247B"/>
    <w:rsid w:val="00CE2709"/>
    <w:rsid w:val="00CE275F"/>
    <w:rsid w:val="00CE31F5"/>
    <w:rsid w:val="00CE3C79"/>
    <w:rsid w:val="00CE3F20"/>
    <w:rsid w:val="00CE4169"/>
    <w:rsid w:val="00CE5738"/>
    <w:rsid w:val="00CE5B1B"/>
    <w:rsid w:val="00CE5CC0"/>
    <w:rsid w:val="00CE630A"/>
    <w:rsid w:val="00CE66E6"/>
    <w:rsid w:val="00CE6901"/>
    <w:rsid w:val="00CE752D"/>
    <w:rsid w:val="00CE7E03"/>
    <w:rsid w:val="00CF1904"/>
    <w:rsid w:val="00CF1A2D"/>
    <w:rsid w:val="00CF1AD2"/>
    <w:rsid w:val="00CF3751"/>
    <w:rsid w:val="00CF4D72"/>
    <w:rsid w:val="00CF52E3"/>
    <w:rsid w:val="00CF564B"/>
    <w:rsid w:val="00CF5D67"/>
    <w:rsid w:val="00CF685C"/>
    <w:rsid w:val="00CF6A03"/>
    <w:rsid w:val="00CF6A7E"/>
    <w:rsid w:val="00CF7691"/>
    <w:rsid w:val="00CF77F2"/>
    <w:rsid w:val="00CF7801"/>
    <w:rsid w:val="00CF7E14"/>
    <w:rsid w:val="00D00363"/>
    <w:rsid w:val="00D00CDE"/>
    <w:rsid w:val="00D01237"/>
    <w:rsid w:val="00D0260D"/>
    <w:rsid w:val="00D028E2"/>
    <w:rsid w:val="00D03942"/>
    <w:rsid w:val="00D03A19"/>
    <w:rsid w:val="00D03DB3"/>
    <w:rsid w:val="00D04103"/>
    <w:rsid w:val="00D0485B"/>
    <w:rsid w:val="00D04BEA"/>
    <w:rsid w:val="00D05DA3"/>
    <w:rsid w:val="00D05F97"/>
    <w:rsid w:val="00D069E9"/>
    <w:rsid w:val="00D06CDB"/>
    <w:rsid w:val="00D073BC"/>
    <w:rsid w:val="00D078DA"/>
    <w:rsid w:val="00D07C9C"/>
    <w:rsid w:val="00D07F6F"/>
    <w:rsid w:val="00D10B0C"/>
    <w:rsid w:val="00D10F0D"/>
    <w:rsid w:val="00D11105"/>
    <w:rsid w:val="00D11FEA"/>
    <w:rsid w:val="00D12718"/>
    <w:rsid w:val="00D134E1"/>
    <w:rsid w:val="00D13541"/>
    <w:rsid w:val="00D1380B"/>
    <w:rsid w:val="00D139B3"/>
    <w:rsid w:val="00D13F4A"/>
    <w:rsid w:val="00D13FD2"/>
    <w:rsid w:val="00D15084"/>
    <w:rsid w:val="00D155F0"/>
    <w:rsid w:val="00D1566D"/>
    <w:rsid w:val="00D158A9"/>
    <w:rsid w:val="00D15BC7"/>
    <w:rsid w:val="00D162F5"/>
    <w:rsid w:val="00D169EA"/>
    <w:rsid w:val="00D16A63"/>
    <w:rsid w:val="00D17326"/>
    <w:rsid w:val="00D175DD"/>
    <w:rsid w:val="00D179F0"/>
    <w:rsid w:val="00D17AE4"/>
    <w:rsid w:val="00D20741"/>
    <w:rsid w:val="00D20A59"/>
    <w:rsid w:val="00D21813"/>
    <w:rsid w:val="00D21C3A"/>
    <w:rsid w:val="00D226E1"/>
    <w:rsid w:val="00D2278D"/>
    <w:rsid w:val="00D22977"/>
    <w:rsid w:val="00D24473"/>
    <w:rsid w:val="00D2486D"/>
    <w:rsid w:val="00D2578D"/>
    <w:rsid w:val="00D2598E"/>
    <w:rsid w:val="00D259F6"/>
    <w:rsid w:val="00D25BC9"/>
    <w:rsid w:val="00D25E15"/>
    <w:rsid w:val="00D25E87"/>
    <w:rsid w:val="00D25F33"/>
    <w:rsid w:val="00D262FC"/>
    <w:rsid w:val="00D26319"/>
    <w:rsid w:val="00D263ED"/>
    <w:rsid w:val="00D26BE3"/>
    <w:rsid w:val="00D2703D"/>
    <w:rsid w:val="00D301A2"/>
    <w:rsid w:val="00D307C3"/>
    <w:rsid w:val="00D30B8E"/>
    <w:rsid w:val="00D311D8"/>
    <w:rsid w:val="00D3163A"/>
    <w:rsid w:val="00D31ECF"/>
    <w:rsid w:val="00D325C6"/>
    <w:rsid w:val="00D3273F"/>
    <w:rsid w:val="00D32F2A"/>
    <w:rsid w:val="00D33556"/>
    <w:rsid w:val="00D3431B"/>
    <w:rsid w:val="00D34401"/>
    <w:rsid w:val="00D34559"/>
    <w:rsid w:val="00D3523A"/>
    <w:rsid w:val="00D35466"/>
    <w:rsid w:val="00D361BC"/>
    <w:rsid w:val="00D36743"/>
    <w:rsid w:val="00D3737D"/>
    <w:rsid w:val="00D4025C"/>
    <w:rsid w:val="00D403B2"/>
    <w:rsid w:val="00D405B5"/>
    <w:rsid w:val="00D40758"/>
    <w:rsid w:val="00D40BD8"/>
    <w:rsid w:val="00D40DF2"/>
    <w:rsid w:val="00D41293"/>
    <w:rsid w:val="00D4138C"/>
    <w:rsid w:val="00D41B77"/>
    <w:rsid w:val="00D41D1A"/>
    <w:rsid w:val="00D41DF2"/>
    <w:rsid w:val="00D42153"/>
    <w:rsid w:val="00D43CCB"/>
    <w:rsid w:val="00D43DDB"/>
    <w:rsid w:val="00D44568"/>
    <w:rsid w:val="00D45D85"/>
    <w:rsid w:val="00D47B8F"/>
    <w:rsid w:val="00D5252D"/>
    <w:rsid w:val="00D53AB7"/>
    <w:rsid w:val="00D541F0"/>
    <w:rsid w:val="00D5427E"/>
    <w:rsid w:val="00D54597"/>
    <w:rsid w:val="00D5464D"/>
    <w:rsid w:val="00D55270"/>
    <w:rsid w:val="00D55926"/>
    <w:rsid w:val="00D55B91"/>
    <w:rsid w:val="00D5622E"/>
    <w:rsid w:val="00D569E9"/>
    <w:rsid w:val="00D56CD5"/>
    <w:rsid w:val="00D60272"/>
    <w:rsid w:val="00D602C9"/>
    <w:rsid w:val="00D6303F"/>
    <w:rsid w:val="00D63C08"/>
    <w:rsid w:val="00D644AD"/>
    <w:rsid w:val="00D645E9"/>
    <w:rsid w:val="00D6590C"/>
    <w:rsid w:val="00D65E20"/>
    <w:rsid w:val="00D6733D"/>
    <w:rsid w:val="00D67AF8"/>
    <w:rsid w:val="00D67C79"/>
    <w:rsid w:val="00D70301"/>
    <w:rsid w:val="00D705CB"/>
    <w:rsid w:val="00D70EDC"/>
    <w:rsid w:val="00D7203F"/>
    <w:rsid w:val="00D72970"/>
    <w:rsid w:val="00D73231"/>
    <w:rsid w:val="00D73641"/>
    <w:rsid w:val="00D74454"/>
    <w:rsid w:val="00D74471"/>
    <w:rsid w:val="00D74F1B"/>
    <w:rsid w:val="00D7544E"/>
    <w:rsid w:val="00D758CA"/>
    <w:rsid w:val="00D75A6B"/>
    <w:rsid w:val="00D75B61"/>
    <w:rsid w:val="00D75C8A"/>
    <w:rsid w:val="00D75F1C"/>
    <w:rsid w:val="00D76A6F"/>
    <w:rsid w:val="00D76D90"/>
    <w:rsid w:val="00D76F9A"/>
    <w:rsid w:val="00D77CF3"/>
    <w:rsid w:val="00D801C9"/>
    <w:rsid w:val="00D80EA9"/>
    <w:rsid w:val="00D81499"/>
    <w:rsid w:val="00D81825"/>
    <w:rsid w:val="00D81FC0"/>
    <w:rsid w:val="00D82A42"/>
    <w:rsid w:val="00D82F89"/>
    <w:rsid w:val="00D831F6"/>
    <w:rsid w:val="00D84806"/>
    <w:rsid w:val="00D84972"/>
    <w:rsid w:val="00D85454"/>
    <w:rsid w:val="00D85540"/>
    <w:rsid w:val="00D856DF"/>
    <w:rsid w:val="00D86AA7"/>
    <w:rsid w:val="00D86C5E"/>
    <w:rsid w:val="00D86DC8"/>
    <w:rsid w:val="00D87580"/>
    <w:rsid w:val="00D906B7"/>
    <w:rsid w:val="00D90AE2"/>
    <w:rsid w:val="00D91092"/>
    <w:rsid w:val="00D912B7"/>
    <w:rsid w:val="00D914BD"/>
    <w:rsid w:val="00D91C97"/>
    <w:rsid w:val="00D91D18"/>
    <w:rsid w:val="00D92B58"/>
    <w:rsid w:val="00D93A41"/>
    <w:rsid w:val="00D93A62"/>
    <w:rsid w:val="00D9482C"/>
    <w:rsid w:val="00D9492F"/>
    <w:rsid w:val="00D9539F"/>
    <w:rsid w:val="00D96AD3"/>
    <w:rsid w:val="00DA1287"/>
    <w:rsid w:val="00DA13E0"/>
    <w:rsid w:val="00DA1426"/>
    <w:rsid w:val="00DA1825"/>
    <w:rsid w:val="00DA1867"/>
    <w:rsid w:val="00DA231B"/>
    <w:rsid w:val="00DA277A"/>
    <w:rsid w:val="00DA3BB8"/>
    <w:rsid w:val="00DA4ED2"/>
    <w:rsid w:val="00DA5A85"/>
    <w:rsid w:val="00DA5BB7"/>
    <w:rsid w:val="00DA6677"/>
    <w:rsid w:val="00DA7810"/>
    <w:rsid w:val="00DB002B"/>
    <w:rsid w:val="00DB05AE"/>
    <w:rsid w:val="00DB0B5A"/>
    <w:rsid w:val="00DB0E36"/>
    <w:rsid w:val="00DB10B8"/>
    <w:rsid w:val="00DB11B7"/>
    <w:rsid w:val="00DB187D"/>
    <w:rsid w:val="00DB197C"/>
    <w:rsid w:val="00DB1C34"/>
    <w:rsid w:val="00DB25F0"/>
    <w:rsid w:val="00DB2D34"/>
    <w:rsid w:val="00DB7D1B"/>
    <w:rsid w:val="00DC055B"/>
    <w:rsid w:val="00DC1656"/>
    <w:rsid w:val="00DC20A4"/>
    <w:rsid w:val="00DC2F08"/>
    <w:rsid w:val="00DC30D0"/>
    <w:rsid w:val="00DC30F9"/>
    <w:rsid w:val="00DC3274"/>
    <w:rsid w:val="00DC36E6"/>
    <w:rsid w:val="00DC3F70"/>
    <w:rsid w:val="00DC40A1"/>
    <w:rsid w:val="00DC447F"/>
    <w:rsid w:val="00DC48C7"/>
    <w:rsid w:val="00DC4F20"/>
    <w:rsid w:val="00DC52E8"/>
    <w:rsid w:val="00DC5392"/>
    <w:rsid w:val="00DC54EB"/>
    <w:rsid w:val="00DC54FC"/>
    <w:rsid w:val="00DC5713"/>
    <w:rsid w:val="00DC5CD1"/>
    <w:rsid w:val="00DC62F0"/>
    <w:rsid w:val="00DC70B4"/>
    <w:rsid w:val="00DC7366"/>
    <w:rsid w:val="00DC744E"/>
    <w:rsid w:val="00DC7AFF"/>
    <w:rsid w:val="00DD025B"/>
    <w:rsid w:val="00DD02BA"/>
    <w:rsid w:val="00DD1E8D"/>
    <w:rsid w:val="00DD2818"/>
    <w:rsid w:val="00DD2BF7"/>
    <w:rsid w:val="00DD2DE8"/>
    <w:rsid w:val="00DD3431"/>
    <w:rsid w:val="00DD3C3C"/>
    <w:rsid w:val="00DD3DF7"/>
    <w:rsid w:val="00DD409B"/>
    <w:rsid w:val="00DD44FC"/>
    <w:rsid w:val="00DD4841"/>
    <w:rsid w:val="00DD4E8E"/>
    <w:rsid w:val="00DD56A4"/>
    <w:rsid w:val="00DD5B91"/>
    <w:rsid w:val="00DD6567"/>
    <w:rsid w:val="00DD6FB1"/>
    <w:rsid w:val="00DD7D2A"/>
    <w:rsid w:val="00DD7DFF"/>
    <w:rsid w:val="00DE1462"/>
    <w:rsid w:val="00DE17DB"/>
    <w:rsid w:val="00DE1D58"/>
    <w:rsid w:val="00DE1F5B"/>
    <w:rsid w:val="00DE5D5A"/>
    <w:rsid w:val="00DE5FE9"/>
    <w:rsid w:val="00DE6DAA"/>
    <w:rsid w:val="00DE6E50"/>
    <w:rsid w:val="00DE7889"/>
    <w:rsid w:val="00DF010D"/>
    <w:rsid w:val="00DF020D"/>
    <w:rsid w:val="00DF02E1"/>
    <w:rsid w:val="00DF06FF"/>
    <w:rsid w:val="00DF093F"/>
    <w:rsid w:val="00DF13E6"/>
    <w:rsid w:val="00DF1978"/>
    <w:rsid w:val="00DF1A05"/>
    <w:rsid w:val="00DF2684"/>
    <w:rsid w:val="00DF2E3E"/>
    <w:rsid w:val="00DF3173"/>
    <w:rsid w:val="00DF3C89"/>
    <w:rsid w:val="00DF4C5B"/>
    <w:rsid w:val="00DF5140"/>
    <w:rsid w:val="00DF532F"/>
    <w:rsid w:val="00DF5544"/>
    <w:rsid w:val="00DF5A66"/>
    <w:rsid w:val="00DF6339"/>
    <w:rsid w:val="00DF7108"/>
    <w:rsid w:val="00E0297D"/>
    <w:rsid w:val="00E02C6B"/>
    <w:rsid w:val="00E0310A"/>
    <w:rsid w:val="00E033BE"/>
    <w:rsid w:val="00E0366A"/>
    <w:rsid w:val="00E03AD3"/>
    <w:rsid w:val="00E04844"/>
    <w:rsid w:val="00E052A7"/>
    <w:rsid w:val="00E07C33"/>
    <w:rsid w:val="00E1018F"/>
    <w:rsid w:val="00E10564"/>
    <w:rsid w:val="00E10A96"/>
    <w:rsid w:val="00E119CB"/>
    <w:rsid w:val="00E11C5D"/>
    <w:rsid w:val="00E12BCF"/>
    <w:rsid w:val="00E12CFF"/>
    <w:rsid w:val="00E144DB"/>
    <w:rsid w:val="00E145CC"/>
    <w:rsid w:val="00E14A0D"/>
    <w:rsid w:val="00E15074"/>
    <w:rsid w:val="00E179D0"/>
    <w:rsid w:val="00E20461"/>
    <w:rsid w:val="00E20EC7"/>
    <w:rsid w:val="00E2249B"/>
    <w:rsid w:val="00E22759"/>
    <w:rsid w:val="00E2286A"/>
    <w:rsid w:val="00E228AE"/>
    <w:rsid w:val="00E229A4"/>
    <w:rsid w:val="00E22A83"/>
    <w:rsid w:val="00E235CE"/>
    <w:rsid w:val="00E23825"/>
    <w:rsid w:val="00E23DDF"/>
    <w:rsid w:val="00E23F1C"/>
    <w:rsid w:val="00E24367"/>
    <w:rsid w:val="00E24564"/>
    <w:rsid w:val="00E24815"/>
    <w:rsid w:val="00E2641C"/>
    <w:rsid w:val="00E264EA"/>
    <w:rsid w:val="00E2735C"/>
    <w:rsid w:val="00E274F9"/>
    <w:rsid w:val="00E27BE6"/>
    <w:rsid w:val="00E27CB8"/>
    <w:rsid w:val="00E30558"/>
    <w:rsid w:val="00E313A0"/>
    <w:rsid w:val="00E315D0"/>
    <w:rsid w:val="00E31619"/>
    <w:rsid w:val="00E316E6"/>
    <w:rsid w:val="00E321DC"/>
    <w:rsid w:val="00E324D6"/>
    <w:rsid w:val="00E330C0"/>
    <w:rsid w:val="00E330D5"/>
    <w:rsid w:val="00E3416C"/>
    <w:rsid w:val="00E34DFC"/>
    <w:rsid w:val="00E35DB4"/>
    <w:rsid w:val="00E360C7"/>
    <w:rsid w:val="00E36304"/>
    <w:rsid w:val="00E36832"/>
    <w:rsid w:val="00E36961"/>
    <w:rsid w:val="00E36E6A"/>
    <w:rsid w:val="00E4042A"/>
    <w:rsid w:val="00E411E2"/>
    <w:rsid w:val="00E41562"/>
    <w:rsid w:val="00E4215A"/>
    <w:rsid w:val="00E422A6"/>
    <w:rsid w:val="00E424A4"/>
    <w:rsid w:val="00E438D9"/>
    <w:rsid w:val="00E439ED"/>
    <w:rsid w:val="00E43A92"/>
    <w:rsid w:val="00E45992"/>
    <w:rsid w:val="00E460EA"/>
    <w:rsid w:val="00E50734"/>
    <w:rsid w:val="00E5159A"/>
    <w:rsid w:val="00E51B8D"/>
    <w:rsid w:val="00E527F2"/>
    <w:rsid w:val="00E53C6C"/>
    <w:rsid w:val="00E54377"/>
    <w:rsid w:val="00E5520E"/>
    <w:rsid w:val="00E55451"/>
    <w:rsid w:val="00E555E5"/>
    <w:rsid w:val="00E56BBB"/>
    <w:rsid w:val="00E56DB8"/>
    <w:rsid w:val="00E56E04"/>
    <w:rsid w:val="00E57192"/>
    <w:rsid w:val="00E60605"/>
    <w:rsid w:val="00E60745"/>
    <w:rsid w:val="00E6280B"/>
    <w:rsid w:val="00E62B0C"/>
    <w:rsid w:val="00E62BDE"/>
    <w:rsid w:val="00E63A1F"/>
    <w:rsid w:val="00E64405"/>
    <w:rsid w:val="00E64DC5"/>
    <w:rsid w:val="00E64E7B"/>
    <w:rsid w:val="00E6526B"/>
    <w:rsid w:val="00E663DB"/>
    <w:rsid w:val="00E6674F"/>
    <w:rsid w:val="00E66FE7"/>
    <w:rsid w:val="00E671F7"/>
    <w:rsid w:val="00E672CE"/>
    <w:rsid w:val="00E6795C"/>
    <w:rsid w:val="00E700FB"/>
    <w:rsid w:val="00E707D1"/>
    <w:rsid w:val="00E70BD8"/>
    <w:rsid w:val="00E7147B"/>
    <w:rsid w:val="00E71975"/>
    <w:rsid w:val="00E72EE3"/>
    <w:rsid w:val="00E7361E"/>
    <w:rsid w:val="00E73857"/>
    <w:rsid w:val="00E7391F"/>
    <w:rsid w:val="00E74696"/>
    <w:rsid w:val="00E746D9"/>
    <w:rsid w:val="00E74882"/>
    <w:rsid w:val="00E74D09"/>
    <w:rsid w:val="00E74E8D"/>
    <w:rsid w:val="00E75976"/>
    <w:rsid w:val="00E75C49"/>
    <w:rsid w:val="00E7611F"/>
    <w:rsid w:val="00E7643F"/>
    <w:rsid w:val="00E77DF5"/>
    <w:rsid w:val="00E804E7"/>
    <w:rsid w:val="00E809CC"/>
    <w:rsid w:val="00E80C1F"/>
    <w:rsid w:val="00E80F0A"/>
    <w:rsid w:val="00E81931"/>
    <w:rsid w:val="00E81961"/>
    <w:rsid w:val="00E81A62"/>
    <w:rsid w:val="00E82342"/>
    <w:rsid w:val="00E8245B"/>
    <w:rsid w:val="00E83C22"/>
    <w:rsid w:val="00E8534C"/>
    <w:rsid w:val="00E85C4D"/>
    <w:rsid w:val="00E86132"/>
    <w:rsid w:val="00E86FB3"/>
    <w:rsid w:val="00E875CA"/>
    <w:rsid w:val="00E875FA"/>
    <w:rsid w:val="00E90174"/>
    <w:rsid w:val="00E908B8"/>
    <w:rsid w:val="00E91840"/>
    <w:rsid w:val="00E919D7"/>
    <w:rsid w:val="00E91A9F"/>
    <w:rsid w:val="00E91AB5"/>
    <w:rsid w:val="00E91E01"/>
    <w:rsid w:val="00E9208E"/>
    <w:rsid w:val="00E9250D"/>
    <w:rsid w:val="00E92A3B"/>
    <w:rsid w:val="00E92DF1"/>
    <w:rsid w:val="00E937D0"/>
    <w:rsid w:val="00E93926"/>
    <w:rsid w:val="00E93A97"/>
    <w:rsid w:val="00E9401B"/>
    <w:rsid w:val="00E94098"/>
    <w:rsid w:val="00E94424"/>
    <w:rsid w:val="00E95A20"/>
    <w:rsid w:val="00E962BC"/>
    <w:rsid w:val="00E967FA"/>
    <w:rsid w:val="00E97887"/>
    <w:rsid w:val="00EA01B1"/>
    <w:rsid w:val="00EA0348"/>
    <w:rsid w:val="00EA0EE2"/>
    <w:rsid w:val="00EA2C82"/>
    <w:rsid w:val="00EA3363"/>
    <w:rsid w:val="00EA3AAA"/>
    <w:rsid w:val="00EA45A6"/>
    <w:rsid w:val="00EA4A2E"/>
    <w:rsid w:val="00EA4C6B"/>
    <w:rsid w:val="00EA6072"/>
    <w:rsid w:val="00EA64DF"/>
    <w:rsid w:val="00EA7056"/>
    <w:rsid w:val="00EA718B"/>
    <w:rsid w:val="00EA7A82"/>
    <w:rsid w:val="00EA7C11"/>
    <w:rsid w:val="00EB07C8"/>
    <w:rsid w:val="00EB1A91"/>
    <w:rsid w:val="00EB1AAB"/>
    <w:rsid w:val="00EB23D9"/>
    <w:rsid w:val="00EB403D"/>
    <w:rsid w:val="00EB4A4E"/>
    <w:rsid w:val="00EB5114"/>
    <w:rsid w:val="00EB5227"/>
    <w:rsid w:val="00EB52BD"/>
    <w:rsid w:val="00EB5322"/>
    <w:rsid w:val="00EB5503"/>
    <w:rsid w:val="00EB5536"/>
    <w:rsid w:val="00EB558B"/>
    <w:rsid w:val="00EB58D8"/>
    <w:rsid w:val="00EB5CEB"/>
    <w:rsid w:val="00EB629A"/>
    <w:rsid w:val="00EB64B9"/>
    <w:rsid w:val="00EB6BB6"/>
    <w:rsid w:val="00EB6F6A"/>
    <w:rsid w:val="00EB761A"/>
    <w:rsid w:val="00EB7D09"/>
    <w:rsid w:val="00EB7E4F"/>
    <w:rsid w:val="00EC01C5"/>
    <w:rsid w:val="00EC1849"/>
    <w:rsid w:val="00EC22F5"/>
    <w:rsid w:val="00EC2480"/>
    <w:rsid w:val="00EC2E35"/>
    <w:rsid w:val="00EC34CE"/>
    <w:rsid w:val="00EC41AB"/>
    <w:rsid w:val="00EC42C8"/>
    <w:rsid w:val="00EC42DE"/>
    <w:rsid w:val="00EC4EB2"/>
    <w:rsid w:val="00EC5F0A"/>
    <w:rsid w:val="00EC6C51"/>
    <w:rsid w:val="00EC6CE5"/>
    <w:rsid w:val="00EC7011"/>
    <w:rsid w:val="00EC7286"/>
    <w:rsid w:val="00EC73C2"/>
    <w:rsid w:val="00EC7B4C"/>
    <w:rsid w:val="00ED2352"/>
    <w:rsid w:val="00ED27A1"/>
    <w:rsid w:val="00ED2E0D"/>
    <w:rsid w:val="00ED2E8D"/>
    <w:rsid w:val="00ED318B"/>
    <w:rsid w:val="00ED3806"/>
    <w:rsid w:val="00ED4E67"/>
    <w:rsid w:val="00ED4EC3"/>
    <w:rsid w:val="00ED5127"/>
    <w:rsid w:val="00ED527D"/>
    <w:rsid w:val="00ED5F8D"/>
    <w:rsid w:val="00ED61E4"/>
    <w:rsid w:val="00EE0D0B"/>
    <w:rsid w:val="00EE0D34"/>
    <w:rsid w:val="00EE1036"/>
    <w:rsid w:val="00EE1097"/>
    <w:rsid w:val="00EE14F9"/>
    <w:rsid w:val="00EE1594"/>
    <w:rsid w:val="00EE2022"/>
    <w:rsid w:val="00EE2A86"/>
    <w:rsid w:val="00EE2D2A"/>
    <w:rsid w:val="00EE2FE0"/>
    <w:rsid w:val="00EE3225"/>
    <w:rsid w:val="00EE33DD"/>
    <w:rsid w:val="00EE4B5A"/>
    <w:rsid w:val="00EE5854"/>
    <w:rsid w:val="00EE5960"/>
    <w:rsid w:val="00EE67AC"/>
    <w:rsid w:val="00EE6F7F"/>
    <w:rsid w:val="00EE789E"/>
    <w:rsid w:val="00EE7977"/>
    <w:rsid w:val="00EE79D3"/>
    <w:rsid w:val="00EE79EF"/>
    <w:rsid w:val="00EE7A42"/>
    <w:rsid w:val="00EE7C3F"/>
    <w:rsid w:val="00EE7FA0"/>
    <w:rsid w:val="00EF0634"/>
    <w:rsid w:val="00EF069A"/>
    <w:rsid w:val="00EF0707"/>
    <w:rsid w:val="00EF070F"/>
    <w:rsid w:val="00EF112E"/>
    <w:rsid w:val="00EF1FA7"/>
    <w:rsid w:val="00EF2603"/>
    <w:rsid w:val="00EF2A31"/>
    <w:rsid w:val="00EF30C8"/>
    <w:rsid w:val="00EF3DE4"/>
    <w:rsid w:val="00EF440F"/>
    <w:rsid w:val="00EF464E"/>
    <w:rsid w:val="00EF6338"/>
    <w:rsid w:val="00EF634C"/>
    <w:rsid w:val="00EF6598"/>
    <w:rsid w:val="00EF6718"/>
    <w:rsid w:val="00EF6DE5"/>
    <w:rsid w:val="00EF6EF6"/>
    <w:rsid w:val="00EF74D6"/>
    <w:rsid w:val="00F004DB"/>
    <w:rsid w:val="00F00AEC"/>
    <w:rsid w:val="00F00D0A"/>
    <w:rsid w:val="00F01053"/>
    <w:rsid w:val="00F01596"/>
    <w:rsid w:val="00F01A54"/>
    <w:rsid w:val="00F02033"/>
    <w:rsid w:val="00F02228"/>
    <w:rsid w:val="00F023E7"/>
    <w:rsid w:val="00F0293B"/>
    <w:rsid w:val="00F032B1"/>
    <w:rsid w:val="00F03450"/>
    <w:rsid w:val="00F03E20"/>
    <w:rsid w:val="00F042AD"/>
    <w:rsid w:val="00F04630"/>
    <w:rsid w:val="00F047A3"/>
    <w:rsid w:val="00F047AC"/>
    <w:rsid w:val="00F04936"/>
    <w:rsid w:val="00F05006"/>
    <w:rsid w:val="00F054DE"/>
    <w:rsid w:val="00F05780"/>
    <w:rsid w:val="00F057FA"/>
    <w:rsid w:val="00F05C5A"/>
    <w:rsid w:val="00F06388"/>
    <w:rsid w:val="00F07018"/>
    <w:rsid w:val="00F103F9"/>
    <w:rsid w:val="00F1062E"/>
    <w:rsid w:val="00F106AC"/>
    <w:rsid w:val="00F10854"/>
    <w:rsid w:val="00F10AF4"/>
    <w:rsid w:val="00F11376"/>
    <w:rsid w:val="00F11981"/>
    <w:rsid w:val="00F11AD4"/>
    <w:rsid w:val="00F125A8"/>
    <w:rsid w:val="00F12EE4"/>
    <w:rsid w:val="00F13056"/>
    <w:rsid w:val="00F131DB"/>
    <w:rsid w:val="00F1344F"/>
    <w:rsid w:val="00F13FFF"/>
    <w:rsid w:val="00F140EF"/>
    <w:rsid w:val="00F148F9"/>
    <w:rsid w:val="00F150F0"/>
    <w:rsid w:val="00F15BCC"/>
    <w:rsid w:val="00F15D82"/>
    <w:rsid w:val="00F1616B"/>
    <w:rsid w:val="00F16EF2"/>
    <w:rsid w:val="00F1727F"/>
    <w:rsid w:val="00F1754E"/>
    <w:rsid w:val="00F206F5"/>
    <w:rsid w:val="00F20D8E"/>
    <w:rsid w:val="00F218D1"/>
    <w:rsid w:val="00F21A12"/>
    <w:rsid w:val="00F21B26"/>
    <w:rsid w:val="00F220A8"/>
    <w:rsid w:val="00F222BC"/>
    <w:rsid w:val="00F237C7"/>
    <w:rsid w:val="00F23829"/>
    <w:rsid w:val="00F23B80"/>
    <w:rsid w:val="00F23D64"/>
    <w:rsid w:val="00F23DAE"/>
    <w:rsid w:val="00F24C1A"/>
    <w:rsid w:val="00F255A4"/>
    <w:rsid w:val="00F255D3"/>
    <w:rsid w:val="00F2579C"/>
    <w:rsid w:val="00F25AFF"/>
    <w:rsid w:val="00F25CBE"/>
    <w:rsid w:val="00F267E0"/>
    <w:rsid w:val="00F273B8"/>
    <w:rsid w:val="00F30444"/>
    <w:rsid w:val="00F30669"/>
    <w:rsid w:val="00F30A64"/>
    <w:rsid w:val="00F30FF5"/>
    <w:rsid w:val="00F311F1"/>
    <w:rsid w:val="00F32307"/>
    <w:rsid w:val="00F32B5D"/>
    <w:rsid w:val="00F333FD"/>
    <w:rsid w:val="00F33FBE"/>
    <w:rsid w:val="00F35166"/>
    <w:rsid w:val="00F35840"/>
    <w:rsid w:val="00F3587D"/>
    <w:rsid w:val="00F35AF9"/>
    <w:rsid w:val="00F35F28"/>
    <w:rsid w:val="00F360DD"/>
    <w:rsid w:val="00F362AB"/>
    <w:rsid w:val="00F368F1"/>
    <w:rsid w:val="00F3779B"/>
    <w:rsid w:val="00F37E28"/>
    <w:rsid w:val="00F40A02"/>
    <w:rsid w:val="00F410DF"/>
    <w:rsid w:val="00F41F62"/>
    <w:rsid w:val="00F41FD7"/>
    <w:rsid w:val="00F42C6D"/>
    <w:rsid w:val="00F43A64"/>
    <w:rsid w:val="00F44935"/>
    <w:rsid w:val="00F451BF"/>
    <w:rsid w:val="00F45317"/>
    <w:rsid w:val="00F45D6B"/>
    <w:rsid w:val="00F45D7B"/>
    <w:rsid w:val="00F45EDF"/>
    <w:rsid w:val="00F45F02"/>
    <w:rsid w:val="00F469F0"/>
    <w:rsid w:val="00F46FA5"/>
    <w:rsid w:val="00F46FDF"/>
    <w:rsid w:val="00F475E5"/>
    <w:rsid w:val="00F47FF1"/>
    <w:rsid w:val="00F50E51"/>
    <w:rsid w:val="00F5157F"/>
    <w:rsid w:val="00F51EFE"/>
    <w:rsid w:val="00F51F45"/>
    <w:rsid w:val="00F524BB"/>
    <w:rsid w:val="00F5281F"/>
    <w:rsid w:val="00F52E7E"/>
    <w:rsid w:val="00F54573"/>
    <w:rsid w:val="00F55698"/>
    <w:rsid w:val="00F55C78"/>
    <w:rsid w:val="00F55CEE"/>
    <w:rsid w:val="00F57D5B"/>
    <w:rsid w:val="00F60DC1"/>
    <w:rsid w:val="00F611AF"/>
    <w:rsid w:val="00F615CF"/>
    <w:rsid w:val="00F616DA"/>
    <w:rsid w:val="00F61E9C"/>
    <w:rsid w:val="00F625D6"/>
    <w:rsid w:val="00F63418"/>
    <w:rsid w:val="00F63ACA"/>
    <w:rsid w:val="00F646C7"/>
    <w:rsid w:val="00F65079"/>
    <w:rsid w:val="00F651D5"/>
    <w:rsid w:val="00F6534A"/>
    <w:rsid w:val="00F65B5D"/>
    <w:rsid w:val="00F6602C"/>
    <w:rsid w:val="00F66196"/>
    <w:rsid w:val="00F66659"/>
    <w:rsid w:val="00F668AB"/>
    <w:rsid w:val="00F67ACC"/>
    <w:rsid w:val="00F67AD6"/>
    <w:rsid w:val="00F67F6E"/>
    <w:rsid w:val="00F71A4A"/>
    <w:rsid w:val="00F722C4"/>
    <w:rsid w:val="00F72B86"/>
    <w:rsid w:val="00F731FD"/>
    <w:rsid w:val="00F7369E"/>
    <w:rsid w:val="00F739CE"/>
    <w:rsid w:val="00F74B03"/>
    <w:rsid w:val="00F75290"/>
    <w:rsid w:val="00F759C8"/>
    <w:rsid w:val="00F75B89"/>
    <w:rsid w:val="00F75DF3"/>
    <w:rsid w:val="00F75EB9"/>
    <w:rsid w:val="00F763F3"/>
    <w:rsid w:val="00F76E3B"/>
    <w:rsid w:val="00F771A8"/>
    <w:rsid w:val="00F774B4"/>
    <w:rsid w:val="00F80811"/>
    <w:rsid w:val="00F82933"/>
    <w:rsid w:val="00F83039"/>
    <w:rsid w:val="00F83066"/>
    <w:rsid w:val="00F8324C"/>
    <w:rsid w:val="00F841EA"/>
    <w:rsid w:val="00F84501"/>
    <w:rsid w:val="00F846EC"/>
    <w:rsid w:val="00F8490F"/>
    <w:rsid w:val="00F84D2F"/>
    <w:rsid w:val="00F864FB"/>
    <w:rsid w:val="00F87ABF"/>
    <w:rsid w:val="00F904BD"/>
    <w:rsid w:val="00F91268"/>
    <w:rsid w:val="00F914A1"/>
    <w:rsid w:val="00F929C8"/>
    <w:rsid w:val="00F92A1C"/>
    <w:rsid w:val="00F93251"/>
    <w:rsid w:val="00F933D9"/>
    <w:rsid w:val="00F93BFC"/>
    <w:rsid w:val="00F93CA8"/>
    <w:rsid w:val="00F94938"/>
    <w:rsid w:val="00F94D4E"/>
    <w:rsid w:val="00F95173"/>
    <w:rsid w:val="00F95AC8"/>
    <w:rsid w:val="00F95F25"/>
    <w:rsid w:val="00F9642D"/>
    <w:rsid w:val="00F96EB7"/>
    <w:rsid w:val="00F96F49"/>
    <w:rsid w:val="00F97185"/>
    <w:rsid w:val="00F9722F"/>
    <w:rsid w:val="00F97756"/>
    <w:rsid w:val="00F97785"/>
    <w:rsid w:val="00FA0400"/>
    <w:rsid w:val="00FA16C0"/>
    <w:rsid w:val="00FA238A"/>
    <w:rsid w:val="00FA257F"/>
    <w:rsid w:val="00FA4005"/>
    <w:rsid w:val="00FA4675"/>
    <w:rsid w:val="00FA4884"/>
    <w:rsid w:val="00FA489D"/>
    <w:rsid w:val="00FA4B38"/>
    <w:rsid w:val="00FA577B"/>
    <w:rsid w:val="00FA58D3"/>
    <w:rsid w:val="00FA5A99"/>
    <w:rsid w:val="00FA5F3D"/>
    <w:rsid w:val="00FA6624"/>
    <w:rsid w:val="00FA6AD5"/>
    <w:rsid w:val="00FB045F"/>
    <w:rsid w:val="00FB1C3F"/>
    <w:rsid w:val="00FB1ED3"/>
    <w:rsid w:val="00FB2582"/>
    <w:rsid w:val="00FB2848"/>
    <w:rsid w:val="00FB2D49"/>
    <w:rsid w:val="00FB35EA"/>
    <w:rsid w:val="00FB3765"/>
    <w:rsid w:val="00FB3BF6"/>
    <w:rsid w:val="00FB3CFB"/>
    <w:rsid w:val="00FB4A88"/>
    <w:rsid w:val="00FB4BF0"/>
    <w:rsid w:val="00FB6B52"/>
    <w:rsid w:val="00FB6B91"/>
    <w:rsid w:val="00FB6D20"/>
    <w:rsid w:val="00FB7085"/>
    <w:rsid w:val="00FB7E0D"/>
    <w:rsid w:val="00FB7E1D"/>
    <w:rsid w:val="00FC04B9"/>
    <w:rsid w:val="00FC060A"/>
    <w:rsid w:val="00FC0941"/>
    <w:rsid w:val="00FC0B5A"/>
    <w:rsid w:val="00FC1327"/>
    <w:rsid w:val="00FC1925"/>
    <w:rsid w:val="00FC1D39"/>
    <w:rsid w:val="00FC1E32"/>
    <w:rsid w:val="00FC1E5C"/>
    <w:rsid w:val="00FC1EA5"/>
    <w:rsid w:val="00FC26A9"/>
    <w:rsid w:val="00FC4AA5"/>
    <w:rsid w:val="00FC4C6D"/>
    <w:rsid w:val="00FC4CEA"/>
    <w:rsid w:val="00FC5A1F"/>
    <w:rsid w:val="00FC5B66"/>
    <w:rsid w:val="00FC5CB9"/>
    <w:rsid w:val="00FC7417"/>
    <w:rsid w:val="00FC7C48"/>
    <w:rsid w:val="00FD095A"/>
    <w:rsid w:val="00FD0C99"/>
    <w:rsid w:val="00FD14F4"/>
    <w:rsid w:val="00FD1752"/>
    <w:rsid w:val="00FD1814"/>
    <w:rsid w:val="00FD1A27"/>
    <w:rsid w:val="00FD1AE8"/>
    <w:rsid w:val="00FD2974"/>
    <w:rsid w:val="00FD2C46"/>
    <w:rsid w:val="00FD2C81"/>
    <w:rsid w:val="00FD2E9E"/>
    <w:rsid w:val="00FD38D2"/>
    <w:rsid w:val="00FD3AE6"/>
    <w:rsid w:val="00FD3E51"/>
    <w:rsid w:val="00FD4737"/>
    <w:rsid w:val="00FD499C"/>
    <w:rsid w:val="00FD4D5C"/>
    <w:rsid w:val="00FD4D75"/>
    <w:rsid w:val="00FD4FFC"/>
    <w:rsid w:val="00FD5290"/>
    <w:rsid w:val="00FD65D3"/>
    <w:rsid w:val="00FD6931"/>
    <w:rsid w:val="00FD6AE4"/>
    <w:rsid w:val="00FE0784"/>
    <w:rsid w:val="00FE0AB6"/>
    <w:rsid w:val="00FE0F02"/>
    <w:rsid w:val="00FE1049"/>
    <w:rsid w:val="00FE18A3"/>
    <w:rsid w:val="00FE2FA1"/>
    <w:rsid w:val="00FE2FF8"/>
    <w:rsid w:val="00FE3144"/>
    <w:rsid w:val="00FE3E0C"/>
    <w:rsid w:val="00FE5198"/>
    <w:rsid w:val="00FE5708"/>
    <w:rsid w:val="00FE5A84"/>
    <w:rsid w:val="00FE5A9F"/>
    <w:rsid w:val="00FE5E37"/>
    <w:rsid w:val="00FE6D9C"/>
    <w:rsid w:val="00FE7606"/>
    <w:rsid w:val="00FF1183"/>
    <w:rsid w:val="00FF22A1"/>
    <w:rsid w:val="00FF23AF"/>
    <w:rsid w:val="00FF3F64"/>
    <w:rsid w:val="00FF46FA"/>
    <w:rsid w:val="00FF4A64"/>
    <w:rsid w:val="00FF4B17"/>
    <w:rsid w:val="00FF4B57"/>
    <w:rsid w:val="00FF4F49"/>
    <w:rsid w:val="00FF698D"/>
    <w:rsid w:val="00FF7503"/>
    <w:rsid w:val="00FF77C9"/>
    <w:rsid w:val="00FF79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4097"/>
    <o:shapelayout v:ext="edit">
      <o:idmap v:ext="edit" data="1"/>
    </o:shapelayout>
  </w:shapeDefaults>
  <w:decimalSymbol w:val="."/>
  <w:listSeparator w:val=","/>
  <w14:docId w14:val="72F7F600"/>
  <w15:docId w15:val="{AF7FC816-AF02-49F8-9E26-13A9B53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A27"/>
    <w:rPr>
      <w:sz w:val="24"/>
      <w:szCs w:val="24"/>
      <w:lang w:eastAsia="en-US"/>
    </w:rPr>
  </w:style>
  <w:style w:type="paragraph" w:styleId="Heading1">
    <w:name w:val="heading 1"/>
    <w:basedOn w:val="Normal"/>
    <w:next w:val="Normal"/>
    <w:link w:val="Heading1Char"/>
    <w:qFormat/>
    <w:rsid w:val="006321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65E8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D16A6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50ECF"/>
    <w:pPr>
      <w:keepNext/>
      <w:spacing w:before="240" w:after="60"/>
      <w:outlineLvl w:val="3"/>
    </w:pPr>
    <w:rPr>
      <w:b/>
      <w:bCs/>
      <w:sz w:val="28"/>
      <w:szCs w:val="28"/>
    </w:rPr>
  </w:style>
  <w:style w:type="paragraph" w:styleId="Heading5">
    <w:name w:val="heading 5"/>
    <w:basedOn w:val="Normal"/>
    <w:link w:val="Heading5Char"/>
    <w:qFormat/>
    <w:rsid w:val="00D24473"/>
    <w:pPr>
      <w:outlineLvl w:val="4"/>
    </w:pPr>
    <w:rPr>
      <w:sz w:val="27"/>
      <w:szCs w:val="27"/>
      <w:lang w:val="en-US" w:bidi="th-TH"/>
    </w:rPr>
  </w:style>
  <w:style w:type="paragraph" w:styleId="Heading6">
    <w:name w:val="heading 6"/>
    <w:basedOn w:val="Normal"/>
    <w:next w:val="Normal"/>
    <w:link w:val="Heading6Char"/>
    <w:qFormat/>
    <w:rsid w:val="00550EC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ne">
    <w:name w:val="Title One"/>
    <w:basedOn w:val="Normal"/>
    <w:rsid w:val="00A67449"/>
    <w:pPr>
      <w:spacing w:before="120" w:after="240"/>
    </w:pPr>
    <w:rPr>
      <w:rFonts w:ascii="Arial" w:hAnsi="Arial" w:cs="Arial"/>
      <w:b/>
      <w:sz w:val="28"/>
      <w:szCs w:val="28"/>
    </w:rPr>
  </w:style>
  <w:style w:type="paragraph" w:customStyle="1" w:styleId="SubOne">
    <w:name w:val="Sub One"/>
    <w:basedOn w:val="Normal"/>
    <w:rsid w:val="00A67449"/>
    <w:pPr>
      <w:spacing w:before="120" w:after="120"/>
    </w:pPr>
    <w:rPr>
      <w:rFonts w:ascii="Arial" w:hAnsi="Arial" w:cs="Arial"/>
      <w:b/>
      <w:szCs w:val="22"/>
    </w:rPr>
  </w:style>
  <w:style w:type="table" w:styleId="TableGrid">
    <w:name w:val="Table Grid"/>
    <w:basedOn w:val="TableNormal"/>
    <w:uiPriority w:val="39"/>
    <w:rsid w:val="005D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872F30"/>
    <w:pPr>
      <w:spacing w:after="160" w:line="240" w:lineRule="exact"/>
    </w:pPr>
    <w:rPr>
      <w:rFonts w:ascii="Arial" w:hAnsi="Arial"/>
      <w:sz w:val="20"/>
      <w:szCs w:val="20"/>
    </w:rPr>
  </w:style>
  <w:style w:type="paragraph" w:customStyle="1" w:styleId="CharCharCharCharCharCharCharChar">
    <w:name w:val="Char Char Char Char Char Char Char Char"/>
    <w:basedOn w:val="Normal"/>
    <w:rsid w:val="002003D8"/>
    <w:pPr>
      <w:spacing w:after="160" w:line="240" w:lineRule="exact"/>
    </w:pPr>
    <w:rPr>
      <w:sz w:val="20"/>
      <w:szCs w:val="20"/>
      <w:lang w:val="en-US"/>
    </w:rPr>
  </w:style>
  <w:style w:type="paragraph" w:styleId="BalloonText">
    <w:name w:val="Balloon Text"/>
    <w:basedOn w:val="Normal"/>
    <w:link w:val="BalloonTextChar"/>
    <w:semiHidden/>
    <w:rsid w:val="00CF5D67"/>
    <w:rPr>
      <w:rFonts w:ascii="Tahoma" w:hAnsi="Tahoma" w:cs="Tahoma"/>
      <w:sz w:val="16"/>
      <w:szCs w:val="16"/>
    </w:rPr>
  </w:style>
  <w:style w:type="paragraph" w:styleId="FootnoteText">
    <w:name w:val="footnote text"/>
    <w:aliases w:val="Footnote Text Char1,Footnote Text Char Char, Char Char Char,Char Char Char"/>
    <w:basedOn w:val="Normal"/>
    <w:link w:val="FootnoteTextChar"/>
    <w:rsid w:val="00B4031E"/>
    <w:rPr>
      <w:sz w:val="20"/>
      <w:szCs w:val="20"/>
    </w:rPr>
  </w:style>
  <w:style w:type="character" w:styleId="FootnoteReference">
    <w:name w:val="footnote reference"/>
    <w:rsid w:val="00B4031E"/>
    <w:rPr>
      <w:vertAlign w:val="superscript"/>
    </w:rPr>
  </w:style>
  <w:style w:type="character" w:customStyle="1" w:styleId="spc">
    <w:name w:val="spc"/>
    <w:rsid w:val="00D24473"/>
    <w:rPr>
      <w:strike w:val="0"/>
      <w:dstrike w:val="0"/>
      <w:u w:val="none"/>
      <w:effect w:val="none"/>
    </w:rPr>
  </w:style>
  <w:style w:type="character" w:customStyle="1" w:styleId="label">
    <w:name w:val="label"/>
    <w:basedOn w:val="DefaultParagraphFont"/>
    <w:rsid w:val="00D24473"/>
  </w:style>
  <w:style w:type="paragraph" w:customStyle="1" w:styleId="label8">
    <w:name w:val="label8"/>
    <w:basedOn w:val="Normal"/>
    <w:rsid w:val="00D24473"/>
    <w:rPr>
      <w:lang w:val="en-US" w:bidi="th-TH"/>
    </w:rPr>
  </w:style>
  <w:style w:type="character" w:customStyle="1" w:styleId="Hyperlink1">
    <w:name w:val="Hyperlink1"/>
    <w:rsid w:val="00D24473"/>
    <w:rPr>
      <w:strike w:val="0"/>
      <w:dstrike w:val="0"/>
      <w:color w:val="0066CC"/>
      <w:u w:val="single"/>
      <w:effect w:val="none"/>
      <w:shd w:val="clear" w:color="auto" w:fill="FFFFFF"/>
    </w:rPr>
  </w:style>
  <w:style w:type="character" w:styleId="CommentReference">
    <w:name w:val="annotation reference"/>
    <w:uiPriority w:val="99"/>
    <w:semiHidden/>
    <w:rsid w:val="006D6384"/>
    <w:rPr>
      <w:sz w:val="16"/>
      <w:szCs w:val="16"/>
    </w:rPr>
  </w:style>
  <w:style w:type="paragraph" w:styleId="CommentText">
    <w:name w:val="annotation text"/>
    <w:basedOn w:val="Normal"/>
    <w:link w:val="CommentTextChar"/>
    <w:uiPriority w:val="99"/>
    <w:semiHidden/>
    <w:rsid w:val="006D6384"/>
    <w:rPr>
      <w:sz w:val="20"/>
      <w:szCs w:val="20"/>
    </w:rPr>
  </w:style>
  <w:style w:type="paragraph" w:styleId="CommentSubject">
    <w:name w:val="annotation subject"/>
    <w:basedOn w:val="CommentText"/>
    <w:next w:val="CommentText"/>
    <w:link w:val="CommentSubjectChar"/>
    <w:semiHidden/>
    <w:rsid w:val="006D6384"/>
    <w:rPr>
      <w:b/>
      <w:bCs/>
    </w:rPr>
  </w:style>
  <w:style w:type="paragraph" w:customStyle="1" w:styleId="Default">
    <w:name w:val="Default"/>
    <w:rsid w:val="00C3769D"/>
    <w:pPr>
      <w:autoSpaceDE w:val="0"/>
      <w:autoSpaceDN w:val="0"/>
      <w:adjustRightInd w:val="0"/>
    </w:pPr>
    <w:rPr>
      <w:rFonts w:ascii="Meta Normal LF" w:hAnsi="Meta Normal LF" w:cs="Meta Normal LF"/>
      <w:color w:val="000000"/>
      <w:sz w:val="24"/>
      <w:szCs w:val="24"/>
      <w:lang w:val="en-US" w:eastAsia="en-US"/>
    </w:rPr>
  </w:style>
  <w:style w:type="character" w:styleId="Hyperlink">
    <w:name w:val="Hyperlink"/>
    <w:uiPriority w:val="99"/>
    <w:rsid w:val="00E1018F"/>
    <w:rPr>
      <w:color w:val="0000FF"/>
      <w:u w:val="single"/>
    </w:rPr>
  </w:style>
  <w:style w:type="paragraph" w:customStyle="1" w:styleId="Bullet">
    <w:name w:val="Bullet"/>
    <w:basedOn w:val="Normal"/>
    <w:rsid w:val="009372BB"/>
    <w:pPr>
      <w:numPr>
        <w:numId w:val="1"/>
      </w:numPr>
      <w:spacing w:before="120"/>
    </w:pPr>
    <w:rPr>
      <w:rFonts w:ascii="Calibri" w:hAnsi="Calibri"/>
      <w:sz w:val="22"/>
      <w:szCs w:val="20"/>
      <w:lang w:eastAsia="en-GB"/>
    </w:rPr>
  </w:style>
  <w:style w:type="paragraph" w:styleId="ListNumber">
    <w:name w:val="List Number"/>
    <w:basedOn w:val="Normal"/>
    <w:rsid w:val="00EE2022"/>
    <w:pPr>
      <w:numPr>
        <w:numId w:val="2"/>
      </w:numPr>
      <w:overflowPunct w:val="0"/>
      <w:autoSpaceDE w:val="0"/>
      <w:autoSpaceDN w:val="0"/>
      <w:adjustRightInd w:val="0"/>
      <w:spacing w:after="240"/>
      <w:textAlignment w:val="baseline"/>
    </w:pPr>
    <w:rPr>
      <w:rFonts w:ascii="Arial Mäori" w:hAnsi="Arial Mäori"/>
      <w:szCs w:val="20"/>
      <w:lang w:val="en-GB"/>
    </w:rPr>
  </w:style>
  <w:style w:type="paragraph" w:styleId="ListNumber2">
    <w:name w:val="List Number 2"/>
    <w:basedOn w:val="ListNumber"/>
    <w:rsid w:val="00EE2022"/>
    <w:pPr>
      <w:numPr>
        <w:ilvl w:val="1"/>
      </w:numPr>
    </w:pPr>
  </w:style>
  <w:style w:type="paragraph" w:styleId="ListNumber3">
    <w:name w:val="List Number 3"/>
    <w:basedOn w:val="Normal"/>
    <w:rsid w:val="00EE2022"/>
    <w:pPr>
      <w:numPr>
        <w:ilvl w:val="2"/>
        <w:numId w:val="2"/>
      </w:numPr>
      <w:overflowPunct w:val="0"/>
      <w:autoSpaceDE w:val="0"/>
      <w:autoSpaceDN w:val="0"/>
      <w:adjustRightInd w:val="0"/>
      <w:textAlignment w:val="baseline"/>
    </w:pPr>
    <w:rPr>
      <w:rFonts w:ascii="Arial Mäori" w:hAnsi="Arial Mäori"/>
      <w:szCs w:val="20"/>
      <w:lang w:val="en-GB"/>
    </w:rPr>
  </w:style>
  <w:style w:type="paragraph" w:styleId="ListNumber4">
    <w:name w:val="List Number 4"/>
    <w:basedOn w:val="Normal"/>
    <w:rsid w:val="00EE2022"/>
    <w:pPr>
      <w:numPr>
        <w:ilvl w:val="3"/>
        <w:numId w:val="2"/>
      </w:numPr>
      <w:overflowPunct w:val="0"/>
      <w:autoSpaceDE w:val="0"/>
      <w:autoSpaceDN w:val="0"/>
      <w:adjustRightInd w:val="0"/>
      <w:textAlignment w:val="baseline"/>
    </w:pPr>
    <w:rPr>
      <w:rFonts w:ascii="Arial Mäori" w:hAnsi="Arial Mäori"/>
      <w:szCs w:val="20"/>
      <w:lang w:val="en-GB"/>
    </w:rPr>
  </w:style>
  <w:style w:type="paragraph" w:customStyle="1" w:styleId="CharChar2CharCharCharCharCharCharChar">
    <w:name w:val="Char Char2 Char Char Char Char Char Char Char"/>
    <w:basedOn w:val="Normal"/>
    <w:rsid w:val="00AE007B"/>
    <w:pPr>
      <w:spacing w:after="160" w:line="240" w:lineRule="exact"/>
    </w:pPr>
    <w:rPr>
      <w:rFonts w:ascii="Arial" w:hAnsi="Arial"/>
      <w:sz w:val="20"/>
      <w:szCs w:val="20"/>
    </w:rPr>
  </w:style>
  <w:style w:type="paragraph" w:customStyle="1" w:styleId="CharChar1CharCharCharChar">
    <w:name w:val="Char Char1 Char Char Char Char"/>
    <w:basedOn w:val="Normal"/>
    <w:rsid w:val="00EE2A86"/>
    <w:pPr>
      <w:spacing w:after="160" w:line="240" w:lineRule="exact"/>
    </w:pPr>
    <w:rPr>
      <w:rFonts w:ascii="Arial" w:hAnsi="Arial"/>
      <w:sz w:val="20"/>
      <w:szCs w:val="20"/>
    </w:rPr>
  </w:style>
  <w:style w:type="paragraph" w:styleId="NormalWeb">
    <w:name w:val="Normal (Web)"/>
    <w:basedOn w:val="Normal"/>
    <w:uiPriority w:val="99"/>
    <w:rsid w:val="000448C8"/>
    <w:pPr>
      <w:spacing w:before="100" w:beforeAutospacing="1" w:after="100" w:afterAutospacing="1"/>
    </w:pPr>
    <w:rPr>
      <w:lang w:val="en-US"/>
    </w:rPr>
  </w:style>
  <w:style w:type="paragraph" w:customStyle="1" w:styleId="Number">
    <w:name w:val="Number"/>
    <w:basedOn w:val="Normal"/>
    <w:link w:val="NumberChar"/>
    <w:rsid w:val="00AE48DD"/>
    <w:pPr>
      <w:spacing w:before="240"/>
    </w:pPr>
    <w:rPr>
      <w:rFonts w:ascii="Arial" w:hAnsi="Arial"/>
      <w:lang w:eastAsia="en-GB"/>
    </w:rPr>
  </w:style>
  <w:style w:type="character" w:customStyle="1" w:styleId="NumberChar">
    <w:name w:val="Number Char"/>
    <w:link w:val="Number"/>
    <w:rsid w:val="00AE48DD"/>
    <w:rPr>
      <w:rFonts w:ascii="Arial" w:hAnsi="Arial"/>
      <w:sz w:val="24"/>
      <w:szCs w:val="24"/>
      <w:lang w:val="en-NZ" w:eastAsia="en-GB" w:bidi="ar-SA"/>
    </w:rPr>
  </w:style>
  <w:style w:type="paragraph" w:customStyle="1" w:styleId="CharChar2Char">
    <w:name w:val="Char Char2 Char"/>
    <w:basedOn w:val="Normal"/>
    <w:rsid w:val="000C4E46"/>
    <w:pPr>
      <w:spacing w:after="160" w:line="240" w:lineRule="exact"/>
    </w:pPr>
    <w:rPr>
      <w:rFonts w:ascii="Arial" w:hAnsi="Arial"/>
      <w:sz w:val="20"/>
      <w:szCs w:val="20"/>
    </w:rPr>
  </w:style>
  <w:style w:type="character" w:customStyle="1" w:styleId="FootnoteTextChar">
    <w:name w:val="Footnote Text Char"/>
    <w:aliases w:val="Footnote Text Char1 Char,Footnote Text Char Char Char, Char Char Char Char,Char Char Char Char"/>
    <w:link w:val="FootnoteText"/>
    <w:rsid w:val="000C4E46"/>
    <w:rPr>
      <w:lang w:val="en-NZ" w:eastAsia="en-US" w:bidi="ar-SA"/>
    </w:rPr>
  </w:style>
  <w:style w:type="paragraph" w:styleId="BodyText">
    <w:name w:val="Body Text"/>
    <w:aliases w:val="bt"/>
    <w:basedOn w:val="Normal"/>
    <w:link w:val="BodyTextChar"/>
    <w:rsid w:val="008D6B2E"/>
    <w:pPr>
      <w:jc w:val="both"/>
    </w:pPr>
    <w:rPr>
      <w:rFonts w:ascii="Arial Mäori" w:hAnsi="Arial Mäori"/>
      <w:sz w:val="20"/>
    </w:rPr>
  </w:style>
  <w:style w:type="paragraph" w:styleId="BodyTextIndent">
    <w:name w:val="Body Text Indent"/>
    <w:basedOn w:val="Normal"/>
    <w:link w:val="BodyTextIndentChar"/>
    <w:rsid w:val="006321F0"/>
    <w:pPr>
      <w:spacing w:after="120"/>
      <w:ind w:left="283"/>
    </w:pPr>
  </w:style>
  <w:style w:type="paragraph" w:customStyle="1" w:styleId="CharChar4Char">
    <w:name w:val="Char Char4 Char"/>
    <w:basedOn w:val="Normal"/>
    <w:rsid w:val="006321F0"/>
    <w:pPr>
      <w:spacing w:after="160" w:line="240" w:lineRule="exact"/>
    </w:pPr>
    <w:rPr>
      <w:rFonts w:ascii="Arial" w:hAnsi="Arial"/>
      <w:sz w:val="20"/>
      <w:szCs w:val="20"/>
    </w:rPr>
  </w:style>
  <w:style w:type="character" w:styleId="Emphasis">
    <w:name w:val="Emphasis"/>
    <w:qFormat/>
    <w:rsid w:val="006321F0"/>
    <w:rPr>
      <w:b/>
      <w:bCs/>
      <w:i w:val="0"/>
      <w:iCs w:val="0"/>
    </w:rPr>
  </w:style>
  <w:style w:type="paragraph" w:styleId="Footer">
    <w:name w:val="footer"/>
    <w:basedOn w:val="Normal"/>
    <w:link w:val="FooterChar"/>
    <w:uiPriority w:val="99"/>
    <w:rsid w:val="006321F0"/>
    <w:pPr>
      <w:tabs>
        <w:tab w:val="center" w:pos="4153"/>
        <w:tab w:val="right" w:pos="8306"/>
      </w:tabs>
    </w:pPr>
  </w:style>
  <w:style w:type="character" w:styleId="PageNumber">
    <w:name w:val="page number"/>
    <w:basedOn w:val="DefaultParagraphFont"/>
    <w:rsid w:val="006321F0"/>
  </w:style>
  <w:style w:type="paragraph" w:customStyle="1" w:styleId="CharChar4CharCharCharChar">
    <w:name w:val="Char Char4 Char Char Char Char"/>
    <w:basedOn w:val="Normal"/>
    <w:rsid w:val="00F469F0"/>
    <w:pPr>
      <w:spacing w:after="160" w:line="240" w:lineRule="exact"/>
    </w:pPr>
    <w:rPr>
      <w:rFonts w:ascii="Arial" w:hAnsi="Arial"/>
      <w:sz w:val="20"/>
      <w:szCs w:val="20"/>
    </w:rPr>
  </w:style>
  <w:style w:type="character" w:customStyle="1" w:styleId="CharChar1">
    <w:name w:val="Char Char1"/>
    <w:rsid w:val="00F469F0"/>
    <w:rPr>
      <w:lang w:val="en-NZ" w:eastAsia="en-US" w:bidi="ar-SA"/>
    </w:rPr>
  </w:style>
  <w:style w:type="paragraph" w:styleId="Header">
    <w:name w:val="header"/>
    <w:basedOn w:val="Normal"/>
    <w:link w:val="HeaderChar"/>
    <w:uiPriority w:val="99"/>
    <w:rsid w:val="00AA1AAB"/>
    <w:pPr>
      <w:tabs>
        <w:tab w:val="center" w:pos="4153"/>
        <w:tab w:val="right" w:pos="8306"/>
      </w:tabs>
    </w:pPr>
  </w:style>
  <w:style w:type="paragraph" w:styleId="TOC1">
    <w:name w:val="toc 1"/>
    <w:basedOn w:val="Normal"/>
    <w:next w:val="Normal"/>
    <w:autoRedefine/>
    <w:uiPriority w:val="39"/>
    <w:rsid w:val="00191FDA"/>
    <w:rPr>
      <w:rFonts w:ascii="Arial" w:hAnsi="Arial" w:cs="Arial"/>
      <w:b/>
      <w:bCs/>
      <w:i/>
      <w:iCs/>
      <w:noProof/>
      <w:kern w:val="32"/>
      <w:sz w:val="22"/>
      <w:szCs w:val="22"/>
    </w:rPr>
  </w:style>
  <w:style w:type="paragraph" w:customStyle="1" w:styleId="CharChar2">
    <w:name w:val="Char Char2"/>
    <w:basedOn w:val="Normal"/>
    <w:rsid w:val="00C63061"/>
    <w:pPr>
      <w:spacing w:after="160" w:line="240" w:lineRule="exact"/>
    </w:pPr>
    <w:rPr>
      <w:rFonts w:ascii="Arial" w:hAnsi="Arial"/>
      <w:sz w:val="20"/>
      <w:szCs w:val="20"/>
    </w:rPr>
  </w:style>
  <w:style w:type="paragraph" w:customStyle="1" w:styleId="MainOne">
    <w:name w:val="Main One"/>
    <w:basedOn w:val="Normal"/>
    <w:rsid w:val="000143E7"/>
    <w:pPr>
      <w:numPr>
        <w:numId w:val="3"/>
      </w:numPr>
      <w:spacing w:before="120" w:after="120"/>
    </w:pPr>
    <w:rPr>
      <w:rFonts w:ascii="Calibri" w:hAnsi="Calibri"/>
      <w:sz w:val="32"/>
      <w:szCs w:val="32"/>
      <w:u w:val="single"/>
    </w:rPr>
  </w:style>
  <w:style w:type="paragraph" w:customStyle="1" w:styleId="SubMeasure">
    <w:name w:val="Sub Measure"/>
    <w:basedOn w:val="Normal"/>
    <w:rsid w:val="000143E7"/>
    <w:pPr>
      <w:numPr>
        <w:ilvl w:val="1"/>
        <w:numId w:val="3"/>
      </w:numPr>
      <w:spacing w:before="60" w:after="60"/>
    </w:pPr>
    <w:rPr>
      <w:rFonts w:ascii="Calibri" w:hAnsi="Calibri" w:cs="Arial"/>
      <w:b/>
    </w:rPr>
  </w:style>
  <w:style w:type="paragraph" w:customStyle="1" w:styleId="TableText">
    <w:name w:val="TableText"/>
    <w:basedOn w:val="Normal"/>
    <w:link w:val="TableTextChar"/>
    <w:uiPriority w:val="99"/>
    <w:qFormat/>
    <w:rsid w:val="000143E7"/>
    <w:pPr>
      <w:spacing w:before="80" w:after="80"/>
    </w:pPr>
    <w:rPr>
      <w:rFonts w:ascii="Arial" w:hAnsi="Arial"/>
      <w:lang w:eastAsia="en-GB"/>
    </w:rPr>
  </w:style>
  <w:style w:type="character" w:customStyle="1" w:styleId="TableTextChar">
    <w:name w:val="TableText Char"/>
    <w:link w:val="TableText"/>
    <w:uiPriority w:val="99"/>
    <w:rsid w:val="000143E7"/>
    <w:rPr>
      <w:rFonts w:ascii="Arial" w:hAnsi="Arial"/>
      <w:sz w:val="24"/>
      <w:szCs w:val="24"/>
      <w:lang w:val="en-NZ" w:eastAsia="en-GB" w:bidi="ar-SA"/>
    </w:rPr>
  </w:style>
  <w:style w:type="character" w:customStyle="1" w:styleId="Heading1Char">
    <w:name w:val="Heading 1 Char"/>
    <w:link w:val="Heading1"/>
    <w:rsid w:val="002673D4"/>
    <w:rPr>
      <w:rFonts w:ascii="Arial" w:hAnsi="Arial" w:cs="Arial"/>
      <w:b/>
      <w:bCs/>
      <w:kern w:val="32"/>
      <w:sz w:val="32"/>
      <w:szCs w:val="32"/>
      <w:lang w:eastAsia="en-US"/>
    </w:rPr>
  </w:style>
  <w:style w:type="table" w:customStyle="1" w:styleId="TableGrid1">
    <w:name w:val="Table Grid1"/>
    <w:basedOn w:val="TableNormal"/>
    <w:next w:val="TableGrid"/>
    <w:uiPriority w:val="59"/>
    <w:rsid w:val="00BC0D8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E0D34"/>
    <w:rPr>
      <w:sz w:val="20"/>
      <w:szCs w:val="20"/>
    </w:rPr>
  </w:style>
  <w:style w:type="character" w:customStyle="1" w:styleId="EndnoteTextChar">
    <w:name w:val="Endnote Text Char"/>
    <w:link w:val="EndnoteText"/>
    <w:rsid w:val="00EE0D34"/>
    <w:rPr>
      <w:lang w:eastAsia="en-US"/>
    </w:rPr>
  </w:style>
  <w:style w:type="character" w:styleId="EndnoteReference">
    <w:name w:val="endnote reference"/>
    <w:rsid w:val="00EE0D34"/>
    <w:rPr>
      <w:vertAlign w:val="superscript"/>
    </w:rPr>
  </w:style>
  <w:style w:type="paragraph" w:styleId="BlockText">
    <w:name w:val="Block Text"/>
    <w:aliases w:val="Char, Char"/>
    <w:basedOn w:val="Normal"/>
    <w:rsid w:val="00523094"/>
    <w:pPr>
      <w:tabs>
        <w:tab w:val="left" w:pos="8280"/>
      </w:tabs>
      <w:overflowPunct w:val="0"/>
      <w:autoSpaceDE w:val="0"/>
      <w:autoSpaceDN w:val="0"/>
      <w:adjustRightInd w:val="0"/>
      <w:spacing w:line="240" w:lineRule="atLeast"/>
      <w:ind w:left="621" w:right="26" w:hanging="621"/>
      <w:jc w:val="both"/>
    </w:pPr>
    <w:rPr>
      <w:rFonts w:ascii="Arial" w:hAnsi="Arial" w:cs="Arial"/>
      <w:color w:val="000000"/>
      <w:sz w:val="22"/>
    </w:rPr>
  </w:style>
  <w:style w:type="paragraph" w:styleId="TOCHeading">
    <w:name w:val="TOC Heading"/>
    <w:basedOn w:val="Heading1"/>
    <w:next w:val="Normal"/>
    <w:uiPriority w:val="39"/>
    <w:unhideWhenUsed/>
    <w:qFormat/>
    <w:rsid w:val="00AA7A4E"/>
    <w:pPr>
      <w:keepLines/>
      <w:spacing w:before="480" w:after="0" w:line="276" w:lineRule="auto"/>
      <w:outlineLvl w:val="9"/>
    </w:pPr>
    <w:rPr>
      <w:rFonts w:ascii="Cambria" w:eastAsia="MS Gothic" w:hAnsi="Cambria" w:cs="Times New Roman"/>
      <w:color w:val="365F91"/>
      <w:kern w:val="0"/>
      <w:sz w:val="28"/>
      <w:szCs w:val="28"/>
      <w:lang w:val="en-US" w:eastAsia="ja-JP"/>
    </w:rPr>
  </w:style>
  <w:style w:type="table" w:customStyle="1" w:styleId="TableGrid2">
    <w:name w:val="Table Grid2"/>
    <w:basedOn w:val="TableNormal"/>
    <w:next w:val="TableGrid"/>
    <w:uiPriority w:val="59"/>
    <w:rsid w:val="00210420"/>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274C0"/>
    <w:pPr>
      <w:tabs>
        <w:tab w:val="right" w:leader="dot" w:pos="10194"/>
      </w:tabs>
    </w:pPr>
    <w:rPr>
      <w:rFonts w:ascii="Arial" w:hAnsi="Arial" w:cs="Arial"/>
      <w:i/>
      <w:noProof/>
      <w:sz w:val="20"/>
      <w:szCs w:val="20"/>
    </w:rPr>
  </w:style>
  <w:style w:type="character" w:customStyle="1" w:styleId="Heading2Char">
    <w:name w:val="Heading 2 Char"/>
    <w:link w:val="Heading2"/>
    <w:rsid w:val="00E316E6"/>
    <w:rPr>
      <w:rFonts w:ascii="Arial" w:hAnsi="Arial" w:cs="Arial"/>
      <w:b/>
      <w:bCs/>
      <w:i/>
      <w:iCs/>
      <w:sz w:val="28"/>
      <w:szCs w:val="28"/>
      <w:lang w:eastAsia="en-US"/>
    </w:rPr>
  </w:style>
  <w:style w:type="character" w:customStyle="1" w:styleId="FooterChar">
    <w:name w:val="Footer Char"/>
    <w:link w:val="Footer"/>
    <w:uiPriority w:val="99"/>
    <w:rsid w:val="00FC04B9"/>
    <w:rPr>
      <w:sz w:val="24"/>
      <w:szCs w:val="24"/>
      <w:lang w:eastAsia="en-US"/>
    </w:rPr>
  </w:style>
  <w:style w:type="numbering" w:customStyle="1" w:styleId="NoList1">
    <w:name w:val="No List1"/>
    <w:next w:val="NoList"/>
    <w:uiPriority w:val="99"/>
    <w:semiHidden/>
    <w:unhideWhenUsed/>
    <w:rsid w:val="002F6FBA"/>
  </w:style>
  <w:style w:type="character" w:customStyle="1" w:styleId="BalloonTextChar">
    <w:name w:val="Balloon Text Char"/>
    <w:link w:val="BalloonText"/>
    <w:semiHidden/>
    <w:rsid w:val="002F6FBA"/>
    <w:rPr>
      <w:rFonts w:ascii="Tahoma" w:hAnsi="Tahoma" w:cs="Tahoma"/>
      <w:sz w:val="16"/>
      <w:szCs w:val="16"/>
      <w:lang w:eastAsia="en-US"/>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2F6FBA"/>
    <w:pPr>
      <w:ind w:left="720"/>
      <w:contextualSpacing/>
    </w:pPr>
  </w:style>
  <w:style w:type="character" w:customStyle="1" w:styleId="CommentTextChar">
    <w:name w:val="Comment Text Char"/>
    <w:link w:val="CommentText"/>
    <w:uiPriority w:val="99"/>
    <w:semiHidden/>
    <w:rsid w:val="002F6FBA"/>
    <w:rPr>
      <w:lang w:eastAsia="en-US"/>
    </w:rPr>
  </w:style>
  <w:style w:type="character" w:customStyle="1" w:styleId="CommentSubjectChar">
    <w:name w:val="Comment Subject Char"/>
    <w:link w:val="CommentSubject"/>
    <w:semiHidden/>
    <w:rsid w:val="002F6FBA"/>
    <w:rPr>
      <w:b/>
      <w:bCs/>
      <w:lang w:eastAsia="en-US"/>
    </w:rPr>
  </w:style>
  <w:style w:type="character" w:customStyle="1" w:styleId="BodyTextChar">
    <w:name w:val="Body Text Char"/>
    <w:aliases w:val="bt Char1"/>
    <w:link w:val="BodyText"/>
    <w:locked/>
    <w:rsid w:val="00C21BC2"/>
    <w:rPr>
      <w:rFonts w:ascii="Arial Mäori" w:hAnsi="Arial Mäori"/>
      <w:szCs w:val="24"/>
      <w:lang w:eastAsia="en-US"/>
    </w:rPr>
  </w:style>
  <w:style w:type="character" w:customStyle="1" w:styleId="Heading4Char">
    <w:name w:val="Heading 4 Char"/>
    <w:link w:val="Heading4"/>
    <w:rsid w:val="003060FE"/>
    <w:rPr>
      <w:b/>
      <w:bCs/>
      <w:sz w:val="28"/>
      <w:szCs w:val="28"/>
      <w:lang w:eastAsia="en-US"/>
    </w:rPr>
  </w:style>
  <w:style w:type="character" w:customStyle="1" w:styleId="Heading5Char">
    <w:name w:val="Heading 5 Char"/>
    <w:link w:val="Heading5"/>
    <w:rsid w:val="003060FE"/>
    <w:rPr>
      <w:sz w:val="27"/>
      <w:szCs w:val="27"/>
      <w:lang w:val="en-US" w:eastAsia="en-US" w:bidi="th-TH"/>
    </w:rPr>
  </w:style>
  <w:style w:type="character" w:customStyle="1" w:styleId="Heading6Char">
    <w:name w:val="Heading 6 Char"/>
    <w:link w:val="Heading6"/>
    <w:rsid w:val="003060FE"/>
    <w:rPr>
      <w:b/>
      <w:bCs/>
      <w:sz w:val="22"/>
      <w:szCs w:val="22"/>
      <w:lang w:eastAsia="en-US"/>
    </w:rPr>
  </w:style>
  <w:style w:type="character" w:styleId="FollowedHyperlink">
    <w:name w:val="FollowedHyperlink"/>
    <w:uiPriority w:val="99"/>
    <w:unhideWhenUsed/>
    <w:rsid w:val="003060FE"/>
    <w:rPr>
      <w:color w:val="800080"/>
      <w:u w:val="single"/>
    </w:rPr>
  </w:style>
  <w:style w:type="character" w:customStyle="1" w:styleId="HeaderChar">
    <w:name w:val="Header Char"/>
    <w:link w:val="Header"/>
    <w:uiPriority w:val="99"/>
    <w:rsid w:val="003060FE"/>
    <w:rPr>
      <w:sz w:val="24"/>
      <w:szCs w:val="24"/>
      <w:lang w:eastAsia="en-US"/>
    </w:rPr>
  </w:style>
  <w:style w:type="character" w:customStyle="1" w:styleId="BodyTextChar1">
    <w:name w:val="Body Text Char1"/>
    <w:aliases w:val="bt Char"/>
    <w:semiHidden/>
    <w:rsid w:val="003060FE"/>
    <w:rPr>
      <w:sz w:val="24"/>
      <w:szCs w:val="24"/>
      <w:lang w:eastAsia="en-US"/>
    </w:rPr>
  </w:style>
  <w:style w:type="character" w:customStyle="1" w:styleId="BodyTextIndentChar">
    <w:name w:val="Body Text Indent Char"/>
    <w:link w:val="BodyTextIndent"/>
    <w:rsid w:val="003060FE"/>
    <w:rPr>
      <w:sz w:val="24"/>
      <w:szCs w:val="24"/>
      <w:lang w:eastAsia="en-US"/>
    </w:rPr>
  </w:style>
  <w:style w:type="paragraph" w:customStyle="1" w:styleId="CharChar1Char0">
    <w:name w:val="Char Char1 Char"/>
    <w:basedOn w:val="Normal"/>
    <w:rsid w:val="003060FE"/>
    <w:pPr>
      <w:spacing w:after="160" w:line="240" w:lineRule="exact"/>
    </w:pPr>
    <w:rPr>
      <w:rFonts w:ascii="Arial" w:hAnsi="Arial"/>
      <w:sz w:val="20"/>
      <w:szCs w:val="20"/>
    </w:rPr>
  </w:style>
  <w:style w:type="paragraph" w:customStyle="1" w:styleId="CharCharCharCharCharCharCharChar0">
    <w:name w:val="Char Char Char Char Char Char Char Char"/>
    <w:basedOn w:val="Normal"/>
    <w:rsid w:val="003060FE"/>
    <w:pPr>
      <w:spacing w:after="160" w:line="240" w:lineRule="exact"/>
    </w:pPr>
    <w:rPr>
      <w:sz w:val="20"/>
      <w:szCs w:val="20"/>
      <w:lang w:val="en-US"/>
    </w:rPr>
  </w:style>
  <w:style w:type="paragraph" w:customStyle="1" w:styleId="CharChar2CharCharCharCharCharCharChar0">
    <w:name w:val="Char Char2 Char Char Char Char Char Char Char"/>
    <w:basedOn w:val="Normal"/>
    <w:rsid w:val="003060FE"/>
    <w:pPr>
      <w:spacing w:after="160" w:line="240" w:lineRule="exact"/>
    </w:pPr>
    <w:rPr>
      <w:rFonts w:ascii="Arial" w:hAnsi="Arial"/>
      <w:sz w:val="20"/>
      <w:szCs w:val="20"/>
    </w:rPr>
  </w:style>
  <w:style w:type="paragraph" w:customStyle="1" w:styleId="CharChar1CharCharCharChar0">
    <w:name w:val="Char Char1 Char Char Char Char"/>
    <w:basedOn w:val="Normal"/>
    <w:rsid w:val="003060FE"/>
    <w:pPr>
      <w:spacing w:after="160" w:line="240" w:lineRule="exact"/>
    </w:pPr>
    <w:rPr>
      <w:rFonts w:ascii="Arial" w:hAnsi="Arial"/>
      <w:sz w:val="20"/>
      <w:szCs w:val="20"/>
    </w:rPr>
  </w:style>
  <w:style w:type="paragraph" w:customStyle="1" w:styleId="CharChar2Char0">
    <w:name w:val="Char Char2 Char"/>
    <w:basedOn w:val="Normal"/>
    <w:rsid w:val="003060FE"/>
    <w:pPr>
      <w:spacing w:after="160" w:line="240" w:lineRule="exact"/>
    </w:pPr>
    <w:rPr>
      <w:rFonts w:ascii="Arial" w:hAnsi="Arial"/>
      <w:sz w:val="20"/>
      <w:szCs w:val="20"/>
    </w:rPr>
  </w:style>
  <w:style w:type="paragraph" w:customStyle="1" w:styleId="CharChar4Char0">
    <w:name w:val="Char Char4 Char"/>
    <w:basedOn w:val="Normal"/>
    <w:rsid w:val="003060FE"/>
    <w:pPr>
      <w:spacing w:after="160" w:line="240" w:lineRule="exact"/>
    </w:pPr>
    <w:rPr>
      <w:rFonts w:ascii="Arial" w:hAnsi="Arial"/>
      <w:sz w:val="20"/>
      <w:szCs w:val="20"/>
    </w:rPr>
  </w:style>
  <w:style w:type="paragraph" w:customStyle="1" w:styleId="CharChar4CharCharCharChar0">
    <w:name w:val="Char Char4 Char Char Char Char"/>
    <w:basedOn w:val="Normal"/>
    <w:rsid w:val="003060FE"/>
    <w:pPr>
      <w:spacing w:after="160" w:line="240" w:lineRule="exact"/>
    </w:pPr>
    <w:rPr>
      <w:rFonts w:ascii="Arial" w:hAnsi="Arial"/>
      <w:sz w:val="20"/>
      <w:szCs w:val="20"/>
    </w:rPr>
  </w:style>
  <w:style w:type="paragraph" w:customStyle="1" w:styleId="CharChar20">
    <w:name w:val="Char Char2"/>
    <w:basedOn w:val="Normal"/>
    <w:rsid w:val="003060FE"/>
    <w:pPr>
      <w:spacing w:after="160" w:line="240" w:lineRule="exact"/>
    </w:pPr>
    <w:rPr>
      <w:rFonts w:ascii="Arial" w:hAnsi="Arial"/>
      <w:sz w:val="20"/>
      <w:szCs w:val="20"/>
    </w:rPr>
  </w:style>
  <w:style w:type="character" w:customStyle="1" w:styleId="CharChar10">
    <w:name w:val="Char Char1"/>
    <w:rsid w:val="003060FE"/>
    <w:rPr>
      <w:lang w:val="en-NZ" w:eastAsia="en-US" w:bidi="ar-SA"/>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link w:val="ListParagraph"/>
    <w:uiPriority w:val="34"/>
    <w:locked/>
    <w:rsid w:val="009A4655"/>
    <w:rPr>
      <w:sz w:val="24"/>
      <w:szCs w:val="24"/>
      <w:lang w:eastAsia="en-US"/>
    </w:rPr>
  </w:style>
  <w:style w:type="table" w:customStyle="1" w:styleId="TableGrid3">
    <w:name w:val="Table Grid3"/>
    <w:basedOn w:val="TableNormal"/>
    <w:next w:val="TableGrid"/>
    <w:uiPriority w:val="59"/>
    <w:rsid w:val="0003050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E61BF"/>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96C29"/>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186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16A63"/>
    <w:rPr>
      <w:rFonts w:ascii="Cambria" w:eastAsia="Times New Roman" w:hAnsi="Cambria" w:cs="Times New Roman"/>
      <w:b/>
      <w:bCs/>
      <w:sz w:val="26"/>
      <w:szCs w:val="26"/>
      <w:lang w:eastAsia="en-US"/>
    </w:rPr>
  </w:style>
  <w:style w:type="paragraph" w:styleId="TOC3">
    <w:name w:val="toc 3"/>
    <w:basedOn w:val="Normal"/>
    <w:next w:val="Normal"/>
    <w:autoRedefine/>
    <w:uiPriority w:val="39"/>
    <w:rsid w:val="00D16A63"/>
    <w:pPr>
      <w:tabs>
        <w:tab w:val="left" w:pos="880"/>
        <w:tab w:val="right" w:leader="dot" w:pos="10348"/>
      </w:tabs>
      <w:ind w:left="480"/>
    </w:pPr>
  </w:style>
  <w:style w:type="table" w:customStyle="1" w:styleId="TableGrid7">
    <w:name w:val="Table Grid7"/>
    <w:basedOn w:val="TableNormal"/>
    <w:next w:val="TableGrid"/>
    <w:rsid w:val="001C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C3373"/>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3373"/>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01596"/>
  </w:style>
  <w:style w:type="numbering" w:customStyle="1" w:styleId="NoList11">
    <w:name w:val="No List11"/>
    <w:next w:val="NoList"/>
    <w:uiPriority w:val="99"/>
    <w:semiHidden/>
    <w:unhideWhenUsed/>
    <w:rsid w:val="00F01596"/>
  </w:style>
  <w:style w:type="table" w:customStyle="1" w:styleId="TableGrid10">
    <w:name w:val="Table Grid10"/>
    <w:basedOn w:val="TableNormal"/>
    <w:next w:val="TableGrid"/>
    <w:rsid w:val="00F0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01596"/>
  </w:style>
  <w:style w:type="table" w:customStyle="1" w:styleId="TableGrid31">
    <w:name w:val="Table Grid3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01596"/>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F0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0159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0159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
    <w:basedOn w:val="Normal"/>
    <w:rsid w:val="00EF6EF6"/>
    <w:pPr>
      <w:spacing w:after="160" w:line="240" w:lineRule="exact"/>
    </w:pPr>
    <w:rPr>
      <w:rFonts w:ascii="Arial" w:hAnsi="Arial"/>
      <w:sz w:val="20"/>
      <w:szCs w:val="20"/>
    </w:rPr>
  </w:style>
  <w:style w:type="table" w:customStyle="1" w:styleId="TableGrid12">
    <w:name w:val="Table Grid12"/>
    <w:basedOn w:val="TableNormal"/>
    <w:next w:val="TableGrid"/>
    <w:uiPriority w:val="59"/>
    <w:rsid w:val="005C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C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rsid w:val="00D9492F"/>
    <w:pPr>
      <w:spacing w:after="200" w:line="320" w:lineRule="atLeast"/>
    </w:pPr>
    <w:rPr>
      <w:rFonts w:ascii="Arial" w:hAnsi="Arial"/>
      <w:lang w:eastAsia="en-US"/>
    </w:rPr>
  </w:style>
  <w:style w:type="character" w:customStyle="1" w:styleId="ParagraphChar">
    <w:name w:val="Paragraph Char"/>
    <w:link w:val="Paragraph"/>
    <w:rsid w:val="00D9492F"/>
    <w:rPr>
      <w:rFonts w:ascii="Arial" w:hAnsi="Arial"/>
      <w:lang w:eastAsia="en-US"/>
    </w:rPr>
  </w:style>
  <w:style w:type="paragraph" w:styleId="TOC4">
    <w:name w:val="toc 4"/>
    <w:basedOn w:val="Normal"/>
    <w:next w:val="Normal"/>
    <w:autoRedefine/>
    <w:uiPriority w:val="39"/>
    <w:unhideWhenUsed/>
    <w:rsid w:val="009A421C"/>
    <w:pPr>
      <w:spacing w:after="100"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9A421C"/>
    <w:pPr>
      <w:spacing w:after="100"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9A421C"/>
    <w:pPr>
      <w:spacing w:after="100"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9A421C"/>
    <w:pPr>
      <w:spacing w:after="100"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9A421C"/>
    <w:pPr>
      <w:spacing w:after="100"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9A421C"/>
    <w:pPr>
      <w:spacing w:after="100" w:line="259" w:lineRule="auto"/>
      <w:ind w:left="1760"/>
    </w:pPr>
    <w:rPr>
      <w:rFonts w:asciiTheme="minorHAnsi" w:eastAsiaTheme="minorEastAsia" w:hAnsiTheme="minorHAnsi" w:cstheme="minorBidi"/>
      <w:sz w:val="22"/>
      <w:szCs w:val="22"/>
      <w:lang w:eastAsia="en-NZ"/>
    </w:rPr>
  </w:style>
  <w:style w:type="table" w:customStyle="1" w:styleId="TableGrid13">
    <w:name w:val="Table Grid13"/>
    <w:basedOn w:val="TableNormal"/>
    <w:next w:val="TableGrid"/>
    <w:uiPriority w:val="59"/>
    <w:rsid w:val="00C20D30"/>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F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1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D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B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7F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C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4C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2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27D0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ubtleEmphasis">
    <w:name w:val="Subtle Emphasis"/>
    <w:basedOn w:val="DefaultParagraphFont"/>
    <w:uiPriority w:val="19"/>
    <w:qFormat/>
    <w:rsid w:val="00220A3E"/>
    <w:rPr>
      <w:i/>
      <w:iCs/>
      <w:color w:val="404040" w:themeColor="text1" w:themeTint="BF"/>
    </w:rPr>
  </w:style>
  <w:style w:type="character" w:customStyle="1" w:styleId="st1">
    <w:name w:val="st1"/>
    <w:basedOn w:val="DefaultParagraphFont"/>
    <w:rsid w:val="00D77CF3"/>
  </w:style>
  <w:style w:type="table" w:customStyle="1" w:styleId="TableGrid22">
    <w:name w:val="Table Grid22"/>
    <w:basedOn w:val="TableNormal"/>
    <w:next w:val="TableGrid"/>
    <w:uiPriority w:val="39"/>
    <w:rsid w:val="00A377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0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253672"/>
    <w:pPr>
      <w:spacing w:after="120"/>
    </w:pPr>
    <w:rPr>
      <w:sz w:val="16"/>
      <w:szCs w:val="16"/>
    </w:rPr>
  </w:style>
  <w:style w:type="character" w:customStyle="1" w:styleId="BodyText3Char">
    <w:name w:val="Body Text 3 Char"/>
    <w:basedOn w:val="DefaultParagraphFont"/>
    <w:link w:val="BodyText3"/>
    <w:semiHidden/>
    <w:rsid w:val="00253672"/>
    <w:rPr>
      <w:sz w:val="16"/>
      <w:szCs w:val="16"/>
      <w:lang w:eastAsia="en-US"/>
    </w:rPr>
  </w:style>
  <w:style w:type="paragraph" w:styleId="NoSpacing">
    <w:name w:val="No Spacing"/>
    <w:link w:val="NoSpacingChar"/>
    <w:uiPriority w:val="1"/>
    <w:qFormat/>
    <w:rsid w:val="002536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53672"/>
    <w:rPr>
      <w:rFonts w:asciiTheme="minorHAnsi" w:eastAsiaTheme="minorEastAsia" w:hAnsiTheme="minorHAnsi" w:cstheme="minorBidi"/>
      <w:sz w:val="22"/>
      <w:szCs w:val="22"/>
      <w:lang w:val="en-US" w:eastAsia="en-US"/>
    </w:rPr>
  </w:style>
  <w:style w:type="paragraph" w:customStyle="1" w:styleId="Table">
    <w:name w:val="Table"/>
    <w:basedOn w:val="Normal"/>
    <w:qFormat/>
    <w:rsid w:val="00050471"/>
    <w:pPr>
      <w:keepNext/>
      <w:spacing w:before="120" w:after="120" w:line="264" w:lineRule="auto"/>
    </w:pPr>
    <w:rPr>
      <w:rFonts w:ascii="Georgia" w:hAnsi="Georgia"/>
      <w:b/>
      <w:sz w:val="20"/>
      <w:szCs w:val="20"/>
      <w:lang w:eastAsia="en-GB"/>
    </w:rPr>
  </w:style>
  <w:style w:type="paragraph" w:customStyle="1" w:styleId="TableBullet">
    <w:name w:val="TableBullet"/>
    <w:basedOn w:val="TableText"/>
    <w:qFormat/>
    <w:rsid w:val="00050471"/>
    <w:pPr>
      <w:numPr>
        <w:numId w:val="86"/>
      </w:numPr>
      <w:spacing w:before="0" w:after="60"/>
    </w:pPr>
    <w:rPr>
      <w:sz w:val="18"/>
      <w:szCs w:val="20"/>
    </w:rPr>
  </w:style>
  <w:style w:type="paragraph" w:customStyle="1" w:styleId="Note">
    <w:name w:val="Note"/>
    <w:basedOn w:val="Normal"/>
    <w:next w:val="Normal"/>
    <w:link w:val="NoteChar"/>
    <w:qFormat/>
    <w:rsid w:val="00050471"/>
    <w:pPr>
      <w:spacing w:before="80" w:line="264" w:lineRule="auto"/>
      <w:ind w:left="284" w:hanging="284"/>
    </w:pPr>
    <w:rPr>
      <w:rFonts w:ascii="Arial" w:hAnsi="Arial"/>
      <w:sz w:val="18"/>
      <w:szCs w:val="20"/>
      <w:lang w:eastAsia="en-GB"/>
    </w:rPr>
  </w:style>
  <w:style w:type="character" w:customStyle="1" w:styleId="NoteChar">
    <w:name w:val="Note Char"/>
    <w:link w:val="Note"/>
    <w:rsid w:val="00050471"/>
    <w:rPr>
      <w:rFonts w:ascii="Arial" w:hAnsi="Arial"/>
      <w:sz w:val="18"/>
      <w:lang w:eastAsia="en-GB"/>
    </w:rPr>
  </w:style>
  <w:style w:type="table" w:customStyle="1" w:styleId="TableGrid24">
    <w:name w:val="Table Grid24"/>
    <w:basedOn w:val="TableNormal"/>
    <w:next w:val="TableGrid"/>
    <w:uiPriority w:val="59"/>
    <w:rsid w:val="007B3C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81825"/>
    <w:rPr>
      <w:b/>
      <w:bCs/>
    </w:rPr>
  </w:style>
  <w:style w:type="paragraph" w:styleId="Subtitle">
    <w:name w:val="Subtitle"/>
    <w:basedOn w:val="Normal"/>
    <w:next w:val="Normal"/>
    <w:link w:val="SubtitleChar"/>
    <w:qFormat/>
    <w:rsid w:val="00D818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1825"/>
    <w:rPr>
      <w:rFonts w:asciiTheme="minorHAnsi" w:eastAsiaTheme="minorEastAsia" w:hAnsiTheme="minorHAnsi" w:cstheme="minorBidi"/>
      <w:color w:val="5A5A5A" w:themeColor="text1" w:themeTint="A5"/>
      <w:spacing w:val="15"/>
      <w:sz w:val="22"/>
      <w:szCs w:val="22"/>
      <w:lang w:eastAsia="en-US"/>
    </w:rPr>
  </w:style>
  <w:style w:type="table" w:customStyle="1" w:styleId="TableGrid25">
    <w:name w:val="Table Grid25"/>
    <w:basedOn w:val="TableNormal"/>
    <w:next w:val="TableGrid"/>
    <w:uiPriority w:val="39"/>
    <w:rsid w:val="00C74A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187B"/>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4187B"/>
    <w:rPr>
      <w:rFonts w:asciiTheme="majorHAnsi" w:eastAsiaTheme="majorEastAsia" w:hAnsiTheme="majorHAnsi" w:cstheme="majorBidi"/>
      <w:color w:val="262626" w:themeColor="text1" w:themeTint="D9"/>
      <w:spacing w:val="-15"/>
      <w:sz w:val="96"/>
      <w:szCs w:val="96"/>
      <w:lang w:eastAsia="en-US"/>
    </w:rPr>
  </w:style>
  <w:style w:type="paragraph" w:customStyle="1" w:styleId="Bodycopy">
    <w:name w:val="Body copy"/>
    <w:basedOn w:val="Normal"/>
    <w:qFormat/>
    <w:rsid w:val="00E83C22"/>
    <w:pPr>
      <w:spacing w:line="276" w:lineRule="auto"/>
    </w:pPr>
    <w:rPr>
      <w:rFonts w:ascii="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045">
      <w:bodyDiv w:val="1"/>
      <w:marLeft w:val="0"/>
      <w:marRight w:val="0"/>
      <w:marTop w:val="0"/>
      <w:marBottom w:val="0"/>
      <w:divBdr>
        <w:top w:val="none" w:sz="0" w:space="0" w:color="auto"/>
        <w:left w:val="none" w:sz="0" w:space="0" w:color="auto"/>
        <w:bottom w:val="none" w:sz="0" w:space="0" w:color="auto"/>
        <w:right w:val="none" w:sz="0" w:space="0" w:color="auto"/>
      </w:divBdr>
    </w:div>
    <w:div w:id="119225015">
      <w:bodyDiv w:val="1"/>
      <w:marLeft w:val="0"/>
      <w:marRight w:val="0"/>
      <w:marTop w:val="0"/>
      <w:marBottom w:val="0"/>
      <w:divBdr>
        <w:top w:val="none" w:sz="0" w:space="0" w:color="auto"/>
        <w:left w:val="none" w:sz="0" w:space="0" w:color="auto"/>
        <w:bottom w:val="none" w:sz="0" w:space="0" w:color="auto"/>
        <w:right w:val="none" w:sz="0" w:space="0" w:color="auto"/>
      </w:divBdr>
      <w:divsChild>
        <w:div w:id="1516767022">
          <w:marLeft w:val="0"/>
          <w:marRight w:val="0"/>
          <w:marTop w:val="0"/>
          <w:marBottom w:val="0"/>
          <w:divBdr>
            <w:top w:val="none" w:sz="0" w:space="0" w:color="auto"/>
            <w:left w:val="none" w:sz="0" w:space="0" w:color="auto"/>
            <w:bottom w:val="none" w:sz="0" w:space="0" w:color="auto"/>
            <w:right w:val="none" w:sz="0" w:space="0" w:color="auto"/>
          </w:divBdr>
          <w:divsChild>
            <w:div w:id="1206911709">
              <w:marLeft w:val="0"/>
              <w:marRight w:val="0"/>
              <w:marTop w:val="0"/>
              <w:marBottom w:val="0"/>
              <w:divBdr>
                <w:top w:val="none" w:sz="0" w:space="0" w:color="auto"/>
                <w:left w:val="none" w:sz="0" w:space="0" w:color="auto"/>
                <w:bottom w:val="none" w:sz="0" w:space="0" w:color="auto"/>
                <w:right w:val="none" w:sz="0" w:space="0" w:color="auto"/>
              </w:divBdr>
              <w:divsChild>
                <w:div w:id="618951917">
                  <w:marLeft w:val="-225"/>
                  <w:marRight w:val="-225"/>
                  <w:marTop w:val="0"/>
                  <w:marBottom w:val="0"/>
                  <w:divBdr>
                    <w:top w:val="none" w:sz="0" w:space="0" w:color="auto"/>
                    <w:left w:val="none" w:sz="0" w:space="0" w:color="auto"/>
                    <w:bottom w:val="none" w:sz="0" w:space="0" w:color="auto"/>
                    <w:right w:val="none" w:sz="0" w:space="0" w:color="auto"/>
                  </w:divBdr>
                  <w:divsChild>
                    <w:div w:id="1500265931">
                      <w:marLeft w:val="0"/>
                      <w:marRight w:val="0"/>
                      <w:marTop w:val="0"/>
                      <w:marBottom w:val="0"/>
                      <w:divBdr>
                        <w:top w:val="none" w:sz="0" w:space="0" w:color="auto"/>
                        <w:left w:val="none" w:sz="0" w:space="0" w:color="auto"/>
                        <w:bottom w:val="none" w:sz="0" w:space="0" w:color="auto"/>
                        <w:right w:val="none" w:sz="0" w:space="0" w:color="auto"/>
                      </w:divBdr>
                      <w:divsChild>
                        <w:div w:id="328799206">
                          <w:marLeft w:val="0"/>
                          <w:marRight w:val="0"/>
                          <w:marTop w:val="0"/>
                          <w:marBottom w:val="0"/>
                          <w:divBdr>
                            <w:top w:val="none" w:sz="0" w:space="0" w:color="auto"/>
                            <w:left w:val="none" w:sz="0" w:space="0" w:color="auto"/>
                            <w:bottom w:val="none" w:sz="0" w:space="0" w:color="auto"/>
                            <w:right w:val="none" w:sz="0" w:space="0" w:color="auto"/>
                          </w:divBdr>
                          <w:divsChild>
                            <w:div w:id="181095883">
                              <w:marLeft w:val="-225"/>
                              <w:marRight w:val="-225"/>
                              <w:marTop w:val="0"/>
                              <w:marBottom w:val="0"/>
                              <w:divBdr>
                                <w:top w:val="none" w:sz="0" w:space="0" w:color="auto"/>
                                <w:left w:val="none" w:sz="0" w:space="0" w:color="auto"/>
                                <w:bottom w:val="none" w:sz="0" w:space="0" w:color="auto"/>
                                <w:right w:val="none" w:sz="0" w:space="0" w:color="auto"/>
                              </w:divBdr>
                              <w:divsChild>
                                <w:div w:id="1496190080">
                                  <w:marLeft w:val="0"/>
                                  <w:marRight w:val="0"/>
                                  <w:marTop w:val="0"/>
                                  <w:marBottom w:val="0"/>
                                  <w:divBdr>
                                    <w:top w:val="none" w:sz="0" w:space="0" w:color="auto"/>
                                    <w:left w:val="none" w:sz="0" w:space="0" w:color="auto"/>
                                    <w:bottom w:val="none" w:sz="0" w:space="0" w:color="auto"/>
                                    <w:right w:val="none" w:sz="0" w:space="0" w:color="auto"/>
                                  </w:divBdr>
                                  <w:divsChild>
                                    <w:div w:id="1139879414">
                                      <w:marLeft w:val="0"/>
                                      <w:marRight w:val="0"/>
                                      <w:marTop w:val="0"/>
                                      <w:marBottom w:val="0"/>
                                      <w:divBdr>
                                        <w:top w:val="none" w:sz="0" w:space="0" w:color="auto"/>
                                        <w:left w:val="none" w:sz="0" w:space="0" w:color="auto"/>
                                        <w:bottom w:val="none" w:sz="0" w:space="0" w:color="auto"/>
                                        <w:right w:val="none" w:sz="0" w:space="0" w:color="auto"/>
                                      </w:divBdr>
                                      <w:divsChild>
                                        <w:div w:id="1940674581">
                                          <w:marLeft w:val="0"/>
                                          <w:marRight w:val="0"/>
                                          <w:marTop w:val="0"/>
                                          <w:marBottom w:val="0"/>
                                          <w:divBdr>
                                            <w:top w:val="none" w:sz="0" w:space="0" w:color="auto"/>
                                            <w:left w:val="none" w:sz="0" w:space="0" w:color="auto"/>
                                            <w:bottom w:val="none" w:sz="0" w:space="0" w:color="auto"/>
                                            <w:right w:val="none" w:sz="0" w:space="0" w:color="auto"/>
                                          </w:divBdr>
                                          <w:divsChild>
                                            <w:div w:id="1963488831">
                                              <w:marLeft w:val="0"/>
                                              <w:marRight w:val="0"/>
                                              <w:marTop w:val="0"/>
                                              <w:marBottom w:val="0"/>
                                              <w:divBdr>
                                                <w:top w:val="none" w:sz="0" w:space="0" w:color="auto"/>
                                                <w:left w:val="none" w:sz="0" w:space="0" w:color="auto"/>
                                                <w:bottom w:val="none" w:sz="0" w:space="0" w:color="auto"/>
                                                <w:right w:val="none" w:sz="0" w:space="0" w:color="auto"/>
                                              </w:divBdr>
                                              <w:divsChild>
                                                <w:div w:id="1875002516">
                                                  <w:marLeft w:val="0"/>
                                                  <w:marRight w:val="0"/>
                                                  <w:marTop w:val="0"/>
                                                  <w:marBottom w:val="0"/>
                                                  <w:divBdr>
                                                    <w:top w:val="none" w:sz="0" w:space="0" w:color="auto"/>
                                                    <w:left w:val="none" w:sz="0" w:space="0" w:color="auto"/>
                                                    <w:bottom w:val="none" w:sz="0" w:space="0" w:color="auto"/>
                                                    <w:right w:val="none" w:sz="0" w:space="0" w:color="auto"/>
                                                  </w:divBdr>
                                                  <w:divsChild>
                                                    <w:div w:id="4835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630031">
      <w:bodyDiv w:val="1"/>
      <w:marLeft w:val="0"/>
      <w:marRight w:val="0"/>
      <w:marTop w:val="0"/>
      <w:marBottom w:val="0"/>
      <w:divBdr>
        <w:top w:val="none" w:sz="0" w:space="0" w:color="auto"/>
        <w:left w:val="none" w:sz="0" w:space="0" w:color="auto"/>
        <w:bottom w:val="none" w:sz="0" w:space="0" w:color="auto"/>
        <w:right w:val="none" w:sz="0" w:space="0" w:color="auto"/>
      </w:divBdr>
    </w:div>
    <w:div w:id="369189164">
      <w:bodyDiv w:val="1"/>
      <w:marLeft w:val="0"/>
      <w:marRight w:val="0"/>
      <w:marTop w:val="0"/>
      <w:marBottom w:val="0"/>
      <w:divBdr>
        <w:top w:val="none" w:sz="0" w:space="0" w:color="auto"/>
        <w:left w:val="none" w:sz="0" w:space="0" w:color="auto"/>
        <w:bottom w:val="none" w:sz="0" w:space="0" w:color="auto"/>
        <w:right w:val="none" w:sz="0" w:space="0" w:color="auto"/>
      </w:divBdr>
    </w:div>
    <w:div w:id="694578129">
      <w:bodyDiv w:val="1"/>
      <w:marLeft w:val="0"/>
      <w:marRight w:val="0"/>
      <w:marTop w:val="0"/>
      <w:marBottom w:val="0"/>
      <w:divBdr>
        <w:top w:val="none" w:sz="0" w:space="0" w:color="auto"/>
        <w:left w:val="none" w:sz="0" w:space="0" w:color="auto"/>
        <w:bottom w:val="none" w:sz="0" w:space="0" w:color="auto"/>
        <w:right w:val="none" w:sz="0" w:space="0" w:color="auto"/>
      </w:divBdr>
    </w:div>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696588310">
      <w:bodyDiv w:val="1"/>
      <w:marLeft w:val="0"/>
      <w:marRight w:val="0"/>
      <w:marTop w:val="0"/>
      <w:marBottom w:val="0"/>
      <w:divBdr>
        <w:top w:val="none" w:sz="0" w:space="0" w:color="auto"/>
        <w:left w:val="none" w:sz="0" w:space="0" w:color="auto"/>
        <w:bottom w:val="none" w:sz="0" w:space="0" w:color="auto"/>
        <w:right w:val="none" w:sz="0" w:space="0" w:color="auto"/>
      </w:divBdr>
    </w:div>
    <w:div w:id="788665566">
      <w:bodyDiv w:val="1"/>
      <w:marLeft w:val="0"/>
      <w:marRight w:val="0"/>
      <w:marTop w:val="0"/>
      <w:marBottom w:val="0"/>
      <w:divBdr>
        <w:top w:val="none" w:sz="0" w:space="0" w:color="auto"/>
        <w:left w:val="none" w:sz="0" w:space="0" w:color="auto"/>
        <w:bottom w:val="none" w:sz="0" w:space="0" w:color="auto"/>
        <w:right w:val="none" w:sz="0" w:space="0" w:color="auto"/>
      </w:divBdr>
    </w:div>
    <w:div w:id="790781216">
      <w:bodyDiv w:val="1"/>
      <w:marLeft w:val="0"/>
      <w:marRight w:val="0"/>
      <w:marTop w:val="0"/>
      <w:marBottom w:val="0"/>
      <w:divBdr>
        <w:top w:val="none" w:sz="0" w:space="0" w:color="auto"/>
        <w:left w:val="none" w:sz="0" w:space="0" w:color="auto"/>
        <w:bottom w:val="none" w:sz="0" w:space="0" w:color="auto"/>
        <w:right w:val="none" w:sz="0" w:space="0" w:color="auto"/>
      </w:divBdr>
    </w:div>
    <w:div w:id="853760795">
      <w:bodyDiv w:val="1"/>
      <w:marLeft w:val="0"/>
      <w:marRight w:val="0"/>
      <w:marTop w:val="0"/>
      <w:marBottom w:val="0"/>
      <w:divBdr>
        <w:top w:val="none" w:sz="0" w:space="0" w:color="auto"/>
        <w:left w:val="none" w:sz="0" w:space="0" w:color="auto"/>
        <w:bottom w:val="none" w:sz="0" w:space="0" w:color="auto"/>
        <w:right w:val="none" w:sz="0" w:space="0" w:color="auto"/>
      </w:divBdr>
    </w:div>
    <w:div w:id="1172794796">
      <w:bodyDiv w:val="1"/>
      <w:marLeft w:val="0"/>
      <w:marRight w:val="0"/>
      <w:marTop w:val="0"/>
      <w:marBottom w:val="0"/>
      <w:divBdr>
        <w:top w:val="none" w:sz="0" w:space="0" w:color="auto"/>
        <w:left w:val="none" w:sz="0" w:space="0" w:color="auto"/>
        <w:bottom w:val="none" w:sz="0" w:space="0" w:color="auto"/>
        <w:right w:val="none" w:sz="0" w:space="0" w:color="auto"/>
      </w:divBdr>
    </w:div>
    <w:div w:id="1352874936">
      <w:bodyDiv w:val="1"/>
      <w:marLeft w:val="0"/>
      <w:marRight w:val="0"/>
      <w:marTop w:val="0"/>
      <w:marBottom w:val="0"/>
      <w:divBdr>
        <w:top w:val="none" w:sz="0" w:space="0" w:color="auto"/>
        <w:left w:val="none" w:sz="0" w:space="0" w:color="auto"/>
        <w:bottom w:val="none" w:sz="0" w:space="0" w:color="auto"/>
        <w:right w:val="none" w:sz="0" w:space="0" w:color="auto"/>
      </w:divBdr>
    </w:div>
    <w:div w:id="1574200082">
      <w:bodyDiv w:val="1"/>
      <w:marLeft w:val="0"/>
      <w:marRight w:val="0"/>
      <w:marTop w:val="0"/>
      <w:marBottom w:val="0"/>
      <w:divBdr>
        <w:top w:val="none" w:sz="0" w:space="0" w:color="auto"/>
        <w:left w:val="none" w:sz="0" w:space="0" w:color="auto"/>
        <w:bottom w:val="none" w:sz="0" w:space="0" w:color="auto"/>
        <w:right w:val="none" w:sz="0" w:space="0" w:color="auto"/>
      </w:divBdr>
    </w:div>
    <w:div w:id="1576015692">
      <w:bodyDiv w:val="1"/>
      <w:marLeft w:val="0"/>
      <w:marRight w:val="0"/>
      <w:marTop w:val="0"/>
      <w:marBottom w:val="0"/>
      <w:divBdr>
        <w:top w:val="none" w:sz="0" w:space="0" w:color="auto"/>
        <w:left w:val="none" w:sz="0" w:space="0" w:color="auto"/>
        <w:bottom w:val="none" w:sz="0" w:space="0" w:color="auto"/>
        <w:right w:val="none" w:sz="0" w:space="0" w:color="auto"/>
      </w:divBdr>
    </w:div>
    <w:div w:id="1680303879">
      <w:bodyDiv w:val="1"/>
      <w:marLeft w:val="0"/>
      <w:marRight w:val="0"/>
      <w:marTop w:val="0"/>
      <w:marBottom w:val="0"/>
      <w:divBdr>
        <w:top w:val="none" w:sz="0" w:space="0" w:color="auto"/>
        <w:left w:val="none" w:sz="0" w:space="0" w:color="auto"/>
        <w:bottom w:val="none" w:sz="0" w:space="0" w:color="auto"/>
        <w:right w:val="none" w:sz="0" w:space="0" w:color="auto"/>
      </w:divBdr>
      <w:divsChild>
        <w:div w:id="1517382246">
          <w:marLeft w:val="0"/>
          <w:marRight w:val="0"/>
          <w:marTop w:val="0"/>
          <w:marBottom w:val="0"/>
          <w:divBdr>
            <w:top w:val="none" w:sz="0" w:space="0" w:color="auto"/>
            <w:left w:val="none" w:sz="0" w:space="0" w:color="auto"/>
            <w:bottom w:val="none" w:sz="0" w:space="0" w:color="auto"/>
            <w:right w:val="none" w:sz="0" w:space="0" w:color="auto"/>
          </w:divBdr>
          <w:divsChild>
            <w:div w:id="24405221">
              <w:marLeft w:val="0"/>
              <w:marRight w:val="0"/>
              <w:marTop w:val="0"/>
              <w:marBottom w:val="0"/>
              <w:divBdr>
                <w:top w:val="none" w:sz="0" w:space="0" w:color="auto"/>
                <w:left w:val="none" w:sz="0" w:space="0" w:color="auto"/>
                <w:bottom w:val="none" w:sz="0" w:space="0" w:color="auto"/>
                <w:right w:val="none" w:sz="0" w:space="0" w:color="auto"/>
              </w:divBdr>
              <w:divsChild>
                <w:div w:id="410810570">
                  <w:marLeft w:val="-225"/>
                  <w:marRight w:val="-225"/>
                  <w:marTop w:val="0"/>
                  <w:marBottom w:val="0"/>
                  <w:divBdr>
                    <w:top w:val="none" w:sz="0" w:space="0" w:color="auto"/>
                    <w:left w:val="none" w:sz="0" w:space="0" w:color="auto"/>
                    <w:bottom w:val="none" w:sz="0" w:space="0" w:color="auto"/>
                    <w:right w:val="none" w:sz="0" w:space="0" w:color="auto"/>
                  </w:divBdr>
                  <w:divsChild>
                    <w:div w:id="1520460874">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sChild>
                            <w:div w:id="1447696711">
                              <w:marLeft w:val="-225"/>
                              <w:marRight w:val="-225"/>
                              <w:marTop w:val="0"/>
                              <w:marBottom w:val="0"/>
                              <w:divBdr>
                                <w:top w:val="none" w:sz="0" w:space="0" w:color="auto"/>
                                <w:left w:val="none" w:sz="0" w:space="0" w:color="auto"/>
                                <w:bottom w:val="none" w:sz="0" w:space="0" w:color="auto"/>
                                <w:right w:val="none" w:sz="0" w:space="0" w:color="auto"/>
                              </w:divBdr>
                              <w:divsChild>
                                <w:div w:id="888226843">
                                  <w:marLeft w:val="0"/>
                                  <w:marRight w:val="0"/>
                                  <w:marTop w:val="0"/>
                                  <w:marBottom w:val="0"/>
                                  <w:divBdr>
                                    <w:top w:val="none" w:sz="0" w:space="0" w:color="auto"/>
                                    <w:left w:val="none" w:sz="0" w:space="0" w:color="auto"/>
                                    <w:bottom w:val="none" w:sz="0" w:space="0" w:color="auto"/>
                                    <w:right w:val="none" w:sz="0" w:space="0" w:color="auto"/>
                                  </w:divBdr>
                                  <w:divsChild>
                                    <w:div w:id="176189172">
                                      <w:marLeft w:val="0"/>
                                      <w:marRight w:val="0"/>
                                      <w:marTop w:val="0"/>
                                      <w:marBottom w:val="0"/>
                                      <w:divBdr>
                                        <w:top w:val="none" w:sz="0" w:space="0" w:color="auto"/>
                                        <w:left w:val="none" w:sz="0" w:space="0" w:color="auto"/>
                                        <w:bottom w:val="none" w:sz="0" w:space="0" w:color="auto"/>
                                        <w:right w:val="none" w:sz="0" w:space="0" w:color="auto"/>
                                      </w:divBdr>
                                      <w:divsChild>
                                        <w:div w:id="1837501217">
                                          <w:marLeft w:val="0"/>
                                          <w:marRight w:val="0"/>
                                          <w:marTop w:val="0"/>
                                          <w:marBottom w:val="0"/>
                                          <w:divBdr>
                                            <w:top w:val="none" w:sz="0" w:space="0" w:color="auto"/>
                                            <w:left w:val="none" w:sz="0" w:space="0" w:color="auto"/>
                                            <w:bottom w:val="none" w:sz="0" w:space="0" w:color="auto"/>
                                            <w:right w:val="none" w:sz="0" w:space="0" w:color="auto"/>
                                          </w:divBdr>
                                          <w:divsChild>
                                            <w:div w:id="1219125578">
                                              <w:marLeft w:val="0"/>
                                              <w:marRight w:val="0"/>
                                              <w:marTop w:val="0"/>
                                              <w:marBottom w:val="0"/>
                                              <w:divBdr>
                                                <w:top w:val="none" w:sz="0" w:space="0" w:color="auto"/>
                                                <w:left w:val="none" w:sz="0" w:space="0" w:color="auto"/>
                                                <w:bottom w:val="none" w:sz="0" w:space="0" w:color="auto"/>
                                                <w:right w:val="none" w:sz="0" w:space="0" w:color="auto"/>
                                              </w:divBdr>
                                              <w:divsChild>
                                                <w:div w:id="1921139048">
                                                  <w:marLeft w:val="0"/>
                                                  <w:marRight w:val="0"/>
                                                  <w:marTop w:val="0"/>
                                                  <w:marBottom w:val="0"/>
                                                  <w:divBdr>
                                                    <w:top w:val="none" w:sz="0" w:space="0" w:color="auto"/>
                                                    <w:left w:val="none" w:sz="0" w:space="0" w:color="auto"/>
                                                    <w:bottom w:val="none" w:sz="0" w:space="0" w:color="auto"/>
                                                    <w:right w:val="none" w:sz="0" w:space="0" w:color="auto"/>
                                                  </w:divBdr>
                                                  <w:divsChild>
                                                    <w:div w:id="17242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336759">
      <w:bodyDiv w:val="1"/>
      <w:marLeft w:val="0"/>
      <w:marRight w:val="0"/>
      <w:marTop w:val="0"/>
      <w:marBottom w:val="0"/>
      <w:divBdr>
        <w:top w:val="none" w:sz="0" w:space="0" w:color="auto"/>
        <w:left w:val="none" w:sz="0" w:space="0" w:color="auto"/>
        <w:bottom w:val="none" w:sz="0" w:space="0" w:color="auto"/>
        <w:right w:val="none" w:sz="0" w:space="0" w:color="auto"/>
      </w:divBdr>
      <w:divsChild>
        <w:div w:id="686909570">
          <w:marLeft w:val="0"/>
          <w:marRight w:val="0"/>
          <w:marTop w:val="0"/>
          <w:marBottom w:val="0"/>
          <w:divBdr>
            <w:top w:val="none" w:sz="0" w:space="0" w:color="auto"/>
            <w:left w:val="none" w:sz="0" w:space="0" w:color="auto"/>
            <w:bottom w:val="none" w:sz="0" w:space="0" w:color="auto"/>
            <w:right w:val="none" w:sz="0" w:space="0" w:color="auto"/>
          </w:divBdr>
          <w:divsChild>
            <w:div w:id="2037727411">
              <w:marLeft w:val="0"/>
              <w:marRight w:val="0"/>
              <w:marTop w:val="0"/>
              <w:marBottom w:val="0"/>
              <w:divBdr>
                <w:top w:val="none" w:sz="0" w:space="0" w:color="auto"/>
                <w:left w:val="none" w:sz="0" w:space="0" w:color="auto"/>
                <w:bottom w:val="none" w:sz="0" w:space="0" w:color="auto"/>
                <w:right w:val="none" w:sz="0" w:space="0" w:color="auto"/>
              </w:divBdr>
              <w:divsChild>
                <w:div w:id="1247106884">
                  <w:marLeft w:val="0"/>
                  <w:marRight w:val="0"/>
                  <w:marTop w:val="0"/>
                  <w:marBottom w:val="0"/>
                  <w:divBdr>
                    <w:top w:val="none" w:sz="0" w:space="0" w:color="auto"/>
                    <w:left w:val="none" w:sz="0" w:space="0" w:color="auto"/>
                    <w:bottom w:val="none" w:sz="0" w:space="0" w:color="auto"/>
                    <w:right w:val="none" w:sz="0" w:space="0" w:color="auto"/>
                  </w:divBdr>
                  <w:divsChild>
                    <w:div w:id="398527941">
                      <w:marLeft w:val="0"/>
                      <w:marRight w:val="0"/>
                      <w:marTop w:val="0"/>
                      <w:marBottom w:val="0"/>
                      <w:divBdr>
                        <w:top w:val="none" w:sz="0" w:space="0" w:color="auto"/>
                        <w:left w:val="none" w:sz="0" w:space="0" w:color="auto"/>
                        <w:bottom w:val="none" w:sz="0" w:space="0" w:color="auto"/>
                        <w:right w:val="none" w:sz="0" w:space="0" w:color="auto"/>
                      </w:divBdr>
                      <w:divsChild>
                        <w:div w:id="48187798">
                          <w:marLeft w:val="0"/>
                          <w:marRight w:val="0"/>
                          <w:marTop w:val="0"/>
                          <w:marBottom w:val="0"/>
                          <w:divBdr>
                            <w:top w:val="none" w:sz="0" w:space="0" w:color="auto"/>
                            <w:left w:val="none" w:sz="0" w:space="0" w:color="auto"/>
                            <w:bottom w:val="none" w:sz="0" w:space="0" w:color="auto"/>
                            <w:right w:val="none" w:sz="0" w:space="0" w:color="auto"/>
                          </w:divBdr>
                          <w:divsChild>
                            <w:div w:id="1881933457">
                              <w:marLeft w:val="0"/>
                              <w:marRight w:val="0"/>
                              <w:marTop w:val="0"/>
                              <w:marBottom w:val="0"/>
                              <w:divBdr>
                                <w:top w:val="none" w:sz="0" w:space="0" w:color="auto"/>
                                <w:left w:val="none" w:sz="0" w:space="0" w:color="auto"/>
                                <w:bottom w:val="none" w:sz="0" w:space="0" w:color="auto"/>
                                <w:right w:val="none" w:sz="0" w:space="0" w:color="auto"/>
                              </w:divBdr>
                              <w:divsChild>
                                <w:div w:id="1295066227">
                                  <w:marLeft w:val="0"/>
                                  <w:marRight w:val="0"/>
                                  <w:marTop w:val="0"/>
                                  <w:marBottom w:val="0"/>
                                  <w:divBdr>
                                    <w:top w:val="none" w:sz="0" w:space="0" w:color="auto"/>
                                    <w:left w:val="none" w:sz="0" w:space="0" w:color="auto"/>
                                    <w:bottom w:val="none" w:sz="0" w:space="0" w:color="auto"/>
                                    <w:right w:val="none" w:sz="0" w:space="0" w:color="auto"/>
                                  </w:divBdr>
                                  <w:divsChild>
                                    <w:div w:id="1770813013">
                                      <w:marLeft w:val="0"/>
                                      <w:marRight w:val="0"/>
                                      <w:marTop w:val="0"/>
                                      <w:marBottom w:val="0"/>
                                      <w:divBdr>
                                        <w:top w:val="none" w:sz="0" w:space="0" w:color="auto"/>
                                        <w:left w:val="none" w:sz="0" w:space="0" w:color="auto"/>
                                        <w:bottom w:val="none" w:sz="0" w:space="0" w:color="auto"/>
                                        <w:right w:val="none" w:sz="0" w:space="0" w:color="auto"/>
                                      </w:divBdr>
                                      <w:divsChild>
                                        <w:div w:id="245967751">
                                          <w:marLeft w:val="0"/>
                                          <w:marRight w:val="-14610"/>
                                          <w:marTop w:val="0"/>
                                          <w:marBottom w:val="0"/>
                                          <w:divBdr>
                                            <w:top w:val="none" w:sz="0" w:space="0" w:color="auto"/>
                                            <w:left w:val="none" w:sz="0" w:space="0" w:color="auto"/>
                                            <w:bottom w:val="none" w:sz="0" w:space="0" w:color="auto"/>
                                            <w:right w:val="none" w:sz="0" w:space="0" w:color="auto"/>
                                          </w:divBdr>
                                          <w:divsChild>
                                            <w:div w:id="1683821156">
                                              <w:marLeft w:val="0"/>
                                              <w:marRight w:val="0"/>
                                              <w:marTop w:val="540"/>
                                              <w:marBottom w:val="0"/>
                                              <w:divBdr>
                                                <w:top w:val="none" w:sz="0" w:space="0" w:color="auto"/>
                                                <w:left w:val="none" w:sz="0" w:space="0" w:color="auto"/>
                                                <w:bottom w:val="none" w:sz="0" w:space="0" w:color="auto"/>
                                                <w:right w:val="none" w:sz="0" w:space="0" w:color="auto"/>
                                              </w:divBdr>
                                              <w:divsChild>
                                                <w:div w:id="335423597">
                                                  <w:marLeft w:val="0"/>
                                                  <w:marRight w:val="0"/>
                                                  <w:marTop w:val="0"/>
                                                  <w:marBottom w:val="0"/>
                                                  <w:divBdr>
                                                    <w:top w:val="none" w:sz="0" w:space="0" w:color="auto"/>
                                                    <w:left w:val="none" w:sz="0" w:space="0" w:color="auto"/>
                                                    <w:bottom w:val="none" w:sz="0" w:space="0" w:color="auto"/>
                                                    <w:right w:val="none" w:sz="0" w:space="0" w:color="auto"/>
                                                  </w:divBdr>
                                                  <w:divsChild>
                                                    <w:div w:id="1347366572">
                                                      <w:marLeft w:val="0"/>
                                                      <w:marRight w:val="0"/>
                                                      <w:marTop w:val="0"/>
                                                      <w:marBottom w:val="360"/>
                                                      <w:divBdr>
                                                        <w:top w:val="none" w:sz="0" w:space="0" w:color="auto"/>
                                                        <w:left w:val="none" w:sz="0" w:space="0" w:color="auto"/>
                                                        <w:bottom w:val="none" w:sz="0" w:space="0" w:color="auto"/>
                                                        <w:right w:val="none" w:sz="0" w:space="0" w:color="auto"/>
                                                      </w:divBdr>
                                                      <w:divsChild>
                                                        <w:div w:id="1125931527">
                                                          <w:marLeft w:val="0"/>
                                                          <w:marRight w:val="0"/>
                                                          <w:marTop w:val="0"/>
                                                          <w:marBottom w:val="0"/>
                                                          <w:divBdr>
                                                            <w:top w:val="none" w:sz="0" w:space="0" w:color="auto"/>
                                                            <w:left w:val="none" w:sz="0" w:space="0" w:color="auto"/>
                                                            <w:bottom w:val="none" w:sz="0" w:space="0" w:color="auto"/>
                                                            <w:right w:val="none" w:sz="0" w:space="0" w:color="auto"/>
                                                          </w:divBdr>
                                                          <w:divsChild>
                                                            <w:div w:id="1453742124">
                                                              <w:marLeft w:val="0"/>
                                                              <w:marRight w:val="0"/>
                                                              <w:marTop w:val="0"/>
                                                              <w:marBottom w:val="0"/>
                                                              <w:divBdr>
                                                                <w:top w:val="none" w:sz="0" w:space="0" w:color="auto"/>
                                                                <w:left w:val="none" w:sz="0" w:space="0" w:color="auto"/>
                                                                <w:bottom w:val="none" w:sz="0" w:space="0" w:color="auto"/>
                                                                <w:right w:val="none" w:sz="0" w:space="0" w:color="auto"/>
                                                              </w:divBdr>
                                                              <w:divsChild>
                                                                <w:div w:id="698318582">
                                                                  <w:marLeft w:val="0"/>
                                                                  <w:marRight w:val="0"/>
                                                                  <w:marTop w:val="0"/>
                                                                  <w:marBottom w:val="0"/>
                                                                  <w:divBdr>
                                                                    <w:top w:val="none" w:sz="0" w:space="0" w:color="auto"/>
                                                                    <w:left w:val="none" w:sz="0" w:space="0" w:color="auto"/>
                                                                    <w:bottom w:val="none" w:sz="0" w:space="0" w:color="auto"/>
                                                                    <w:right w:val="none" w:sz="0" w:space="0" w:color="auto"/>
                                                                  </w:divBdr>
                                                                  <w:divsChild>
                                                                    <w:div w:id="302974233">
                                                                      <w:marLeft w:val="0"/>
                                                                      <w:marRight w:val="0"/>
                                                                      <w:marTop w:val="0"/>
                                                                      <w:marBottom w:val="0"/>
                                                                      <w:divBdr>
                                                                        <w:top w:val="none" w:sz="0" w:space="0" w:color="auto"/>
                                                                        <w:left w:val="none" w:sz="0" w:space="0" w:color="auto"/>
                                                                        <w:bottom w:val="none" w:sz="0" w:space="0" w:color="auto"/>
                                                                        <w:right w:val="none" w:sz="0" w:space="0" w:color="auto"/>
                                                                      </w:divBdr>
                                                                      <w:divsChild>
                                                                        <w:div w:id="1468619910">
                                                                          <w:marLeft w:val="0"/>
                                                                          <w:marRight w:val="0"/>
                                                                          <w:marTop w:val="0"/>
                                                                          <w:marBottom w:val="0"/>
                                                                          <w:divBdr>
                                                                            <w:top w:val="none" w:sz="0" w:space="0" w:color="auto"/>
                                                                            <w:left w:val="none" w:sz="0" w:space="0" w:color="auto"/>
                                                                            <w:bottom w:val="none" w:sz="0" w:space="0" w:color="auto"/>
                                                                            <w:right w:val="none" w:sz="0" w:space="0" w:color="auto"/>
                                                                          </w:divBdr>
                                                                          <w:divsChild>
                                                                            <w:div w:id="905799729">
                                                                              <w:marLeft w:val="0"/>
                                                                              <w:marRight w:val="0"/>
                                                                              <w:marTop w:val="0"/>
                                                                              <w:marBottom w:val="0"/>
                                                                              <w:divBdr>
                                                                                <w:top w:val="none" w:sz="0" w:space="0" w:color="auto"/>
                                                                                <w:left w:val="none" w:sz="0" w:space="0" w:color="auto"/>
                                                                                <w:bottom w:val="none" w:sz="0" w:space="0" w:color="auto"/>
                                                                                <w:right w:val="none" w:sz="0" w:space="0" w:color="auto"/>
                                                                              </w:divBdr>
                                                                              <w:divsChild>
                                                                                <w:div w:id="1535732114">
                                                                                  <w:marLeft w:val="0"/>
                                                                                  <w:marRight w:val="0"/>
                                                                                  <w:marTop w:val="0"/>
                                                                                  <w:marBottom w:val="0"/>
                                                                                  <w:divBdr>
                                                                                    <w:top w:val="none" w:sz="0" w:space="0" w:color="auto"/>
                                                                                    <w:left w:val="none" w:sz="0" w:space="0" w:color="auto"/>
                                                                                    <w:bottom w:val="none" w:sz="0" w:space="0" w:color="auto"/>
                                                                                    <w:right w:val="none" w:sz="0" w:space="0" w:color="auto"/>
                                                                                  </w:divBdr>
                                                                                  <w:divsChild>
                                                                                    <w:div w:id="425156260">
                                                                                      <w:marLeft w:val="0"/>
                                                                                      <w:marRight w:val="0"/>
                                                                                      <w:marTop w:val="0"/>
                                                                                      <w:marBottom w:val="0"/>
                                                                                      <w:divBdr>
                                                                                        <w:top w:val="none" w:sz="0" w:space="0" w:color="auto"/>
                                                                                        <w:left w:val="none" w:sz="0" w:space="0" w:color="auto"/>
                                                                                        <w:bottom w:val="none" w:sz="0" w:space="0" w:color="auto"/>
                                                                                        <w:right w:val="none" w:sz="0" w:space="0" w:color="auto"/>
                                                                                      </w:divBdr>
                                                                                      <w:divsChild>
                                                                                        <w:div w:id="1760442142">
                                                                                          <w:marLeft w:val="0"/>
                                                                                          <w:marRight w:val="0"/>
                                                                                          <w:marTop w:val="0"/>
                                                                                          <w:marBottom w:val="0"/>
                                                                                          <w:divBdr>
                                                                                            <w:top w:val="none" w:sz="0" w:space="0" w:color="auto"/>
                                                                                            <w:left w:val="none" w:sz="0" w:space="0" w:color="auto"/>
                                                                                            <w:bottom w:val="none" w:sz="0" w:space="0" w:color="auto"/>
                                                                                            <w:right w:val="none" w:sz="0" w:space="0" w:color="auto"/>
                                                                                          </w:divBdr>
                                                                                          <w:divsChild>
                                                                                            <w:div w:id="1999645638">
                                                                                              <w:marLeft w:val="0"/>
                                                                                              <w:marRight w:val="0"/>
                                                                                              <w:marTop w:val="0"/>
                                                                                              <w:marBottom w:val="0"/>
                                                                                              <w:divBdr>
                                                                                                <w:top w:val="none" w:sz="0" w:space="0" w:color="auto"/>
                                                                                                <w:left w:val="none" w:sz="0" w:space="0" w:color="auto"/>
                                                                                                <w:bottom w:val="none" w:sz="0" w:space="0" w:color="auto"/>
                                                                                                <w:right w:val="none" w:sz="0" w:space="0" w:color="auto"/>
                                                                                              </w:divBdr>
                                                                                              <w:divsChild>
                                                                                                <w:div w:id="16970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2320">
      <w:bodyDiv w:val="1"/>
      <w:marLeft w:val="0"/>
      <w:marRight w:val="0"/>
      <w:marTop w:val="0"/>
      <w:marBottom w:val="0"/>
      <w:divBdr>
        <w:top w:val="none" w:sz="0" w:space="0" w:color="auto"/>
        <w:left w:val="none" w:sz="0" w:space="0" w:color="auto"/>
        <w:bottom w:val="none" w:sz="0" w:space="0" w:color="auto"/>
        <w:right w:val="none" w:sz="0" w:space="0" w:color="auto"/>
      </w:divBdr>
    </w:div>
    <w:div w:id="1881554882">
      <w:bodyDiv w:val="1"/>
      <w:marLeft w:val="0"/>
      <w:marRight w:val="0"/>
      <w:marTop w:val="0"/>
      <w:marBottom w:val="0"/>
      <w:divBdr>
        <w:top w:val="none" w:sz="0" w:space="0" w:color="auto"/>
        <w:left w:val="none" w:sz="0" w:space="0" w:color="auto"/>
        <w:bottom w:val="none" w:sz="0" w:space="0" w:color="auto"/>
        <w:right w:val="none" w:sz="0" w:space="0" w:color="auto"/>
      </w:divBdr>
      <w:divsChild>
        <w:div w:id="732774561">
          <w:marLeft w:val="0"/>
          <w:marRight w:val="0"/>
          <w:marTop w:val="0"/>
          <w:marBottom w:val="0"/>
          <w:divBdr>
            <w:top w:val="none" w:sz="0" w:space="0" w:color="auto"/>
            <w:left w:val="none" w:sz="0" w:space="0" w:color="auto"/>
            <w:bottom w:val="none" w:sz="0" w:space="0" w:color="auto"/>
            <w:right w:val="none" w:sz="0" w:space="0" w:color="auto"/>
          </w:divBdr>
          <w:divsChild>
            <w:div w:id="1528057906">
              <w:marLeft w:val="0"/>
              <w:marRight w:val="0"/>
              <w:marTop w:val="0"/>
              <w:marBottom w:val="0"/>
              <w:divBdr>
                <w:top w:val="none" w:sz="0" w:space="0" w:color="auto"/>
                <w:left w:val="none" w:sz="0" w:space="0" w:color="auto"/>
                <w:bottom w:val="none" w:sz="0" w:space="0" w:color="auto"/>
                <w:right w:val="none" w:sz="0" w:space="0" w:color="auto"/>
              </w:divBdr>
              <w:divsChild>
                <w:div w:id="717507865">
                  <w:marLeft w:val="0"/>
                  <w:marRight w:val="0"/>
                  <w:marTop w:val="0"/>
                  <w:marBottom w:val="0"/>
                  <w:divBdr>
                    <w:top w:val="none" w:sz="0" w:space="0" w:color="auto"/>
                    <w:left w:val="none" w:sz="0" w:space="0" w:color="auto"/>
                    <w:bottom w:val="none" w:sz="0" w:space="0" w:color="auto"/>
                    <w:right w:val="none" w:sz="0" w:space="0" w:color="auto"/>
                  </w:divBdr>
                  <w:divsChild>
                    <w:div w:id="577905110">
                      <w:marLeft w:val="0"/>
                      <w:marRight w:val="0"/>
                      <w:marTop w:val="0"/>
                      <w:marBottom w:val="0"/>
                      <w:divBdr>
                        <w:top w:val="none" w:sz="0" w:space="0" w:color="auto"/>
                        <w:left w:val="none" w:sz="0" w:space="0" w:color="auto"/>
                        <w:bottom w:val="none" w:sz="0" w:space="0" w:color="auto"/>
                        <w:right w:val="none" w:sz="0" w:space="0" w:color="auto"/>
                      </w:divBdr>
                      <w:divsChild>
                        <w:div w:id="474642832">
                          <w:marLeft w:val="0"/>
                          <w:marRight w:val="0"/>
                          <w:marTop w:val="0"/>
                          <w:marBottom w:val="0"/>
                          <w:divBdr>
                            <w:top w:val="none" w:sz="0" w:space="0" w:color="auto"/>
                            <w:left w:val="none" w:sz="0" w:space="0" w:color="auto"/>
                            <w:bottom w:val="none" w:sz="0" w:space="0" w:color="auto"/>
                            <w:right w:val="none" w:sz="0" w:space="0" w:color="auto"/>
                          </w:divBdr>
                          <w:divsChild>
                            <w:div w:id="1466314075">
                              <w:marLeft w:val="0"/>
                              <w:marRight w:val="0"/>
                              <w:marTop w:val="0"/>
                              <w:marBottom w:val="0"/>
                              <w:divBdr>
                                <w:top w:val="none" w:sz="0" w:space="0" w:color="auto"/>
                                <w:left w:val="none" w:sz="0" w:space="0" w:color="auto"/>
                                <w:bottom w:val="none" w:sz="0" w:space="0" w:color="auto"/>
                                <w:right w:val="none" w:sz="0" w:space="0" w:color="auto"/>
                              </w:divBdr>
                              <w:divsChild>
                                <w:div w:id="18277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20399">
      <w:bodyDiv w:val="1"/>
      <w:marLeft w:val="0"/>
      <w:marRight w:val="0"/>
      <w:marTop w:val="0"/>
      <w:marBottom w:val="0"/>
      <w:divBdr>
        <w:top w:val="none" w:sz="0" w:space="0" w:color="auto"/>
        <w:left w:val="none" w:sz="0" w:space="0" w:color="auto"/>
        <w:bottom w:val="none" w:sz="0" w:space="0" w:color="auto"/>
        <w:right w:val="none" w:sz="0" w:space="0" w:color="auto"/>
      </w:divBdr>
      <w:divsChild>
        <w:div w:id="504982652">
          <w:marLeft w:val="0"/>
          <w:marRight w:val="0"/>
          <w:marTop w:val="0"/>
          <w:marBottom w:val="0"/>
          <w:divBdr>
            <w:top w:val="none" w:sz="0" w:space="0" w:color="auto"/>
            <w:left w:val="none" w:sz="0" w:space="0" w:color="auto"/>
            <w:bottom w:val="none" w:sz="0" w:space="0" w:color="auto"/>
            <w:right w:val="none" w:sz="0" w:space="0" w:color="auto"/>
          </w:divBdr>
          <w:divsChild>
            <w:div w:id="801969941">
              <w:marLeft w:val="0"/>
              <w:marRight w:val="0"/>
              <w:marTop w:val="0"/>
              <w:marBottom w:val="0"/>
              <w:divBdr>
                <w:top w:val="none" w:sz="0" w:space="0" w:color="auto"/>
                <w:left w:val="none" w:sz="0" w:space="0" w:color="auto"/>
                <w:bottom w:val="none" w:sz="0" w:space="0" w:color="auto"/>
                <w:right w:val="none" w:sz="0" w:space="0" w:color="auto"/>
              </w:divBdr>
              <w:divsChild>
                <w:div w:id="1927183667">
                  <w:marLeft w:val="0"/>
                  <w:marRight w:val="0"/>
                  <w:marTop w:val="0"/>
                  <w:marBottom w:val="0"/>
                  <w:divBdr>
                    <w:top w:val="none" w:sz="0" w:space="0" w:color="auto"/>
                    <w:left w:val="none" w:sz="0" w:space="0" w:color="auto"/>
                    <w:bottom w:val="none" w:sz="0" w:space="0" w:color="auto"/>
                    <w:right w:val="none" w:sz="0" w:space="0" w:color="auto"/>
                  </w:divBdr>
                  <w:divsChild>
                    <w:div w:id="1813670842">
                      <w:marLeft w:val="0"/>
                      <w:marRight w:val="0"/>
                      <w:marTop w:val="0"/>
                      <w:marBottom w:val="0"/>
                      <w:divBdr>
                        <w:top w:val="none" w:sz="0" w:space="0" w:color="auto"/>
                        <w:left w:val="none" w:sz="0" w:space="0" w:color="auto"/>
                        <w:bottom w:val="none" w:sz="0" w:space="0" w:color="auto"/>
                        <w:right w:val="none" w:sz="0" w:space="0" w:color="auto"/>
                      </w:divBdr>
                      <w:divsChild>
                        <w:div w:id="544219128">
                          <w:marLeft w:val="0"/>
                          <w:marRight w:val="0"/>
                          <w:marTop w:val="0"/>
                          <w:marBottom w:val="0"/>
                          <w:divBdr>
                            <w:top w:val="none" w:sz="0" w:space="0" w:color="auto"/>
                            <w:left w:val="none" w:sz="0" w:space="0" w:color="auto"/>
                            <w:bottom w:val="none" w:sz="0" w:space="0" w:color="auto"/>
                            <w:right w:val="none" w:sz="0" w:space="0" w:color="auto"/>
                          </w:divBdr>
                          <w:divsChild>
                            <w:div w:id="2076774952">
                              <w:marLeft w:val="0"/>
                              <w:marRight w:val="0"/>
                              <w:marTop w:val="0"/>
                              <w:marBottom w:val="0"/>
                              <w:divBdr>
                                <w:top w:val="none" w:sz="0" w:space="0" w:color="auto"/>
                                <w:left w:val="none" w:sz="0" w:space="0" w:color="auto"/>
                                <w:bottom w:val="none" w:sz="0" w:space="0" w:color="auto"/>
                                <w:right w:val="none" w:sz="0" w:space="0" w:color="auto"/>
                              </w:divBdr>
                              <w:divsChild>
                                <w:div w:id="571043394">
                                  <w:marLeft w:val="0"/>
                                  <w:marRight w:val="0"/>
                                  <w:marTop w:val="0"/>
                                  <w:marBottom w:val="0"/>
                                  <w:divBdr>
                                    <w:top w:val="none" w:sz="0" w:space="0" w:color="auto"/>
                                    <w:left w:val="none" w:sz="0" w:space="0" w:color="auto"/>
                                    <w:bottom w:val="none" w:sz="0" w:space="0" w:color="auto"/>
                                    <w:right w:val="none" w:sz="0" w:space="0" w:color="auto"/>
                                  </w:divBdr>
                                  <w:divsChild>
                                    <w:div w:id="658076824">
                                      <w:marLeft w:val="0"/>
                                      <w:marRight w:val="0"/>
                                      <w:marTop w:val="0"/>
                                      <w:marBottom w:val="0"/>
                                      <w:divBdr>
                                        <w:top w:val="none" w:sz="0" w:space="0" w:color="auto"/>
                                        <w:left w:val="none" w:sz="0" w:space="0" w:color="auto"/>
                                        <w:bottom w:val="none" w:sz="0" w:space="0" w:color="auto"/>
                                        <w:right w:val="none" w:sz="0" w:space="0" w:color="auto"/>
                                      </w:divBdr>
                                      <w:divsChild>
                                        <w:div w:id="1192063976">
                                          <w:marLeft w:val="0"/>
                                          <w:marRight w:val="-14610"/>
                                          <w:marTop w:val="0"/>
                                          <w:marBottom w:val="0"/>
                                          <w:divBdr>
                                            <w:top w:val="none" w:sz="0" w:space="0" w:color="auto"/>
                                            <w:left w:val="none" w:sz="0" w:space="0" w:color="auto"/>
                                            <w:bottom w:val="none" w:sz="0" w:space="0" w:color="auto"/>
                                            <w:right w:val="none" w:sz="0" w:space="0" w:color="auto"/>
                                          </w:divBdr>
                                          <w:divsChild>
                                            <w:div w:id="2124954536">
                                              <w:marLeft w:val="0"/>
                                              <w:marRight w:val="0"/>
                                              <w:marTop w:val="540"/>
                                              <w:marBottom w:val="0"/>
                                              <w:divBdr>
                                                <w:top w:val="none" w:sz="0" w:space="0" w:color="auto"/>
                                                <w:left w:val="none" w:sz="0" w:space="0" w:color="auto"/>
                                                <w:bottom w:val="none" w:sz="0" w:space="0" w:color="auto"/>
                                                <w:right w:val="none" w:sz="0" w:space="0" w:color="auto"/>
                                              </w:divBdr>
                                              <w:divsChild>
                                                <w:div w:id="629821245">
                                                  <w:marLeft w:val="0"/>
                                                  <w:marRight w:val="0"/>
                                                  <w:marTop w:val="0"/>
                                                  <w:marBottom w:val="0"/>
                                                  <w:divBdr>
                                                    <w:top w:val="none" w:sz="0" w:space="0" w:color="auto"/>
                                                    <w:left w:val="none" w:sz="0" w:space="0" w:color="auto"/>
                                                    <w:bottom w:val="none" w:sz="0" w:space="0" w:color="auto"/>
                                                    <w:right w:val="none" w:sz="0" w:space="0" w:color="auto"/>
                                                  </w:divBdr>
                                                  <w:divsChild>
                                                    <w:div w:id="1576360977">
                                                      <w:marLeft w:val="0"/>
                                                      <w:marRight w:val="0"/>
                                                      <w:marTop w:val="0"/>
                                                      <w:marBottom w:val="360"/>
                                                      <w:divBdr>
                                                        <w:top w:val="none" w:sz="0" w:space="0" w:color="auto"/>
                                                        <w:left w:val="none" w:sz="0" w:space="0" w:color="auto"/>
                                                        <w:bottom w:val="none" w:sz="0" w:space="0" w:color="auto"/>
                                                        <w:right w:val="none" w:sz="0" w:space="0" w:color="auto"/>
                                                      </w:divBdr>
                                                      <w:divsChild>
                                                        <w:div w:id="1431925614">
                                                          <w:marLeft w:val="0"/>
                                                          <w:marRight w:val="0"/>
                                                          <w:marTop w:val="0"/>
                                                          <w:marBottom w:val="0"/>
                                                          <w:divBdr>
                                                            <w:top w:val="none" w:sz="0" w:space="0" w:color="auto"/>
                                                            <w:left w:val="none" w:sz="0" w:space="0" w:color="auto"/>
                                                            <w:bottom w:val="none" w:sz="0" w:space="0" w:color="auto"/>
                                                            <w:right w:val="none" w:sz="0" w:space="0" w:color="auto"/>
                                                          </w:divBdr>
                                                          <w:divsChild>
                                                            <w:div w:id="1366522354">
                                                              <w:marLeft w:val="0"/>
                                                              <w:marRight w:val="0"/>
                                                              <w:marTop w:val="0"/>
                                                              <w:marBottom w:val="0"/>
                                                              <w:divBdr>
                                                                <w:top w:val="none" w:sz="0" w:space="0" w:color="auto"/>
                                                                <w:left w:val="none" w:sz="0" w:space="0" w:color="auto"/>
                                                                <w:bottom w:val="none" w:sz="0" w:space="0" w:color="auto"/>
                                                                <w:right w:val="none" w:sz="0" w:space="0" w:color="auto"/>
                                                              </w:divBdr>
                                                              <w:divsChild>
                                                                <w:div w:id="104932894">
                                                                  <w:marLeft w:val="0"/>
                                                                  <w:marRight w:val="0"/>
                                                                  <w:marTop w:val="0"/>
                                                                  <w:marBottom w:val="0"/>
                                                                  <w:divBdr>
                                                                    <w:top w:val="none" w:sz="0" w:space="0" w:color="auto"/>
                                                                    <w:left w:val="none" w:sz="0" w:space="0" w:color="auto"/>
                                                                    <w:bottom w:val="none" w:sz="0" w:space="0" w:color="auto"/>
                                                                    <w:right w:val="none" w:sz="0" w:space="0" w:color="auto"/>
                                                                  </w:divBdr>
                                                                  <w:divsChild>
                                                                    <w:div w:id="1223327509">
                                                                      <w:marLeft w:val="0"/>
                                                                      <w:marRight w:val="0"/>
                                                                      <w:marTop w:val="0"/>
                                                                      <w:marBottom w:val="0"/>
                                                                      <w:divBdr>
                                                                        <w:top w:val="none" w:sz="0" w:space="0" w:color="auto"/>
                                                                        <w:left w:val="none" w:sz="0" w:space="0" w:color="auto"/>
                                                                        <w:bottom w:val="none" w:sz="0" w:space="0" w:color="auto"/>
                                                                        <w:right w:val="none" w:sz="0" w:space="0" w:color="auto"/>
                                                                      </w:divBdr>
                                                                      <w:divsChild>
                                                                        <w:div w:id="1649551304">
                                                                          <w:marLeft w:val="0"/>
                                                                          <w:marRight w:val="0"/>
                                                                          <w:marTop w:val="0"/>
                                                                          <w:marBottom w:val="0"/>
                                                                          <w:divBdr>
                                                                            <w:top w:val="none" w:sz="0" w:space="0" w:color="auto"/>
                                                                            <w:left w:val="none" w:sz="0" w:space="0" w:color="auto"/>
                                                                            <w:bottom w:val="none" w:sz="0" w:space="0" w:color="auto"/>
                                                                            <w:right w:val="none" w:sz="0" w:space="0" w:color="auto"/>
                                                                          </w:divBdr>
                                                                          <w:divsChild>
                                                                            <w:div w:id="74013635">
                                                                              <w:marLeft w:val="0"/>
                                                                              <w:marRight w:val="0"/>
                                                                              <w:marTop w:val="0"/>
                                                                              <w:marBottom w:val="0"/>
                                                                              <w:divBdr>
                                                                                <w:top w:val="none" w:sz="0" w:space="0" w:color="auto"/>
                                                                                <w:left w:val="none" w:sz="0" w:space="0" w:color="auto"/>
                                                                                <w:bottom w:val="none" w:sz="0" w:space="0" w:color="auto"/>
                                                                                <w:right w:val="none" w:sz="0" w:space="0" w:color="auto"/>
                                                                              </w:divBdr>
                                                                              <w:divsChild>
                                                                                <w:div w:id="557017142">
                                                                                  <w:marLeft w:val="0"/>
                                                                                  <w:marRight w:val="0"/>
                                                                                  <w:marTop w:val="0"/>
                                                                                  <w:marBottom w:val="0"/>
                                                                                  <w:divBdr>
                                                                                    <w:top w:val="none" w:sz="0" w:space="0" w:color="auto"/>
                                                                                    <w:left w:val="none" w:sz="0" w:space="0" w:color="auto"/>
                                                                                    <w:bottom w:val="none" w:sz="0" w:space="0" w:color="auto"/>
                                                                                    <w:right w:val="none" w:sz="0" w:space="0" w:color="auto"/>
                                                                                  </w:divBdr>
                                                                                  <w:divsChild>
                                                                                    <w:div w:id="2099980131">
                                                                                      <w:marLeft w:val="0"/>
                                                                                      <w:marRight w:val="0"/>
                                                                                      <w:marTop w:val="0"/>
                                                                                      <w:marBottom w:val="0"/>
                                                                                      <w:divBdr>
                                                                                        <w:top w:val="none" w:sz="0" w:space="0" w:color="auto"/>
                                                                                        <w:left w:val="none" w:sz="0" w:space="0" w:color="auto"/>
                                                                                        <w:bottom w:val="none" w:sz="0" w:space="0" w:color="auto"/>
                                                                                        <w:right w:val="none" w:sz="0" w:space="0" w:color="auto"/>
                                                                                      </w:divBdr>
                                                                                      <w:divsChild>
                                                                                        <w:div w:id="1150248917">
                                                                                          <w:marLeft w:val="0"/>
                                                                                          <w:marRight w:val="0"/>
                                                                                          <w:marTop w:val="0"/>
                                                                                          <w:marBottom w:val="0"/>
                                                                                          <w:divBdr>
                                                                                            <w:top w:val="none" w:sz="0" w:space="0" w:color="auto"/>
                                                                                            <w:left w:val="none" w:sz="0" w:space="0" w:color="auto"/>
                                                                                            <w:bottom w:val="none" w:sz="0" w:space="0" w:color="auto"/>
                                                                                            <w:right w:val="none" w:sz="0" w:space="0" w:color="auto"/>
                                                                                          </w:divBdr>
                                                                                          <w:divsChild>
                                                                                            <w:div w:id="1631086528">
                                                                                              <w:marLeft w:val="0"/>
                                                                                              <w:marRight w:val="0"/>
                                                                                              <w:marTop w:val="0"/>
                                                                                              <w:marBottom w:val="0"/>
                                                                                              <w:divBdr>
                                                                                                <w:top w:val="none" w:sz="0" w:space="0" w:color="auto"/>
                                                                                                <w:left w:val="none" w:sz="0" w:space="0" w:color="auto"/>
                                                                                                <w:bottom w:val="none" w:sz="0" w:space="0" w:color="auto"/>
                                                                                                <w:right w:val="none" w:sz="0" w:space="0" w:color="auto"/>
                                                                                              </w:divBdr>
                                                                                              <w:divsChild>
                                                                                                <w:div w:id="7591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qsc.govt.nz/our-programmes/health-quality-evaluation/projects/patient-experience/primary-care-patient-experience/" TargetMode="External"/><Relationship Id="rId18" Type="http://schemas.openxmlformats.org/officeDocument/2006/relationships/hyperlink" Target="http://nsfl.health.govt.nz/accountability/performance-and-monitoring" TargetMode="External"/><Relationship Id="rId26" Type="http://schemas.openxmlformats.org/officeDocument/2006/relationships/hyperlink" Target="https://www.nsu.govt.nz/health-professionals/breastscreen-aotearoa/breast-screening-coverage" TargetMode="External"/><Relationship Id="rId39" Type="http://schemas.openxmlformats.org/officeDocument/2006/relationships/hyperlink" Target="https://strokenetwork.org.nz/Nurse%20Working%20Group" TargetMode="External"/><Relationship Id="rId3" Type="http://schemas.openxmlformats.org/officeDocument/2006/relationships/customXml" Target="../customXml/item3.xml"/><Relationship Id="rId21" Type="http://schemas.openxmlformats.org/officeDocument/2006/relationships/hyperlink" Target="http://www.health.govt.nz/publication/transition-planning-guidelines-infant-child-and-adolescent-mental-health-alcohol-and-other-drugs" TargetMode="External"/><Relationship Id="rId34" Type="http://schemas.openxmlformats.org/officeDocument/2006/relationships/hyperlink" Target="https://www.health.govt.nz/publication/framework-health-literacy"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alth.govt.nz/publication/enrolling-babies-birth" TargetMode="External"/><Relationship Id="rId25" Type="http://schemas.openxmlformats.org/officeDocument/2006/relationships/hyperlink" Target="https://www.nsu.govt.nz/health-professionals/breastscreen-aotearoa/breast-screening-coverage" TargetMode="External"/><Relationship Id="rId33" Type="http://schemas.openxmlformats.org/officeDocument/2006/relationships/hyperlink" Target="https://www.health.govt.nz/publication/self-management-support-people-long-term-conditions" TargetMode="External"/><Relationship Id="rId38" Type="http://schemas.openxmlformats.org/officeDocument/2006/relationships/hyperlink" Target="https://informme.org.au/Guidelines/Clinical-Guidelines-for-Stroke-Management-2017"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yperlink" Target="https://scanmail.trustwave.com/?c=5305&amp;d=k-C22qGV2oNiSU7U2keXCEjsjLzP78eEb9VncFpahw&amp;u=https%3a%2f%2fwww%2ehqsc%2egovt%2enz%2four-programmes%2fmental-health-and-addiction-quality-improvement%2f" TargetMode="External"/><Relationship Id="rId29" Type="http://schemas.openxmlformats.org/officeDocument/2006/relationships/hyperlink" Target="http://nsfl.health.govt.nz/accountability/performance-and-monitor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sfl.health.govt.nz/accountability/performance-and-monitoring" TargetMode="External"/><Relationship Id="rId32" Type="http://schemas.openxmlformats.org/officeDocument/2006/relationships/image" Target="media/image2.png"/><Relationship Id="rId37" Type="http://schemas.openxmlformats.org/officeDocument/2006/relationships/hyperlink" Target="https://nsfl.health.govt.nz/dhb-planning-package/equity-actions-dhb-annual-plans"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lth.govt.nz/new-zealand-health-system/system-level-measures-framework/system-level-measure-youth-access-and-utilisation-youth-appropriate-health-services" TargetMode="External"/><Relationship Id="rId23" Type="http://schemas.openxmlformats.org/officeDocument/2006/relationships/hyperlink" Target="https://www.health.govt.nz/nz-health-statistics/national-collections-and-surveys/collections/primhd-mental-health-data/mental-health-and-addiction-services-data-calculating-waiting-times" TargetMode="External"/><Relationship Id="rId28" Type="http://schemas.openxmlformats.org/officeDocument/2006/relationships/hyperlink" Target="https://www.nsu.govt.nz/health-professionals/national-cervical-screening-programme/cervical-screening-coverage" TargetMode="External"/><Relationship Id="rId36" Type="http://schemas.openxmlformats.org/officeDocument/2006/relationships/hyperlink" Target="http://nsfl.health.govt.nz/accountability/performance-and-monitoring" TargetMode="External"/><Relationship Id="rId10" Type="http://schemas.openxmlformats.org/officeDocument/2006/relationships/footnotes" Target="footnotes.xml"/><Relationship Id="rId19" Type="http://schemas.openxmlformats.org/officeDocument/2006/relationships/hyperlink" Target="https://www.oag.govt.nz/2017/mental-health" TargetMode="External"/><Relationship Id="rId31" Type="http://schemas.openxmlformats.org/officeDocument/2006/relationships/hyperlink" Target="http://www.nsfl.govt.nz"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qsc.govt.nz/our-programmes/health-quality-evaluation/publications-and-resources/publication/3161/" TargetMode="External"/><Relationship Id="rId22" Type="http://schemas.openxmlformats.org/officeDocument/2006/relationships/hyperlink" Target="http://nsfl.health.govt.nz/accountability/performance-and-monitoring" TargetMode="External"/><Relationship Id="rId27" Type="http://schemas.openxmlformats.org/officeDocument/2006/relationships/hyperlink" Target="https://www.nsu.govt.nz/health-professionals/national-cervical-screening-programme/cervical-screening-coverage" TargetMode="External"/><Relationship Id="rId30" Type="http://schemas.openxmlformats.org/officeDocument/2006/relationships/hyperlink" Target="http://www.nsfl.health.govt.nz/" TargetMode="External"/><Relationship Id="rId35" Type="http://schemas.openxmlformats.org/officeDocument/2006/relationships/hyperlink" Target="https://informme.org.au/Guidelines"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tats.govt.nz/~/media/statistics/class-stnd/ethnicity/ethnic05-statistical-standard.aspx" TargetMode="External"/><Relationship Id="rId2" Type="http://schemas.openxmlformats.org/officeDocument/2006/relationships/hyperlink" Target="http://www.stats.govt.nz/~/media/statistics/class-stnd/ethnicity/ethnic05-statistical-standard.aspx" TargetMode="External"/><Relationship Id="rId1" Type="http://schemas.openxmlformats.org/officeDocument/2006/relationships/hyperlink" Target="http://www.stats.govt.nz/~/media/statistics/class-stnd/ethnicity/ethnic05-statistical-standard.aspx" TargetMode="External"/><Relationship Id="rId4" Type="http://schemas.openxmlformats.org/officeDocument/2006/relationships/hyperlink" Target="http://www.stats.govt.nz/~/media/statistics/class-stnd/ethnicity/ethnic05-statistical-stand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2" ma:contentTypeDescription="Create a new document." ma:contentTypeScope="" ma:versionID="bdc6a0113488ade502d89beda3500ef5">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1082264e2cc586a03eeb65402cfe9692"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5BD33E-664A-4EF8-A0E4-B3AFC86D9370}">
  <ds:schemaRefs>
    <ds:schemaRef ds:uri="http://schemas.microsoft.com/sharepoint/v3/contenttype/forms"/>
  </ds:schemaRefs>
</ds:datastoreItem>
</file>

<file path=customXml/itemProps3.xml><?xml version="1.0" encoding="utf-8"?>
<ds:datastoreItem xmlns:ds="http://schemas.openxmlformats.org/officeDocument/2006/customXml" ds:itemID="{A9262BBD-C936-42C1-92DE-5AB80887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9C00F-72C1-49BC-A3F6-B2314ED1BBC3}">
  <ds:schemaRefs>
    <ds:schemaRef ds:uri="http://schemas.openxmlformats.org/officeDocument/2006/bibliography"/>
  </ds:schemaRefs>
</ds:datastoreItem>
</file>

<file path=customXml/itemProps5.xml><?xml version="1.0" encoding="utf-8"?>
<ds:datastoreItem xmlns:ds="http://schemas.openxmlformats.org/officeDocument/2006/customXml" ds:itemID="{E2E434DD-D4FC-40F8-BF0B-EB4896DB0D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157</Pages>
  <Words>52587</Words>
  <Characters>300368</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DHB non-financial monitoring framework and performance measures</vt:lpstr>
    </vt:vector>
  </TitlesOfParts>
  <Company>Ministry of Health</Company>
  <LinksUpToDate>false</LinksUpToDate>
  <CharactersWithSpaces>352251</CharactersWithSpaces>
  <SharedDoc>false</SharedDoc>
  <HLinks>
    <vt:vector size="258" baseType="variant">
      <vt:variant>
        <vt:i4>5701642</vt:i4>
      </vt:variant>
      <vt:variant>
        <vt:i4>219</vt:i4>
      </vt:variant>
      <vt:variant>
        <vt:i4>0</vt:i4>
      </vt:variant>
      <vt:variant>
        <vt:i4>5</vt:i4>
      </vt:variant>
      <vt:variant>
        <vt:lpwstr>http://www.nsfl.govt.nz/</vt:lpwstr>
      </vt:variant>
      <vt:variant>
        <vt:lpwstr/>
      </vt:variant>
      <vt:variant>
        <vt:i4>4456455</vt:i4>
      </vt:variant>
      <vt:variant>
        <vt:i4>216</vt:i4>
      </vt:variant>
      <vt:variant>
        <vt:i4>0</vt:i4>
      </vt:variant>
      <vt:variant>
        <vt:i4>5</vt:i4>
      </vt:variant>
      <vt:variant>
        <vt:lpwstr>http://www.hqsc.govt.nz/</vt:lpwstr>
      </vt:variant>
      <vt:variant>
        <vt:lpwstr/>
      </vt:variant>
      <vt:variant>
        <vt:i4>5701642</vt:i4>
      </vt:variant>
      <vt:variant>
        <vt:i4>213</vt:i4>
      </vt:variant>
      <vt:variant>
        <vt:i4>0</vt:i4>
      </vt:variant>
      <vt:variant>
        <vt:i4>5</vt:i4>
      </vt:variant>
      <vt:variant>
        <vt:lpwstr>http://www.nsfl.govt.nz/</vt:lpwstr>
      </vt:variant>
      <vt:variant>
        <vt:lpwstr/>
      </vt:variant>
      <vt:variant>
        <vt:i4>2687081</vt:i4>
      </vt:variant>
      <vt:variant>
        <vt:i4>210</vt:i4>
      </vt:variant>
      <vt:variant>
        <vt:i4>0</vt:i4>
      </vt:variant>
      <vt:variant>
        <vt:i4>5</vt:i4>
      </vt:variant>
      <vt:variant>
        <vt:lpwstr>http://www.nsfl.health.govt.nz/</vt:lpwstr>
      </vt:variant>
      <vt:variant>
        <vt:lpwstr/>
      </vt:variant>
      <vt:variant>
        <vt:i4>2687081</vt:i4>
      </vt:variant>
      <vt:variant>
        <vt:i4>207</vt:i4>
      </vt:variant>
      <vt:variant>
        <vt:i4>0</vt:i4>
      </vt:variant>
      <vt:variant>
        <vt:i4>5</vt:i4>
      </vt:variant>
      <vt:variant>
        <vt:lpwstr>http://www.nsfl.health.govt.nz/</vt:lpwstr>
      </vt:variant>
      <vt:variant>
        <vt:lpwstr/>
      </vt:variant>
      <vt:variant>
        <vt:i4>2687081</vt:i4>
      </vt:variant>
      <vt:variant>
        <vt:i4>204</vt:i4>
      </vt:variant>
      <vt:variant>
        <vt:i4>0</vt:i4>
      </vt:variant>
      <vt:variant>
        <vt:i4>5</vt:i4>
      </vt:variant>
      <vt:variant>
        <vt:lpwstr>http://www.nsfl.health.govt.nz/</vt:lpwstr>
      </vt:variant>
      <vt:variant>
        <vt:lpwstr/>
      </vt:variant>
      <vt:variant>
        <vt:i4>7340152</vt:i4>
      </vt:variant>
      <vt:variant>
        <vt:i4>201</vt:i4>
      </vt:variant>
      <vt:variant>
        <vt:i4>0</vt:i4>
      </vt:variant>
      <vt:variant>
        <vt:i4>5</vt:i4>
      </vt:variant>
      <vt:variant>
        <vt:lpwstr>http://www.childrensactionplan.govt.nz/</vt:lpwstr>
      </vt:variant>
      <vt:variant>
        <vt:lpwstr/>
      </vt:variant>
      <vt:variant>
        <vt:i4>3932283</vt:i4>
      </vt:variant>
      <vt:variant>
        <vt:i4>198</vt:i4>
      </vt:variant>
      <vt:variant>
        <vt:i4>0</vt:i4>
      </vt:variant>
      <vt:variant>
        <vt:i4>5</vt:i4>
      </vt:variant>
      <vt:variant>
        <vt:lpwstr>http://www.health.govt.nz/publication/guidance-implementing-high-quality-multidisciplinary-meetings</vt:lpwstr>
      </vt:variant>
      <vt:variant>
        <vt:lpwstr/>
      </vt:variant>
      <vt:variant>
        <vt:i4>1114164</vt:i4>
      </vt:variant>
      <vt:variant>
        <vt:i4>178</vt:i4>
      </vt:variant>
      <vt:variant>
        <vt:i4>0</vt:i4>
      </vt:variant>
      <vt:variant>
        <vt:i4>5</vt:i4>
      </vt:variant>
      <vt:variant>
        <vt:lpwstr/>
      </vt:variant>
      <vt:variant>
        <vt:lpwstr>_Toc401311046</vt:lpwstr>
      </vt:variant>
      <vt:variant>
        <vt:i4>1114164</vt:i4>
      </vt:variant>
      <vt:variant>
        <vt:i4>172</vt:i4>
      </vt:variant>
      <vt:variant>
        <vt:i4>0</vt:i4>
      </vt:variant>
      <vt:variant>
        <vt:i4>5</vt:i4>
      </vt:variant>
      <vt:variant>
        <vt:lpwstr/>
      </vt:variant>
      <vt:variant>
        <vt:lpwstr>_Toc401311045</vt:lpwstr>
      </vt:variant>
      <vt:variant>
        <vt:i4>1114164</vt:i4>
      </vt:variant>
      <vt:variant>
        <vt:i4>166</vt:i4>
      </vt:variant>
      <vt:variant>
        <vt:i4>0</vt:i4>
      </vt:variant>
      <vt:variant>
        <vt:i4>5</vt:i4>
      </vt:variant>
      <vt:variant>
        <vt:lpwstr/>
      </vt:variant>
      <vt:variant>
        <vt:lpwstr>_Toc401311043</vt:lpwstr>
      </vt:variant>
      <vt:variant>
        <vt:i4>1114164</vt:i4>
      </vt:variant>
      <vt:variant>
        <vt:i4>160</vt:i4>
      </vt:variant>
      <vt:variant>
        <vt:i4>0</vt:i4>
      </vt:variant>
      <vt:variant>
        <vt:i4>5</vt:i4>
      </vt:variant>
      <vt:variant>
        <vt:lpwstr/>
      </vt:variant>
      <vt:variant>
        <vt:lpwstr>_Toc401311042</vt:lpwstr>
      </vt:variant>
      <vt:variant>
        <vt:i4>1114164</vt:i4>
      </vt:variant>
      <vt:variant>
        <vt:i4>154</vt:i4>
      </vt:variant>
      <vt:variant>
        <vt:i4>0</vt:i4>
      </vt:variant>
      <vt:variant>
        <vt:i4>5</vt:i4>
      </vt:variant>
      <vt:variant>
        <vt:lpwstr/>
      </vt:variant>
      <vt:variant>
        <vt:lpwstr>_Toc401311040</vt:lpwstr>
      </vt:variant>
      <vt:variant>
        <vt:i4>1441844</vt:i4>
      </vt:variant>
      <vt:variant>
        <vt:i4>148</vt:i4>
      </vt:variant>
      <vt:variant>
        <vt:i4>0</vt:i4>
      </vt:variant>
      <vt:variant>
        <vt:i4>5</vt:i4>
      </vt:variant>
      <vt:variant>
        <vt:lpwstr/>
      </vt:variant>
      <vt:variant>
        <vt:lpwstr>_Toc401311039</vt:lpwstr>
      </vt:variant>
      <vt:variant>
        <vt:i4>1441844</vt:i4>
      </vt:variant>
      <vt:variant>
        <vt:i4>142</vt:i4>
      </vt:variant>
      <vt:variant>
        <vt:i4>0</vt:i4>
      </vt:variant>
      <vt:variant>
        <vt:i4>5</vt:i4>
      </vt:variant>
      <vt:variant>
        <vt:lpwstr/>
      </vt:variant>
      <vt:variant>
        <vt:lpwstr>_Toc401311037</vt:lpwstr>
      </vt:variant>
      <vt:variant>
        <vt:i4>1441844</vt:i4>
      </vt:variant>
      <vt:variant>
        <vt:i4>136</vt:i4>
      </vt:variant>
      <vt:variant>
        <vt:i4>0</vt:i4>
      </vt:variant>
      <vt:variant>
        <vt:i4>5</vt:i4>
      </vt:variant>
      <vt:variant>
        <vt:lpwstr/>
      </vt:variant>
      <vt:variant>
        <vt:lpwstr>_Toc401311035</vt:lpwstr>
      </vt:variant>
      <vt:variant>
        <vt:i4>1441844</vt:i4>
      </vt:variant>
      <vt:variant>
        <vt:i4>130</vt:i4>
      </vt:variant>
      <vt:variant>
        <vt:i4>0</vt:i4>
      </vt:variant>
      <vt:variant>
        <vt:i4>5</vt:i4>
      </vt:variant>
      <vt:variant>
        <vt:lpwstr/>
      </vt:variant>
      <vt:variant>
        <vt:lpwstr>_Toc401311034</vt:lpwstr>
      </vt:variant>
      <vt:variant>
        <vt:i4>1441844</vt:i4>
      </vt:variant>
      <vt:variant>
        <vt:i4>124</vt:i4>
      </vt:variant>
      <vt:variant>
        <vt:i4>0</vt:i4>
      </vt:variant>
      <vt:variant>
        <vt:i4>5</vt:i4>
      </vt:variant>
      <vt:variant>
        <vt:lpwstr/>
      </vt:variant>
      <vt:variant>
        <vt:lpwstr>_Toc401311033</vt:lpwstr>
      </vt:variant>
      <vt:variant>
        <vt:i4>1441844</vt:i4>
      </vt:variant>
      <vt:variant>
        <vt:i4>118</vt:i4>
      </vt:variant>
      <vt:variant>
        <vt:i4>0</vt:i4>
      </vt:variant>
      <vt:variant>
        <vt:i4>5</vt:i4>
      </vt:variant>
      <vt:variant>
        <vt:lpwstr/>
      </vt:variant>
      <vt:variant>
        <vt:lpwstr>_Toc401311031</vt:lpwstr>
      </vt:variant>
      <vt:variant>
        <vt:i4>1441844</vt:i4>
      </vt:variant>
      <vt:variant>
        <vt:i4>112</vt:i4>
      </vt:variant>
      <vt:variant>
        <vt:i4>0</vt:i4>
      </vt:variant>
      <vt:variant>
        <vt:i4>5</vt:i4>
      </vt:variant>
      <vt:variant>
        <vt:lpwstr/>
      </vt:variant>
      <vt:variant>
        <vt:lpwstr>_Toc401311030</vt:lpwstr>
      </vt:variant>
      <vt:variant>
        <vt:i4>1507380</vt:i4>
      </vt:variant>
      <vt:variant>
        <vt:i4>106</vt:i4>
      </vt:variant>
      <vt:variant>
        <vt:i4>0</vt:i4>
      </vt:variant>
      <vt:variant>
        <vt:i4>5</vt:i4>
      </vt:variant>
      <vt:variant>
        <vt:lpwstr/>
      </vt:variant>
      <vt:variant>
        <vt:lpwstr>_Toc401311029</vt:lpwstr>
      </vt:variant>
      <vt:variant>
        <vt:i4>1507380</vt:i4>
      </vt:variant>
      <vt:variant>
        <vt:i4>100</vt:i4>
      </vt:variant>
      <vt:variant>
        <vt:i4>0</vt:i4>
      </vt:variant>
      <vt:variant>
        <vt:i4>5</vt:i4>
      </vt:variant>
      <vt:variant>
        <vt:lpwstr/>
      </vt:variant>
      <vt:variant>
        <vt:lpwstr>_Toc401311027</vt:lpwstr>
      </vt:variant>
      <vt:variant>
        <vt:i4>1507380</vt:i4>
      </vt:variant>
      <vt:variant>
        <vt:i4>94</vt:i4>
      </vt:variant>
      <vt:variant>
        <vt:i4>0</vt:i4>
      </vt:variant>
      <vt:variant>
        <vt:i4>5</vt:i4>
      </vt:variant>
      <vt:variant>
        <vt:lpwstr/>
      </vt:variant>
      <vt:variant>
        <vt:lpwstr>_Toc401311026</vt:lpwstr>
      </vt:variant>
      <vt:variant>
        <vt:i4>1507380</vt:i4>
      </vt:variant>
      <vt:variant>
        <vt:i4>88</vt:i4>
      </vt:variant>
      <vt:variant>
        <vt:i4>0</vt:i4>
      </vt:variant>
      <vt:variant>
        <vt:i4>5</vt:i4>
      </vt:variant>
      <vt:variant>
        <vt:lpwstr/>
      </vt:variant>
      <vt:variant>
        <vt:lpwstr>_Toc401311025</vt:lpwstr>
      </vt:variant>
      <vt:variant>
        <vt:i4>1507380</vt:i4>
      </vt:variant>
      <vt:variant>
        <vt:i4>82</vt:i4>
      </vt:variant>
      <vt:variant>
        <vt:i4>0</vt:i4>
      </vt:variant>
      <vt:variant>
        <vt:i4>5</vt:i4>
      </vt:variant>
      <vt:variant>
        <vt:lpwstr/>
      </vt:variant>
      <vt:variant>
        <vt:lpwstr>_Toc401311024</vt:lpwstr>
      </vt:variant>
      <vt:variant>
        <vt:i4>1507380</vt:i4>
      </vt:variant>
      <vt:variant>
        <vt:i4>76</vt:i4>
      </vt:variant>
      <vt:variant>
        <vt:i4>0</vt:i4>
      </vt:variant>
      <vt:variant>
        <vt:i4>5</vt:i4>
      </vt:variant>
      <vt:variant>
        <vt:lpwstr/>
      </vt:variant>
      <vt:variant>
        <vt:lpwstr>_Toc401311023</vt:lpwstr>
      </vt:variant>
      <vt:variant>
        <vt:i4>1507380</vt:i4>
      </vt:variant>
      <vt:variant>
        <vt:i4>70</vt:i4>
      </vt:variant>
      <vt:variant>
        <vt:i4>0</vt:i4>
      </vt:variant>
      <vt:variant>
        <vt:i4>5</vt:i4>
      </vt:variant>
      <vt:variant>
        <vt:lpwstr/>
      </vt:variant>
      <vt:variant>
        <vt:lpwstr>_Toc401311022</vt:lpwstr>
      </vt:variant>
      <vt:variant>
        <vt:i4>1507380</vt:i4>
      </vt:variant>
      <vt:variant>
        <vt:i4>64</vt:i4>
      </vt:variant>
      <vt:variant>
        <vt:i4>0</vt:i4>
      </vt:variant>
      <vt:variant>
        <vt:i4>5</vt:i4>
      </vt:variant>
      <vt:variant>
        <vt:lpwstr/>
      </vt:variant>
      <vt:variant>
        <vt:lpwstr>_Toc401311021</vt:lpwstr>
      </vt:variant>
      <vt:variant>
        <vt:i4>1507380</vt:i4>
      </vt:variant>
      <vt:variant>
        <vt:i4>58</vt:i4>
      </vt:variant>
      <vt:variant>
        <vt:i4>0</vt:i4>
      </vt:variant>
      <vt:variant>
        <vt:i4>5</vt:i4>
      </vt:variant>
      <vt:variant>
        <vt:lpwstr/>
      </vt:variant>
      <vt:variant>
        <vt:lpwstr>_Toc401311020</vt:lpwstr>
      </vt:variant>
      <vt:variant>
        <vt:i4>1310772</vt:i4>
      </vt:variant>
      <vt:variant>
        <vt:i4>52</vt:i4>
      </vt:variant>
      <vt:variant>
        <vt:i4>0</vt:i4>
      </vt:variant>
      <vt:variant>
        <vt:i4>5</vt:i4>
      </vt:variant>
      <vt:variant>
        <vt:lpwstr/>
      </vt:variant>
      <vt:variant>
        <vt:lpwstr>_Toc401311019</vt:lpwstr>
      </vt:variant>
      <vt:variant>
        <vt:i4>1310772</vt:i4>
      </vt:variant>
      <vt:variant>
        <vt:i4>46</vt:i4>
      </vt:variant>
      <vt:variant>
        <vt:i4>0</vt:i4>
      </vt:variant>
      <vt:variant>
        <vt:i4>5</vt:i4>
      </vt:variant>
      <vt:variant>
        <vt:lpwstr/>
      </vt:variant>
      <vt:variant>
        <vt:lpwstr>_Toc401311018</vt:lpwstr>
      </vt:variant>
      <vt:variant>
        <vt:i4>1310772</vt:i4>
      </vt:variant>
      <vt:variant>
        <vt:i4>40</vt:i4>
      </vt:variant>
      <vt:variant>
        <vt:i4>0</vt:i4>
      </vt:variant>
      <vt:variant>
        <vt:i4>5</vt:i4>
      </vt:variant>
      <vt:variant>
        <vt:lpwstr/>
      </vt:variant>
      <vt:variant>
        <vt:lpwstr>_Toc401311017</vt:lpwstr>
      </vt:variant>
      <vt:variant>
        <vt:i4>1310772</vt:i4>
      </vt:variant>
      <vt:variant>
        <vt:i4>34</vt:i4>
      </vt:variant>
      <vt:variant>
        <vt:i4>0</vt:i4>
      </vt:variant>
      <vt:variant>
        <vt:i4>5</vt:i4>
      </vt:variant>
      <vt:variant>
        <vt:lpwstr/>
      </vt:variant>
      <vt:variant>
        <vt:lpwstr>_Toc401311016</vt:lpwstr>
      </vt:variant>
      <vt:variant>
        <vt:i4>1310772</vt:i4>
      </vt:variant>
      <vt:variant>
        <vt:i4>28</vt:i4>
      </vt:variant>
      <vt:variant>
        <vt:i4>0</vt:i4>
      </vt:variant>
      <vt:variant>
        <vt:i4>5</vt:i4>
      </vt:variant>
      <vt:variant>
        <vt:lpwstr/>
      </vt:variant>
      <vt:variant>
        <vt:lpwstr>_Toc401311015</vt:lpwstr>
      </vt:variant>
      <vt:variant>
        <vt:i4>1310772</vt:i4>
      </vt:variant>
      <vt:variant>
        <vt:i4>22</vt:i4>
      </vt:variant>
      <vt:variant>
        <vt:i4>0</vt:i4>
      </vt:variant>
      <vt:variant>
        <vt:i4>5</vt:i4>
      </vt:variant>
      <vt:variant>
        <vt:lpwstr/>
      </vt:variant>
      <vt:variant>
        <vt:lpwstr>_Toc401311014</vt:lpwstr>
      </vt:variant>
      <vt:variant>
        <vt:i4>1310772</vt:i4>
      </vt:variant>
      <vt:variant>
        <vt:i4>16</vt:i4>
      </vt:variant>
      <vt:variant>
        <vt:i4>0</vt:i4>
      </vt:variant>
      <vt:variant>
        <vt:i4>5</vt:i4>
      </vt:variant>
      <vt:variant>
        <vt:lpwstr/>
      </vt:variant>
      <vt:variant>
        <vt:lpwstr>_Toc401311013</vt:lpwstr>
      </vt:variant>
      <vt:variant>
        <vt:i4>1310772</vt:i4>
      </vt:variant>
      <vt:variant>
        <vt:i4>10</vt:i4>
      </vt:variant>
      <vt:variant>
        <vt:i4>0</vt:i4>
      </vt:variant>
      <vt:variant>
        <vt:i4>5</vt:i4>
      </vt:variant>
      <vt:variant>
        <vt:lpwstr/>
      </vt:variant>
      <vt:variant>
        <vt:lpwstr>_Toc401311012</vt:lpwstr>
      </vt:variant>
      <vt:variant>
        <vt:i4>1310772</vt:i4>
      </vt:variant>
      <vt:variant>
        <vt:i4>4</vt:i4>
      </vt:variant>
      <vt:variant>
        <vt:i4>0</vt:i4>
      </vt:variant>
      <vt:variant>
        <vt:i4>5</vt:i4>
      </vt:variant>
      <vt:variant>
        <vt:lpwstr/>
      </vt:variant>
      <vt:variant>
        <vt:lpwstr>_Toc401311011</vt:lpwstr>
      </vt:variant>
      <vt:variant>
        <vt:i4>2949173</vt:i4>
      </vt:variant>
      <vt:variant>
        <vt:i4>12</vt:i4>
      </vt:variant>
      <vt:variant>
        <vt:i4>0</vt:i4>
      </vt:variant>
      <vt:variant>
        <vt:i4>5</vt:i4>
      </vt:variant>
      <vt:variant>
        <vt:lpwstr>http://www.stats.govt.nz/~/media/statistics/class-stnd/ethnicity/ethnic05-statistical-standard.aspx</vt:lpwstr>
      </vt:variant>
      <vt:variant>
        <vt:lpwstr/>
      </vt:variant>
      <vt:variant>
        <vt:i4>2949173</vt:i4>
      </vt:variant>
      <vt:variant>
        <vt:i4>9</vt:i4>
      </vt:variant>
      <vt:variant>
        <vt:i4>0</vt:i4>
      </vt:variant>
      <vt:variant>
        <vt:i4>5</vt:i4>
      </vt:variant>
      <vt:variant>
        <vt:lpwstr>http://www.stats.govt.nz/~/media/statistics/class-stnd/ethnicity/ethnic05-statistical-standard.aspx</vt:lpwstr>
      </vt:variant>
      <vt:variant>
        <vt:lpwstr/>
      </vt:variant>
      <vt:variant>
        <vt:i4>2949173</vt:i4>
      </vt:variant>
      <vt:variant>
        <vt:i4>6</vt:i4>
      </vt:variant>
      <vt:variant>
        <vt:i4>0</vt:i4>
      </vt:variant>
      <vt:variant>
        <vt:i4>5</vt:i4>
      </vt:variant>
      <vt:variant>
        <vt:lpwstr>http://www.stats.govt.nz/~/media/statistics/class-stnd/ethnicity/ethnic05-statistical-standard.aspx</vt:lpwstr>
      </vt:variant>
      <vt:variant>
        <vt:lpwstr/>
      </vt:variant>
      <vt:variant>
        <vt:i4>2949173</vt:i4>
      </vt:variant>
      <vt:variant>
        <vt:i4>3</vt:i4>
      </vt:variant>
      <vt:variant>
        <vt:i4>0</vt:i4>
      </vt:variant>
      <vt:variant>
        <vt:i4>5</vt:i4>
      </vt:variant>
      <vt:variant>
        <vt:lpwstr>http://www.stats.govt.nz/~/media/statistics/class-stnd/ethnicity/ethnic05-statistical-standard.aspx</vt:lpwstr>
      </vt:variant>
      <vt:variant>
        <vt:lpwstr/>
      </vt:variant>
      <vt:variant>
        <vt:i4>2949173</vt:i4>
      </vt:variant>
      <vt:variant>
        <vt:i4>0</vt:i4>
      </vt:variant>
      <vt:variant>
        <vt:i4>0</vt:i4>
      </vt:variant>
      <vt:variant>
        <vt:i4>5</vt:i4>
      </vt:variant>
      <vt:variant>
        <vt:lpwstr>http://www.stats.govt.nz/~/media/statistics/class-stnd/ethnicity/ethnic05-statistical-standard.aspx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DHB non-financial monitoring framework and performance measures</dc:title>
  <dc:creator>Ministry Of Health</dc:creator>
  <cp:lastModifiedBy>Liz Stirling</cp:lastModifiedBy>
  <cp:revision>2</cp:revision>
  <cp:lastPrinted>2018-12-18T20:33:00Z</cp:lastPrinted>
  <dcterms:created xsi:type="dcterms:W3CDTF">2021-10-05T21:56:00Z</dcterms:created>
  <dcterms:modified xsi:type="dcterms:W3CDTF">2021-10-05T21:56:00Z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ies>
</file>