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066" w:rsidRDefault="001D1066" w:rsidP="001D1066">
      <w:pPr>
        <w:pStyle w:val="Title"/>
      </w:pPr>
    </w:p>
    <w:p w:rsidR="001D1066" w:rsidRDefault="001D1066" w:rsidP="001D1066">
      <w:pPr>
        <w:pStyle w:val="Title"/>
      </w:pPr>
    </w:p>
    <w:p w:rsidR="001D1066" w:rsidRDefault="001D1066" w:rsidP="001D1066">
      <w:pPr>
        <w:pStyle w:val="Title"/>
      </w:pPr>
    </w:p>
    <w:p w:rsidR="001D1066" w:rsidRPr="0061212E" w:rsidRDefault="001D1066" w:rsidP="001D1066">
      <w:pPr>
        <w:pStyle w:val="Title"/>
      </w:pPr>
      <w:r w:rsidRPr="0061212E">
        <w:t>Psychoactive Substances</w:t>
      </w:r>
    </w:p>
    <w:p w:rsidR="001D1066" w:rsidRPr="0061212E" w:rsidRDefault="001D1066" w:rsidP="001D1066">
      <w:pPr>
        <w:pStyle w:val="Year"/>
      </w:pPr>
      <w:r>
        <w:t>Product Approval Guidelines</w:t>
      </w:r>
    </w:p>
    <w:p w:rsidR="001D1066" w:rsidRPr="0061212E" w:rsidRDefault="001D1066" w:rsidP="001D1066">
      <w:pPr>
        <w:pStyle w:val="Subhead"/>
      </w:pPr>
    </w:p>
    <w:p w:rsidR="00CE6F6A" w:rsidRPr="000F1FF2" w:rsidRDefault="00CE6F6A" w:rsidP="00CE6F6A">
      <w:pPr>
        <w:rPr>
          <w:rStyle w:val="Arial"/>
        </w:rPr>
      </w:pPr>
    </w:p>
    <w:p w:rsidR="00CE6F6A" w:rsidRPr="000F1FF2" w:rsidRDefault="00E11C63" w:rsidP="00CE6F6A">
      <w:pPr>
        <w:rPr>
          <w:rStyle w:val="Arial"/>
        </w:rPr>
      </w:pPr>
      <w:r>
        <w:rPr>
          <w:rStyle w:val="Arial"/>
        </w:rPr>
        <w:t>16 January 2015</w:t>
      </w:r>
    </w:p>
    <w:p w:rsidR="00CE6F6A" w:rsidRDefault="00CE6F6A" w:rsidP="00CE6F6A"/>
    <w:p w:rsidR="004B0CB2" w:rsidRDefault="004B0CB2" w:rsidP="00CE6F6A">
      <w:pPr>
        <w:rPr>
          <w:u w:val="single"/>
        </w:rPr>
      </w:pPr>
    </w:p>
    <w:p w:rsidR="00C86428" w:rsidRDefault="00C86428">
      <w:pPr>
        <w:rPr>
          <w:rFonts w:ascii="Arial" w:hAnsi="Arial"/>
          <w:bCs/>
          <w:kern w:val="36"/>
          <w:sz w:val="52"/>
          <w:szCs w:val="48"/>
          <w:lang w:val="en-NZ" w:eastAsia="en-NZ"/>
        </w:rPr>
      </w:pPr>
      <w:r>
        <w:br w:type="page"/>
      </w:r>
    </w:p>
    <w:p w:rsidR="00CE6F6A" w:rsidRDefault="00CE6F6A" w:rsidP="00CE6F6A">
      <w:pPr>
        <w:pStyle w:val="Heading1"/>
        <w:jc w:val="center"/>
      </w:pPr>
    </w:p>
    <w:sdt>
      <w:sdtPr>
        <w:rPr>
          <w:rFonts w:ascii="Arial" w:eastAsia="Times New Roman" w:hAnsi="Arial" w:cs="Arial"/>
          <w:b/>
          <w:bCs w:val="0"/>
          <w:color w:val="auto"/>
          <w:sz w:val="24"/>
          <w:szCs w:val="24"/>
          <w:lang w:val="en-GB" w:eastAsia="en-GB"/>
        </w:rPr>
        <w:id w:val="1086652187"/>
        <w:docPartObj>
          <w:docPartGallery w:val="Table of Contents"/>
          <w:docPartUnique/>
        </w:docPartObj>
      </w:sdtPr>
      <w:sdtEndPr>
        <w:rPr>
          <w:rStyle w:val="Arial"/>
          <w:b w:val="0"/>
        </w:rPr>
      </w:sdtEndPr>
      <w:sdtContent>
        <w:p w:rsidR="001A2E58" w:rsidRPr="00DB34DC" w:rsidRDefault="001A2E58" w:rsidP="00CE6F6A">
          <w:pPr>
            <w:pStyle w:val="TOCHeading"/>
            <w:jc w:val="center"/>
            <w:rPr>
              <w:rFonts w:ascii="Arial" w:hAnsi="Arial" w:cs="Arial"/>
              <w:color w:val="auto"/>
              <w:sz w:val="32"/>
              <w:szCs w:val="32"/>
              <w:u w:val="single"/>
            </w:rPr>
          </w:pPr>
          <w:r w:rsidRPr="00DB34DC">
            <w:rPr>
              <w:rFonts w:ascii="Arial" w:hAnsi="Arial" w:cs="Arial"/>
              <w:color w:val="auto"/>
              <w:sz w:val="32"/>
              <w:szCs w:val="32"/>
              <w:u w:val="single"/>
            </w:rPr>
            <w:t>Contents</w:t>
          </w:r>
        </w:p>
        <w:p w:rsidR="00CE6F6A" w:rsidRPr="00DB34DC" w:rsidRDefault="00CE6F6A" w:rsidP="00CE6F6A">
          <w:pPr>
            <w:rPr>
              <w:rFonts w:ascii="Arial" w:hAnsi="Arial" w:cs="Arial"/>
              <w:lang w:val="en-US" w:eastAsia="ja-JP"/>
            </w:rPr>
          </w:pPr>
        </w:p>
        <w:p w:rsidR="002B4FD9" w:rsidRPr="002B4FD9" w:rsidRDefault="001A2E58">
          <w:pPr>
            <w:pStyle w:val="TOC1"/>
            <w:rPr>
              <w:rFonts w:ascii="Arial" w:eastAsiaTheme="minorEastAsia" w:hAnsi="Arial" w:cs="Arial"/>
              <w:noProof/>
              <w:lang w:val="en-NZ" w:eastAsia="en-NZ"/>
            </w:rPr>
          </w:pPr>
          <w:r w:rsidRPr="00DB34DC">
            <w:rPr>
              <w:rFonts w:ascii="Arial" w:hAnsi="Arial" w:cs="Arial"/>
            </w:rPr>
            <w:fldChar w:fldCharType="begin"/>
          </w:r>
          <w:r w:rsidRPr="00DB34DC">
            <w:rPr>
              <w:rFonts w:ascii="Arial" w:hAnsi="Arial" w:cs="Arial"/>
            </w:rPr>
            <w:instrText xml:space="preserve"> TOC \o "1-3" \h \z \u </w:instrText>
          </w:r>
          <w:r w:rsidRPr="00DB34DC">
            <w:rPr>
              <w:rFonts w:ascii="Arial" w:hAnsi="Arial" w:cs="Arial"/>
            </w:rPr>
            <w:fldChar w:fldCharType="separate"/>
          </w:r>
          <w:hyperlink w:anchor="_Toc409508673" w:history="1">
            <w:r w:rsidR="002B4FD9" w:rsidRPr="002B4FD9">
              <w:rPr>
                <w:rStyle w:val="Hyperlink"/>
                <w:rFonts w:ascii="Arial" w:hAnsi="Arial" w:cs="Arial"/>
                <w:noProof/>
              </w:rPr>
              <w:t>Glossary of terms</w:t>
            </w:r>
            <w:r w:rsidR="002B4FD9" w:rsidRPr="002B4FD9">
              <w:rPr>
                <w:rFonts w:ascii="Arial" w:hAnsi="Arial" w:cs="Arial"/>
                <w:noProof/>
                <w:webHidden/>
              </w:rPr>
              <w:tab/>
            </w:r>
            <w:r w:rsidR="002B4FD9" w:rsidRPr="002B4FD9">
              <w:rPr>
                <w:rFonts w:ascii="Arial" w:hAnsi="Arial" w:cs="Arial"/>
                <w:noProof/>
                <w:webHidden/>
              </w:rPr>
              <w:fldChar w:fldCharType="begin"/>
            </w:r>
            <w:r w:rsidR="002B4FD9" w:rsidRPr="002B4FD9">
              <w:rPr>
                <w:rFonts w:ascii="Arial" w:hAnsi="Arial" w:cs="Arial"/>
                <w:noProof/>
                <w:webHidden/>
              </w:rPr>
              <w:instrText xml:space="preserve"> PAGEREF _Toc409508673 \h </w:instrText>
            </w:r>
            <w:r w:rsidR="002B4FD9" w:rsidRPr="002B4FD9">
              <w:rPr>
                <w:rFonts w:ascii="Arial" w:hAnsi="Arial" w:cs="Arial"/>
                <w:noProof/>
                <w:webHidden/>
              </w:rPr>
            </w:r>
            <w:r w:rsidR="002B4FD9" w:rsidRPr="002B4FD9">
              <w:rPr>
                <w:rFonts w:ascii="Arial" w:hAnsi="Arial" w:cs="Arial"/>
                <w:noProof/>
                <w:webHidden/>
              </w:rPr>
              <w:fldChar w:fldCharType="separate"/>
            </w:r>
            <w:r w:rsidR="002B4FD9" w:rsidRPr="002B4FD9">
              <w:rPr>
                <w:rFonts w:ascii="Arial" w:hAnsi="Arial" w:cs="Arial"/>
                <w:noProof/>
                <w:webHidden/>
              </w:rPr>
              <w:t>4</w:t>
            </w:r>
            <w:r w:rsidR="002B4FD9" w:rsidRPr="002B4FD9">
              <w:rPr>
                <w:rFonts w:ascii="Arial" w:hAnsi="Arial" w:cs="Arial"/>
                <w:noProof/>
                <w:webHidden/>
              </w:rPr>
              <w:fldChar w:fldCharType="end"/>
            </w:r>
          </w:hyperlink>
        </w:p>
        <w:p w:rsidR="002B4FD9" w:rsidRPr="002B4FD9" w:rsidRDefault="002916A6">
          <w:pPr>
            <w:pStyle w:val="TOC1"/>
            <w:tabs>
              <w:tab w:val="left" w:pos="480"/>
            </w:tabs>
            <w:rPr>
              <w:rFonts w:ascii="Arial" w:eastAsiaTheme="minorEastAsia" w:hAnsi="Arial" w:cs="Arial"/>
              <w:noProof/>
              <w:lang w:val="en-NZ" w:eastAsia="en-NZ"/>
            </w:rPr>
          </w:pPr>
          <w:hyperlink w:anchor="_Toc409508674" w:history="1">
            <w:r w:rsidR="002B4FD9" w:rsidRPr="002B4FD9">
              <w:rPr>
                <w:rStyle w:val="Hyperlink"/>
                <w:rFonts w:ascii="Arial" w:hAnsi="Arial" w:cs="Arial"/>
                <w:noProof/>
              </w:rPr>
              <w:t>1</w:t>
            </w:r>
            <w:r w:rsidR="002B4FD9" w:rsidRPr="002B4FD9">
              <w:rPr>
                <w:rFonts w:ascii="Arial" w:eastAsiaTheme="minorEastAsia" w:hAnsi="Arial" w:cs="Arial"/>
                <w:noProof/>
                <w:lang w:val="en-NZ" w:eastAsia="en-NZ"/>
              </w:rPr>
              <w:tab/>
            </w:r>
            <w:r w:rsidR="002B4FD9" w:rsidRPr="002B4FD9">
              <w:rPr>
                <w:rStyle w:val="Hyperlink"/>
                <w:rFonts w:ascii="Arial" w:hAnsi="Arial" w:cs="Arial"/>
                <w:noProof/>
              </w:rPr>
              <w:t>Background</w:t>
            </w:r>
            <w:r w:rsidR="002B4FD9" w:rsidRPr="002B4FD9">
              <w:rPr>
                <w:rFonts w:ascii="Arial" w:hAnsi="Arial" w:cs="Arial"/>
                <w:noProof/>
                <w:webHidden/>
              </w:rPr>
              <w:tab/>
            </w:r>
            <w:r w:rsidR="002B4FD9" w:rsidRPr="002B4FD9">
              <w:rPr>
                <w:rFonts w:ascii="Arial" w:hAnsi="Arial" w:cs="Arial"/>
                <w:noProof/>
                <w:webHidden/>
              </w:rPr>
              <w:fldChar w:fldCharType="begin"/>
            </w:r>
            <w:r w:rsidR="002B4FD9" w:rsidRPr="002B4FD9">
              <w:rPr>
                <w:rFonts w:ascii="Arial" w:hAnsi="Arial" w:cs="Arial"/>
                <w:noProof/>
                <w:webHidden/>
              </w:rPr>
              <w:instrText xml:space="preserve"> PAGEREF _Toc409508674 \h </w:instrText>
            </w:r>
            <w:r w:rsidR="002B4FD9" w:rsidRPr="002B4FD9">
              <w:rPr>
                <w:rFonts w:ascii="Arial" w:hAnsi="Arial" w:cs="Arial"/>
                <w:noProof/>
                <w:webHidden/>
              </w:rPr>
            </w:r>
            <w:r w:rsidR="002B4FD9" w:rsidRPr="002B4FD9">
              <w:rPr>
                <w:rFonts w:ascii="Arial" w:hAnsi="Arial" w:cs="Arial"/>
                <w:noProof/>
                <w:webHidden/>
              </w:rPr>
              <w:fldChar w:fldCharType="separate"/>
            </w:r>
            <w:r w:rsidR="002B4FD9" w:rsidRPr="002B4FD9">
              <w:rPr>
                <w:rFonts w:ascii="Arial" w:hAnsi="Arial" w:cs="Arial"/>
                <w:noProof/>
                <w:webHidden/>
              </w:rPr>
              <w:t>6</w:t>
            </w:r>
            <w:r w:rsidR="002B4FD9" w:rsidRPr="002B4FD9">
              <w:rPr>
                <w:rFonts w:ascii="Arial" w:hAnsi="Arial" w:cs="Arial"/>
                <w:noProof/>
                <w:webHidden/>
              </w:rPr>
              <w:fldChar w:fldCharType="end"/>
            </w:r>
          </w:hyperlink>
        </w:p>
        <w:p w:rsidR="002B4FD9" w:rsidRPr="002B4FD9" w:rsidRDefault="002916A6">
          <w:pPr>
            <w:pStyle w:val="TOC1"/>
            <w:tabs>
              <w:tab w:val="left" w:pos="480"/>
            </w:tabs>
            <w:rPr>
              <w:rFonts w:ascii="Arial" w:eastAsiaTheme="minorEastAsia" w:hAnsi="Arial" w:cs="Arial"/>
              <w:noProof/>
              <w:lang w:val="en-NZ" w:eastAsia="en-NZ"/>
            </w:rPr>
          </w:pPr>
          <w:hyperlink w:anchor="_Toc409508675" w:history="1">
            <w:r w:rsidR="002B4FD9" w:rsidRPr="002B4FD9">
              <w:rPr>
                <w:rStyle w:val="Hyperlink"/>
                <w:rFonts w:ascii="Arial" w:hAnsi="Arial" w:cs="Arial"/>
                <w:noProof/>
              </w:rPr>
              <w:t>2</w:t>
            </w:r>
            <w:r w:rsidR="002B4FD9" w:rsidRPr="002B4FD9">
              <w:rPr>
                <w:rFonts w:ascii="Arial" w:eastAsiaTheme="minorEastAsia" w:hAnsi="Arial" w:cs="Arial"/>
                <w:noProof/>
                <w:lang w:val="en-NZ" w:eastAsia="en-NZ"/>
              </w:rPr>
              <w:tab/>
            </w:r>
            <w:r w:rsidR="002B4FD9" w:rsidRPr="002B4FD9">
              <w:rPr>
                <w:rStyle w:val="Hyperlink"/>
                <w:rFonts w:ascii="Arial" w:hAnsi="Arial" w:cs="Arial"/>
                <w:noProof/>
              </w:rPr>
              <w:t>Introduction to the legislative framework</w:t>
            </w:r>
            <w:r w:rsidR="002B4FD9" w:rsidRPr="002B4FD9">
              <w:rPr>
                <w:rFonts w:ascii="Arial" w:hAnsi="Arial" w:cs="Arial"/>
                <w:noProof/>
                <w:webHidden/>
              </w:rPr>
              <w:tab/>
            </w:r>
            <w:r w:rsidR="002B4FD9" w:rsidRPr="002B4FD9">
              <w:rPr>
                <w:rFonts w:ascii="Arial" w:hAnsi="Arial" w:cs="Arial"/>
                <w:noProof/>
                <w:webHidden/>
              </w:rPr>
              <w:fldChar w:fldCharType="begin"/>
            </w:r>
            <w:r w:rsidR="002B4FD9" w:rsidRPr="002B4FD9">
              <w:rPr>
                <w:rFonts w:ascii="Arial" w:hAnsi="Arial" w:cs="Arial"/>
                <w:noProof/>
                <w:webHidden/>
              </w:rPr>
              <w:instrText xml:space="preserve"> PAGEREF _Toc409508675 \h </w:instrText>
            </w:r>
            <w:r w:rsidR="002B4FD9" w:rsidRPr="002B4FD9">
              <w:rPr>
                <w:rFonts w:ascii="Arial" w:hAnsi="Arial" w:cs="Arial"/>
                <w:noProof/>
                <w:webHidden/>
              </w:rPr>
            </w:r>
            <w:r w:rsidR="002B4FD9" w:rsidRPr="002B4FD9">
              <w:rPr>
                <w:rFonts w:ascii="Arial" w:hAnsi="Arial" w:cs="Arial"/>
                <w:noProof/>
                <w:webHidden/>
              </w:rPr>
              <w:fldChar w:fldCharType="separate"/>
            </w:r>
            <w:r w:rsidR="002B4FD9" w:rsidRPr="002B4FD9">
              <w:rPr>
                <w:rFonts w:ascii="Arial" w:hAnsi="Arial" w:cs="Arial"/>
                <w:noProof/>
                <w:webHidden/>
              </w:rPr>
              <w:t>7</w:t>
            </w:r>
            <w:r w:rsidR="002B4FD9" w:rsidRPr="002B4FD9">
              <w:rPr>
                <w:rFonts w:ascii="Arial" w:hAnsi="Arial" w:cs="Arial"/>
                <w:noProof/>
                <w:webHidden/>
              </w:rPr>
              <w:fldChar w:fldCharType="end"/>
            </w:r>
          </w:hyperlink>
        </w:p>
        <w:p w:rsidR="002B4FD9" w:rsidRPr="002B4FD9" w:rsidRDefault="002916A6">
          <w:pPr>
            <w:pStyle w:val="TOC3"/>
            <w:tabs>
              <w:tab w:val="left" w:pos="1100"/>
            </w:tabs>
            <w:rPr>
              <w:rFonts w:eastAsiaTheme="minorEastAsia"/>
              <w:lang w:val="en-NZ" w:eastAsia="en-NZ"/>
            </w:rPr>
          </w:pPr>
          <w:hyperlink w:anchor="_Toc409508676" w:history="1">
            <w:r w:rsidR="002B4FD9" w:rsidRPr="002B4FD9">
              <w:rPr>
                <w:rStyle w:val="Hyperlink"/>
              </w:rPr>
              <w:t>2.1</w:t>
            </w:r>
            <w:r w:rsidR="002B4FD9" w:rsidRPr="002B4FD9">
              <w:rPr>
                <w:rFonts w:eastAsiaTheme="minorEastAsia"/>
                <w:lang w:val="en-NZ" w:eastAsia="en-NZ"/>
              </w:rPr>
              <w:tab/>
            </w:r>
            <w:r w:rsidR="002B4FD9" w:rsidRPr="002B4FD9">
              <w:rPr>
                <w:rStyle w:val="Hyperlink"/>
              </w:rPr>
              <w:t>The Psychoactive Substances legislation and guidelines</w:t>
            </w:r>
            <w:r w:rsidR="002B4FD9" w:rsidRPr="002B4FD9">
              <w:rPr>
                <w:webHidden/>
              </w:rPr>
              <w:tab/>
            </w:r>
            <w:r w:rsidR="002B4FD9" w:rsidRPr="002B4FD9">
              <w:rPr>
                <w:webHidden/>
              </w:rPr>
              <w:fldChar w:fldCharType="begin"/>
            </w:r>
            <w:r w:rsidR="002B4FD9" w:rsidRPr="002B4FD9">
              <w:rPr>
                <w:webHidden/>
              </w:rPr>
              <w:instrText xml:space="preserve"> PAGEREF _Toc409508676 \h </w:instrText>
            </w:r>
            <w:r w:rsidR="002B4FD9" w:rsidRPr="002B4FD9">
              <w:rPr>
                <w:webHidden/>
              </w:rPr>
            </w:r>
            <w:r w:rsidR="002B4FD9" w:rsidRPr="002B4FD9">
              <w:rPr>
                <w:webHidden/>
              </w:rPr>
              <w:fldChar w:fldCharType="separate"/>
            </w:r>
            <w:r w:rsidR="002B4FD9" w:rsidRPr="002B4FD9">
              <w:rPr>
                <w:webHidden/>
              </w:rPr>
              <w:t>7</w:t>
            </w:r>
            <w:r w:rsidR="002B4FD9" w:rsidRPr="002B4FD9">
              <w:rPr>
                <w:webHidden/>
              </w:rPr>
              <w:fldChar w:fldCharType="end"/>
            </w:r>
          </w:hyperlink>
        </w:p>
        <w:p w:rsidR="002B4FD9" w:rsidRPr="002B4FD9" w:rsidRDefault="002916A6">
          <w:pPr>
            <w:pStyle w:val="TOC3"/>
            <w:tabs>
              <w:tab w:val="left" w:pos="1100"/>
            </w:tabs>
            <w:rPr>
              <w:rFonts w:eastAsiaTheme="minorEastAsia"/>
              <w:lang w:val="en-NZ" w:eastAsia="en-NZ"/>
            </w:rPr>
          </w:pPr>
          <w:hyperlink w:anchor="_Toc409508677" w:history="1">
            <w:r w:rsidR="002B4FD9" w:rsidRPr="002B4FD9">
              <w:rPr>
                <w:rStyle w:val="Hyperlink"/>
              </w:rPr>
              <w:t>2.2</w:t>
            </w:r>
            <w:r w:rsidR="002B4FD9" w:rsidRPr="002B4FD9">
              <w:rPr>
                <w:rFonts w:eastAsiaTheme="minorEastAsia"/>
                <w:lang w:val="en-NZ" w:eastAsia="en-NZ"/>
              </w:rPr>
              <w:tab/>
            </w:r>
            <w:r w:rsidR="002B4FD9" w:rsidRPr="002B4FD9">
              <w:rPr>
                <w:rStyle w:val="Hyperlink"/>
              </w:rPr>
              <w:t>Other relevant legislation to be read in conjunction with the PSR Guidelines:</w:t>
            </w:r>
            <w:r w:rsidR="002B4FD9" w:rsidRPr="002B4FD9">
              <w:rPr>
                <w:webHidden/>
              </w:rPr>
              <w:tab/>
            </w:r>
            <w:r w:rsidR="002B4FD9" w:rsidRPr="002B4FD9">
              <w:rPr>
                <w:webHidden/>
              </w:rPr>
              <w:fldChar w:fldCharType="begin"/>
            </w:r>
            <w:r w:rsidR="002B4FD9" w:rsidRPr="002B4FD9">
              <w:rPr>
                <w:webHidden/>
              </w:rPr>
              <w:instrText xml:space="preserve"> PAGEREF _Toc409508677 \h </w:instrText>
            </w:r>
            <w:r w:rsidR="002B4FD9" w:rsidRPr="002B4FD9">
              <w:rPr>
                <w:webHidden/>
              </w:rPr>
            </w:r>
            <w:r w:rsidR="002B4FD9" w:rsidRPr="002B4FD9">
              <w:rPr>
                <w:webHidden/>
              </w:rPr>
              <w:fldChar w:fldCharType="separate"/>
            </w:r>
            <w:r w:rsidR="002B4FD9" w:rsidRPr="002B4FD9">
              <w:rPr>
                <w:webHidden/>
              </w:rPr>
              <w:t>7</w:t>
            </w:r>
            <w:r w:rsidR="002B4FD9" w:rsidRPr="002B4FD9">
              <w:rPr>
                <w:webHidden/>
              </w:rPr>
              <w:fldChar w:fldCharType="end"/>
            </w:r>
          </w:hyperlink>
        </w:p>
        <w:p w:rsidR="002B4FD9" w:rsidRPr="002B4FD9" w:rsidRDefault="002916A6">
          <w:pPr>
            <w:pStyle w:val="TOC1"/>
            <w:tabs>
              <w:tab w:val="left" w:pos="480"/>
            </w:tabs>
            <w:rPr>
              <w:rFonts w:ascii="Arial" w:eastAsiaTheme="minorEastAsia" w:hAnsi="Arial" w:cs="Arial"/>
              <w:noProof/>
              <w:lang w:val="en-NZ" w:eastAsia="en-NZ"/>
            </w:rPr>
          </w:pPr>
          <w:hyperlink w:anchor="_Toc409508678" w:history="1">
            <w:r w:rsidR="002B4FD9" w:rsidRPr="002B4FD9">
              <w:rPr>
                <w:rStyle w:val="Hyperlink"/>
                <w:rFonts w:ascii="Arial" w:hAnsi="Arial" w:cs="Arial"/>
                <w:noProof/>
              </w:rPr>
              <w:t>3</w:t>
            </w:r>
            <w:r w:rsidR="002B4FD9" w:rsidRPr="002B4FD9">
              <w:rPr>
                <w:rFonts w:ascii="Arial" w:eastAsiaTheme="minorEastAsia" w:hAnsi="Arial" w:cs="Arial"/>
                <w:noProof/>
                <w:lang w:val="en-NZ" w:eastAsia="en-NZ"/>
              </w:rPr>
              <w:tab/>
            </w:r>
            <w:r w:rsidR="002B4FD9" w:rsidRPr="002B4FD9">
              <w:rPr>
                <w:rStyle w:val="Hyperlink"/>
                <w:rFonts w:ascii="Arial" w:hAnsi="Arial" w:cs="Arial"/>
                <w:noProof/>
              </w:rPr>
              <w:t>Principles of the Act</w:t>
            </w:r>
            <w:r w:rsidR="002B4FD9" w:rsidRPr="002B4FD9">
              <w:rPr>
                <w:rFonts w:ascii="Arial" w:hAnsi="Arial" w:cs="Arial"/>
                <w:noProof/>
                <w:webHidden/>
              </w:rPr>
              <w:tab/>
            </w:r>
            <w:r w:rsidR="002B4FD9" w:rsidRPr="002B4FD9">
              <w:rPr>
                <w:rFonts w:ascii="Arial" w:hAnsi="Arial" w:cs="Arial"/>
                <w:noProof/>
                <w:webHidden/>
              </w:rPr>
              <w:fldChar w:fldCharType="begin"/>
            </w:r>
            <w:r w:rsidR="002B4FD9" w:rsidRPr="002B4FD9">
              <w:rPr>
                <w:rFonts w:ascii="Arial" w:hAnsi="Arial" w:cs="Arial"/>
                <w:noProof/>
                <w:webHidden/>
              </w:rPr>
              <w:instrText xml:space="preserve"> PAGEREF _Toc409508678 \h </w:instrText>
            </w:r>
            <w:r w:rsidR="002B4FD9" w:rsidRPr="002B4FD9">
              <w:rPr>
                <w:rFonts w:ascii="Arial" w:hAnsi="Arial" w:cs="Arial"/>
                <w:noProof/>
                <w:webHidden/>
              </w:rPr>
            </w:r>
            <w:r w:rsidR="002B4FD9" w:rsidRPr="002B4FD9">
              <w:rPr>
                <w:rFonts w:ascii="Arial" w:hAnsi="Arial" w:cs="Arial"/>
                <w:noProof/>
                <w:webHidden/>
              </w:rPr>
              <w:fldChar w:fldCharType="separate"/>
            </w:r>
            <w:r w:rsidR="002B4FD9" w:rsidRPr="002B4FD9">
              <w:rPr>
                <w:rFonts w:ascii="Arial" w:hAnsi="Arial" w:cs="Arial"/>
                <w:noProof/>
                <w:webHidden/>
              </w:rPr>
              <w:t>9</w:t>
            </w:r>
            <w:r w:rsidR="002B4FD9" w:rsidRPr="002B4FD9">
              <w:rPr>
                <w:rFonts w:ascii="Arial" w:hAnsi="Arial" w:cs="Arial"/>
                <w:noProof/>
                <w:webHidden/>
              </w:rPr>
              <w:fldChar w:fldCharType="end"/>
            </w:r>
          </w:hyperlink>
        </w:p>
        <w:p w:rsidR="002B4FD9" w:rsidRPr="002B4FD9" w:rsidRDefault="002916A6">
          <w:pPr>
            <w:pStyle w:val="TOC1"/>
            <w:tabs>
              <w:tab w:val="left" w:pos="480"/>
            </w:tabs>
            <w:rPr>
              <w:rFonts w:ascii="Arial" w:eastAsiaTheme="minorEastAsia" w:hAnsi="Arial" w:cs="Arial"/>
              <w:noProof/>
              <w:lang w:val="en-NZ" w:eastAsia="en-NZ"/>
            </w:rPr>
          </w:pPr>
          <w:hyperlink w:anchor="_Toc409508679" w:history="1">
            <w:r w:rsidR="002B4FD9" w:rsidRPr="002B4FD9">
              <w:rPr>
                <w:rStyle w:val="Hyperlink"/>
                <w:rFonts w:ascii="Arial" w:hAnsi="Arial" w:cs="Arial"/>
                <w:noProof/>
              </w:rPr>
              <w:t>4</w:t>
            </w:r>
            <w:r w:rsidR="002B4FD9" w:rsidRPr="002B4FD9">
              <w:rPr>
                <w:rFonts w:ascii="Arial" w:eastAsiaTheme="minorEastAsia" w:hAnsi="Arial" w:cs="Arial"/>
                <w:noProof/>
                <w:lang w:val="en-NZ" w:eastAsia="en-NZ"/>
              </w:rPr>
              <w:tab/>
            </w:r>
            <w:r w:rsidR="002B4FD9" w:rsidRPr="002B4FD9">
              <w:rPr>
                <w:rStyle w:val="Hyperlink"/>
                <w:rFonts w:ascii="Arial" w:hAnsi="Arial" w:cs="Arial"/>
                <w:noProof/>
              </w:rPr>
              <w:t>A quick guide to the product application and approval process</w:t>
            </w:r>
            <w:r w:rsidR="002B4FD9" w:rsidRPr="002B4FD9">
              <w:rPr>
                <w:rFonts w:ascii="Arial" w:hAnsi="Arial" w:cs="Arial"/>
                <w:noProof/>
                <w:webHidden/>
              </w:rPr>
              <w:tab/>
            </w:r>
            <w:r w:rsidR="002B4FD9" w:rsidRPr="002B4FD9">
              <w:rPr>
                <w:rFonts w:ascii="Arial" w:hAnsi="Arial" w:cs="Arial"/>
                <w:noProof/>
                <w:webHidden/>
              </w:rPr>
              <w:fldChar w:fldCharType="begin"/>
            </w:r>
            <w:r w:rsidR="002B4FD9" w:rsidRPr="002B4FD9">
              <w:rPr>
                <w:rFonts w:ascii="Arial" w:hAnsi="Arial" w:cs="Arial"/>
                <w:noProof/>
                <w:webHidden/>
              </w:rPr>
              <w:instrText xml:space="preserve"> PAGEREF _Toc409508679 \h </w:instrText>
            </w:r>
            <w:r w:rsidR="002B4FD9" w:rsidRPr="002B4FD9">
              <w:rPr>
                <w:rFonts w:ascii="Arial" w:hAnsi="Arial" w:cs="Arial"/>
                <w:noProof/>
                <w:webHidden/>
              </w:rPr>
            </w:r>
            <w:r w:rsidR="002B4FD9" w:rsidRPr="002B4FD9">
              <w:rPr>
                <w:rFonts w:ascii="Arial" w:hAnsi="Arial" w:cs="Arial"/>
                <w:noProof/>
                <w:webHidden/>
              </w:rPr>
              <w:fldChar w:fldCharType="separate"/>
            </w:r>
            <w:r w:rsidR="002B4FD9" w:rsidRPr="002B4FD9">
              <w:rPr>
                <w:rFonts w:ascii="Arial" w:hAnsi="Arial" w:cs="Arial"/>
                <w:noProof/>
                <w:webHidden/>
              </w:rPr>
              <w:t>10</w:t>
            </w:r>
            <w:r w:rsidR="002B4FD9" w:rsidRPr="002B4FD9">
              <w:rPr>
                <w:rFonts w:ascii="Arial" w:hAnsi="Arial" w:cs="Arial"/>
                <w:noProof/>
                <w:webHidden/>
              </w:rPr>
              <w:fldChar w:fldCharType="end"/>
            </w:r>
          </w:hyperlink>
        </w:p>
        <w:p w:rsidR="002B4FD9" w:rsidRPr="002B4FD9" w:rsidRDefault="002916A6">
          <w:pPr>
            <w:pStyle w:val="TOC3"/>
            <w:tabs>
              <w:tab w:val="left" w:pos="1100"/>
            </w:tabs>
            <w:rPr>
              <w:rFonts w:eastAsiaTheme="minorEastAsia"/>
              <w:lang w:val="en-NZ" w:eastAsia="en-NZ"/>
            </w:rPr>
          </w:pPr>
          <w:hyperlink w:anchor="_Toc409508680" w:history="1">
            <w:r w:rsidR="002B4FD9" w:rsidRPr="002B4FD9">
              <w:rPr>
                <w:rStyle w:val="Hyperlink"/>
              </w:rPr>
              <w:t>4.1</w:t>
            </w:r>
            <w:r w:rsidR="002B4FD9" w:rsidRPr="002B4FD9">
              <w:rPr>
                <w:rFonts w:eastAsiaTheme="minorEastAsia"/>
                <w:lang w:val="en-NZ" w:eastAsia="en-NZ"/>
              </w:rPr>
              <w:tab/>
            </w:r>
            <w:r w:rsidR="002B4FD9" w:rsidRPr="002B4FD9">
              <w:rPr>
                <w:rStyle w:val="Hyperlink"/>
              </w:rPr>
              <w:t>Receiving and screening for completeness</w:t>
            </w:r>
            <w:r w:rsidR="002B4FD9" w:rsidRPr="002B4FD9">
              <w:rPr>
                <w:webHidden/>
              </w:rPr>
              <w:tab/>
            </w:r>
            <w:r w:rsidR="002B4FD9" w:rsidRPr="002B4FD9">
              <w:rPr>
                <w:webHidden/>
              </w:rPr>
              <w:fldChar w:fldCharType="begin"/>
            </w:r>
            <w:r w:rsidR="002B4FD9" w:rsidRPr="002B4FD9">
              <w:rPr>
                <w:webHidden/>
              </w:rPr>
              <w:instrText xml:space="preserve"> PAGEREF _Toc409508680 \h </w:instrText>
            </w:r>
            <w:r w:rsidR="002B4FD9" w:rsidRPr="002B4FD9">
              <w:rPr>
                <w:webHidden/>
              </w:rPr>
            </w:r>
            <w:r w:rsidR="002B4FD9" w:rsidRPr="002B4FD9">
              <w:rPr>
                <w:webHidden/>
              </w:rPr>
              <w:fldChar w:fldCharType="separate"/>
            </w:r>
            <w:r w:rsidR="002B4FD9" w:rsidRPr="002B4FD9">
              <w:rPr>
                <w:webHidden/>
              </w:rPr>
              <w:t>10</w:t>
            </w:r>
            <w:r w:rsidR="002B4FD9" w:rsidRPr="002B4FD9">
              <w:rPr>
                <w:webHidden/>
              </w:rPr>
              <w:fldChar w:fldCharType="end"/>
            </w:r>
          </w:hyperlink>
        </w:p>
        <w:p w:rsidR="002B4FD9" w:rsidRPr="002B4FD9" w:rsidRDefault="002916A6">
          <w:pPr>
            <w:pStyle w:val="TOC3"/>
            <w:tabs>
              <w:tab w:val="left" w:pos="1100"/>
            </w:tabs>
            <w:rPr>
              <w:rFonts w:eastAsiaTheme="minorEastAsia"/>
              <w:lang w:val="en-NZ" w:eastAsia="en-NZ"/>
            </w:rPr>
          </w:pPr>
          <w:hyperlink w:anchor="_Toc409508681" w:history="1">
            <w:r w:rsidR="002B4FD9" w:rsidRPr="002B4FD9">
              <w:rPr>
                <w:rStyle w:val="Hyperlink"/>
              </w:rPr>
              <w:t>4.2</w:t>
            </w:r>
            <w:r w:rsidR="002B4FD9" w:rsidRPr="002B4FD9">
              <w:rPr>
                <w:rFonts w:eastAsiaTheme="minorEastAsia"/>
                <w:lang w:val="en-NZ" w:eastAsia="en-NZ"/>
              </w:rPr>
              <w:tab/>
            </w:r>
            <w:r w:rsidR="002B4FD9" w:rsidRPr="002B4FD9">
              <w:rPr>
                <w:rStyle w:val="Hyperlink"/>
              </w:rPr>
              <w:t>Evaluation of initial and additional information</w:t>
            </w:r>
            <w:r w:rsidR="002B4FD9" w:rsidRPr="002B4FD9">
              <w:rPr>
                <w:webHidden/>
              </w:rPr>
              <w:tab/>
            </w:r>
            <w:r w:rsidR="002B4FD9" w:rsidRPr="002B4FD9">
              <w:rPr>
                <w:webHidden/>
              </w:rPr>
              <w:fldChar w:fldCharType="begin"/>
            </w:r>
            <w:r w:rsidR="002B4FD9" w:rsidRPr="002B4FD9">
              <w:rPr>
                <w:webHidden/>
              </w:rPr>
              <w:instrText xml:space="preserve"> PAGEREF _Toc409508681 \h </w:instrText>
            </w:r>
            <w:r w:rsidR="002B4FD9" w:rsidRPr="002B4FD9">
              <w:rPr>
                <w:webHidden/>
              </w:rPr>
            </w:r>
            <w:r w:rsidR="002B4FD9" w:rsidRPr="002B4FD9">
              <w:rPr>
                <w:webHidden/>
              </w:rPr>
              <w:fldChar w:fldCharType="separate"/>
            </w:r>
            <w:r w:rsidR="002B4FD9" w:rsidRPr="002B4FD9">
              <w:rPr>
                <w:webHidden/>
              </w:rPr>
              <w:t>11</w:t>
            </w:r>
            <w:r w:rsidR="002B4FD9" w:rsidRPr="002B4FD9">
              <w:rPr>
                <w:webHidden/>
              </w:rPr>
              <w:fldChar w:fldCharType="end"/>
            </w:r>
          </w:hyperlink>
        </w:p>
        <w:p w:rsidR="002B4FD9" w:rsidRPr="002B4FD9" w:rsidRDefault="002916A6">
          <w:pPr>
            <w:pStyle w:val="TOC3"/>
            <w:tabs>
              <w:tab w:val="left" w:pos="1100"/>
            </w:tabs>
            <w:rPr>
              <w:rFonts w:eastAsiaTheme="minorEastAsia"/>
              <w:lang w:val="en-NZ" w:eastAsia="en-NZ"/>
            </w:rPr>
          </w:pPr>
          <w:hyperlink w:anchor="_Toc409508682" w:history="1">
            <w:r w:rsidR="002B4FD9" w:rsidRPr="002B4FD9">
              <w:rPr>
                <w:rStyle w:val="Hyperlink"/>
              </w:rPr>
              <w:t>4.3</w:t>
            </w:r>
            <w:r w:rsidR="002B4FD9" w:rsidRPr="002B4FD9">
              <w:rPr>
                <w:rFonts w:eastAsiaTheme="minorEastAsia"/>
                <w:lang w:val="en-NZ" w:eastAsia="en-NZ"/>
              </w:rPr>
              <w:tab/>
            </w:r>
            <w:r w:rsidR="002B4FD9" w:rsidRPr="002B4FD9">
              <w:rPr>
                <w:rStyle w:val="Hyperlink"/>
              </w:rPr>
              <w:t>Consideration by the Psychoactive Substances Expert Advisory Committee (PSEAC)</w:t>
            </w:r>
            <w:r w:rsidR="002B4FD9" w:rsidRPr="002B4FD9">
              <w:rPr>
                <w:webHidden/>
              </w:rPr>
              <w:tab/>
            </w:r>
            <w:r w:rsidR="002B4FD9" w:rsidRPr="002B4FD9">
              <w:rPr>
                <w:webHidden/>
              </w:rPr>
              <w:fldChar w:fldCharType="begin"/>
            </w:r>
            <w:r w:rsidR="002B4FD9" w:rsidRPr="002B4FD9">
              <w:rPr>
                <w:webHidden/>
              </w:rPr>
              <w:instrText xml:space="preserve"> PAGEREF _Toc409508682 \h </w:instrText>
            </w:r>
            <w:r w:rsidR="002B4FD9" w:rsidRPr="002B4FD9">
              <w:rPr>
                <w:webHidden/>
              </w:rPr>
            </w:r>
            <w:r w:rsidR="002B4FD9" w:rsidRPr="002B4FD9">
              <w:rPr>
                <w:webHidden/>
              </w:rPr>
              <w:fldChar w:fldCharType="separate"/>
            </w:r>
            <w:r w:rsidR="002B4FD9" w:rsidRPr="002B4FD9">
              <w:rPr>
                <w:webHidden/>
              </w:rPr>
              <w:t>11</w:t>
            </w:r>
            <w:r w:rsidR="002B4FD9" w:rsidRPr="002B4FD9">
              <w:rPr>
                <w:webHidden/>
              </w:rPr>
              <w:fldChar w:fldCharType="end"/>
            </w:r>
          </w:hyperlink>
        </w:p>
        <w:p w:rsidR="002B4FD9" w:rsidRPr="002B4FD9" w:rsidRDefault="002916A6">
          <w:pPr>
            <w:pStyle w:val="TOC3"/>
            <w:tabs>
              <w:tab w:val="left" w:pos="1100"/>
            </w:tabs>
            <w:rPr>
              <w:rFonts w:eastAsiaTheme="minorEastAsia"/>
              <w:lang w:val="en-NZ" w:eastAsia="en-NZ"/>
            </w:rPr>
          </w:pPr>
          <w:hyperlink w:anchor="_Toc409508683" w:history="1">
            <w:r w:rsidR="002B4FD9" w:rsidRPr="002B4FD9">
              <w:rPr>
                <w:rStyle w:val="Hyperlink"/>
              </w:rPr>
              <w:t>4.4</w:t>
            </w:r>
            <w:r w:rsidR="002B4FD9" w:rsidRPr="002B4FD9">
              <w:rPr>
                <w:rFonts w:eastAsiaTheme="minorEastAsia"/>
                <w:lang w:val="en-NZ" w:eastAsia="en-NZ"/>
              </w:rPr>
              <w:tab/>
            </w:r>
            <w:r w:rsidR="002B4FD9" w:rsidRPr="002B4FD9">
              <w:rPr>
                <w:rStyle w:val="Hyperlink"/>
              </w:rPr>
              <w:t>Notification of the outcome</w:t>
            </w:r>
            <w:r w:rsidR="002B4FD9" w:rsidRPr="002B4FD9">
              <w:rPr>
                <w:webHidden/>
              </w:rPr>
              <w:tab/>
            </w:r>
            <w:r w:rsidR="002B4FD9" w:rsidRPr="002B4FD9">
              <w:rPr>
                <w:webHidden/>
              </w:rPr>
              <w:fldChar w:fldCharType="begin"/>
            </w:r>
            <w:r w:rsidR="002B4FD9" w:rsidRPr="002B4FD9">
              <w:rPr>
                <w:webHidden/>
              </w:rPr>
              <w:instrText xml:space="preserve"> PAGEREF _Toc409508683 \h </w:instrText>
            </w:r>
            <w:r w:rsidR="002B4FD9" w:rsidRPr="002B4FD9">
              <w:rPr>
                <w:webHidden/>
              </w:rPr>
            </w:r>
            <w:r w:rsidR="002B4FD9" w:rsidRPr="002B4FD9">
              <w:rPr>
                <w:webHidden/>
              </w:rPr>
              <w:fldChar w:fldCharType="separate"/>
            </w:r>
            <w:r w:rsidR="002B4FD9" w:rsidRPr="002B4FD9">
              <w:rPr>
                <w:webHidden/>
              </w:rPr>
              <w:t>11</w:t>
            </w:r>
            <w:r w:rsidR="002B4FD9" w:rsidRPr="002B4FD9">
              <w:rPr>
                <w:webHidden/>
              </w:rPr>
              <w:fldChar w:fldCharType="end"/>
            </w:r>
          </w:hyperlink>
        </w:p>
        <w:p w:rsidR="002B4FD9" w:rsidRPr="002B4FD9" w:rsidRDefault="002916A6">
          <w:pPr>
            <w:pStyle w:val="TOC3"/>
            <w:tabs>
              <w:tab w:val="left" w:pos="1100"/>
            </w:tabs>
            <w:rPr>
              <w:rFonts w:eastAsiaTheme="minorEastAsia"/>
              <w:lang w:val="en-NZ" w:eastAsia="en-NZ"/>
            </w:rPr>
          </w:pPr>
          <w:hyperlink w:anchor="_Toc409508684" w:history="1">
            <w:r w:rsidR="002B4FD9" w:rsidRPr="002B4FD9">
              <w:rPr>
                <w:rStyle w:val="Hyperlink"/>
              </w:rPr>
              <w:t>4.5</w:t>
            </w:r>
            <w:r w:rsidR="002B4FD9" w:rsidRPr="002B4FD9">
              <w:rPr>
                <w:rFonts w:eastAsiaTheme="minorEastAsia"/>
                <w:lang w:val="en-NZ" w:eastAsia="en-NZ"/>
              </w:rPr>
              <w:tab/>
            </w:r>
            <w:r w:rsidR="002B4FD9" w:rsidRPr="002B4FD9">
              <w:rPr>
                <w:rStyle w:val="Hyperlink"/>
              </w:rPr>
              <w:t>Lodging an appeal with the PSAC</w:t>
            </w:r>
            <w:r w:rsidR="002B4FD9" w:rsidRPr="002B4FD9">
              <w:rPr>
                <w:webHidden/>
              </w:rPr>
              <w:tab/>
            </w:r>
            <w:r w:rsidR="002B4FD9" w:rsidRPr="002B4FD9">
              <w:rPr>
                <w:webHidden/>
              </w:rPr>
              <w:fldChar w:fldCharType="begin"/>
            </w:r>
            <w:r w:rsidR="002B4FD9" w:rsidRPr="002B4FD9">
              <w:rPr>
                <w:webHidden/>
              </w:rPr>
              <w:instrText xml:space="preserve"> PAGEREF _Toc409508684 \h </w:instrText>
            </w:r>
            <w:r w:rsidR="002B4FD9" w:rsidRPr="002B4FD9">
              <w:rPr>
                <w:webHidden/>
              </w:rPr>
            </w:r>
            <w:r w:rsidR="002B4FD9" w:rsidRPr="002B4FD9">
              <w:rPr>
                <w:webHidden/>
              </w:rPr>
              <w:fldChar w:fldCharType="separate"/>
            </w:r>
            <w:r w:rsidR="002B4FD9" w:rsidRPr="002B4FD9">
              <w:rPr>
                <w:webHidden/>
              </w:rPr>
              <w:t>12</w:t>
            </w:r>
            <w:r w:rsidR="002B4FD9" w:rsidRPr="002B4FD9">
              <w:rPr>
                <w:webHidden/>
              </w:rPr>
              <w:fldChar w:fldCharType="end"/>
            </w:r>
          </w:hyperlink>
        </w:p>
        <w:p w:rsidR="002B4FD9" w:rsidRPr="002B4FD9" w:rsidRDefault="002916A6">
          <w:pPr>
            <w:pStyle w:val="TOC1"/>
            <w:tabs>
              <w:tab w:val="left" w:pos="480"/>
            </w:tabs>
            <w:rPr>
              <w:rFonts w:ascii="Arial" w:eastAsiaTheme="minorEastAsia" w:hAnsi="Arial" w:cs="Arial"/>
              <w:noProof/>
              <w:lang w:val="en-NZ" w:eastAsia="en-NZ"/>
            </w:rPr>
          </w:pPr>
          <w:hyperlink w:anchor="_Toc409508685" w:history="1">
            <w:r w:rsidR="002B4FD9" w:rsidRPr="002B4FD9">
              <w:rPr>
                <w:rStyle w:val="Hyperlink"/>
                <w:rFonts w:ascii="Arial" w:hAnsi="Arial" w:cs="Arial"/>
                <w:noProof/>
              </w:rPr>
              <w:t>5</w:t>
            </w:r>
            <w:r w:rsidR="002B4FD9" w:rsidRPr="002B4FD9">
              <w:rPr>
                <w:rFonts w:ascii="Arial" w:eastAsiaTheme="minorEastAsia" w:hAnsi="Arial" w:cs="Arial"/>
                <w:noProof/>
                <w:lang w:val="en-NZ" w:eastAsia="en-NZ"/>
              </w:rPr>
              <w:tab/>
            </w:r>
            <w:r w:rsidR="002B4FD9" w:rsidRPr="002B4FD9">
              <w:rPr>
                <w:rStyle w:val="Hyperlink"/>
                <w:rFonts w:ascii="Arial" w:hAnsi="Arial" w:cs="Arial"/>
                <w:noProof/>
              </w:rPr>
              <w:t>When is an application required?</w:t>
            </w:r>
            <w:r w:rsidR="002B4FD9" w:rsidRPr="002B4FD9">
              <w:rPr>
                <w:rFonts w:ascii="Arial" w:hAnsi="Arial" w:cs="Arial"/>
                <w:noProof/>
                <w:webHidden/>
              </w:rPr>
              <w:tab/>
            </w:r>
            <w:r w:rsidR="002B4FD9" w:rsidRPr="002B4FD9">
              <w:rPr>
                <w:rFonts w:ascii="Arial" w:hAnsi="Arial" w:cs="Arial"/>
                <w:noProof/>
                <w:webHidden/>
              </w:rPr>
              <w:fldChar w:fldCharType="begin"/>
            </w:r>
            <w:r w:rsidR="002B4FD9" w:rsidRPr="002B4FD9">
              <w:rPr>
                <w:rFonts w:ascii="Arial" w:hAnsi="Arial" w:cs="Arial"/>
                <w:noProof/>
                <w:webHidden/>
              </w:rPr>
              <w:instrText xml:space="preserve"> PAGEREF _Toc409508685 \h </w:instrText>
            </w:r>
            <w:r w:rsidR="002B4FD9" w:rsidRPr="002B4FD9">
              <w:rPr>
                <w:rFonts w:ascii="Arial" w:hAnsi="Arial" w:cs="Arial"/>
                <w:noProof/>
                <w:webHidden/>
              </w:rPr>
            </w:r>
            <w:r w:rsidR="002B4FD9" w:rsidRPr="002B4FD9">
              <w:rPr>
                <w:rFonts w:ascii="Arial" w:hAnsi="Arial" w:cs="Arial"/>
                <w:noProof/>
                <w:webHidden/>
              </w:rPr>
              <w:fldChar w:fldCharType="separate"/>
            </w:r>
            <w:r w:rsidR="002B4FD9" w:rsidRPr="002B4FD9">
              <w:rPr>
                <w:rFonts w:ascii="Arial" w:hAnsi="Arial" w:cs="Arial"/>
                <w:noProof/>
                <w:webHidden/>
              </w:rPr>
              <w:t>15</w:t>
            </w:r>
            <w:r w:rsidR="002B4FD9" w:rsidRPr="002B4FD9">
              <w:rPr>
                <w:rFonts w:ascii="Arial" w:hAnsi="Arial" w:cs="Arial"/>
                <w:noProof/>
                <w:webHidden/>
              </w:rPr>
              <w:fldChar w:fldCharType="end"/>
            </w:r>
          </w:hyperlink>
        </w:p>
        <w:p w:rsidR="002B4FD9" w:rsidRPr="002B4FD9" w:rsidRDefault="002916A6">
          <w:pPr>
            <w:pStyle w:val="TOC3"/>
            <w:tabs>
              <w:tab w:val="left" w:pos="1100"/>
            </w:tabs>
            <w:rPr>
              <w:rFonts w:eastAsiaTheme="minorEastAsia"/>
              <w:lang w:val="en-NZ" w:eastAsia="en-NZ"/>
            </w:rPr>
          </w:pPr>
          <w:hyperlink w:anchor="_Toc409508686" w:history="1">
            <w:r w:rsidR="002B4FD9" w:rsidRPr="002B4FD9">
              <w:rPr>
                <w:rStyle w:val="Hyperlink"/>
              </w:rPr>
              <w:t>5.1</w:t>
            </w:r>
            <w:r w:rsidR="002B4FD9" w:rsidRPr="002B4FD9">
              <w:rPr>
                <w:rFonts w:eastAsiaTheme="minorEastAsia"/>
                <w:lang w:val="en-NZ" w:eastAsia="en-NZ"/>
              </w:rPr>
              <w:tab/>
            </w:r>
            <w:r w:rsidR="002B4FD9" w:rsidRPr="002B4FD9">
              <w:rPr>
                <w:rStyle w:val="Hyperlink"/>
              </w:rPr>
              <w:t>Products</w:t>
            </w:r>
            <w:r w:rsidR="002B4FD9" w:rsidRPr="002B4FD9">
              <w:rPr>
                <w:webHidden/>
              </w:rPr>
              <w:tab/>
            </w:r>
            <w:r w:rsidR="002B4FD9" w:rsidRPr="002B4FD9">
              <w:rPr>
                <w:webHidden/>
              </w:rPr>
              <w:fldChar w:fldCharType="begin"/>
            </w:r>
            <w:r w:rsidR="002B4FD9" w:rsidRPr="002B4FD9">
              <w:rPr>
                <w:webHidden/>
              </w:rPr>
              <w:instrText xml:space="preserve"> PAGEREF _Toc409508686 \h </w:instrText>
            </w:r>
            <w:r w:rsidR="002B4FD9" w:rsidRPr="002B4FD9">
              <w:rPr>
                <w:webHidden/>
              </w:rPr>
            </w:r>
            <w:r w:rsidR="002B4FD9" w:rsidRPr="002B4FD9">
              <w:rPr>
                <w:webHidden/>
              </w:rPr>
              <w:fldChar w:fldCharType="separate"/>
            </w:r>
            <w:r w:rsidR="002B4FD9" w:rsidRPr="002B4FD9">
              <w:rPr>
                <w:webHidden/>
              </w:rPr>
              <w:t>15</w:t>
            </w:r>
            <w:r w:rsidR="002B4FD9" w:rsidRPr="002B4FD9">
              <w:rPr>
                <w:webHidden/>
              </w:rPr>
              <w:fldChar w:fldCharType="end"/>
            </w:r>
          </w:hyperlink>
        </w:p>
        <w:p w:rsidR="002B4FD9" w:rsidRPr="002B4FD9" w:rsidRDefault="002916A6">
          <w:pPr>
            <w:pStyle w:val="TOC3"/>
            <w:tabs>
              <w:tab w:val="left" w:pos="1100"/>
            </w:tabs>
            <w:rPr>
              <w:rFonts w:eastAsiaTheme="minorEastAsia"/>
              <w:lang w:val="en-NZ" w:eastAsia="en-NZ"/>
            </w:rPr>
          </w:pPr>
          <w:hyperlink w:anchor="_Toc409508687" w:history="1">
            <w:r w:rsidR="002B4FD9" w:rsidRPr="002B4FD9">
              <w:rPr>
                <w:rStyle w:val="Hyperlink"/>
              </w:rPr>
              <w:t>5.3</w:t>
            </w:r>
            <w:r w:rsidR="002B4FD9" w:rsidRPr="002B4FD9">
              <w:rPr>
                <w:rFonts w:eastAsiaTheme="minorEastAsia"/>
                <w:lang w:val="en-NZ" w:eastAsia="en-NZ"/>
              </w:rPr>
              <w:tab/>
            </w:r>
            <w:r w:rsidR="002B4FD9" w:rsidRPr="002B4FD9">
              <w:rPr>
                <w:rStyle w:val="Hyperlink"/>
              </w:rPr>
              <w:t>Licences</w:t>
            </w:r>
            <w:r w:rsidR="002B4FD9" w:rsidRPr="002B4FD9">
              <w:rPr>
                <w:webHidden/>
              </w:rPr>
              <w:tab/>
            </w:r>
            <w:r w:rsidR="002B4FD9" w:rsidRPr="002B4FD9">
              <w:rPr>
                <w:webHidden/>
              </w:rPr>
              <w:fldChar w:fldCharType="begin"/>
            </w:r>
            <w:r w:rsidR="002B4FD9" w:rsidRPr="002B4FD9">
              <w:rPr>
                <w:webHidden/>
              </w:rPr>
              <w:instrText xml:space="preserve"> PAGEREF _Toc409508687 \h </w:instrText>
            </w:r>
            <w:r w:rsidR="002B4FD9" w:rsidRPr="002B4FD9">
              <w:rPr>
                <w:webHidden/>
              </w:rPr>
            </w:r>
            <w:r w:rsidR="002B4FD9" w:rsidRPr="002B4FD9">
              <w:rPr>
                <w:webHidden/>
              </w:rPr>
              <w:fldChar w:fldCharType="separate"/>
            </w:r>
            <w:r w:rsidR="002B4FD9" w:rsidRPr="002B4FD9">
              <w:rPr>
                <w:webHidden/>
              </w:rPr>
              <w:t>15</w:t>
            </w:r>
            <w:r w:rsidR="002B4FD9" w:rsidRPr="002B4FD9">
              <w:rPr>
                <w:webHidden/>
              </w:rPr>
              <w:fldChar w:fldCharType="end"/>
            </w:r>
          </w:hyperlink>
        </w:p>
        <w:p w:rsidR="002B4FD9" w:rsidRPr="002B4FD9" w:rsidRDefault="002916A6">
          <w:pPr>
            <w:pStyle w:val="TOC1"/>
            <w:tabs>
              <w:tab w:val="left" w:pos="480"/>
            </w:tabs>
            <w:rPr>
              <w:rFonts w:ascii="Arial" w:eastAsiaTheme="minorEastAsia" w:hAnsi="Arial" w:cs="Arial"/>
              <w:noProof/>
              <w:lang w:val="en-NZ" w:eastAsia="en-NZ"/>
            </w:rPr>
          </w:pPr>
          <w:hyperlink w:anchor="_Toc409508688" w:history="1">
            <w:r w:rsidR="002B4FD9" w:rsidRPr="002B4FD9">
              <w:rPr>
                <w:rStyle w:val="Hyperlink"/>
                <w:rFonts w:ascii="Arial" w:hAnsi="Arial" w:cs="Arial"/>
                <w:noProof/>
              </w:rPr>
              <w:t>6</w:t>
            </w:r>
            <w:r w:rsidR="002B4FD9" w:rsidRPr="002B4FD9">
              <w:rPr>
                <w:rFonts w:ascii="Arial" w:eastAsiaTheme="minorEastAsia" w:hAnsi="Arial" w:cs="Arial"/>
                <w:noProof/>
                <w:lang w:val="en-NZ" w:eastAsia="en-NZ"/>
              </w:rPr>
              <w:tab/>
            </w:r>
            <w:r w:rsidR="002B4FD9" w:rsidRPr="002B4FD9">
              <w:rPr>
                <w:rStyle w:val="Hyperlink"/>
                <w:rFonts w:ascii="Arial" w:hAnsi="Arial" w:cs="Arial"/>
                <w:noProof/>
              </w:rPr>
              <w:t>Claims of a psychoactive nature</w:t>
            </w:r>
            <w:r w:rsidR="002B4FD9" w:rsidRPr="002B4FD9">
              <w:rPr>
                <w:rFonts w:ascii="Arial" w:hAnsi="Arial" w:cs="Arial"/>
                <w:noProof/>
                <w:webHidden/>
              </w:rPr>
              <w:tab/>
            </w:r>
            <w:r w:rsidR="002B4FD9" w:rsidRPr="002B4FD9">
              <w:rPr>
                <w:rFonts w:ascii="Arial" w:hAnsi="Arial" w:cs="Arial"/>
                <w:noProof/>
                <w:webHidden/>
              </w:rPr>
              <w:fldChar w:fldCharType="begin"/>
            </w:r>
            <w:r w:rsidR="002B4FD9" w:rsidRPr="002B4FD9">
              <w:rPr>
                <w:rFonts w:ascii="Arial" w:hAnsi="Arial" w:cs="Arial"/>
                <w:noProof/>
                <w:webHidden/>
              </w:rPr>
              <w:instrText xml:space="preserve"> PAGEREF _Toc409508688 \h </w:instrText>
            </w:r>
            <w:r w:rsidR="002B4FD9" w:rsidRPr="002B4FD9">
              <w:rPr>
                <w:rFonts w:ascii="Arial" w:hAnsi="Arial" w:cs="Arial"/>
                <w:noProof/>
                <w:webHidden/>
              </w:rPr>
            </w:r>
            <w:r w:rsidR="002B4FD9" w:rsidRPr="002B4FD9">
              <w:rPr>
                <w:rFonts w:ascii="Arial" w:hAnsi="Arial" w:cs="Arial"/>
                <w:noProof/>
                <w:webHidden/>
              </w:rPr>
              <w:fldChar w:fldCharType="separate"/>
            </w:r>
            <w:r w:rsidR="002B4FD9" w:rsidRPr="002B4FD9">
              <w:rPr>
                <w:rFonts w:ascii="Arial" w:hAnsi="Arial" w:cs="Arial"/>
                <w:noProof/>
                <w:webHidden/>
              </w:rPr>
              <w:t>16</w:t>
            </w:r>
            <w:r w:rsidR="002B4FD9" w:rsidRPr="002B4FD9">
              <w:rPr>
                <w:rFonts w:ascii="Arial" w:hAnsi="Arial" w:cs="Arial"/>
                <w:noProof/>
                <w:webHidden/>
              </w:rPr>
              <w:fldChar w:fldCharType="end"/>
            </w:r>
          </w:hyperlink>
        </w:p>
        <w:p w:rsidR="002B4FD9" w:rsidRPr="002B4FD9" w:rsidRDefault="002916A6">
          <w:pPr>
            <w:pStyle w:val="TOC1"/>
            <w:tabs>
              <w:tab w:val="left" w:pos="480"/>
            </w:tabs>
            <w:rPr>
              <w:rFonts w:ascii="Arial" w:eastAsiaTheme="minorEastAsia" w:hAnsi="Arial" w:cs="Arial"/>
              <w:noProof/>
              <w:lang w:val="en-NZ" w:eastAsia="en-NZ"/>
            </w:rPr>
          </w:pPr>
          <w:hyperlink w:anchor="_Toc409508689" w:history="1">
            <w:r w:rsidR="002B4FD9" w:rsidRPr="002B4FD9">
              <w:rPr>
                <w:rStyle w:val="Hyperlink"/>
                <w:rFonts w:ascii="Arial" w:hAnsi="Arial" w:cs="Arial"/>
                <w:noProof/>
              </w:rPr>
              <w:t>7</w:t>
            </w:r>
            <w:r w:rsidR="002B4FD9" w:rsidRPr="002B4FD9">
              <w:rPr>
                <w:rFonts w:ascii="Arial" w:eastAsiaTheme="minorEastAsia" w:hAnsi="Arial" w:cs="Arial"/>
                <w:noProof/>
                <w:lang w:val="en-NZ" w:eastAsia="en-NZ"/>
              </w:rPr>
              <w:tab/>
            </w:r>
            <w:r w:rsidR="002B4FD9" w:rsidRPr="002B4FD9">
              <w:rPr>
                <w:rStyle w:val="Hyperlink"/>
                <w:rFonts w:ascii="Arial" w:hAnsi="Arial" w:cs="Arial"/>
                <w:noProof/>
              </w:rPr>
              <w:t>Unapprovable dosage forms</w:t>
            </w:r>
            <w:r w:rsidR="002B4FD9" w:rsidRPr="002B4FD9">
              <w:rPr>
                <w:rFonts w:ascii="Arial" w:hAnsi="Arial" w:cs="Arial"/>
                <w:noProof/>
                <w:webHidden/>
              </w:rPr>
              <w:tab/>
            </w:r>
            <w:r w:rsidR="002B4FD9" w:rsidRPr="002B4FD9">
              <w:rPr>
                <w:rFonts w:ascii="Arial" w:hAnsi="Arial" w:cs="Arial"/>
                <w:noProof/>
                <w:webHidden/>
              </w:rPr>
              <w:fldChar w:fldCharType="begin"/>
            </w:r>
            <w:r w:rsidR="002B4FD9" w:rsidRPr="002B4FD9">
              <w:rPr>
                <w:rFonts w:ascii="Arial" w:hAnsi="Arial" w:cs="Arial"/>
                <w:noProof/>
                <w:webHidden/>
              </w:rPr>
              <w:instrText xml:space="preserve"> PAGEREF _Toc409508689 \h </w:instrText>
            </w:r>
            <w:r w:rsidR="002B4FD9" w:rsidRPr="002B4FD9">
              <w:rPr>
                <w:rFonts w:ascii="Arial" w:hAnsi="Arial" w:cs="Arial"/>
                <w:noProof/>
                <w:webHidden/>
              </w:rPr>
            </w:r>
            <w:r w:rsidR="002B4FD9" w:rsidRPr="002B4FD9">
              <w:rPr>
                <w:rFonts w:ascii="Arial" w:hAnsi="Arial" w:cs="Arial"/>
                <w:noProof/>
                <w:webHidden/>
              </w:rPr>
              <w:fldChar w:fldCharType="separate"/>
            </w:r>
            <w:r w:rsidR="002B4FD9" w:rsidRPr="002B4FD9">
              <w:rPr>
                <w:rFonts w:ascii="Arial" w:hAnsi="Arial" w:cs="Arial"/>
                <w:noProof/>
                <w:webHidden/>
              </w:rPr>
              <w:t>17</w:t>
            </w:r>
            <w:r w:rsidR="002B4FD9" w:rsidRPr="002B4FD9">
              <w:rPr>
                <w:rFonts w:ascii="Arial" w:hAnsi="Arial" w:cs="Arial"/>
                <w:noProof/>
                <w:webHidden/>
              </w:rPr>
              <w:fldChar w:fldCharType="end"/>
            </w:r>
          </w:hyperlink>
        </w:p>
        <w:p w:rsidR="002B4FD9" w:rsidRPr="002B4FD9" w:rsidRDefault="002916A6">
          <w:pPr>
            <w:pStyle w:val="TOC3"/>
            <w:rPr>
              <w:rFonts w:eastAsiaTheme="minorEastAsia"/>
              <w:lang w:val="en-NZ" w:eastAsia="en-NZ"/>
            </w:rPr>
          </w:pPr>
          <w:hyperlink w:anchor="_Toc409508690" w:history="1">
            <w:r w:rsidR="002B4FD9" w:rsidRPr="002B4FD9">
              <w:rPr>
                <w:rStyle w:val="Hyperlink"/>
                <w:i/>
              </w:rPr>
              <w:t>Guidance on the information required to support an application for a smokeable psychoactive product</w:t>
            </w:r>
            <w:r w:rsidR="002B4FD9" w:rsidRPr="002B4FD9">
              <w:rPr>
                <w:webHidden/>
              </w:rPr>
              <w:tab/>
            </w:r>
            <w:r w:rsidR="002B4FD9" w:rsidRPr="002B4FD9">
              <w:rPr>
                <w:webHidden/>
              </w:rPr>
              <w:fldChar w:fldCharType="begin"/>
            </w:r>
            <w:r w:rsidR="002B4FD9" w:rsidRPr="002B4FD9">
              <w:rPr>
                <w:webHidden/>
              </w:rPr>
              <w:instrText xml:space="preserve"> PAGEREF _Toc409508690 \h </w:instrText>
            </w:r>
            <w:r w:rsidR="002B4FD9" w:rsidRPr="002B4FD9">
              <w:rPr>
                <w:webHidden/>
              </w:rPr>
            </w:r>
            <w:r w:rsidR="002B4FD9" w:rsidRPr="002B4FD9">
              <w:rPr>
                <w:webHidden/>
              </w:rPr>
              <w:fldChar w:fldCharType="separate"/>
            </w:r>
            <w:r w:rsidR="002B4FD9" w:rsidRPr="002B4FD9">
              <w:rPr>
                <w:webHidden/>
              </w:rPr>
              <w:t>17</w:t>
            </w:r>
            <w:r w:rsidR="002B4FD9" w:rsidRPr="002B4FD9">
              <w:rPr>
                <w:webHidden/>
              </w:rPr>
              <w:fldChar w:fldCharType="end"/>
            </w:r>
          </w:hyperlink>
        </w:p>
        <w:p w:rsidR="002B4FD9" w:rsidRPr="002B4FD9" w:rsidRDefault="002916A6">
          <w:pPr>
            <w:pStyle w:val="TOC1"/>
            <w:tabs>
              <w:tab w:val="left" w:pos="480"/>
            </w:tabs>
            <w:rPr>
              <w:rFonts w:ascii="Arial" w:eastAsiaTheme="minorEastAsia" w:hAnsi="Arial" w:cs="Arial"/>
              <w:noProof/>
              <w:lang w:val="en-NZ" w:eastAsia="en-NZ"/>
            </w:rPr>
          </w:pPr>
          <w:hyperlink w:anchor="_Toc409508691" w:history="1">
            <w:r w:rsidR="002B4FD9" w:rsidRPr="002B4FD9">
              <w:rPr>
                <w:rStyle w:val="Hyperlink"/>
                <w:rFonts w:ascii="Arial" w:hAnsi="Arial" w:cs="Arial"/>
                <w:noProof/>
              </w:rPr>
              <w:t>8</w:t>
            </w:r>
            <w:r w:rsidR="002B4FD9" w:rsidRPr="002B4FD9">
              <w:rPr>
                <w:rFonts w:ascii="Arial" w:eastAsiaTheme="minorEastAsia" w:hAnsi="Arial" w:cs="Arial"/>
                <w:noProof/>
                <w:lang w:val="en-NZ" w:eastAsia="en-NZ"/>
              </w:rPr>
              <w:tab/>
            </w:r>
            <w:r w:rsidR="002B4FD9" w:rsidRPr="002B4FD9">
              <w:rPr>
                <w:rStyle w:val="Hyperlink"/>
                <w:rFonts w:ascii="Arial" w:hAnsi="Arial" w:cs="Arial"/>
                <w:noProof/>
              </w:rPr>
              <w:t>What type of product application is required?</w:t>
            </w:r>
            <w:r w:rsidR="002B4FD9" w:rsidRPr="002B4FD9">
              <w:rPr>
                <w:rFonts w:ascii="Arial" w:hAnsi="Arial" w:cs="Arial"/>
                <w:noProof/>
                <w:webHidden/>
              </w:rPr>
              <w:tab/>
            </w:r>
            <w:r w:rsidR="002B4FD9" w:rsidRPr="002B4FD9">
              <w:rPr>
                <w:rFonts w:ascii="Arial" w:hAnsi="Arial" w:cs="Arial"/>
                <w:noProof/>
                <w:webHidden/>
              </w:rPr>
              <w:fldChar w:fldCharType="begin"/>
            </w:r>
            <w:r w:rsidR="002B4FD9" w:rsidRPr="002B4FD9">
              <w:rPr>
                <w:rFonts w:ascii="Arial" w:hAnsi="Arial" w:cs="Arial"/>
                <w:noProof/>
                <w:webHidden/>
              </w:rPr>
              <w:instrText xml:space="preserve"> PAGEREF _Toc409508691 \h </w:instrText>
            </w:r>
            <w:r w:rsidR="002B4FD9" w:rsidRPr="002B4FD9">
              <w:rPr>
                <w:rFonts w:ascii="Arial" w:hAnsi="Arial" w:cs="Arial"/>
                <w:noProof/>
                <w:webHidden/>
              </w:rPr>
            </w:r>
            <w:r w:rsidR="002B4FD9" w:rsidRPr="002B4FD9">
              <w:rPr>
                <w:rFonts w:ascii="Arial" w:hAnsi="Arial" w:cs="Arial"/>
                <w:noProof/>
                <w:webHidden/>
              </w:rPr>
              <w:fldChar w:fldCharType="separate"/>
            </w:r>
            <w:r w:rsidR="002B4FD9" w:rsidRPr="002B4FD9">
              <w:rPr>
                <w:rFonts w:ascii="Arial" w:hAnsi="Arial" w:cs="Arial"/>
                <w:noProof/>
                <w:webHidden/>
              </w:rPr>
              <w:t>18</w:t>
            </w:r>
            <w:r w:rsidR="002B4FD9" w:rsidRPr="002B4FD9">
              <w:rPr>
                <w:rFonts w:ascii="Arial" w:hAnsi="Arial" w:cs="Arial"/>
                <w:noProof/>
                <w:webHidden/>
              </w:rPr>
              <w:fldChar w:fldCharType="end"/>
            </w:r>
          </w:hyperlink>
        </w:p>
        <w:p w:rsidR="002B4FD9" w:rsidRPr="002B4FD9" w:rsidRDefault="002916A6">
          <w:pPr>
            <w:pStyle w:val="TOC3"/>
            <w:tabs>
              <w:tab w:val="left" w:pos="1100"/>
            </w:tabs>
            <w:rPr>
              <w:rFonts w:eastAsiaTheme="minorEastAsia"/>
              <w:lang w:val="en-NZ" w:eastAsia="en-NZ"/>
            </w:rPr>
          </w:pPr>
          <w:hyperlink w:anchor="_Toc409508692" w:history="1">
            <w:r w:rsidR="002B4FD9" w:rsidRPr="002B4FD9">
              <w:rPr>
                <w:rStyle w:val="Hyperlink"/>
              </w:rPr>
              <w:t>8.1</w:t>
            </w:r>
            <w:r w:rsidR="002B4FD9" w:rsidRPr="002B4FD9">
              <w:rPr>
                <w:rFonts w:eastAsiaTheme="minorEastAsia"/>
                <w:lang w:val="en-NZ" w:eastAsia="en-NZ"/>
              </w:rPr>
              <w:tab/>
            </w:r>
            <w:r w:rsidR="002B4FD9" w:rsidRPr="002B4FD9">
              <w:rPr>
                <w:rStyle w:val="Hyperlink"/>
              </w:rPr>
              <w:t>New psychoactive product</w:t>
            </w:r>
            <w:r w:rsidR="002B4FD9" w:rsidRPr="002B4FD9">
              <w:rPr>
                <w:webHidden/>
              </w:rPr>
              <w:tab/>
            </w:r>
            <w:r w:rsidR="002B4FD9" w:rsidRPr="002B4FD9">
              <w:rPr>
                <w:webHidden/>
              </w:rPr>
              <w:fldChar w:fldCharType="begin"/>
            </w:r>
            <w:r w:rsidR="002B4FD9" w:rsidRPr="002B4FD9">
              <w:rPr>
                <w:webHidden/>
              </w:rPr>
              <w:instrText xml:space="preserve"> PAGEREF _Toc409508692 \h </w:instrText>
            </w:r>
            <w:r w:rsidR="002B4FD9" w:rsidRPr="002B4FD9">
              <w:rPr>
                <w:webHidden/>
              </w:rPr>
            </w:r>
            <w:r w:rsidR="002B4FD9" w:rsidRPr="002B4FD9">
              <w:rPr>
                <w:webHidden/>
              </w:rPr>
              <w:fldChar w:fldCharType="separate"/>
            </w:r>
            <w:r w:rsidR="002B4FD9" w:rsidRPr="002B4FD9">
              <w:rPr>
                <w:webHidden/>
              </w:rPr>
              <w:t>18</w:t>
            </w:r>
            <w:r w:rsidR="002B4FD9" w:rsidRPr="002B4FD9">
              <w:rPr>
                <w:webHidden/>
              </w:rPr>
              <w:fldChar w:fldCharType="end"/>
            </w:r>
          </w:hyperlink>
        </w:p>
        <w:p w:rsidR="002B4FD9" w:rsidRPr="002B4FD9" w:rsidRDefault="002916A6">
          <w:pPr>
            <w:pStyle w:val="TOC3"/>
            <w:tabs>
              <w:tab w:val="left" w:pos="1100"/>
            </w:tabs>
            <w:rPr>
              <w:rFonts w:eastAsiaTheme="minorEastAsia"/>
              <w:lang w:val="en-NZ" w:eastAsia="en-NZ"/>
            </w:rPr>
          </w:pPr>
          <w:hyperlink w:anchor="_Toc409508693" w:history="1">
            <w:r w:rsidR="002B4FD9" w:rsidRPr="002B4FD9">
              <w:rPr>
                <w:rStyle w:val="Hyperlink"/>
              </w:rPr>
              <w:t>8.2</w:t>
            </w:r>
            <w:r w:rsidR="002B4FD9" w:rsidRPr="002B4FD9">
              <w:rPr>
                <w:rFonts w:eastAsiaTheme="minorEastAsia"/>
                <w:lang w:val="en-NZ" w:eastAsia="en-NZ"/>
              </w:rPr>
              <w:tab/>
            </w:r>
            <w:r w:rsidR="002B4FD9" w:rsidRPr="002B4FD9">
              <w:rPr>
                <w:rStyle w:val="Hyperlink"/>
              </w:rPr>
              <w:t>New subsidiary psychoactive product</w:t>
            </w:r>
            <w:r w:rsidR="002B4FD9" w:rsidRPr="002B4FD9">
              <w:rPr>
                <w:webHidden/>
              </w:rPr>
              <w:tab/>
            </w:r>
            <w:r w:rsidR="002B4FD9" w:rsidRPr="002B4FD9">
              <w:rPr>
                <w:webHidden/>
              </w:rPr>
              <w:fldChar w:fldCharType="begin"/>
            </w:r>
            <w:r w:rsidR="002B4FD9" w:rsidRPr="002B4FD9">
              <w:rPr>
                <w:webHidden/>
              </w:rPr>
              <w:instrText xml:space="preserve"> PAGEREF _Toc409508693 \h </w:instrText>
            </w:r>
            <w:r w:rsidR="002B4FD9" w:rsidRPr="002B4FD9">
              <w:rPr>
                <w:webHidden/>
              </w:rPr>
            </w:r>
            <w:r w:rsidR="002B4FD9" w:rsidRPr="002B4FD9">
              <w:rPr>
                <w:webHidden/>
              </w:rPr>
              <w:fldChar w:fldCharType="separate"/>
            </w:r>
            <w:r w:rsidR="002B4FD9" w:rsidRPr="002B4FD9">
              <w:rPr>
                <w:webHidden/>
              </w:rPr>
              <w:t>18</w:t>
            </w:r>
            <w:r w:rsidR="002B4FD9" w:rsidRPr="002B4FD9">
              <w:rPr>
                <w:webHidden/>
              </w:rPr>
              <w:fldChar w:fldCharType="end"/>
            </w:r>
          </w:hyperlink>
        </w:p>
        <w:p w:rsidR="002B4FD9" w:rsidRPr="002B4FD9" w:rsidRDefault="002916A6">
          <w:pPr>
            <w:pStyle w:val="TOC3"/>
            <w:tabs>
              <w:tab w:val="left" w:pos="1100"/>
            </w:tabs>
            <w:rPr>
              <w:rFonts w:eastAsiaTheme="minorEastAsia"/>
              <w:lang w:val="en-NZ" w:eastAsia="en-NZ"/>
            </w:rPr>
          </w:pPr>
          <w:hyperlink w:anchor="_Toc409508694" w:history="1">
            <w:r w:rsidR="002B4FD9" w:rsidRPr="002B4FD9">
              <w:rPr>
                <w:rStyle w:val="Hyperlink"/>
              </w:rPr>
              <w:t>8.3</w:t>
            </w:r>
            <w:r w:rsidR="002B4FD9" w:rsidRPr="002B4FD9">
              <w:rPr>
                <w:rFonts w:eastAsiaTheme="minorEastAsia"/>
                <w:lang w:val="en-NZ" w:eastAsia="en-NZ"/>
              </w:rPr>
              <w:tab/>
            </w:r>
            <w:r w:rsidR="002B4FD9" w:rsidRPr="002B4FD9">
              <w:rPr>
                <w:rStyle w:val="Hyperlink"/>
              </w:rPr>
              <w:t>New psychoactive product and subsidiary product applications</w:t>
            </w:r>
            <w:r w:rsidR="002B4FD9" w:rsidRPr="002B4FD9">
              <w:rPr>
                <w:webHidden/>
              </w:rPr>
              <w:tab/>
            </w:r>
            <w:r w:rsidR="002B4FD9" w:rsidRPr="002B4FD9">
              <w:rPr>
                <w:webHidden/>
              </w:rPr>
              <w:fldChar w:fldCharType="begin"/>
            </w:r>
            <w:r w:rsidR="002B4FD9" w:rsidRPr="002B4FD9">
              <w:rPr>
                <w:webHidden/>
              </w:rPr>
              <w:instrText xml:space="preserve"> PAGEREF _Toc409508694 \h </w:instrText>
            </w:r>
            <w:r w:rsidR="002B4FD9" w:rsidRPr="002B4FD9">
              <w:rPr>
                <w:webHidden/>
              </w:rPr>
            </w:r>
            <w:r w:rsidR="002B4FD9" w:rsidRPr="002B4FD9">
              <w:rPr>
                <w:webHidden/>
              </w:rPr>
              <w:fldChar w:fldCharType="separate"/>
            </w:r>
            <w:r w:rsidR="002B4FD9" w:rsidRPr="002B4FD9">
              <w:rPr>
                <w:webHidden/>
              </w:rPr>
              <w:t>18</w:t>
            </w:r>
            <w:r w:rsidR="002B4FD9" w:rsidRPr="002B4FD9">
              <w:rPr>
                <w:webHidden/>
              </w:rPr>
              <w:fldChar w:fldCharType="end"/>
            </w:r>
          </w:hyperlink>
        </w:p>
        <w:p w:rsidR="002B4FD9" w:rsidRPr="002B4FD9" w:rsidRDefault="002916A6">
          <w:pPr>
            <w:pStyle w:val="TOC3"/>
            <w:tabs>
              <w:tab w:val="left" w:pos="1100"/>
            </w:tabs>
            <w:rPr>
              <w:rFonts w:eastAsiaTheme="minorEastAsia"/>
              <w:lang w:val="en-NZ" w:eastAsia="en-NZ"/>
            </w:rPr>
          </w:pPr>
          <w:hyperlink w:anchor="_Toc409508695" w:history="1">
            <w:r w:rsidR="002B4FD9" w:rsidRPr="002B4FD9">
              <w:rPr>
                <w:rStyle w:val="Hyperlink"/>
              </w:rPr>
              <w:t>8.4</w:t>
            </w:r>
            <w:r w:rsidR="002B4FD9" w:rsidRPr="002B4FD9">
              <w:rPr>
                <w:rFonts w:eastAsiaTheme="minorEastAsia"/>
                <w:lang w:val="en-NZ" w:eastAsia="en-NZ"/>
              </w:rPr>
              <w:tab/>
            </w:r>
            <w:r w:rsidR="002B4FD9" w:rsidRPr="002B4FD9">
              <w:rPr>
                <w:rStyle w:val="Hyperlink"/>
              </w:rPr>
              <w:t>Changes to an approved product</w:t>
            </w:r>
            <w:r w:rsidR="002B4FD9" w:rsidRPr="002B4FD9">
              <w:rPr>
                <w:webHidden/>
              </w:rPr>
              <w:tab/>
            </w:r>
            <w:r w:rsidR="002B4FD9" w:rsidRPr="002B4FD9">
              <w:rPr>
                <w:webHidden/>
              </w:rPr>
              <w:fldChar w:fldCharType="begin"/>
            </w:r>
            <w:r w:rsidR="002B4FD9" w:rsidRPr="002B4FD9">
              <w:rPr>
                <w:webHidden/>
              </w:rPr>
              <w:instrText xml:space="preserve"> PAGEREF _Toc409508695 \h </w:instrText>
            </w:r>
            <w:r w:rsidR="002B4FD9" w:rsidRPr="002B4FD9">
              <w:rPr>
                <w:webHidden/>
              </w:rPr>
            </w:r>
            <w:r w:rsidR="002B4FD9" w:rsidRPr="002B4FD9">
              <w:rPr>
                <w:webHidden/>
              </w:rPr>
              <w:fldChar w:fldCharType="separate"/>
            </w:r>
            <w:r w:rsidR="002B4FD9" w:rsidRPr="002B4FD9">
              <w:rPr>
                <w:webHidden/>
              </w:rPr>
              <w:t>18</w:t>
            </w:r>
            <w:r w:rsidR="002B4FD9" w:rsidRPr="002B4FD9">
              <w:rPr>
                <w:webHidden/>
              </w:rPr>
              <w:fldChar w:fldCharType="end"/>
            </w:r>
          </w:hyperlink>
        </w:p>
        <w:p w:rsidR="002B4FD9" w:rsidRPr="002B4FD9" w:rsidRDefault="002916A6">
          <w:pPr>
            <w:pStyle w:val="TOC1"/>
            <w:tabs>
              <w:tab w:val="left" w:pos="480"/>
            </w:tabs>
            <w:rPr>
              <w:rFonts w:ascii="Arial" w:eastAsiaTheme="minorEastAsia" w:hAnsi="Arial" w:cs="Arial"/>
              <w:noProof/>
              <w:lang w:val="en-NZ" w:eastAsia="en-NZ"/>
            </w:rPr>
          </w:pPr>
          <w:hyperlink w:anchor="_Toc409508696" w:history="1">
            <w:r w:rsidR="002B4FD9" w:rsidRPr="002B4FD9">
              <w:rPr>
                <w:rStyle w:val="Hyperlink"/>
                <w:rFonts w:ascii="Arial" w:hAnsi="Arial" w:cs="Arial"/>
                <w:noProof/>
              </w:rPr>
              <w:t>9</w:t>
            </w:r>
            <w:r w:rsidR="002B4FD9" w:rsidRPr="002B4FD9">
              <w:rPr>
                <w:rFonts w:ascii="Arial" w:eastAsiaTheme="minorEastAsia" w:hAnsi="Arial" w:cs="Arial"/>
                <w:noProof/>
                <w:lang w:val="en-NZ" w:eastAsia="en-NZ"/>
              </w:rPr>
              <w:tab/>
            </w:r>
            <w:r w:rsidR="002B4FD9" w:rsidRPr="002B4FD9">
              <w:rPr>
                <w:rStyle w:val="Hyperlink"/>
                <w:rFonts w:ascii="Arial" w:hAnsi="Arial" w:cs="Arial"/>
                <w:noProof/>
              </w:rPr>
              <w:t>Product development</w:t>
            </w:r>
            <w:r w:rsidR="002B4FD9" w:rsidRPr="002B4FD9">
              <w:rPr>
                <w:rFonts w:ascii="Arial" w:hAnsi="Arial" w:cs="Arial"/>
                <w:noProof/>
                <w:webHidden/>
              </w:rPr>
              <w:tab/>
            </w:r>
            <w:r w:rsidR="002B4FD9" w:rsidRPr="002B4FD9">
              <w:rPr>
                <w:rFonts w:ascii="Arial" w:hAnsi="Arial" w:cs="Arial"/>
                <w:noProof/>
                <w:webHidden/>
              </w:rPr>
              <w:fldChar w:fldCharType="begin"/>
            </w:r>
            <w:r w:rsidR="002B4FD9" w:rsidRPr="002B4FD9">
              <w:rPr>
                <w:rFonts w:ascii="Arial" w:hAnsi="Arial" w:cs="Arial"/>
                <w:noProof/>
                <w:webHidden/>
              </w:rPr>
              <w:instrText xml:space="preserve"> PAGEREF _Toc409508696 \h </w:instrText>
            </w:r>
            <w:r w:rsidR="002B4FD9" w:rsidRPr="002B4FD9">
              <w:rPr>
                <w:rFonts w:ascii="Arial" w:hAnsi="Arial" w:cs="Arial"/>
                <w:noProof/>
                <w:webHidden/>
              </w:rPr>
            </w:r>
            <w:r w:rsidR="002B4FD9" w:rsidRPr="002B4FD9">
              <w:rPr>
                <w:rFonts w:ascii="Arial" w:hAnsi="Arial" w:cs="Arial"/>
                <w:noProof/>
                <w:webHidden/>
              </w:rPr>
              <w:fldChar w:fldCharType="separate"/>
            </w:r>
            <w:r w:rsidR="002B4FD9" w:rsidRPr="002B4FD9">
              <w:rPr>
                <w:rFonts w:ascii="Arial" w:hAnsi="Arial" w:cs="Arial"/>
                <w:noProof/>
                <w:webHidden/>
              </w:rPr>
              <w:t>20</w:t>
            </w:r>
            <w:r w:rsidR="002B4FD9" w:rsidRPr="002B4FD9">
              <w:rPr>
                <w:rFonts w:ascii="Arial" w:hAnsi="Arial" w:cs="Arial"/>
                <w:noProof/>
                <w:webHidden/>
              </w:rPr>
              <w:fldChar w:fldCharType="end"/>
            </w:r>
          </w:hyperlink>
        </w:p>
        <w:p w:rsidR="002B4FD9" w:rsidRPr="002B4FD9" w:rsidRDefault="002916A6">
          <w:pPr>
            <w:pStyle w:val="TOC1"/>
            <w:rPr>
              <w:rFonts w:ascii="Arial" w:eastAsiaTheme="minorEastAsia" w:hAnsi="Arial" w:cs="Arial"/>
              <w:noProof/>
              <w:lang w:val="en-NZ" w:eastAsia="en-NZ"/>
            </w:rPr>
          </w:pPr>
          <w:hyperlink w:anchor="_Toc409508697" w:history="1">
            <w:r w:rsidR="002B4FD9" w:rsidRPr="002B4FD9">
              <w:rPr>
                <w:rStyle w:val="Hyperlink"/>
                <w:rFonts w:ascii="Arial" w:hAnsi="Arial" w:cs="Arial"/>
                <w:noProof/>
              </w:rPr>
              <w:t xml:space="preserve">The following information needs to be provided in </w:t>
            </w:r>
            <w:r w:rsidR="002B4FD9" w:rsidRPr="002B4FD9">
              <w:rPr>
                <w:rStyle w:val="Hyperlink"/>
                <w:rFonts w:ascii="Arial" w:hAnsi="Arial" w:cs="Arial"/>
                <w:b/>
                <w:noProof/>
              </w:rPr>
              <w:t xml:space="preserve">all </w:t>
            </w:r>
            <w:r w:rsidR="002B4FD9" w:rsidRPr="002B4FD9">
              <w:rPr>
                <w:rStyle w:val="Hyperlink"/>
                <w:rFonts w:ascii="Arial" w:hAnsi="Arial" w:cs="Arial"/>
                <w:noProof/>
              </w:rPr>
              <w:t>NPPA applications.</w:t>
            </w:r>
            <w:r w:rsidR="002B4FD9" w:rsidRPr="002B4FD9">
              <w:rPr>
                <w:rFonts w:ascii="Arial" w:hAnsi="Arial" w:cs="Arial"/>
                <w:noProof/>
                <w:webHidden/>
              </w:rPr>
              <w:tab/>
            </w:r>
            <w:r w:rsidR="002B4FD9" w:rsidRPr="002B4FD9">
              <w:rPr>
                <w:rFonts w:ascii="Arial" w:hAnsi="Arial" w:cs="Arial"/>
                <w:noProof/>
                <w:webHidden/>
              </w:rPr>
              <w:fldChar w:fldCharType="begin"/>
            </w:r>
            <w:r w:rsidR="002B4FD9" w:rsidRPr="002B4FD9">
              <w:rPr>
                <w:rFonts w:ascii="Arial" w:hAnsi="Arial" w:cs="Arial"/>
                <w:noProof/>
                <w:webHidden/>
              </w:rPr>
              <w:instrText xml:space="preserve"> PAGEREF _Toc409508697 \h </w:instrText>
            </w:r>
            <w:r w:rsidR="002B4FD9" w:rsidRPr="002B4FD9">
              <w:rPr>
                <w:rFonts w:ascii="Arial" w:hAnsi="Arial" w:cs="Arial"/>
                <w:noProof/>
                <w:webHidden/>
              </w:rPr>
            </w:r>
            <w:r w:rsidR="002B4FD9" w:rsidRPr="002B4FD9">
              <w:rPr>
                <w:rFonts w:ascii="Arial" w:hAnsi="Arial" w:cs="Arial"/>
                <w:noProof/>
                <w:webHidden/>
              </w:rPr>
              <w:fldChar w:fldCharType="separate"/>
            </w:r>
            <w:r w:rsidR="002B4FD9" w:rsidRPr="002B4FD9">
              <w:rPr>
                <w:rFonts w:ascii="Arial" w:hAnsi="Arial" w:cs="Arial"/>
                <w:noProof/>
                <w:webHidden/>
              </w:rPr>
              <w:t>20</w:t>
            </w:r>
            <w:r w:rsidR="002B4FD9" w:rsidRPr="002B4FD9">
              <w:rPr>
                <w:rFonts w:ascii="Arial" w:hAnsi="Arial" w:cs="Arial"/>
                <w:noProof/>
                <w:webHidden/>
              </w:rPr>
              <w:fldChar w:fldCharType="end"/>
            </w:r>
          </w:hyperlink>
        </w:p>
        <w:p w:rsidR="002B4FD9" w:rsidRPr="002B4FD9" w:rsidRDefault="002916A6">
          <w:pPr>
            <w:pStyle w:val="TOC3"/>
            <w:tabs>
              <w:tab w:val="left" w:pos="1100"/>
            </w:tabs>
            <w:rPr>
              <w:rFonts w:eastAsiaTheme="minorEastAsia"/>
              <w:lang w:val="en-NZ" w:eastAsia="en-NZ"/>
            </w:rPr>
          </w:pPr>
          <w:hyperlink w:anchor="_Toc409508698" w:history="1">
            <w:r w:rsidR="002B4FD9" w:rsidRPr="002B4FD9">
              <w:rPr>
                <w:rStyle w:val="Hyperlink"/>
              </w:rPr>
              <w:t>9.1</w:t>
            </w:r>
            <w:r w:rsidR="002B4FD9" w:rsidRPr="002B4FD9">
              <w:rPr>
                <w:rFonts w:eastAsiaTheme="minorEastAsia"/>
                <w:lang w:val="en-NZ" w:eastAsia="en-NZ"/>
              </w:rPr>
              <w:tab/>
            </w:r>
            <w:r w:rsidR="002B4FD9" w:rsidRPr="002B4FD9">
              <w:rPr>
                <w:rStyle w:val="Hyperlink"/>
              </w:rPr>
              <w:t xml:space="preserve">Pre-market </w:t>
            </w:r>
            <w:r w:rsidR="002B4FD9" w:rsidRPr="002B4FD9">
              <w:rPr>
                <w:rStyle w:val="Hyperlink"/>
                <w:i/>
              </w:rPr>
              <w:t>in vitro</w:t>
            </w:r>
            <w:r w:rsidR="002B4FD9" w:rsidRPr="002B4FD9">
              <w:rPr>
                <w:rStyle w:val="Hyperlink"/>
              </w:rPr>
              <w:t xml:space="preserve"> assessment</w:t>
            </w:r>
            <w:r w:rsidR="002B4FD9" w:rsidRPr="002B4FD9">
              <w:rPr>
                <w:webHidden/>
              </w:rPr>
              <w:tab/>
            </w:r>
            <w:r w:rsidR="002B4FD9" w:rsidRPr="002B4FD9">
              <w:rPr>
                <w:webHidden/>
              </w:rPr>
              <w:fldChar w:fldCharType="begin"/>
            </w:r>
            <w:r w:rsidR="002B4FD9" w:rsidRPr="002B4FD9">
              <w:rPr>
                <w:webHidden/>
              </w:rPr>
              <w:instrText xml:space="preserve"> PAGEREF _Toc409508698 \h </w:instrText>
            </w:r>
            <w:r w:rsidR="002B4FD9" w:rsidRPr="002B4FD9">
              <w:rPr>
                <w:webHidden/>
              </w:rPr>
            </w:r>
            <w:r w:rsidR="002B4FD9" w:rsidRPr="002B4FD9">
              <w:rPr>
                <w:webHidden/>
              </w:rPr>
              <w:fldChar w:fldCharType="separate"/>
            </w:r>
            <w:r w:rsidR="002B4FD9" w:rsidRPr="002B4FD9">
              <w:rPr>
                <w:webHidden/>
              </w:rPr>
              <w:t>20</w:t>
            </w:r>
            <w:r w:rsidR="002B4FD9" w:rsidRPr="002B4FD9">
              <w:rPr>
                <w:webHidden/>
              </w:rPr>
              <w:fldChar w:fldCharType="end"/>
            </w:r>
          </w:hyperlink>
        </w:p>
        <w:p w:rsidR="002B4FD9" w:rsidRPr="002B4FD9" w:rsidRDefault="002916A6">
          <w:pPr>
            <w:pStyle w:val="TOC3"/>
            <w:tabs>
              <w:tab w:val="left" w:pos="1100"/>
            </w:tabs>
            <w:rPr>
              <w:rFonts w:eastAsiaTheme="minorEastAsia"/>
              <w:lang w:val="en-NZ" w:eastAsia="en-NZ"/>
            </w:rPr>
          </w:pPr>
          <w:hyperlink w:anchor="_Toc409508699" w:history="1">
            <w:r w:rsidR="002B4FD9" w:rsidRPr="002B4FD9">
              <w:rPr>
                <w:rStyle w:val="Hyperlink"/>
              </w:rPr>
              <w:t>9.2</w:t>
            </w:r>
            <w:r w:rsidR="002B4FD9" w:rsidRPr="002B4FD9">
              <w:rPr>
                <w:rFonts w:eastAsiaTheme="minorEastAsia"/>
                <w:lang w:val="en-NZ" w:eastAsia="en-NZ"/>
              </w:rPr>
              <w:tab/>
            </w:r>
            <w:r w:rsidR="002B4FD9" w:rsidRPr="002B4FD9">
              <w:rPr>
                <w:rStyle w:val="Hyperlink"/>
              </w:rPr>
              <w:t>Pre-clinical safety assessment</w:t>
            </w:r>
            <w:r w:rsidR="002B4FD9" w:rsidRPr="002B4FD9">
              <w:rPr>
                <w:webHidden/>
              </w:rPr>
              <w:tab/>
            </w:r>
            <w:r w:rsidR="002B4FD9" w:rsidRPr="002B4FD9">
              <w:rPr>
                <w:webHidden/>
              </w:rPr>
              <w:fldChar w:fldCharType="begin"/>
            </w:r>
            <w:r w:rsidR="002B4FD9" w:rsidRPr="002B4FD9">
              <w:rPr>
                <w:webHidden/>
              </w:rPr>
              <w:instrText xml:space="preserve"> PAGEREF _Toc409508699 \h </w:instrText>
            </w:r>
            <w:r w:rsidR="002B4FD9" w:rsidRPr="002B4FD9">
              <w:rPr>
                <w:webHidden/>
              </w:rPr>
            </w:r>
            <w:r w:rsidR="002B4FD9" w:rsidRPr="002B4FD9">
              <w:rPr>
                <w:webHidden/>
              </w:rPr>
              <w:fldChar w:fldCharType="separate"/>
            </w:r>
            <w:r w:rsidR="002B4FD9" w:rsidRPr="002B4FD9">
              <w:rPr>
                <w:webHidden/>
              </w:rPr>
              <w:t>20</w:t>
            </w:r>
            <w:r w:rsidR="002B4FD9" w:rsidRPr="002B4FD9">
              <w:rPr>
                <w:webHidden/>
              </w:rPr>
              <w:fldChar w:fldCharType="end"/>
            </w:r>
          </w:hyperlink>
        </w:p>
        <w:p w:rsidR="002B4FD9" w:rsidRPr="002B4FD9" w:rsidRDefault="002916A6">
          <w:pPr>
            <w:pStyle w:val="TOC3"/>
            <w:tabs>
              <w:tab w:val="left" w:pos="1100"/>
            </w:tabs>
            <w:rPr>
              <w:rFonts w:eastAsiaTheme="minorEastAsia"/>
              <w:lang w:val="en-NZ" w:eastAsia="en-NZ"/>
            </w:rPr>
          </w:pPr>
          <w:hyperlink w:anchor="_Toc409508700" w:history="1">
            <w:r w:rsidR="002B4FD9" w:rsidRPr="002B4FD9">
              <w:rPr>
                <w:rStyle w:val="Hyperlink"/>
              </w:rPr>
              <w:t>9.3</w:t>
            </w:r>
            <w:r w:rsidR="002B4FD9" w:rsidRPr="002B4FD9">
              <w:rPr>
                <w:rFonts w:eastAsiaTheme="minorEastAsia"/>
                <w:lang w:val="en-NZ" w:eastAsia="en-NZ"/>
              </w:rPr>
              <w:tab/>
            </w:r>
            <w:r w:rsidR="002B4FD9" w:rsidRPr="002B4FD9">
              <w:rPr>
                <w:rStyle w:val="Hyperlink"/>
              </w:rPr>
              <w:t>Clinical safety assessment</w:t>
            </w:r>
            <w:r w:rsidR="002B4FD9" w:rsidRPr="002B4FD9">
              <w:rPr>
                <w:webHidden/>
              </w:rPr>
              <w:tab/>
            </w:r>
            <w:r w:rsidR="002B4FD9" w:rsidRPr="002B4FD9">
              <w:rPr>
                <w:webHidden/>
              </w:rPr>
              <w:fldChar w:fldCharType="begin"/>
            </w:r>
            <w:r w:rsidR="002B4FD9" w:rsidRPr="002B4FD9">
              <w:rPr>
                <w:webHidden/>
              </w:rPr>
              <w:instrText xml:space="preserve"> PAGEREF _Toc409508700 \h </w:instrText>
            </w:r>
            <w:r w:rsidR="002B4FD9" w:rsidRPr="002B4FD9">
              <w:rPr>
                <w:webHidden/>
              </w:rPr>
            </w:r>
            <w:r w:rsidR="002B4FD9" w:rsidRPr="002B4FD9">
              <w:rPr>
                <w:webHidden/>
              </w:rPr>
              <w:fldChar w:fldCharType="separate"/>
            </w:r>
            <w:r w:rsidR="002B4FD9" w:rsidRPr="002B4FD9">
              <w:rPr>
                <w:webHidden/>
              </w:rPr>
              <w:t>21</w:t>
            </w:r>
            <w:r w:rsidR="002B4FD9" w:rsidRPr="002B4FD9">
              <w:rPr>
                <w:webHidden/>
              </w:rPr>
              <w:fldChar w:fldCharType="end"/>
            </w:r>
          </w:hyperlink>
        </w:p>
        <w:p w:rsidR="002B4FD9" w:rsidRPr="002B4FD9" w:rsidRDefault="002916A6">
          <w:pPr>
            <w:pStyle w:val="TOC1"/>
            <w:tabs>
              <w:tab w:val="left" w:pos="480"/>
            </w:tabs>
            <w:rPr>
              <w:rFonts w:ascii="Arial" w:eastAsiaTheme="minorEastAsia" w:hAnsi="Arial" w:cs="Arial"/>
              <w:noProof/>
              <w:lang w:val="en-NZ" w:eastAsia="en-NZ"/>
            </w:rPr>
          </w:pPr>
          <w:hyperlink w:anchor="_Toc409508701" w:history="1">
            <w:r w:rsidR="002B4FD9" w:rsidRPr="002B4FD9">
              <w:rPr>
                <w:rStyle w:val="Hyperlink"/>
                <w:rFonts w:ascii="Arial" w:hAnsi="Arial" w:cs="Arial"/>
                <w:noProof/>
              </w:rPr>
              <w:t>10</w:t>
            </w:r>
            <w:r w:rsidR="002B4FD9" w:rsidRPr="002B4FD9">
              <w:rPr>
                <w:rFonts w:ascii="Arial" w:eastAsiaTheme="minorEastAsia" w:hAnsi="Arial" w:cs="Arial"/>
                <w:noProof/>
                <w:lang w:val="en-NZ" w:eastAsia="en-NZ"/>
              </w:rPr>
              <w:tab/>
            </w:r>
            <w:r w:rsidR="002B4FD9" w:rsidRPr="002B4FD9">
              <w:rPr>
                <w:rStyle w:val="Hyperlink"/>
                <w:rFonts w:ascii="Arial" w:hAnsi="Arial" w:cs="Arial"/>
                <w:noProof/>
              </w:rPr>
              <w:t>How to prepare the content of an application</w:t>
            </w:r>
            <w:r w:rsidR="002B4FD9" w:rsidRPr="002B4FD9">
              <w:rPr>
                <w:rFonts w:ascii="Arial" w:hAnsi="Arial" w:cs="Arial"/>
                <w:noProof/>
                <w:webHidden/>
              </w:rPr>
              <w:tab/>
            </w:r>
            <w:r w:rsidR="002B4FD9" w:rsidRPr="002B4FD9">
              <w:rPr>
                <w:rFonts w:ascii="Arial" w:hAnsi="Arial" w:cs="Arial"/>
                <w:noProof/>
                <w:webHidden/>
              </w:rPr>
              <w:fldChar w:fldCharType="begin"/>
            </w:r>
            <w:r w:rsidR="002B4FD9" w:rsidRPr="002B4FD9">
              <w:rPr>
                <w:rFonts w:ascii="Arial" w:hAnsi="Arial" w:cs="Arial"/>
                <w:noProof/>
                <w:webHidden/>
              </w:rPr>
              <w:instrText xml:space="preserve"> PAGEREF _Toc409508701 \h </w:instrText>
            </w:r>
            <w:r w:rsidR="002B4FD9" w:rsidRPr="002B4FD9">
              <w:rPr>
                <w:rFonts w:ascii="Arial" w:hAnsi="Arial" w:cs="Arial"/>
                <w:noProof/>
                <w:webHidden/>
              </w:rPr>
            </w:r>
            <w:r w:rsidR="002B4FD9" w:rsidRPr="002B4FD9">
              <w:rPr>
                <w:rFonts w:ascii="Arial" w:hAnsi="Arial" w:cs="Arial"/>
                <w:noProof/>
                <w:webHidden/>
              </w:rPr>
              <w:fldChar w:fldCharType="separate"/>
            </w:r>
            <w:r w:rsidR="002B4FD9" w:rsidRPr="002B4FD9">
              <w:rPr>
                <w:rFonts w:ascii="Arial" w:hAnsi="Arial" w:cs="Arial"/>
                <w:noProof/>
                <w:webHidden/>
              </w:rPr>
              <w:t>22</w:t>
            </w:r>
            <w:r w:rsidR="002B4FD9" w:rsidRPr="002B4FD9">
              <w:rPr>
                <w:rFonts w:ascii="Arial" w:hAnsi="Arial" w:cs="Arial"/>
                <w:noProof/>
                <w:webHidden/>
              </w:rPr>
              <w:fldChar w:fldCharType="end"/>
            </w:r>
          </w:hyperlink>
        </w:p>
        <w:p w:rsidR="002B4FD9" w:rsidRPr="002B4FD9" w:rsidRDefault="002916A6">
          <w:pPr>
            <w:pStyle w:val="TOC3"/>
            <w:tabs>
              <w:tab w:val="left" w:pos="1320"/>
            </w:tabs>
            <w:rPr>
              <w:rFonts w:eastAsiaTheme="minorEastAsia"/>
              <w:lang w:val="en-NZ" w:eastAsia="en-NZ"/>
            </w:rPr>
          </w:pPr>
          <w:hyperlink w:anchor="_Toc409508702" w:history="1">
            <w:r w:rsidR="002B4FD9" w:rsidRPr="002B4FD9">
              <w:rPr>
                <w:rStyle w:val="Hyperlink"/>
              </w:rPr>
              <w:t>10.1</w:t>
            </w:r>
            <w:r w:rsidR="002B4FD9" w:rsidRPr="002B4FD9">
              <w:rPr>
                <w:rFonts w:eastAsiaTheme="minorEastAsia"/>
                <w:lang w:val="en-NZ" w:eastAsia="en-NZ"/>
              </w:rPr>
              <w:tab/>
            </w:r>
            <w:r w:rsidR="002B4FD9" w:rsidRPr="002B4FD9">
              <w:rPr>
                <w:rStyle w:val="Hyperlink"/>
              </w:rPr>
              <w:t>Who should apply?</w:t>
            </w:r>
            <w:r w:rsidR="002B4FD9" w:rsidRPr="002B4FD9">
              <w:rPr>
                <w:webHidden/>
              </w:rPr>
              <w:tab/>
            </w:r>
            <w:r w:rsidR="002B4FD9" w:rsidRPr="002B4FD9">
              <w:rPr>
                <w:webHidden/>
              </w:rPr>
              <w:fldChar w:fldCharType="begin"/>
            </w:r>
            <w:r w:rsidR="002B4FD9" w:rsidRPr="002B4FD9">
              <w:rPr>
                <w:webHidden/>
              </w:rPr>
              <w:instrText xml:space="preserve"> PAGEREF _Toc409508702 \h </w:instrText>
            </w:r>
            <w:r w:rsidR="002B4FD9" w:rsidRPr="002B4FD9">
              <w:rPr>
                <w:webHidden/>
              </w:rPr>
            </w:r>
            <w:r w:rsidR="002B4FD9" w:rsidRPr="002B4FD9">
              <w:rPr>
                <w:webHidden/>
              </w:rPr>
              <w:fldChar w:fldCharType="separate"/>
            </w:r>
            <w:r w:rsidR="002B4FD9" w:rsidRPr="002B4FD9">
              <w:rPr>
                <w:webHidden/>
              </w:rPr>
              <w:t>22</w:t>
            </w:r>
            <w:r w:rsidR="002B4FD9" w:rsidRPr="002B4FD9">
              <w:rPr>
                <w:webHidden/>
              </w:rPr>
              <w:fldChar w:fldCharType="end"/>
            </w:r>
          </w:hyperlink>
        </w:p>
        <w:p w:rsidR="002B4FD9" w:rsidRPr="002B4FD9" w:rsidRDefault="002916A6">
          <w:pPr>
            <w:pStyle w:val="TOC3"/>
            <w:tabs>
              <w:tab w:val="left" w:pos="1320"/>
            </w:tabs>
            <w:rPr>
              <w:rFonts w:eastAsiaTheme="minorEastAsia"/>
              <w:lang w:val="en-NZ" w:eastAsia="en-NZ"/>
            </w:rPr>
          </w:pPr>
          <w:hyperlink w:anchor="_Toc409508703" w:history="1">
            <w:r w:rsidR="002B4FD9" w:rsidRPr="002B4FD9">
              <w:rPr>
                <w:rStyle w:val="Hyperlink"/>
              </w:rPr>
              <w:t>10.2</w:t>
            </w:r>
            <w:r w:rsidR="002B4FD9" w:rsidRPr="002B4FD9">
              <w:rPr>
                <w:rFonts w:eastAsiaTheme="minorEastAsia"/>
                <w:lang w:val="en-NZ" w:eastAsia="en-NZ"/>
              </w:rPr>
              <w:tab/>
            </w:r>
            <w:r w:rsidR="002B4FD9" w:rsidRPr="002B4FD9">
              <w:rPr>
                <w:rStyle w:val="Hyperlink"/>
              </w:rPr>
              <w:t>Language</w:t>
            </w:r>
            <w:r w:rsidR="002B4FD9" w:rsidRPr="002B4FD9">
              <w:rPr>
                <w:webHidden/>
              </w:rPr>
              <w:tab/>
            </w:r>
            <w:r w:rsidR="002B4FD9" w:rsidRPr="002B4FD9">
              <w:rPr>
                <w:webHidden/>
              </w:rPr>
              <w:fldChar w:fldCharType="begin"/>
            </w:r>
            <w:r w:rsidR="002B4FD9" w:rsidRPr="002B4FD9">
              <w:rPr>
                <w:webHidden/>
              </w:rPr>
              <w:instrText xml:space="preserve"> PAGEREF _Toc409508703 \h </w:instrText>
            </w:r>
            <w:r w:rsidR="002B4FD9" w:rsidRPr="002B4FD9">
              <w:rPr>
                <w:webHidden/>
              </w:rPr>
            </w:r>
            <w:r w:rsidR="002B4FD9" w:rsidRPr="002B4FD9">
              <w:rPr>
                <w:webHidden/>
              </w:rPr>
              <w:fldChar w:fldCharType="separate"/>
            </w:r>
            <w:r w:rsidR="002B4FD9" w:rsidRPr="002B4FD9">
              <w:rPr>
                <w:webHidden/>
              </w:rPr>
              <w:t>23</w:t>
            </w:r>
            <w:r w:rsidR="002B4FD9" w:rsidRPr="002B4FD9">
              <w:rPr>
                <w:webHidden/>
              </w:rPr>
              <w:fldChar w:fldCharType="end"/>
            </w:r>
          </w:hyperlink>
        </w:p>
        <w:p w:rsidR="002B4FD9" w:rsidRPr="002B4FD9" w:rsidRDefault="002916A6">
          <w:pPr>
            <w:pStyle w:val="TOC3"/>
            <w:tabs>
              <w:tab w:val="left" w:pos="1320"/>
            </w:tabs>
            <w:rPr>
              <w:rFonts w:eastAsiaTheme="minorEastAsia"/>
              <w:lang w:val="en-NZ" w:eastAsia="en-NZ"/>
            </w:rPr>
          </w:pPr>
          <w:hyperlink w:anchor="_Toc409508704" w:history="1">
            <w:r w:rsidR="002B4FD9" w:rsidRPr="002B4FD9">
              <w:rPr>
                <w:rStyle w:val="Hyperlink"/>
              </w:rPr>
              <w:t>10.3</w:t>
            </w:r>
            <w:r w:rsidR="002B4FD9" w:rsidRPr="002B4FD9">
              <w:rPr>
                <w:rFonts w:eastAsiaTheme="minorEastAsia"/>
                <w:lang w:val="en-NZ" w:eastAsia="en-NZ"/>
              </w:rPr>
              <w:tab/>
            </w:r>
            <w:r w:rsidR="002B4FD9" w:rsidRPr="002B4FD9">
              <w:rPr>
                <w:rStyle w:val="Hyperlink"/>
              </w:rPr>
              <w:t>Format of application</w:t>
            </w:r>
            <w:r w:rsidR="002B4FD9" w:rsidRPr="002B4FD9">
              <w:rPr>
                <w:webHidden/>
              </w:rPr>
              <w:tab/>
            </w:r>
            <w:r w:rsidR="002B4FD9" w:rsidRPr="002B4FD9">
              <w:rPr>
                <w:webHidden/>
              </w:rPr>
              <w:fldChar w:fldCharType="begin"/>
            </w:r>
            <w:r w:rsidR="002B4FD9" w:rsidRPr="002B4FD9">
              <w:rPr>
                <w:webHidden/>
              </w:rPr>
              <w:instrText xml:space="preserve"> PAGEREF _Toc409508704 \h </w:instrText>
            </w:r>
            <w:r w:rsidR="002B4FD9" w:rsidRPr="002B4FD9">
              <w:rPr>
                <w:webHidden/>
              </w:rPr>
            </w:r>
            <w:r w:rsidR="002B4FD9" w:rsidRPr="002B4FD9">
              <w:rPr>
                <w:webHidden/>
              </w:rPr>
              <w:fldChar w:fldCharType="separate"/>
            </w:r>
            <w:r w:rsidR="002B4FD9" w:rsidRPr="002B4FD9">
              <w:rPr>
                <w:webHidden/>
              </w:rPr>
              <w:t>23</w:t>
            </w:r>
            <w:r w:rsidR="002B4FD9" w:rsidRPr="002B4FD9">
              <w:rPr>
                <w:webHidden/>
              </w:rPr>
              <w:fldChar w:fldCharType="end"/>
            </w:r>
          </w:hyperlink>
        </w:p>
        <w:p w:rsidR="002B4FD9" w:rsidRPr="002B4FD9" w:rsidRDefault="002916A6">
          <w:pPr>
            <w:pStyle w:val="TOC3"/>
            <w:tabs>
              <w:tab w:val="left" w:pos="1320"/>
            </w:tabs>
            <w:rPr>
              <w:rFonts w:eastAsiaTheme="minorEastAsia"/>
              <w:lang w:val="en-NZ" w:eastAsia="en-NZ"/>
            </w:rPr>
          </w:pPr>
          <w:hyperlink w:anchor="_Toc409508705" w:history="1">
            <w:r w:rsidR="002B4FD9" w:rsidRPr="002B4FD9">
              <w:rPr>
                <w:rStyle w:val="Hyperlink"/>
              </w:rPr>
              <w:t>10.4</w:t>
            </w:r>
            <w:r w:rsidR="002B4FD9" w:rsidRPr="002B4FD9">
              <w:rPr>
                <w:rFonts w:eastAsiaTheme="minorEastAsia"/>
                <w:lang w:val="en-NZ" w:eastAsia="en-NZ"/>
              </w:rPr>
              <w:tab/>
            </w:r>
            <w:r w:rsidR="002B4FD9" w:rsidRPr="002B4FD9">
              <w:rPr>
                <w:rStyle w:val="Hyperlink"/>
              </w:rPr>
              <w:t>Administrative information</w:t>
            </w:r>
            <w:r w:rsidR="002B4FD9" w:rsidRPr="002B4FD9">
              <w:rPr>
                <w:webHidden/>
              </w:rPr>
              <w:tab/>
            </w:r>
            <w:r w:rsidR="002B4FD9" w:rsidRPr="002B4FD9">
              <w:rPr>
                <w:webHidden/>
              </w:rPr>
              <w:fldChar w:fldCharType="begin"/>
            </w:r>
            <w:r w:rsidR="002B4FD9" w:rsidRPr="002B4FD9">
              <w:rPr>
                <w:webHidden/>
              </w:rPr>
              <w:instrText xml:space="preserve"> PAGEREF _Toc409508705 \h </w:instrText>
            </w:r>
            <w:r w:rsidR="002B4FD9" w:rsidRPr="002B4FD9">
              <w:rPr>
                <w:webHidden/>
              </w:rPr>
            </w:r>
            <w:r w:rsidR="002B4FD9" w:rsidRPr="002B4FD9">
              <w:rPr>
                <w:webHidden/>
              </w:rPr>
              <w:fldChar w:fldCharType="separate"/>
            </w:r>
            <w:r w:rsidR="002B4FD9" w:rsidRPr="002B4FD9">
              <w:rPr>
                <w:webHidden/>
              </w:rPr>
              <w:t>24</w:t>
            </w:r>
            <w:r w:rsidR="002B4FD9" w:rsidRPr="002B4FD9">
              <w:rPr>
                <w:webHidden/>
              </w:rPr>
              <w:fldChar w:fldCharType="end"/>
            </w:r>
          </w:hyperlink>
        </w:p>
        <w:p w:rsidR="002B4FD9" w:rsidRPr="002B4FD9" w:rsidRDefault="002916A6">
          <w:pPr>
            <w:pStyle w:val="TOC3"/>
            <w:tabs>
              <w:tab w:val="left" w:pos="1320"/>
            </w:tabs>
            <w:rPr>
              <w:rFonts w:eastAsiaTheme="minorEastAsia"/>
              <w:lang w:val="en-NZ" w:eastAsia="en-NZ"/>
            </w:rPr>
          </w:pPr>
          <w:hyperlink w:anchor="_Toc409508706" w:history="1">
            <w:r w:rsidR="002B4FD9" w:rsidRPr="002B4FD9">
              <w:rPr>
                <w:rStyle w:val="Hyperlink"/>
              </w:rPr>
              <w:t>10.5</w:t>
            </w:r>
            <w:r w:rsidR="002B4FD9" w:rsidRPr="002B4FD9">
              <w:rPr>
                <w:rFonts w:eastAsiaTheme="minorEastAsia"/>
                <w:lang w:val="en-NZ" w:eastAsia="en-NZ"/>
              </w:rPr>
              <w:tab/>
            </w:r>
            <w:r w:rsidR="002B4FD9" w:rsidRPr="002B4FD9">
              <w:rPr>
                <w:rStyle w:val="Hyperlink"/>
              </w:rPr>
              <w:t>Dossier - Technical Guidelines to be Followed</w:t>
            </w:r>
            <w:r w:rsidR="002B4FD9" w:rsidRPr="002B4FD9">
              <w:rPr>
                <w:webHidden/>
              </w:rPr>
              <w:tab/>
            </w:r>
            <w:r w:rsidR="002B4FD9" w:rsidRPr="002B4FD9">
              <w:rPr>
                <w:webHidden/>
              </w:rPr>
              <w:fldChar w:fldCharType="begin"/>
            </w:r>
            <w:r w:rsidR="002B4FD9" w:rsidRPr="002B4FD9">
              <w:rPr>
                <w:webHidden/>
              </w:rPr>
              <w:instrText xml:space="preserve"> PAGEREF _Toc409508706 \h </w:instrText>
            </w:r>
            <w:r w:rsidR="002B4FD9" w:rsidRPr="002B4FD9">
              <w:rPr>
                <w:webHidden/>
              </w:rPr>
            </w:r>
            <w:r w:rsidR="002B4FD9" w:rsidRPr="002B4FD9">
              <w:rPr>
                <w:webHidden/>
              </w:rPr>
              <w:fldChar w:fldCharType="separate"/>
            </w:r>
            <w:r w:rsidR="002B4FD9" w:rsidRPr="002B4FD9">
              <w:rPr>
                <w:webHidden/>
              </w:rPr>
              <w:t>25</w:t>
            </w:r>
            <w:r w:rsidR="002B4FD9" w:rsidRPr="002B4FD9">
              <w:rPr>
                <w:webHidden/>
              </w:rPr>
              <w:fldChar w:fldCharType="end"/>
            </w:r>
          </w:hyperlink>
        </w:p>
        <w:p w:rsidR="002B4FD9" w:rsidRPr="002B4FD9" w:rsidRDefault="002916A6">
          <w:pPr>
            <w:pStyle w:val="TOC3"/>
            <w:tabs>
              <w:tab w:val="left" w:pos="1100"/>
            </w:tabs>
            <w:rPr>
              <w:rFonts w:eastAsiaTheme="minorEastAsia"/>
              <w:lang w:val="en-NZ" w:eastAsia="en-NZ"/>
            </w:rPr>
          </w:pPr>
          <w:hyperlink w:anchor="_Toc409508707" w:history="1">
            <w:r w:rsidR="002B4FD9" w:rsidRPr="002B4FD9">
              <w:rPr>
                <w:rStyle w:val="Hyperlink"/>
              </w:rPr>
              <w:t>11</w:t>
            </w:r>
            <w:r w:rsidR="002B4FD9" w:rsidRPr="002B4FD9">
              <w:rPr>
                <w:rFonts w:eastAsiaTheme="minorEastAsia"/>
                <w:lang w:val="en-NZ" w:eastAsia="en-NZ"/>
              </w:rPr>
              <w:tab/>
            </w:r>
            <w:r w:rsidR="002B4FD9" w:rsidRPr="002B4FD9">
              <w:rPr>
                <w:rStyle w:val="Hyperlink"/>
              </w:rPr>
              <w:t>Good Manufacturing Practice Documentation</w:t>
            </w:r>
            <w:r w:rsidR="002B4FD9" w:rsidRPr="002B4FD9">
              <w:rPr>
                <w:webHidden/>
              </w:rPr>
              <w:tab/>
            </w:r>
            <w:r w:rsidR="002B4FD9" w:rsidRPr="002B4FD9">
              <w:rPr>
                <w:webHidden/>
              </w:rPr>
              <w:fldChar w:fldCharType="begin"/>
            </w:r>
            <w:r w:rsidR="002B4FD9" w:rsidRPr="002B4FD9">
              <w:rPr>
                <w:webHidden/>
              </w:rPr>
              <w:instrText xml:space="preserve"> PAGEREF _Toc409508707 \h </w:instrText>
            </w:r>
            <w:r w:rsidR="002B4FD9" w:rsidRPr="002B4FD9">
              <w:rPr>
                <w:webHidden/>
              </w:rPr>
            </w:r>
            <w:r w:rsidR="002B4FD9" w:rsidRPr="002B4FD9">
              <w:rPr>
                <w:webHidden/>
              </w:rPr>
              <w:fldChar w:fldCharType="separate"/>
            </w:r>
            <w:r w:rsidR="002B4FD9" w:rsidRPr="002B4FD9">
              <w:rPr>
                <w:webHidden/>
              </w:rPr>
              <w:t>28</w:t>
            </w:r>
            <w:r w:rsidR="002B4FD9" w:rsidRPr="002B4FD9">
              <w:rPr>
                <w:webHidden/>
              </w:rPr>
              <w:fldChar w:fldCharType="end"/>
            </w:r>
          </w:hyperlink>
        </w:p>
        <w:p w:rsidR="002B4FD9" w:rsidRPr="002B4FD9" w:rsidRDefault="002916A6">
          <w:pPr>
            <w:pStyle w:val="TOC3"/>
            <w:tabs>
              <w:tab w:val="left" w:pos="1320"/>
            </w:tabs>
            <w:rPr>
              <w:rFonts w:eastAsiaTheme="minorEastAsia"/>
              <w:lang w:val="en-NZ" w:eastAsia="en-NZ"/>
            </w:rPr>
          </w:pPr>
          <w:hyperlink w:anchor="_Toc409508708" w:history="1">
            <w:r w:rsidR="002B4FD9" w:rsidRPr="002B4FD9">
              <w:rPr>
                <w:rStyle w:val="Hyperlink"/>
              </w:rPr>
              <w:t>11.2</w:t>
            </w:r>
            <w:r w:rsidR="002B4FD9" w:rsidRPr="002B4FD9">
              <w:rPr>
                <w:rFonts w:eastAsiaTheme="minorEastAsia"/>
                <w:lang w:val="en-NZ" w:eastAsia="en-NZ"/>
              </w:rPr>
              <w:tab/>
            </w:r>
            <w:r w:rsidR="002B4FD9" w:rsidRPr="002B4FD9">
              <w:rPr>
                <w:rStyle w:val="Hyperlink"/>
              </w:rPr>
              <w:t>Guidance on analytical procedure validation</w:t>
            </w:r>
            <w:r w:rsidR="002B4FD9" w:rsidRPr="002B4FD9">
              <w:rPr>
                <w:webHidden/>
              </w:rPr>
              <w:tab/>
            </w:r>
            <w:r w:rsidR="002B4FD9" w:rsidRPr="002B4FD9">
              <w:rPr>
                <w:webHidden/>
              </w:rPr>
              <w:fldChar w:fldCharType="begin"/>
            </w:r>
            <w:r w:rsidR="002B4FD9" w:rsidRPr="002B4FD9">
              <w:rPr>
                <w:webHidden/>
              </w:rPr>
              <w:instrText xml:space="preserve"> PAGEREF _Toc409508708 \h </w:instrText>
            </w:r>
            <w:r w:rsidR="002B4FD9" w:rsidRPr="002B4FD9">
              <w:rPr>
                <w:webHidden/>
              </w:rPr>
            </w:r>
            <w:r w:rsidR="002B4FD9" w:rsidRPr="002B4FD9">
              <w:rPr>
                <w:webHidden/>
              </w:rPr>
              <w:fldChar w:fldCharType="separate"/>
            </w:r>
            <w:r w:rsidR="002B4FD9" w:rsidRPr="002B4FD9">
              <w:rPr>
                <w:webHidden/>
              </w:rPr>
              <w:t>31</w:t>
            </w:r>
            <w:r w:rsidR="002B4FD9" w:rsidRPr="002B4FD9">
              <w:rPr>
                <w:webHidden/>
              </w:rPr>
              <w:fldChar w:fldCharType="end"/>
            </w:r>
          </w:hyperlink>
        </w:p>
        <w:p w:rsidR="002B4FD9" w:rsidRPr="002B4FD9" w:rsidRDefault="002916A6">
          <w:pPr>
            <w:pStyle w:val="TOC3"/>
            <w:tabs>
              <w:tab w:val="left" w:pos="1320"/>
            </w:tabs>
            <w:rPr>
              <w:rFonts w:eastAsiaTheme="minorEastAsia"/>
              <w:lang w:val="en-NZ" w:eastAsia="en-NZ"/>
            </w:rPr>
          </w:pPr>
          <w:hyperlink w:anchor="_Toc409508709" w:history="1">
            <w:r w:rsidR="002B4FD9" w:rsidRPr="002B4FD9">
              <w:rPr>
                <w:rStyle w:val="Hyperlink"/>
              </w:rPr>
              <w:t>11.5</w:t>
            </w:r>
            <w:r w:rsidR="002B4FD9" w:rsidRPr="002B4FD9">
              <w:rPr>
                <w:rFonts w:eastAsiaTheme="minorEastAsia"/>
                <w:lang w:val="en-NZ" w:eastAsia="en-NZ"/>
              </w:rPr>
              <w:tab/>
            </w:r>
            <w:r w:rsidR="002B4FD9" w:rsidRPr="002B4FD9">
              <w:rPr>
                <w:rStyle w:val="Hyperlink"/>
                <w:i/>
                <w:iCs/>
              </w:rPr>
              <w:t>Manufacture of Active Ingredients(s)</w:t>
            </w:r>
            <w:r w:rsidR="002B4FD9" w:rsidRPr="002B4FD9">
              <w:rPr>
                <w:webHidden/>
              </w:rPr>
              <w:tab/>
            </w:r>
            <w:r w:rsidR="002B4FD9" w:rsidRPr="002B4FD9">
              <w:rPr>
                <w:webHidden/>
              </w:rPr>
              <w:fldChar w:fldCharType="begin"/>
            </w:r>
            <w:r w:rsidR="002B4FD9" w:rsidRPr="002B4FD9">
              <w:rPr>
                <w:webHidden/>
              </w:rPr>
              <w:instrText xml:space="preserve"> PAGEREF _Toc409508709 \h </w:instrText>
            </w:r>
            <w:r w:rsidR="002B4FD9" w:rsidRPr="002B4FD9">
              <w:rPr>
                <w:webHidden/>
              </w:rPr>
            </w:r>
            <w:r w:rsidR="002B4FD9" w:rsidRPr="002B4FD9">
              <w:rPr>
                <w:webHidden/>
              </w:rPr>
              <w:fldChar w:fldCharType="separate"/>
            </w:r>
            <w:r w:rsidR="002B4FD9" w:rsidRPr="002B4FD9">
              <w:rPr>
                <w:webHidden/>
              </w:rPr>
              <w:t>34</w:t>
            </w:r>
            <w:r w:rsidR="002B4FD9" w:rsidRPr="002B4FD9">
              <w:rPr>
                <w:webHidden/>
              </w:rPr>
              <w:fldChar w:fldCharType="end"/>
            </w:r>
          </w:hyperlink>
        </w:p>
        <w:p w:rsidR="002B4FD9" w:rsidRPr="002B4FD9" w:rsidRDefault="002916A6">
          <w:pPr>
            <w:pStyle w:val="TOC3"/>
            <w:tabs>
              <w:tab w:val="left" w:pos="1320"/>
            </w:tabs>
            <w:rPr>
              <w:rFonts w:eastAsiaTheme="minorEastAsia"/>
              <w:lang w:val="en-NZ" w:eastAsia="en-NZ"/>
            </w:rPr>
          </w:pPr>
          <w:hyperlink w:anchor="_Toc409508710" w:history="1">
            <w:r w:rsidR="002B4FD9" w:rsidRPr="002B4FD9">
              <w:rPr>
                <w:rStyle w:val="Hyperlink"/>
              </w:rPr>
              <w:t>11.7</w:t>
            </w:r>
            <w:r w:rsidR="002B4FD9" w:rsidRPr="002B4FD9">
              <w:rPr>
                <w:rFonts w:eastAsiaTheme="minorEastAsia"/>
                <w:lang w:val="en-NZ" w:eastAsia="en-NZ"/>
              </w:rPr>
              <w:tab/>
            </w:r>
            <w:r w:rsidR="002B4FD9" w:rsidRPr="002B4FD9">
              <w:rPr>
                <w:rStyle w:val="Hyperlink"/>
              </w:rPr>
              <w:t>Individual Patient Data</w:t>
            </w:r>
            <w:r w:rsidR="002B4FD9" w:rsidRPr="002B4FD9">
              <w:rPr>
                <w:webHidden/>
              </w:rPr>
              <w:tab/>
            </w:r>
            <w:r w:rsidR="002B4FD9" w:rsidRPr="002B4FD9">
              <w:rPr>
                <w:webHidden/>
              </w:rPr>
              <w:fldChar w:fldCharType="begin"/>
            </w:r>
            <w:r w:rsidR="002B4FD9" w:rsidRPr="002B4FD9">
              <w:rPr>
                <w:webHidden/>
              </w:rPr>
              <w:instrText xml:space="preserve"> PAGEREF _Toc409508710 \h </w:instrText>
            </w:r>
            <w:r w:rsidR="002B4FD9" w:rsidRPr="002B4FD9">
              <w:rPr>
                <w:webHidden/>
              </w:rPr>
            </w:r>
            <w:r w:rsidR="002B4FD9" w:rsidRPr="002B4FD9">
              <w:rPr>
                <w:webHidden/>
              </w:rPr>
              <w:fldChar w:fldCharType="separate"/>
            </w:r>
            <w:r w:rsidR="002B4FD9" w:rsidRPr="002B4FD9">
              <w:rPr>
                <w:webHidden/>
              </w:rPr>
              <w:t>47</w:t>
            </w:r>
            <w:r w:rsidR="002B4FD9" w:rsidRPr="002B4FD9">
              <w:rPr>
                <w:webHidden/>
              </w:rPr>
              <w:fldChar w:fldCharType="end"/>
            </w:r>
          </w:hyperlink>
        </w:p>
        <w:p w:rsidR="002B4FD9" w:rsidRPr="002B4FD9" w:rsidRDefault="002916A6">
          <w:pPr>
            <w:pStyle w:val="TOC3"/>
            <w:tabs>
              <w:tab w:val="left" w:pos="1320"/>
            </w:tabs>
            <w:rPr>
              <w:rFonts w:eastAsiaTheme="minorEastAsia"/>
              <w:lang w:val="en-NZ" w:eastAsia="en-NZ"/>
            </w:rPr>
          </w:pPr>
          <w:hyperlink w:anchor="_Toc409508711" w:history="1">
            <w:r w:rsidR="002B4FD9" w:rsidRPr="002B4FD9">
              <w:rPr>
                <w:rStyle w:val="Hyperlink"/>
              </w:rPr>
              <w:t>12.1</w:t>
            </w:r>
            <w:r w:rsidR="002B4FD9" w:rsidRPr="002B4FD9">
              <w:rPr>
                <w:rFonts w:eastAsiaTheme="minorEastAsia"/>
                <w:lang w:val="en-NZ" w:eastAsia="en-NZ"/>
              </w:rPr>
              <w:tab/>
            </w:r>
            <w:r w:rsidR="002B4FD9" w:rsidRPr="002B4FD9">
              <w:rPr>
                <w:rStyle w:val="Hyperlink"/>
              </w:rPr>
              <w:t>Covering Letter</w:t>
            </w:r>
            <w:r w:rsidR="002B4FD9" w:rsidRPr="002B4FD9">
              <w:rPr>
                <w:webHidden/>
              </w:rPr>
              <w:tab/>
            </w:r>
            <w:r w:rsidR="002B4FD9" w:rsidRPr="002B4FD9">
              <w:rPr>
                <w:webHidden/>
              </w:rPr>
              <w:fldChar w:fldCharType="begin"/>
            </w:r>
            <w:r w:rsidR="002B4FD9" w:rsidRPr="002B4FD9">
              <w:rPr>
                <w:webHidden/>
              </w:rPr>
              <w:instrText xml:space="preserve"> PAGEREF _Toc409508711 \h </w:instrText>
            </w:r>
            <w:r w:rsidR="002B4FD9" w:rsidRPr="002B4FD9">
              <w:rPr>
                <w:webHidden/>
              </w:rPr>
            </w:r>
            <w:r w:rsidR="002B4FD9" w:rsidRPr="002B4FD9">
              <w:rPr>
                <w:webHidden/>
              </w:rPr>
              <w:fldChar w:fldCharType="separate"/>
            </w:r>
            <w:r w:rsidR="002B4FD9" w:rsidRPr="002B4FD9">
              <w:rPr>
                <w:webHidden/>
              </w:rPr>
              <w:t>49</w:t>
            </w:r>
            <w:r w:rsidR="002B4FD9" w:rsidRPr="002B4FD9">
              <w:rPr>
                <w:webHidden/>
              </w:rPr>
              <w:fldChar w:fldCharType="end"/>
            </w:r>
          </w:hyperlink>
        </w:p>
        <w:p w:rsidR="002B4FD9" w:rsidRPr="002B4FD9" w:rsidRDefault="002916A6">
          <w:pPr>
            <w:pStyle w:val="TOC3"/>
            <w:tabs>
              <w:tab w:val="left" w:pos="1320"/>
            </w:tabs>
            <w:rPr>
              <w:rFonts w:eastAsiaTheme="minorEastAsia"/>
              <w:lang w:val="en-NZ" w:eastAsia="en-NZ"/>
            </w:rPr>
          </w:pPr>
          <w:hyperlink w:anchor="_Toc409508712" w:history="1">
            <w:r w:rsidR="002B4FD9" w:rsidRPr="002B4FD9">
              <w:rPr>
                <w:rStyle w:val="Hyperlink"/>
              </w:rPr>
              <w:t>12.2</w:t>
            </w:r>
            <w:r w:rsidR="002B4FD9" w:rsidRPr="002B4FD9">
              <w:rPr>
                <w:rFonts w:eastAsiaTheme="minorEastAsia"/>
                <w:lang w:val="en-NZ" w:eastAsia="en-NZ"/>
              </w:rPr>
              <w:tab/>
            </w:r>
            <w:r w:rsidR="002B4FD9" w:rsidRPr="002B4FD9">
              <w:rPr>
                <w:rStyle w:val="Hyperlink"/>
              </w:rPr>
              <w:t>Submitting an Application or Notification</w:t>
            </w:r>
            <w:r w:rsidR="002B4FD9" w:rsidRPr="002B4FD9">
              <w:rPr>
                <w:webHidden/>
              </w:rPr>
              <w:tab/>
            </w:r>
            <w:r w:rsidR="002B4FD9" w:rsidRPr="002B4FD9">
              <w:rPr>
                <w:webHidden/>
              </w:rPr>
              <w:fldChar w:fldCharType="begin"/>
            </w:r>
            <w:r w:rsidR="002B4FD9" w:rsidRPr="002B4FD9">
              <w:rPr>
                <w:webHidden/>
              </w:rPr>
              <w:instrText xml:space="preserve"> PAGEREF _Toc409508712 \h </w:instrText>
            </w:r>
            <w:r w:rsidR="002B4FD9" w:rsidRPr="002B4FD9">
              <w:rPr>
                <w:webHidden/>
              </w:rPr>
            </w:r>
            <w:r w:rsidR="002B4FD9" w:rsidRPr="002B4FD9">
              <w:rPr>
                <w:webHidden/>
              </w:rPr>
              <w:fldChar w:fldCharType="separate"/>
            </w:r>
            <w:r w:rsidR="002B4FD9" w:rsidRPr="002B4FD9">
              <w:rPr>
                <w:webHidden/>
              </w:rPr>
              <w:t>49</w:t>
            </w:r>
            <w:r w:rsidR="002B4FD9" w:rsidRPr="002B4FD9">
              <w:rPr>
                <w:webHidden/>
              </w:rPr>
              <w:fldChar w:fldCharType="end"/>
            </w:r>
          </w:hyperlink>
        </w:p>
        <w:p w:rsidR="002B4FD9" w:rsidRPr="002B4FD9" w:rsidRDefault="002916A6">
          <w:pPr>
            <w:pStyle w:val="TOC3"/>
            <w:tabs>
              <w:tab w:val="left" w:pos="1320"/>
            </w:tabs>
            <w:rPr>
              <w:rFonts w:eastAsiaTheme="minorEastAsia"/>
              <w:lang w:val="en-NZ" w:eastAsia="en-NZ"/>
            </w:rPr>
          </w:pPr>
          <w:hyperlink w:anchor="_Toc409508713" w:history="1">
            <w:r w:rsidR="002B4FD9" w:rsidRPr="002B4FD9">
              <w:rPr>
                <w:rStyle w:val="Hyperlink"/>
              </w:rPr>
              <w:t>12.3</w:t>
            </w:r>
            <w:r w:rsidR="002B4FD9" w:rsidRPr="002B4FD9">
              <w:rPr>
                <w:rFonts w:eastAsiaTheme="minorEastAsia"/>
                <w:lang w:val="en-NZ" w:eastAsia="en-NZ"/>
              </w:rPr>
              <w:tab/>
            </w:r>
            <w:r w:rsidR="002B4FD9" w:rsidRPr="002B4FD9">
              <w:rPr>
                <w:rStyle w:val="Hyperlink"/>
              </w:rPr>
              <w:t>Updating the Data package</w:t>
            </w:r>
            <w:r w:rsidR="002B4FD9" w:rsidRPr="002B4FD9">
              <w:rPr>
                <w:webHidden/>
              </w:rPr>
              <w:tab/>
            </w:r>
            <w:r w:rsidR="002B4FD9" w:rsidRPr="002B4FD9">
              <w:rPr>
                <w:webHidden/>
              </w:rPr>
              <w:fldChar w:fldCharType="begin"/>
            </w:r>
            <w:r w:rsidR="002B4FD9" w:rsidRPr="002B4FD9">
              <w:rPr>
                <w:webHidden/>
              </w:rPr>
              <w:instrText xml:space="preserve"> PAGEREF _Toc409508713 \h </w:instrText>
            </w:r>
            <w:r w:rsidR="002B4FD9" w:rsidRPr="002B4FD9">
              <w:rPr>
                <w:webHidden/>
              </w:rPr>
            </w:r>
            <w:r w:rsidR="002B4FD9" w:rsidRPr="002B4FD9">
              <w:rPr>
                <w:webHidden/>
              </w:rPr>
              <w:fldChar w:fldCharType="separate"/>
            </w:r>
            <w:r w:rsidR="002B4FD9" w:rsidRPr="002B4FD9">
              <w:rPr>
                <w:webHidden/>
              </w:rPr>
              <w:t>50</w:t>
            </w:r>
            <w:r w:rsidR="002B4FD9" w:rsidRPr="002B4FD9">
              <w:rPr>
                <w:webHidden/>
              </w:rPr>
              <w:fldChar w:fldCharType="end"/>
            </w:r>
          </w:hyperlink>
        </w:p>
        <w:p w:rsidR="002B4FD9" w:rsidRPr="002B4FD9" w:rsidRDefault="002916A6">
          <w:pPr>
            <w:pStyle w:val="TOC3"/>
            <w:tabs>
              <w:tab w:val="left" w:pos="1320"/>
            </w:tabs>
            <w:rPr>
              <w:rFonts w:eastAsiaTheme="minorEastAsia"/>
              <w:lang w:val="en-NZ" w:eastAsia="en-NZ"/>
            </w:rPr>
          </w:pPr>
          <w:hyperlink w:anchor="_Toc409508714" w:history="1">
            <w:r w:rsidR="002B4FD9" w:rsidRPr="002B4FD9">
              <w:rPr>
                <w:rStyle w:val="Hyperlink"/>
              </w:rPr>
              <w:t>12.4</w:t>
            </w:r>
            <w:r w:rsidR="002B4FD9" w:rsidRPr="002B4FD9">
              <w:rPr>
                <w:rFonts w:eastAsiaTheme="minorEastAsia"/>
                <w:lang w:val="en-NZ" w:eastAsia="en-NZ"/>
              </w:rPr>
              <w:tab/>
            </w:r>
            <w:r w:rsidR="002B4FD9" w:rsidRPr="002B4FD9">
              <w:rPr>
                <w:rStyle w:val="Hyperlink"/>
              </w:rPr>
              <w:t>Sponsors’ Responsibility to Retain Copies of All Documents</w:t>
            </w:r>
            <w:r w:rsidR="002B4FD9" w:rsidRPr="002B4FD9">
              <w:rPr>
                <w:webHidden/>
              </w:rPr>
              <w:tab/>
            </w:r>
            <w:r w:rsidR="002B4FD9" w:rsidRPr="002B4FD9">
              <w:rPr>
                <w:webHidden/>
              </w:rPr>
              <w:fldChar w:fldCharType="begin"/>
            </w:r>
            <w:r w:rsidR="002B4FD9" w:rsidRPr="002B4FD9">
              <w:rPr>
                <w:webHidden/>
              </w:rPr>
              <w:instrText xml:space="preserve"> PAGEREF _Toc409508714 \h </w:instrText>
            </w:r>
            <w:r w:rsidR="002B4FD9" w:rsidRPr="002B4FD9">
              <w:rPr>
                <w:webHidden/>
              </w:rPr>
            </w:r>
            <w:r w:rsidR="002B4FD9" w:rsidRPr="002B4FD9">
              <w:rPr>
                <w:webHidden/>
              </w:rPr>
              <w:fldChar w:fldCharType="separate"/>
            </w:r>
            <w:r w:rsidR="002B4FD9" w:rsidRPr="002B4FD9">
              <w:rPr>
                <w:webHidden/>
              </w:rPr>
              <w:t>50</w:t>
            </w:r>
            <w:r w:rsidR="002B4FD9" w:rsidRPr="002B4FD9">
              <w:rPr>
                <w:webHidden/>
              </w:rPr>
              <w:fldChar w:fldCharType="end"/>
            </w:r>
          </w:hyperlink>
        </w:p>
        <w:p w:rsidR="002B4FD9" w:rsidRPr="002B4FD9" w:rsidRDefault="002916A6">
          <w:pPr>
            <w:pStyle w:val="TOC3"/>
            <w:tabs>
              <w:tab w:val="left" w:pos="1320"/>
            </w:tabs>
            <w:rPr>
              <w:rFonts w:eastAsiaTheme="minorEastAsia"/>
              <w:lang w:val="en-NZ" w:eastAsia="en-NZ"/>
            </w:rPr>
          </w:pPr>
          <w:hyperlink w:anchor="_Toc409508715" w:history="1">
            <w:r w:rsidR="002B4FD9" w:rsidRPr="002B4FD9">
              <w:rPr>
                <w:rStyle w:val="Hyperlink"/>
              </w:rPr>
              <w:t>12.5</w:t>
            </w:r>
            <w:r w:rsidR="002B4FD9" w:rsidRPr="002B4FD9">
              <w:rPr>
                <w:rFonts w:eastAsiaTheme="minorEastAsia"/>
                <w:lang w:val="en-NZ" w:eastAsia="en-NZ"/>
              </w:rPr>
              <w:tab/>
            </w:r>
            <w:r w:rsidR="002B4FD9" w:rsidRPr="002B4FD9">
              <w:rPr>
                <w:rStyle w:val="Hyperlink"/>
              </w:rPr>
              <w:t>Proprietary Names</w:t>
            </w:r>
            <w:r w:rsidR="002B4FD9" w:rsidRPr="002B4FD9">
              <w:rPr>
                <w:webHidden/>
              </w:rPr>
              <w:tab/>
            </w:r>
            <w:r w:rsidR="002B4FD9" w:rsidRPr="002B4FD9">
              <w:rPr>
                <w:webHidden/>
              </w:rPr>
              <w:fldChar w:fldCharType="begin"/>
            </w:r>
            <w:r w:rsidR="002B4FD9" w:rsidRPr="002B4FD9">
              <w:rPr>
                <w:webHidden/>
              </w:rPr>
              <w:instrText xml:space="preserve"> PAGEREF _Toc409508715 \h </w:instrText>
            </w:r>
            <w:r w:rsidR="002B4FD9" w:rsidRPr="002B4FD9">
              <w:rPr>
                <w:webHidden/>
              </w:rPr>
            </w:r>
            <w:r w:rsidR="002B4FD9" w:rsidRPr="002B4FD9">
              <w:rPr>
                <w:webHidden/>
              </w:rPr>
              <w:fldChar w:fldCharType="separate"/>
            </w:r>
            <w:r w:rsidR="002B4FD9" w:rsidRPr="002B4FD9">
              <w:rPr>
                <w:webHidden/>
              </w:rPr>
              <w:t>51</w:t>
            </w:r>
            <w:r w:rsidR="002B4FD9" w:rsidRPr="002B4FD9">
              <w:rPr>
                <w:webHidden/>
              </w:rPr>
              <w:fldChar w:fldCharType="end"/>
            </w:r>
          </w:hyperlink>
        </w:p>
        <w:p w:rsidR="002B4FD9" w:rsidRPr="002B4FD9" w:rsidRDefault="002916A6">
          <w:pPr>
            <w:pStyle w:val="TOC3"/>
            <w:tabs>
              <w:tab w:val="left" w:pos="1320"/>
            </w:tabs>
            <w:rPr>
              <w:rFonts w:eastAsiaTheme="minorEastAsia"/>
              <w:lang w:val="en-NZ" w:eastAsia="en-NZ"/>
            </w:rPr>
          </w:pPr>
          <w:hyperlink w:anchor="_Toc409508716" w:history="1">
            <w:r w:rsidR="002B4FD9" w:rsidRPr="002B4FD9">
              <w:rPr>
                <w:rStyle w:val="Hyperlink"/>
              </w:rPr>
              <w:t>12.6</w:t>
            </w:r>
            <w:r w:rsidR="002B4FD9" w:rsidRPr="002B4FD9">
              <w:rPr>
                <w:rFonts w:eastAsiaTheme="minorEastAsia"/>
                <w:lang w:val="en-NZ" w:eastAsia="en-NZ"/>
              </w:rPr>
              <w:tab/>
            </w:r>
            <w:r w:rsidR="002B4FD9" w:rsidRPr="002B4FD9">
              <w:rPr>
                <w:rStyle w:val="Hyperlink"/>
              </w:rPr>
              <w:t>Labelling</w:t>
            </w:r>
            <w:r w:rsidR="002B4FD9" w:rsidRPr="002B4FD9">
              <w:rPr>
                <w:webHidden/>
              </w:rPr>
              <w:tab/>
            </w:r>
            <w:r w:rsidR="002B4FD9" w:rsidRPr="002B4FD9">
              <w:rPr>
                <w:webHidden/>
              </w:rPr>
              <w:fldChar w:fldCharType="begin"/>
            </w:r>
            <w:r w:rsidR="002B4FD9" w:rsidRPr="002B4FD9">
              <w:rPr>
                <w:webHidden/>
              </w:rPr>
              <w:instrText xml:space="preserve"> PAGEREF _Toc409508716 \h </w:instrText>
            </w:r>
            <w:r w:rsidR="002B4FD9" w:rsidRPr="002B4FD9">
              <w:rPr>
                <w:webHidden/>
              </w:rPr>
            </w:r>
            <w:r w:rsidR="002B4FD9" w:rsidRPr="002B4FD9">
              <w:rPr>
                <w:webHidden/>
              </w:rPr>
              <w:fldChar w:fldCharType="separate"/>
            </w:r>
            <w:r w:rsidR="002B4FD9" w:rsidRPr="002B4FD9">
              <w:rPr>
                <w:webHidden/>
              </w:rPr>
              <w:t>51</w:t>
            </w:r>
            <w:r w:rsidR="002B4FD9" w:rsidRPr="002B4FD9">
              <w:rPr>
                <w:webHidden/>
              </w:rPr>
              <w:fldChar w:fldCharType="end"/>
            </w:r>
          </w:hyperlink>
        </w:p>
        <w:p w:rsidR="002B4FD9" w:rsidRPr="002B4FD9" w:rsidRDefault="002916A6">
          <w:pPr>
            <w:pStyle w:val="TOC3"/>
            <w:tabs>
              <w:tab w:val="left" w:pos="1320"/>
            </w:tabs>
            <w:rPr>
              <w:rFonts w:eastAsiaTheme="minorEastAsia"/>
              <w:lang w:val="en-NZ" w:eastAsia="en-NZ"/>
            </w:rPr>
          </w:pPr>
          <w:hyperlink w:anchor="_Toc409508717" w:history="1">
            <w:r w:rsidR="002B4FD9" w:rsidRPr="002B4FD9">
              <w:rPr>
                <w:rStyle w:val="Hyperlink"/>
              </w:rPr>
              <w:t>12.7</w:t>
            </w:r>
            <w:r w:rsidR="002B4FD9" w:rsidRPr="002B4FD9">
              <w:rPr>
                <w:rFonts w:eastAsiaTheme="minorEastAsia"/>
                <w:lang w:val="en-NZ" w:eastAsia="en-NZ"/>
              </w:rPr>
              <w:tab/>
            </w:r>
            <w:r w:rsidR="002B4FD9" w:rsidRPr="002B4FD9">
              <w:rPr>
                <w:rStyle w:val="Hyperlink"/>
              </w:rPr>
              <w:t>Requirement to demonstrate the absence of abuse potential</w:t>
            </w:r>
            <w:r w:rsidR="002B4FD9" w:rsidRPr="002B4FD9">
              <w:rPr>
                <w:webHidden/>
              </w:rPr>
              <w:tab/>
            </w:r>
            <w:r w:rsidR="002B4FD9" w:rsidRPr="002B4FD9">
              <w:rPr>
                <w:webHidden/>
              </w:rPr>
              <w:fldChar w:fldCharType="begin"/>
            </w:r>
            <w:r w:rsidR="002B4FD9" w:rsidRPr="002B4FD9">
              <w:rPr>
                <w:webHidden/>
              </w:rPr>
              <w:instrText xml:space="preserve"> PAGEREF _Toc409508717 \h </w:instrText>
            </w:r>
            <w:r w:rsidR="002B4FD9" w:rsidRPr="002B4FD9">
              <w:rPr>
                <w:webHidden/>
              </w:rPr>
            </w:r>
            <w:r w:rsidR="002B4FD9" w:rsidRPr="002B4FD9">
              <w:rPr>
                <w:webHidden/>
              </w:rPr>
              <w:fldChar w:fldCharType="separate"/>
            </w:r>
            <w:r w:rsidR="002B4FD9" w:rsidRPr="002B4FD9">
              <w:rPr>
                <w:webHidden/>
              </w:rPr>
              <w:t>58</w:t>
            </w:r>
            <w:r w:rsidR="002B4FD9" w:rsidRPr="002B4FD9">
              <w:rPr>
                <w:webHidden/>
              </w:rPr>
              <w:fldChar w:fldCharType="end"/>
            </w:r>
          </w:hyperlink>
        </w:p>
        <w:p w:rsidR="002B4FD9" w:rsidRPr="002B4FD9" w:rsidRDefault="002916A6">
          <w:pPr>
            <w:pStyle w:val="TOC3"/>
            <w:tabs>
              <w:tab w:val="left" w:pos="1320"/>
            </w:tabs>
            <w:rPr>
              <w:rFonts w:eastAsiaTheme="minorEastAsia"/>
              <w:lang w:val="en-NZ" w:eastAsia="en-NZ"/>
            </w:rPr>
          </w:pPr>
          <w:hyperlink w:anchor="_Toc409508718" w:history="1">
            <w:r w:rsidR="002B4FD9" w:rsidRPr="002B4FD9">
              <w:rPr>
                <w:rStyle w:val="Hyperlink"/>
              </w:rPr>
              <w:t>12.8</w:t>
            </w:r>
            <w:r w:rsidR="002B4FD9" w:rsidRPr="002B4FD9">
              <w:rPr>
                <w:rFonts w:eastAsiaTheme="minorEastAsia"/>
                <w:lang w:val="en-NZ" w:eastAsia="en-NZ"/>
              </w:rPr>
              <w:tab/>
            </w:r>
            <w:r w:rsidR="002B4FD9" w:rsidRPr="002B4FD9">
              <w:rPr>
                <w:rStyle w:val="Hyperlink"/>
              </w:rPr>
              <w:t>Guidance on the minimum acceptable level of evidence for determination of potential alcohol interactions</w:t>
            </w:r>
            <w:r w:rsidR="002B4FD9" w:rsidRPr="002B4FD9">
              <w:rPr>
                <w:webHidden/>
              </w:rPr>
              <w:tab/>
            </w:r>
            <w:r w:rsidR="002B4FD9" w:rsidRPr="002B4FD9">
              <w:rPr>
                <w:webHidden/>
              </w:rPr>
              <w:fldChar w:fldCharType="begin"/>
            </w:r>
            <w:r w:rsidR="002B4FD9" w:rsidRPr="002B4FD9">
              <w:rPr>
                <w:webHidden/>
              </w:rPr>
              <w:instrText xml:space="preserve"> PAGEREF _Toc409508718 \h </w:instrText>
            </w:r>
            <w:r w:rsidR="002B4FD9" w:rsidRPr="002B4FD9">
              <w:rPr>
                <w:webHidden/>
              </w:rPr>
            </w:r>
            <w:r w:rsidR="002B4FD9" w:rsidRPr="002B4FD9">
              <w:rPr>
                <w:webHidden/>
              </w:rPr>
              <w:fldChar w:fldCharType="separate"/>
            </w:r>
            <w:r w:rsidR="002B4FD9" w:rsidRPr="002B4FD9">
              <w:rPr>
                <w:webHidden/>
              </w:rPr>
              <w:t>59</w:t>
            </w:r>
            <w:r w:rsidR="002B4FD9" w:rsidRPr="002B4FD9">
              <w:rPr>
                <w:webHidden/>
              </w:rPr>
              <w:fldChar w:fldCharType="end"/>
            </w:r>
          </w:hyperlink>
        </w:p>
        <w:p w:rsidR="002B4FD9" w:rsidRPr="002B4FD9" w:rsidRDefault="002916A6">
          <w:pPr>
            <w:pStyle w:val="TOC1"/>
            <w:tabs>
              <w:tab w:val="left" w:pos="480"/>
            </w:tabs>
            <w:rPr>
              <w:rFonts w:ascii="Arial" w:eastAsiaTheme="minorEastAsia" w:hAnsi="Arial" w:cs="Arial"/>
              <w:noProof/>
              <w:lang w:val="en-NZ" w:eastAsia="en-NZ"/>
            </w:rPr>
          </w:pPr>
          <w:hyperlink w:anchor="_Toc409508719" w:history="1">
            <w:r w:rsidR="002B4FD9" w:rsidRPr="002B4FD9">
              <w:rPr>
                <w:rStyle w:val="Hyperlink"/>
                <w:rFonts w:ascii="Arial" w:hAnsi="Arial" w:cs="Arial"/>
                <w:noProof/>
              </w:rPr>
              <w:t>13</w:t>
            </w:r>
            <w:r w:rsidR="002B4FD9" w:rsidRPr="002B4FD9">
              <w:rPr>
                <w:rFonts w:ascii="Arial" w:eastAsiaTheme="minorEastAsia" w:hAnsi="Arial" w:cs="Arial"/>
                <w:noProof/>
                <w:lang w:val="en-NZ" w:eastAsia="en-NZ"/>
              </w:rPr>
              <w:tab/>
            </w:r>
            <w:r w:rsidR="002B4FD9" w:rsidRPr="002B4FD9">
              <w:rPr>
                <w:rStyle w:val="Hyperlink"/>
                <w:rFonts w:ascii="Arial" w:hAnsi="Arial" w:cs="Arial"/>
                <w:noProof/>
              </w:rPr>
              <w:t>Post-approval requirements</w:t>
            </w:r>
            <w:r w:rsidR="002B4FD9" w:rsidRPr="002B4FD9">
              <w:rPr>
                <w:rFonts w:ascii="Arial" w:hAnsi="Arial" w:cs="Arial"/>
                <w:noProof/>
                <w:webHidden/>
              </w:rPr>
              <w:tab/>
            </w:r>
            <w:r w:rsidR="002B4FD9" w:rsidRPr="002B4FD9">
              <w:rPr>
                <w:rFonts w:ascii="Arial" w:hAnsi="Arial" w:cs="Arial"/>
                <w:noProof/>
                <w:webHidden/>
              </w:rPr>
              <w:fldChar w:fldCharType="begin"/>
            </w:r>
            <w:r w:rsidR="002B4FD9" w:rsidRPr="002B4FD9">
              <w:rPr>
                <w:rFonts w:ascii="Arial" w:hAnsi="Arial" w:cs="Arial"/>
                <w:noProof/>
                <w:webHidden/>
              </w:rPr>
              <w:instrText xml:space="preserve"> PAGEREF _Toc409508719 \h </w:instrText>
            </w:r>
            <w:r w:rsidR="002B4FD9" w:rsidRPr="002B4FD9">
              <w:rPr>
                <w:rFonts w:ascii="Arial" w:hAnsi="Arial" w:cs="Arial"/>
                <w:noProof/>
                <w:webHidden/>
              </w:rPr>
            </w:r>
            <w:r w:rsidR="002B4FD9" w:rsidRPr="002B4FD9">
              <w:rPr>
                <w:rFonts w:ascii="Arial" w:hAnsi="Arial" w:cs="Arial"/>
                <w:noProof/>
                <w:webHidden/>
              </w:rPr>
              <w:fldChar w:fldCharType="separate"/>
            </w:r>
            <w:r w:rsidR="002B4FD9" w:rsidRPr="002B4FD9">
              <w:rPr>
                <w:rFonts w:ascii="Arial" w:hAnsi="Arial" w:cs="Arial"/>
                <w:noProof/>
                <w:webHidden/>
              </w:rPr>
              <w:t>60</w:t>
            </w:r>
            <w:r w:rsidR="002B4FD9" w:rsidRPr="002B4FD9">
              <w:rPr>
                <w:rFonts w:ascii="Arial" w:hAnsi="Arial" w:cs="Arial"/>
                <w:noProof/>
                <w:webHidden/>
              </w:rPr>
              <w:fldChar w:fldCharType="end"/>
            </w:r>
          </w:hyperlink>
        </w:p>
        <w:p w:rsidR="002B4FD9" w:rsidRPr="002B4FD9" w:rsidRDefault="002916A6">
          <w:pPr>
            <w:pStyle w:val="TOC3"/>
            <w:tabs>
              <w:tab w:val="left" w:pos="1320"/>
            </w:tabs>
            <w:rPr>
              <w:rFonts w:eastAsiaTheme="minorEastAsia"/>
              <w:lang w:val="en-NZ" w:eastAsia="en-NZ"/>
            </w:rPr>
          </w:pPr>
          <w:hyperlink w:anchor="_Toc409508720" w:history="1">
            <w:r w:rsidR="002B4FD9" w:rsidRPr="002B4FD9">
              <w:rPr>
                <w:rStyle w:val="Hyperlink"/>
              </w:rPr>
              <w:t>13.1</w:t>
            </w:r>
            <w:r w:rsidR="002B4FD9" w:rsidRPr="002B4FD9">
              <w:rPr>
                <w:rFonts w:eastAsiaTheme="minorEastAsia"/>
                <w:lang w:val="en-NZ" w:eastAsia="en-NZ"/>
              </w:rPr>
              <w:tab/>
            </w:r>
            <w:r w:rsidR="002B4FD9" w:rsidRPr="002B4FD9">
              <w:rPr>
                <w:rStyle w:val="Hyperlink"/>
              </w:rPr>
              <w:t>Post-market safety assessment</w:t>
            </w:r>
            <w:r w:rsidR="002B4FD9" w:rsidRPr="002B4FD9">
              <w:rPr>
                <w:webHidden/>
              </w:rPr>
              <w:tab/>
            </w:r>
            <w:r w:rsidR="002B4FD9" w:rsidRPr="002B4FD9">
              <w:rPr>
                <w:webHidden/>
              </w:rPr>
              <w:fldChar w:fldCharType="begin"/>
            </w:r>
            <w:r w:rsidR="002B4FD9" w:rsidRPr="002B4FD9">
              <w:rPr>
                <w:webHidden/>
              </w:rPr>
              <w:instrText xml:space="preserve"> PAGEREF _Toc409508720 \h </w:instrText>
            </w:r>
            <w:r w:rsidR="002B4FD9" w:rsidRPr="002B4FD9">
              <w:rPr>
                <w:webHidden/>
              </w:rPr>
            </w:r>
            <w:r w:rsidR="002B4FD9" w:rsidRPr="002B4FD9">
              <w:rPr>
                <w:webHidden/>
              </w:rPr>
              <w:fldChar w:fldCharType="separate"/>
            </w:r>
            <w:r w:rsidR="002B4FD9" w:rsidRPr="002B4FD9">
              <w:rPr>
                <w:webHidden/>
              </w:rPr>
              <w:t>60</w:t>
            </w:r>
            <w:r w:rsidR="002B4FD9" w:rsidRPr="002B4FD9">
              <w:rPr>
                <w:webHidden/>
              </w:rPr>
              <w:fldChar w:fldCharType="end"/>
            </w:r>
          </w:hyperlink>
        </w:p>
        <w:p w:rsidR="002B4FD9" w:rsidRPr="002B4FD9" w:rsidRDefault="002916A6">
          <w:pPr>
            <w:pStyle w:val="TOC3"/>
            <w:tabs>
              <w:tab w:val="left" w:pos="1320"/>
            </w:tabs>
            <w:rPr>
              <w:rFonts w:eastAsiaTheme="minorEastAsia"/>
              <w:lang w:val="en-NZ" w:eastAsia="en-NZ"/>
            </w:rPr>
          </w:pPr>
          <w:hyperlink w:anchor="_Toc409508721" w:history="1">
            <w:r w:rsidR="002B4FD9" w:rsidRPr="002B4FD9">
              <w:rPr>
                <w:rStyle w:val="Hyperlink"/>
              </w:rPr>
              <w:t>13.2</w:t>
            </w:r>
            <w:r w:rsidR="002B4FD9" w:rsidRPr="002B4FD9">
              <w:rPr>
                <w:rFonts w:eastAsiaTheme="minorEastAsia"/>
                <w:lang w:val="en-NZ" w:eastAsia="en-NZ"/>
              </w:rPr>
              <w:tab/>
            </w:r>
            <w:r w:rsidR="002B4FD9" w:rsidRPr="002B4FD9">
              <w:rPr>
                <w:rStyle w:val="Hyperlink"/>
              </w:rPr>
              <w:t>Revocation of approval</w:t>
            </w:r>
            <w:r w:rsidR="002B4FD9" w:rsidRPr="002B4FD9">
              <w:rPr>
                <w:webHidden/>
              </w:rPr>
              <w:tab/>
            </w:r>
            <w:r w:rsidR="002B4FD9" w:rsidRPr="002B4FD9">
              <w:rPr>
                <w:webHidden/>
              </w:rPr>
              <w:fldChar w:fldCharType="begin"/>
            </w:r>
            <w:r w:rsidR="002B4FD9" w:rsidRPr="002B4FD9">
              <w:rPr>
                <w:webHidden/>
              </w:rPr>
              <w:instrText xml:space="preserve"> PAGEREF _Toc409508721 \h </w:instrText>
            </w:r>
            <w:r w:rsidR="002B4FD9" w:rsidRPr="002B4FD9">
              <w:rPr>
                <w:webHidden/>
              </w:rPr>
            </w:r>
            <w:r w:rsidR="002B4FD9" w:rsidRPr="002B4FD9">
              <w:rPr>
                <w:webHidden/>
              </w:rPr>
              <w:fldChar w:fldCharType="separate"/>
            </w:r>
            <w:r w:rsidR="002B4FD9" w:rsidRPr="002B4FD9">
              <w:rPr>
                <w:webHidden/>
              </w:rPr>
              <w:t>60</w:t>
            </w:r>
            <w:r w:rsidR="002B4FD9" w:rsidRPr="002B4FD9">
              <w:rPr>
                <w:webHidden/>
              </w:rPr>
              <w:fldChar w:fldCharType="end"/>
            </w:r>
          </w:hyperlink>
        </w:p>
        <w:p w:rsidR="002B4FD9" w:rsidRPr="002B4FD9" w:rsidRDefault="002916A6">
          <w:pPr>
            <w:pStyle w:val="TOC1"/>
            <w:tabs>
              <w:tab w:val="left" w:pos="480"/>
            </w:tabs>
            <w:rPr>
              <w:rFonts w:ascii="Arial" w:eastAsiaTheme="minorEastAsia" w:hAnsi="Arial" w:cs="Arial"/>
              <w:noProof/>
              <w:lang w:val="en-NZ" w:eastAsia="en-NZ"/>
            </w:rPr>
          </w:pPr>
          <w:hyperlink w:anchor="_Toc409508722" w:history="1">
            <w:r w:rsidR="002B4FD9" w:rsidRPr="002B4FD9">
              <w:rPr>
                <w:rStyle w:val="Hyperlink"/>
                <w:rFonts w:ascii="Arial" w:hAnsi="Arial" w:cs="Arial"/>
                <w:noProof/>
              </w:rPr>
              <w:t>14</w:t>
            </w:r>
            <w:r w:rsidR="002B4FD9" w:rsidRPr="002B4FD9">
              <w:rPr>
                <w:rFonts w:ascii="Arial" w:eastAsiaTheme="minorEastAsia" w:hAnsi="Arial" w:cs="Arial"/>
                <w:noProof/>
                <w:lang w:val="en-NZ" w:eastAsia="en-NZ"/>
              </w:rPr>
              <w:tab/>
            </w:r>
            <w:r w:rsidR="002B4FD9" w:rsidRPr="002B4FD9">
              <w:rPr>
                <w:rStyle w:val="Hyperlink"/>
                <w:rFonts w:ascii="Arial" w:hAnsi="Arial" w:cs="Arial"/>
                <w:noProof/>
              </w:rPr>
              <w:t>Product approval fees</w:t>
            </w:r>
            <w:r w:rsidR="002B4FD9" w:rsidRPr="002B4FD9">
              <w:rPr>
                <w:rFonts w:ascii="Arial" w:hAnsi="Arial" w:cs="Arial"/>
                <w:noProof/>
                <w:webHidden/>
              </w:rPr>
              <w:tab/>
            </w:r>
            <w:r w:rsidR="002B4FD9" w:rsidRPr="002B4FD9">
              <w:rPr>
                <w:rFonts w:ascii="Arial" w:hAnsi="Arial" w:cs="Arial"/>
                <w:noProof/>
                <w:webHidden/>
              </w:rPr>
              <w:fldChar w:fldCharType="begin"/>
            </w:r>
            <w:r w:rsidR="002B4FD9" w:rsidRPr="002B4FD9">
              <w:rPr>
                <w:rFonts w:ascii="Arial" w:hAnsi="Arial" w:cs="Arial"/>
                <w:noProof/>
                <w:webHidden/>
              </w:rPr>
              <w:instrText xml:space="preserve"> PAGEREF _Toc409508722 \h </w:instrText>
            </w:r>
            <w:r w:rsidR="002B4FD9" w:rsidRPr="002B4FD9">
              <w:rPr>
                <w:rFonts w:ascii="Arial" w:hAnsi="Arial" w:cs="Arial"/>
                <w:noProof/>
                <w:webHidden/>
              </w:rPr>
            </w:r>
            <w:r w:rsidR="002B4FD9" w:rsidRPr="002B4FD9">
              <w:rPr>
                <w:rFonts w:ascii="Arial" w:hAnsi="Arial" w:cs="Arial"/>
                <w:noProof/>
                <w:webHidden/>
              </w:rPr>
              <w:fldChar w:fldCharType="separate"/>
            </w:r>
            <w:r w:rsidR="002B4FD9" w:rsidRPr="002B4FD9">
              <w:rPr>
                <w:rFonts w:ascii="Arial" w:hAnsi="Arial" w:cs="Arial"/>
                <w:noProof/>
                <w:webHidden/>
              </w:rPr>
              <w:t>61</w:t>
            </w:r>
            <w:r w:rsidR="002B4FD9" w:rsidRPr="002B4FD9">
              <w:rPr>
                <w:rFonts w:ascii="Arial" w:hAnsi="Arial" w:cs="Arial"/>
                <w:noProof/>
                <w:webHidden/>
              </w:rPr>
              <w:fldChar w:fldCharType="end"/>
            </w:r>
          </w:hyperlink>
        </w:p>
        <w:p w:rsidR="002B4FD9" w:rsidRPr="002B4FD9" w:rsidRDefault="002916A6">
          <w:pPr>
            <w:pStyle w:val="TOC1"/>
            <w:rPr>
              <w:rFonts w:ascii="Arial" w:eastAsiaTheme="minorEastAsia" w:hAnsi="Arial" w:cs="Arial"/>
              <w:noProof/>
              <w:lang w:val="en-NZ" w:eastAsia="en-NZ"/>
            </w:rPr>
          </w:pPr>
          <w:hyperlink w:anchor="_Toc409508723" w:history="1">
            <w:r w:rsidR="002B4FD9" w:rsidRPr="002B4FD9">
              <w:rPr>
                <w:rStyle w:val="Hyperlink"/>
                <w:rFonts w:ascii="Arial" w:hAnsi="Arial" w:cs="Arial"/>
                <w:noProof/>
              </w:rPr>
              <w:t>Appendix 1: International Conference on Harmonisation (ICH) Standards</w:t>
            </w:r>
            <w:r w:rsidR="002B4FD9" w:rsidRPr="002B4FD9">
              <w:rPr>
                <w:rFonts w:ascii="Arial" w:hAnsi="Arial" w:cs="Arial"/>
                <w:noProof/>
                <w:webHidden/>
              </w:rPr>
              <w:tab/>
            </w:r>
            <w:r w:rsidR="002B4FD9" w:rsidRPr="002B4FD9">
              <w:rPr>
                <w:rFonts w:ascii="Arial" w:hAnsi="Arial" w:cs="Arial"/>
                <w:noProof/>
                <w:webHidden/>
              </w:rPr>
              <w:fldChar w:fldCharType="begin"/>
            </w:r>
            <w:r w:rsidR="002B4FD9" w:rsidRPr="002B4FD9">
              <w:rPr>
                <w:rFonts w:ascii="Arial" w:hAnsi="Arial" w:cs="Arial"/>
                <w:noProof/>
                <w:webHidden/>
              </w:rPr>
              <w:instrText xml:space="preserve"> PAGEREF _Toc409508723 \h </w:instrText>
            </w:r>
            <w:r w:rsidR="002B4FD9" w:rsidRPr="002B4FD9">
              <w:rPr>
                <w:rFonts w:ascii="Arial" w:hAnsi="Arial" w:cs="Arial"/>
                <w:noProof/>
                <w:webHidden/>
              </w:rPr>
            </w:r>
            <w:r w:rsidR="002B4FD9" w:rsidRPr="002B4FD9">
              <w:rPr>
                <w:rFonts w:ascii="Arial" w:hAnsi="Arial" w:cs="Arial"/>
                <w:noProof/>
                <w:webHidden/>
              </w:rPr>
              <w:fldChar w:fldCharType="separate"/>
            </w:r>
            <w:r w:rsidR="002B4FD9" w:rsidRPr="002B4FD9">
              <w:rPr>
                <w:rFonts w:ascii="Arial" w:hAnsi="Arial" w:cs="Arial"/>
                <w:noProof/>
                <w:webHidden/>
              </w:rPr>
              <w:t>62</w:t>
            </w:r>
            <w:r w:rsidR="002B4FD9" w:rsidRPr="002B4FD9">
              <w:rPr>
                <w:rFonts w:ascii="Arial" w:hAnsi="Arial" w:cs="Arial"/>
                <w:noProof/>
                <w:webHidden/>
              </w:rPr>
              <w:fldChar w:fldCharType="end"/>
            </w:r>
          </w:hyperlink>
        </w:p>
        <w:p w:rsidR="002B4FD9" w:rsidRPr="002B4FD9" w:rsidRDefault="002916A6">
          <w:pPr>
            <w:pStyle w:val="TOC1"/>
            <w:rPr>
              <w:rFonts w:ascii="Arial" w:eastAsiaTheme="minorEastAsia" w:hAnsi="Arial" w:cs="Arial"/>
              <w:noProof/>
              <w:lang w:val="en-NZ" w:eastAsia="en-NZ"/>
            </w:rPr>
          </w:pPr>
          <w:hyperlink w:anchor="_Toc409508724" w:history="1">
            <w:r w:rsidR="002B4FD9" w:rsidRPr="002B4FD9">
              <w:rPr>
                <w:rStyle w:val="Hyperlink"/>
                <w:rFonts w:ascii="Arial" w:hAnsi="Arial" w:cs="Arial"/>
                <w:noProof/>
              </w:rPr>
              <w:t>ICH Product Quality Standards</w:t>
            </w:r>
            <w:r w:rsidR="002B4FD9" w:rsidRPr="002B4FD9">
              <w:rPr>
                <w:rFonts w:ascii="Arial" w:hAnsi="Arial" w:cs="Arial"/>
                <w:noProof/>
                <w:webHidden/>
              </w:rPr>
              <w:tab/>
            </w:r>
            <w:r w:rsidR="002B4FD9" w:rsidRPr="002B4FD9">
              <w:rPr>
                <w:rFonts w:ascii="Arial" w:hAnsi="Arial" w:cs="Arial"/>
                <w:noProof/>
                <w:webHidden/>
              </w:rPr>
              <w:fldChar w:fldCharType="begin"/>
            </w:r>
            <w:r w:rsidR="002B4FD9" w:rsidRPr="002B4FD9">
              <w:rPr>
                <w:rFonts w:ascii="Arial" w:hAnsi="Arial" w:cs="Arial"/>
                <w:noProof/>
                <w:webHidden/>
              </w:rPr>
              <w:instrText xml:space="preserve"> PAGEREF _Toc409508724 \h </w:instrText>
            </w:r>
            <w:r w:rsidR="002B4FD9" w:rsidRPr="002B4FD9">
              <w:rPr>
                <w:rFonts w:ascii="Arial" w:hAnsi="Arial" w:cs="Arial"/>
                <w:noProof/>
                <w:webHidden/>
              </w:rPr>
            </w:r>
            <w:r w:rsidR="002B4FD9" w:rsidRPr="002B4FD9">
              <w:rPr>
                <w:rFonts w:ascii="Arial" w:hAnsi="Arial" w:cs="Arial"/>
                <w:noProof/>
                <w:webHidden/>
              </w:rPr>
              <w:fldChar w:fldCharType="separate"/>
            </w:r>
            <w:r w:rsidR="002B4FD9" w:rsidRPr="002B4FD9">
              <w:rPr>
                <w:rFonts w:ascii="Arial" w:hAnsi="Arial" w:cs="Arial"/>
                <w:noProof/>
                <w:webHidden/>
              </w:rPr>
              <w:t>64</w:t>
            </w:r>
            <w:r w:rsidR="002B4FD9" w:rsidRPr="002B4FD9">
              <w:rPr>
                <w:rFonts w:ascii="Arial" w:hAnsi="Arial" w:cs="Arial"/>
                <w:noProof/>
                <w:webHidden/>
              </w:rPr>
              <w:fldChar w:fldCharType="end"/>
            </w:r>
          </w:hyperlink>
        </w:p>
        <w:p w:rsidR="002B4FD9" w:rsidRPr="002B4FD9" w:rsidRDefault="002916A6">
          <w:pPr>
            <w:pStyle w:val="TOC1"/>
            <w:rPr>
              <w:rFonts w:ascii="Arial" w:eastAsiaTheme="minorEastAsia" w:hAnsi="Arial" w:cs="Arial"/>
              <w:noProof/>
              <w:lang w:val="en-NZ" w:eastAsia="en-NZ"/>
            </w:rPr>
          </w:pPr>
          <w:hyperlink w:anchor="_Toc409508725" w:history="1">
            <w:r w:rsidR="002B4FD9" w:rsidRPr="002B4FD9">
              <w:rPr>
                <w:rStyle w:val="Hyperlink"/>
                <w:rFonts w:ascii="Arial" w:hAnsi="Arial" w:cs="Arial"/>
                <w:noProof/>
              </w:rPr>
              <w:t>ICH Product Safety Standards</w:t>
            </w:r>
            <w:r w:rsidR="002B4FD9" w:rsidRPr="002B4FD9">
              <w:rPr>
                <w:rFonts w:ascii="Arial" w:hAnsi="Arial" w:cs="Arial"/>
                <w:noProof/>
                <w:webHidden/>
              </w:rPr>
              <w:tab/>
            </w:r>
            <w:r w:rsidR="002B4FD9" w:rsidRPr="002B4FD9">
              <w:rPr>
                <w:rFonts w:ascii="Arial" w:hAnsi="Arial" w:cs="Arial"/>
                <w:noProof/>
                <w:webHidden/>
              </w:rPr>
              <w:fldChar w:fldCharType="begin"/>
            </w:r>
            <w:r w:rsidR="002B4FD9" w:rsidRPr="002B4FD9">
              <w:rPr>
                <w:rFonts w:ascii="Arial" w:hAnsi="Arial" w:cs="Arial"/>
                <w:noProof/>
                <w:webHidden/>
              </w:rPr>
              <w:instrText xml:space="preserve"> PAGEREF _Toc409508725 \h </w:instrText>
            </w:r>
            <w:r w:rsidR="002B4FD9" w:rsidRPr="002B4FD9">
              <w:rPr>
                <w:rFonts w:ascii="Arial" w:hAnsi="Arial" w:cs="Arial"/>
                <w:noProof/>
                <w:webHidden/>
              </w:rPr>
            </w:r>
            <w:r w:rsidR="002B4FD9" w:rsidRPr="002B4FD9">
              <w:rPr>
                <w:rFonts w:ascii="Arial" w:hAnsi="Arial" w:cs="Arial"/>
                <w:noProof/>
                <w:webHidden/>
              </w:rPr>
              <w:fldChar w:fldCharType="separate"/>
            </w:r>
            <w:r w:rsidR="002B4FD9" w:rsidRPr="002B4FD9">
              <w:rPr>
                <w:rFonts w:ascii="Arial" w:hAnsi="Arial" w:cs="Arial"/>
                <w:noProof/>
                <w:webHidden/>
              </w:rPr>
              <w:t>72</w:t>
            </w:r>
            <w:r w:rsidR="002B4FD9" w:rsidRPr="002B4FD9">
              <w:rPr>
                <w:rFonts w:ascii="Arial" w:hAnsi="Arial" w:cs="Arial"/>
                <w:noProof/>
                <w:webHidden/>
              </w:rPr>
              <w:fldChar w:fldCharType="end"/>
            </w:r>
          </w:hyperlink>
        </w:p>
        <w:p w:rsidR="002B4FD9" w:rsidRPr="002B4FD9" w:rsidRDefault="002916A6">
          <w:pPr>
            <w:pStyle w:val="TOC1"/>
            <w:rPr>
              <w:rFonts w:ascii="Arial" w:eastAsiaTheme="minorEastAsia" w:hAnsi="Arial" w:cs="Arial"/>
              <w:noProof/>
              <w:lang w:val="en-NZ" w:eastAsia="en-NZ"/>
            </w:rPr>
          </w:pPr>
          <w:hyperlink w:anchor="_Toc409508726" w:history="1">
            <w:r w:rsidR="002B4FD9" w:rsidRPr="002B4FD9">
              <w:rPr>
                <w:rStyle w:val="Hyperlink"/>
                <w:rFonts w:ascii="Arial" w:hAnsi="Arial" w:cs="Arial"/>
                <w:noProof/>
              </w:rPr>
              <w:t>ICH Efficacy Guidelines</w:t>
            </w:r>
            <w:r w:rsidR="002B4FD9" w:rsidRPr="002B4FD9">
              <w:rPr>
                <w:rFonts w:ascii="Arial" w:hAnsi="Arial" w:cs="Arial"/>
                <w:noProof/>
                <w:webHidden/>
              </w:rPr>
              <w:tab/>
            </w:r>
            <w:r w:rsidR="002B4FD9" w:rsidRPr="002B4FD9">
              <w:rPr>
                <w:rFonts w:ascii="Arial" w:hAnsi="Arial" w:cs="Arial"/>
                <w:noProof/>
                <w:webHidden/>
              </w:rPr>
              <w:fldChar w:fldCharType="begin"/>
            </w:r>
            <w:r w:rsidR="002B4FD9" w:rsidRPr="002B4FD9">
              <w:rPr>
                <w:rFonts w:ascii="Arial" w:hAnsi="Arial" w:cs="Arial"/>
                <w:noProof/>
                <w:webHidden/>
              </w:rPr>
              <w:instrText xml:space="preserve"> PAGEREF _Toc409508726 \h </w:instrText>
            </w:r>
            <w:r w:rsidR="002B4FD9" w:rsidRPr="002B4FD9">
              <w:rPr>
                <w:rFonts w:ascii="Arial" w:hAnsi="Arial" w:cs="Arial"/>
                <w:noProof/>
                <w:webHidden/>
              </w:rPr>
            </w:r>
            <w:r w:rsidR="002B4FD9" w:rsidRPr="002B4FD9">
              <w:rPr>
                <w:rFonts w:ascii="Arial" w:hAnsi="Arial" w:cs="Arial"/>
                <w:noProof/>
                <w:webHidden/>
              </w:rPr>
              <w:fldChar w:fldCharType="separate"/>
            </w:r>
            <w:r w:rsidR="002B4FD9" w:rsidRPr="002B4FD9">
              <w:rPr>
                <w:rFonts w:ascii="Arial" w:hAnsi="Arial" w:cs="Arial"/>
                <w:noProof/>
                <w:webHidden/>
              </w:rPr>
              <w:t>78</w:t>
            </w:r>
            <w:r w:rsidR="002B4FD9" w:rsidRPr="002B4FD9">
              <w:rPr>
                <w:rFonts w:ascii="Arial" w:hAnsi="Arial" w:cs="Arial"/>
                <w:noProof/>
                <w:webHidden/>
              </w:rPr>
              <w:fldChar w:fldCharType="end"/>
            </w:r>
          </w:hyperlink>
        </w:p>
        <w:p w:rsidR="002B4FD9" w:rsidRPr="002B4FD9" w:rsidRDefault="002916A6">
          <w:pPr>
            <w:pStyle w:val="TOC1"/>
            <w:rPr>
              <w:rFonts w:ascii="Arial" w:eastAsiaTheme="minorEastAsia" w:hAnsi="Arial" w:cs="Arial"/>
              <w:noProof/>
              <w:lang w:val="en-NZ" w:eastAsia="en-NZ"/>
            </w:rPr>
          </w:pPr>
          <w:hyperlink w:anchor="_Toc409508727" w:history="1">
            <w:r w:rsidR="002B4FD9" w:rsidRPr="002B4FD9">
              <w:rPr>
                <w:rStyle w:val="Hyperlink"/>
                <w:rFonts w:ascii="Arial" w:hAnsi="Arial" w:cs="Arial"/>
                <w:noProof/>
              </w:rPr>
              <w:t>ICH Multidisciplinary Standards</w:t>
            </w:r>
            <w:r w:rsidR="002B4FD9" w:rsidRPr="002B4FD9">
              <w:rPr>
                <w:rFonts w:ascii="Arial" w:hAnsi="Arial" w:cs="Arial"/>
                <w:noProof/>
                <w:webHidden/>
              </w:rPr>
              <w:tab/>
            </w:r>
            <w:r w:rsidR="002B4FD9" w:rsidRPr="002B4FD9">
              <w:rPr>
                <w:rFonts w:ascii="Arial" w:hAnsi="Arial" w:cs="Arial"/>
                <w:noProof/>
                <w:webHidden/>
              </w:rPr>
              <w:fldChar w:fldCharType="begin"/>
            </w:r>
            <w:r w:rsidR="002B4FD9" w:rsidRPr="002B4FD9">
              <w:rPr>
                <w:rFonts w:ascii="Arial" w:hAnsi="Arial" w:cs="Arial"/>
                <w:noProof/>
                <w:webHidden/>
              </w:rPr>
              <w:instrText xml:space="preserve"> PAGEREF _Toc409508727 \h </w:instrText>
            </w:r>
            <w:r w:rsidR="002B4FD9" w:rsidRPr="002B4FD9">
              <w:rPr>
                <w:rFonts w:ascii="Arial" w:hAnsi="Arial" w:cs="Arial"/>
                <w:noProof/>
                <w:webHidden/>
              </w:rPr>
            </w:r>
            <w:r w:rsidR="002B4FD9" w:rsidRPr="002B4FD9">
              <w:rPr>
                <w:rFonts w:ascii="Arial" w:hAnsi="Arial" w:cs="Arial"/>
                <w:noProof/>
                <w:webHidden/>
              </w:rPr>
              <w:fldChar w:fldCharType="separate"/>
            </w:r>
            <w:r w:rsidR="002B4FD9" w:rsidRPr="002B4FD9">
              <w:rPr>
                <w:rFonts w:ascii="Arial" w:hAnsi="Arial" w:cs="Arial"/>
                <w:noProof/>
                <w:webHidden/>
              </w:rPr>
              <w:t>82</w:t>
            </w:r>
            <w:r w:rsidR="002B4FD9" w:rsidRPr="002B4FD9">
              <w:rPr>
                <w:rFonts w:ascii="Arial" w:hAnsi="Arial" w:cs="Arial"/>
                <w:noProof/>
                <w:webHidden/>
              </w:rPr>
              <w:fldChar w:fldCharType="end"/>
            </w:r>
          </w:hyperlink>
        </w:p>
        <w:p w:rsidR="002B4FD9" w:rsidRPr="002B4FD9" w:rsidRDefault="002916A6">
          <w:pPr>
            <w:pStyle w:val="TOC1"/>
            <w:rPr>
              <w:rFonts w:ascii="Arial" w:eastAsiaTheme="minorEastAsia" w:hAnsi="Arial" w:cs="Arial"/>
              <w:noProof/>
              <w:lang w:val="en-NZ" w:eastAsia="en-NZ"/>
            </w:rPr>
          </w:pPr>
          <w:hyperlink w:anchor="_Toc409508728" w:history="1">
            <w:r w:rsidR="002B4FD9" w:rsidRPr="002B4FD9">
              <w:rPr>
                <w:rStyle w:val="Hyperlink"/>
                <w:rFonts w:ascii="Arial" w:hAnsi="Arial" w:cs="Arial"/>
                <w:noProof/>
              </w:rPr>
              <w:t>Appendix 2: Recognised Authorities</w:t>
            </w:r>
            <w:r w:rsidR="002B4FD9" w:rsidRPr="002B4FD9">
              <w:rPr>
                <w:rFonts w:ascii="Arial" w:hAnsi="Arial" w:cs="Arial"/>
                <w:noProof/>
                <w:webHidden/>
              </w:rPr>
              <w:tab/>
            </w:r>
            <w:r w:rsidR="002B4FD9" w:rsidRPr="002B4FD9">
              <w:rPr>
                <w:rFonts w:ascii="Arial" w:hAnsi="Arial" w:cs="Arial"/>
                <w:noProof/>
                <w:webHidden/>
              </w:rPr>
              <w:fldChar w:fldCharType="begin"/>
            </w:r>
            <w:r w:rsidR="002B4FD9" w:rsidRPr="002B4FD9">
              <w:rPr>
                <w:rFonts w:ascii="Arial" w:hAnsi="Arial" w:cs="Arial"/>
                <w:noProof/>
                <w:webHidden/>
              </w:rPr>
              <w:instrText xml:space="preserve"> PAGEREF _Toc409508728 \h </w:instrText>
            </w:r>
            <w:r w:rsidR="002B4FD9" w:rsidRPr="002B4FD9">
              <w:rPr>
                <w:rFonts w:ascii="Arial" w:hAnsi="Arial" w:cs="Arial"/>
                <w:noProof/>
                <w:webHidden/>
              </w:rPr>
            </w:r>
            <w:r w:rsidR="002B4FD9" w:rsidRPr="002B4FD9">
              <w:rPr>
                <w:rFonts w:ascii="Arial" w:hAnsi="Arial" w:cs="Arial"/>
                <w:noProof/>
                <w:webHidden/>
              </w:rPr>
              <w:fldChar w:fldCharType="separate"/>
            </w:r>
            <w:r w:rsidR="002B4FD9" w:rsidRPr="002B4FD9">
              <w:rPr>
                <w:rFonts w:ascii="Arial" w:hAnsi="Arial" w:cs="Arial"/>
                <w:noProof/>
                <w:webHidden/>
              </w:rPr>
              <w:t>85</w:t>
            </w:r>
            <w:r w:rsidR="002B4FD9" w:rsidRPr="002B4FD9">
              <w:rPr>
                <w:rFonts w:ascii="Arial" w:hAnsi="Arial" w:cs="Arial"/>
                <w:noProof/>
                <w:webHidden/>
              </w:rPr>
              <w:fldChar w:fldCharType="end"/>
            </w:r>
          </w:hyperlink>
        </w:p>
        <w:p w:rsidR="002B4FD9" w:rsidRPr="002B4FD9" w:rsidRDefault="002916A6">
          <w:pPr>
            <w:pStyle w:val="TOC1"/>
            <w:rPr>
              <w:rFonts w:ascii="Arial" w:eastAsiaTheme="minorEastAsia" w:hAnsi="Arial" w:cs="Arial"/>
              <w:noProof/>
              <w:lang w:val="en-NZ" w:eastAsia="en-NZ"/>
            </w:rPr>
          </w:pPr>
          <w:hyperlink w:anchor="_Toc409508729" w:history="1">
            <w:r w:rsidR="002B4FD9" w:rsidRPr="002B4FD9">
              <w:rPr>
                <w:rStyle w:val="Hyperlink"/>
                <w:rFonts w:ascii="Arial" w:hAnsi="Arial" w:cs="Arial"/>
                <w:noProof/>
              </w:rPr>
              <w:t>Appendix 3:</w:t>
            </w:r>
            <w:r w:rsidR="002B4FD9" w:rsidRPr="002B4FD9">
              <w:rPr>
                <w:rFonts w:ascii="Arial" w:hAnsi="Arial" w:cs="Arial"/>
                <w:noProof/>
                <w:webHidden/>
              </w:rPr>
              <w:tab/>
            </w:r>
            <w:r w:rsidR="002B4FD9" w:rsidRPr="002B4FD9">
              <w:rPr>
                <w:rFonts w:ascii="Arial" w:hAnsi="Arial" w:cs="Arial"/>
                <w:noProof/>
                <w:webHidden/>
              </w:rPr>
              <w:fldChar w:fldCharType="begin"/>
            </w:r>
            <w:r w:rsidR="002B4FD9" w:rsidRPr="002B4FD9">
              <w:rPr>
                <w:rFonts w:ascii="Arial" w:hAnsi="Arial" w:cs="Arial"/>
                <w:noProof/>
                <w:webHidden/>
              </w:rPr>
              <w:instrText xml:space="preserve"> PAGEREF _Toc409508729 \h </w:instrText>
            </w:r>
            <w:r w:rsidR="002B4FD9" w:rsidRPr="002B4FD9">
              <w:rPr>
                <w:rFonts w:ascii="Arial" w:hAnsi="Arial" w:cs="Arial"/>
                <w:noProof/>
                <w:webHidden/>
              </w:rPr>
            </w:r>
            <w:r w:rsidR="002B4FD9" w:rsidRPr="002B4FD9">
              <w:rPr>
                <w:rFonts w:ascii="Arial" w:hAnsi="Arial" w:cs="Arial"/>
                <w:noProof/>
                <w:webHidden/>
              </w:rPr>
              <w:fldChar w:fldCharType="separate"/>
            </w:r>
            <w:r w:rsidR="002B4FD9" w:rsidRPr="002B4FD9">
              <w:rPr>
                <w:rFonts w:ascii="Arial" w:hAnsi="Arial" w:cs="Arial"/>
                <w:noProof/>
                <w:webHidden/>
              </w:rPr>
              <w:t>89</w:t>
            </w:r>
            <w:r w:rsidR="002B4FD9" w:rsidRPr="002B4FD9">
              <w:rPr>
                <w:rFonts w:ascii="Arial" w:hAnsi="Arial" w:cs="Arial"/>
                <w:noProof/>
                <w:webHidden/>
              </w:rPr>
              <w:fldChar w:fldCharType="end"/>
            </w:r>
          </w:hyperlink>
        </w:p>
        <w:p w:rsidR="001A2E58" w:rsidRPr="00BC6862" w:rsidRDefault="001A2E58" w:rsidP="001A2E58">
          <w:pPr>
            <w:rPr>
              <w:rStyle w:val="Arial"/>
              <w:rFonts w:cs="Arial"/>
            </w:rPr>
          </w:pPr>
          <w:r w:rsidRPr="00DB34DC">
            <w:rPr>
              <w:rFonts w:ascii="Arial" w:hAnsi="Arial" w:cs="Arial"/>
              <w:b/>
              <w:bCs/>
              <w:noProof/>
            </w:rPr>
            <w:fldChar w:fldCharType="end"/>
          </w:r>
        </w:p>
      </w:sdtContent>
    </w:sdt>
    <w:p w:rsidR="001A2E58" w:rsidRPr="000F1FF2" w:rsidRDefault="001A2E58" w:rsidP="001A2E58">
      <w:pPr>
        <w:rPr>
          <w:rStyle w:val="Arial"/>
        </w:rPr>
      </w:pPr>
    </w:p>
    <w:p w:rsidR="001A2E58" w:rsidRPr="000F1FF2" w:rsidRDefault="001A2E58" w:rsidP="001A2E58">
      <w:pPr>
        <w:rPr>
          <w:rStyle w:val="Arial"/>
        </w:rPr>
      </w:pPr>
      <w:r w:rsidRPr="000F1FF2">
        <w:rPr>
          <w:rStyle w:val="Arial"/>
        </w:rPr>
        <w:br w:type="page"/>
      </w:r>
    </w:p>
    <w:p w:rsidR="00DA5905" w:rsidRDefault="00DA5905" w:rsidP="00831328">
      <w:pPr>
        <w:pStyle w:val="Partheading"/>
      </w:pPr>
      <w:bookmarkStart w:id="0" w:name="_Toc409508673"/>
      <w:r>
        <w:t>Glossary of terms</w:t>
      </w:r>
      <w:bookmarkEnd w:id="0"/>
    </w:p>
    <w:p w:rsidR="0094469A" w:rsidRDefault="0094469A" w:rsidP="00DA5905">
      <w:pPr>
        <w:rPr>
          <w:rFonts w:ascii="Arial" w:hAnsi="Arial"/>
        </w:rPr>
      </w:pPr>
      <w:r>
        <w:rPr>
          <w:rFonts w:ascii="Arial" w:hAnsi="Arial"/>
        </w:rPr>
        <w:t>The Act</w:t>
      </w:r>
      <w:r>
        <w:rPr>
          <w:rFonts w:ascii="Arial" w:hAnsi="Arial"/>
        </w:rPr>
        <w:tab/>
      </w:r>
      <w:r>
        <w:rPr>
          <w:rFonts w:ascii="Arial" w:hAnsi="Arial"/>
        </w:rPr>
        <w:tab/>
        <w:t>The Psychoactive Substances Act 2013</w:t>
      </w:r>
    </w:p>
    <w:p w:rsidR="0094469A" w:rsidRDefault="0094469A" w:rsidP="0094469A">
      <w:pPr>
        <w:ind w:left="2160" w:hanging="2160"/>
        <w:rPr>
          <w:rFonts w:ascii="Arial" w:hAnsi="Arial"/>
        </w:rPr>
      </w:pPr>
      <w:r>
        <w:rPr>
          <w:rFonts w:ascii="Arial" w:hAnsi="Arial"/>
        </w:rPr>
        <w:t>Active ingredient</w:t>
      </w:r>
      <w:r>
        <w:rPr>
          <w:rFonts w:ascii="Arial" w:hAnsi="Arial"/>
        </w:rPr>
        <w:tab/>
        <w:t>The ingredient responsible for producing a psychoactive effect</w:t>
      </w:r>
    </w:p>
    <w:p w:rsidR="008415F6" w:rsidRDefault="008415F6" w:rsidP="00DA5905">
      <w:pPr>
        <w:rPr>
          <w:rFonts w:ascii="Arial" w:hAnsi="Arial"/>
        </w:rPr>
      </w:pPr>
      <w:r>
        <w:rPr>
          <w:rFonts w:ascii="Arial" w:hAnsi="Arial"/>
        </w:rPr>
        <w:t>API</w:t>
      </w:r>
      <w:r>
        <w:rPr>
          <w:rFonts w:ascii="Arial" w:hAnsi="Arial"/>
        </w:rPr>
        <w:tab/>
      </w:r>
      <w:r>
        <w:rPr>
          <w:rFonts w:ascii="Arial" w:hAnsi="Arial"/>
        </w:rPr>
        <w:tab/>
      </w:r>
      <w:r>
        <w:rPr>
          <w:rFonts w:ascii="Arial" w:hAnsi="Arial"/>
        </w:rPr>
        <w:tab/>
        <w:t>Active Pharmaceutical Ingredient</w:t>
      </w:r>
    </w:p>
    <w:p w:rsidR="00D80D78" w:rsidRDefault="00D80D78" w:rsidP="00DA5905">
      <w:pPr>
        <w:rPr>
          <w:rFonts w:ascii="Arial" w:hAnsi="Arial"/>
        </w:rPr>
      </w:pPr>
      <w:r>
        <w:rPr>
          <w:rFonts w:ascii="Arial" w:hAnsi="Arial"/>
        </w:rPr>
        <w:t>APLAC</w:t>
      </w:r>
      <w:r w:rsidR="008415F6">
        <w:rPr>
          <w:rFonts w:ascii="Arial" w:hAnsi="Arial"/>
        </w:rPr>
        <w:tab/>
      </w:r>
      <w:r w:rsidR="008415F6">
        <w:rPr>
          <w:rFonts w:ascii="Arial" w:hAnsi="Arial"/>
        </w:rPr>
        <w:tab/>
        <w:t>Asia Pacific Laboratory Accreditation Cooperation</w:t>
      </w:r>
    </w:p>
    <w:p w:rsidR="009435A8" w:rsidRDefault="009435A8" w:rsidP="009435A8">
      <w:pPr>
        <w:rPr>
          <w:rFonts w:ascii="Arial" w:hAnsi="Arial"/>
        </w:rPr>
      </w:pPr>
      <w:r>
        <w:rPr>
          <w:rFonts w:ascii="Arial" w:hAnsi="Arial"/>
        </w:rPr>
        <w:t>The Authority</w:t>
      </w:r>
      <w:r w:rsidR="002048CE">
        <w:rPr>
          <w:rFonts w:ascii="Arial" w:hAnsi="Arial"/>
        </w:rPr>
        <w:tab/>
      </w:r>
      <w:r w:rsidR="002048CE">
        <w:rPr>
          <w:rFonts w:ascii="Arial" w:hAnsi="Arial"/>
        </w:rPr>
        <w:tab/>
        <w:t>The Director-General of Health</w:t>
      </w:r>
      <w:r w:rsidR="002B3317">
        <w:rPr>
          <w:rFonts w:ascii="Arial" w:hAnsi="Arial"/>
        </w:rPr>
        <w:t xml:space="preserve"> or his/her delegate</w:t>
      </w:r>
    </w:p>
    <w:p w:rsidR="008415F6" w:rsidRDefault="008415F6" w:rsidP="009435A8">
      <w:pPr>
        <w:rPr>
          <w:rFonts w:ascii="Arial" w:hAnsi="Arial"/>
        </w:rPr>
      </w:pPr>
      <w:r>
        <w:rPr>
          <w:rFonts w:ascii="Arial" w:hAnsi="Arial"/>
        </w:rPr>
        <w:t>CARM</w:t>
      </w:r>
      <w:r>
        <w:rPr>
          <w:rFonts w:ascii="Arial" w:hAnsi="Arial"/>
        </w:rPr>
        <w:tab/>
      </w:r>
      <w:r>
        <w:rPr>
          <w:rFonts w:ascii="Arial" w:hAnsi="Arial"/>
        </w:rPr>
        <w:tab/>
      </w:r>
      <w:r>
        <w:rPr>
          <w:rFonts w:ascii="Arial" w:hAnsi="Arial"/>
        </w:rPr>
        <w:tab/>
        <w:t>Centre for Adverse Reactions Monitoring</w:t>
      </w:r>
    </w:p>
    <w:p w:rsidR="008415F6" w:rsidRDefault="008415F6" w:rsidP="008415F6">
      <w:pPr>
        <w:ind w:left="2160" w:hanging="2160"/>
        <w:rPr>
          <w:rFonts w:ascii="Arial" w:hAnsi="Arial"/>
        </w:rPr>
      </w:pPr>
      <w:r>
        <w:rPr>
          <w:rFonts w:ascii="Arial" w:hAnsi="Arial"/>
        </w:rPr>
        <w:t>CHMP</w:t>
      </w:r>
      <w:r>
        <w:rPr>
          <w:rFonts w:ascii="Arial" w:hAnsi="Arial"/>
        </w:rPr>
        <w:tab/>
        <w:t>Committee for Medicinal Products for Human Use (formerly known as CPMP Committee for Proprietary Medicinal Products)</w:t>
      </w:r>
    </w:p>
    <w:p w:rsidR="00DA5905" w:rsidRDefault="00D80D78" w:rsidP="00BB2C10">
      <w:pPr>
        <w:ind w:left="2160" w:hanging="2160"/>
        <w:rPr>
          <w:rFonts w:ascii="Arial" w:hAnsi="Arial"/>
        </w:rPr>
      </w:pPr>
      <w:r>
        <w:rPr>
          <w:rFonts w:ascii="Arial" w:hAnsi="Arial"/>
        </w:rPr>
        <w:t xml:space="preserve">CoS </w:t>
      </w:r>
      <w:r w:rsidR="00BB2C10">
        <w:rPr>
          <w:rFonts w:ascii="Arial" w:hAnsi="Arial"/>
        </w:rPr>
        <w:tab/>
      </w:r>
      <w:r w:rsidR="00BB2C10" w:rsidRPr="00BB2C10">
        <w:rPr>
          <w:rFonts w:ascii="Arial" w:hAnsi="Arial"/>
        </w:rPr>
        <w:t xml:space="preserve">Certificate of Suitability to the monographs of the European Pharmacopeia </w:t>
      </w:r>
      <w:r w:rsidRPr="00BB2C10">
        <w:rPr>
          <w:rFonts w:ascii="Arial" w:hAnsi="Arial"/>
        </w:rPr>
        <w:t>(also known as a CEP)</w:t>
      </w:r>
    </w:p>
    <w:p w:rsidR="00DA5905" w:rsidRDefault="00DA5905" w:rsidP="00DA5905">
      <w:pPr>
        <w:rPr>
          <w:rFonts w:ascii="Arial" w:hAnsi="Arial"/>
        </w:rPr>
      </w:pPr>
      <w:r>
        <w:rPr>
          <w:rFonts w:ascii="Arial" w:hAnsi="Arial"/>
        </w:rPr>
        <w:t>CoMP</w:t>
      </w:r>
      <w:r w:rsidR="00BB2C10">
        <w:rPr>
          <w:rFonts w:ascii="Arial" w:hAnsi="Arial"/>
        </w:rPr>
        <w:tab/>
      </w:r>
      <w:r w:rsidR="00BB2C10">
        <w:rPr>
          <w:rFonts w:ascii="Arial" w:hAnsi="Arial"/>
        </w:rPr>
        <w:tab/>
      </w:r>
      <w:r w:rsidR="00BB2C10">
        <w:rPr>
          <w:rFonts w:ascii="Arial" w:hAnsi="Arial"/>
        </w:rPr>
        <w:tab/>
        <w:t>Code of Manufacturing Practice</w:t>
      </w:r>
    </w:p>
    <w:p w:rsidR="00BB2C10" w:rsidRDefault="00BB2C10" w:rsidP="00DA5905">
      <w:pPr>
        <w:rPr>
          <w:rFonts w:ascii="Arial" w:hAnsi="Arial"/>
        </w:rPr>
      </w:pPr>
      <w:r>
        <w:rPr>
          <w:rFonts w:ascii="Arial" w:hAnsi="Arial"/>
        </w:rPr>
        <w:t>CTD</w:t>
      </w:r>
      <w:r>
        <w:rPr>
          <w:rFonts w:ascii="Arial" w:hAnsi="Arial"/>
        </w:rPr>
        <w:tab/>
      </w:r>
      <w:r>
        <w:rPr>
          <w:rFonts w:ascii="Arial" w:hAnsi="Arial"/>
        </w:rPr>
        <w:tab/>
      </w:r>
      <w:r>
        <w:rPr>
          <w:rFonts w:ascii="Arial" w:hAnsi="Arial"/>
        </w:rPr>
        <w:tab/>
        <w:t>Common Technical Document (ICH format)</w:t>
      </w:r>
    </w:p>
    <w:p w:rsidR="00F66AB0" w:rsidRDefault="00F66AB0" w:rsidP="00DA5905">
      <w:pPr>
        <w:rPr>
          <w:rFonts w:ascii="Arial" w:hAnsi="Arial"/>
        </w:rPr>
      </w:pPr>
      <w:r>
        <w:rPr>
          <w:rFonts w:ascii="Arial" w:hAnsi="Arial"/>
        </w:rPr>
        <w:t>Day</w:t>
      </w:r>
      <w:r>
        <w:rPr>
          <w:rFonts w:ascii="Arial" w:hAnsi="Arial"/>
        </w:rPr>
        <w:tab/>
      </w:r>
      <w:r>
        <w:rPr>
          <w:rFonts w:ascii="Arial" w:hAnsi="Arial"/>
        </w:rPr>
        <w:tab/>
      </w:r>
      <w:r>
        <w:rPr>
          <w:rFonts w:ascii="Arial" w:hAnsi="Arial"/>
        </w:rPr>
        <w:tab/>
        <w:t>Calendar day</w:t>
      </w:r>
    </w:p>
    <w:p w:rsidR="00DA5905" w:rsidRDefault="00DA5905" w:rsidP="00DA5905">
      <w:pPr>
        <w:rPr>
          <w:rFonts w:ascii="Arial" w:hAnsi="Arial"/>
        </w:rPr>
      </w:pPr>
      <w:r>
        <w:rPr>
          <w:rFonts w:ascii="Arial" w:hAnsi="Arial"/>
        </w:rPr>
        <w:t>DMF</w:t>
      </w:r>
      <w:r w:rsidR="00BB2C10">
        <w:rPr>
          <w:rFonts w:ascii="Arial" w:hAnsi="Arial"/>
        </w:rPr>
        <w:tab/>
      </w:r>
      <w:r w:rsidR="00BB2C10">
        <w:rPr>
          <w:rFonts w:ascii="Arial" w:hAnsi="Arial"/>
        </w:rPr>
        <w:tab/>
      </w:r>
      <w:r w:rsidR="00BB2C10">
        <w:rPr>
          <w:rFonts w:ascii="Arial" w:hAnsi="Arial"/>
        </w:rPr>
        <w:tab/>
        <w:t>Drug Master File</w:t>
      </w:r>
    </w:p>
    <w:p w:rsidR="00BB2C10" w:rsidRDefault="00BB2C10" w:rsidP="00DA5905">
      <w:pPr>
        <w:rPr>
          <w:rFonts w:ascii="Arial" w:hAnsi="Arial"/>
        </w:rPr>
      </w:pPr>
      <w:r>
        <w:rPr>
          <w:rFonts w:ascii="Arial" w:hAnsi="Arial"/>
        </w:rPr>
        <w:t>EC</w:t>
      </w:r>
      <w:r>
        <w:rPr>
          <w:rFonts w:ascii="Arial" w:hAnsi="Arial"/>
        </w:rPr>
        <w:tab/>
      </w:r>
      <w:r>
        <w:rPr>
          <w:rFonts w:ascii="Arial" w:hAnsi="Arial"/>
        </w:rPr>
        <w:tab/>
      </w:r>
      <w:r>
        <w:rPr>
          <w:rFonts w:ascii="Arial" w:hAnsi="Arial"/>
        </w:rPr>
        <w:tab/>
        <w:t>European Commission</w:t>
      </w:r>
    </w:p>
    <w:p w:rsidR="003208FA" w:rsidRDefault="003208FA" w:rsidP="00DA5905">
      <w:pPr>
        <w:rPr>
          <w:rFonts w:ascii="Arial" w:hAnsi="Arial"/>
        </w:rPr>
      </w:pPr>
      <w:r>
        <w:rPr>
          <w:rFonts w:ascii="Arial" w:hAnsi="Arial"/>
        </w:rPr>
        <w:t>EDQM</w:t>
      </w:r>
      <w:r>
        <w:rPr>
          <w:rFonts w:ascii="Arial" w:hAnsi="Arial"/>
        </w:rPr>
        <w:tab/>
      </w:r>
      <w:r>
        <w:rPr>
          <w:rFonts w:ascii="Arial" w:hAnsi="Arial"/>
        </w:rPr>
        <w:tab/>
        <w:t>European Directorate for the Quality of Medicines</w:t>
      </w:r>
    </w:p>
    <w:p w:rsidR="00BB2C10" w:rsidRDefault="008415F6" w:rsidP="008415F6">
      <w:pPr>
        <w:ind w:left="2160" w:hanging="2160"/>
        <w:rPr>
          <w:rFonts w:ascii="Arial" w:hAnsi="Arial"/>
        </w:rPr>
      </w:pPr>
      <w:r>
        <w:rPr>
          <w:rFonts w:ascii="Arial" w:hAnsi="Arial"/>
        </w:rPr>
        <w:t>EMA</w:t>
      </w:r>
      <w:r>
        <w:rPr>
          <w:rFonts w:ascii="Arial" w:hAnsi="Arial"/>
        </w:rPr>
        <w:tab/>
      </w:r>
      <w:r w:rsidR="00BB2C10">
        <w:rPr>
          <w:rFonts w:ascii="Arial" w:hAnsi="Arial"/>
        </w:rPr>
        <w:t>European Medicines Agency</w:t>
      </w:r>
      <w:r>
        <w:rPr>
          <w:rFonts w:ascii="Arial" w:hAnsi="Arial"/>
        </w:rPr>
        <w:t xml:space="preserve"> (formerly known as EMEA European Medicines Evaluation Agency)</w:t>
      </w:r>
    </w:p>
    <w:p w:rsidR="00BB2C10" w:rsidRDefault="00BB2C10" w:rsidP="00DA5905">
      <w:pPr>
        <w:rPr>
          <w:rFonts w:ascii="Arial" w:hAnsi="Arial"/>
        </w:rPr>
      </w:pPr>
      <w:r>
        <w:rPr>
          <w:rFonts w:ascii="Arial" w:hAnsi="Arial"/>
        </w:rPr>
        <w:t>EPA</w:t>
      </w:r>
      <w:r>
        <w:rPr>
          <w:rFonts w:ascii="Arial" w:hAnsi="Arial"/>
        </w:rPr>
        <w:tab/>
      </w:r>
      <w:r>
        <w:rPr>
          <w:rFonts w:ascii="Arial" w:hAnsi="Arial"/>
        </w:rPr>
        <w:tab/>
      </w:r>
      <w:r>
        <w:rPr>
          <w:rFonts w:ascii="Arial" w:hAnsi="Arial"/>
        </w:rPr>
        <w:tab/>
        <w:t>Environmental Protection Agency</w:t>
      </w:r>
    </w:p>
    <w:p w:rsidR="0094469A" w:rsidRDefault="0094469A" w:rsidP="0094469A">
      <w:pPr>
        <w:ind w:left="2160" w:hanging="2160"/>
        <w:rPr>
          <w:rFonts w:ascii="Arial" w:hAnsi="Arial"/>
        </w:rPr>
      </w:pPr>
      <w:r>
        <w:rPr>
          <w:rFonts w:ascii="Arial" w:hAnsi="Arial"/>
        </w:rPr>
        <w:t>Excipient</w:t>
      </w:r>
      <w:r>
        <w:rPr>
          <w:rFonts w:ascii="Arial" w:hAnsi="Arial"/>
        </w:rPr>
        <w:tab/>
        <w:t>Any non-psychoactive ingredient of a product (excluding the capsule)</w:t>
      </w:r>
    </w:p>
    <w:p w:rsidR="00BB2C10" w:rsidRDefault="00BB2C10" w:rsidP="00DA5905">
      <w:pPr>
        <w:rPr>
          <w:rFonts w:ascii="Arial" w:hAnsi="Arial"/>
        </w:rPr>
      </w:pPr>
      <w:r>
        <w:rPr>
          <w:rFonts w:ascii="Arial" w:hAnsi="Arial"/>
        </w:rPr>
        <w:t>EU</w:t>
      </w:r>
      <w:r>
        <w:rPr>
          <w:rFonts w:ascii="Arial" w:hAnsi="Arial"/>
        </w:rPr>
        <w:tab/>
      </w:r>
      <w:r>
        <w:rPr>
          <w:rFonts w:ascii="Arial" w:hAnsi="Arial"/>
        </w:rPr>
        <w:tab/>
      </w:r>
      <w:r>
        <w:rPr>
          <w:rFonts w:ascii="Arial" w:hAnsi="Arial"/>
        </w:rPr>
        <w:tab/>
        <w:t>European Union</w:t>
      </w:r>
    </w:p>
    <w:p w:rsidR="00BB2C10" w:rsidRDefault="00BB2C10" w:rsidP="00DA5905">
      <w:pPr>
        <w:rPr>
          <w:rFonts w:ascii="Arial" w:hAnsi="Arial"/>
        </w:rPr>
      </w:pPr>
      <w:r>
        <w:rPr>
          <w:rFonts w:ascii="Arial" w:hAnsi="Arial"/>
        </w:rPr>
        <w:t>FDA</w:t>
      </w:r>
      <w:r>
        <w:rPr>
          <w:rFonts w:ascii="Arial" w:hAnsi="Arial"/>
        </w:rPr>
        <w:tab/>
      </w:r>
      <w:r>
        <w:rPr>
          <w:rFonts w:ascii="Arial" w:hAnsi="Arial"/>
        </w:rPr>
        <w:tab/>
      </w:r>
      <w:r>
        <w:rPr>
          <w:rFonts w:ascii="Arial" w:hAnsi="Arial"/>
        </w:rPr>
        <w:tab/>
        <w:t>Food and Drug Administration (USA)</w:t>
      </w:r>
    </w:p>
    <w:p w:rsidR="0094469A" w:rsidRDefault="0094469A" w:rsidP="0094469A">
      <w:pPr>
        <w:ind w:left="2880" w:hanging="2880"/>
        <w:rPr>
          <w:rFonts w:ascii="Arial" w:hAnsi="Arial"/>
        </w:rPr>
      </w:pPr>
      <w:r>
        <w:rPr>
          <w:rFonts w:ascii="Arial" w:hAnsi="Arial"/>
        </w:rPr>
        <w:t>The fees regulations</w:t>
      </w:r>
      <w:r>
        <w:rPr>
          <w:rFonts w:ascii="Arial" w:hAnsi="Arial"/>
        </w:rPr>
        <w:tab/>
        <w:t xml:space="preserve">The Psychoactive Substances (Fees and Levies) Regulations </w:t>
      </w:r>
    </w:p>
    <w:p w:rsidR="0094469A" w:rsidRDefault="0094469A" w:rsidP="0094469A">
      <w:pPr>
        <w:ind w:left="2160" w:hanging="2160"/>
        <w:rPr>
          <w:rFonts w:ascii="Arial" w:hAnsi="Arial"/>
        </w:rPr>
      </w:pPr>
      <w:r>
        <w:rPr>
          <w:rFonts w:ascii="Arial" w:hAnsi="Arial"/>
        </w:rPr>
        <w:t>Finished product</w:t>
      </w:r>
      <w:r>
        <w:rPr>
          <w:rFonts w:ascii="Arial" w:hAnsi="Arial"/>
        </w:rPr>
        <w:tab/>
        <w:t>Psychoactive product that is packaged and ready for retail sale</w:t>
      </w:r>
    </w:p>
    <w:p w:rsidR="00BB2C10" w:rsidRDefault="00BB2C10" w:rsidP="00DA5905">
      <w:pPr>
        <w:rPr>
          <w:rFonts w:ascii="Arial" w:hAnsi="Arial"/>
        </w:rPr>
      </w:pPr>
      <w:r>
        <w:rPr>
          <w:rFonts w:ascii="Arial" w:hAnsi="Arial"/>
        </w:rPr>
        <w:t>GCRP</w:t>
      </w:r>
      <w:r>
        <w:rPr>
          <w:rFonts w:ascii="Arial" w:hAnsi="Arial"/>
        </w:rPr>
        <w:tab/>
      </w:r>
      <w:r>
        <w:rPr>
          <w:rFonts w:ascii="Arial" w:hAnsi="Arial"/>
        </w:rPr>
        <w:tab/>
      </w:r>
      <w:r>
        <w:rPr>
          <w:rFonts w:ascii="Arial" w:hAnsi="Arial"/>
        </w:rPr>
        <w:tab/>
        <w:t>Good Clinical Research Practice</w:t>
      </w:r>
    </w:p>
    <w:p w:rsidR="008415F6" w:rsidRDefault="008415F6" w:rsidP="00DA5905">
      <w:pPr>
        <w:rPr>
          <w:rFonts w:ascii="Arial" w:hAnsi="Arial"/>
        </w:rPr>
      </w:pPr>
      <w:r>
        <w:rPr>
          <w:rFonts w:ascii="Arial" w:hAnsi="Arial"/>
        </w:rPr>
        <w:t>GMP</w:t>
      </w:r>
      <w:r>
        <w:rPr>
          <w:rFonts w:ascii="Arial" w:hAnsi="Arial"/>
        </w:rPr>
        <w:tab/>
      </w:r>
      <w:r>
        <w:rPr>
          <w:rFonts w:ascii="Arial" w:hAnsi="Arial"/>
        </w:rPr>
        <w:tab/>
      </w:r>
      <w:r>
        <w:rPr>
          <w:rFonts w:ascii="Arial" w:hAnsi="Arial"/>
        </w:rPr>
        <w:tab/>
        <w:t>Good Manufacturing Practice</w:t>
      </w:r>
    </w:p>
    <w:p w:rsidR="008415F6" w:rsidRDefault="008415F6" w:rsidP="00DA5905">
      <w:pPr>
        <w:rPr>
          <w:rFonts w:ascii="Arial" w:hAnsi="Arial"/>
        </w:rPr>
      </w:pPr>
      <w:r>
        <w:rPr>
          <w:rFonts w:ascii="Arial" w:hAnsi="Arial"/>
        </w:rPr>
        <w:t>HSNO</w:t>
      </w:r>
      <w:r>
        <w:rPr>
          <w:rFonts w:ascii="Arial" w:hAnsi="Arial"/>
        </w:rPr>
        <w:tab/>
      </w:r>
      <w:r>
        <w:rPr>
          <w:rFonts w:ascii="Arial" w:hAnsi="Arial"/>
        </w:rPr>
        <w:tab/>
      </w:r>
      <w:r>
        <w:rPr>
          <w:rFonts w:ascii="Arial" w:hAnsi="Arial"/>
        </w:rPr>
        <w:tab/>
        <w:t>Hazardous Substances and New Organisms Act</w:t>
      </w:r>
    </w:p>
    <w:p w:rsidR="00DA5905" w:rsidRDefault="00DA5905" w:rsidP="00DA5905">
      <w:pPr>
        <w:rPr>
          <w:rFonts w:ascii="Arial" w:hAnsi="Arial"/>
        </w:rPr>
      </w:pPr>
      <w:r>
        <w:rPr>
          <w:rFonts w:ascii="Arial" w:hAnsi="Arial"/>
        </w:rPr>
        <w:t>IANZ</w:t>
      </w:r>
      <w:r w:rsidR="008415F6">
        <w:rPr>
          <w:rFonts w:ascii="Arial" w:hAnsi="Arial"/>
        </w:rPr>
        <w:tab/>
      </w:r>
      <w:r w:rsidR="008415F6">
        <w:rPr>
          <w:rFonts w:ascii="Arial" w:hAnsi="Arial"/>
        </w:rPr>
        <w:tab/>
      </w:r>
      <w:r w:rsidR="008415F6">
        <w:rPr>
          <w:rFonts w:ascii="Arial" w:hAnsi="Arial"/>
        </w:rPr>
        <w:tab/>
        <w:t>International Accreditation New Zealand</w:t>
      </w:r>
    </w:p>
    <w:p w:rsidR="00BB2C10" w:rsidRDefault="00BB2C10" w:rsidP="00DA5905">
      <w:pPr>
        <w:rPr>
          <w:rFonts w:ascii="Arial" w:hAnsi="Arial"/>
        </w:rPr>
      </w:pPr>
      <w:r>
        <w:rPr>
          <w:rFonts w:ascii="Arial" w:hAnsi="Arial"/>
        </w:rPr>
        <w:t>ICH</w:t>
      </w:r>
      <w:r w:rsidR="008415F6">
        <w:rPr>
          <w:rFonts w:ascii="Arial" w:hAnsi="Arial"/>
        </w:rPr>
        <w:tab/>
      </w:r>
      <w:r w:rsidR="008415F6">
        <w:rPr>
          <w:rFonts w:ascii="Arial" w:hAnsi="Arial"/>
        </w:rPr>
        <w:tab/>
      </w:r>
      <w:r w:rsidR="008415F6">
        <w:rPr>
          <w:rFonts w:ascii="Arial" w:hAnsi="Arial"/>
        </w:rPr>
        <w:tab/>
        <w:t>International Conference on Harmonisation</w:t>
      </w:r>
    </w:p>
    <w:p w:rsidR="008415F6" w:rsidRDefault="008415F6" w:rsidP="00DA5905">
      <w:pPr>
        <w:rPr>
          <w:rFonts w:ascii="Arial" w:hAnsi="Arial"/>
        </w:rPr>
      </w:pPr>
      <w:r>
        <w:rPr>
          <w:rFonts w:ascii="Arial" w:hAnsi="Arial"/>
        </w:rPr>
        <w:t>INN</w:t>
      </w:r>
      <w:r>
        <w:rPr>
          <w:rFonts w:ascii="Arial" w:hAnsi="Arial"/>
        </w:rPr>
        <w:tab/>
      </w:r>
      <w:r>
        <w:rPr>
          <w:rFonts w:ascii="Arial" w:hAnsi="Arial"/>
        </w:rPr>
        <w:tab/>
      </w:r>
      <w:r>
        <w:rPr>
          <w:rFonts w:ascii="Arial" w:hAnsi="Arial"/>
        </w:rPr>
        <w:tab/>
        <w:t>International Non-proprietary Name</w:t>
      </w:r>
    </w:p>
    <w:p w:rsidR="0094469A" w:rsidRDefault="0094469A" w:rsidP="0094469A">
      <w:pPr>
        <w:ind w:left="2880" w:hanging="2880"/>
        <w:rPr>
          <w:rFonts w:ascii="Arial" w:hAnsi="Arial"/>
        </w:rPr>
      </w:pPr>
      <w:r>
        <w:rPr>
          <w:rFonts w:ascii="Arial" w:hAnsi="Arial"/>
        </w:rPr>
        <w:t>Intermediate product</w:t>
      </w:r>
      <w:r>
        <w:rPr>
          <w:rFonts w:ascii="Arial" w:hAnsi="Arial"/>
        </w:rPr>
        <w:tab/>
        <w:t>Any isolatable partly processed material that is formed during the manufacturing process, but which must undergo further manufacturing steps before it becomes a finished product</w:t>
      </w:r>
      <w:r>
        <w:rPr>
          <w:rFonts w:ascii="Arial" w:hAnsi="Arial"/>
        </w:rPr>
        <w:tab/>
      </w:r>
    </w:p>
    <w:p w:rsidR="00DA5905" w:rsidRDefault="00DA5905" w:rsidP="00DA5905">
      <w:pPr>
        <w:rPr>
          <w:rFonts w:ascii="Arial" w:hAnsi="Arial"/>
        </w:rPr>
      </w:pPr>
      <w:r>
        <w:rPr>
          <w:rFonts w:ascii="Arial" w:hAnsi="Arial"/>
        </w:rPr>
        <w:t>JAS-ANZ</w:t>
      </w:r>
      <w:r w:rsidR="008415F6">
        <w:rPr>
          <w:rFonts w:ascii="Arial" w:hAnsi="Arial"/>
        </w:rPr>
        <w:tab/>
      </w:r>
      <w:r w:rsidR="008415F6">
        <w:rPr>
          <w:rFonts w:ascii="Arial" w:hAnsi="Arial"/>
        </w:rPr>
        <w:tab/>
        <w:t>Joint Accreditation System of Australia and New Zealand</w:t>
      </w:r>
    </w:p>
    <w:p w:rsidR="00D80D78" w:rsidRDefault="00D80D78" w:rsidP="00DA5905">
      <w:pPr>
        <w:rPr>
          <w:rFonts w:ascii="Arial" w:hAnsi="Arial"/>
        </w:rPr>
      </w:pPr>
      <w:r>
        <w:rPr>
          <w:rFonts w:ascii="Arial" w:hAnsi="Arial"/>
        </w:rPr>
        <w:t>ILAC</w:t>
      </w:r>
      <w:r w:rsidR="008415F6">
        <w:rPr>
          <w:rFonts w:ascii="Arial" w:hAnsi="Arial"/>
        </w:rPr>
        <w:tab/>
      </w:r>
      <w:r w:rsidR="008415F6">
        <w:rPr>
          <w:rFonts w:ascii="Arial" w:hAnsi="Arial"/>
        </w:rPr>
        <w:tab/>
      </w:r>
      <w:r w:rsidR="008415F6">
        <w:rPr>
          <w:rFonts w:ascii="Arial" w:hAnsi="Arial"/>
        </w:rPr>
        <w:tab/>
        <w:t>International Laboratory Accreditation Cooperation</w:t>
      </w:r>
    </w:p>
    <w:p w:rsidR="00DA5905" w:rsidRDefault="00DA5905" w:rsidP="00DA5905">
      <w:pPr>
        <w:rPr>
          <w:rFonts w:ascii="Arial" w:hAnsi="Arial"/>
        </w:rPr>
      </w:pPr>
      <w:r>
        <w:rPr>
          <w:rFonts w:ascii="Arial" w:hAnsi="Arial"/>
        </w:rPr>
        <w:t>ISO</w:t>
      </w:r>
      <w:r w:rsidR="008415F6">
        <w:rPr>
          <w:rFonts w:ascii="Arial" w:hAnsi="Arial"/>
        </w:rPr>
        <w:tab/>
      </w:r>
      <w:r w:rsidR="008415F6">
        <w:rPr>
          <w:rFonts w:ascii="Arial" w:hAnsi="Arial"/>
        </w:rPr>
        <w:tab/>
      </w:r>
      <w:r w:rsidR="008415F6">
        <w:rPr>
          <w:rFonts w:ascii="Arial" w:hAnsi="Arial"/>
        </w:rPr>
        <w:tab/>
        <w:t>International Organisation for Standardisation</w:t>
      </w:r>
    </w:p>
    <w:p w:rsidR="008415F6" w:rsidRDefault="008415F6" w:rsidP="00DA5905">
      <w:pPr>
        <w:rPr>
          <w:rFonts w:ascii="Arial" w:hAnsi="Arial"/>
        </w:rPr>
      </w:pPr>
      <w:r>
        <w:rPr>
          <w:rFonts w:ascii="Arial" w:hAnsi="Arial"/>
        </w:rPr>
        <w:t>NPC</w:t>
      </w:r>
      <w:r>
        <w:rPr>
          <w:rFonts w:ascii="Arial" w:hAnsi="Arial"/>
        </w:rPr>
        <w:tab/>
      </w:r>
      <w:r>
        <w:rPr>
          <w:rFonts w:ascii="Arial" w:hAnsi="Arial"/>
        </w:rPr>
        <w:tab/>
      </w:r>
      <w:r>
        <w:rPr>
          <w:rFonts w:ascii="Arial" w:hAnsi="Arial"/>
        </w:rPr>
        <w:tab/>
        <w:t>National Poisons Centre</w:t>
      </w:r>
    </w:p>
    <w:p w:rsidR="00BB2C10" w:rsidRDefault="00BB2C10" w:rsidP="00DA5905">
      <w:pPr>
        <w:rPr>
          <w:rFonts w:ascii="Arial" w:hAnsi="Arial"/>
        </w:rPr>
      </w:pPr>
      <w:r>
        <w:rPr>
          <w:rFonts w:ascii="Arial" w:hAnsi="Arial"/>
        </w:rPr>
        <w:t>NPPA</w:t>
      </w:r>
      <w:r w:rsidR="009435A8">
        <w:rPr>
          <w:rFonts w:ascii="Arial" w:hAnsi="Arial"/>
        </w:rPr>
        <w:tab/>
      </w:r>
      <w:r w:rsidR="009435A8">
        <w:rPr>
          <w:rFonts w:ascii="Arial" w:hAnsi="Arial"/>
        </w:rPr>
        <w:tab/>
      </w:r>
      <w:r w:rsidR="009435A8">
        <w:rPr>
          <w:rFonts w:ascii="Arial" w:hAnsi="Arial"/>
        </w:rPr>
        <w:tab/>
        <w:t>New Psychoactive Product Application</w:t>
      </w:r>
    </w:p>
    <w:p w:rsidR="00BB2C10" w:rsidRDefault="00BB2C10" w:rsidP="00DA5905">
      <w:pPr>
        <w:rPr>
          <w:rFonts w:ascii="Arial" w:hAnsi="Arial"/>
        </w:rPr>
      </w:pPr>
      <w:r>
        <w:rPr>
          <w:rFonts w:ascii="Arial" w:hAnsi="Arial"/>
        </w:rPr>
        <w:t>NSPPA</w:t>
      </w:r>
      <w:r w:rsidR="009435A8">
        <w:rPr>
          <w:rFonts w:ascii="Arial" w:hAnsi="Arial"/>
        </w:rPr>
        <w:tab/>
      </w:r>
      <w:r w:rsidR="009435A8">
        <w:rPr>
          <w:rFonts w:ascii="Arial" w:hAnsi="Arial"/>
        </w:rPr>
        <w:tab/>
        <w:t>New Subsidiary Psychoactive Product Application</w:t>
      </w:r>
    </w:p>
    <w:p w:rsidR="0094469A" w:rsidRDefault="0094469A" w:rsidP="00DA5905">
      <w:pPr>
        <w:rPr>
          <w:rFonts w:ascii="Arial" w:hAnsi="Arial"/>
        </w:rPr>
      </w:pPr>
      <w:r>
        <w:rPr>
          <w:rFonts w:ascii="Arial" w:hAnsi="Arial"/>
        </w:rPr>
        <w:t>NZMT</w:t>
      </w:r>
      <w:r>
        <w:rPr>
          <w:rFonts w:ascii="Arial" w:hAnsi="Arial"/>
        </w:rPr>
        <w:tab/>
      </w:r>
      <w:r>
        <w:rPr>
          <w:rFonts w:ascii="Arial" w:hAnsi="Arial"/>
        </w:rPr>
        <w:tab/>
      </w:r>
      <w:r>
        <w:rPr>
          <w:rFonts w:ascii="Arial" w:hAnsi="Arial"/>
        </w:rPr>
        <w:tab/>
        <w:t>New Zealand Medicines Terminology</w:t>
      </w:r>
    </w:p>
    <w:p w:rsidR="0094469A" w:rsidRDefault="0094469A" w:rsidP="00DA5905">
      <w:pPr>
        <w:rPr>
          <w:rFonts w:ascii="Arial" w:hAnsi="Arial"/>
        </w:rPr>
      </w:pPr>
      <w:r>
        <w:rPr>
          <w:rFonts w:ascii="Arial" w:hAnsi="Arial"/>
        </w:rPr>
        <w:t>NZULM</w:t>
      </w:r>
      <w:r>
        <w:rPr>
          <w:rFonts w:ascii="Arial" w:hAnsi="Arial"/>
        </w:rPr>
        <w:tab/>
      </w:r>
      <w:r>
        <w:rPr>
          <w:rFonts w:ascii="Arial" w:hAnsi="Arial"/>
        </w:rPr>
        <w:tab/>
        <w:t>New Zealand Universal List of Medicines</w:t>
      </w:r>
    </w:p>
    <w:p w:rsidR="009435A8" w:rsidRDefault="009435A8" w:rsidP="009435A8">
      <w:pPr>
        <w:ind w:left="2160" w:hanging="2160"/>
        <w:rPr>
          <w:rFonts w:ascii="Arial" w:hAnsi="Arial"/>
        </w:rPr>
      </w:pPr>
      <w:r>
        <w:rPr>
          <w:rFonts w:ascii="Arial" w:hAnsi="Arial"/>
        </w:rPr>
        <w:t xml:space="preserve">The </w:t>
      </w:r>
      <w:r w:rsidR="00F004D6">
        <w:rPr>
          <w:rFonts w:ascii="Arial" w:hAnsi="Arial"/>
        </w:rPr>
        <w:t>OPSRA</w:t>
      </w:r>
      <w:r>
        <w:rPr>
          <w:rFonts w:ascii="Arial" w:hAnsi="Arial"/>
        </w:rPr>
        <w:tab/>
        <w:t>The Office of the Psychoactive Substances Regulatory Authority</w:t>
      </w:r>
    </w:p>
    <w:p w:rsidR="0094469A" w:rsidRDefault="0094469A" w:rsidP="009435A8">
      <w:pPr>
        <w:ind w:left="2160" w:hanging="2160"/>
        <w:rPr>
          <w:rFonts w:ascii="Arial" w:hAnsi="Arial"/>
        </w:rPr>
      </w:pPr>
      <w:r>
        <w:rPr>
          <w:rFonts w:ascii="Arial" w:hAnsi="Arial"/>
        </w:rPr>
        <w:t>PBRER</w:t>
      </w:r>
      <w:r>
        <w:rPr>
          <w:rFonts w:ascii="Arial" w:hAnsi="Arial"/>
        </w:rPr>
        <w:tab/>
      </w:r>
      <w:r w:rsidRPr="0094469A">
        <w:rPr>
          <w:rStyle w:val="Arial"/>
          <w:bCs/>
        </w:rPr>
        <w:t>Periodic benefit-risk evaluation report</w:t>
      </w:r>
      <w:r w:rsidRPr="0094469A">
        <w:rPr>
          <w:rStyle w:val="Arial"/>
          <w:b/>
          <w:bCs/>
        </w:rPr>
        <w:t xml:space="preserve"> </w:t>
      </w:r>
    </w:p>
    <w:p w:rsidR="008415F6" w:rsidRDefault="008415F6" w:rsidP="009435A8">
      <w:pPr>
        <w:ind w:left="2160" w:hanging="2160"/>
        <w:rPr>
          <w:rFonts w:ascii="Arial" w:hAnsi="Arial"/>
        </w:rPr>
      </w:pPr>
      <w:r>
        <w:rPr>
          <w:rFonts w:ascii="Arial" w:hAnsi="Arial"/>
        </w:rPr>
        <w:t>PDE</w:t>
      </w:r>
      <w:r>
        <w:rPr>
          <w:rFonts w:ascii="Arial" w:hAnsi="Arial"/>
        </w:rPr>
        <w:tab/>
        <w:t>Permitted Daily Exposure</w:t>
      </w:r>
    </w:p>
    <w:p w:rsidR="00BB2C10" w:rsidRDefault="0094469A" w:rsidP="00DA5905">
      <w:pPr>
        <w:rPr>
          <w:rFonts w:ascii="Arial" w:hAnsi="Arial"/>
        </w:rPr>
      </w:pPr>
      <w:r>
        <w:rPr>
          <w:rFonts w:ascii="Arial" w:hAnsi="Arial"/>
        </w:rPr>
        <w:t xml:space="preserve">Ph. Eur. </w:t>
      </w:r>
      <w:r w:rsidR="00BB2C10">
        <w:rPr>
          <w:rFonts w:ascii="Arial" w:hAnsi="Arial"/>
        </w:rPr>
        <w:tab/>
      </w:r>
      <w:r w:rsidR="00BB2C10">
        <w:rPr>
          <w:rFonts w:ascii="Arial" w:hAnsi="Arial"/>
        </w:rPr>
        <w:tab/>
        <w:t>European Pharmacopoeia</w:t>
      </w:r>
    </w:p>
    <w:p w:rsidR="0094469A" w:rsidRDefault="0094469A" w:rsidP="0094469A">
      <w:pPr>
        <w:ind w:left="2160" w:hanging="2160"/>
        <w:rPr>
          <w:rFonts w:ascii="Arial" w:hAnsi="Arial"/>
        </w:rPr>
      </w:pPr>
      <w:r>
        <w:rPr>
          <w:rFonts w:ascii="Arial" w:hAnsi="Arial"/>
        </w:rPr>
        <w:t>PIC/s</w:t>
      </w:r>
      <w:r>
        <w:rPr>
          <w:rFonts w:ascii="Arial" w:hAnsi="Arial"/>
        </w:rPr>
        <w:tab/>
        <w:t>The Pharmaceutical Inspection Convention and the Pharmaceutical Inspection Cooperation Scheme</w:t>
      </w:r>
    </w:p>
    <w:p w:rsidR="009435A8" w:rsidRDefault="009435A8" w:rsidP="00DA5905">
      <w:pPr>
        <w:rPr>
          <w:rFonts w:ascii="Arial" w:hAnsi="Arial"/>
        </w:rPr>
      </w:pPr>
      <w:r>
        <w:rPr>
          <w:rFonts w:ascii="Arial" w:hAnsi="Arial"/>
        </w:rPr>
        <w:t>PSAC</w:t>
      </w:r>
      <w:r>
        <w:rPr>
          <w:rFonts w:ascii="Arial" w:hAnsi="Arial"/>
        </w:rPr>
        <w:tab/>
      </w:r>
      <w:r>
        <w:rPr>
          <w:rFonts w:ascii="Arial" w:hAnsi="Arial"/>
        </w:rPr>
        <w:tab/>
      </w:r>
      <w:r>
        <w:rPr>
          <w:rFonts w:ascii="Arial" w:hAnsi="Arial"/>
        </w:rPr>
        <w:tab/>
        <w:t>Psychoactive Substances Appeals Committee</w:t>
      </w:r>
    </w:p>
    <w:p w:rsidR="009435A8" w:rsidRDefault="009435A8" w:rsidP="00DA5905">
      <w:pPr>
        <w:rPr>
          <w:rFonts w:ascii="Arial" w:hAnsi="Arial"/>
        </w:rPr>
      </w:pPr>
      <w:r>
        <w:rPr>
          <w:rFonts w:ascii="Arial" w:hAnsi="Arial"/>
        </w:rPr>
        <w:t>PSEAC</w:t>
      </w:r>
      <w:r w:rsidRPr="009435A8">
        <w:rPr>
          <w:rFonts w:ascii="Arial" w:hAnsi="Arial"/>
        </w:rPr>
        <w:t xml:space="preserve"> </w:t>
      </w:r>
      <w:r>
        <w:rPr>
          <w:rFonts w:ascii="Arial" w:hAnsi="Arial"/>
        </w:rPr>
        <w:tab/>
      </w:r>
      <w:r>
        <w:rPr>
          <w:rFonts w:ascii="Arial" w:hAnsi="Arial"/>
        </w:rPr>
        <w:tab/>
        <w:t>Psychoactive Substances Expert Advisory Committee</w:t>
      </w:r>
    </w:p>
    <w:p w:rsidR="0094469A" w:rsidRDefault="0094469A" w:rsidP="0094469A">
      <w:pPr>
        <w:ind w:left="2880" w:hanging="2880"/>
        <w:rPr>
          <w:rFonts w:ascii="Arial" w:hAnsi="Arial"/>
        </w:rPr>
      </w:pPr>
      <w:r>
        <w:rPr>
          <w:rFonts w:ascii="Arial" w:hAnsi="Arial"/>
        </w:rPr>
        <w:t>The PSR Guidelines</w:t>
      </w:r>
      <w:r>
        <w:rPr>
          <w:rFonts w:ascii="Arial" w:hAnsi="Arial"/>
        </w:rPr>
        <w:tab/>
        <w:t>The Psychoactive Substances Regulatory Guidelines</w:t>
      </w:r>
    </w:p>
    <w:p w:rsidR="0094469A" w:rsidRDefault="0094469A" w:rsidP="0094469A">
      <w:pPr>
        <w:rPr>
          <w:rFonts w:ascii="Arial" w:hAnsi="Arial"/>
        </w:rPr>
      </w:pPr>
      <w:r>
        <w:rPr>
          <w:rFonts w:ascii="Arial" w:hAnsi="Arial"/>
        </w:rPr>
        <w:t>QOS</w:t>
      </w:r>
      <w:r>
        <w:rPr>
          <w:rFonts w:ascii="Arial" w:hAnsi="Arial"/>
        </w:rPr>
        <w:tab/>
      </w:r>
      <w:r>
        <w:rPr>
          <w:rFonts w:ascii="Arial" w:hAnsi="Arial"/>
        </w:rPr>
        <w:tab/>
      </w:r>
      <w:r>
        <w:rPr>
          <w:rFonts w:ascii="Arial" w:hAnsi="Arial"/>
        </w:rPr>
        <w:tab/>
        <w:t>Quality Overall Summary</w:t>
      </w:r>
    </w:p>
    <w:p w:rsidR="0094469A" w:rsidRDefault="0094469A" w:rsidP="00DA5905">
      <w:pPr>
        <w:rPr>
          <w:rFonts w:ascii="Arial" w:hAnsi="Arial"/>
        </w:rPr>
      </w:pPr>
      <w:r>
        <w:rPr>
          <w:rFonts w:ascii="Arial" w:hAnsi="Arial"/>
        </w:rPr>
        <w:t>The regulations</w:t>
      </w:r>
      <w:r>
        <w:rPr>
          <w:rFonts w:ascii="Arial" w:hAnsi="Arial"/>
        </w:rPr>
        <w:tab/>
        <w:t>The Psychoactive Substances Regulations 2014</w:t>
      </w:r>
    </w:p>
    <w:p w:rsidR="009435A8" w:rsidRDefault="009435A8" w:rsidP="00DA5905">
      <w:pPr>
        <w:rPr>
          <w:rFonts w:ascii="Arial" w:hAnsi="Arial"/>
        </w:rPr>
      </w:pPr>
      <w:r>
        <w:rPr>
          <w:rFonts w:ascii="Arial" w:hAnsi="Arial"/>
        </w:rPr>
        <w:t>RFI</w:t>
      </w:r>
      <w:r>
        <w:rPr>
          <w:rFonts w:ascii="Arial" w:hAnsi="Arial"/>
        </w:rPr>
        <w:tab/>
      </w:r>
      <w:r>
        <w:rPr>
          <w:rFonts w:ascii="Arial" w:hAnsi="Arial"/>
        </w:rPr>
        <w:tab/>
      </w:r>
      <w:r>
        <w:rPr>
          <w:rFonts w:ascii="Arial" w:hAnsi="Arial"/>
        </w:rPr>
        <w:tab/>
        <w:t>Request for Information</w:t>
      </w:r>
    </w:p>
    <w:p w:rsidR="00BB2C10" w:rsidRDefault="00BB2C10" w:rsidP="00DA5905">
      <w:pPr>
        <w:rPr>
          <w:rFonts w:ascii="Arial" w:hAnsi="Arial"/>
        </w:rPr>
      </w:pPr>
      <w:r>
        <w:rPr>
          <w:rFonts w:ascii="Arial" w:hAnsi="Arial"/>
        </w:rPr>
        <w:t>TSE</w:t>
      </w:r>
      <w:r w:rsidR="008415F6">
        <w:rPr>
          <w:rFonts w:ascii="Arial" w:hAnsi="Arial"/>
        </w:rPr>
        <w:tab/>
      </w:r>
      <w:r w:rsidR="008415F6">
        <w:rPr>
          <w:rFonts w:ascii="Arial" w:hAnsi="Arial"/>
        </w:rPr>
        <w:tab/>
      </w:r>
      <w:r w:rsidR="008415F6">
        <w:rPr>
          <w:rFonts w:ascii="Arial" w:hAnsi="Arial"/>
        </w:rPr>
        <w:tab/>
        <w:t>Transmissible spongiform encephalopathy</w:t>
      </w:r>
    </w:p>
    <w:p w:rsidR="00596186" w:rsidRDefault="00596186" w:rsidP="00DA5905">
      <w:pPr>
        <w:rPr>
          <w:rFonts w:ascii="Arial" w:hAnsi="Arial"/>
        </w:rPr>
      </w:pPr>
      <w:r>
        <w:rPr>
          <w:rFonts w:ascii="Arial" w:hAnsi="Arial"/>
        </w:rPr>
        <w:t>US</w:t>
      </w:r>
      <w:r>
        <w:rPr>
          <w:rFonts w:ascii="Arial" w:hAnsi="Arial"/>
        </w:rPr>
        <w:tab/>
      </w:r>
      <w:r>
        <w:rPr>
          <w:rFonts w:ascii="Arial" w:hAnsi="Arial"/>
        </w:rPr>
        <w:tab/>
      </w:r>
      <w:r>
        <w:rPr>
          <w:rFonts w:ascii="Arial" w:hAnsi="Arial"/>
        </w:rPr>
        <w:tab/>
        <w:t>United States</w:t>
      </w:r>
    </w:p>
    <w:p w:rsidR="008415F6" w:rsidRDefault="008415F6" w:rsidP="00DA5905">
      <w:pPr>
        <w:rPr>
          <w:rFonts w:ascii="Arial" w:hAnsi="Arial"/>
        </w:rPr>
      </w:pPr>
      <w:r>
        <w:rPr>
          <w:rFonts w:ascii="Arial" w:hAnsi="Arial"/>
        </w:rPr>
        <w:t>USP</w:t>
      </w:r>
      <w:r>
        <w:rPr>
          <w:rFonts w:ascii="Arial" w:hAnsi="Arial"/>
        </w:rPr>
        <w:tab/>
      </w:r>
      <w:r>
        <w:rPr>
          <w:rFonts w:ascii="Arial" w:hAnsi="Arial"/>
        </w:rPr>
        <w:tab/>
      </w:r>
      <w:r>
        <w:rPr>
          <w:rFonts w:ascii="Arial" w:hAnsi="Arial"/>
        </w:rPr>
        <w:tab/>
        <w:t>United States Pharmacopoeia</w:t>
      </w:r>
    </w:p>
    <w:p w:rsidR="008415F6" w:rsidRDefault="008415F6" w:rsidP="00DA5905">
      <w:pPr>
        <w:rPr>
          <w:rFonts w:ascii="Arial" w:hAnsi="Arial"/>
        </w:rPr>
      </w:pPr>
      <w:r>
        <w:rPr>
          <w:rFonts w:ascii="Arial" w:hAnsi="Arial"/>
        </w:rPr>
        <w:t>WHO</w:t>
      </w:r>
      <w:r>
        <w:rPr>
          <w:rFonts w:ascii="Arial" w:hAnsi="Arial"/>
        </w:rPr>
        <w:tab/>
      </w:r>
      <w:r>
        <w:rPr>
          <w:rFonts w:ascii="Arial" w:hAnsi="Arial"/>
        </w:rPr>
        <w:tab/>
      </w:r>
      <w:r>
        <w:rPr>
          <w:rFonts w:ascii="Arial" w:hAnsi="Arial"/>
        </w:rPr>
        <w:tab/>
        <w:t>World Health Organisation</w:t>
      </w:r>
    </w:p>
    <w:p w:rsidR="00F66AB0" w:rsidRPr="00DA5905" w:rsidRDefault="00F66AB0" w:rsidP="00F66AB0">
      <w:pPr>
        <w:ind w:left="2160" w:hanging="2160"/>
        <w:rPr>
          <w:rFonts w:ascii="Arial" w:hAnsi="Arial"/>
        </w:rPr>
      </w:pPr>
      <w:r>
        <w:rPr>
          <w:rFonts w:ascii="Arial" w:hAnsi="Arial"/>
        </w:rPr>
        <w:t>Working day</w:t>
      </w:r>
      <w:r>
        <w:rPr>
          <w:rFonts w:ascii="Arial" w:hAnsi="Arial"/>
        </w:rPr>
        <w:tab/>
        <w:t>Monday to Friday, not including public holidays or the period between 25 December and 15 January (inclusive)</w:t>
      </w:r>
    </w:p>
    <w:p w:rsidR="00D80D78" w:rsidRDefault="00D80D78" w:rsidP="00831328">
      <w:pPr>
        <w:pStyle w:val="Partheading"/>
      </w:pPr>
      <w:r>
        <w:br w:type="page"/>
      </w:r>
    </w:p>
    <w:p w:rsidR="00CE6F6A" w:rsidRDefault="00CE6F6A" w:rsidP="00DB34DC">
      <w:pPr>
        <w:pStyle w:val="Style1"/>
        <w:numPr>
          <w:ilvl w:val="0"/>
          <w:numId w:val="14"/>
        </w:numPr>
      </w:pPr>
      <w:bookmarkStart w:id="1" w:name="_Toc409508674"/>
      <w:r>
        <w:t>Background</w:t>
      </w:r>
      <w:bookmarkEnd w:id="1"/>
    </w:p>
    <w:p w:rsidR="006F6DA3" w:rsidRPr="000F1FF2" w:rsidRDefault="006F6DA3" w:rsidP="006F6DA3">
      <w:pPr>
        <w:rPr>
          <w:rStyle w:val="Arial"/>
        </w:rPr>
      </w:pPr>
      <w:r w:rsidRPr="000F1FF2">
        <w:rPr>
          <w:rStyle w:val="Arial"/>
        </w:rPr>
        <w:t xml:space="preserve">The </w:t>
      </w:r>
      <w:hyperlink r:id="rId9" w:history="1">
        <w:r w:rsidRPr="006F6DA3">
          <w:rPr>
            <w:rFonts w:ascii="Arial" w:hAnsi="Arial"/>
          </w:rPr>
          <w:t>Psychoactive Substances Act 2013</w:t>
        </w:r>
      </w:hyperlink>
      <w:r w:rsidRPr="000F1FF2">
        <w:rPr>
          <w:rStyle w:val="Arial"/>
        </w:rPr>
        <w:t xml:space="preserve"> (the Act) came into force on 18 July 2013. The purpose of the Act is to regulate the availability of psychoactive substances in New Zealand to protect the health of, and minimise harm to, the individuals who use these substances. The Act sets up a system of pre-market approval for psychoactive products by requiring them to demonstrate that they pose no more than a low risk of harm to the individuals who use them, and by placing restrictions on how and to whom they can be sold.</w:t>
      </w:r>
    </w:p>
    <w:p w:rsidR="006F6DA3" w:rsidRPr="000F1FF2" w:rsidRDefault="006F6DA3" w:rsidP="006F6DA3">
      <w:pPr>
        <w:rPr>
          <w:rStyle w:val="Arial"/>
        </w:rPr>
      </w:pPr>
    </w:p>
    <w:p w:rsidR="006F6DA3" w:rsidRPr="000F1FF2" w:rsidRDefault="006F6DA3" w:rsidP="006F6DA3">
      <w:pPr>
        <w:rPr>
          <w:rStyle w:val="Arial"/>
        </w:rPr>
      </w:pPr>
      <w:r w:rsidRPr="000F1FF2">
        <w:rPr>
          <w:rStyle w:val="Arial"/>
        </w:rPr>
        <w:t>The Act establishes the Psychoactive Substances Regulatory Authority (the Authority) within the Ministry of Health. The Authority is responsible for ensuring products meet adequate safety requirements before they can be distributed in New Zealand, and also licenses importers, researchers</w:t>
      </w:r>
      <w:r w:rsidR="00F66AB0">
        <w:rPr>
          <w:rStyle w:val="Arial"/>
        </w:rPr>
        <w:t>, manufacturers, wholesalers,</w:t>
      </w:r>
      <w:r w:rsidRPr="000F1FF2">
        <w:rPr>
          <w:rStyle w:val="Arial"/>
        </w:rPr>
        <w:t xml:space="preserve"> retailers</w:t>
      </w:r>
      <w:r w:rsidR="00F66AB0">
        <w:rPr>
          <w:rStyle w:val="Arial"/>
        </w:rPr>
        <w:t xml:space="preserve"> and sellers of unapproved psychoactive substances</w:t>
      </w:r>
      <w:r w:rsidRPr="000F1FF2">
        <w:rPr>
          <w:rStyle w:val="Arial"/>
        </w:rPr>
        <w:t>.</w:t>
      </w:r>
    </w:p>
    <w:p w:rsidR="006F6DA3" w:rsidRPr="000F1FF2" w:rsidRDefault="006F6DA3" w:rsidP="006F6DA3">
      <w:pPr>
        <w:rPr>
          <w:rStyle w:val="Arial"/>
        </w:rPr>
      </w:pPr>
    </w:p>
    <w:p w:rsidR="000D5EB4" w:rsidRDefault="00F66AB0" w:rsidP="00C63A1F">
      <w:pPr>
        <w:ind w:left="720" w:hanging="720"/>
        <w:rPr>
          <w:rStyle w:val="Arial"/>
        </w:rPr>
      </w:pPr>
      <w:r>
        <w:rPr>
          <w:rStyle w:val="Arial"/>
        </w:rPr>
        <w:t>T</w:t>
      </w:r>
      <w:r w:rsidR="006F6DA3" w:rsidRPr="000F1FF2">
        <w:rPr>
          <w:rStyle w:val="Arial"/>
        </w:rPr>
        <w:t>he Psychoactive Substances Regulations (the Regulations) further define the full regulatory requirements for psychoactive substances.</w:t>
      </w:r>
      <w:r>
        <w:rPr>
          <w:rStyle w:val="Arial"/>
        </w:rPr>
        <w:t xml:space="preserve"> </w:t>
      </w:r>
      <w:r w:rsidR="000D5EB4">
        <w:rPr>
          <w:rStyle w:val="Arial"/>
        </w:rPr>
        <w:t>The regulations specify</w:t>
      </w:r>
    </w:p>
    <w:p w:rsidR="000D5EB4" w:rsidRDefault="00F66AB0" w:rsidP="00CF062F">
      <w:pPr>
        <w:pStyle w:val="ListParagraph"/>
        <w:numPr>
          <w:ilvl w:val="0"/>
          <w:numId w:val="52"/>
        </w:numPr>
        <w:rPr>
          <w:rStyle w:val="Arial"/>
        </w:rPr>
      </w:pPr>
      <w:r>
        <w:rPr>
          <w:rStyle w:val="Arial"/>
        </w:rPr>
        <w:t xml:space="preserve">the requirements for product approvals and licences to sell unapproved psychoactive substances and to import, research and manufacture psychoactive substances. </w:t>
      </w:r>
    </w:p>
    <w:p w:rsidR="000D5EB4" w:rsidRDefault="00F66AB0" w:rsidP="00CF062F">
      <w:pPr>
        <w:pStyle w:val="ListParagraph"/>
        <w:numPr>
          <w:ilvl w:val="0"/>
          <w:numId w:val="52"/>
        </w:numPr>
        <w:rPr>
          <w:rStyle w:val="Arial"/>
        </w:rPr>
      </w:pPr>
      <w:r>
        <w:rPr>
          <w:rStyle w:val="Arial"/>
        </w:rPr>
        <w:t xml:space="preserve">the fee and levy structure and the penalties for infringements. </w:t>
      </w:r>
    </w:p>
    <w:p w:rsidR="006F6DA3" w:rsidRPr="000F1FF2" w:rsidRDefault="00F66AB0" w:rsidP="00CF062F">
      <w:pPr>
        <w:pStyle w:val="ListParagraph"/>
        <w:numPr>
          <w:ilvl w:val="0"/>
          <w:numId w:val="52"/>
        </w:numPr>
        <w:rPr>
          <w:rStyle w:val="Arial"/>
        </w:rPr>
      </w:pPr>
      <w:r>
        <w:rPr>
          <w:rStyle w:val="Arial"/>
        </w:rPr>
        <w:t>the requirements for licences to wholesale and retail.</w:t>
      </w:r>
    </w:p>
    <w:p w:rsidR="006F6DA3" w:rsidRDefault="006F6DA3" w:rsidP="00CE6F6A">
      <w:pPr>
        <w:pStyle w:val="ListParagraph"/>
        <w:ind w:left="0"/>
        <w:rPr>
          <w:rFonts w:ascii="Arial" w:hAnsi="Arial"/>
          <w:color w:val="000000"/>
        </w:rPr>
      </w:pPr>
    </w:p>
    <w:p w:rsidR="00831328" w:rsidRDefault="00F66AB0" w:rsidP="000D5EB4">
      <w:pPr>
        <w:rPr>
          <w:rFonts w:ascii="Arial" w:hAnsi="Arial" w:cs="Arial"/>
        </w:rPr>
      </w:pPr>
      <w:r w:rsidRPr="00C63A1F">
        <w:rPr>
          <w:rFonts w:ascii="Arial" w:hAnsi="Arial"/>
          <w:color w:val="000000"/>
        </w:rPr>
        <w:t xml:space="preserve">These guidelines (the Psychoactive Substances </w:t>
      </w:r>
      <w:r w:rsidR="00871D12">
        <w:rPr>
          <w:rFonts w:ascii="Arial" w:hAnsi="Arial"/>
          <w:color w:val="000000"/>
        </w:rPr>
        <w:t>Product Approval</w:t>
      </w:r>
      <w:r w:rsidRPr="00C63A1F">
        <w:rPr>
          <w:rFonts w:ascii="Arial" w:hAnsi="Arial"/>
          <w:color w:val="000000"/>
        </w:rPr>
        <w:t xml:space="preserve"> Guidelines) </w:t>
      </w:r>
      <w:r w:rsidR="00C63A1F">
        <w:rPr>
          <w:rFonts w:ascii="Arial" w:hAnsi="Arial"/>
          <w:color w:val="000000"/>
        </w:rPr>
        <w:t>are based on New Zealand’s approach to regulating pharmaceuticals.</w:t>
      </w:r>
    </w:p>
    <w:p w:rsidR="008C3B61" w:rsidRDefault="008C3B61" w:rsidP="00CE6F6A">
      <w:pPr>
        <w:pStyle w:val="ListParagraph"/>
        <w:ind w:left="0"/>
        <w:rPr>
          <w:rFonts w:ascii="Arial" w:hAnsi="Arial" w:cs="Arial"/>
        </w:rPr>
      </w:pPr>
      <w:r>
        <w:rPr>
          <w:rFonts w:ascii="Arial" w:hAnsi="Arial" w:cs="Arial"/>
        </w:rPr>
        <w:br w:type="page"/>
      </w:r>
    </w:p>
    <w:p w:rsidR="00CE6F6A" w:rsidRDefault="00CE6F6A" w:rsidP="00DB34DC">
      <w:pPr>
        <w:pStyle w:val="Style1"/>
        <w:numPr>
          <w:ilvl w:val="0"/>
          <w:numId w:val="14"/>
        </w:numPr>
      </w:pPr>
      <w:bookmarkStart w:id="2" w:name="_Toc409508675"/>
      <w:r w:rsidRPr="00E70BBD">
        <w:t>Introduction to the legislative framework</w:t>
      </w:r>
      <w:bookmarkEnd w:id="2"/>
    </w:p>
    <w:p w:rsidR="00A46454" w:rsidRPr="00A46454" w:rsidRDefault="00A46454" w:rsidP="00A46454">
      <w:pPr>
        <w:rPr>
          <w:rFonts w:ascii="Arial" w:hAnsi="Arial"/>
        </w:rPr>
      </w:pPr>
      <w:r w:rsidRPr="00A46454">
        <w:rPr>
          <w:rFonts w:ascii="Arial" w:hAnsi="Arial"/>
        </w:rPr>
        <w:t xml:space="preserve">Copies of all relevant legislation can be downloaded </w:t>
      </w:r>
      <w:r w:rsidR="000D5EB4">
        <w:rPr>
          <w:rFonts w:ascii="Arial" w:hAnsi="Arial"/>
        </w:rPr>
        <w:t xml:space="preserve"> </w:t>
      </w:r>
      <w:r w:rsidR="000D5EB4" w:rsidRPr="00A46454">
        <w:rPr>
          <w:rFonts w:ascii="Arial" w:hAnsi="Arial"/>
        </w:rPr>
        <w:t xml:space="preserve"> </w:t>
      </w:r>
      <w:r w:rsidRPr="00A46454">
        <w:rPr>
          <w:rFonts w:ascii="Arial" w:hAnsi="Arial"/>
        </w:rPr>
        <w:t xml:space="preserve">free </w:t>
      </w:r>
      <w:r w:rsidR="000D5EB4">
        <w:rPr>
          <w:rFonts w:ascii="Arial" w:hAnsi="Arial"/>
        </w:rPr>
        <w:t xml:space="preserve">of charge </w:t>
      </w:r>
      <w:r w:rsidRPr="00A46454">
        <w:rPr>
          <w:rFonts w:ascii="Arial" w:hAnsi="Arial"/>
        </w:rPr>
        <w:t xml:space="preserve">from </w:t>
      </w:r>
      <w:hyperlink r:id="rId10" w:history="1">
        <w:r w:rsidRPr="00F104EF">
          <w:rPr>
            <w:rStyle w:val="Hyperlink"/>
            <w:rFonts w:ascii="Arial" w:hAnsi="Arial"/>
          </w:rPr>
          <w:t>www.legislation.govt.nz</w:t>
        </w:r>
      </w:hyperlink>
      <w:r>
        <w:rPr>
          <w:rFonts w:ascii="Arial" w:hAnsi="Arial"/>
        </w:rPr>
        <w:t xml:space="preserve">. </w:t>
      </w:r>
    </w:p>
    <w:p w:rsidR="00CE6F6A" w:rsidRPr="00900E14" w:rsidRDefault="00CE6F6A" w:rsidP="00DB34DC">
      <w:pPr>
        <w:pStyle w:val="Heading3"/>
        <w:numPr>
          <w:ilvl w:val="0"/>
          <w:numId w:val="16"/>
        </w:numPr>
      </w:pPr>
      <w:bookmarkStart w:id="3" w:name="_Toc409508676"/>
      <w:r>
        <w:t>The Psychoactive Substances legislation and guidelines</w:t>
      </w:r>
      <w:bookmarkEnd w:id="3"/>
    </w:p>
    <w:p w:rsidR="00CE6F6A" w:rsidRPr="004B0CB2" w:rsidRDefault="000D5EB4" w:rsidP="00CE6F6A">
      <w:pPr>
        <w:rPr>
          <w:rStyle w:val="Arial"/>
        </w:rPr>
      </w:pPr>
      <w:r>
        <w:rPr>
          <w:rStyle w:val="Arial"/>
        </w:rPr>
        <w:t>Regulation of p</w:t>
      </w:r>
      <w:r w:rsidR="00CE6F6A" w:rsidRPr="004B0CB2">
        <w:rPr>
          <w:rStyle w:val="Arial"/>
        </w:rPr>
        <w:t xml:space="preserve">sychoactive </w:t>
      </w:r>
      <w:r w:rsidR="006F6DA3" w:rsidRPr="004B0CB2">
        <w:rPr>
          <w:rStyle w:val="Arial"/>
        </w:rPr>
        <w:t>substances</w:t>
      </w:r>
      <w:r w:rsidR="00CE6F6A" w:rsidRPr="004B0CB2">
        <w:rPr>
          <w:rStyle w:val="Arial"/>
        </w:rPr>
        <w:t xml:space="preserve"> </w:t>
      </w:r>
      <w:r>
        <w:rPr>
          <w:rStyle w:val="Arial"/>
        </w:rPr>
        <w:t xml:space="preserve">is subject to the following legislation: </w:t>
      </w:r>
    </w:p>
    <w:p w:rsidR="00CE6F6A" w:rsidRPr="000F1FF2" w:rsidRDefault="00CE6F6A" w:rsidP="00CE6F6A">
      <w:pPr>
        <w:rPr>
          <w:rStyle w:val="Arial"/>
        </w:rPr>
      </w:pPr>
    </w:p>
    <w:p w:rsidR="00CE6F6A" w:rsidRDefault="00CE6F6A" w:rsidP="00DB34DC">
      <w:pPr>
        <w:pStyle w:val="ListParagraph"/>
        <w:numPr>
          <w:ilvl w:val="0"/>
          <w:numId w:val="15"/>
        </w:numPr>
        <w:rPr>
          <w:rFonts w:ascii="Arial" w:hAnsi="Arial" w:cs="Arial"/>
        </w:rPr>
      </w:pPr>
      <w:r w:rsidRPr="00900E14">
        <w:rPr>
          <w:rFonts w:ascii="Arial" w:hAnsi="Arial" w:cs="Arial"/>
        </w:rPr>
        <w:t>The Psychoactiv</w:t>
      </w:r>
      <w:r>
        <w:rPr>
          <w:rFonts w:ascii="Arial" w:hAnsi="Arial" w:cs="Arial"/>
        </w:rPr>
        <w:t>e Substances Act 2013 (the Act)</w:t>
      </w:r>
      <w:r w:rsidRPr="00900E14">
        <w:rPr>
          <w:rFonts w:ascii="Arial" w:hAnsi="Arial" w:cs="Arial"/>
        </w:rPr>
        <w:t xml:space="preserve"> </w:t>
      </w:r>
    </w:p>
    <w:p w:rsidR="00CE6F6A" w:rsidRDefault="00CE6F6A" w:rsidP="00DB34DC">
      <w:pPr>
        <w:pStyle w:val="ListParagraph"/>
        <w:numPr>
          <w:ilvl w:val="0"/>
          <w:numId w:val="15"/>
        </w:numPr>
        <w:rPr>
          <w:rFonts w:ascii="Arial" w:hAnsi="Arial" w:cs="Arial"/>
        </w:rPr>
      </w:pPr>
      <w:r>
        <w:rPr>
          <w:rFonts w:ascii="Arial" w:hAnsi="Arial" w:cs="Arial"/>
        </w:rPr>
        <w:t>T</w:t>
      </w:r>
      <w:r w:rsidRPr="00900E14">
        <w:rPr>
          <w:rFonts w:ascii="Arial" w:hAnsi="Arial" w:cs="Arial"/>
        </w:rPr>
        <w:t xml:space="preserve">he Psychoactive Substances </w:t>
      </w:r>
      <w:r w:rsidR="00831328">
        <w:rPr>
          <w:rFonts w:ascii="Arial" w:hAnsi="Arial" w:cs="Arial"/>
        </w:rPr>
        <w:t>Regulations 2014 and 2015 (the r</w:t>
      </w:r>
      <w:r w:rsidRPr="00900E14">
        <w:rPr>
          <w:rFonts w:ascii="Arial" w:hAnsi="Arial" w:cs="Arial"/>
        </w:rPr>
        <w:t xml:space="preserve">egulations) </w:t>
      </w:r>
    </w:p>
    <w:p w:rsidR="00831328" w:rsidRDefault="00831328" w:rsidP="00DB34DC">
      <w:pPr>
        <w:pStyle w:val="ListParagraph"/>
        <w:numPr>
          <w:ilvl w:val="1"/>
          <w:numId w:val="15"/>
        </w:numPr>
        <w:rPr>
          <w:rFonts w:ascii="Arial" w:hAnsi="Arial" w:cs="Arial"/>
        </w:rPr>
      </w:pPr>
      <w:r>
        <w:rPr>
          <w:rFonts w:ascii="Arial" w:hAnsi="Arial" w:cs="Arial"/>
        </w:rPr>
        <w:t>T</w:t>
      </w:r>
      <w:r w:rsidRPr="00900E14">
        <w:rPr>
          <w:rFonts w:ascii="Arial" w:hAnsi="Arial" w:cs="Arial"/>
        </w:rPr>
        <w:t>he Psychoactive Substances</w:t>
      </w:r>
      <w:r>
        <w:rPr>
          <w:rFonts w:ascii="Arial" w:hAnsi="Arial" w:cs="Arial"/>
        </w:rPr>
        <w:t xml:space="preserve"> (Fees and Levies)</w:t>
      </w:r>
      <w:r w:rsidRPr="00900E14">
        <w:rPr>
          <w:rFonts w:ascii="Arial" w:hAnsi="Arial" w:cs="Arial"/>
        </w:rPr>
        <w:t xml:space="preserve"> Regulations </w:t>
      </w:r>
      <w:r w:rsidRPr="00F66AB0">
        <w:rPr>
          <w:rFonts w:ascii="Arial" w:hAnsi="Arial" w:cs="Arial"/>
        </w:rPr>
        <w:t xml:space="preserve">2014 (the fees regulations) </w:t>
      </w:r>
    </w:p>
    <w:p w:rsidR="00F66AB0" w:rsidRPr="00F66AB0" w:rsidRDefault="00F66AB0" w:rsidP="00DB34DC">
      <w:pPr>
        <w:pStyle w:val="ListParagraph"/>
        <w:numPr>
          <w:ilvl w:val="1"/>
          <w:numId w:val="15"/>
        </w:numPr>
        <w:rPr>
          <w:rFonts w:ascii="Arial" w:hAnsi="Arial" w:cs="Arial"/>
        </w:rPr>
      </w:pPr>
      <w:r>
        <w:rPr>
          <w:rFonts w:ascii="Arial" w:hAnsi="Arial" w:cs="Arial"/>
        </w:rPr>
        <w:t xml:space="preserve">The Psychoactive Substances (Infringement Fees and Form of Notices) Regulations 2014 (the infringement regulations) </w:t>
      </w:r>
    </w:p>
    <w:p w:rsidR="00831328" w:rsidRPr="00F66AB0" w:rsidRDefault="00831328" w:rsidP="00DB34DC">
      <w:pPr>
        <w:pStyle w:val="ListParagraph"/>
        <w:numPr>
          <w:ilvl w:val="1"/>
          <w:numId w:val="15"/>
        </w:numPr>
        <w:rPr>
          <w:rFonts w:ascii="Arial" w:hAnsi="Arial" w:cs="Arial"/>
        </w:rPr>
      </w:pPr>
      <w:r w:rsidRPr="00F66AB0">
        <w:rPr>
          <w:rFonts w:ascii="Arial" w:hAnsi="Arial" w:cs="Arial"/>
        </w:rPr>
        <w:t>The Psychoactive Substances Regulations 2015</w:t>
      </w:r>
      <w:r w:rsidR="00F66AB0" w:rsidRPr="00F66AB0">
        <w:rPr>
          <w:rFonts w:ascii="Arial" w:hAnsi="Arial" w:cs="Arial"/>
        </w:rPr>
        <w:t xml:space="preserve"> </w:t>
      </w:r>
    </w:p>
    <w:p w:rsidR="00CE6F6A" w:rsidRPr="002048CE" w:rsidRDefault="00CE6F6A" w:rsidP="00DB34DC">
      <w:pPr>
        <w:pStyle w:val="ListParagraph"/>
        <w:numPr>
          <w:ilvl w:val="0"/>
          <w:numId w:val="15"/>
        </w:numPr>
        <w:rPr>
          <w:rStyle w:val="Arial"/>
          <w:rFonts w:cs="Arial"/>
        </w:rPr>
      </w:pPr>
      <w:r>
        <w:rPr>
          <w:rFonts w:ascii="Arial" w:hAnsi="Arial" w:cs="Arial"/>
        </w:rPr>
        <w:t>T</w:t>
      </w:r>
      <w:r w:rsidRPr="00900E14">
        <w:rPr>
          <w:rFonts w:ascii="Arial" w:hAnsi="Arial" w:cs="Arial"/>
        </w:rPr>
        <w:t xml:space="preserve">he Psychoactive Substances Regulatory Guidelines 2014 (the PSR Guidelines). </w:t>
      </w:r>
    </w:p>
    <w:p w:rsidR="00CE6F6A" w:rsidRPr="00900E14" w:rsidRDefault="000D5EB4" w:rsidP="00DB34DC">
      <w:pPr>
        <w:pStyle w:val="Heading3"/>
        <w:numPr>
          <w:ilvl w:val="0"/>
          <w:numId w:val="16"/>
        </w:numPr>
      </w:pPr>
      <w:bookmarkStart w:id="4" w:name="_Toc409508677"/>
      <w:r>
        <w:t xml:space="preserve">Other relevant legislation </w:t>
      </w:r>
      <w:r w:rsidR="00CE6F6A" w:rsidRPr="00900E14">
        <w:t xml:space="preserve">to </w:t>
      </w:r>
      <w:r w:rsidR="001A0A85">
        <w:t xml:space="preserve">be </w:t>
      </w:r>
      <w:r w:rsidR="00CE6F6A" w:rsidRPr="00900E14">
        <w:t>read in conjunction with the PSR Guidelines:</w:t>
      </w:r>
      <w:bookmarkEnd w:id="4"/>
    </w:p>
    <w:p w:rsidR="00F66AB0" w:rsidRPr="00F66AB0" w:rsidRDefault="00F66AB0" w:rsidP="00F66AB0">
      <w:pPr>
        <w:rPr>
          <w:rFonts w:ascii="Arial" w:hAnsi="Arial" w:cs="Arial"/>
        </w:rPr>
      </w:pPr>
    </w:p>
    <w:p w:rsidR="00CE6F6A" w:rsidRPr="00E70BBD" w:rsidRDefault="00CE6F6A" w:rsidP="00DB34DC">
      <w:pPr>
        <w:pStyle w:val="ListParagraph"/>
        <w:numPr>
          <w:ilvl w:val="0"/>
          <w:numId w:val="12"/>
        </w:numPr>
        <w:rPr>
          <w:rFonts w:ascii="Arial" w:hAnsi="Arial" w:cs="Arial"/>
        </w:rPr>
      </w:pPr>
      <w:r>
        <w:rPr>
          <w:rFonts w:ascii="Arial" w:hAnsi="Arial" w:cs="Arial"/>
        </w:rPr>
        <w:t>T</w:t>
      </w:r>
      <w:r w:rsidRPr="00E70BBD">
        <w:rPr>
          <w:rFonts w:ascii="Arial" w:hAnsi="Arial" w:cs="Arial"/>
        </w:rPr>
        <w:t>he Psychoactive Substances Act 2013</w:t>
      </w:r>
    </w:p>
    <w:p w:rsidR="00CE6F6A" w:rsidRPr="00E70BBD" w:rsidRDefault="00CE6F6A" w:rsidP="00DB34DC">
      <w:pPr>
        <w:pStyle w:val="ListParagraph"/>
        <w:numPr>
          <w:ilvl w:val="0"/>
          <w:numId w:val="12"/>
        </w:numPr>
        <w:rPr>
          <w:rFonts w:ascii="Arial" w:hAnsi="Arial" w:cs="Arial"/>
        </w:rPr>
      </w:pPr>
      <w:r>
        <w:rPr>
          <w:rFonts w:ascii="Arial" w:hAnsi="Arial" w:cs="Arial"/>
        </w:rPr>
        <w:t>T</w:t>
      </w:r>
      <w:r w:rsidRPr="00E70BBD">
        <w:rPr>
          <w:rFonts w:ascii="Arial" w:hAnsi="Arial" w:cs="Arial"/>
        </w:rPr>
        <w:t>he Psychoactive Substances Regulations 2014 and 2015</w:t>
      </w:r>
    </w:p>
    <w:p w:rsidR="00CE6F6A" w:rsidRPr="00E70BBD" w:rsidRDefault="00CE6F6A" w:rsidP="00DB34DC">
      <w:pPr>
        <w:pStyle w:val="ListParagraph"/>
        <w:numPr>
          <w:ilvl w:val="0"/>
          <w:numId w:val="12"/>
        </w:numPr>
        <w:rPr>
          <w:rFonts w:ascii="Arial" w:hAnsi="Arial" w:cs="Arial"/>
        </w:rPr>
      </w:pPr>
      <w:r>
        <w:rPr>
          <w:rFonts w:ascii="Arial" w:hAnsi="Arial" w:cs="Arial"/>
        </w:rPr>
        <w:t>T</w:t>
      </w:r>
      <w:r w:rsidRPr="00E70BBD">
        <w:rPr>
          <w:rFonts w:ascii="Arial" w:hAnsi="Arial" w:cs="Arial"/>
        </w:rPr>
        <w:t>he Misuse of Drugs Act 1975</w:t>
      </w:r>
    </w:p>
    <w:p w:rsidR="00CE6F6A" w:rsidRPr="00E70BBD" w:rsidRDefault="00CE6F6A" w:rsidP="00DB34DC">
      <w:pPr>
        <w:pStyle w:val="ListParagraph"/>
        <w:numPr>
          <w:ilvl w:val="1"/>
          <w:numId w:val="12"/>
        </w:numPr>
        <w:rPr>
          <w:rFonts w:ascii="Arial" w:hAnsi="Arial" w:cs="Arial"/>
        </w:rPr>
      </w:pPr>
      <w:r w:rsidRPr="00E70BBD">
        <w:rPr>
          <w:rFonts w:ascii="Arial" w:hAnsi="Arial" w:cs="Arial"/>
        </w:rPr>
        <w:t>Schedules 1, 2 and 3 – list controlled drugs</w:t>
      </w:r>
    </w:p>
    <w:p w:rsidR="00CE6F6A" w:rsidRPr="00E70BBD" w:rsidRDefault="00CE6F6A" w:rsidP="00DB34DC">
      <w:pPr>
        <w:pStyle w:val="ListParagraph"/>
        <w:numPr>
          <w:ilvl w:val="1"/>
          <w:numId w:val="12"/>
        </w:numPr>
        <w:rPr>
          <w:rFonts w:ascii="Arial" w:hAnsi="Arial" w:cs="Arial"/>
        </w:rPr>
      </w:pPr>
      <w:r>
        <w:rPr>
          <w:rFonts w:ascii="Arial" w:hAnsi="Arial" w:cs="Arial"/>
        </w:rPr>
        <w:t>Schedule 4 – lists</w:t>
      </w:r>
      <w:r w:rsidRPr="00E70BBD">
        <w:rPr>
          <w:rFonts w:ascii="Arial" w:hAnsi="Arial" w:cs="Arial"/>
        </w:rPr>
        <w:t xml:space="preserve"> precursor substances</w:t>
      </w:r>
    </w:p>
    <w:p w:rsidR="00CE6F6A" w:rsidRPr="00E70BBD" w:rsidRDefault="00CE6F6A" w:rsidP="00DB34DC">
      <w:pPr>
        <w:pStyle w:val="ListParagraph"/>
        <w:numPr>
          <w:ilvl w:val="0"/>
          <w:numId w:val="12"/>
        </w:numPr>
        <w:rPr>
          <w:rFonts w:ascii="Arial" w:hAnsi="Arial" w:cs="Arial"/>
        </w:rPr>
      </w:pPr>
      <w:r w:rsidRPr="00E70BBD">
        <w:rPr>
          <w:rFonts w:ascii="Arial" w:hAnsi="Arial" w:cs="Arial"/>
        </w:rPr>
        <w:t>The Medicines Act 1981</w:t>
      </w:r>
      <w:r w:rsidR="000D5EB4">
        <w:rPr>
          <w:rFonts w:ascii="Arial" w:hAnsi="Arial" w:cs="Arial"/>
        </w:rPr>
        <w:t xml:space="preserve"> </w:t>
      </w:r>
    </w:p>
    <w:p w:rsidR="00CE6F6A" w:rsidRPr="00E70BBD" w:rsidRDefault="00CE6F6A" w:rsidP="00DB34DC">
      <w:pPr>
        <w:pStyle w:val="ListParagraph"/>
        <w:numPr>
          <w:ilvl w:val="1"/>
          <w:numId w:val="12"/>
        </w:numPr>
        <w:rPr>
          <w:rFonts w:ascii="Arial" w:hAnsi="Arial" w:cs="Arial"/>
        </w:rPr>
      </w:pPr>
      <w:r w:rsidRPr="00E70BBD">
        <w:rPr>
          <w:rFonts w:ascii="Arial" w:hAnsi="Arial" w:cs="Arial"/>
        </w:rPr>
        <w:t>Section 3 – defines a medicine</w:t>
      </w:r>
    </w:p>
    <w:p w:rsidR="00CE6F6A" w:rsidRPr="00E70BBD" w:rsidRDefault="00CE6F6A" w:rsidP="00DB34DC">
      <w:pPr>
        <w:pStyle w:val="ListParagraph"/>
        <w:numPr>
          <w:ilvl w:val="1"/>
          <w:numId w:val="12"/>
        </w:numPr>
        <w:rPr>
          <w:rFonts w:ascii="Arial" w:hAnsi="Arial" w:cs="Arial"/>
        </w:rPr>
      </w:pPr>
      <w:r w:rsidRPr="00E70BBD">
        <w:rPr>
          <w:rFonts w:ascii="Arial" w:hAnsi="Arial" w:cs="Arial"/>
        </w:rPr>
        <w:t>Section 2(1) -  defines a herbal remedy</w:t>
      </w:r>
      <w:r w:rsidR="000D5EB4">
        <w:rPr>
          <w:rFonts w:ascii="Arial" w:hAnsi="Arial" w:cs="Arial"/>
        </w:rPr>
        <w:t xml:space="preserve"> </w:t>
      </w:r>
    </w:p>
    <w:p w:rsidR="00CE6F6A" w:rsidRPr="00E70BBD" w:rsidRDefault="00CE6F6A" w:rsidP="00DB34DC">
      <w:pPr>
        <w:pStyle w:val="ListParagraph"/>
        <w:numPr>
          <w:ilvl w:val="0"/>
          <w:numId w:val="12"/>
        </w:numPr>
        <w:rPr>
          <w:rFonts w:ascii="Arial" w:hAnsi="Arial" w:cs="Arial"/>
        </w:rPr>
      </w:pPr>
      <w:r w:rsidRPr="00E70BBD">
        <w:rPr>
          <w:rFonts w:ascii="Arial" w:hAnsi="Arial" w:cs="Arial"/>
        </w:rPr>
        <w:t>The Medicines Regulations 1984</w:t>
      </w:r>
    </w:p>
    <w:p w:rsidR="00CE6F6A" w:rsidRPr="00E70BBD" w:rsidRDefault="00CE6F6A" w:rsidP="00DB34DC">
      <w:pPr>
        <w:pStyle w:val="ListParagraph"/>
        <w:numPr>
          <w:ilvl w:val="1"/>
          <w:numId w:val="12"/>
        </w:numPr>
        <w:rPr>
          <w:rFonts w:ascii="Arial" w:hAnsi="Arial" w:cs="Arial"/>
        </w:rPr>
      </w:pPr>
      <w:r w:rsidRPr="00E70BBD">
        <w:rPr>
          <w:rFonts w:ascii="Arial" w:hAnsi="Arial" w:cs="Arial"/>
        </w:rPr>
        <w:t>Schedule 1 – lists all prescription, restricted and pharmacy-only medicines</w:t>
      </w:r>
    </w:p>
    <w:p w:rsidR="00CE6F6A" w:rsidRPr="00E70BBD" w:rsidRDefault="00CE6F6A" w:rsidP="00DB34DC">
      <w:pPr>
        <w:pStyle w:val="ListParagraph"/>
        <w:numPr>
          <w:ilvl w:val="0"/>
          <w:numId w:val="12"/>
        </w:numPr>
        <w:rPr>
          <w:rFonts w:ascii="Arial" w:hAnsi="Arial" w:cs="Arial"/>
        </w:rPr>
      </w:pPr>
      <w:r>
        <w:rPr>
          <w:rFonts w:ascii="Arial" w:hAnsi="Arial" w:cs="Arial"/>
        </w:rPr>
        <w:t xml:space="preserve">The </w:t>
      </w:r>
      <w:r w:rsidRPr="00E70BBD">
        <w:rPr>
          <w:rFonts w:ascii="Arial" w:hAnsi="Arial" w:cs="Arial"/>
        </w:rPr>
        <w:t>Dietary Supplements Regulations 1985</w:t>
      </w:r>
    </w:p>
    <w:p w:rsidR="00CE6F6A" w:rsidRDefault="00CE6F6A" w:rsidP="00DB34DC">
      <w:pPr>
        <w:pStyle w:val="ListParagraph"/>
        <w:numPr>
          <w:ilvl w:val="1"/>
          <w:numId w:val="12"/>
        </w:numPr>
        <w:rPr>
          <w:rFonts w:ascii="Arial" w:hAnsi="Arial" w:cs="Arial"/>
        </w:rPr>
      </w:pPr>
      <w:r w:rsidRPr="00E70BBD">
        <w:rPr>
          <w:rFonts w:ascii="Arial" w:hAnsi="Arial" w:cs="Arial"/>
        </w:rPr>
        <w:t>Regulation 2(a) – defines a dietary supplement</w:t>
      </w:r>
    </w:p>
    <w:p w:rsidR="00CE6F6A" w:rsidRDefault="00CE6F6A" w:rsidP="00DB34DC">
      <w:pPr>
        <w:pStyle w:val="ListParagraph"/>
        <w:numPr>
          <w:ilvl w:val="0"/>
          <w:numId w:val="12"/>
        </w:numPr>
        <w:rPr>
          <w:rFonts w:ascii="Arial" w:hAnsi="Arial" w:cs="Arial"/>
        </w:rPr>
      </w:pPr>
      <w:r w:rsidRPr="00E70BBD">
        <w:rPr>
          <w:rFonts w:ascii="Arial" w:hAnsi="Arial" w:cs="Arial"/>
        </w:rPr>
        <w:t>The Food Act</w:t>
      </w:r>
      <w:r>
        <w:rPr>
          <w:rFonts w:ascii="Arial" w:hAnsi="Arial" w:cs="Arial"/>
        </w:rPr>
        <w:t xml:space="preserve"> </w:t>
      </w:r>
      <w:r w:rsidR="00F66AB0">
        <w:rPr>
          <w:rFonts w:ascii="Arial" w:hAnsi="Arial" w:cs="Arial"/>
        </w:rPr>
        <w:t>2014 and its associated Standards</w:t>
      </w:r>
    </w:p>
    <w:p w:rsidR="00CE6F6A" w:rsidRDefault="00CE6F6A" w:rsidP="00DB34DC">
      <w:pPr>
        <w:pStyle w:val="ListParagraph"/>
        <w:numPr>
          <w:ilvl w:val="1"/>
          <w:numId w:val="12"/>
        </w:numPr>
        <w:rPr>
          <w:rFonts w:ascii="Arial" w:hAnsi="Arial" w:cs="Arial"/>
        </w:rPr>
      </w:pPr>
      <w:r>
        <w:rPr>
          <w:rFonts w:ascii="Arial" w:hAnsi="Arial" w:cs="Arial"/>
        </w:rPr>
        <w:t xml:space="preserve">Section </w:t>
      </w:r>
      <w:r w:rsidR="00F66AB0">
        <w:rPr>
          <w:rFonts w:ascii="Arial" w:hAnsi="Arial" w:cs="Arial"/>
        </w:rPr>
        <w:t>9</w:t>
      </w:r>
      <w:r>
        <w:rPr>
          <w:rFonts w:ascii="Arial" w:hAnsi="Arial" w:cs="Arial"/>
        </w:rPr>
        <w:t xml:space="preserve"> – defines a food</w:t>
      </w:r>
    </w:p>
    <w:p w:rsidR="00CE6F6A" w:rsidRDefault="00CE6F6A" w:rsidP="00DB34DC">
      <w:pPr>
        <w:pStyle w:val="ListParagraph"/>
        <w:numPr>
          <w:ilvl w:val="0"/>
          <w:numId w:val="12"/>
        </w:numPr>
        <w:rPr>
          <w:rFonts w:ascii="Arial" w:hAnsi="Arial" w:cs="Arial"/>
        </w:rPr>
      </w:pPr>
      <w:r w:rsidRPr="00900E14">
        <w:rPr>
          <w:rFonts w:ascii="Arial" w:hAnsi="Arial" w:cs="Arial"/>
        </w:rPr>
        <w:t>The Smoke Free Environments Act 1990</w:t>
      </w:r>
    </w:p>
    <w:p w:rsidR="00C63A1F" w:rsidRDefault="00C63A1F" w:rsidP="00DB34DC">
      <w:pPr>
        <w:pStyle w:val="ListParagraph"/>
        <w:numPr>
          <w:ilvl w:val="0"/>
          <w:numId w:val="12"/>
        </w:numPr>
        <w:rPr>
          <w:rFonts w:ascii="Arial" w:hAnsi="Arial" w:cs="Arial"/>
        </w:rPr>
      </w:pPr>
      <w:r w:rsidRPr="000D5EB4">
        <w:rPr>
          <w:rFonts w:ascii="Arial" w:hAnsi="Arial" w:cs="Arial"/>
        </w:rPr>
        <w:t>Section 2(1) – defines a tobacco product</w:t>
      </w:r>
    </w:p>
    <w:p w:rsidR="00C63A1F" w:rsidRPr="00C63A1F" w:rsidRDefault="00C63A1F" w:rsidP="00C63A1F">
      <w:pPr>
        <w:ind w:left="360"/>
        <w:rPr>
          <w:rFonts w:ascii="Arial" w:hAnsi="Arial" w:cs="Arial"/>
        </w:rPr>
      </w:pPr>
    </w:p>
    <w:p w:rsidR="00CE6F6A" w:rsidRPr="00C63A1F" w:rsidRDefault="00A46454" w:rsidP="00DB34DC">
      <w:pPr>
        <w:pStyle w:val="ListParagraph"/>
        <w:numPr>
          <w:ilvl w:val="0"/>
          <w:numId w:val="16"/>
        </w:numPr>
        <w:spacing w:before="240"/>
        <w:rPr>
          <w:rFonts w:ascii="Arial" w:hAnsi="Arial" w:cs="Arial"/>
          <w:b/>
        </w:rPr>
      </w:pPr>
      <w:r w:rsidRPr="00C63A1F">
        <w:rPr>
          <w:rFonts w:ascii="Arial" w:hAnsi="Arial" w:cs="Arial"/>
          <w:b/>
        </w:rPr>
        <w:t>Requirements to comply with other legislation and s</w:t>
      </w:r>
      <w:r w:rsidR="00CE6F6A" w:rsidRPr="00C63A1F">
        <w:rPr>
          <w:rFonts w:ascii="Arial" w:hAnsi="Arial" w:cs="Arial"/>
          <w:b/>
        </w:rPr>
        <w:t xml:space="preserve">tandards </w:t>
      </w:r>
    </w:p>
    <w:p w:rsidR="00CE6F6A" w:rsidRPr="00BC6862" w:rsidRDefault="00CE6F6A" w:rsidP="00CF062F">
      <w:pPr>
        <w:pStyle w:val="ListParagraph"/>
        <w:numPr>
          <w:ilvl w:val="2"/>
          <w:numId w:val="67"/>
        </w:numPr>
        <w:spacing w:before="240"/>
        <w:ind w:left="993" w:hanging="993"/>
        <w:contextualSpacing w:val="0"/>
        <w:rPr>
          <w:rStyle w:val="Arial"/>
          <w:i/>
          <w:iCs/>
        </w:rPr>
      </w:pPr>
      <w:r w:rsidRPr="00BC6862">
        <w:rPr>
          <w:rStyle w:val="Arial"/>
          <w:i/>
          <w:iCs/>
        </w:rPr>
        <w:t xml:space="preserve">Consumer legislation </w:t>
      </w:r>
    </w:p>
    <w:p w:rsidR="00BC6862" w:rsidRPr="00BC6862" w:rsidRDefault="00BC6862" w:rsidP="00BC6862">
      <w:pPr>
        <w:rPr>
          <w:rStyle w:val="Arial"/>
          <w:i/>
          <w:iCs/>
        </w:rPr>
      </w:pPr>
    </w:p>
    <w:p w:rsidR="00F004D6" w:rsidRPr="002048CE" w:rsidRDefault="000D5EB4" w:rsidP="00F004D6">
      <w:pPr>
        <w:autoSpaceDE w:val="0"/>
        <w:autoSpaceDN w:val="0"/>
        <w:adjustRightInd w:val="0"/>
        <w:rPr>
          <w:rFonts w:ascii="Arial" w:hAnsi="Arial"/>
        </w:rPr>
      </w:pPr>
      <w:r>
        <w:rPr>
          <w:rStyle w:val="Arial"/>
        </w:rPr>
        <w:t xml:space="preserve">Manufacturers must </w:t>
      </w:r>
      <w:r w:rsidR="00C63A1F">
        <w:rPr>
          <w:rStyle w:val="Arial"/>
        </w:rPr>
        <w:t xml:space="preserve">comply with </w:t>
      </w:r>
      <w:r>
        <w:rPr>
          <w:rStyle w:val="Arial"/>
        </w:rPr>
        <w:t>consumer legislation administered by the</w:t>
      </w:r>
      <w:r w:rsidR="001A0A85" w:rsidRPr="004B0CB2">
        <w:rPr>
          <w:rStyle w:val="Arial"/>
        </w:rPr>
        <w:t xml:space="preserve"> Ministry of </w:t>
      </w:r>
      <w:r w:rsidR="001A0A85">
        <w:rPr>
          <w:rStyle w:val="Arial"/>
        </w:rPr>
        <w:t>Business, Innovation and Employment</w:t>
      </w:r>
      <w:r>
        <w:rPr>
          <w:rStyle w:val="Arial"/>
        </w:rPr>
        <w:t xml:space="preserve">, in particular </w:t>
      </w:r>
      <w:r w:rsidR="00F004D6" w:rsidRPr="004B0CB2">
        <w:rPr>
          <w:rStyle w:val="Arial"/>
        </w:rPr>
        <w:t xml:space="preserve">the </w:t>
      </w:r>
      <w:hyperlink r:id="rId11" w:history="1">
        <w:r w:rsidR="00F004D6" w:rsidRPr="008415F6">
          <w:rPr>
            <w:rStyle w:val="Hyperlink"/>
            <w:rFonts w:ascii="Arial" w:hAnsi="Arial"/>
          </w:rPr>
          <w:t>Fair Trading Act 1986</w:t>
        </w:r>
      </w:hyperlink>
      <w:r w:rsidR="00F004D6">
        <w:rPr>
          <w:rStyle w:val="Arial"/>
        </w:rPr>
        <w:t xml:space="preserve"> and the </w:t>
      </w:r>
      <w:hyperlink r:id="rId12" w:history="1">
        <w:r w:rsidR="00F004D6" w:rsidRPr="008415F6">
          <w:rPr>
            <w:rStyle w:val="Hyperlink"/>
            <w:rFonts w:ascii="Arial" w:hAnsi="Arial"/>
          </w:rPr>
          <w:t>Consumer Guarantees Act 1993</w:t>
        </w:r>
      </w:hyperlink>
      <w:r w:rsidR="00F004D6">
        <w:rPr>
          <w:rStyle w:val="Arial"/>
        </w:rPr>
        <w:t>.</w:t>
      </w:r>
    </w:p>
    <w:p w:rsidR="00BC6862" w:rsidRPr="004B0CB2" w:rsidRDefault="00BC6862" w:rsidP="00F004D6">
      <w:pPr>
        <w:autoSpaceDE w:val="0"/>
        <w:autoSpaceDN w:val="0"/>
        <w:adjustRightInd w:val="0"/>
        <w:rPr>
          <w:rStyle w:val="Arial"/>
        </w:rPr>
      </w:pPr>
      <w:bookmarkStart w:id="5" w:name="_Toc401819064"/>
      <w:bookmarkStart w:id="6" w:name="_Toc401819362"/>
      <w:bookmarkEnd w:id="5"/>
      <w:bookmarkEnd w:id="6"/>
    </w:p>
    <w:p w:rsidR="00F004D6" w:rsidRPr="00BC6862" w:rsidRDefault="00F004D6" w:rsidP="00CF062F">
      <w:pPr>
        <w:pStyle w:val="ListParagraph"/>
        <w:numPr>
          <w:ilvl w:val="0"/>
          <w:numId w:val="49"/>
        </w:numPr>
        <w:ind w:left="993" w:hanging="993"/>
        <w:rPr>
          <w:rStyle w:val="Arial"/>
          <w:i/>
          <w:iCs/>
        </w:rPr>
      </w:pPr>
      <w:r w:rsidRPr="00BC6862">
        <w:rPr>
          <w:rStyle w:val="Arial"/>
          <w:i/>
          <w:iCs/>
        </w:rPr>
        <w:t xml:space="preserve">Hazardous substances and new organisms legislation </w:t>
      </w:r>
    </w:p>
    <w:p w:rsidR="00BC6862" w:rsidRPr="00BC6862" w:rsidRDefault="00BC6862" w:rsidP="00BC6862">
      <w:pPr>
        <w:rPr>
          <w:rStyle w:val="Arial"/>
          <w:i/>
          <w:iCs/>
        </w:rPr>
      </w:pPr>
    </w:p>
    <w:p w:rsidR="00CE6F6A" w:rsidRPr="004B0CB2" w:rsidRDefault="00CE6F6A" w:rsidP="00CE6F6A">
      <w:pPr>
        <w:autoSpaceDE w:val="0"/>
        <w:autoSpaceDN w:val="0"/>
        <w:adjustRightInd w:val="0"/>
        <w:rPr>
          <w:rStyle w:val="Arial"/>
        </w:rPr>
      </w:pPr>
      <w:r w:rsidRPr="004B0CB2">
        <w:rPr>
          <w:rStyle w:val="Arial"/>
        </w:rPr>
        <w:t xml:space="preserve">Manufacturers </w:t>
      </w:r>
      <w:r w:rsidR="001A0A85">
        <w:rPr>
          <w:rStyle w:val="Arial"/>
        </w:rPr>
        <w:t xml:space="preserve">and importers </w:t>
      </w:r>
      <w:r w:rsidRPr="004B0CB2">
        <w:rPr>
          <w:rStyle w:val="Arial"/>
        </w:rPr>
        <w:t xml:space="preserve">are </w:t>
      </w:r>
      <w:r w:rsidR="000D5EB4">
        <w:rPr>
          <w:rStyle w:val="Arial"/>
        </w:rPr>
        <w:t xml:space="preserve">required to </w:t>
      </w:r>
      <w:r w:rsidR="0039598A">
        <w:rPr>
          <w:rStyle w:val="Arial"/>
        </w:rPr>
        <w:t xml:space="preserve"> </w:t>
      </w:r>
      <w:r w:rsidRPr="004B0CB2">
        <w:rPr>
          <w:rStyle w:val="Arial"/>
        </w:rPr>
        <w:t xml:space="preserve"> ensure that the ingredients contained in the psychoactive products they manufacture in New Zealand comply with HSNO legislation</w:t>
      </w:r>
      <w:r w:rsidR="0039598A">
        <w:rPr>
          <w:rStyle w:val="Arial"/>
        </w:rPr>
        <w:t>, administered by the E</w:t>
      </w:r>
      <w:r w:rsidR="001A0A85">
        <w:rPr>
          <w:rStyle w:val="Arial"/>
        </w:rPr>
        <w:t xml:space="preserve">nvironmental </w:t>
      </w:r>
      <w:r w:rsidR="0039598A">
        <w:rPr>
          <w:rStyle w:val="Arial"/>
        </w:rPr>
        <w:t>P</w:t>
      </w:r>
      <w:r w:rsidR="001A0A85">
        <w:rPr>
          <w:rStyle w:val="Arial"/>
        </w:rPr>
        <w:t>rotection A</w:t>
      </w:r>
      <w:r w:rsidR="00871D12">
        <w:rPr>
          <w:rStyle w:val="Arial"/>
        </w:rPr>
        <w:t>uthority</w:t>
      </w:r>
      <w:r w:rsidR="0039598A">
        <w:rPr>
          <w:rStyle w:val="Arial"/>
        </w:rPr>
        <w:t xml:space="preserve">. </w:t>
      </w:r>
      <w:r w:rsidRPr="004B0CB2">
        <w:rPr>
          <w:rStyle w:val="Arial"/>
        </w:rPr>
        <w:t>The web site</w:t>
      </w:r>
      <w:r w:rsidRPr="000F1FF2">
        <w:t xml:space="preserve"> </w:t>
      </w:r>
      <w:hyperlink r:id="rId13" w:history="1">
        <w:r w:rsidRPr="003A2053">
          <w:rPr>
            <w:rStyle w:val="Hyperlink"/>
            <w:rFonts w:ascii="Arial" w:hAnsi="Arial" w:cs="Arial"/>
            <w:lang w:val="en-NZ" w:eastAsia="en-NZ"/>
          </w:rPr>
          <w:t>http://www.hsno.govt.nz</w:t>
        </w:r>
      </w:hyperlink>
      <w:r w:rsidRPr="000F1FF2">
        <w:t xml:space="preserve"> </w:t>
      </w:r>
      <w:r w:rsidRPr="004B0CB2">
        <w:rPr>
          <w:rStyle w:val="Arial"/>
        </w:rPr>
        <w:t xml:space="preserve">is dedicated to the HSNO legislation and its application. </w:t>
      </w:r>
    </w:p>
    <w:p w:rsidR="00CE6F6A" w:rsidRPr="000F1FF2" w:rsidRDefault="00CE6F6A" w:rsidP="00CE6F6A">
      <w:pPr>
        <w:autoSpaceDE w:val="0"/>
        <w:autoSpaceDN w:val="0"/>
        <w:adjustRightInd w:val="0"/>
      </w:pPr>
    </w:p>
    <w:p w:rsidR="00CE6F6A" w:rsidRPr="000F1FF2" w:rsidRDefault="00CE6F6A" w:rsidP="00CE6F6A">
      <w:pPr>
        <w:autoSpaceDE w:val="0"/>
        <w:autoSpaceDN w:val="0"/>
        <w:adjustRightInd w:val="0"/>
        <w:rPr>
          <w:rStyle w:val="Arial"/>
        </w:rPr>
      </w:pPr>
      <w:r w:rsidRPr="000F1FF2">
        <w:rPr>
          <w:rStyle w:val="Arial"/>
        </w:rPr>
        <w:t xml:space="preserve">The web site </w:t>
      </w:r>
      <w:hyperlink r:id="rId14" w:history="1">
        <w:r w:rsidRPr="00EC56EA">
          <w:rPr>
            <w:rStyle w:val="Hyperlink"/>
            <w:rFonts w:ascii="Arial" w:hAnsi="Arial" w:cs="Arial"/>
            <w:lang w:val="en-NZ" w:eastAsia="en-NZ"/>
          </w:rPr>
          <w:t>http://www.epa.govt.nz</w:t>
        </w:r>
      </w:hyperlink>
      <w:r w:rsidRPr="000F1FF2">
        <w:rPr>
          <w:rStyle w:val="Arial"/>
        </w:rPr>
        <w:t xml:space="preserve"> includes information on EPA procedures together with </w:t>
      </w:r>
      <w:r w:rsidRPr="002048CE">
        <w:rPr>
          <w:rStyle w:val="Arial"/>
        </w:rPr>
        <w:t>a searchable register</w:t>
      </w:r>
      <w:r w:rsidRPr="002048CE">
        <w:t xml:space="preserve"> </w:t>
      </w:r>
      <w:r w:rsidRPr="002048CE">
        <w:rPr>
          <w:rStyle w:val="Arial"/>
        </w:rPr>
        <w:t>of</w:t>
      </w:r>
      <w:r w:rsidRPr="000F1FF2">
        <w:rPr>
          <w:rStyle w:val="Arial"/>
        </w:rPr>
        <w:t xml:space="preserve"> applications and approvals under the HSNO Act. </w:t>
      </w:r>
    </w:p>
    <w:p w:rsidR="00CE6F6A" w:rsidRPr="000F1FF2" w:rsidRDefault="00CE6F6A" w:rsidP="00CE6F6A">
      <w:pPr>
        <w:autoSpaceDE w:val="0"/>
        <w:autoSpaceDN w:val="0"/>
        <w:adjustRightInd w:val="0"/>
        <w:rPr>
          <w:rStyle w:val="Arial"/>
        </w:rPr>
      </w:pPr>
    </w:p>
    <w:p w:rsidR="00CE6F6A" w:rsidRDefault="00CE6F6A" w:rsidP="00CE6F6A">
      <w:pPr>
        <w:autoSpaceDE w:val="0"/>
        <w:autoSpaceDN w:val="0"/>
        <w:adjustRightInd w:val="0"/>
        <w:rPr>
          <w:rStyle w:val="Arial"/>
        </w:rPr>
      </w:pPr>
      <w:r w:rsidRPr="000F1FF2">
        <w:rPr>
          <w:rStyle w:val="Arial"/>
        </w:rPr>
        <w:t xml:space="preserve">For further information about the HSNO and EPA requirements for obtaining consent to import and or release products controlled under the HSNO legislation, contact: </w:t>
      </w:r>
    </w:p>
    <w:p w:rsidR="004B0CB2" w:rsidRPr="004B0CB2" w:rsidRDefault="004B0CB2" w:rsidP="00CE6F6A">
      <w:pPr>
        <w:autoSpaceDE w:val="0"/>
        <w:autoSpaceDN w:val="0"/>
        <w:adjustRightInd w:val="0"/>
        <w:rPr>
          <w:rStyle w:val="Arial"/>
        </w:rPr>
      </w:pPr>
    </w:p>
    <w:p w:rsidR="00CE6F6A" w:rsidRPr="004B0CB2" w:rsidRDefault="009E5155" w:rsidP="000F1FF2">
      <w:pPr>
        <w:rPr>
          <w:rStyle w:val="Arial"/>
        </w:rPr>
      </w:pPr>
      <w:r>
        <w:rPr>
          <w:rStyle w:val="Arial"/>
        </w:rPr>
        <w:t xml:space="preserve">General </w:t>
      </w:r>
      <w:r w:rsidR="00CE6F6A" w:rsidRPr="004B0CB2">
        <w:rPr>
          <w:rStyle w:val="Arial"/>
        </w:rPr>
        <w:t xml:space="preserve">Manager, </w:t>
      </w:r>
      <w:r>
        <w:rPr>
          <w:rStyle w:val="Arial"/>
        </w:rPr>
        <w:t>Applications and Assessments</w:t>
      </w:r>
      <w:r w:rsidR="00CE6F6A" w:rsidRPr="004B0CB2">
        <w:rPr>
          <w:rStyle w:val="Arial"/>
        </w:rPr>
        <w:t xml:space="preserve"> </w:t>
      </w:r>
    </w:p>
    <w:p w:rsidR="00CE6F6A" w:rsidRPr="004B0CB2" w:rsidRDefault="00CE6F6A" w:rsidP="000F1FF2">
      <w:pPr>
        <w:rPr>
          <w:rStyle w:val="Arial"/>
        </w:rPr>
      </w:pPr>
      <w:r w:rsidRPr="004B0CB2">
        <w:rPr>
          <w:rStyle w:val="Arial"/>
        </w:rPr>
        <w:t xml:space="preserve">Environmental Protection Authority </w:t>
      </w:r>
    </w:p>
    <w:p w:rsidR="00CE6F6A" w:rsidRPr="004B0CB2" w:rsidRDefault="00CE6F6A" w:rsidP="000F1FF2">
      <w:pPr>
        <w:rPr>
          <w:rStyle w:val="Arial"/>
        </w:rPr>
      </w:pPr>
      <w:r w:rsidRPr="004B0CB2">
        <w:rPr>
          <w:rStyle w:val="Arial"/>
        </w:rPr>
        <w:t>Level 10, 215 Lambton Quay, 6011</w:t>
      </w:r>
    </w:p>
    <w:p w:rsidR="00CE6F6A" w:rsidRPr="004B0CB2" w:rsidRDefault="00CE6F6A" w:rsidP="000F1FF2">
      <w:pPr>
        <w:rPr>
          <w:rStyle w:val="Arial"/>
        </w:rPr>
      </w:pPr>
      <w:r w:rsidRPr="004B0CB2">
        <w:rPr>
          <w:rStyle w:val="Arial"/>
        </w:rPr>
        <w:t>Private Bag 63002, 6140</w:t>
      </w:r>
    </w:p>
    <w:p w:rsidR="00CE6F6A" w:rsidRPr="004B0CB2" w:rsidRDefault="00CE6F6A" w:rsidP="000F1FF2">
      <w:pPr>
        <w:rPr>
          <w:rStyle w:val="Arial"/>
        </w:rPr>
      </w:pPr>
      <w:r w:rsidRPr="004B0CB2">
        <w:rPr>
          <w:rStyle w:val="Arial"/>
        </w:rPr>
        <w:t xml:space="preserve">Wellington </w:t>
      </w:r>
    </w:p>
    <w:p w:rsidR="00CE6F6A" w:rsidRPr="004B0CB2" w:rsidRDefault="00CE6F6A" w:rsidP="000F1FF2">
      <w:pPr>
        <w:rPr>
          <w:rStyle w:val="Arial"/>
        </w:rPr>
      </w:pPr>
      <w:r w:rsidRPr="004B0CB2">
        <w:rPr>
          <w:rStyle w:val="Arial"/>
        </w:rPr>
        <w:t xml:space="preserve">Telephone: (04) 473 8426 </w:t>
      </w:r>
    </w:p>
    <w:p w:rsidR="00CE6F6A" w:rsidRPr="004B0CB2" w:rsidRDefault="00CE6F6A" w:rsidP="000F1FF2">
      <w:pPr>
        <w:rPr>
          <w:rStyle w:val="Arial"/>
        </w:rPr>
      </w:pPr>
      <w:r w:rsidRPr="004B0CB2">
        <w:rPr>
          <w:rStyle w:val="Arial"/>
        </w:rPr>
        <w:t xml:space="preserve">Fax: (04) 473 8433 </w:t>
      </w:r>
    </w:p>
    <w:p w:rsidR="00CE6F6A" w:rsidRDefault="00CE6F6A" w:rsidP="004B0CB2">
      <w:pPr>
        <w:autoSpaceDE w:val="0"/>
        <w:autoSpaceDN w:val="0"/>
        <w:adjustRightInd w:val="0"/>
      </w:pPr>
      <w:r w:rsidRPr="000F1FF2">
        <w:rPr>
          <w:rStyle w:val="Arial"/>
        </w:rPr>
        <w:t xml:space="preserve">Web site: </w:t>
      </w:r>
      <w:hyperlink r:id="rId15" w:history="1">
        <w:r w:rsidR="004B0CB2" w:rsidRPr="00B931E9">
          <w:rPr>
            <w:rStyle w:val="Hyperlink"/>
            <w:rFonts w:ascii="Arial" w:hAnsi="Arial" w:cs="Arial"/>
            <w:lang w:val="en-NZ" w:eastAsia="en-NZ"/>
          </w:rPr>
          <w:t>http://www.epa.govt.nz</w:t>
        </w:r>
      </w:hyperlink>
      <w:r w:rsidRPr="000F1FF2">
        <w:rPr>
          <w:rStyle w:val="Arial"/>
        </w:rPr>
        <w:t xml:space="preserve"> </w:t>
      </w:r>
      <w:r w:rsidRPr="000F1FF2">
        <w:t xml:space="preserve"> </w:t>
      </w:r>
    </w:p>
    <w:p w:rsidR="008C3B61" w:rsidRDefault="008C3B61" w:rsidP="004B0CB2">
      <w:pPr>
        <w:autoSpaceDE w:val="0"/>
        <w:autoSpaceDN w:val="0"/>
        <w:adjustRightInd w:val="0"/>
      </w:pPr>
      <w:r>
        <w:br w:type="page"/>
      </w:r>
    </w:p>
    <w:p w:rsidR="00F004D6" w:rsidRDefault="0039598A" w:rsidP="00CF062F">
      <w:pPr>
        <w:pStyle w:val="Heading1"/>
        <w:numPr>
          <w:ilvl w:val="0"/>
          <w:numId w:val="67"/>
        </w:numPr>
        <w:rPr>
          <w:rStyle w:val="Arial"/>
          <w:bCs w:val="0"/>
          <w:sz w:val="36"/>
        </w:rPr>
      </w:pPr>
      <w:bookmarkStart w:id="7" w:name="_Toc401819065"/>
      <w:bookmarkStart w:id="8" w:name="_Toc401819363"/>
      <w:bookmarkStart w:id="9" w:name="_Toc409508678"/>
      <w:bookmarkEnd w:id="7"/>
      <w:bookmarkEnd w:id="8"/>
      <w:r>
        <w:rPr>
          <w:rStyle w:val="Arial"/>
          <w:bCs w:val="0"/>
          <w:sz w:val="36"/>
        </w:rPr>
        <w:t xml:space="preserve">Principles </w:t>
      </w:r>
      <w:r w:rsidR="00F004D6">
        <w:rPr>
          <w:rStyle w:val="Arial"/>
          <w:bCs w:val="0"/>
          <w:sz w:val="36"/>
        </w:rPr>
        <w:t>of the Act</w:t>
      </w:r>
      <w:bookmarkEnd w:id="9"/>
    </w:p>
    <w:p w:rsidR="00167583" w:rsidRDefault="00167583" w:rsidP="002C7CC5">
      <w:pPr>
        <w:rPr>
          <w:rStyle w:val="Arial"/>
        </w:rPr>
      </w:pPr>
      <w:r>
        <w:rPr>
          <w:rStyle w:val="Arial"/>
        </w:rPr>
        <w:t xml:space="preserve">The three key principles in the Act are that: </w:t>
      </w:r>
    </w:p>
    <w:p w:rsidR="00167583" w:rsidRDefault="00871D12" w:rsidP="00CF062F">
      <w:pPr>
        <w:pStyle w:val="ListParagraph"/>
        <w:numPr>
          <w:ilvl w:val="0"/>
          <w:numId w:val="53"/>
        </w:numPr>
        <w:rPr>
          <w:rStyle w:val="Arial"/>
        </w:rPr>
      </w:pPr>
      <w:r>
        <w:rPr>
          <w:rStyle w:val="Arial"/>
        </w:rPr>
        <w:t>A</w:t>
      </w:r>
      <w:r w:rsidR="00F004D6">
        <w:rPr>
          <w:rStyle w:val="Arial"/>
        </w:rPr>
        <w:t>ny psychoactive product that poses no more than a low risk of harm to individuals who use the product should be approved.</w:t>
      </w:r>
      <w:r w:rsidR="00167583">
        <w:rPr>
          <w:rStyle w:val="Arial"/>
        </w:rPr>
        <w:t xml:space="preserve"> (A product that poses no more than a low risk of harm is expected to have a </w:t>
      </w:r>
      <w:r w:rsidR="001A0A85">
        <w:rPr>
          <w:rStyle w:val="Arial"/>
        </w:rPr>
        <w:t>risk profile similar to an over-the-</w:t>
      </w:r>
      <w:r w:rsidR="00167583">
        <w:rPr>
          <w:rStyle w:val="Arial"/>
        </w:rPr>
        <w:t>counter o</w:t>
      </w:r>
      <w:r w:rsidR="001A0A85">
        <w:rPr>
          <w:rStyle w:val="Arial"/>
        </w:rPr>
        <w:t>r</w:t>
      </w:r>
      <w:r w:rsidR="00167583">
        <w:rPr>
          <w:rStyle w:val="Arial"/>
        </w:rPr>
        <w:t xml:space="preserve"> general sales medicine</w:t>
      </w:r>
      <w:r w:rsidR="00F004D6">
        <w:rPr>
          <w:rStyle w:val="Arial"/>
        </w:rPr>
        <w:t xml:space="preserve"> </w:t>
      </w:r>
    </w:p>
    <w:p w:rsidR="00167583" w:rsidRDefault="00F004D6" w:rsidP="00CF062F">
      <w:pPr>
        <w:pStyle w:val="ListParagraph"/>
        <w:numPr>
          <w:ilvl w:val="0"/>
          <w:numId w:val="53"/>
        </w:numPr>
        <w:rPr>
          <w:rStyle w:val="Arial"/>
        </w:rPr>
      </w:pPr>
      <w:r>
        <w:rPr>
          <w:rStyle w:val="Arial"/>
        </w:rPr>
        <w:t xml:space="preserve">Conversely, any psychoactive product that poses </w:t>
      </w:r>
      <w:r w:rsidRPr="00167583">
        <w:rPr>
          <w:rStyle w:val="Arial"/>
          <w:b/>
        </w:rPr>
        <w:t>more</w:t>
      </w:r>
      <w:r>
        <w:rPr>
          <w:rStyle w:val="Arial"/>
        </w:rPr>
        <w:t xml:space="preserve"> than a low risk of harm to individuals who use the product should be prohibited</w:t>
      </w:r>
      <w:r w:rsidR="00167583">
        <w:rPr>
          <w:rStyle w:val="Arial"/>
        </w:rPr>
        <w:t xml:space="preserve">  </w:t>
      </w:r>
    </w:p>
    <w:p w:rsidR="002C7CC5" w:rsidRDefault="00167583" w:rsidP="00CF062F">
      <w:pPr>
        <w:pStyle w:val="ListParagraph"/>
        <w:numPr>
          <w:ilvl w:val="0"/>
          <w:numId w:val="53"/>
        </w:numPr>
        <w:rPr>
          <w:rStyle w:val="Arial"/>
        </w:rPr>
      </w:pPr>
      <w:r>
        <w:rPr>
          <w:rStyle w:val="Arial"/>
        </w:rPr>
        <w:t>A</w:t>
      </w:r>
      <w:r w:rsidR="002C7CC5">
        <w:rPr>
          <w:rStyle w:val="Arial"/>
        </w:rPr>
        <w:t xml:space="preserve">nimals must not be used for the purposes of assessing whether a psychoactive product should be approved. </w:t>
      </w:r>
    </w:p>
    <w:p w:rsidR="00F004D6" w:rsidRDefault="00F004D6" w:rsidP="00F004D6">
      <w:pPr>
        <w:rPr>
          <w:rStyle w:val="Arial"/>
        </w:rPr>
      </w:pPr>
    </w:p>
    <w:p w:rsidR="00871D12" w:rsidRPr="00871D12" w:rsidRDefault="00871D12" w:rsidP="00871D12">
      <w:pPr>
        <w:autoSpaceDE w:val="0"/>
        <w:autoSpaceDN w:val="0"/>
        <w:adjustRightInd w:val="0"/>
        <w:rPr>
          <w:rFonts w:ascii="Arial Mäori" w:hAnsi="Arial Mäori" w:cs="Arial Mäori"/>
          <w:color w:val="000000"/>
          <w:lang w:val="en-NZ" w:eastAsia="en-NZ"/>
        </w:rPr>
      </w:pPr>
      <w:r w:rsidRPr="00871D12">
        <w:rPr>
          <w:rFonts w:ascii="Arial Mäori" w:hAnsi="Arial Mäori" w:cs="Arial Mäori"/>
          <w:color w:val="000000"/>
          <w:lang w:val="en-NZ" w:eastAsia="en-NZ"/>
        </w:rPr>
        <w:t>Assessment of the risk of harm posed by a psychoactive substance requires the OPSRA to consider a range of pharmaceutical, toxicological and chemical factors. In making the assessment, the Act prohibits the OPSRA from considering any data derived from the use of the product in animals.</w:t>
      </w:r>
    </w:p>
    <w:p w:rsidR="00871D12" w:rsidRPr="00871D12" w:rsidRDefault="00871D12" w:rsidP="00871D12">
      <w:pPr>
        <w:rPr>
          <w:rStyle w:val="Arial"/>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528"/>
      </w:tblGrid>
      <w:tr w:rsidR="00F004D6" w:rsidRPr="00871D12" w:rsidTr="00385F56">
        <w:tc>
          <w:tcPr>
            <w:tcW w:w="8528" w:type="dxa"/>
          </w:tcPr>
          <w:p w:rsidR="00BC6862" w:rsidRPr="00871D12" w:rsidRDefault="00BC6862" w:rsidP="00385F56">
            <w:pPr>
              <w:rPr>
                <w:rStyle w:val="Arial"/>
              </w:rPr>
            </w:pPr>
          </w:p>
          <w:p w:rsidR="00F004D6" w:rsidRPr="00871D12" w:rsidRDefault="00871D12" w:rsidP="00385F56">
            <w:pPr>
              <w:rPr>
                <w:rStyle w:val="Arial"/>
              </w:rPr>
            </w:pPr>
            <w:r w:rsidRPr="00871D12">
              <w:rPr>
                <w:rFonts w:ascii="Arial Mäori" w:hAnsi="Arial Mäori" w:cs="Arial Mäori"/>
                <w:color w:val="000000"/>
                <w:lang w:val="en-NZ" w:eastAsia="en-NZ"/>
              </w:rPr>
              <w:t xml:space="preserve">In the opinion of the Psychoactive Substances Expert Advisory Committee (PSEAC), it is unlikely that a product can be shown to pose no more than a low risk of harm without the use of animal testing. See Appendix </w:t>
            </w:r>
            <w:r>
              <w:rPr>
                <w:rFonts w:ascii="Arial Mäori" w:hAnsi="Arial Mäori" w:cs="Arial Mäori"/>
                <w:color w:val="000000"/>
                <w:lang w:val="en-NZ" w:eastAsia="en-NZ"/>
              </w:rPr>
              <w:t>3</w:t>
            </w:r>
            <w:r w:rsidRPr="00871D12">
              <w:rPr>
                <w:rFonts w:ascii="Arial Mäori" w:hAnsi="Arial Mäori" w:cs="Arial Mäori"/>
                <w:color w:val="000000"/>
                <w:lang w:val="en-NZ" w:eastAsia="en-NZ"/>
              </w:rPr>
              <w:t xml:space="preserve"> for the PSEAC Position Statement on animal </w:t>
            </w:r>
            <w:r>
              <w:rPr>
                <w:rFonts w:ascii="Arial Mäori" w:hAnsi="Arial Mäori" w:cs="Arial Mäori"/>
                <w:color w:val="000000"/>
                <w:lang w:val="en-NZ" w:eastAsia="en-NZ"/>
              </w:rPr>
              <w:t>testing</w:t>
            </w:r>
          </w:p>
          <w:p w:rsidR="00F004D6" w:rsidRPr="00871D12" w:rsidRDefault="00F004D6">
            <w:pPr>
              <w:rPr>
                <w:rStyle w:val="Arial"/>
              </w:rPr>
            </w:pPr>
          </w:p>
        </w:tc>
      </w:tr>
    </w:tbl>
    <w:p w:rsidR="002C7CC5" w:rsidRPr="00C63A1F" w:rsidRDefault="002C7CC5" w:rsidP="00C63A1F">
      <w:pPr>
        <w:spacing w:before="100" w:beforeAutospacing="1" w:after="100" w:afterAutospacing="1"/>
        <w:outlineLvl w:val="0"/>
        <w:rPr>
          <w:rStyle w:val="Arial"/>
          <w:vanish/>
          <w:kern w:val="36"/>
          <w:sz w:val="36"/>
          <w:szCs w:val="48"/>
          <w:lang w:val="en-NZ" w:eastAsia="en-NZ"/>
        </w:rPr>
      </w:pPr>
      <w:bookmarkStart w:id="10" w:name="_Toc401819067"/>
      <w:bookmarkStart w:id="11" w:name="_Toc401819365"/>
      <w:bookmarkEnd w:id="10"/>
      <w:bookmarkEnd w:id="11"/>
    </w:p>
    <w:p w:rsidR="002C7CC5" w:rsidRDefault="002C7CC5" w:rsidP="00CF062F">
      <w:pPr>
        <w:pStyle w:val="Heading1"/>
        <w:numPr>
          <w:ilvl w:val="0"/>
          <w:numId w:val="67"/>
        </w:numPr>
        <w:rPr>
          <w:rStyle w:val="Arial"/>
          <w:bCs w:val="0"/>
          <w:sz w:val="36"/>
        </w:rPr>
      </w:pPr>
      <w:r>
        <w:rPr>
          <w:rStyle w:val="Arial"/>
          <w:bCs w:val="0"/>
          <w:sz w:val="36"/>
        </w:rPr>
        <w:br w:type="page"/>
      </w:r>
    </w:p>
    <w:p w:rsidR="002C7CC5" w:rsidRPr="00A46454" w:rsidRDefault="00DB34DC" w:rsidP="00DB34DC">
      <w:pPr>
        <w:pStyle w:val="Heading1"/>
        <w:rPr>
          <w:rStyle w:val="Arial"/>
          <w:bCs w:val="0"/>
          <w:sz w:val="36"/>
        </w:rPr>
      </w:pPr>
      <w:bookmarkStart w:id="12" w:name="_Toc401819068"/>
      <w:bookmarkStart w:id="13" w:name="_Toc401819366"/>
      <w:bookmarkStart w:id="14" w:name="_Toc401819069"/>
      <w:bookmarkStart w:id="15" w:name="_Toc401819367"/>
      <w:bookmarkStart w:id="16" w:name="_Toc401819070"/>
      <w:bookmarkStart w:id="17" w:name="_Toc401819368"/>
      <w:bookmarkStart w:id="18" w:name="_Toc409508679"/>
      <w:bookmarkEnd w:id="12"/>
      <w:bookmarkEnd w:id="13"/>
      <w:bookmarkEnd w:id="14"/>
      <w:bookmarkEnd w:id="15"/>
      <w:bookmarkEnd w:id="16"/>
      <w:bookmarkEnd w:id="17"/>
      <w:r>
        <w:rPr>
          <w:rStyle w:val="Arial"/>
          <w:bCs w:val="0"/>
          <w:sz w:val="36"/>
        </w:rPr>
        <w:t>4</w:t>
      </w:r>
      <w:r>
        <w:rPr>
          <w:rStyle w:val="Arial"/>
          <w:bCs w:val="0"/>
          <w:sz w:val="36"/>
        </w:rPr>
        <w:tab/>
      </w:r>
      <w:r w:rsidR="002C7CC5" w:rsidRPr="00A46454">
        <w:rPr>
          <w:rStyle w:val="Arial"/>
          <w:bCs w:val="0"/>
          <w:sz w:val="36"/>
        </w:rPr>
        <w:t>A quick guide to the product application and approval process</w:t>
      </w:r>
      <w:bookmarkEnd w:id="18"/>
    </w:p>
    <w:p w:rsidR="002C7CC5" w:rsidRPr="00A46454" w:rsidRDefault="002C7CC5" w:rsidP="002C7CC5">
      <w:pPr>
        <w:rPr>
          <w:rFonts w:ascii="Arial" w:hAnsi="Arial"/>
        </w:rPr>
      </w:pPr>
      <w:r w:rsidRPr="00A46454">
        <w:rPr>
          <w:rFonts w:ascii="Arial" w:hAnsi="Arial"/>
        </w:rPr>
        <w:t>The key steps in the product approval process are:</w:t>
      </w:r>
    </w:p>
    <w:p w:rsidR="002C7CC5" w:rsidRPr="00A46454" w:rsidRDefault="002C7CC5" w:rsidP="00CF062F">
      <w:pPr>
        <w:pStyle w:val="ListParagraph"/>
        <w:numPr>
          <w:ilvl w:val="0"/>
          <w:numId w:val="38"/>
        </w:numPr>
        <w:spacing w:before="120" w:after="120"/>
        <w:ind w:left="714" w:hanging="357"/>
        <w:rPr>
          <w:rFonts w:ascii="Arial" w:hAnsi="Arial"/>
        </w:rPr>
      </w:pPr>
      <w:r w:rsidRPr="00A46454">
        <w:rPr>
          <w:rFonts w:ascii="Arial" w:hAnsi="Arial"/>
        </w:rPr>
        <w:t>receiving and screening for completeness</w:t>
      </w:r>
    </w:p>
    <w:p w:rsidR="002C7CC5" w:rsidRPr="00A46454" w:rsidRDefault="002C7CC5" w:rsidP="00CF062F">
      <w:pPr>
        <w:pStyle w:val="ListParagraph"/>
        <w:numPr>
          <w:ilvl w:val="0"/>
          <w:numId w:val="38"/>
        </w:numPr>
        <w:spacing w:before="120" w:after="120"/>
        <w:ind w:left="714" w:hanging="357"/>
        <w:rPr>
          <w:rFonts w:ascii="Arial" w:hAnsi="Arial"/>
        </w:rPr>
      </w:pPr>
      <w:r w:rsidRPr="00A46454">
        <w:rPr>
          <w:rFonts w:ascii="Arial" w:hAnsi="Arial"/>
        </w:rPr>
        <w:t>invoicing and payment</w:t>
      </w:r>
    </w:p>
    <w:p w:rsidR="002C7CC5" w:rsidRPr="00A46454" w:rsidRDefault="002C7CC5" w:rsidP="00CF062F">
      <w:pPr>
        <w:pStyle w:val="ListParagraph"/>
        <w:numPr>
          <w:ilvl w:val="0"/>
          <w:numId w:val="38"/>
        </w:numPr>
        <w:spacing w:before="120" w:after="120"/>
        <w:ind w:left="714" w:hanging="357"/>
        <w:rPr>
          <w:rFonts w:ascii="Arial" w:hAnsi="Arial"/>
        </w:rPr>
      </w:pPr>
      <w:r w:rsidRPr="00A46454">
        <w:rPr>
          <w:rFonts w:ascii="Arial" w:hAnsi="Arial"/>
        </w:rPr>
        <w:t>evaluation of information</w:t>
      </w:r>
    </w:p>
    <w:p w:rsidR="002C7CC5" w:rsidRPr="00A46454" w:rsidRDefault="002C7CC5" w:rsidP="00CF062F">
      <w:pPr>
        <w:pStyle w:val="ListParagraph"/>
        <w:numPr>
          <w:ilvl w:val="0"/>
          <w:numId w:val="38"/>
        </w:numPr>
        <w:spacing w:before="120" w:after="120"/>
        <w:ind w:left="714" w:hanging="357"/>
        <w:rPr>
          <w:rFonts w:ascii="Arial" w:hAnsi="Arial"/>
        </w:rPr>
      </w:pPr>
      <w:r w:rsidRPr="00A46454">
        <w:rPr>
          <w:rFonts w:ascii="Arial" w:hAnsi="Arial"/>
        </w:rPr>
        <w:t xml:space="preserve">consideration by the </w:t>
      </w:r>
      <w:r w:rsidR="00C63A1F" w:rsidRPr="00A46454">
        <w:rPr>
          <w:rFonts w:ascii="Arial" w:hAnsi="Arial"/>
        </w:rPr>
        <w:t>P</w:t>
      </w:r>
      <w:r w:rsidR="00C63A1F">
        <w:rPr>
          <w:rFonts w:ascii="Arial" w:hAnsi="Arial"/>
        </w:rPr>
        <w:t>sychoactive</w:t>
      </w:r>
      <w:r>
        <w:rPr>
          <w:rFonts w:ascii="Arial" w:hAnsi="Arial"/>
        </w:rPr>
        <w:t xml:space="preserve"> Substances Expert Advisory Committee (P</w:t>
      </w:r>
      <w:r w:rsidRPr="00A46454">
        <w:rPr>
          <w:rFonts w:ascii="Arial" w:hAnsi="Arial"/>
        </w:rPr>
        <w:t>SEAC</w:t>
      </w:r>
      <w:r>
        <w:rPr>
          <w:rFonts w:ascii="Arial" w:hAnsi="Arial"/>
        </w:rPr>
        <w:t>)</w:t>
      </w:r>
    </w:p>
    <w:p w:rsidR="002C7CC5" w:rsidRPr="00A46454" w:rsidRDefault="002C7CC5" w:rsidP="00CF062F">
      <w:pPr>
        <w:pStyle w:val="ListParagraph"/>
        <w:numPr>
          <w:ilvl w:val="0"/>
          <w:numId w:val="38"/>
        </w:numPr>
        <w:spacing w:before="120" w:after="120"/>
        <w:ind w:left="714" w:hanging="357"/>
        <w:rPr>
          <w:rFonts w:ascii="Arial" w:hAnsi="Arial"/>
        </w:rPr>
      </w:pPr>
      <w:r w:rsidRPr="00A46454">
        <w:rPr>
          <w:rFonts w:ascii="Arial" w:hAnsi="Arial"/>
        </w:rPr>
        <w:t>notification of the outcome</w:t>
      </w:r>
    </w:p>
    <w:p w:rsidR="00871D12" w:rsidRDefault="00871D12" w:rsidP="00CF062F">
      <w:pPr>
        <w:pStyle w:val="ListParagraph"/>
        <w:numPr>
          <w:ilvl w:val="1"/>
          <w:numId w:val="38"/>
        </w:numPr>
        <w:spacing w:before="120" w:after="120"/>
        <w:rPr>
          <w:rFonts w:ascii="Arial" w:hAnsi="Arial"/>
        </w:rPr>
      </w:pPr>
      <w:r>
        <w:rPr>
          <w:rFonts w:ascii="Arial" w:hAnsi="Arial"/>
        </w:rPr>
        <w:t>issuing of a product approval, or</w:t>
      </w:r>
    </w:p>
    <w:p w:rsidR="002C7CC5" w:rsidRPr="00A46454" w:rsidRDefault="002C7CC5" w:rsidP="00CF062F">
      <w:pPr>
        <w:pStyle w:val="ListParagraph"/>
        <w:numPr>
          <w:ilvl w:val="1"/>
          <w:numId w:val="38"/>
        </w:numPr>
        <w:spacing w:before="120" w:after="120"/>
        <w:rPr>
          <w:rFonts w:ascii="Arial" w:hAnsi="Arial"/>
        </w:rPr>
      </w:pPr>
      <w:r w:rsidRPr="00A46454">
        <w:rPr>
          <w:rFonts w:ascii="Arial" w:hAnsi="Arial"/>
        </w:rPr>
        <w:t>the opportunity to make a further submission if the outcome is negative</w:t>
      </w:r>
    </w:p>
    <w:p w:rsidR="002C7CC5" w:rsidRPr="00A46454" w:rsidRDefault="002C7CC5" w:rsidP="00CF062F">
      <w:pPr>
        <w:pStyle w:val="ListParagraph"/>
        <w:numPr>
          <w:ilvl w:val="1"/>
          <w:numId w:val="38"/>
        </w:numPr>
        <w:spacing w:before="120" w:after="120"/>
        <w:rPr>
          <w:rFonts w:ascii="Arial" w:hAnsi="Arial"/>
        </w:rPr>
      </w:pPr>
      <w:r w:rsidRPr="00A46454">
        <w:rPr>
          <w:rFonts w:ascii="Arial" w:hAnsi="Arial"/>
        </w:rPr>
        <w:t>the opportunity to lodge an appeal with the psychoactive substances appeals committee (PSAC) if the outcome is negative</w:t>
      </w:r>
      <w:r>
        <w:rPr>
          <w:rFonts w:ascii="Arial" w:hAnsi="Arial"/>
        </w:rPr>
        <w:t>.</w:t>
      </w:r>
    </w:p>
    <w:p w:rsidR="002C7CC5" w:rsidRPr="00A46454" w:rsidRDefault="002C7CC5" w:rsidP="002C7CC5">
      <w:pPr>
        <w:rPr>
          <w:rFonts w:ascii="Arial" w:hAnsi="Arial"/>
        </w:rPr>
      </w:pPr>
      <w:r w:rsidRPr="00A46454">
        <w:rPr>
          <w:rFonts w:ascii="Arial" w:hAnsi="Arial"/>
        </w:rPr>
        <w:t xml:space="preserve">Figure </w:t>
      </w:r>
      <w:r>
        <w:rPr>
          <w:rFonts w:ascii="Arial" w:hAnsi="Arial"/>
        </w:rPr>
        <w:t>A below</w:t>
      </w:r>
      <w:r w:rsidRPr="00A46454">
        <w:rPr>
          <w:rFonts w:ascii="Arial" w:hAnsi="Arial"/>
        </w:rPr>
        <w:t xml:space="preserve"> provides an overview of the product approval process and the expected timeframes.</w:t>
      </w:r>
      <w:r w:rsidR="00167583">
        <w:rPr>
          <w:rFonts w:ascii="Arial" w:hAnsi="Arial"/>
        </w:rPr>
        <w:t xml:space="preserve"> </w:t>
      </w:r>
    </w:p>
    <w:p w:rsidR="002C7CC5" w:rsidRPr="00A46454" w:rsidRDefault="002C7CC5" w:rsidP="00CF062F">
      <w:pPr>
        <w:pStyle w:val="Heading3"/>
        <w:numPr>
          <w:ilvl w:val="0"/>
          <w:numId w:val="39"/>
        </w:numPr>
      </w:pPr>
      <w:bookmarkStart w:id="19" w:name="_Toc409508680"/>
      <w:r w:rsidRPr="00A46454">
        <w:t>Receiving and screening for completeness</w:t>
      </w:r>
      <w:bookmarkEnd w:id="19"/>
    </w:p>
    <w:p w:rsidR="00C63A1F" w:rsidRDefault="00167583" w:rsidP="00C63A1F">
      <w:pPr>
        <w:rPr>
          <w:rFonts w:ascii="Arial" w:hAnsi="Arial"/>
        </w:rPr>
      </w:pPr>
      <w:r>
        <w:rPr>
          <w:rFonts w:ascii="Arial" w:hAnsi="Arial"/>
        </w:rPr>
        <w:t>A</w:t>
      </w:r>
      <w:r w:rsidR="002C7CC5" w:rsidRPr="00A46454">
        <w:rPr>
          <w:rFonts w:ascii="Arial" w:hAnsi="Arial"/>
        </w:rPr>
        <w:t xml:space="preserve">pplications </w:t>
      </w:r>
      <w:r>
        <w:rPr>
          <w:rFonts w:ascii="Arial" w:hAnsi="Arial"/>
        </w:rPr>
        <w:t xml:space="preserve">must </w:t>
      </w:r>
      <w:r w:rsidR="002C7CC5" w:rsidRPr="00A46454">
        <w:rPr>
          <w:rFonts w:ascii="Arial" w:hAnsi="Arial"/>
        </w:rPr>
        <w:t>include all of the required information in the format required</w:t>
      </w:r>
      <w:r>
        <w:rPr>
          <w:rFonts w:ascii="Arial" w:hAnsi="Arial"/>
        </w:rPr>
        <w:t xml:space="preserve"> to pass initial screening</w:t>
      </w:r>
      <w:r w:rsidR="002C7CC5" w:rsidRPr="00A46454">
        <w:rPr>
          <w:rFonts w:ascii="Arial" w:hAnsi="Arial"/>
        </w:rPr>
        <w:t xml:space="preserve"> </w:t>
      </w:r>
      <w:r>
        <w:rPr>
          <w:rFonts w:ascii="Arial" w:hAnsi="Arial"/>
        </w:rPr>
        <w:t>or they will be returned for resubmission</w:t>
      </w:r>
      <w:r w:rsidR="00C63A1F">
        <w:rPr>
          <w:rFonts w:ascii="Arial" w:hAnsi="Arial"/>
        </w:rPr>
        <w:t>.</w:t>
      </w:r>
      <w:r>
        <w:rPr>
          <w:rFonts w:ascii="Arial" w:hAnsi="Arial"/>
        </w:rPr>
        <w:t xml:space="preserve"> Initial screening will take place within 20 </w:t>
      </w:r>
      <w:r w:rsidR="001A0A85">
        <w:rPr>
          <w:rFonts w:ascii="Arial" w:hAnsi="Arial"/>
        </w:rPr>
        <w:t xml:space="preserve">working </w:t>
      </w:r>
      <w:r>
        <w:rPr>
          <w:rFonts w:ascii="Arial" w:hAnsi="Arial"/>
        </w:rPr>
        <w:t>days of receipt of the application</w:t>
      </w:r>
    </w:p>
    <w:p w:rsidR="00C63A1F" w:rsidRDefault="00C63A1F" w:rsidP="00C63A1F">
      <w:pPr>
        <w:rPr>
          <w:rFonts w:ascii="Arial" w:hAnsi="Arial"/>
        </w:rPr>
      </w:pPr>
    </w:p>
    <w:p w:rsidR="002C7CC5" w:rsidRPr="00C63A1F" w:rsidRDefault="00107361" w:rsidP="00107361">
      <w:pPr>
        <w:ind w:left="993" w:hanging="993"/>
        <w:rPr>
          <w:rFonts w:ascii="Arial" w:hAnsi="Arial" w:cs="Arial"/>
          <w:i/>
        </w:rPr>
      </w:pPr>
      <w:r>
        <w:rPr>
          <w:rFonts w:ascii="Arial" w:hAnsi="Arial" w:cs="Arial"/>
          <w:i/>
        </w:rPr>
        <w:t>4.1.1</w:t>
      </w:r>
      <w:r>
        <w:rPr>
          <w:rFonts w:ascii="Arial" w:hAnsi="Arial" w:cs="Arial"/>
          <w:i/>
        </w:rPr>
        <w:tab/>
      </w:r>
      <w:r w:rsidR="002C7CC5" w:rsidRPr="00C63A1F">
        <w:rPr>
          <w:rFonts w:ascii="Arial" w:hAnsi="Arial" w:cs="Arial"/>
          <w:i/>
        </w:rPr>
        <w:t>Invoicing and payment</w:t>
      </w:r>
    </w:p>
    <w:p w:rsidR="00C63A1F" w:rsidRDefault="00C63A1F">
      <w:pPr>
        <w:rPr>
          <w:rFonts w:ascii="Arial" w:hAnsi="Arial"/>
        </w:rPr>
      </w:pPr>
    </w:p>
    <w:p w:rsidR="00871D12" w:rsidRPr="00871D12" w:rsidRDefault="00871D12" w:rsidP="00871D12">
      <w:pPr>
        <w:autoSpaceDE w:val="0"/>
        <w:autoSpaceDN w:val="0"/>
        <w:adjustRightInd w:val="0"/>
        <w:rPr>
          <w:rFonts w:ascii="Arial" w:hAnsi="Arial" w:cs="Arial"/>
          <w:color w:val="000000"/>
          <w:lang w:val="en-NZ" w:eastAsia="en-NZ"/>
        </w:rPr>
      </w:pPr>
      <w:r w:rsidRPr="00871D12">
        <w:rPr>
          <w:rFonts w:ascii="Arial" w:hAnsi="Arial" w:cs="Arial"/>
          <w:color w:val="000000"/>
          <w:lang w:val="en-NZ" w:eastAsia="en-NZ"/>
        </w:rPr>
        <w:t xml:space="preserve">Once an application has been screened for completeness, the OPSRA will issue the applicant with a tax invoice which will be included with the acknowledgement letter. It is the OPSRAs intent to complete screening and issue an invoice within 14 working days of receipt of the application. Payments are to be made on an invoice basis only – do not send payment with the application. </w:t>
      </w:r>
    </w:p>
    <w:p w:rsidR="00871D12" w:rsidRPr="00871D12" w:rsidRDefault="00871D12" w:rsidP="00871D12">
      <w:pPr>
        <w:autoSpaceDE w:val="0"/>
        <w:autoSpaceDN w:val="0"/>
        <w:adjustRightInd w:val="0"/>
        <w:rPr>
          <w:rFonts w:ascii="Arial" w:hAnsi="Arial" w:cs="Arial"/>
          <w:color w:val="000000"/>
          <w:lang w:val="en-NZ" w:eastAsia="en-NZ"/>
        </w:rPr>
      </w:pPr>
    </w:p>
    <w:p w:rsidR="00871D12" w:rsidRPr="00871D12" w:rsidRDefault="00871D12" w:rsidP="00871D12">
      <w:pPr>
        <w:autoSpaceDE w:val="0"/>
        <w:autoSpaceDN w:val="0"/>
        <w:adjustRightInd w:val="0"/>
        <w:rPr>
          <w:rFonts w:ascii="Arial" w:hAnsi="Arial" w:cs="Arial"/>
          <w:color w:val="000000"/>
          <w:lang w:val="en-NZ" w:eastAsia="en-NZ"/>
        </w:rPr>
      </w:pPr>
      <w:r w:rsidRPr="00871D12">
        <w:rPr>
          <w:rFonts w:ascii="Arial" w:hAnsi="Arial" w:cs="Arial"/>
          <w:color w:val="000000"/>
          <w:lang w:val="en-NZ" w:eastAsia="en-NZ"/>
        </w:rPr>
        <w:t xml:space="preserve">Payment can be made by Electronic Funds Transfer, or by cheque.  Details on how to make a payment by these methods is listed on our invoice remittance advice.  </w:t>
      </w:r>
    </w:p>
    <w:p w:rsidR="00871D12" w:rsidRPr="00871D12" w:rsidRDefault="00871D12" w:rsidP="00871D12">
      <w:pPr>
        <w:autoSpaceDE w:val="0"/>
        <w:autoSpaceDN w:val="0"/>
        <w:adjustRightInd w:val="0"/>
        <w:rPr>
          <w:rFonts w:ascii="Arial" w:hAnsi="Arial" w:cs="Arial"/>
          <w:color w:val="000000"/>
          <w:lang w:val="en-NZ" w:eastAsia="en-NZ"/>
        </w:rPr>
      </w:pPr>
    </w:p>
    <w:p w:rsidR="00871D12" w:rsidRPr="00871D12" w:rsidRDefault="00871D12" w:rsidP="00871D12">
      <w:pPr>
        <w:autoSpaceDE w:val="0"/>
        <w:autoSpaceDN w:val="0"/>
        <w:adjustRightInd w:val="0"/>
        <w:rPr>
          <w:rFonts w:ascii="Arial" w:hAnsi="Arial" w:cs="Arial"/>
          <w:color w:val="000000"/>
          <w:lang w:val="en-NZ" w:eastAsia="en-NZ"/>
        </w:rPr>
      </w:pPr>
      <w:r w:rsidRPr="00871D12">
        <w:rPr>
          <w:rFonts w:ascii="Arial" w:hAnsi="Arial" w:cs="Arial"/>
          <w:color w:val="000000"/>
          <w:lang w:val="en-NZ" w:eastAsia="en-NZ"/>
        </w:rPr>
        <w:t xml:space="preserve">Credit card payments with Visa or MasterCard can also be made.  A 2% transaction fee on credit cards applies.  You should also check with your card issuer for details about other fees or charges that may apply, as credit card transactions are carried out in terms of arrangement between you and your bank.  </w:t>
      </w:r>
    </w:p>
    <w:p w:rsidR="00871D12" w:rsidRPr="00871D12" w:rsidRDefault="00871D12" w:rsidP="00871D12">
      <w:pPr>
        <w:autoSpaceDE w:val="0"/>
        <w:autoSpaceDN w:val="0"/>
        <w:adjustRightInd w:val="0"/>
        <w:rPr>
          <w:rFonts w:ascii="Arial" w:hAnsi="Arial" w:cs="Arial"/>
          <w:color w:val="000000"/>
          <w:lang w:val="en-NZ" w:eastAsia="en-NZ"/>
        </w:rPr>
      </w:pPr>
    </w:p>
    <w:p w:rsidR="00871D12" w:rsidRPr="00871D12" w:rsidRDefault="00871D12" w:rsidP="00871D12">
      <w:pPr>
        <w:autoSpaceDE w:val="0"/>
        <w:autoSpaceDN w:val="0"/>
        <w:adjustRightInd w:val="0"/>
        <w:rPr>
          <w:rFonts w:ascii="Arial" w:hAnsi="Arial" w:cs="Arial"/>
          <w:color w:val="000000"/>
          <w:lang w:val="en-NZ" w:eastAsia="en-NZ"/>
        </w:rPr>
      </w:pPr>
      <w:r w:rsidRPr="00871D12">
        <w:rPr>
          <w:rFonts w:ascii="Arial" w:hAnsi="Arial" w:cs="Arial"/>
          <w:color w:val="000000"/>
          <w:lang w:val="en-NZ" w:eastAsia="en-NZ"/>
        </w:rPr>
        <w:t xml:space="preserve">Payments are in New Zealand dollars.  If payment is made using a credit card issued outside New Zealand, any currency conversion will be done according to the terms and conditions of the card.  </w:t>
      </w:r>
    </w:p>
    <w:p w:rsidR="00871D12" w:rsidRPr="00871D12" w:rsidRDefault="00871D12" w:rsidP="00871D12">
      <w:pPr>
        <w:autoSpaceDE w:val="0"/>
        <w:autoSpaceDN w:val="0"/>
        <w:adjustRightInd w:val="0"/>
        <w:rPr>
          <w:rFonts w:ascii="Arial" w:hAnsi="Arial" w:cs="Arial"/>
          <w:color w:val="000000"/>
          <w:lang w:val="en-NZ" w:eastAsia="en-NZ"/>
        </w:rPr>
      </w:pPr>
    </w:p>
    <w:p w:rsidR="00871D12" w:rsidRPr="00871D12" w:rsidRDefault="00871D12" w:rsidP="00871D12">
      <w:pPr>
        <w:autoSpaceDE w:val="0"/>
        <w:autoSpaceDN w:val="0"/>
        <w:adjustRightInd w:val="0"/>
        <w:rPr>
          <w:rFonts w:ascii="Arial" w:hAnsi="Arial" w:cs="Arial"/>
          <w:color w:val="000000"/>
          <w:lang w:val="en-NZ" w:eastAsia="en-NZ"/>
        </w:rPr>
      </w:pPr>
      <w:r w:rsidRPr="00871D12">
        <w:rPr>
          <w:rFonts w:ascii="Arial" w:hAnsi="Arial" w:cs="Arial"/>
          <w:color w:val="000000"/>
          <w:lang w:val="en-NZ" w:eastAsia="en-NZ"/>
        </w:rPr>
        <w:t xml:space="preserve">From the invoice remittance advice you will require the customer number, invoice number, and invoice total to complete the payment transaction.  Payments received up to 2230hrs New Zealand time will be applied the next business day.  </w:t>
      </w:r>
    </w:p>
    <w:p w:rsidR="00871D12" w:rsidRDefault="00871D12" w:rsidP="00871D12">
      <w:pPr>
        <w:autoSpaceDE w:val="0"/>
        <w:autoSpaceDN w:val="0"/>
        <w:adjustRightInd w:val="0"/>
        <w:rPr>
          <w:rFonts w:ascii="Arial" w:hAnsi="Arial" w:cs="Arial"/>
          <w:color w:val="000000"/>
          <w:sz w:val="22"/>
          <w:szCs w:val="22"/>
          <w:lang w:val="en-NZ" w:eastAsia="en-NZ"/>
        </w:rPr>
      </w:pPr>
    </w:p>
    <w:p w:rsidR="002C7CC5" w:rsidRPr="00A46454" w:rsidRDefault="002C7CC5" w:rsidP="002C7CC5">
      <w:pPr>
        <w:rPr>
          <w:rFonts w:ascii="Arial" w:hAnsi="Arial"/>
        </w:rPr>
      </w:pPr>
      <w:r w:rsidRPr="00A46454">
        <w:rPr>
          <w:rFonts w:ascii="Arial" w:hAnsi="Arial"/>
        </w:rPr>
        <w:t xml:space="preserve">The schedule of fees payable can be found in </w:t>
      </w:r>
      <w:r w:rsidRPr="008415F6">
        <w:rPr>
          <w:rFonts w:ascii="Arial" w:hAnsi="Arial"/>
        </w:rPr>
        <w:t>section 6</w:t>
      </w:r>
      <w:r w:rsidRPr="00A46454">
        <w:rPr>
          <w:rFonts w:ascii="Arial" w:hAnsi="Arial"/>
        </w:rPr>
        <w:t xml:space="preserve"> below.</w:t>
      </w:r>
    </w:p>
    <w:p w:rsidR="002C7CC5" w:rsidRPr="00A46454" w:rsidRDefault="002C7CC5" w:rsidP="00CF062F">
      <w:pPr>
        <w:pStyle w:val="Heading3"/>
        <w:numPr>
          <w:ilvl w:val="0"/>
          <w:numId w:val="39"/>
        </w:numPr>
      </w:pPr>
      <w:bookmarkStart w:id="20" w:name="_Toc409508681"/>
      <w:r w:rsidRPr="00A46454">
        <w:t>Evaluation of initial and additional information</w:t>
      </w:r>
      <w:bookmarkEnd w:id="20"/>
    </w:p>
    <w:p w:rsidR="002C7CC5" w:rsidRDefault="00841662" w:rsidP="002C7CC5">
      <w:pPr>
        <w:rPr>
          <w:rFonts w:ascii="Arial" w:hAnsi="Arial"/>
        </w:rPr>
      </w:pPr>
      <w:r>
        <w:rPr>
          <w:rFonts w:ascii="Arial" w:hAnsi="Arial"/>
        </w:rPr>
        <w:t xml:space="preserve">A full evaluation will be completed </w:t>
      </w:r>
      <w:r w:rsidR="002C7CC5" w:rsidRPr="00A46454">
        <w:rPr>
          <w:rFonts w:ascii="Arial" w:hAnsi="Arial"/>
        </w:rPr>
        <w:t>within 300 days</w:t>
      </w:r>
      <w:r w:rsidR="002C7CC5">
        <w:rPr>
          <w:rFonts w:ascii="Arial" w:hAnsi="Arial"/>
        </w:rPr>
        <w:t xml:space="preserve"> of receiving payment</w:t>
      </w:r>
      <w:r w:rsidR="002C7CC5" w:rsidRPr="00A46454">
        <w:rPr>
          <w:rFonts w:ascii="Arial" w:hAnsi="Arial"/>
        </w:rPr>
        <w:t xml:space="preserve">. </w:t>
      </w:r>
      <w:r>
        <w:rPr>
          <w:rFonts w:ascii="Arial" w:hAnsi="Arial"/>
        </w:rPr>
        <w:t xml:space="preserve">If further information is required during evaluation a </w:t>
      </w:r>
      <w:r w:rsidR="002C7CC5" w:rsidRPr="00A46454">
        <w:rPr>
          <w:rFonts w:ascii="Arial" w:hAnsi="Arial"/>
        </w:rPr>
        <w:t>Request for Further Information (RFI)</w:t>
      </w:r>
      <w:r>
        <w:rPr>
          <w:rFonts w:ascii="Arial" w:hAnsi="Arial"/>
        </w:rPr>
        <w:t xml:space="preserve"> will be made</w:t>
      </w:r>
      <w:r w:rsidR="002C7CC5" w:rsidRPr="00A46454">
        <w:rPr>
          <w:rFonts w:ascii="Arial" w:hAnsi="Arial"/>
        </w:rPr>
        <w:t xml:space="preserve">. </w:t>
      </w:r>
      <w:r w:rsidR="00C63A1F">
        <w:rPr>
          <w:rFonts w:ascii="Arial" w:hAnsi="Arial"/>
        </w:rPr>
        <w:t>A</w:t>
      </w:r>
      <w:r w:rsidRPr="00841662">
        <w:rPr>
          <w:rFonts w:ascii="Arial" w:hAnsi="Arial"/>
        </w:rPr>
        <w:t>ll information provided in response to a request from the OPSRA should be pr</w:t>
      </w:r>
      <w:r w:rsidR="00D21A0C">
        <w:rPr>
          <w:rFonts w:ascii="Arial" w:hAnsi="Arial"/>
        </w:rPr>
        <w:t xml:space="preserve">ovided in hard copy and on disc </w:t>
      </w:r>
      <w:r>
        <w:rPr>
          <w:rFonts w:ascii="Arial" w:hAnsi="Arial"/>
        </w:rPr>
        <w:t>in order to prevent the</w:t>
      </w:r>
      <w:r w:rsidR="002C7CC5" w:rsidRPr="00A46454">
        <w:rPr>
          <w:rFonts w:ascii="Arial" w:hAnsi="Arial"/>
        </w:rPr>
        <w:t xml:space="preserve"> application </w:t>
      </w:r>
      <w:r>
        <w:rPr>
          <w:rFonts w:ascii="Arial" w:hAnsi="Arial"/>
        </w:rPr>
        <w:t>from l</w:t>
      </w:r>
      <w:r w:rsidRPr="00A46454">
        <w:rPr>
          <w:rFonts w:ascii="Arial" w:hAnsi="Arial"/>
        </w:rPr>
        <w:t>apsing</w:t>
      </w:r>
      <w:r>
        <w:rPr>
          <w:rFonts w:ascii="Arial" w:hAnsi="Arial"/>
        </w:rPr>
        <w:t xml:space="preserve">.  </w:t>
      </w:r>
      <w:r w:rsidR="00871D12">
        <w:rPr>
          <w:rFonts w:ascii="Arial" w:hAnsi="Arial"/>
        </w:rPr>
        <w:t xml:space="preserve">An application lapses if the requested information is not supplied within 30 days of the request, or any further time the OPSRA may allow (by written notice). </w:t>
      </w:r>
      <w:r>
        <w:rPr>
          <w:rFonts w:ascii="Arial" w:hAnsi="Arial"/>
        </w:rPr>
        <w:t xml:space="preserve">A lapsed application will need to be </w:t>
      </w:r>
      <w:r w:rsidR="002C7CC5" w:rsidRPr="00A46454">
        <w:rPr>
          <w:rFonts w:ascii="Arial" w:hAnsi="Arial"/>
        </w:rPr>
        <w:t xml:space="preserve">resubmitted </w:t>
      </w:r>
      <w:r>
        <w:rPr>
          <w:rFonts w:ascii="Arial" w:hAnsi="Arial"/>
        </w:rPr>
        <w:t xml:space="preserve">and a </w:t>
      </w:r>
      <w:r w:rsidR="002C7CC5" w:rsidRPr="00A46454">
        <w:rPr>
          <w:rFonts w:ascii="Arial" w:hAnsi="Arial"/>
        </w:rPr>
        <w:t xml:space="preserve">full application fee </w:t>
      </w:r>
      <w:r>
        <w:rPr>
          <w:rFonts w:ascii="Arial" w:hAnsi="Arial"/>
        </w:rPr>
        <w:t>paid</w:t>
      </w:r>
      <w:r w:rsidR="002C7CC5" w:rsidRPr="00A46454">
        <w:rPr>
          <w:rFonts w:ascii="Arial" w:hAnsi="Arial"/>
        </w:rPr>
        <w:t xml:space="preserve">. </w:t>
      </w:r>
    </w:p>
    <w:p w:rsidR="00C63A1F" w:rsidRPr="00A46454" w:rsidRDefault="00C63A1F" w:rsidP="002C7CC5">
      <w:pPr>
        <w:rPr>
          <w:rFonts w:ascii="Arial" w:hAnsi="Arial"/>
        </w:rPr>
      </w:pPr>
    </w:p>
    <w:p w:rsidR="002C7CC5" w:rsidRPr="00A46454" w:rsidRDefault="00841662" w:rsidP="002C7CC5">
      <w:pPr>
        <w:rPr>
          <w:rFonts w:ascii="Arial" w:hAnsi="Arial"/>
        </w:rPr>
      </w:pPr>
      <w:r>
        <w:rPr>
          <w:rFonts w:ascii="Arial" w:hAnsi="Arial"/>
        </w:rPr>
        <w:t>A</w:t>
      </w:r>
      <w:r w:rsidR="002C7CC5" w:rsidRPr="00A46454">
        <w:rPr>
          <w:rFonts w:ascii="Arial" w:hAnsi="Arial"/>
        </w:rPr>
        <w:t>dditional information provided in response to a</w:t>
      </w:r>
      <w:r w:rsidR="002C7CC5">
        <w:rPr>
          <w:rFonts w:ascii="Arial" w:hAnsi="Arial"/>
        </w:rPr>
        <w:t>n</w:t>
      </w:r>
      <w:r w:rsidR="002C7CC5" w:rsidRPr="00A46454">
        <w:rPr>
          <w:rFonts w:ascii="Arial" w:hAnsi="Arial"/>
        </w:rPr>
        <w:t xml:space="preserve"> RFI </w:t>
      </w:r>
      <w:r>
        <w:rPr>
          <w:rFonts w:ascii="Arial" w:hAnsi="Arial"/>
        </w:rPr>
        <w:t xml:space="preserve">will </w:t>
      </w:r>
      <w:r w:rsidR="001D1066">
        <w:rPr>
          <w:rFonts w:ascii="Arial" w:hAnsi="Arial"/>
        </w:rPr>
        <w:t>be</w:t>
      </w:r>
      <w:r>
        <w:rPr>
          <w:rFonts w:ascii="Arial" w:hAnsi="Arial"/>
        </w:rPr>
        <w:t xml:space="preserve"> evaluated </w:t>
      </w:r>
      <w:r w:rsidR="002C7CC5" w:rsidRPr="002C7CC5">
        <w:rPr>
          <w:rFonts w:ascii="Arial" w:hAnsi="Arial"/>
        </w:rPr>
        <w:t xml:space="preserve">within 150 days of receiving the information. The OPSRA </w:t>
      </w:r>
      <w:r>
        <w:rPr>
          <w:rFonts w:ascii="Arial" w:hAnsi="Arial"/>
        </w:rPr>
        <w:t xml:space="preserve">may </w:t>
      </w:r>
      <w:r w:rsidR="002C7CC5" w:rsidRPr="002C7CC5">
        <w:rPr>
          <w:rFonts w:ascii="Arial" w:hAnsi="Arial"/>
        </w:rPr>
        <w:t>issue up to two RFI rounds before</w:t>
      </w:r>
      <w:r w:rsidR="002C7CC5" w:rsidRPr="00A46454">
        <w:rPr>
          <w:rFonts w:ascii="Arial" w:hAnsi="Arial"/>
        </w:rPr>
        <w:t xml:space="preserve"> making a recommendation on the</w:t>
      </w:r>
      <w:r w:rsidR="00B9544B">
        <w:rPr>
          <w:rFonts w:ascii="Arial" w:hAnsi="Arial"/>
        </w:rPr>
        <w:t xml:space="preserve"> application</w:t>
      </w:r>
      <w:r w:rsidR="002C7CC5" w:rsidRPr="00A46454">
        <w:rPr>
          <w:rFonts w:ascii="Arial" w:hAnsi="Arial"/>
        </w:rPr>
        <w:t>.</w:t>
      </w:r>
    </w:p>
    <w:p w:rsidR="002C7CC5" w:rsidRPr="00A46454" w:rsidRDefault="002C7CC5" w:rsidP="00CF062F">
      <w:pPr>
        <w:pStyle w:val="Heading3"/>
        <w:numPr>
          <w:ilvl w:val="0"/>
          <w:numId w:val="39"/>
        </w:numPr>
      </w:pPr>
      <w:bookmarkStart w:id="21" w:name="_Toc409508682"/>
      <w:r w:rsidRPr="00A46454">
        <w:t>Consideration by the P</w:t>
      </w:r>
      <w:r w:rsidR="001A0A85">
        <w:t xml:space="preserve">sychoactive </w:t>
      </w:r>
      <w:r w:rsidRPr="00A46454">
        <w:t>S</w:t>
      </w:r>
      <w:r w:rsidR="001A0A85">
        <w:t xml:space="preserve">ubstances </w:t>
      </w:r>
      <w:r w:rsidRPr="00A46454">
        <w:t>E</w:t>
      </w:r>
      <w:r w:rsidR="001A0A85">
        <w:t xml:space="preserve">xpert </w:t>
      </w:r>
      <w:r w:rsidRPr="00A46454">
        <w:t>A</w:t>
      </w:r>
      <w:r w:rsidR="001A0A85">
        <w:t xml:space="preserve">dvisory </w:t>
      </w:r>
      <w:r w:rsidRPr="00A46454">
        <w:t>C</w:t>
      </w:r>
      <w:r w:rsidR="001A0A85">
        <w:t>ommittee (PSEAC)</w:t>
      </w:r>
      <w:bookmarkEnd w:id="21"/>
    </w:p>
    <w:p w:rsidR="002C7CC5" w:rsidRPr="00A46454" w:rsidRDefault="002C7CC5" w:rsidP="002C7CC5">
      <w:pPr>
        <w:rPr>
          <w:rFonts w:ascii="Arial" w:hAnsi="Arial"/>
        </w:rPr>
      </w:pPr>
      <w:r w:rsidRPr="00A46454">
        <w:rPr>
          <w:rFonts w:ascii="Arial" w:hAnsi="Arial"/>
        </w:rPr>
        <w:t xml:space="preserve">All product applications are referred to the PSEAC. The PSEAC is a committee made up of experts in relevant areas such as pharmacology, toxicology, neurosciences and medicine. The function of the PSEAC is to evaluate psychoactive products to assess whether they should </w:t>
      </w:r>
      <w:r w:rsidR="00B9544B">
        <w:rPr>
          <w:rFonts w:ascii="Arial" w:hAnsi="Arial"/>
        </w:rPr>
        <w:t xml:space="preserve">pose no more than a low risk of harm to </w:t>
      </w:r>
      <w:r w:rsidRPr="00A46454">
        <w:rPr>
          <w:rFonts w:ascii="Arial" w:hAnsi="Arial"/>
        </w:rPr>
        <w:t xml:space="preserve">be approved for use by individuals and to advise the Authority accordingly. The final decision </w:t>
      </w:r>
      <w:r w:rsidR="00841662">
        <w:rPr>
          <w:rFonts w:ascii="Arial" w:hAnsi="Arial"/>
        </w:rPr>
        <w:t>on</w:t>
      </w:r>
      <w:r w:rsidR="00841662" w:rsidRPr="00A46454">
        <w:rPr>
          <w:rFonts w:ascii="Arial" w:hAnsi="Arial"/>
        </w:rPr>
        <w:t xml:space="preserve"> </w:t>
      </w:r>
      <w:r w:rsidRPr="00A46454">
        <w:rPr>
          <w:rFonts w:ascii="Arial" w:hAnsi="Arial"/>
        </w:rPr>
        <w:t xml:space="preserve">whether to approve a product or not is made by the Authority on the basis of the recommendations made by the </w:t>
      </w:r>
      <w:r>
        <w:rPr>
          <w:rFonts w:ascii="Arial" w:hAnsi="Arial"/>
        </w:rPr>
        <w:t>OPSRA</w:t>
      </w:r>
      <w:r w:rsidRPr="00A46454">
        <w:rPr>
          <w:rFonts w:ascii="Arial" w:hAnsi="Arial"/>
        </w:rPr>
        <w:t xml:space="preserve"> and the PSEAC.</w:t>
      </w:r>
    </w:p>
    <w:p w:rsidR="002C7CC5" w:rsidRPr="00A46454" w:rsidRDefault="002C7CC5" w:rsidP="002C7CC5">
      <w:pPr>
        <w:rPr>
          <w:rFonts w:ascii="Arial" w:hAnsi="Arial"/>
        </w:rPr>
      </w:pPr>
    </w:p>
    <w:p w:rsidR="002C7CC5" w:rsidRDefault="002C7CC5" w:rsidP="002C7CC5">
      <w:pPr>
        <w:rPr>
          <w:rFonts w:ascii="Arial" w:hAnsi="Arial"/>
        </w:rPr>
      </w:pPr>
      <w:r w:rsidRPr="00A46454">
        <w:rPr>
          <w:rFonts w:ascii="Arial" w:hAnsi="Arial"/>
        </w:rPr>
        <w:t xml:space="preserve">The PSEAC </w:t>
      </w:r>
      <w:r w:rsidR="00841662">
        <w:rPr>
          <w:rFonts w:ascii="Arial" w:hAnsi="Arial"/>
        </w:rPr>
        <w:t>will</w:t>
      </w:r>
      <w:r w:rsidRPr="00A46454">
        <w:rPr>
          <w:rFonts w:ascii="Arial" w:hAnsi="Arial"/>
        </w:rPr>
        <w:t xml:space="preserve"> meet not less than four times a year. Product applications must be ready to be referred to the committee at least one month prior to the date of the meeting Product applications that do not meet the one month cut off period will be referred to a subsequent meeting.</w:t>
      </w:r>
    </w:p>
    <w:p w:rsidR="002C7CC5" w:rsidRDefault="002C7CC5" w:rsidP="002C7CC5">
      <w:pPr>
        <w:rPr>
          <w:rFonts w:ascii="Arial" w:hAnsi="Arial"/>
        </w:rPr>
      </w:pPr>
    </w:p>
    <w:p w:rsidR="002C7CC5" w:rsidRPr="00A46454" w:rsidRDefault="002C7CC5" w:rsidP="002C7CC5">
      <w:pPr>
        <w:rPr>
          <w:rFonts w:ascii="Arial" w:hAnsi="Arial"/>
        </w:rPr>
      </w:pPr>
      <w:r w:rsidRPr="002C7CC5">
        <w:rPr>
          <w:rFonts w:ascii="Arial" w:hAnsi="Arial"/>
        </w:rPr>
        <w:t>Meeting dates, agendas and minutes will be published on the PSRA website at</w:t>
      </w:r>
      <w:r>
        <w:rPr>
          <w:rFonts w:ascii="Arial" w:hAnsi="Arial"/>
        </w:rPr>
        <w:t xml:space="preserve"> </w:t>
      </w:r>
      <w:r w:rsidR="00B9544B">
        <w:rPr>
          <w:rFonts w:ascii="Arial" w:hAnsi="Arial"/>
        </w:rPr>
        <w:t>www.psychoactives</w:t>
      </w:r>
      <w:r>
        <w:rPr>
          <w:rFonts w:ascii="Arial" w:hAnsi="Arial"/>
        </w:rPr>
        <w:t>.</w:t>
      </w:r>
      <w:r w:rsidR="00B9544B">
        <w:rPr>
          <w:rFonts w:ascii="Arial" w:hAnsi="Arial"/>
        </w:rPr>
        <w:t>health.govt.nz</w:t>
      </w:r>
    </w:p>
    <w:p w:rsidR="002C7CC5" w:rsidRPr="00A46454" w:rsidRDefault="002C7CC5" w:rsidP="00CF062F">
      <w:pPr>
        <w:pStyle w:val="Heading3"/>
        <w:numPr>
          <w:ilvl w:val="0"/>
          <w:numId w:val="39"/>
        </w:numPr>
      </w:pPr>
      <w:bookmarkStart w:id="22" w:name="_Toc409508683"/>
      <w:r w:rsidRPr="00A46454">
        <w:t>Notification of the outcome</w:t>
      </w:r>
      <w:bookmarkEnd w:id="22"/>
    </w:p>
    <w:p w:rsidR="00871D12" w:rsidRDefault="00871D12" w:rsidP="00871D12">
      <w:pPr>
        <w:autoSpaceDE w:val="0"/>
        <w:autoSpaceDN w:val="0"/>
        <w:adjustRightInd w:val="0"/>
        <w:rPr>
          <w:rFonts w:ascii="Arial" w:hAnsi="Arial" w:cs="Arial"/>
          <w:color w:val="000000"/>
          <w:sz w:val="22"/>
          <w:szCs w:val="22"/>
          <w:lang w:val="en-NZ" w:eastAsia="en-NZ"/>
        </w:rPr>
      </w:pPr>
      <w:r>
        <w:rPr>
          <w:rFonts w:ascii="Arial" w:hAnsi="Arial" w:cs="Arial"/>
          <w:color w:val="000000"/>
          <w:sz w:val="22"/>
          <w:szCs w:val="22"/>
          <w:lang w:val="en-NZ" w:eastAsia="en-NZ"/>
        </w:rPr>
        <w:t>If the outcome is positive, the applicant will receive the licence approval certificate and an outcome letter. Applicants should carefully read both the outcome letter and the certificate as these documents will describe the approved details, requirements and conditions that must be complied with. Any incorrect details should be notified to the OPSRA immediately.</w:t>
      </w:r>
    </w:p>
    <w:p w:rsidR="00871D12" w:rsidRDefault="00871D12" w:rsidP="00871D12">
      <w:pPr>
        <w:autoSpaceDE w:val="0"/>
        <w:autoSpaceDN w:val="0"/>
        <w:adjustRightInd w:val="0"/>
        <w:rPr>
          <w:rFonts w:ascii="Arial" w:hAnsi="Arial" w:cs="Arial"/>
          <w:color w:val="000000"/>
          <w:sz w:val="22"/>
          <w:szCs w:val="22"/>
          <w:lang w:val="en-NZ" w:eastAsia="en-NZ"/>
        </w:rPr>
      </w:pPr>
    </w:p>
    <w:p w:rsidR="00871D12" w:rsidRDefault="00871D12" w:rsidP="00871D12">
      <w:pPr>
        <w:autoSpaceDE w:val="0"/>
        <w:autoSpaceDN w:val="0"/>
        <w:adjustRightInd w:val="0"/>
        <w:rPr>
          <w:rFonts w:ascii="Arial" w:hAnsi="Arial" w:cs="Arial"/>
          <w:color w:val="000000"/>
          <w:sz w:val="22"/>
          <w:szCs w:val="22"/>
          <w:lang w:val="en-NZ" w:eastAsia="en-NZ"/>
        </w:rPr>
      </w:pPr>
      <w:r>
        <w:rPr>
          <w:rFonts w:ascii="Arial" w:hAnsi="Arial" w:cs="Arial"/>
          <w:color w:val="000000"/>
          <w:sz w:val="22"/>
          <w:szCs w:val="22"/>
          <w:lang w:val="en-NZ" w:eastAsia="en-NZ"/>
        </w:rPr>
        <w:t>If the outcome is negative, the applicant will receive an outcome letter which clearly explains the grounds for the proposed refusal. The letter will also advise the applicant of their right, under section 21(1)(b) of the Act, to make a written submission to the OPSRA to object to the Authority’s proposal to refuse product approval.</w:t>
      </w:r>
    </w:p>
    <w:p w:rsidR="00871D12" w:rsidRDefault="00871D12" w:rsidP="00871D12">
      <w:pPr>
        <w:autoSpaceDE w:val="0"/>
        <w:autoSpaceDN w:val="0"/>
        <w:adjustRightInd w:val="0"/>
        <w:rPr>
          <w:rFonts w:ascii="Arial" w:hAnsi="Arial" w:cs="Arial"/>
          <w:color w:val="000000"/>
          <w:sz w:val="22"/>
          <w:szCs w:val="22"/>
          <w:lang w:val="en-NZ" w:eastAsia="en-NZ"/>
        </w:rPr>
      </w:pPr>
    </w:p>
    <w:p w:rsidR="00871D12" w:rsidRDefault="00871D12" w:rsidP="00871D12">
      <w:pPr>
        <w:autoSpaceDE w:val="0"/>
        <w:autoSpaceDN w:val="0"/>
        <w:adjustRightInd w:val="0"/>
        <w:rPr>
          <w:rFonts w:ascii="Arial" w:hAnsi="Arial" w:cs="Arial"/>
          <w:color w:val="000000"/>
          <w:sz w:val="22"/>
          <w:szCs w:val="22"/>
          <w:lang w:val="en-NZ" w:eastAsia="en-NZ"/>
        </w:rPr>
      </w:pPr>
      <w:r>
        <w:rPr>
          <w:rFonts w:ascii="Arial" w:hAnsi="Arial" w:cs="Arial"/>
          <w:color w:val="000000"/>
          <w:sz w:val="22"/>
          <w:szCs w:val="22"/>
          <w:lang w:val="en-NZ" w:eastAsia="en-NZ"/>
        </w:rPr>
        <w:t xml:space="preserve">If the applicant chooses not to make a written submission within the required timeframe the Authority will refuse the licence application. </w:t>
      </w:r>
    </w:p>
    <w:p w:rsidR="00871D12" w:rsidRDefault="00871D12" w:rsidP="00871D12">
      <w:pPr>
        <w:autoSpaceDE w:val="0"/>
        <w:autoSpaceDN w:val="0"/>
        <w:adjustRightInd w:val="0"/>
        <w:rPr>
          <w:rFonts w:ascii="Arial" w:hAnsi="Arial" w:cs="Arial"/>
          <w:color w:val="000000"/>
          <w:sz w:val="22"/>
          <w:szCs w:val="22"/>
          <w:lang w:val="en-NZ" w:eastAsia="en-NZ"/>
        </w:rPr>
      </w:pPr>
    </w:p>
    <w:p w:rsidR="00871D12" w:rsidRDefault="00871D12" w:rsidP="00871D12">
      <w:pPr>
        <w:autoSpaceDE w:val="0"/>
        <w:autoSpaceDN w:val="0"/>
        <w:adjustRightInd w:val="0"/>
        <w:rPr>
          <w:rFonts w:ascii="Arial" w:hAnsi="Arial" w:cs="Arial"/>
          <w:color w:val="000000"/>
          <w:sz w:val="22"/>
          <w:szCs w:val="22"/>
          <w:lang w:val="en-NZ" w:eastAsia="en-NZ"/>
        </w:rPr>
      </w:pPr>
      <w:r>
        <w:rPr>
          <w:rFonts w:ascii="Arial" w:hAnsi="Arial" w:cs="Arial"/>
          <w:color w:val="000000"/>
          <w:sz w:val="22"/>
          <w:szCs w:val="22"/>
          <w:lang w:val="en-NZ" w:eastAsia="en-NZ"/>
        </w:rPr>
        <w:t>If the applicant chooses to make a written submission and it is received within the required timeframe the Authority will reconsider the proposal to refuse the licence based on the written submission. It is the OPSRAs intent to complete this process within 28 working days of receiving the written submission.</w:t>
      </w:r>
    </w:p>
    <w:p w:rsidR="00871D12" w:rsidRDefault="00871D12" w:rsidP="00871D12">
      <w:pPr>
        <w:autoSpaceDE w:val="0"/>
        <w:autoSpaceDN w:val="0"/>
        <w:adjustRightInd w:val="0"/>
        <w:rPr>
          <w:rFonts w:ascii="Arial" w:hAnsi="Arial" w:cs="Arial"/>
          <w:color w:val="000000"/>
          <w:sz w:val="22"/>
          <w:szCs w:val="22"/>
          <w:lang w:val="en-NZ" w:eastAsia="en-NZ"/>
        </w:rPr>
      </w:pPr>
    </w:p>
    <w:p w:rsidR="00871D12" w:rsidRDefault="00871D12" w:rsidP="00871D12">
      <w:pPr>
        <w:autoSpaceDE w:val="0"/>
        <w:autoSpaceDN w:val="0"/>
        <w:adjustRightInd w:val="0"/>
        <w:rPr>
          <w:rFonts w:ascii="Arial" w:hAnsi="Arial" w:cs="Arial"/>
          <w:color w:val="000000"/>
          <w:sz w:val="22"/>
          <w:szCs w:val="22"/>
          <w:lang w:val="en-NZ" w:eastAsia="en-NZ"/>
        </w:rPr>
      </w:pPr>
      <w:r>
        <w:rPr>
          <w:rFonts w:ascii="Arial" w:hAnsi="Arial" w:cs="Arial"/>
          <w:color w:val="000000"/>
          <w:sz w:val="22"/>
          <w:szCs w:val="22"/>
          <w:lang w:val="en-NZ" w:eastAsia="en-NZ"/>
        </w:rPr>
        <w:t>If the outcome is positive, the applicant will receive the licence certificate and an outcome letter. Applicants should carefully read both the outcome letter and the licence certificate as explained above.</w:t>
      </w:r>
    </w:p>
    <w:p w:rsidR="00871D12" w:rsidRDefault="00871D12" w:rsidP="00871D12">
      <w:pPr>
        <w:autoSpaceDE w:val="0"/>
        <w:autoSpaceDN w:val="0"/>
        <w:adjustRightInd w:val="0"/>
        <w:rPr>
          <w:rFonts w:ascii="Arial" w:hAnsi="Arial" w:cs="Arial"/>
          <w:color w:val="000000"/>
          <w:sz w:val="22"/>
          <w:szCs w:val="22"/>
          <w:lang w:val="en-NZ" w:eastAsia="en-NZ"/>
        </w:rPr>
      </w:pPr>
    </w:p>
    <w:p w:rsidR="00871D12" w:rsidRPr="00871D12" w:rsidRDefault="00871D12" w:rsidP="00871D12">
      <w:pPr>
        <w:autoSpaceDE w:val="0"/>
        <w:autoSpaceDN w:val="0"/>
        <w:adjustRightInd w:val="0"/>
        <w:rPr>
          <w:rFonts w:ascii="Arial" w:hAnsi="Arial" w:cs="Arial"/>
          <w:sz w:val="22"/>
          <w:szCs w:val="22"/>
          <w:lang w:val="en-NZ" w:eastAsia="en-NZ"/>
        </w:rPr>
      </w:pPr>
      <w:r>
        <w:rPr>
          <w:rFonts w:ascii="Arial" w:hAnsi="Arial" w:cs="Arial"/>
          <w:color w:val="000000"/>
          <w:sz w:val="22"/>
          <w:szCs w:val="22"/>
          <w:lang w:val="en-NZ" w:eastAsia="en-NZ"/>
        </w:rPr>
        <w:t>If the outcome is negative, the applicant will receive notification that the licence application has been refused, and the grounds for this refusal. Applicants will also be advised of their right, under section 45 of the Act, to lodge an appeal with the PSAC.</w:t>
      </w:r>
      <w:r w:rsidRPr="00871D12">
        <w:rPr>
          <w:rFonts w:ascii="Arial" w:hAnsi="Arial" w:cs="Arial"/>
          <w:color w:val="FF0000"/>
          <w:sz w:val="22"/>
          <w:szCs w:val="22"/>
          <w:lang w:val="en-NZ" w:eastAsia="en-NZ"/>
        </w:rPr>
        <w:t xml:space="preserve"> </w:t>
      </w:r>
      <w:r w:rsidRPr="00871D12">
        <w:rPr>
          <w:rFonts w:ascii="Arial" w:hAnsi="Arial" w:cs="Arial"/>
          <w:sz w:val="22"/>
          <w:szCs w:val="22"/>
          <w:lang w:val="en-NZ" w:eastAsia="en-NZ"/>
        </w:rPr>
        <w:t>Specific conditions imposed on licences can be contested by the applicant with the OPSRA.  If the applicant is not content with the outcome received from the OPSRA, they can appeal to the PSAC about the Authority’s decision to impose specific conditions on a licence</w:t>
      </w:r>
    </w:p>
    <w:p w:rsidR="002C7CC5" w:rsidRPr="00A46454" w:rsidRDefault="002C7CC5" w:rsidP="00CF062F">
      <w:pPr>
        <w:pStyle w:val="Heading3"/>
        <w:numPr>
          <w:ilvl w:val="0"/>
          <w:numId w:val="39"/>
        </w:numPr>
      </w:pPr>
      <w:bookmarkStart w:id="23" w:name="_Toc409508684"/>
      <w:r w:rsidRPr="00A46454">
        <w:t>Lodging an appeal with the PSAC</w:t>
      </w:r>
      <w:bookmarkEnd w:id="23"/>
    </w:p>
    <w:p w:rsidR="002C7CC5" w:rsidRPr="00A46454" w:rsidRDefault="002C7CC5" w:rsidP="002C7CC5">
      <w:pPr>
        <w:rPr>
          <w:rFonts w:ascii="Arial" w:hAnsi="Arial"/>
        </w:rPr>
      </w:pPr>
      <w:r w:rsidRPr="00A46454">
        <w:rPr>
          <w:rFonts w:ascii="Arial" w:hAnsi="Arial"/>
        </w:rPr>
        <w:t>The PSAC is a committee made up of three members, at least one of which must be a lawyer with at least seven years’ experience. The function of the committee is to independently review any decision made by the Authority:</w:t>
      </w:r>
    </w:p>
    <w:p w:rsidR="002C7CC5" w:rsidRPr="000B4BC9" w:rsidRDefault="002C7CC5" w:rsidP="00CF062F">
      <w:pPr>
        <w:pStyle w:val="ListParagraph"/>
        <w:numPr>
          <w:ilvl w:val="0"/>
          <w:numId w:val="40"/>
        </w:numPr>
        <w:spacing w:before="120" w:after="120"/>
        <w:ind w:left="714" w:hanging="357"/>
        <w:rPr>
          <w:rFonts w:ascii="Arial" w:hAnsi="Arial"/>
        </w:rPr>
      </w:pPr>
      <w:r w:rsidRPr="000B4BC9">
        <w:rPr>
          <w:rFonts w:ascii="Arial" w:hAnsi="Arial"/>
        </w:rPr>
        <w:t>to refuse to approve the psychoactive product</w:t>
      </w:r>
    </w:p>
    <w:p w:rsidR="002C7CC5" w:rsidRPr="000B4BC9" w:rsidRDefault="002C7CC5" w:rsidP="00CF062F">
      <w:pPr>
        <w:pStyle w:val="ListParagraph"/>
        <w:numPr>
          <w:ilvl w:val="0"/>
          <w:numId w:val="40"/>
        </w:numPr>
        <w:spacing w:before="120" w:after="120"/>
        <w:ind w:left="714" w:hanging="357"/>
        <w:rPr>
          <w:rFonts w:ascii="Arial" w:hAnsi="Arial"/>
        </w:rPr>
      </w:pPr>
      <w:r w:rsidRPr="000B4BC9">
        <w:rPr>
          <w:rFonts w:ascii="Arial" w:hAnsi="Arial"/>
        </w:rPr>
        <w:t>to impose a condition on the approval of the psychoactive product</w:t>
      </w:r>
    </w:p>
    <w:p w:rsidR="002C7CC5" w:rsidRPr="000B4BC9" w:rsidRDefault="002C7CC5" w:rsidP="00CF062F">
      <w:pPr>
        <w:pStyle w:val="ListParagraph"/>
        <w:numPr>
          <w:ilvl w:val="0"/>
          <w:numId w:val="40"/>
        </w:numPr>
        <w:spacing w:before="120" w:after="120"/>
        <w:ind w:left="714" w:hanging="357"/>
        <w:rPr>
          <w:rFonts w:ascii="Arial" w:hAnsi="Arial"/>
        </w:rPr>
      </w:pPr>
      <w:r w:rsidRPr="000B4BC9">
        <w:rPr>
          <w:rFonts w:ascii="Arial" w:hAnsi="Arial"/>
        </w:rPr>
        <w:t>to revoke the approval of the psychoactive product</w:t>
      </w:r>
    </w:p>
    <w:p w:rsidR="002C7CC5" w:rsidRDefault="002C7CC5" w:rsidP="00CF062F">
      <w:pPr>
        <w:pStyle w:val="ListParagraph"/>
        <w:numPr>
          <w:ilvl w:val="0"/>
          <w:numId w:val="40"/>
        </w:numPr>
        <w:spacing w:before="120" w:after="120"/>
        <w:ind w:left="714" w:hanging="357"/>
        <w:rPr>
          <w:rFonts w:ascii="Arial" w:hAnsi="Arial"/>
        </w:rPr>
      </w:pPr>
      <w:r w:rsidRPr="000B4BC9">
        <w:rPr>
          <w:rFonts w:ascii="Arial" w:hAnsi="Arial"/>
        </w:rPr>
        <w:t>to issue a recall order for the approved product</w:t>
      </w:r>
    </w:p>
    <w:p w:rsidR="005F48BE" w:rsidRPr="005F48BE" w:rsidRDefault="005F48BE" w:rsidP="00CF062F">
      <w:pPr>
        <w:pStyle w:val="ListParagraph"/>
        <w:numPr>
          <w:ilvl w:val="0"/>
          <w:numId w:val="40"/>
        </w:numPr>
        <w:spacing w:before="120" w:after="120"/>
        <w:ind w:left="714" w:hanging="357"/>
        <w:rPr>
          <w:rFonts w:ascii="Arial" w:hAnsi="Arial" w:cs="Arial"/>
        </w:rPr>
      </w:pPr>
      <w:r w:rsidRPr="005F48BE">
        <w:rPr>
          <w:rFonts w:ascii="Arial" w:hAnsi="Arial" w:cs="Arial"/>
          <w:color w:val="000000"/>
          <w:lang w:val="en-NZ" w:eastAsia="en-NZ"/>
        </w:rPr>
        <w:t>to refuse to grant the person a licence</w:t>
      </w:r>
    </w:p>
    <w:p w:rsidR="005F48BE" w:rsidRPr="005F48BE" w:rsidRDefault="005F48BE" w:rsidP="00CF062F">
      <w:pPr>
        <w:pStyle w:val="ListParagraph"/>
        <w:numPr>
          <w:ilvl w:val="0"/>
          <w:numId w:val="40"/>
        </w:numPr>
        <w:spacing w:before="120" w:after="120"/>
        <w:ind w:left="714" w:hanging="357"/>
        <w:rPr>
          <w:rFonts w:ascii="Arial" w:hAnsi="Arial" w:cs="Arial"/>
        </w:rPr>
      </w:pPr>
      <w:r w:rsidRPr="005F48BE">
        <w:rPr>
          <w:rFonts w:ascii="Arial" w:hAnsi="Arial" w:cs="Arial"/>
          <w:color w:val="000000"/>
          <w:lang w:val="en-NZ" w:eastAsia="en-NZ"/>
        </w:rPr>
        <w:t>to impose a condition on the person's licence</w:t>
      </w:r>
    </w:p>
    <w:p w:rsidR="005F48BE" w:rsidRPr="005F48BE" w:rsidRDefault="005F48BE" w:rsidP="00CF062F">
      <w:pPr>
        <w:pStyle w:val="ListParagraph"/>
        <w:numPr>
          <w:ilvl w:val="0"/>
          <w:numId w:val="40"/>
        </w:numPr>
        <w:spacing w:before="120" w:after="120"/>
        <w:ind w:left="714" w:hanging="357"/>
        <w:rPr>
          <w:rFonts w:ascii="Arial" w:hAnsi="Arial" w:cs="Arial"/>
        </w:rPr>
      </w:pPr>
      <w:r w:rsidRPr="005F48BE">
        <w:rPr>
          <w:rFonts w:ascii="Arial" w:hAnsi="Arial" w:cs="Arial"/>
          <w:color w:val="000000"/>
          <w:lang w:val="en-NZ" w:eastAsia="en-NZ"/>
        </w:rPr>
        <w:t>to suspend or cancel the person's licence</w:t>
      </w:r>
    </w:p>
    <w:p w:rsidR="002C7CC5" w:rsidRPr="00A46454" w:rsidRDefault="002C7CC5" w:rsidP="002C7CC5">
      <w:pPr>
        <w:rPr>
          <w:rFonts w:ascii="Arial" w:hAnsi="Arial"/>
        </w:rPr>
      </w:pPr>
      <w:r w:rsidRPr="00A46454">
        <w:rPr>
          <w:rFonts w:ascii="Arial" w:hAnsi="Arial"/>
        </w:rPr>
        <w:t>The committee cannot review any decision or part of a decision that is not appealed against. On hearing the appeal, the committee may:</w:t>
      </w:r>
    </w:p>
    <w:p w:rsidR="002C7CC5" w:rsidRPr="0094469A" w:rsidRDefault="002C7CC5" w:rsidP="00CF062F">
      <w:pPr>
        <w:pStyle w:val="ListParagraph"/>
        <w:numPr>
          <w:ilvl w:val="0"/>
          <w:numId w:val="44"/>
        </w:numPr>
        <w:spacing w:before="120" w:after="120"/>
        <w:ind w:left="714" w:hanging="357"/>
        <w:rPr>
          <w:rFonts w:ascii="Arial" w:hAnsi="Arial"/>
        </w:rPr>
      </w:pPr>
      <w:r w:rsidRPr="0094469A">
        <w:rPr>
          <w:rFonts w:ascii="Arial" w:hAnsi="Arial"/>
        </w:rPr>
        <w:t>confirm, reverse or modify the decision appealed against</w:t>
      </w:r>
    </w:p>
    <w:p w:rsidR="002C7CC5" w:rsidRPr="0094469A" w:rsidRDefault="002C7CC5" w:rsidP="00CF062F">
      <w:pPr>
        <w:pStyle w:val="ListParagraph"/>
        <w:numPr>
          <w:ilvl w:val="0"/>
          <w:numId w:val="44"/>
        </w:numPr>
        <w:spacing w:before="120" w:after="120"/>
        <w:ind w:left="714" w:hanging="357"/>
        <w:rPr>
          <w:rFonts w:ascii="Arial" w:hAnsi="Arial"/>
        </w:rPr>
      </w:pPr>
      <w:r w:rsidRPr="0094469A">
        <w:rPr>
          <w:rFonts w:ascii="Arial" w:hAnsi="Arial"/>
        </w:rPr>
        <w:t>make any other decision that the Authority could have made</w:t>
      </w:r>
    </w:p>
    <w:p w:rsidR="00841662" w:rsidRPr="00C63A1F" w:rsidRDefault="002C7CC5" w:rsidP="00CF062F">
      <w:pPr>
        <w:pStyle w:val="ListParagraph"/>
        <w:numPr>
          <w:ilvl w:val="0"/>
          <w:numId w:val="44"/>
        </w:numPr>
        <w:spacing w:before="120" w:after="120"/>
        <w:rPr>
          <w:rFonts w:ascii="Arial" w:hAnsi="Arial"/>
        </w:rPr>
      </w:pPr>
      <w:r w:rsidRPr="0094469A">
        <w:rPr>
          <w:rFonts w:ascii="Arial" w:hAnsi="Arial"/>
        </w:rPr>
        <w:t>refer appeals back to the Authority to reconsider.</w:t>
      </w:r>
      <w:r w:rsidR="00841662" w:rsidRPr="00841662">
        <w:t xml:space="preserve"> </w:t>
      </w:r>
    </w:p>
    <w:p w:rsidR="00F84E5B" w:rsidRDefault="002C7CC5" w:rsidP="002C7CC5">
      <w:pPr>
        <w:rPr>
          <w:rFonts w:ascii="Arial" w:hAnsi="Arial"/>
        </w:rPr>
      </w:pPr>
      <w:r w:rsidRPr="00A46454">
        <w:rPr>
          <w:rFonts w:ascii="Arial" w:hAnsi="Arial"/>
        </w:rPr>
        <w:t xml:space="preserve">Appeals against an Authority decision should be accompanied by a detailed letter stating the decision to be appealed and the grounds on which it is to be appealed. </w:t>
      </w:r>
      <w:r w:rsidR="00F84E5B" w:rsidRPr="00841662">
        <w:rPr>
          <w:rFonts w:ascii="Arial" w:hAnsi="Arial"/>
        </w:rPr>
        <w:t>The committee will meet as and when required.</w:t>
      </w:r>
    </w:p>
    <w:p w:rsidR="00F84E5B" w:rsidRDefault="00F84E5B" w:rsidP="002C7CC5">
      <w:pPr>
        <w:rPr>
          <w:rFonts w:ascii="Arial" w:hAnsi="Arial"/>
        </w:rPr>
      </w:pPr>
    </w:p>
    <w:p w:rsidR="002C7CC5" w:rsidRDefault="002C7CC5" w:rsidP="002C7CC5">
      <w:pPr>
        <w:rPr>
          <w:rFonts w:ascii="Arial" w:hAnsi="Arial"/>
        </w:rPr>
      </w:pPr>
      <w:r w:rsidRPr="00A46454">
        <w:rPr>
          <w:rFonts w:ascii="Arial" w:hAnsi="Arial"/>
        </w:rPr>
        <w:t>Appeals should be sent to</w:t>
      </w:r>
      <w:r>
        <w:rPr>
          <w:rFonts w:ascii="Arial" w:hAnsi="Arial"/>
        </w:rPr>
        <w:t>:</w:t>
      </w:r>
    </w:p>
    <w:p w:rsidR="002C7CC5" w:rsidRDefault="002C7CC5" w:rsidP="002C7CC5">
      <w:pPr>
        <w:rPr>
          <w:rFonts w:ascii="Arial" w:hAnsi="Arial"/>
        </w:rPr>
      </w:pPr>
    </w:p>
    <w:p w:rsidR="002C7CC5" w:rsidRPr="002C7CC5" w:rsidRDefault="002C7CC5" w:rsidP="002C7CC5">
      <w:pPr>
        <w:rPr>
          <w:rFonts w:ascii="Arial" w:hAnsi="Arial"/>
        </w:rPr>
      </w:pPr>
      <w:r w:rsidRPr="002C7CC5">
        <w:rPr>
          <w:rFonts w:ascii="Arial" w:hAnsi="Arial"/>
        </w:rPr>
        <w:t>The Psychoactive Substances Appeals Committee Convenor</w:t>
      </w:r>
    </w:p>
    <w:p w:rsidR="002C7CC5" w:rsidRPr="002C7CC5" w:rsidRDefault="002C7CC5" w:rsidP="002C7CC5">
      <w:pPr>
        <w:rPr>
          <w:rFonts w:ascii="Arial" w:hAnsi="Arial"/>
        </w:rPr>
      </w:pPr>
      <w:r w:rsidRPr="002C7CC5">
        <w:rPr>
          <w:rFonts w:ascii="Arial" w:hAnsi="Arial"/>
        </w:rPr>
        <w:t>Governance &amp; Crown Entities, Corporate Services</w:t>
      </w:r>
    </w:p>
    <w:p w:rsidR="002C7CC5" w:rsidRPr="002C7CC5" w:rsidRDefault="002C7CC5" w:rsidP="002C7CC5">
      <w:pPr>
        <w:rPr>
          <w:rFonts w:ascii="Arial" w:hAnsi="Arial"/>
        </w:rPr>
      </w:pPr>
      <w:r w:rsidRPr="002C7CC5">
        <w:rPr>
          <w:rFonts w:ascii="Arial" w:hAnsi="Arial"/>
        </w:rPr>
        <w:t>Ministry of Health</w:t>
      </w:r>
    </w:p>
    <w:p w:rsidR="002C7CC5" w:rsidRPr="002C7CC5" w:rsidRDefault="002C7CC5" w:rsidP="002C7CC5">
      <w:pPr>
        <w:rPr>
          <w:rFonts w:ascii="Arial" w:hAnsi="Arial"/>
        </w:rPr>
      </w:pPr>
      <w:r w:rsidRPr="002C7CC5">
        <w:rPr>
          <w:rFonts w:ascii="Arial" w:hAnsi="Arial"/>
        </w:rPr>
        <w:t xml:space="preserve">Po Box 5013 </w:t>
      </w:r>
    </w:p>
    <w:p w:rsidR="002C7CC5" w:rsidRPr="002C7CC5" w:rsidRDefault="002C7CC5" w:rsidP="002C7CC5">
      <w:pPr>
        <w:rPr>
          <w:rFonts w:ascii="Arial" w:hAnsi="Arial"/>
        </w:rPr>
      </w:pPr>
      <w:r w:rsidRPr="002C7CC5">
        <w:rPr>
          <w:rFonts w:ascii="Arial" w:hAnsi="Arial"/>
        </w:rPr>
        <w:t>Wellington 6145</w:t>
      </w:r>
    </w:p>
    <w:p w:rsidR="002C7CC5" w:rsidRDefault="002C7CC5" w:rsidP="002C7CC5">
      <w:pPr>
        <w:rPr>
          <w:rFonts w:ascii="Arial" w:hAnsi="Arial"/>
        </w:rPr>
      </w:pPr>
      <w:r w:rsidRPr="002C7CC5">
        <w:rPr>
          <w:rFonts w:ascii="Arial" w:hAnsi="Arial"/>
        </w:rPr>
        <w:t>New Zealand</w:t>
      </w:r>
    </w:p>
    <w:p w:rsidR="002C7CC5" w:rsidRDefault="002C7CC5" w:rsidP="002C7CC5">
      <w:pPr>
        <w:rPr>
          <w:rFonts w:ascii="Arial" w:hAnsi="Arial"/>
        </w:rPr>
      </w:pPr>
    </w:p>
    <w:p w:rsidR="002C7CC5" w:rsidRPr="00A46454" w:rsidRDefault="002C7CC5" w:rsidP="002C7CC5">
      <w:pPr>
        <w:rPr>
          <w:rFonts w:ascii="Arial" w:hAnsi="Arial"/>
        </w:rPr>
      </w:pPr>
      <w:r>
        <w:rPr>
          <w:rFonts w:ascii="Arial" w:hAnsi="Arial"/>
        </w:rPr>
        <w:t xml:space="preserve">Appeals </w:t>
      </w:r>
      <w:r w:rsidRPr="00A46454">
        <w:rPr>
          <w:rFonts w:ascii="Arial" w:hAnsi="Arial"/>
        </w:rPr>
        <w:t xml:space="preserve">must be received no later than 60 days after the decision appealed against is given unless the committee allows a longer period. The decision being appealed remains in force throughout the appeal unless the committee orders otherwise. </w:t>
      </w:r>
    </w:p>
    <w:p w:rsidR="002C7CC5" w:rsidRPr="00A46454" w:rsidRDefault="002C7CC5" w:rsidP="002C7CC5">
      <w:pPr>
        <w:rPr>
          <w:rFonts w:ascii="Arial" w:hAnsi="Arial"/>
        </w:rPr>
      </w:pPr>
    </w:p>
    <w:p w:rsidR="002C7CC5" w:rsidRDefault="002C7CC5" w:rsidP="002C7CC5">
      <w:pPr>
        <w:rPr>
          <w:rStyle w:val="Arial12ptBold"/>
        </w:rPr>
      </w:pPr>
      <w:r w:rsidRPr="00A46454">
        <w:rPr>
          <w:rFonts w:ascii="Arial" w:hAnsi="Arial"/>
        </w:rPr>
        <w:t xml:space="preserve">For further information on the appeals process, please direct queries to </w:t>
      </w:r>
      <w:hyperlink r:id="rId16" w:history="1">
        <w:r w:rsidRPr="00475647">
          <w:rPr>
            <w:rStyle w:val="Hyperlink"/>
            <w:rFonts w:ascii="Arial" w:hAnsi="Arial"/>
          </w:rPr>
          <w:t>psychoactiveappeals@moh.govt.nz</w:t>
        </w:r>
      </w:hyperlink>
      <w:r>
        <w:rPr>
          <w:rFonts w:ascii="Arial" w:hAnsi="Arial"/>
        </w:rPr>
        <w:t xml:space="preserve">.  </w:t>
      </w:r>
    </w:p>
    <w:p w:rsidR="002C7CC5" w:rsidRDefault="002C7CC5" w:rsidP="002C7CC5">
      <w:pPr>
        <w:rPr>
          <w:rStyle w:val="Arial12ptBold"/>
        </w:rPr>
      </w:pPr>
    </w:p>
    <w:p w:rsidR="002C7CC5" w:rsidRDefault="002C7CC5" w:rsidP="002C7CC5">
      <w:pPr>
        <w:rPr>
          <w:rStyle w:val="Arial12ptBold"/>
        </w:rPr>
      </w:pPr>
    </w:p>
    <w:p w:rsidR="00C63A1F" w:rsidRDefault="00C63A1F">
      <w:pPr>
        <w:rPr>
          <w:rStyle w:val="Arial12ptBold"/>
        </w:rPr>
      </w:pPr>
      <w:r>
        <w:rPr>
          <w:rStyle w:val="Arial12ptBold"/>
        </w:rPr>
        <w:br w:type="page"/>
      </w:r>
    </w:p>
    <w:p w:rsidR="002C7CC5" w:rsidRDefault="002C7CC5" w:rsidP="002C7CC5">
      <w:pPr>
        <w:rPr>
          <w:rStyle w:val="Arial12ptBold"/>
        </w:rPr>
      </w:pPr>
    </w:p>
    <w:p w:rsidR="002C7CC5" w:rsidRPr="00A46454" w:rsidRDefault="002C7CC5" w:rsidP="002C7CC5">
      <w:pPr>
        <w:rPr>
          <w:rStyle w:val="Arial12ptBold"/>
        </w:rPr>
      </w:pPr>
      <w:r w:rsidRPr="00A46454">
        <w:rPr>
          <w:rStyle w:val="Arial12ptBold"/>
        </w:rPr>
        <w:t xml:space="preserve">Figure </w:t>
      </w:r>
      <w:r>
        <w:rPr>
          <w:rStyle w:val="Arial12ptBold"/>
        </w:rPr>
        <w:t>A</w:t>
      </w:r>
      <w:r w:rsidRPr="00A46454">
        <w:rPr>
          <w:rStyle w:val="Arial12ptBold"/>
        </w:rPr>
        <w:t xml:space="preserve">: </w:t>
      </w:r>
      <w:r w:rsidRPr="00A46454">
        <w:rPr>
          <w:rStyle w:val="Arial12ptBold"/>
        </w:rPr>
        <w:tab/>
        <w:t>Overview of the product approval process</w:t>
      </w:r>
    </w:p>
    <w:p w:rsidR="002C7CC5" w:rsidRPr="00751187" w:rsidRDefault="002C7CC5" w:rsidP="002C7CC5"/>
    <w:p w:rsidR="002C7CC5" w:rsidRDefault="00E15EFA" w:rsidP="002C7CC5">
      <w:r>
        <w:object w:dxaOrig="10176" w:dyaOrig="14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610.5pt" o:ole="">
            <v:imagedata r:id="rId17" o:title=""/>
          </v:shape>
          <o:OLEObject Type="Embed" ProgID="Visio.Drawing.11" ShapeID="_x0000_i1025" DrawAspect="Content" ObjectID="_1483268609" r:id="rId18"/>
        </w:object>
      </w:r>
    </w:p>
    <w:p w:rsidR="002C7CC5" w:rsidRDefault="002C7CC5" w:rsidP="002C7CC5">
      <w:r>
        <w:br w:type="page"/>
      </w:r>
    </w:p>
    <w:p w:rsidR="00CE6F6A" w:rsidRPr="00F004D6" w:rsidRDefault="00CE6F6A" w:rsidP="00CF062F">
      <w:pPr>
        <w:pStyle w:val="Heading1"/>
        <w:numPr>
          <w:ilvl w:val="0"/>
          <w:numId w:val="67"/>
        </w:numPr>
        <w:rPr>
          <w:sz w:val="36"/>
          <w:szCs w:val="36"/>
        </w:rPr>
      </w:pPr>
      <w:bookmarkStart w:id="24" w:name="_Toc409508685"/>
      <w:r w:rsidRPr="00F004D6">
        <w:rPr>
          <w:sz w:val="36"/>
          <w:szCs w:val="36"/>
        </w:rPr>
        <w:t>When is an application required?</w:t>
      </w:r>
      <w:bookmarkEnd w:id="24"/>
    </w:p>
    <w:p w:rsidR="00CE6F6A" w:rsidRDefault="00CE6F6A" w:rsidP="00DB34DC">
      <w:pPr>
        <w:pStyle w:val="Heading3"/>
        <w:numPr>
          <w:ilvl w:val="0"/>
          <w:numId w:val="35"/>
        </w:numPr>
      </w:pPr>
      <w:bookmarkStart w:id="25" w:name="_Toc409508686"/>
      <w:r w:rsidRPr="00E70BBD">
        <w:t>Products</w:t>
      </w:r>
      <w:bookmarkEnd w:id="25"/>
    </w:p>
    <w:p w:rsidR="00831328" w:rsidRDefault="00CE6F6A" w:rsidP="00CE6F6A">
      <w:pPr>
        <w:rPr>
          <w:rStyle w:val="Arial"/>
        </w:rPr>
      </w:pPr>
      <w:r w:rsidRPr="000F1FF2">
        <w:rPr>
          <w:rStyle w:val="Arial"/>
        </w:rPr>
        <w:t xml:space="preserve">All psychoactive substances require consent </w:t>
      </w:r>
      <w:r w:rsidR="002048CE">
        <w:rPr>
          <w:rStyle w:val="Arial"/>
        </w:rPr>
        <w:t xml:space="preserve">from the Authority (as established by section 10 of the Act) </w:t>
      </w:r>
      <w:r w:rsidRPr="000F1FF2">
        <w:rPr>
          <w:rStyle w:val="Arial"/>
        </w:rPr>
        <w:t xml:space="preserve">before they can be sold in New Zealand. </w:t>
      </w:r>
    </w:p>
    <w:p w:rsidR="00BC6862" w:rsidRPr="000F1FF2" w:rsidRDefault="00BC6862" w:rsidP="00CE6F6A">
      <w:pPr>
        <w:rPr>
          <w:rStyle w:val="Arial"/>
        </w:rPr>
      </w:pPr>
    </w:p>
    <w:p w:rsidR="00831328" w:rsidRPr="00BC6862" w:rsidRDefault="00831328" w:rsidP="00CF062F">
      <w:pPr>
        <w:pStyle w:val="ListParagraph"/>
        <w:numPr>
          <w:ilvl w:val="0"/>
          <w:numId w:val="50"/>
        </w:numPr>
        <w:ind w:left="993" w:hanging="993"/>
        <w:rPr>
          <w:rStyle w:val="Arial"/>
          <w:i/>
          <w:iCs/>
        </w:rPr>
      </w:pPr>
      <w:r w:rsidRPr="00BC6862">
        <w:rPr>
          <w:rStyle w:val="Arial"/>
          <w:i/>
          <w:iCs/>
        </w:rPr>
        <w:t>Definition</w:t>
      </w:r>
      <w:r w:rsidR="00385F56">
        <w:rPr>
          <w:rStyle w:val="Arial"/>
          <w:i/>
          <w:iCs/>
        </w:rPr>
        <w:t>s</w:t>
      </w:r>
    </w:p>
    <w:p w:rsidR="00BC6862" w:rsidRPr="00BC6862" w:rsidRDefault="00BC6862" w:rsidP="00BC6862">
      <w:pPr>
        <w:rPr>
          <w:rStyle w:val="Arial"/>
          <w:i/>
          <w:iCs/>
        </w:rPr>
      </w:pPr>
    </w:p>
    <w:p w:rsidR="00CE6F6A" w:rsidRDefault="00831328" w:rsidP="00CE6F6A">
      <w:pPr>
        <w:rPr>
          <w:rStyle w:val="Arial"/>
        </w:rPr>
      </w:pPr>
      <w:r w:rsidRPr="000F1FF2">
        <w:rPr>
          <w:rStyle w:val="Arial"/>
        </w:rPr>
        <w:t>A</w:t>
      </w:r>
      <w:r w:rsidR="006F6DA3" w:rsidRPr="000F1FF2">
        <w:rPr>
          <w:rStyle w:val="Arial"/>
        </w:rPr>
        <w:t xml:space="preserve"> psychoactive </w:t>
      </w:r>
      <w:r w:rsidR="006F6DA3" w:rsidRPr="00F66AB0">
        <w:rPr>
          <w:rStyle w:val="Arial"/>
          <w:b/>
        </w:rPr>
        <w:t>substance</w:t>
      </w:r>
      <w:r w:rsidR="006F6DA3" w:rsidRPr="000F1FF2">
        <w:rPr>
          <w:rStyle w:val="Arial"/>
        </w:rPr>
        <w:t xml:space="preserve"> is anything that can be used </w:t>
      </w:r>
      <w:r w:rsidR="002048CE">
        <w:rPr>
          <w:rStyle w:val="Arial"/>
        </w:rPr>
        <w:t>to induce</w:t>
      </w:r>
      <w:r w:rsidR="006F6DA3" w:rsidRPr="000F1FF2">
        <w:rPr>
          <w:rStyle w:val="Arial"/>
        </w:rPr>
        <w:t xml:space="preserve"> a psychoactive effect in humans</w:t>
      </w:r>
      <w:r w:rsidR="002048CE">
        <w:rPr>
          <w:rStyle w:val="Arial"/>
        </w:rPr>
        <w:t xml:space="preserve"> by ingestion</w:t>
      </w:r>
      <w:r w:rsidR="006F6DA3" w:rsidRPr="000F1FF2">
        <w:rPr>
          <w:rStyle w:val="Arial"/>
        </w:rPr>
        <w:t xml:space="preserve">. A psychoactive </w:t>
      </w:r>
      <w:r w:rsidR="006F6DA3" w:rsidRPr="00F66AB0">
        <w:rPr>
          <w:rStyle w:val="Arial"/>
          <w:b/>
        </w:rPr>
        <w:t>product</w:t>
      </w:r>
      <w:r w:rsidR="006F6DA3" w:rsidRPr="000F1FF2">
        <w:rPr>
          <w:rStyle w:val="Arial"/>
        </w:rPr>
        <w:t xml:space="preserve"> is a product containing a psychoactive substance</w:t>
      </w:r>
      <w:r w:rsidR="00F66AB0">
        <w:rPr>
          <w:rStyle w:val="Arial"/>
        </w:rPr>
        <w:t xml:space="preserve"> and which is packaged and ready for retail sale.</w:t>
      </w:r>
      <w:r w:rsidR="006F6DA3" w:rsidRPr="000F1FF2">
        <w:rPr>
          <w:rStyle w:val="Arial"/>
        </w:rPr>
        <w:t xml:space="preserve"> </w:t>
      </w:r>
      <w:r w:rsidR="00385F56">
        <w:rPr>
          <w:rStyle w:val="Arial"/>
        </w:rPr>
        <w:t xml:space="preserve">For the purposes of these guidelines the term’ psychoactive substance” is used to refer to both the substance and the product </w:t>
      </w:r>
    </w:p>
    <w:p w:rsidR="00F66AB0" w:rsidRDefault="00F66AB0" w:rsidP="00CE6F6A">
      <w:pPr>
        <w:rPr>
          <w:rStyle w:val="Arial"/>
        </w:rPr>
      </w:pPr>
    </w:p>
    <w:p w:rsidR="00385F56" w:rsidRDefault="00385F56" w:rsidP="00CE6F6A">
      <w:pPr>
        <w:rPr>
          <w:rStyle w:val="Arial"/>
        </w:rPr>
      </w:pPr>
      <w:r w:rsidRPr="00385F56">
        <w:rPr>
          <w:rStyle w:val="Arial"/>
        </w:rPr>
        <w:t>The term ‘active ingredient’ is used to refer to the ingredient or substance which is responsible for producing a psychoactive effect.</w:t>
      </w:r>
    </w:p>
    <w:p w:rsidR="00F66AB0" w:rsidRDefault="00F66AB0" w:rsidP="00F66AB0">
      <w:pPr>
        <w:rPr>
          <w:rStyle w:val="Arial"/>
        </w:rPr>
      </w:pPr>
    </w:p>
    <w:p w:rsidR="00385F56" w:rsidRPr="00107361" w:rsidRDefault="00107361" w:rsidP="00107361">
      <w:pPr>
        <w:ind w:left="993" w:hanging="993"/>
        <w:rPr>
          <w:rStyle w:val="Arial"/>
          <w:i/>
        </w:rPr>
      </w:pPr>
      <w:r>
        <w:rPr>
          <w:rStyle w:val="Arial"/>
          <w:i/>
        </w:rPr>
        <w:t>5.1.2</w:t>
      </w:r>
      <w:r>
        <w:rPr>
          <w:rStyle w:val="Arial"/>
          <w:i/>
        </w:rPr>
        <w:tab/>
      </w:r>
      <w:r w:rsidR="00385F56" w:rsidRPr="00107361">
        <w:rPr>
          <w:rStyle w:val="Arial"/>
          <w:i/>
        </w:rPr>
        <w:t>Exclusions</w:t>
      </w:r>
    </w:p>
    <w:p w:rsidR="00C63A1F" w:rsidRDefault="00C63A1F" w:rsidP="00CE6F6A">
      <w:pPr>
        <w:rPr>
          <w:rStyle w:val="Arial"/>
        </w:rPr>
      </w:pPr>
    </w:p>
    <w:p w:rsidR="00CE6F6A" w:rsidRDefault="00CE6F6A" w:rsidP="00CE6F6A">
      <w:pPr>
        <w:rPr>
          <w:rStyle w:val="Arial"/>
        </w:rPr>
      </w:pPr>
      <w:r w:rsidRPr="000F1FF2">
        <w:rPr>
          <w:rStyle w:val="Arial"/>
        </w:rPr>
        <w:t>The definition of a psychoactive substance</w:t>
      </w:r>
      <w:r w:rsidR="00F66AB0">
        <w:rPr>
          <w:rStyle w:val="Arial"/>
        </w:rPr>
        <w:t xml:space="preserve"> under the Act</w:t>
      </w:r>
      <w:r w:rsidRPr="000F1FF2">
        <w:rPr>
          <w:rStyle w:val="Arial"/>
        </w:rPr>
        <w:t xml:space="preserve"> does </w:t>
      </w:r>
      <w:r w:rsidRPr="00F66AB0">
        <w:rPr>
          <w:rStyle w:val="Arial"/>
          <w:b/>
        </w:rPr>
        <w:t>not</w:t>
      </w:r>
      <w:r w:rsidRPr="000F1FF2">
        <w:rPr>
          <w:rStyle w:val="Arial"/>
        </w:rPr>
        <w:t xml:space="preserve"> include a</w:t>
      </w:r>
      <w:r w:rsidR="00F66AB0">
        <w:rPr>
          <w:rStyle w:val="Arial"/>
        </w:rPr>
        <w:t xml:space="preserve">n alcohol or tobacco product </w:t>
      </w:r>
      <w:r w:rsidR="00F66AB0" w:rsidRPr="000F1FF2">
        <w:rPr>
          <w:rStyle w:val="Arial"/>
        </w:rPr>
        <w:t xml:space="preserve">(unless </w:t>
      </w:r>
      <w:r w:rsidR="00F66AB0">
        <w:rPr>
          <w:rStyle w:val="Arial"/>
        </w:rPr>
        <w:t>they contain</w:t>
      </w:r>
      <w:r w:rsidR="00F66AB0" w:rsidRPr="000F1FF2">
        <w:rPr>
          <w:rStyle w:val="Arial"/>
        </w:rPr>
        <w:t xml:space="preserve"> a psychoactive substance)</w:t>
      </w:r>
      <w:r w:rsidR="00F66AB0">
        <w:rPr>
          <w:rStyle w:val="Arial"/>
        </w:rPr>
        <w:t>,</w:t>
      </w:r>
      <w:r w:rsidRPr="000F1FF2">
        <w:rPr>
          <w:rStyle w:val="Arial"/>
        </w:rPr>
        <w:t xml:space="preserve"> controlled drug or precursor</w:t>
      </w:r>
      <w:r w:rsidR="006F6DA3" w:rsidRPr="000F1FF2">
        <w:rPr>
          <w:rStyle w:val="Arial"/>
        </w:rPr>
        <w:t xml:space="preserve"> substance</w:t>
      </w:r>
      <w:r w:rsidR="00F66AB0">
        <w:rPr>
          <w:rStyle w:val="Arial"/>
        </w:rPr>
        <w:t>,</w:t>
      </w:r>
      <w:r w:rsidRPr="000F1FF2">
        <w:rPr>
          <w:rStyle w:val="Arial"/>
        </w:rPr>
        <w:t xml:space="preserve"> medicine, he</w:t>
      </w:r>
      <w:r w:rsidR="00F66AB0">
        <w:rPr>
          <w:rStyle w:val="Arial"/>
        </w:rPr>
        <w:t>rbal remedy, dietary supplement or</w:t>
      </w:r>
      <w:r w:rsidRPr="000F1FF2">
        <w:rPr>
          <w:rStyle w:val="Arial"/>
        </w:rPr>
        <w:t xml:space="preserve"> food</w:t>
      </w:r>
      <w:r w:rsidR="00F66AB0">
        <w:rPr>
          <w:rStyle w:val="Arial"/>
        </w:rPr>
        <w:t xml:space="preserve">. </w:t>
      </w:r>
      <w:r w:rsidRPr="000F1FF2">
        <w:rPr>
          <w:rStyle w:val="Arial"/>
        </w:rPr>
        <w:t>The definition also does not include anything that has been declared by the Governor-General, under Section 99 of the Act, not to be a psychoactive substance.</w:t>
      </w:r>
    </w:p>
    <w:p w:rsidR="00385F56" w:rsidRDefault="00385F56" w:rsidP="00CE6F6A">
      <w:pPr>
        <w:rPr>
          <w:rStyle w:val="Arial"/>
        </w:rPr>
      </w:pPr>
    </w:p>
    <w:p w:rsidR="00831328" w:rsidRPr="000F1FF2" w:rsidRDefault="00F66AB0" w:rsidP="00831328">
      <w:pPr>
        <w:rPr>
          <w:rStyle w:val="Arial"/>
        </w:rPr>
      </w:pPr>
      <w:r>
        <w:rPr>
          <w:rStyle w:val="Arial"/>
        </w:rPr>
        <w:t>If, after reading these guidelines, it is still unclear whether a product meets the defini</w:t>
      </w:r>
      <w:r w:rsidR="002C7CC5">
        <w:rPr>
          <w:rStyle w:val="Arial"/>
        </w:rPr>
        <w:t>tion of a psychoactive product</w:t>
      </w:r>
      <w:r>
        <w:rPr>
          <w:rStyle w:val="Arial"/>
        </w:rPr>
        <w:t xml:space="preserve">, prospective applicants should contact the </w:t>
      </w:r>
      <w:r w:rsidR="002C7CC5">
        <w:rPr>
          <w:rStyle w:val="Arial"/>
        </w:rPr>
        <w:t>OPSR</w:t>
      </w:r>
      <w:r>
        <w:rPr>
          <w:rStyle w:val="Arial"/>
        </w:rPr>
        <w:t xml:space="preserve">A at </w:t>
      </w:r>
      <w:hyperlink r:id="rId19" w:history="1">
        <w:r w:rsidRPr="006A02F6">
          <w:rPr>
            <w:rStyle w:val="Hyperlink"/>
            <w:rFonts w:ascii="Arial" w:hAnsi="Arial"/>
          </w:rPr>
          <w:t>www.psychoactives@moh.govt.nz</w:t>
        </w:r>
      </w:hyperlink>
      <w:r>
        <w:rPr>
          <w:rStyle w:val="Arial"/>
        </w:rPr>
        <w:t xml:space="preserve">. </w:t>
      </w:r>
      <w:r w:rsidR="00EE1F26">
        <w:rPr>
          <w:rStyle w:val="Arial"/>
        </w:rPr>
        <w:t xml:space="preserve"> </w:t>
      </w:r>
    </w:p>
    <w:p w:rsidR="00CE6F6A" w:rsidRDefault="00CE6F6A" w:rsidP="00CE6F6A">
      <w:pPr>
        <w:rPr>
          <w:rStyle w:val="Arial"/>
        </w:rPr>
      </w:pPr>
      <w:r w:rsidRPr="000F1FF2">
        <w:rPr>
          <w:rStyle w:val="Arial"/>
        </w:rPr>
        <w:t xml:space="preserve"> </w:t>
      </w:r>
    </w:p>
    <w:p w:rsidR="00CE6F6A" w:rsidRDefault="00DB34DC" w:rsidP="00CF062F">
      <w:pPr>
        <w:pStyle w:val="Heading3"/>
        <w:numPr>
          <w:ilvl w:val="1"/>
          <w:numId w:val="67"/>
        </w:numPr>
        <w:ind w:left="709" w:hanging="709"/>
      </w:pPr>
      <w:bookmarkStart w:id="26" w:name="_Toc396292816"/>
      <w:bookmarkStart w:id="27" w:name="_Toc396293204"/>
      <w:bookmarkStart w:id="28" w:name="_Toc396293568"/>
      <w:bookmarkStart w:id="29" w:name="_Toc396297567"/>
      <w:bookmarkStart w:id="30" w:name="_Toc396297760"/>
      <w:bookmarkStart w:id="31" w:name="_Toc396297951"/>
      <w:bookmarkStart w:id="32" w:name="_Toc396298146"/>
      <w:bookmarkStart w:id="33" w:name="_Toc396313719"/>
      <w:bookmarkStart w:id="34" w:name="_Toc396721358"/>
      <w:bookmarkStart w:id="35" w:name="_Toc396816562"/>
      <w:bookmarkStart w:id="36" w:name="_Toc396828579"/>
      <w:bookmarkStart w:id="37" w:name="_Toc397694950"/>
      <w:bookmarkStart w:id="38" w:name="_Toc401819080"/>
      <w:bookmarkStart w:id="39" w:name="_Toc401819378"/>
      <w:bookmarkEnd w:id="26"/>
      <w:bookmarkEnd w:id="27"/>
      <w:bookmarkEnd w:id="28"/>
      <w:bookmarkEnd w:id="29"/>
      <w:bookmarkEnd w:id="30"/>
      <w:bookmarkEnd w:id="31"/>
      <w:bookmarkEnd w:id="32"/>
      <w:bookmarkEnd w:id="33"/>
      <w:bookmarkEnd w:id="34"/>
      <w:bookmarkEnd w:id="35"/>
      <w:bookmarkEnd w:id="36"/>
      <w:bookmarkEnd w:id="37"/>
      <w:bookmarkEnd w:id="38"/>
      <w:bookmarkEnd w:id="39"/>
      <w:r>
        <w:t xml:space="preserve"> </w:t>
      </w:r>
      <w:bookmarkStart w:id="40" w:name="_Toc409508687"/>
      <w:r w:rsidR="00A46454">
        <w:t>L</w:t>
      </w:r>
      <w:r w:rsidR="00CE6F6A" w:rsidRPr="00E70BBD">
        <w:t>icences</w:t>
      </w:r>
      <w:bookmarkEnd w:id="40"/>
    </w:p>
    <w:p w:rsidR="00CE6F6A" w:rsidRPr="000F1FF2" w:rsidRDefault="00CE6F6A" w:rsidP="00CE6F6A">
      <w:pPr>
        <w:rPr>
          <w:rStyle w:val="Arial"/>
        </w:rPr>
      </w:pPr>
      <w:r w:rsidRPr="000F1FF2">
        <w:rPr>
          <w:rStyle w:val="Arial"/>
        </w:rPr>
        <w:t xml:space="preserve">Individuals or legal entities must have </w:t>
      </w:r>
      <w:r w:rsidR="002048CE">
        <w:rPr>
          <w:rStyle w:val="Arial"/>
        </w:rPr>
        <w:t>the Authority’s</w:t>
      </w:r>
      <w:r w:rsidRPr="000F1FF2">
        <w:rPr>
          <w:rStyle w:val="Arial"/>
        </w:rPr>
        <w:t xml:space="preserve"> consent to perform each of the following activities:</w:t>
      </w:r>
    </w:p>
    <w:p w:rsidR="00CE6F6A" w:rsidRPr="00E70BBD" w:rsidRDefault="00CE6F6A" w:rsidP="00DB34DC">
      <w:pPr>
        <w:pStyle w:val="ListParagraph"/>
        <w:numPr>
          <w:ilvl w:val="0"/>
          <w:numId w:val="13"/>
        </w:numPr>
        <w:spacing w:before="120" w:after="120"/>
        <w:ind w:left="714" w:hanging="357"/>
        <w:rPr>
          <w:rFonts w:ascii="Arial" w:hAnsi="Arial" w:cs="Arial"/>
        </w:rPr>
      </w:pPr>
      <w:r w:rsidRPr="00E70BBD">
        <w:rPr>
          <w:rFonts w:ascii="Arial" w:hAnsi="Arial" w:cs="Arial"/>
        </w:rPr>
        <w:t xml:space="preserve">import psychoactive substances </w:t>
      </w:r>
    </w:p>
    <w:p w:rsidR="00CE6F6A" w:rsidRPr="00E70BBD" w:rsidRDefault="00CE6F6A" w:rsidP="00DB34DC">
      <w:pPr>
        <w:pStyle w:val="ListParagraph"/>
        <w:numPr>
          <w:ilvl w:val="0"/>
          <w:numId w:val="13"/>
        </w:numPr>
        <w:spacing w:before="120" w:after="120"/>
        <w:ind w:left="714" w:hanging="357"/>
        <w:rPr>
          <w:rFonts w:ascii="Arial" w:hAnsi="Arial" w:cs="Arial"/>
        </w:rPr>
      </w:pPr>
      <w:r w:rsidRPr="00E70BBD">
        <w:rPr>
          <w:rFonts w:ascii="Arial" w:hAnsi="Arial" w:cs="Arial"/>
        </w:rPr>
        <w:t xml:space="preserve">manufacture psychoactive substances </w:t>
      </w:r>
    </w:p>
    <w:p w:rsidR="00CE6F6A" w:rsidRPr="00E70BBD" w:rsidRDefault="00CE6F6A" w:rsidP="00DB34DC">
      <w:pPr>
        <w:pStyle w:val="ListParagraph"/>
        <w:numPr>
          <w:ilvl w:val="0"/>
          <w:numId w:val="13"/>
        </w:numPr>
        <w:spacing w:before="120" w:after="120"/>
        <w:ind w:left="714" w:hanging="357"/>
        <w:rPr>
          <w:rFonts w:ascii="Arial" w:hAnsi="Arial" w:cs="Arial"/>
        </w:rPr>
      </w:pPr>
      <w:r w:rsidRPr="00E70BBD">
        <w:rPr>
          <w:rFonts w:ascii="Arial" w:hAnsi="Arial" w:cs="Arial"/>
        </w:rPr>
        <w:t xml:space="preserve">research psychoactive substances </w:t>
      </w:r>
    </w:p>
    <w:p w:rsidR="00CE6F6A" w:rsidRPr="00E70BBD" w:rsidRDefault="00CE6F6A" w:rsidP="00DB34DC">
      <w:pPr>
        <w:pStyle w:val="ListParagraph"/>
        <w:numPr>
          <w:ilvl w:val="0"/>
          <w:numId w:val="13"/>
        </w:numPr>
        <w:spacing w:before="120" w:after="120"/>
        <w:ind w:left="714" w:hanging="357"/>
        <w:rPr>
          <w:rFonts w:ascii="Arial" w:hAnsi="Arial" w:cs="Arial"/>
        </w:rPr>
      </w:pPr>
      <w:r w:rsidRPr="00E70BBD">
        <w:rPr>
          <w:rFonts w:ascii="Arial" w:hAnsi="Arial" w:cs="Arial"/>
        </w:rPr>
        <w:t>sell psychoactive substances that are not approved products</w:t>
      </w:r>
    </w:p>
    <w:p w:rsidR="00CE6F6A" w:rsidRPr="00E70BBD" w:rsidRDefault="00CE6F6A" w:rsidP="00DB34DC">
      <w:pPr>
        <w:pStyle w:val="ListParagraph"/>
        <w:numPr>
          <w:ilvl w:val="0"/>
          <w:numId w:val="13"/>
        </w:numPr>
        <w:spacing w:before="120" w:after="120"/>
        <w:ind w:left="714" w:hanging="357"/>
        <w:rPr>
          <w:rFonts w:ascii="Arial" w:hAnsi="Arial" w:cs="Arial"/>
        </w:rPr>
      </w:pPr>
      <w:r>
        <w:rPr>
          <w:rFonts w:ascii="Arial" w:hAnsi="Arial" w:cs="Arial"/>
        </w:rPr>
        <w:t xml:space="preserve">sell </w:t>
      </w:r>
      <w:r w:rsidRPr="00E70BBD">
        <w:rPr>
          <w:rFonts w:ascii="Arial" w:hAnsi="Arial" w:cs="Arial"/>
        </w:rPr>
        <w:t>psychoactive substances</w:t>
      </w:r>
      <w:r>
        <w:rPr>
          <w:rFonts w:ascii="Arial" w:hAnsi="Arial" w:cs="Arial"/>
        </w:rPr>
        <w:t xml:space="preserve"> by</w:t>
      </w:r>
      <w:r w:rsidRPr="00E70BBD">
        <w:rPr>
          <w:rFonts w:ascii="Arial" w:hAnsi="Arial" w:cs="Arial"/>
        </w:rPr>
        <w:t xml:space="preserve"> retail</w:t>
      </w:r>
    </w:p>
    <w:p w:rsidR="00CE6F6A" w:rsidRDefault="00CE6F6A" w:rsidP="00DB34DC">
      <w:pPr>
        <w:pStyle w:val="ListParagraph"/>
        <w:numPr>
          <w:ilvl w:val="0"/>
          <w:numId w:val="13"/>
        </w:numPr>
        <w:spacing w:before="120" w:after="120"/>
        <w:ind w:left="714" w:hanging="357"/>
        <w:rPr>
          <w:rFonts w:ascii="Arial" w:hAnsi="Arial" w:cs="Arial"/>
        </w:rPr>
      </w:pPr>
      <w:r>
        <w:rPr>
          <w:rFonts w:ascii="Arial" w:hAnsi="Arial" w:cs="Arial"/>
        </w:rPr>
        <w:t xml:space="preserve">sell </w:t>
      </w:r>
      <w:r w:rsidRPr="00E70BBD">
        <w:rPr>
          <w:rFonts w:ascii="Arial" w:hAnsi="Arial" w:cs="Arial"/>
        </w:rPr>
        <w:t>psychoactive substances</w:t>
      </w:r>
      <w:r>
        <w:rPr>
          <w:rFonts w:ascii="Arial" w:hAnsi="Arial" w:cs="Arial"/>
        </w:rPr>
        <w:t xml:space="preserve"> by </w:t>
      </w:r>
      <w:r w:rsidRPr="00E70BBD">
        <w:rPr>
          <w:rFonts w:ascii="Arial" w:hAnsi="Arial" w:cs="Arial"/>
        </w:rPr>
        <w:t xml:space="preserve">wholesale. </w:t>
      </w:r>
    </w:p>
    <w:p w:rsidR="008C3B61" w:rsidRDefault="00CE6F6A" w:rsidP="00CE6F6A">
      <w:pPr>
        <w:rPr>
          <w:rStyle w:val="Arial"/>
        </w:rPr>
      </w:pPr>
      <w:r w:rsidRPr="000F1FF2">
        <w:rPr>
          <w:rStyle w:val="Arial"/>
        </w:rPr>
        <w:t xml:space="preserve">Further information on the requirements for these </w:t>
      </w:r>
      <w:r w:rsidR="0094469A" w:rsidRPr="000F1FF2">
        <w:rPr>
          <w:rStyle w:val="Arial"/>
        </w:rPr>
        <w:t>licences</w:t>
      </w:r>
      <w:r w:rsidRPr="000F1FF2">
        <w:rPr>
          <w:rStyle w:val="Arial"/>
        </w:rPr>
        <w:t xml:space="preserve"> and how to apply for these licences can be found in </w:t>
      </w:r>
      <w:r w:rsidR="00F004D6">
        <w:rPr>
          <w:rStyle w:val="Arial"/>
        </w:rPr>
        <w:t xml:space="preserve">the </w:t>
      </w:r>
      <w:r w:rsidR="000A68E7">
        <w:rPr>
          <w:rStyle w:val="Arial"/>
        </w:rPr>
        <w:t xml:space="preserve">Guidelines to the </w:t>
      </w:r>
      <w:r w:rsidR="00F004D6">
        <w:rPr>
          <w:rStyle w:val="Arial"/>
        </w:rPr>
        <w:t>Psychoactive Substances Regulatory</w:t>
      </w:r>
      <w:r w:rsidRPr="000F1FF2">
        <w:rPr>
          <w:rStyle w:val="Arial"/>
        </w:rPr>
        <w:t xml:space="preserve"> </w:t>
      </w:r>
      <w:r w:rsidR="000A68E7">
        <w:rPr>
          <w:rStyle w:val="Arial"/>
        </w:rPr>
        <w:t>Licensing Scheme</w:t>
      </w:r>
      <w:r w:rsidRPr="000F1FF2">
        <w:rPr>
          <w:rStyle w:val="Arial"/>
        </w:rPr>
        <w:t>.</w:t>
      </w:r>
      <w:r w:rsidR="008C3B61">
        <w:rPr>
          <w:rStyle w:val="Arial"/>
        </w:rPr>
        <w:br w:type="page"/>
      </w:r>
    </w:p>
    <w:p w:rsidR="00F004D6" w:rsidRPr="00F004D6" w:rsidRDefault="00F004D6" w:rsidP="00CF062F">
      <w:pPr>
        <w:pStyle w:val="Heading1"/>
        <w:numPr>
          <w:ilvl w:val="0"/>
          <w:numId w:val="67"/>
        </w:numPr>
        <w:rPr>
          <w:bCs w:val="0"/>
          <w:sz w:val="36"/>
        </w:rPr>
      </w:pPr>
      <w:bookmarkStart w:id="41" w:name="_Toc401819082"/>
      <w:bookmarkStart w:id="42" w:name="_Toc401819380"/>
      <w:bookmarkStart w:id="43" w:name="_Toc401819083"/>
      <w:bookmarkStart w:id="44" w:name="_Toc401819381"/>
      <w:bookmarkStart w:id="45" w:name="_Toc409508688"/>
      <w:bookmarkEnd w:id="41"/>
      <w:bookmarkEnd w:id="42"/>
      <w:bookmarkEnd w:id="43"/>
      <w:bookmarkEnd w:id="44"/>
      <w:r w:rsidRPr="00F004D6">
        <w:rPr>
          <w:bCs w:val="0"/>
          <w:sz w:val="36"/>
        </w:rPr>
        <w:t>Claims of a psychoactive nature</w:t>
      </w:r>
      <w:bookmarkEnd w:id="45"/>
    </w:p>
    <w:p w:rsidR="00F004D6" w:rsidRDefault="00385F56" w:rsidP="00F004D6">
      <w:pPr>
        <w:rPr>
          <w:rStyle w:val="Arial"/>
        </w:rPr>
      </w:pPr>
      <w:r>
        <w:rPr>
          <w:rStyle w:val="Arial"/>
        </w:rPr>
        <w:t>Any</w:t>
      </w:r>
      <w:r w:rsidR="00F004D6" w:rsidRPr="000F1FF2">
        <w:rPr>
          <w:rStyle w:val="Arial"/>
        </w:rPr>
        <w:t xml:space="preserve"> product that is sold or promoted as being able to produce a psychoactive effect meets the definition of a psychoactive substance, irrespective of</w:t>
      </w:r>
      <w:r w:rsidR="00611106">
        <w:rPr>
          <w:rStyle w:val="Arial"/>
        </w:rPr>
        <w:t xml:space="preserve"> the ingredients of the product,</w:t>
      </w:r>
      <w:r w:rsidR="00F004D6" w:rsidRPr="000F1FF2">
        <w:rPr>
          <w:rStyle w:val="Arial"/>
        </w:rPr>
        <w:t xml:space="preserve"> </w:t>
      </w:r>
      <w:r>
        <w:rPr>
          <w:rStyle w:val="Arial"/>
        </w:rPr>
        <w:t xml:space="preserve">and </w:t>
      </w:r>
      <w:r w:rsidR="00F004D6">
        <w:rPr>
          <w:rStyle w:val="Arial"/>
        </w:rPr>
        <w:t>must have the Authority’s</w:t>
      </w:r>
      <w:r w:rsidR="00F004D6" w:rsidRPr="000F1FF2">
        <w:rPr>
          <w:rStyle w:val="Arial"/>
        </w:rPr>
        <w:t xml:space="preserve"> consent before </w:t>
      </w:r>
      <w:r w:rsidR="00F004D6">
        <w:rPr>
          <w:rStyle w:val="Arial"/>
        </w:rPr>
        <w:t>it</w:t>
      </w:r>
      <w:r w:rsidR="00F004D6" w:rsidRPr="000F1FF2">
        <w:rPr>
          <w:rStyle w:val="Arial"/>
        </w:rPr>
        <w:t xml:space="preserve"> can be sold in New Zealand. </w:t>
      </w:r>
      <w:r w:rsidR="00F004D6">
        <w:rPr>
          <w:rStyle w:val="Arial"/>
        </w:rPr>
        <w:t xml:space="preserve"> </w:t>
      </w:r>
    </w:p>
    <w:p w:rsidR="00F004D6" w:rsidRDefault="00F004D6" w:rsidP="00F004D6">
      <w:pPr>
        <w:rPr>
          <w:rStyle w:val="Arial"/>
        </w:rPr>
      </w:pPr>
    </w:p>
    <w:p w:rsidR="00F004D6" w:rsidRDefault="00F004D6" w:rsidP="00F004D6">
      <w:pPr>
        <w:rPr>
          <w:rStyle w:val="Arial"/>
        </w:rPr>
      </w:pPr>
      <w:r w:rsidRPr="000F1FF2">
        <w:rPr>
          <w:rStyle w:val="Arial"/>
        </w:rPr>
        <w:t xml:space="preserve">A claim of producing a psychoactive effect can be direct, implied or suggested. </w:t>
      </w:r>
      <w:r w:rsidR="00385F56">
        <w:rPr>
          <w:rStyle w:val="Arial"/>
        </w:rPr>
        <w:t xml:space="preserve"> Such claims include t</w:t>
      </w:r>
      <w:r w:rsidRPr="000F1FF2">
        <w:rPr>
          <w:rStyle w:val="Arial"/>
        </w:rPr>
        <w:t xml:space="preserve">erms such as “high”, “euphoria”, “mood altering”, “hallucinogenic” “vision inducing” and in some instances “stimulant”. </w:t>
      </w:r>
    </w:p>
    <w:p w:rsidR="00F004D6" w:rsidRDefault="00F004D6" w:rsidP="00F004D6">
      <w:pPr>
        <w:rPr>
          <w:rStyle w:val="Arial"/>
        </w:rPr>
      </w:pPr>
    </w:p>
    <w:p w:rsidR="00F004D6" w:rsidRDefault="00F004D6" w:rsidP="00F004D6">
      <w:pPr>
        <w:rPr>
          <w:rStyle w:val="Arial"/>
        </w:rPr>
      </w:pPr>
      <w:r>
        <w:rPr>
          <w:rStyle w:val="Arial"/>
        </w:rPr>
        <w:t xml:space="preserve">Consumers have the right to expect that any product claiming to produce a psychoactive effect will, in fact, produce a psychoactive effect in the user. Any product which claims to induce a psychoactive effect in the user, but does not induce the effect, may be subject to regulation under the </w:t>
      </w:r>
      <w:hyperlink r:id="rId20" w:history="1">
        <w:r w:rsidR="00F84E5B" w:rsidRPr="00871D12">
          <w:rPr>
            <w:rStyle w:val="Hyperlink"/>
            <w:rFonts w:ascii="Arial" w:hAnsi="Arial"/>
            <w:color w:val="auto"/>
            <w:u w:val="none"/>
          </w:rPr>
          <w:t>Fair</w:t>
        </w:r>
      </w:hyperlink>
      <w:r w:rsidR="00F84E5B" w:rsidRPr="00871D12">
        <w:rPr>
          <w:rStyle w:val="Hyperlink"/>
          <w:rFonts w:ascii="Arial" w:hAnsi="Arial"/>
          <w:color w:val="auto"/>
          <w:u w:val="none"/>
        </w:rPr>
        <w:t xml:space="preserve"> Trading Act 1986</w:t>
      </w:r>
      <w:r>
        <w:rPr>
          <w:rStyle w:val="Arial"/>
        </w:rPr>
        <w:t xml:space="preserve">. </w:t>
      </w:r>
    </w:p>
    <w:p w:rsidR="00F004D6" w:rsidRDefault="00F004D6" w:rsidP="00F004D6">
      <w:pPr>
        <w:rPr>
          <w:rStyle w:val="Arial"/>
        </w:rPr>
      </w:pPr>
    </w:p>
    <w:p w:rsidR="00BC6862" w:rsidRDefault="00F004D6" w:rsidP="00F004D6">
      <w:pPr>
        <w:rPr>
          <w:rStyle w:val="Arial"/>
        </w:rPr>
      </w:pPr>
      <w:r>
        <w:rPr>
          <w:rStyle w:val="Arial"/>
        </w:rPr>
        <w:t>Claims of a psychoactive nature will be investigated as part of the application process and must be able to be supported.</w:t>
      </w:r>
      <w:r w:rsidR="00BC6862">
        <w:rPr>
          <w:rStyle w:val="Arial"/>
        </w:rPr>
        <w:br w:type="page"/>
      </w:r>
    </w:p>
    <w:p w:rsidR="00F004D6" w:rsidRPr="00F004D6" w:rsidRDefault="00F004D6" w:rsidP="00CF062F">
      <w:pPr>
        <w:pStyle w:val="Heading1"/>
        <w:numPr>
          <w:ilvl w:val="0"/>
          <w:numId w:val="67"/>
        </w:numPr>
        <w:rPr>
          <w:bCs w:val="0"/>
          <w:sz w:val="36"/>
        </w:rPr>
      </w:pPr>
      <w:bookmarkStart w:id="46" w:name="_Toc409508689"/>
      <w:r w:rsidRPr="00F004D6">
        <w:rPr>
          <w:bCs w:val="0"/>
          <w:sz w:val="36"/>
        </w:rPr>
        <w:t>Unapprovable dosage forms</w:t>
      </w:r>
      <w:bookmarkEnd w:id="46"/>
    </w:p>
    <w:p w:rsidR="00C82A94" w:rsidRDefault="00385F56" w:rsidP="00F004D6">
      <w:pPr>
        <w:rPr>
          <w:rStyle w:val="Arial"/>
        </w:rPr>
      </w:pPr>
      <w:r>
        <w:rPr>
          <w:rStyle w:val="Arial"/>
        </w:rPr>
        <w:t>P</w:t>
      </w:r>
      <w:r w:rsidR="00F004D6" w:rsidRPr="000F1FF2">
        <w:rPr>
          <w:rStyle w:val="Arial"/>
        </w:rPr>
        <w:t xml:space="preserve">sychoactive substances </w:t>
      </w:r>
      <w:r w:rsidR="00C63A1F">
        <w:rPr>
          <w:rStyle w:val="Arial"/>
        </w:rPr>
        <w:t xml:space="preserve">are prohibited if they are </w:t>
      </w:r>
      <w:r w:rsidR="00F004D6" w:rsidRPr="000F1FF2">
        <w:rPr>
          <w:rStyle w:val="Arial"/>
        </w:rPr>
        <w:t>in a form that is</w:t>
      </w:r>
      <w:r w:rsidR="00CC1EA5">
        <w:rPr>
          <w:rStyle w:val="Arial"/>
        </w:rPr>
        <w:t>:</w:t>
      </w:r>
      <w:r w:rsidR="00F004D6" w:rsidRPr="000F1FF2">
        <w:rPr>
          <w:rStyle w:val="Arial"/>
        </w:rPr>
        <w:t xml:space="preserve"> </w:t>
      </w:r>
    </w:p>
    <w:p w:rsidR="00CC1EA5" w:rsidRDefault="00F004D6" w:rsidP="00CF062F">
      <w:pPr>
        <w:pStyle w:val="ListParagraph"/>
        <w:numPr>
          <w:ilvl w:val="0"/>
          <w:numId w:val="58"/>
        </w:numPr>
        <w:rPr>
          <w:rStyle w:val="Arial"/>
        </w:rPr>
      </w:pPr>
      <w:r w:rsidRPr="000F1FF2">
        <w:rPr>
          <w:rStyle w:val="Arial"/>
        </w:rPr>
        <w:t xml:space="preserve">intended to be injected, </w:t>
      </w:r>
    </w:p>
    <w:p w:rsidR="00C82A94" w:rsidRDefault="00F004D6" w:rsidP="00CF062F">
      <w:pPr>
        <w:pStyle w:val="ListParagraph"/>
        <w:numPr>
          <w:ilvl w:val="0"/>
          <w:numId w:val="58"/>
        </w:numPr>
        <w:rPr>
          <w:rStyle w:val="Arial"/>
        </w:rPr>
      </w:pPr>
      <w:r w:rsidRPr="000F1FF2">
        <w:rPr>
          <w:rStyle w:val="Arial"/>
        </w:rPr>
        <w:t>a powder or liquid except where it is contained in a capsule or tablet, or</w:t>
      </w:r>
    </w:p>
    <w:p w:rsidR="00C82A94" w:rsidRDefault="00F004D6" w:rsidP="00CF062F">
      <w:pPr>
        <w:pStyle w:val="ListParagraph"/>
        <w:numPr>
          <w:ilvl w:val="0"/>
          <w:numId w:val="58"/>
        </w:numPr>
        <w:rPr>
          <w:rStyle w:val="Arial"/>
        </w:rPr>
      </w:pPr>
      <w:r w:rsidRPr="000F1FF2">
        <w:rPr>
          <w:rStyle w:val="Arial"/>
        </w:rPr>
        <w:t>is</w:t>
      </w:r>
      <w:r>
        <w:rPr>
          <w:rStyle w:val="Arial"/>
        </w:rPr>
        <w:t>,</w:t>
      </w:r>
      <w:r w:rsidRPr="000F1FF2">
        <w:rPr>
          <w:rStyle w:val="Arial"/>
        </w:rPr>
        <w:t xml:space="preserve"> or resembles</w:t>
      </w:r>
      <w:r>
        <w:rPr>
          <w:rStyle w:val="Arial"/>
        </w:rPr>
        <w:t>,</w:t>
      </w:r>
      <w:r w:rsidRPr="000F1FF2">
        <w:rPr>
          <w:rStyle w:val="Arial"/>
        </w:rPr>
        <w:t xml:space="preserve"> a food. </w:t>
      </w:r>
    </w:p>
    <w:p w:rsidR="00CC1EA5" w:rsidRDefault="00CC1EA5" w:rsidP="00CC1EA5">
      <w:pPr>
        <w:rPr>
          <w:rStyle w:val="Arial"/>
        </w:rPr>
      </w:pPr>
    </w:p>
    <w:p w:rsidR="00F004D6" w:rsidRDefault="00F004D6" w:rsidP="00F004D6">
      <w:pPr>
        <w:rPr>
          <w:rStyle w:val="Arial"/>
        </w:rPr>
      </w:pPr>
      <w:r w:rsidRPr="000F1FF2">
        <w:rPr>
          <w:rStyle w:val="Arial"/>
        </w:rPr>
        <w:t xml:space="preserve">Where a </w:t>
      </w:r>
      <w:r w:rsidR="00C82A94">
        <w:rPr>
          <w:rStyle w:val="Arial"/>
        </w:rPr>
        <w:t xml:space="preserve">psychoactive </w:t>
      </w:r>
      <w:r w:rsidRPr="000F1FF2">
        <w:rPr>
          <w:rStyle w:val="Arial"/>
        </w:rPr>
        <w:t>product is presented in any of these dosage forms</w:t>
      </w:r>
      <w:r>
        <w:rPr>
          <w:rStyle w:val="Arial"/>
        </w:rPr>
        <w:t>,</w:t>
      </w:r>
      <w:r w:rsidRPr="000F1FF2">
        <w:rPr>
          <w:rStyle w:val="Arial"/>
        </w:rPr>
        <w:t xml:space="preserve"> the product cannot legally be sold in New Zealand </w:t>
      </w:r>
    </w:p>
    <w:p w:rsidR="00B9544B" w:rsidRPr="00B9544B" w:rsidRDefault="00B9544B" w:rsidP="00B9544B">
      <w:pPr>
        <w:pStyle w:val="Heading3"/>
        <w:rPr>
          <w:b w:val="0"/>
          <w:i/>
        </w:rPr>
      </w:pPr>
      <w:bookmarkStart w:id="47" w:name="_Toc409508690"/>
      <w:r w:rsidRPr="00B9544B">
        <w:rPr>
          <w:b w:val="0"/>
          <w:i/>
        </w:rPr>
        <w:t>Guidance on the information required to support an application for a smokeable psychoactive product</w:t>
      </w:r>
      <w:bookmarkEnd w:id="47"/>
    </w:p>
    <w:p w:rsidR="00B9544B" w:rsidRDefault="00B9544B" w:rsidP="00B9544B">
      <w:r>
        <w:rPr>
          <w:rFonts w:ascii="Arial" w:hAnsi="Arial"/>
        </w:rPr>
        <w:t xml:space="preserve">The OPSRA is unaware of any suitable guidelines that describe requirements to support an application for registration of a smokeable product. This is because the smokeable dosage form is not a recognised pharmaceutical dosage form. The OPSRA is willing to consider any information an applicant is able to compile to justify the smokeable dosage form; however, this information would need to demonstrate that the dosage form is not carcinogenic. The OPSRA is unaware of any </w:t>
      </w:r>
      <w:r>
        <w:rPr>
          <w:rFonts w:ascii="Arial" w:hAnsi="Arial"/>
          <w:i/>
        </w:rPr>
        <w:t>in-vitro</w:t>
      </w:r>
      <w:r>
        <w:rPr>
          <w:rFonts w:ascii="Arial" w:hAnsi="Arial"/>
        </w:rPr>
        <w:t xml:space="preserve"> tests which suitably demonstrate that a substance or dosage form is not carcinogenic. </w:t>
      </w:r>
    </w:p>
    <w:p w:rsidR="00B9544B" w:rsidRDefault="00B9544B" w:rsidP="00B9544B">
      <w:pPr>
        <w:rPr>
          <w:rFonts w:ascii="Arial" w:hAnsi="Arial"/>
        </w:rPr>
      </w:pPr>
      <w:r>
        <w:t xml:space="preserve"> </w:t>
      </w:r>
    </w:p>
    <w:p w:rsidR="00B9544B" w:rsidRDefault="00B9544B" w:rsidP="00B9544B">
      <w:pPr>
        <w:rPr>
          <w:rStyle w:val="Arial"/>
        </w:rPr>
      </w:pPr>
      <w:r w:rsidRPr="00A66591">
        <w:rPr>
          <w:rStyle w:val="Arial"/>
        </w:rPr>
        <w:t>Applicants should be aware of these difficulties when deciding whether to develop a psychoactive product</w:t>
      </w:r>
      <w:r>
        <w:rPr>
          <w:rStyle w:val="Arial"/>
        </w:rPr>
        <w:t xml:space="preserve"> as refunds are unlikely to be granted once an application has been accepted.</w:t>
      </w:r>
      <w:r>
        <w:rPr>
          <w:rStyle w:val="Arial"/>
        </w:rPr>
        <w:br w:type="page"/>
      </w:r>
    </w:p>
    <w:p w:rsidR="00900E14" w:rsidRPr="006F6DA3" w:rsidRDefault="00251CC5" w:rsidP="00CF062F">
      <w:pPr>
        <w:pStyle w:val="Heading1"/>
        <w:numPr>
          <w:ilvl w:val="0"/>
          <w:numId w:val="67"/>
        </w:numPr>
        <w:rPr>
          <w:rFonts w:cs="Arial"/>
          <w:sz w:val="36"/>
          <w:szCs w:val="36"/>
        </w:rPr>
      </w:pPr>
      <w:bookmarkStart w:id="48" w:name="_Toc401819086"/>
      <w:bookmarkStart w:id="49" w:name="_Toc401819384"/>
      <w:bookmarkStart w:id="50" w:name="_Toc401819087"/>
      <w:bookmarkStart w:id="51" w:name="_Toc401819385"/>
      <w:bookmarkStart w:id="52" w:name="_Toc401819088"/>
      <w:bookmarkStart w:id="53" w:name="_Toc401819386"/>
      <w:bookmarkStart w:id="54" w:name="_Toc401819089"/>
      <w:bookmarkStart w:id="55" w:name="_Toc401819387"/>
      <w:bookmarkStart w:id="56" w:name="_Toc401819090"/>
      <w:bookmarkStart w:id="57" w:name="_Toc401819388"/>
      <w:bookmarkStart w:id="58" w:name="_Toc401819091"/>
      <w:bookmarkStart w:id="59" w:name="_Toc401819389"/>
      <w:bookmarkStart w:id="60" w:name="_Toc401819092"/>
      <w:bookmarkStart w:id="61" w:name="_Toc401819390"/>
      <w:bookmarkStart w:id="62" w:name="_Toc409508691"/>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cs="Arial"/>
          <w:sz w:val="36"/>
          <w:szCs w:val="36"/>
        </w:rPr>
        <w:t>What type of</w:t>
      </w:r>
      <w:r w:rsidR="00900E14" w:rsidRPr="006F6DA3">
        <w:rPr>
          <w:rFonts w:cs="Arial"/>
          <w:sz w:val="36"/>
          <w:szCs w:val="36"/>
        </w:rPr>
        <w:t xml:space="preserve"> </w:t>
      </w:r>
      <w:r w:rsidR="00CE6F6A" w:rsidRPr="006F6DA3">
        <w:rPr>
          <w:rFonts w:cs="Arial"/>
          <w:sz w:val="36"/>
          <w:szCs w:val="36"/>
        </w:rPr>
        <w:t xml:space="preserve">product </w:t>
      </w:r>
      <w:r w:rsidR="00900E14" w:rsidRPr="006F6DA3">
        <w:rPr>
          <w:rFonts w:cs="Arial"/>
          <w:sz w:val="36"/>
          <w:szCs w:val="36"/>
        </w:rPr>
        <w:t>application</w:t>
      </w:r>
      <w:r>
        <w:rPr>
          <w:rFonts w:cs="Arial"/>
          <w:sz w:val="36"/>
          <w:szCs w:val="36"/>
        </w:rPr>
        <w:t xml:space="preserve"> is required?</w:t>
      </w:r>
      <w:bookmarkEnd w:id="62"/>
    </w:p>
    <w:p w:rsidR="00D06DA0" w:rsidRDefault="00D06DA0" w:rsidP="008F5887">
      <w:pPr>
        <w:rPr>
          <w:rStyle w:val="Arial"/>
        </w:rPr>
      </w:pPr>
      <w:r w:rsidRPr="000F1FF2">
        <w:rPr>
          <w:rStyle w:val="Arial"/>
        </w:rPr>
        <w:t xml:space="preserve">All psychoactive products and </w:t>
      </w:r>
      <w:r w:rsidR="00C82A94">
        <w:rPr>
          <w:rStyle w:val="Arial"/>
        </w:rPr>
        <w:t xml:space="preserve">significant </w:t>
      </w:r>
      <w:r w:rsidR="00F84E5B">
        <w:rPr>
          <w:rStyle w:val="Arial"/>
        </w:rPr>
        <w:t xml:space="preserve">(material) </w:t>
      </w:r>
      <w:r w:rsidRPr="000F1FF2">
        <w:rPr>
          <w:rStyle w:val="Arial"/>
        </w:rPr>
        <w:t xml:space="preserve">changes to approved psychoactive products require </w:t>
      </w:r>
      <w:r w:rsidR="002048CE">
        <w:rPr>
          <w:rStyle w:val="Arial"/>
        </w:rPr>
        <w:t>the Authority’s</w:t>
      </w:r>
      <w:r w:rsidRPr="000F1FF2">
        <w:rPr>
          <w:rStyle w:val="Arial"/>
        </w:rPr>
        <w:t xml:space="preserve"> consent before the products can be distributed in New Zealand. </w:t>
      </w:r>
    </w:p>
    <w:p w:rsidR="000A68E7" w:rsidRDefault="000A68E7" w:rsidP="008F5887">
      <w:pPr>
        <w:rPr>
          <w:rStyle w:val="Arial"/>
        </w:rPr>
      </w:pPr>
    </w:p>
    <w:p w:rsidR="000A68E7" w:rsidRPr="000F1FF2" w:rsidRDefault="000A68E7" w:rsidP="008F5887">
      <w:pPr>
        <w:rPr>
          <w:rStyle w:val="Arial"/>
        </w:rPr>
      </w:pPr>
      <w:r>
        <w:rPr>
          <w:rStyle w:val="Arial"/>
        </w:rPr>
        <w:t xml:space="preserve">Application forms can be found on </w:t>
      </w:r>
      <w:hyperlink r:id="rId21" w:history="1">
        <w:r w:rsidRPr="00044B2D">
          <w:rPr>
            <w:rStyle w:val="Hyperlink"/>
            <w:rFonts w:ascii="Arial" w:hAnsi="Arial"/>
          </w:rPr>
          <w:t>www.psychoactives.health.govt.nz</w:t>
        </w:r>
      </w:hyperlink>
      <w:r>
        <w:rPr>
          <w:rStyle w:val="Arial"/>
        </w:rPr>
        <w:t xml:space="preserve"> </w:t>
      </w:r>
    </w:p>
    <w:p w:rsidR="000F1FF2" w:rsidRDefault="00E92AB5" w:rsidP="00DB34DC">
      <w:pPr>
        <w:pStyle w:val="Heading3"/>
        <w:numPr>
          <w:ilvl w:val="0"/>
          <w:numId w:val="36"/>
        </w:numPr>
      </w:pPr>
      <w:bookmarkStart w:id="63" w:name="_Toc409508692"/>
      <w:r>
        <w:t>New psychoactive product</w:t>
      </w:r>
      <w:bookmarkEnd w:id="63"/>
    </w:p>
    <w:p w:rsidR="006F6DA3" w:rsidRDefault="006F6DA3" w:rsidP="00D06DA0">
      <w:pPr>
        <w:rPr>
          <w:rStyle w:val="Arial"/>
        </w:rPr>
      </w:pPr>
      <w:r w:rsidRPr="000F1FF2">
        <w:rPr>
          <w:rStyle w:val="Arial"/>
        </w:rPr>
        <w:t xml:space="preserve">A psychoactive product is </w:t>
      </w:r>
      <w:r w:rsidR="00F004D6">
        <w:rPr>
          <w:rStyle w:val="Arial"/>
        </w:rPr>
        <w:t>considered to be ‘new’ if it has not previously been granted a product approval</w:t>
      </w:r>
      <w:r w:rsidR="00831328" w:rsidRPr="000F1FF2">
        <w:rPr>
          <w:rStyle w:val="Arial"/>
        </w:rPr>
        <w:t xml:space="preserve"> in New Zealand</w:t>
      </w:r>
      <w:r w:rsidRPr="000F1FF2">
        <w:rPr>
          <w:rStyle w:val="Arial"/>
        </w:rPr>
        <w:t xml:space="preserve">. </w:t>
      </w:r>
      <w:r w:rsidR="00F004D6">
        <w:rPr>
          <w:rStyle w:val="Arial"/>
        </w:rPr>
        <w:t xml:space="preserve">Variations in the name, dose form, psychoactive ingredient or strength of </w:t>
      </w:r>
      <w:r w:rsidR="000A68E7">
        <w:rPr>
          <w:rStyle w:val="Arial"/>
        </w:rPr>
        <w:t xml:space="preserve">an already approved </w:t>
      </w:r>
      <w:r w:rsidR="00F004D6">
        <w:rPr>
          <w:rStyle w:val="Arial"/>
        </w:rPr>
        <w:t>product are also considered to be new products.</w:t>
      </w:r>
    </w:p>
    <w:p w:rsidR="00F004D6" w:rsidRDefault="00F004D6" w:rsidP="00DB34DC">
      <w:pPr>
        <w:pStyle w:val="Heading3"/>
        <w:numPr>
          <w:ilvl w:val="0"/>
          <w:numId w:val="36"/>
        </w:numPr>
      </w:pPr>
      <w:bookmarkStart w:id="64" w:name="_Toc409508693"/>
      <w:r>
        <w:t>New subsidiary psychoactive product</w:t>
      </w:r>
      <w:bookmarkEnd w:id="64"/>
    </w:p>
    <w:p w:rsidR="00F004D6" w:rsidRDefault="00F004D6" w:rsidP="00F004D6">
      <w:pPr>
        <w:rPr>
          <w:rStyle w:val="Arial"/>
        </w:rPr>
      </w:pPr>
      <w:r>
        <w:rPr>
          <w:rStyle w:val="Arial"/>
        </w:rPr>
        <w:t>A</w:t>
      </w:r>
      <w:r w:rsidRPr="000F1FF2">
        <w:rPr>
          <w:rStyle w:val="Arial"/>
        </w:rPr>
        <w:t xml:space="preserve"> </w:t>
      </w:r>
      <w:r w:rsidR="00871D12">
        <w:rPr>
          <w:rStyle w:val="Arial"/>
        </w:rPr>
        <w:t xml:space="preserve">new </w:t>
      </w:r>
      <w:r w:rsidRPr="000F1FF2">
        <w:rPr>
          <w:rStyle w:val="Arial"/>
        </w:rPr>
        <w:t xml:space="preserve">subsidiary product </w:t>
      </w:r>
      <w:r w:rsidR="00871D12">
        <w:rPr>
          <w:rStyle w:val="Arial"/>
        </w:rPr>
        <w:t xml:space="preserve">(NSPPA) </w:t>
      </w:r>
      <w:r>
        <w:rPr>
          <w:rStyle w:val="Arial"/>
        </w:rPr>
        <w:t xml:space="preserve">is a product that varies from another </w:t>
      </w:r>
      <w:r w:rsidR="000A68E7">
        <w:rPr>
          <w:rStyle w:val="Arial"/>
        </w:rPr>
        <w:t xml:space="preserve">approved </w:t>
      </w:r>
      <w:r>
        <w:rPr>
          <w:rStyle w:val="Arial"/>
        </w:rPr>
        <w:t>product only in</w:t>
      </w:r>
      <w:r w:rsidR="00CC1EA5">
        <w:rPr>
          <w:rStyle w:val="Arial"/>
        </w:rPr>
        <w:t xml:space="preserve"> </w:t>
      </w:r>
      <w:r w:rsidRPr="000F1FF2">
        <w:rPr>
          <w:rStyle w:val="Arial"/>
        </w:rPr>
        <w:t xml:space="preserve">flavour or </w:t>
      </w:r>
      <w:r w:rsidR="00C82A94">
        <w:rPr>
          <w:rStyle w:val="Arial"/>
        </w:rPr>
        <w:t xml:space="preserve">pack </w:t>
      </w:r>
      <w:r w:rsidRPr="000F1FF2">
        <w:rPr>
          <w:rStyle w:val="Arial"/>
        </w:rPr>
        <w:t xml:space="preserve">size. </w:t>
      </w:r>
      <w:r>
        <w:rPr>
          <w:rStyle w:val="Arial"/>
        </w:rPr>
        <w:t>In this instance the original product is known as the parent product.</w:t>
      </w:r>
    </w:p>
    <w:p w:rsidR="00F004D6" w:rsidRDefault="00F004D6" w:rsidP="00F004D6">
      <w:pPr>
        <w:rPr>
          <w:rStyle w:val="Arial"/>
        </w:rPr>
      </w:pPr>
    </w:p>
    <w:p w:rsidR="00F004D6" w:rsidRPr="000F1FF2" w:rsidRDefault="00F004D6" w:rsidP="00F004D6">
      <w:pPr>
        <w:rPr>
          <w:rStyle w:val="Arial"/>
        </w:rPr>
      </w:pPr>
      <w:r>
        <w:rPr>
          <w:rStyle w:val="Arial"/>
        </w:rPr>
        <w:t xml:space="preserve">Applications for a subsidiary product can be submitted at the same time as the parent product or after the parent product has been approved. </w:t>
      </w:r>
    </w:p>
    <w:p w:rsidR="000F1FF2" w:rsidRPr="000F1FF2" w:rsidRDefault="000F1FF2" w:rsidP="00DB34DC">
      <w:pPr>
        <w:pStyle w:val="Heading3"/>
        <w:numPr>
          <w:ilvl w:val="0"/>
          <w:numId w:val="36"/>
        </w:numPr>
      </w:pPr>
      <w:bookmarkStart w:id="65" w:name="_Toc409508694"/>
      <w:r w:rsidRPr="000F1FF2">
        <w:t>New psychoactive product</w:t>
      </w:r>
      <w:r w:rsidR="00F004D6">
        <w:t xml:space="preserve"> and subsidiary product</w:t>
      </w:r>
      <w:r w:rsidRPr="000F1FF2">
        <w:t xml:space="preserve"> applications</w:t>
      </w:r>
      <w:bookmarkEnd w:id="65"/>
    </w:p>
    <w:p w:rsidR="004B0CB2" w:rsidRDefault="004B0CB2" w:rsidP="004B0CB2">
      <w:pPr>
        <w:rPr>
          <w:rStyle w:val="Arial"/>
        </w:rPr>
      </w:pPr>
      <w:r w:rsidRPr="000F1FF2">
        <w:rPr>
          <w:rStyle w:val="Arial"/>
        </w:rPr>
        <w:t xml:space="preserve">A </w:t>
      </w:r>
      <w:r w:rsidRPr="00952D86">
        <w:rPr>
          <w:rStyle w:val="Arial"/>
        </w:rPr>
        <w:t>new psychoactive product application</w:t>
      </w:r>
      <w:r w:rsidR="00871D12" w:rsidRPr="00871D12">
        <w:rPr>
          <w:rStyle w:val="Arial"/>
        </w:rPr>
        <w:t xml:space="preserve"> </w:t>
      </w:r>
      <w:r w:rsidRPr="000F1FF2">
        <w:rPr>
          <w:rStyle w:val="Arial"/>
        </w:rPr>
        <w:t>(NPPA</w:t>
      </w:r>
      <w:r>
        <w:rPr>
          <w:rStyle w:val="Arial"/>
        </w:rPr>
        <w:t xml:space="preserve">) </w:t>
      </w:r>
      <w:r w:rsidRPr="000F1FF2">
        <w:rPr>
          <w:rStyle w:val="Arial"/>
        </w:rPr>
        <w:t xml:space="preserve">is an application for </w:t>
      </w:r>
      <w:r w:rsidR="002048CE">
        <w:rPr>
          <w:rStyle w:val="Arial"/>
        </w:rPr>
        <w:t>the Authority’s</w:t>
      </w:r>
      <w:r>
        <w:rPr>
          <w:rStyle w:val="Arial"/>
        </w:rPr>
        <w:t xml:space="preserve"> consent to distribute a n</w:t>
      </w:r>
      <w:r w:rsidRPr="000F1FF2">
        <w:rPr>
          <w:rStyle w:val="Arial"/>
        </w:rPr>
        <w:t>ew psychoactive product</w:t>
      </w:r>
      <w:r w:rsidR="00F004D6">
        <w:rPr>
          <w:rStyle w:val="Arial"/>
        </w:rPr>
        <w:t>.</w:t>
      </w:r>
      <w:r w:rsidR="00F004D6" w:rsidRPr="00F004D6">
        <w:rPr>
          <w:rStyle w:val="Arial"/>
        </w:rPr>
        <w:t xml:space="preserve"> </w:t>
      </w:r>
      <w:r w:rsidR="00C82A94">
        <w:rPr>
          <w:rStyle w:val="Arial"/>
        </w:rPr>
        <w:t>A</w:t>
      </w:r>
      <w:r w:rsidR="00F84E5B">
        <w:rPr>
          <w:rStyle w:val="Arial"/>
        </w:rPr>
        <w:t xml:space="preserve"> </w:t>
      </w:r>
      <w:r w:rsidR="000A68E7">
        <w:rPr>
          <w:rStyle w:val="Arial"/>
        </w:rPr>
        <w:t xml:space="preserve">separate </w:t>
      </w:r>
      <w:r w:rsidR="00F004D6">
        <w:rPr>
          <w:rStyle w:val="Arial"/>
        </w:rPr>
        <w:t>NPPA is also required for each subsidiary product.</w:t>
      </w:r>
    </w:p>
    <w:p w:rsidR="00F84E5B" w:rsidRDefault="00F84E5B" w:rsidP="004B0CB2">
      <w:pPr>
        <w:rPr>
          <w:rStyle w:val="Arial"/>
        </w:rPr>
      </w:pPr>
    </w:p>
    <w:p w:rsidR="00C82A94" w:rsidRDefault="00C82A94" w:rsidP="004B0CB2">
      <w:pPr>
        <w:rPr>
          <w:rStyle w:val="Arial"/>
        </w:rPr>
      </w:pPr>
      <w:r w:rsidRPr="00C82A94">
        <w:rPr>
          <w:rStyle w:val="Arial"/>
        </w:rPr>
        <w:t>New products are subject to the full product application fee. Subsidiary products attract a smaller subsidiary product fee.</w:t>
      </w:r>
      <w:r w:rsidR="00F15340">
        <w:rPr>
          <w:rStyle w:val="Arial"/>
        </w:rPr>
        <w:t xml:space="preserve"> </w:t>
      </w:r>
    </w:p>
    <w:p w:rsidR="00F004D6" w:rsidRDefault="00F004D6" w:rsidP="004B0CB2">
      <w:pPr>
        <w:rPr>
          <w:rStyle w:val="Arial"/>
        </w:rPr>
      </w:pPr>
    </w:p>
    <w:p w:rsidR="004B0CB2" w:rsidRDefault="00F004D6" w:rsidP="004B0CB2">
      <w:pPr>
        <w:rPr>
          <w:rStyle w:val="Arial"/>
        </w:rPr>
      </w:pPr>
      <w:r>
        <w:rPr>
          <w:rStyle w:val="Arial"/>
        </w:rPr>
        <w:t>T</w:t>
      </w:r>
      <w:r w:rsidR="004B0CB2" w:rsidRPr="000F1FF2">
        <w:rPr>
          <w:rStyle w:val="Arial"/>
        </w:rPr>
        <w:t xml:space="preserve">o obtain </w:t>
      </w:r>
      <w:r w:rsidR="002048CE">
        <w:rPr>
          <w:rStyle w:val="Arial"/>
        </w:rPr>
        <w:t>the Authority’s</w:t>
      </w:r>
      <w:r w:rsidR="004B0CB2" w:rsidRPr="000F1FF2">
        <w:rPr>
          <w:rStyle w:val="Arial"/>
        </w:rPr>
        <w:t xml:space="preserve"> consent a</w:t>
      </w:r>
      <w:r w:rsidR="004B0CB2" w:rsidRPr="004B0CB2">
        <w:rPr>
          <w:rStyle w:val="Arial"/>
        </w:rPr>
        <w:t>n</w:t>
      </w:r>
      <w:r w:rsidR="00EE1F26">
        <w:rPr>
          <w:rStyle w:val="Arial"/>
        </w:rPr>
        <w:t xml:space="preserve"> </w:t>
      </w:r>
      <w:r w:rsidR="004B0CB2">
        <w:rPr>
          <w:rStyle w:val="Arial"/>
        </w:rPr>
        <w:t>NPPA</w:t>
      </w:r>
      <w:r w:rsidR="004B0CB2" w:rsidRPr="000F1FF2">
        <w:rPr>
          <w:rStyle w:val="Arial"/>
        </w:rPr>
        <w:t xml:space="preserve"> </w:t>
      </w:r>
      <w:r w:rsidR="00EE1F26">
        <w:rPr>
          <w:rStyle w:val="Arial"/>
        </w:rPr>
        <w:t xml:space="preserve">must be submitted </w:t>
      </w:r>
      <w:r w:rsidR="004B0CB2" w:rsidRPr="000F1FF2">
        <w:rPr>
          <w:rStyle w:val="Arial"/>
        </w:rPr>
        <w:t xml:space="preserve">to the </w:t>
      </w:r>
      <w:r>
        <w:rPr>
          <w:rStyle w:val="Arial"/>
        </w:rPr>
        <w:t>OPSRA</w:t>
      </w:r>
      <w:r w:rsidR="004B0CB2">
        <w:rPr>
          <w:rStyle w:val="Arial"/>
        </w:rPr>
        <w:t xml:space="preserve"> under section 30 of the Act</w:t>
      </w:r>
      <w:r w:rsidR="004B0CB2" w:rsidRPr="000F1FF2">
        <w:rPr>
          <w:rStyle w:val="Arial"/>
        </w:rPr>
        <w:t>.</w:t>
      </w:r>
      <w:r w:rsidR="004B0CB2">
        <w:rPr>
          <w:rStyle w:val="Arial"/>
        </w:rPr>
        <w:t xml:space="preserve"> </w:t>
      </w:r>
    </w:p>
    <w:p w:rsidR="00F004D6" w:rsidRDefault="00F004D6" w:rsidP="004B0CB2">
      <w:pPr>
        <w:rPr>
          <w:rStyle w:val="Arial"/>
        </w:rPr>
      </w:pPr>
    </w:p>
    <w:p w:rsidR="00D06DA0" w:rsidRPr="000F1FF2" w:rsidRDefault="00D06DA0" w:rsidP="00DB34DC">
      <w:pPr>
        <w:pStyle w:val="Heading3"/>
        <w:numPr>
          <w:ilvl w:val="0"/>
          <w:numId w:val="36"/>
        </w:numPr>
      </w:pPr>
      <w:bookmarkStart w:id="66" w:name="_Toc409508695"/>
      <w:r w:rsidRPr="000F1FF2">
        <w:t>Changes to a</w:t>
      </w:r>
      <w:r w:rsidR="00831328" w:rsidRPr="000F1FF2">
        <w:t>n approved</w:t>
      </w:r>
      <w:r w:rsidRPr="000F1FF2">
        <w:t xml:space="preserve"> product</w:t>
      </w:r>
      <w:bookmarkEnd w:id="66"/>
    </w:p>
    <w:p w:rsidR="00D06DA0" w:rsidRPr="000F1FF2" w:rsidRDefault="00D06DA0" w:rsidP="00D06DA0">
      <w:pPr>
        <w:rPr>
          <w:rStyle w:val="Arial"/>
        </w:rPr>
      </w:pPr>
      <w:r w:rsidRPr="000F1FF2">
        <w:rPr>
          <w:rStyle w:val="Arial"/>
        </w:rPr>
        <w:t>When a material change to a previo</w:t>
      </w:r>
      <w:r w:rsidR="000F1FF2" w:rsidRPr="000F1FF2">
        <w:rPr>
          <w:rStyle w:val="Arial"/>
        </w:rPr>
        <w:t>usly approved product is proposed</w:t>
      </w:r>
      <w:r w:rsidRPr="000F1FF2">
        <w:rPr>
          <w:rStyle w:val="Arial"/>
        </w:rPr>
        <w:t>, the product is considered to be a new product, and a</w:t>
      </w:r>
      <w:r w:rsidR="000A68E7">
        <w:rPr>
          <w:rStyle w:val="Arial"/>
        </w:rPr>
        <w:t>n</w:t>
      </w:r>
      <w:r w:rsidRPr="000F1FF2">
        <w:rPr>
          <w:rStyle w:val="Arial"/>
        </w:rPr>
        <w:t xml:space="preserve"> </w:t>
      </w:r>
      <w:r w:rsidR="000F1FF2" w:rsidRPr="000F1FF2">
        <w:rPr>
          <w:rStyle w:val="Arial"/>
        </w:rPr>
        <w:t xml:space="preserve">NPPA </w:t>
      </w:r>
      <w:r w:rsidR="00EE1F26">
        <w:rPr>
          <w:rStyle w:val="Arial"/>
        </w:rPr>
        <w:t xml:space="preserve">must be submitted </w:t>
      </w:r>
      <w:r w:rsidRPr="000F1FF2">
        <w:rPr>
          <w:rStyle w:val="Arial"/>
        </w:rPr>
        <w:t xml:space="preserve">to </w:t>
      </w:r>
      <w:r w:rsidR="00831328" w:rsidRPr="000F1FF2">
        <w:rPr>
          <w:rStyle w:val="Arial"/>
        </w:rPr>
        <w:t xml:space="preserve">the </w:t>
      </w:r>
      <w:r w:rsidR="00F004D6">
        <w:rPr>
          <w:rStyle w:val="Arial"/>
        </w:rPr>
        <w:t>OPSRA</w:t>
      </w:r>
      <w:r w:rsidRPr="000F1FF2">
        <w:rPr>
          <w:rStyle w:val="Arial"/>
        </w:rPr>
        <w:t>.</w:t>
      </w:r>
    </w:p>
    <w:p w:rsidR="00D06DA0" w:rsidRPr="000F1FF2" w:rsidRDefault="00D06DA0" w:rsidP="008F5887">
      <w:pPr>
        <w:rPr>
          <w:rStyle w:val="Arial"/>
        </w:rPr>
      </w:pPr>
    </w:p>
    <w:p w:rsidR="000F1FF2" w:rsidRDefault="00D06DA0" w:rsidP="000F1FF2">
      <w:pPr>
        <w:rPr>
          <w:rStyle w:val="Arial"/>
        </w:rPr>
      </w:pPr>
      <w:r w:rsidRPr="000F1FF2">
        <w:rPr>
          <w:rStyle w:val="Arial"/>
        </w:rPr>
        <w:t>Material changes include, but are not limited to</w:t>
      </w:r>
      <w:r w:rsidR="000F1FF2">
        <w:rPr>
          <w:rStyle w:val="Arial"/>
        </w:rPr>
        <w:t>:</w:t>
      </w:r>
    </w:p>
    <w:p w:rsidR="000F1FF2" w:rsidRDefault="000F1FF2" w:rsidP="00DB34DC">
      <w:pPr>
        <w:pStyle w:val="ListParagraph"/>
        <w:numPr>
          <w:ilvl w:val="0"/>
          <w:numId w:val="22"/>
        </w:numPr>
        <w:spacing w:before="120" w:after="120"/>
        <w:ind w:left="714" w:hanging="357"/>
        <w:rPr>
          <w:rStyle w:val="Arial"/>
        </w:rPr>
      </w:pPr>
      <w:r>
        <w:rPr>
          <w:rStyle w:val="Arial"/>
        </w:rPr>
        <w:t>the formulation (including changing the source of an ingredient)</w:t>
      </w:r>
    </w:p>
    <w:p w:rsidR="000F1FF2" w:rsidRDefault="000F1FF2" w:rsidP="00DB34DC">
      <w:pPr>
        <w:pStyle w:val="ListParagraph"/>
        <w:numPr>
          <w:ilvl w:val="0"/>
          <w:numId w:val="22"/>
        </w:numPr>
        <w:spacing w:before="120" w:after="120"/>
        <w:ind w:left="714" w:hanging="357"/>
        <w:rPr>
          <w:rStyle w:val="Arial"/>
        </w:rPr>
      </w:pPr>
      <w:r>
        <w:rPr>
          <w:rStyle w:val="Arial"/>
        </w:rPr>
        <w:t>the container and/or closure</w:t>
      </w:r>
    </w:p>
    <w:p w:rsidR="000F1FF2" w:rsidRDefault="000F1FF2" w:rsidP="00DB34DC">
      <w:pPr>
        <w:pStyle w:val="ListParagraph"/>
        <w:numPr>
          <w:ilvl w:val="0"/>
          <w:numId w:val="22"/>
        </w:numPr>
        <w:spacing w:before="120" w:after="120"/>
        <w:ind w:left="714" w:hanging="357"/>
        <w:rPr>
          <w:rStyle w:val="Arial"/>
        </w:rPr>
      </w:pPr>
      <w:r>
        <w:rPr>
          <w:rStyle w:val="Arial"/>
        </w:rPr>
        <w:t>the product labelling</w:t>
      </w:r>
      <w:r w:rsidR="004B0CB2">
        <w:rPr>
          <w:rStyle w:val="Arial"/>
        </w:rPr>
        <w:t xml:space="preserve"> (including the pack insert)</w:t>
      </w:r>
    </w:p>
    <w:p w:rsidR="000F1FF2" w:rsidRDefault="000F1FF2" w:rsidP="00DB34DC">
      <w:pPr>
        <w:pStyle w:val="ListParagraph"/>
        <w:numPr>
          <w:ilvl w:val="0"/>
          <w:numId w:val="22"/>
        </w:numPr>
        <w:spacing w:before="120" w:after="120"/>
        <w:ind w:left="714" w:hanging="357"/>
        <w:rPr>
          <w:rStyle w:val="Arial"/>
        </w:rPr>
      </w:pPr>
      <w:r>
        <w:rPr>
          <w:rStyle w:val="Arial"/>
        </w:rPr>
        <w:t>the product name</w:t>
      </w:r>
      <w:r w:rsidR="00D06DA0" w:rsidRPr="000F1FF2">
        <w:rPr>
          <w:rStyle w:val="Arial"/>
        </w:rPr>
        <w:t xml:space="preserve"> </w:t>
      </w:r>
    </w:p>
    <w:p w:rsidR="004B0CB2" w:rsidRDefault="000F1FF2" w:rsidP="00DB34DC">
      <w:pPr>
        <w:pStyle w:val="ListParagraph"/>
        <w:numPr>
          <w:ilvl w:val="0"/>
          <w:numId w:val="22"/>
        </w:numPr>
        <w:spacing w:before="120" w:after="120"/>
        <w:ind w:left="714" w:hanging="357"/>
        <w:rPr>
          <w:rStyle w:val="Arial"/>
        </w:rPr>
      </w:pPr>
      <w:r>
        <w:rPr>
          <w:rStyle w:val="Arial"/>
        </w:rPr>
        <w:t>the manufacturing site or process</w:t>
      </w:r>
      <w:r w:rsidR="004B0CB2">
        <w:rPr>
          <w:rStyle w:val="Arial"/>
        </w:rPr>
        <w:t xml:space="preserve"> (for the substance and the product – this includes the intermediate manufacturing site)</w:t>
      </w:r>
    </w:p>
    <w:p w:rsidR="004B0CB2" w:rsidRDefault="004B0CB2" w:rsidP="00DB34DC">
      <w:pPr>
        <w:pStyle w:val="ListParagraph"/>
        <w:numPr>
          <w:ilvl w:val="0"/>
          <w:numId w:val="22"/>
        </w:numPr>
        <w:spacing w:before="120" w:after="120"/>
        <w:ind w:left="714" w:hanging="357"/>
        <w:rPr>
          <w:rStyle w:val="Arial"/>
        </w:rPr>
      </w:pPr>
      <w:r>
        <w:rPr>
          <w:rStyle w:val="Arial"/>
        </w:rPr>
        <w:t>the specifications (for the substance, the product and any ingredient)</w:t>
      </w:r>
    </w:p>
    <w:p w:rsidR="004B0CB2" w:rsidRDefault="004B0CB2" w:rsidP="00DB34DC">
      <w:pPr>
        <w:pStyle w:val="ListParagraph"/>
        <w:numPr>
          <w:ilvl w:val="0"/>
          <w:numId w:val="22"/>
        </w:numPr>
        <w:spacing w:before="120" w:after="120"/>
        <w:ind w:left="714" w:hanging="357"/>
        <w:rPr>
          <w:rStyle w:val="Arial"/>
        </w:rPr>
      </w:pPr>
      <w:r>
        <w:rPr>
          <w:rStyle w:val="Arial"/>
        </w:rPr>
        <w:t>the shelf life</w:t>
      </w:r>
    </w:p>
    <w:p w:rsidR="004B0CB2" w:rsidRDefault="004B0CB2" w:rsidP="00DB34DC">
      <w:pPr>
        <w:pStyle w:val="ListParagraph"/>
        <w:numPr>
          <w:ilvl w:val="0"/>
          <w:numId w:val="22"/>
        </w:numPr>
        <w:spacing w:before="120" w:after="120"/>
        <w:ind w:left="714" w:hanging="357"/>
        <w:rPr>
          <w:rStyle w:val="Arial"/>
        </w:rPr>
      </w:pPr>
      <w:r>
        <w:rPr>
          <w:rStyle w:val="Arial"/>
        </w:rPr>
        <w:t>the packing site</w:t>
      </w:r>
    </w:p>
    <w:p w:rsidR="000F1FF2" w:rsidRDefault="004B0CB2" w:rsidP="00DB34DC">
      <w:pPr>
        <w:pStyle w:val="ListParagraph"/>
        <w:numPr>
          <w:ilvl w:val="0"/>
          <w:numId w:val="22"/>
        </w:numPr>
        <w:spacing w:before="120" w:after="120"/>
        <w:ind w:left="714" w:hanging="357"/>
        <w:rPr>
          <w:rStyle w:val="Arial"/>
        </w:rPr>
      </w:pPr>
      <w:r>
        <w:rPr>
          <w:rStyle w:val="Arial"/>
        </w:rPr>
        <w:t>the testing site</w:t>
      </w:r>
      <w:r w:rsidR="000F1FF2">
        <w:rPr>
          <w:rStyle w:val="Arial"/>
        </w:rPr>
        <w:t xml:space="preserve"> </w:t>
      </w:r>
    </w:p>
    <w:p w:rsidR="00871D12" w:rsidRDefault="00F004D6" w:rsidP="00EE1F26">
      <w:pPr>
        <w:rPr>
          <w:rStyle w:val="Arial"/>
        </w:rPr>
      </w:pPr>
      <w:r>
        <w:rPr>
          <w:rStyle w:val="Arial"/>
        </w:rPr>
        <w:t>If you wish to make a change that is not listed above, please contact the OPSRA (</w:t>
      </w:r>
      <w:hyperlink r:id="rId22" w:history="1">
        <w:r w:rsidRPr="00AA6B91">
          <w:rPr>
            <w:rStyle w:val="Hyperlink"/>
            <w:rFonts w:ascii="Arial" w:hAnsi="Arial"/>
          </w:rPr>
          <w:t>psychoactives@moh.govt.nz</w:t>
        </w:r>
      </w:hyperlink>
      <w:r>
        <w:rPr>
          <w:rStyle w:val="Arial"/>
        </w:rPr>
        <w:t>)</w:t>
      </w:r>
      <w:r w:rsidR="00EE1F26">
        <w:rPr>
          <w:rStyle w:val="Arial"/>
        </w:rPr>
        <w:t xml:space="preserve"> </w:t>
      </w:r>
      <w:r>
        <w:rPr>
          <w:rStyle w:val="Arial"/>
        </w:rPr>
        <w:t>to determine if the change requires a</w:t>
      </w:r>
      <w:r w:rsidR="00952D86">
        <w:rPr>
          <w:rStyle w:val="Arial"/>
        </w:rPr>
        <w:t>n</w:t>
      </w:r>
      <w:r>
        <w:rPr>
          <w:rStyle w:val="Arial"/>
        </w:rPr>
        <w:t xml:space="preserve"> NPPA to be submitted. </w:t>
      </w:r>
    </w:p>
    <w:p w:rsidR="00871D12" w:rsidRDefault="00871D12" w:rsidP="00EE1F26">
      <w:pPr>
        <w:rPr>
          <w:rStyle w:val="Arial"/>
        </w:rPr>
      </w:pPr>
    </w:p>
    <w:p w:rsidR="008C3B61" w:rsidRDefault="00871D12" w:rsidP="00EE1F26">
      <w:pPr>
        <w:rPr>
          <w:rStyle w:val="Arial"/>
        </w:rPr>
      </w:pPr>
      <w:r>
        <w:rPr>
          <w:rStyle w:val="Arial"/>
        </w:rPr>
        <w:t>For non-material changes, contact OPSRA to discuss the level of change. Based on the change, a fee reduction will be available.</w:t>
      </w:r>
      <w:r w:rsidR="008C3B61">
        <w:rPr>
          <w:rStyle w:val="Arial"/>
        </w:rPr>
        <w:br w:type="page"/>
      </w:r>
    </w:p>
    <w:p w:rsidR="00F004D6" w:rsidRDefault="00372909" w:rsidP="00CF062F">
      <w:pPr>
        <w:pStyle w:val="Heading1"/>
        <w:numPr>
          <w:ilvl w:val="0"/>
          <w:numId w:val="67"/>
        </w:numPr>
        <w:rPr>
          <w:bCs w:val="0"/>
          <w:sz w:val="36"/>
        </w:rPr>
      </w:pPr>
      <w:bookmarkStart w:id="67" w:name="_Toc409508696"/>
      <w:r>
        <w:rPr>
          <w:bCs w:val="0"/>
          <w:sz w:val="36"/>
        </w:rPr>
        <w:t>P</w:t>
      </w:r>
      <w:r w:rsidR="00F004D6" w:rsidRPr="00F004D6">
        <w:rPr>
          <w:bCs w:val="0"/>
          <w:sz w:val="36"/>
        </w:rPr>
        <w:t>roduct</w:t>
      </w:r>
      <w:r>
        <w:rPr>
          <w:bCs w:val="0"/>
          <w:sz w:val="36"/>
        </w:rPr>
        <w:t xml:space="preserve"> development</w:t>
      </w:r>
      <w:bookmarkEnd w:id="67"/>
    </w:p>
    <w:p w:rsidR="000A68E7" w:rsidRPr="00952D86" w:rsidRDefault="00952D86" w:rsidP="000A68E7">
      <w:pPr>
        <w:pStyle w:val="Heading1"/>
        <w:rPr>
          <w:bCs w:val="0"/>
          <w:sz w:val="22"/>
          <w:szCs w:val="22"/>
        </w:rPr>
      </w:pPr>
      <w:bookmarkStart w:id="68" w:name="_Toc409508697"/>
      <w:r>
        <w:rPr>
          <w:bCs w:val="0"/>
          <w:sz w:val="22"/>
          <w:szCs w:val="22"/>
        </w:rPr>
        <w:t xml:space="preserve">The following information needs to be provided in </w:t>
      </w:r>
      <w:r>
        <w:rPr>
          <w:b/>
          <w:bCs w:val="0"/>
          <w:sz w:val="22"/>
          <w:szCs w:val="22"/>
        </w:rPr>
        <w:t xml:space="preserve">all </w:t>
      </w:r>
      <w:r>
        <w:rPr>
          <w:bCs w:val="0"/>
          <w:sz w:val="22"/>
          <w:szCs w:val="22"/>
        </w:rPr>
        <w:t>NPPA applications.</w:t>
      </w:r>
      <w:bookmarkEnd w:id="68"/>
    </w:p>
    <w:p w:rsidR="00F004D6" w:rsidRPr="00BC6862" w:rsidRDefault="00F004D6" w:rsidP="00CF062F">
      <w:pPr>
        <w:pStyle w:val="Heading3"/>
        <w:numPr>
          <w:ilvl w:val="0"/>
          <w:numId w:val="51"/>
        </w:numPr>
        <w:rPr>
          <w:rStyle w:val="Arial"/>
        </w:rPr>
      </w:pPr>
      <w:bookmarkStart w:id="69" w:name="_Toc393185480"/>
      <w:bookmarkStart w:id="70" w:name="_Toc409508698"/>
      <w:r w:rsidRPr="00BC6862">
        <w:rPr>
          <w:rStyle w:val="Arial"/>
        </w:rPr>
        <w:t xml:space="preserve">Pre-market </w:t>
      </w:r>
      <w:r w:rsidR="00952D86" w:rsidRPr="00952D86">
        <w:rPr>
          <w:rStyle w:val="Arial"/>
          <w:i/>
        </w:rPr>
        <w:t>in vitro</w:t>
      </w:r>
      <w:r w:rsidRPr="00BC6862">
        <w:rPr>
          <w:rStyle w:val="Arial"/>
        </w:rPr>
        <w:t xml:space="preserve"> assessment</w:t>
      </w:r>
      <w:bookmarkEnd w:id="69"/>
      <w:bookmarkEnd w:id="70"/>
    </w:p>
    <w:p w:rsidR="00F15340" w:rsidRDefault="00F15340" w:rsidP="00F004D6">
      <w:pPr>
        <w:rPr>
          <w:rStyle w:val="Arial"/>
        </w:rPr>
      </w:pPr>
      <w:r>
        <w:rPr>
          <w:rStyle w:val="Arial"/>
        </w:rPr>
        <w:t xml:space="preserve">The researcher </w:t>
      </w:r>
      <w:r w:rsidR="00F84E5B">
        <w:rPr>
          <w:rStyle w:val="Arial"/>
        </w:rPr>
        <w:t xml:space="preserve">or manufacturer </w:t>
      </w:r>
      <w:r>
        <w:rPr>
          <w:rStyle w:val="Arial"/>
        </w:rPr>
        <w:t xml:space="preserve">must </w:t>
      </w:r>
      <w:r w:rsidR="00F84E5B">
        <w:rPr>
          <w:rStyle w:val="Arial"/>
        </w:rPr>
        <w:t>provide</w:t>
      </w:r>
      <w:r>
        <w:rPr>
          <w:rStyle w:val="Arial"/>
        </w:rPr>
        <w:t xml:space="preserve"> the following pr</w:t>
      </w:r>
      <w:r w:rsidR="00F84E5B">
        <w:rPr>
          <w:rStyle w:val="Arial"/>
        </w:rPr>
        <w:t>e-</w:t>
      </w:r>
      <w:r>
        <w:rPr>
          <w:rStyle w:val="Arial"/>
        </w:rPr>
        <w:t xml:space="preserve">market safety </w:t>
      </w:r>
      <w:r w:rsidR="00F84E5B">
        <w:rPr>
          <w:rStyle w:val="Arial"/>
        </w:rPr>
        <w:t>information</w:t>
      </w:r>
      <w:r>
        <w:rPr>
          <w:rStyle w:val="Arial"/>
        </w:rPr>
        <w:t xml:space="preserve"> in </w:t>
      </w:r>
      <w:r w:rsidR="00F84E5B">
        <w:rPr>
          <w:rStyle w:val="Arial"/>
        </w:rPr>
        <w:t>or</w:t>
      </w:r>
      <w:r>
        <w:rPr>
          <w:rStyle w:val="Arial"/>
        </w:rPr>
        <w:t>der to demonstrate that a product poses no more than a low risk of harm:</w:t>
      </w:r>
    </w:p>
    <w:p w:rsidR="00F15340" w:rsidRDefault="00F15340" w:rsidP="00F004D6">
      <w:pPr>
        <w:rPr>
          <w:rStyle w:val="Arial"/>
        </w:rPr>
      </w:pPr>
    </w:p>
    <w:p w:rsidR="00F15340" w:rsidRDefault="00F004D6" w:rsidP="00CF062F">
      <w:pPr>
        <w:pStyle w:val="ListParagraph"/>
        <w:numPr>
          <w:ilvl w:val="0"/>
          <w:numId w:val="54"/>
        </w:numPr>
        <w:rPr>
          <w:rStyle w:val="Arial"/>
        </w:rPr>
      </w:pPr>
      <w:r w:rsidRPr="00F004D6">
        <w:rPr>
          <w:rStyle w:val="Arial"/>
        </w:rPr>
        <w:t xml:space="preserve">identify a range of potential candidate substances that may have psychoactive effects. </w:t>
      </w:r>
    </w:p>
    <w:p w:rsidR="00F15340" w:rsidRDefault="00F004D6" w:rsidP="00CF062F">
      <w:pPr>
        <w:pStyle w:val="ListParagraph"/>
        <w:numPr>
          <w:ilvl w:val="0"/>
          <w:numId w:val="54"/>
        </w:numPr>
        <w:rPr>
          <w:rStyle w:val="Arial"/>
        </w:rPr>
      </w:pPr>
      <w:r w:rsidRPr="00F004D6">
        <w:rPr>
          <w:rStyle w:val="Arial"/>
        </w:rPr>
        <w:t xml:space="preserve">determine the mode of action (eg, which receptors the ingredients target) and </w:t>
      </w:r>
    </w:p>
    <w:p w:rsidR="00F004D6" w:rsidRPr="00F004D6" w:rsidRDefault="00F004D6" w:rsidP="00CF062F">
      <w:pPr>
        <w:pStyle w:val="ListParagraph"/>
        <w:numPr>
          <w:ilvl w:val="0"/>
          <w:numId w:val="54"/>
        </w:numPr>
        <w:rPr>
          <w:rStyle w:val="Arial"/>
        </w:rPr>
      </w:pPr>
      <w:r w:rsidRPr="00F004D6">
        <w:rPr>
          <w:rStyle w:val="Arial"/>
        </w:rPr>
        <w:t xml:space="preserve">identify any potential risks associated with the substance, (eg, based on structural similarity to other molecules). </w:t>
      </w:r>
    </w:p>
    <w:p w:rsidR="00F004D6" w:rsidRPr="00F004D6" w:rsidRDefault="00F004D6" w:rsidP="00F004D6">
      <w:pPr>
        <w:rPr>
          <w:rStyle w:val="Arial"/>
        </w:rPr>
      </w:pPr>
    </w:p>
    <w:p w:rsidR="00F004D6" w:rsidRPr="00F004D6" w:rsidRDefault="00F15340" w:rsidP="00F004D6">
      <w:pPr>
        <w:rPr>
          <w:rStyle w:val="Arial"/>
        </w:rPr>
      </w:pPr>
      <w:r>
        <w:rPr>
          <w:rStyle w:val="Arial"/>
        </w:rPr>
        <w:t>Any</w:t>
      </w:r>
      <w:r w:rsidR="00BC6862">
        <w:rPr>
          <w:rStyle w:val="Arial"/>
        </w:rPr>
        <w:t xml:space="preserve"> </w:t>
      </w:r>
      <w:r w:rsidR="00F004D6" w:rsidRPr="00F004D6">
        <w:rPr>
          <w:rStyle w:val="Arial"/>
        </w:rPr>
        <w:t xml:space="preserve">substance selected for potential development </w:t>
      </w:r>
      <w:r w:rsidR="00BC6862">
        <w:rPr>
          <w:rStyle w:val="Arial"/>
        </w:rPr>
        <w:t>that demonstrates the potential for</w:t>
      </w:r>
      <w:r w:rsidR="00F004D6" w:rsidRPr="00F004D6">
        <w:rPr>
          <w:rStyle w:val="Arial"/>
        </w:rPr>
        <w:t xml:space="preserve"> genotoxicity, immunotoxicity, mutagenicity, or acute cellular to</w:t>
      </w:r>
      <w:r w:rsidR="00BC6862">
        <w:rPr>
          <w:rStyle w:val="Arial"/>
        </w:rPr>
        <w:t>xicity at low concentrations,</w:t>
      </w:r>
      <w:r w:rsidR="00F004D6" w:rsidRPr="00F004D6">
        <w:rPr>
          <w:rStyle w:val="Arial"/>
        </w:rPr>
        <w:t xml:space="preserve"> cannot be considered as meeting the regulatory requirement that a product should pose no more than a low risk of harm.</w:t>
      </w:r>
    </w:p>
    <w:p w:rsidR="00952D86" w:rsidRDefault="00952D86" w:rsidP="00F004D6">
      <w:pPr>
        <w:rPr>
          <w:rStyle w:val="Arial"/>
        </w:rPr>
      </w:pPr>
    </w:p>
    <w:p w:rsidR="00F004D6" w:rsidRPr="00F004D6" w:rsidRDefault="00952D86" w:rsidP="00F004D6">
      <w:pPr>
        <w:rPr>
          <w:rStyle w:val="Arial"/>
        </w:rPr>
      </w:pPr>
      <w:r>
        <w:rPr>
          <w:rStyle w:val="Arial"/>
        </w:rPr>
        <w:t>W</w:t>
      </w:r>
      <w:r w:rsidR="00372909">
        <w:rPr>
          <w:rStyle w:val="Arial"/>
        </w:rPr>
        <w:t>here possible</w:t>
      </w:r>
      <w:r>
        <w:rPr>
          <w:rStyle w:val="Arial"/>
        </w:rPr>
        <w:t xml:space="preserve"> and</w:t>
      </w:r>
      <w:r w:rsidR="00F004D6" w:rsidRPr="00F004D6">
        <w:rPr>
          <w:rStyle w:val="Arial"/>
        </w:rPr>
        <w:t xml:space="preserve"> ethical</w:t>
      </w:r>
      <w:r>
        <w:rPr>
          <w:rStyle w:val="Arial"/>
        </w:rPr>
        <w:t>,</w:t>
      </w:r>
      <w:r w:rsidR="00F004D6" w:rsidRPr="00F004D6">
        <w:rPr>
          <w:rStyle w:val="Arial"/>
        </w:rPr>
        <w:t xml:space="preserve"> </w:t>
      </w:r>
      <w:r w:rsidRPr="00952D86">
        <w:rPr>
          <w:rStyle w:val="Arial"/>
          <w:i/>
        </w:rPr>
        <w:t>i</w:t>
      </w:r>
      <w:r w:rsidRPr="00952D86">
        <w:rPr>
          <w:rStyle w:val="Arial"/>
          <w:i/>
          <w:iCs/>
        </w:rPr>
        <w:t>n vitro</w:t>
      </w:r>
      <w:r w:rsidRPr="00952D86">
        <w:rPr>
          <w:rStyle w:val="Arial"/>
          <w:i/>
        </w:rPr>
        <w:t xml:space="preserve"> </w:t>
      </w:r>
      <w:r w:rsidRPr="00952D86">
        <w:rPr>
          <w:rStyle w:val="Arial"/>
        </w:rPr>
        <w:t>pre-clinical testing and human clinical trials</w:t>
      </w:r>
      <w:r w:rsidRPr="00952D86">
        <w:rPr>
          <w:rStyle w:val="Arial"/>
          <w:i/>
        </w:rPr>
        <w:t xml:space="preserve"> </w:t>
      </w:r>
      <w:r w:rsidR="00A86EEF">
        <w:rPr>
          <w:rStyle w:val="Arial"/>
        </w:rPr>
        <w:t xml:space="preserve">should be used to determine risk.  Animal testing is prohibited under the regime </w:t>
      </w:r>
      <w:r w:rsidR="00F004D6" w:rsidRPr="00F004D6">
        <w:rPr>
          <w:rStyle w:val="Arial"/>
        </w:rPr>
        <w:t xml:space="preserve">to demonstrate that a product poses no more than a low risk of harm. </w:t>
      </w:r>
      <w:r>
        <w:rPr>
          <w:rStyle w:val="Arial"/>
        </w:rPr>
        <w:t xml:space="preserve">This includes animal testing conducted overseas. </w:t>
      </w:r>
    </w:p>
    <w:p w:rsidR="00F004D6" w:rsidRPr="00BC6862" w:rsidRDefault="00F004D6" w:rsidP="00CF062F">
      <w:pPr>
        <w:pStyle w:val="Heading3"/>
        <w:numPr>
          <w:ilvl w:val="0"/>
          <w:numId w:val="51"/>
        </w:numPr>
        <w:rPr>
          <w:rStyle w:val="Arial"/>
        </w:rPr>
      </w:pPr>
      <w:bookmarkStart w:id="71" w:name="_Toc393185481"/>
      <w:bookmarkStart w:id="72" w:name="_Toc409508699"/>
      <w:r w:rsidRPr="00BC6862">
        <w:rPr>
          <w:rStyle w:val="Arial"/>
        </w:rPr>
        <w:t>Pre-clinical safety assessment</w:t>
      </w:r>
      <w:bookmarkEnd w:id="71"/>
      <w:bookmarkEnd w:id="72"/>
    </w:p>
    <w:p w:rsidR="00F004D6" w:rsidRPr="00F004D6" w:rsidRDefault="00F004D6" w:rsidP="00F004D6">
      <w:pPr>
        <w:rPr>
          <w:rStyle w:val="Arial"/>
        </w:rPr>
      </w:pPr>
      <w:r w:rsidRPr="00F004D6">
        <w:rPr>
          <w:rStyle w:val="Arial"/>
        </w:rPr>
        <w:t xml:space="preserve">Psychoactive ingredients that have successfully completed </w:t>
      </w:r>
      <w:r w:rsidRPr="00F004D6">
        <w:rPr>
          <w:rStyle w:val="Arial"/>
          <w:i/>
          <w:iCs/>
        </w:rPr>
        <w:t>in vitro</w:t>
      </w:r>
      <w:r w:rsidRPr="00F004D6">
        <w:rPr>
          <w:rStyle w:val="Arial"/>
        </w:rPr>
        <w:t xml:space="preserve"> testing and are considered suitable for further product development should follow the ICH pre-clinical</w:t>
      </w:r>
      <w:r w:rsidR="00372909">
        <w:rPr>
          <w:rStyle w:val="Arial"/>
        </w:rPr>
        <w:t xml:space="preserve"> testing regimen set out in Appendix </w:t>
      </w:r>
      <w:r w:rsidR="002C7CC5">
        <w:rPr>
          <w:rStyle w:val="Arial"/>
        </w:rPr>
        <w:t>1</w:t>
      </w:r>
      <w:r w:rsidRPr="00F004D6">
        <w:rPr>
          <w:rStyle w:val="Arial"/>
        </w:rPr>
        <w:t>, except where the ICH guidelines suggest the use of animal models.</w:t>
      </w:r>
      <w:r w:rsidR="00372909">
        <w:rPr>
          <w:rStyle w:val="Arial"/>
        </w:rPr>
        <w:t xml:space="preserve"> </w:t>
      </w:r>
    </w:p>
    <w:p w:rsidR="00F004D6" w:rsidRDefault="00F004D6" w:rsidP="00F004D6">
      <w:pPr>
        <w:rPr>
          <w:rStyle w:val="Arial"/>
        </w:rPr>
      </w:pPr>
    </w:p>
    <w:p w:rsidR="00F84E5B" w:rsidRDefault="008C3B61" w:rsidP="00C63A1F">
      <w:pPr>
        <w:pBdr>
          <w:top w:val="single" w:sz="18" w:space="1" w:color="auto"/>
          <w:left w:val="single" w:sz="18" w:space="4" w:color="auto"/>
          <w:bottom w:val="single" w:sz="18" w:space="1" w:color="auto"/>
          <w:right w:val="single" w:sz="18" w:space="4" w:color="auto"/>
        </w:pBdr>
        <w:rPr>
          <w:rStyle w:val="Arial"/>
        </w:rPr>
      </w:pPr>
      <w:r w:rsidRPr="00F004D6">
        <w:rPr>
          <w:rStyle w:val="Arial"/>
        </w:rPr>
        <w:t xml:space="preserve">At this time, the OPSRA is unaware of any suitable non-animal alternatives for assessing the pharmacokinetics, metabolism, reproductive toxicity or addiction potential of a substance.  </w:t>
      </w:r>
      <w:r w:rsidR="00A86EEF">
        <w:rPr>
          <w:rStyle w:val="Arial"/>
        </w:rPr>
        <w:t>These are key requirements in assessing risk</w:t>
      </w:r>
      <w:r w:rsidR="00F84E5B">
        <w:rPr>
          <w:rStyle w:val="Arial"/>
        </w:rPr>
        <w:t>.</w:t>
      </w:r>
      <w:r w:rsidR="00A86EEF">
        <w:rPr>
          <w:rStyle w:val="Arial"/>
        </w:rPr>
        <w:t xml:space="preserve"> </w:t>
      </w:r>
    </w:p>
    <w:p w:rsidR="00952D86" w:rsidRDefault="00952D86" w:rsidP="00C63A1F">
      <w:pPr>
        <w:pBdr>
          <w:top w:val="single" w:sz="18" w:space="1" w:color="auto"/>
          <w:left w:val="single" w:sz="18" w:space="4" w:color="auto"/>
          <w:bottom w:val="single" w:sz="18" w:space="1" w:color="auto"/>
          <w:right w:val="single" w:sz="18" w:space="4" w:color="auto"/>
        </w:pBdr>
        <w:rPr>
          <w:rStyle w:val="Arial"/>
        </w:rPr>
      </w:pPr>
    </w:p>
    <w:p w:rsidR="00F84E5B" w:rsidRDefault="00952D86" w:rsidP="00C63A1F">
      <w:pPr>
        <w:pBdr>
          <w:top w:val="single" w:sz="18" w:space="1" w:color="auto"/>
          <w:left w:val="single" w:sz="18" w:space="4" w:color="auto"/>
          <w:bottom w:val="single" w:sz="18" w:space="1" w:color="auto"/>
          <w:right w:val="single" w:sz="18" w:space="4" w:color="auto"/>
        </w:pBdr>
        <w:rPr>
          <w:rStyle w:val="Arial"/>
        </w:rPr>
      </w:pPr>
      <w:r w:rsidRPr="00871D12">
        <w:rPr>
          <w:rStyle w:val="Arial"/>
        </w:rPr>
        <w:t xml:space="preserve">See Appendix </w:t>
      </w:r>
      <w:r w:rsidR="00871D12" w:rsidRPr="00871D12">
        <w:rPr>
          <w:rStyle w:val="Arial"/>
        </w:rPr>
        <w:t>3</w:t>
      </w:r>
      <w:r w:rsidRPr="00871D12">
        <w:rPr>
          <w:rStyle w:val="Arial"/>
        </w:rPr>
        <w:t xml:space="preserve"> for the Position Statement on Animal Testing by the Psychoactive Substances Expert Advisory Committee (PSEAC)]</w:t>
      </w:r>
    </w:p>
    <w:p w:rsidR="00952D86" w:rsidRDefault="00952D86" w:rsidP="00C63A1F">
      <w:pPr>
        <w:pBdr>
          <w:top w:val="single" w:sz="18" w:space="1" w:color="auto"/>
          <w:left w:val="single" w:sz="18" w:space="4" w:color="auto"/>
          <w:bottom w:val="single" w:sz="18" w:space="1" w:color="auto"/>
          <w:right w:val="single" w:sz="18" w:space="4" w:color="auto"/>
        </w:pBdr>
        <w:rPr>
          <w:rStyle w:val="Arial"/>
        </w:rPr>
      </w:pPr>
    </w:p>
    <w:p w:rsidR="008C3B61" w:rsidRDefault="008C3B61" w:rsidP="00C63A1F">
      <w:pPr>
        <w:pBdr>
          <w:top w:val="single" w:sz="18" w:space="1" w:color="auto"/>
          <w:left w:val="single" w:sz="18" w:space="4" w:color="auto"/>
          <w:bottom w:val="single" w:sz="18" w:space="1" w:color="auto"/>
          <w:right w:val="single" w:sz="18" w:space="4" w:color="auto"/>
        </w:pBdr>
        <w:rPr>
          <w:rStyle w:val="Arial"/>
        </w:rPr>
      </w:pPr>
      <w:r w:rsidRPr="00F004D6">
        <w:rPr>
          <w:rStyle w:val="Arial"/>
        </w:rPr>
        <w:t xml:space="preserve">Applicants should take this into consideration when deciding whether to submit a NPPA as no refunds will be given if an application is unsuccessful. The OPSRA is, however, willing to consider any and all information that an applicant chooses to submit as non-animal alternatives to address these safety issues. </w:t>
      </w:r>
    </w:p>
    <w:p w:rsidR="00871D12" w:rsidRPr="00F004D6" w:rsidRDefault="00871D12" w:rsidP="00C63A1F">
      <w:pPr>
        <w:pBdr>
          <w:top w:val="single" w:sz="18" w:space="1" w:color="auto"/>
          <w:left w:val="single" w:sz="18" w:space="4" w:color="auto"/>
          <w:bottom w:val="single" w:sz="18" w:space="1" w:color="auto"/>
          <w:right w:val="single" w:sz="18" w:space="4" w:color="auto"/>
        </w:pBdr>
        <w:rPr>
          <w:rStyle w:val="Arial"/>
        </w:rPr>
      </w:pPr>
    </w:p>
    <w:p w:rsidR="008C3B61" w:rsidRPr="00F004D6" w:rsidRDefault="008C3B61" w:rsidP="00F004D6">
      <w:pPr>
        <w:rPr>
          <w:rStyle w:val="Arial"/>
        </w:rPr>
      </w:pPr>
    </w:p>
    <w:p w:rsidR="00F004D6" w:rsidRPr="00F004D6" w:rsidRDefault="00BC6862" w:rsidP="00F004D6">
      <w:pPr>
        <w:rPr>
          <w:rStyle w:val="Arial"/>
        </w:rPr>
      </w:pPr>
      <w:r>
        <w:rPr>
          <w:rStyle w:val="Arial"/>
        </w:rPr>
        <w:t>If any aspect of</w:t>
      </w:r>
      <w:r w:rsidRPr="00BC6862">
        <w:rPr>
          <w:rStyle w:val="Arial"/>
        </w:rPr>
        <w:t xml:space="preserve"> </w:t>
      </w:r>
      <w:r>
        <w:rPr>
          <w:rStyle w:val="Arial"/>
        </w:rPr>
        <w:t>the</w:t>
      </w:r>
      <w:r w:rsidRPr="00F004D6">
        <w:rPr>
          <w:rStyle w:val="Arial"/>
        </w:rPr>
        <w:t xml:space="preserve"> ICH or any other pre-clinical testing criteria</w:t>
      </w:r>
      <w:r>
        <w:rPr>
          <w:rStyle w:val="Arial"/>
        </w:rPr>
        <w:t xml:space="preserve"> indicates that </w:t>
      </w:r>
      <w:r w:rsidR="00F004D6" w:rsidRPr="00F004D6">
        <w:rPr>
          <w:rStyle w:val="Arial"/>
        </w:rPr>
        <w:t xml:space="preserve">any product </w:t>
      </w:r>
      <w:r>
        <w:rPr>
          <w:rStyle w:val="Arial"/>
        </w:rPr>
        <w:t>or</w:t>
      </w:r>
      <w:r w:rsidR="00F004D6" w:rsidRPr="00F004D6">
        <w:rPr>
          <w:rStyle w:val="Arial"/>
        </w:rPr>
        <w:t xml:space="preserve"> ingredient </w:t>
      </w:r>
      <w:r>
        <w:rPr>
          <w:rStyle w:val="Arial"/>
        </w:rPr>
        <w:t>may pose more than a low risk of harm to humans</w:t>
      </w:r>
      <w:r w:rsidR="00F004D6" w:rsidRPr="00F004D6">
        <w:rPr>
          <w:rStyle w:val="Arial"/>
        </w:rPr>
        <w:t xml:space="preserve"> </w:t>
      </w:r>
      <w:r w:rsidR="00A86EEF">
        <w:rPr>
          <w:rStyle w:val="Arial"/>
        </w:rPr>
        <w:t>its</w:t>
      </w:r>
      <w:r w:rsidR="00A86EEF" w:rsidRPr="00F004D6">
        <w:rPr>
          <w:rStyle w:val="Arial"/>
        </w:rPr>
        <w:t xml:space="preserve"> </w:t>
      </w:r>
      <w:r w:rsidR="00F004D6" w:rsidRPr="00F004D6">
        <w:rPr>
          <w:rStyle w:val="Arial"/>
        </w:rPr>
        <w:t xml:space="preserve">potential for development as a psychoactive substance must be reassessed. The OPSRA will not accept or approve any application where the active ingredient of a product has failed pre-clinical assessment, unless the applicant has provided appropriate and sufficient evidence to justify the safety of the product.  </w:t>
      </w:r>
    </w:p>
    <w:p w:rsidR="00F004D6" w:rsidRPr="00BC6862" w:rsidRDefault="00F004D6" w:rsidP="00CF062F">
      <w:pPr>
        <w:pStyle w:val="Heading3"/>
        <w:numPr>
          <w:ilvl w:val="0"/>
          <w:numId w:val="51"/>
        </w:numPr>
        <w:rPr>
          <w:rStyle w:val="Arial"/>
        </w:rPr>
      </w:pPr>
      <w:bookmarkStart w:id="73" w:name="_Toc393185482"/>
      <w:bookmarkStart w:id="74" w:name="_Toc409508700"/>
      <w:r w:rsidRPr="00BC6862">
        <w:rPr>
          <w:rStyle w:val="Arial"/>
        </w:rPr>
        <w:t>Clinical safety assessment</w:t>
      </w:r>
      <w:bookmarkEnd w:id="73"/>
      <w:bookmarkEnd w:id="74"/>
    </w:p>
    <w:p w:rsidR="00F004D6" w:rsidRPr="00F004D6" w:rsidRDefault="00F004D6" w:rsidP="00F004D6">
      <w:pPr>
        <w:rPr>
          <w:rStyle w:val="Arial"/>
        </w:rPr>
      </w:pPr>
      <w:r w:rsidRPr="00F004D6">
        <w:rPr>
          <w:rStyle w:val="Arial"/>
        </w:rPr>
        <w:t>Only products containing active ingredients that have completed and passed the pre-clinical safety testing regimen should be considered for use in hum</w:t>
      </w:r>
      <w:r w:rsidRPr="00BC6862">
        <w:rPr>
          <w:rStyle w:val="Arial"/>
        </w:rPr>
        <w:t>an trials. The requirements for human research are set out in</w:t>
      </w:r>
      <w:r w:rsidR="00BC6862" w:rsidRPr="00BC6862">
        <w:rPr>
          <w:rStyle w:val="Arial"/>
        </w:rPr>
        <w:t xml:space="preserve"> Part 11 of the New Zealand Regulatory Guideline for Medicines (</w:t>
      </w:r>
      <w:hyperlink r:id="rId23" w:history="1">
        <w:r w:rsidR="00BC6862" w:rsidRPr="00BC6862">
          <w:rPr>
            <w:rStyle w:val="Hyperlink"/>
            <w:rFonts w:ascii="Arial" w:hAnsi="Arial"/>
          </w:rPr>
          <w:t>www.medsafe.govt.nz</w:t>
        </w:r>
      </w:hyperlink>
      <w:r w:rsidR="00BC6862" w:rsidRPr="00BC6862">
        <w:rPr>
          <w:rStyle w:val="Arial"/>
        </w:rPr>
        <w:t>)</w:t>
      </w:r>
      <w:r w:rsidR="00871D12">
        <w:rPr>
          <w:rStyle w:val="Arial"/>
        </w:rPr>
        <w:t xml:space="preserve"> but applicants for psychoactive substances are not required to obtain approval under section 30 of the Medicines Act</w:t>
      </w:r>
      <w:r w:rsidR="00BC6862" w:rsidRPr="00BC6862">
        <w:rPr>
          <w:rStyle w:val="Arial"/>
        </w:rPr>
        <w:t xml:space="preserve">. </w:t>
      </w:r>
      <w:r w:rsidRPr="00BC6862">
        <w:rPr>
          <w:rStyle w:val="Arial"/>
        </w:rPr>
        <w:t>Given</w:t>
      </w:r>
      <w:r w:rsidRPr="00F004D6">
        <w:rPr>
          <w:rStyle w:val="Arial"/>
        </w:rPr>
        <w:t xml:space="preserve"> the small study population required for the Phase I and Phase II studies required for approval, any report of a serious adverse reaction (including allergic reactions) will be sufficient evidence for the Authority to conclude that the product poses more than a low risk of harm to an individual user. </w:t>
      </w:r>
    </w:p>
    <w:p w:rsidR="00F004D6" w:rsidRPr="00F004D6" w:rsidRDefault="00F004D6" w:rsidP="00F004D6">
      <w:pPr>
        <w:rPr>
          <w:rStyle w:val="Arial"/>
        </w:rPr>
      </w:pPr>
    </w:p>
    <w:p w:rsidR="00F004D6" w:rsidRPr="00F004D6" w:rsidRDefault="00F004D6" w:rsidP="00F004D6">
      <w:pPr>
        <w:rPr>
          <w:rStyle w:val="Arial"/>
        </w:rPr>
      </w:pPr>
      <w:r w:rsidRPr="00F004D6">
        <w:rPr>
          <w:rStyle w:val="Arial"/>
        </w:rPr>
        <w:t xml:space="preserve">A </w:t>
      </w:r>
      <w:r w:rsidRPr="00C63A1F">
        <w:rPr>
          <w:rStyle w:val="Arial"/>
          <w:b/>
        </w:rPr>
        <w:t>serious</w:t>
      </w:r>
      <w:r w:rsidRPr="00F004D6">
        <w:rPr>
          <w:rStyle w:val="Arial"/>
        </w:rPr>
        <w:t xml:space="preserve"> adverse reaction is one which: </w:t>
      </w:r>
    </w:p>
    <w:p w:rsidR="00F004D6" w:rsidRPr="00F004D6" w:rsidRDefault="00F004D6" w:rsidP="00DB34DC">
      <w:pPr>
        <w:pStyle w:val="ListParagraph"/>
        <w:numPr>
          <w:ilvl w:val="0"/>
          <w:numId w:val="11"/>
        </w:numPr>
        <w:spacing w:before="120" w:after="120"/>
        <w:ind w:left="714" w:hanging="357"/>
        <w:rPr>
          <w:rFonts w:ascii="Arial" w:hAnsi="Arial" w:cs="Arial"/>
        </w:rPr>
      </w:pPr>
      <w:r w:rsidRPr="00F004D6">
        <w:rPr>
          <w:rFonts w:ascii="Arial" w:hAnsi="Arial" w:cs="Arial"/>
        </w:rPr>
        <w:t>results in death</w:t>
      </w:r>
    </w:p>
    <w:p w:rsidR="00F004D6" w:rsidRPr="00F004D6" w:rsidRDefault="00F004D6" w:rsidP="00DB34DC">
      <w:pPr>
        <w:pStyle w:val="ListParagraph"/>
        <w:numPr>
          <w:ilvl w:val="0"/>
          <w:numId w:val="18"/>
        </w:numPr>
        <w:spacing w:before="120" w:after="120"/>
        <w:ind w:left="714" w:hanging="357"/>
        <w:rPr>
          <w:rFonts w:ascii="Arial" w:hAnsi="Arial" w:cs="Arial"/>
        </w:rPr>
      </w:pPr>
      <w:r w:rsidRPr="00F004D6">
        <w:rPr>
          <w:rFonts w:ascii="Arial" w:hAnsi="Arial" w:cs="Arial"/>
        </w:rPr>
        <w:t xml:space="preserve">is life-threatening (NOTE: The term “life-threatening” in the definition of “serious” refers to an event/reaction in which the patient was at risk of death at the time of the event/reaction; it does not refer to an event/ reaction which hypothetically might have caused death if it were more severe) </w:t>
      </w:r>
    </w:p>
    <w:p w:rsidR="00F004D6" w:rsidRPr="00F004D6" w:rsidRDefault="00F004D6" w:rsidP="00DB34DC">
      <w:pPr>
        <w:pStyle w:val="ListParagraph"/>
        <w:numPr>
          <w:ilvl w:val="0"/>
          <w:numId w:val="18"/>
        </w:numPr>
        <w:spacing w:before="120" w:after="120"/>
        <w:ind w:left="714" w:hanging="357"/>
        <w:rPr>
          <w:rFonts w:ascii="Arial" w:hAnsi="Arial" w:cs="Arial"/>
        </w:rPr>
      </w:pPr>
      <w:r w:rsidRPr="00F004D6">
        <w:rPr>
          <w:rFonts w:ascii="Arial" w:hAnsi="Arial" w:cs="Arial"/>
        </w:rPr>
        <w:t xml:space="preserve">requires inpatient hospitalisation or results in prolongation of existing hospitalisation </w:t>
      </w:r>
    </w:p>
    <w:p w:rsidR="00F004D6" w:rsidRPr="00F004D6" w:rsidRDefault="00F004D6" w:rsidP="00DB34DC">
      <w:pPr>
        <w:pStyle w:val="ListParagraph"/>
        <w:numPr>
          <w:ilvl w:val="0"/>
          <w:numId w:val="18"/>
        </w:numPr>
        <w:spacing w:before="120" w:after="120"/>
        <w:ind w:left="714" w:hanging="357"/>
        <w:rPr>
          <w:rFonts w:ascii="Arial" w:hAnsi="Arial" w:cs="Arial"/>
        </w:rPr>
      </w:pPr>
      <w:r w:rsidRPr="00F004D6">
        <w:rPr>
          <w:rFonts w:ascii="Arial" w:hAnsi="Arial" w:cs="Arial"/>
        </w:rPr>
        <w:t xml:space="preserve">results in persistent or significant disability/incapacity </w:t>
      </w:r>
    </w:p>
    <w:p w:rsidR="00F004D6" w:rsidRPr="00F004D6" w:rsidRDefault="00F004D6" w:rsidP="00DB34DC">
      <w:pPr>
        <w:pStyle w:val="ListParagraph"/>
        <w:numPr>
          <w:ilvl w:val="0"/>
          <w:numId w:val="18"/>
        </w:numPr>
        <w:spacing w:before="120" w:after="120"/>
        <w:ind w:left="714" w:hanging="357"/>
        <w:rPr>
          <w:rFonts w:ascii="Arial" w:hAnsi="Arial" w:cs="Arial"/>
        </w:rPr>
      </w:pPr>
      <w:r w:rsidRPr="00F004D6">
        <w:rPr>
          <w:rFonts w:ascii="Arial" w:hAnsi="Arial" w:cs="Arial"/>
        </w:rPr>
        <w:t xml:space="preserve">is a congenital anomaly/birth defect </w:t>
      </w:r>
    </w:p>
    <w:p w:rsidR="00F004D6" w:rsidRPr="00F004D6" w:rsidRDefault="00F004D6" w:rsidP="00DB34DC">
      <w:pPr>
        <w:pStyle w:val="ListParagraph"/>
        <w:numPr>
          <w:ilvl w:val="0"/>
          <w:numId w:val="18"/>
        </w:numPr>
        <w:spacing w:before="120" w:after="120"/>
        <w:ind w:left="714" w:hanging="357"/>
        <w:rPr>
          <w:rFonts w:ascii="Arial" w:hAnsi="Arial" w:cs="Arial"/>
        </w:rPr>
      </w:pPr>
      <w:r w:rsidRPr="00F004D6">
        <w:rPr>
          <w:rFonts w:ascii="Arial" w:hAnsi="Arial" w:cs="Arial"/>
        </w:rPr>
        <w:t xml:space="preserve">is a medically important event or reaction. </w:t>
      </w:r>
    </w:p>
    <w:p w:rsidR="008C3B61" w:rsidRDefault="008C3B61" w:rsidP="00E92AB5">
      <w:pPr>
        <w:rPr>
          <w:rFonts w:ascii="Arial" w:hAnsi="Arial"/>
        </w:rPr>
      </w:pPr>
      <w:r>
        <w:rPr>
          <w:rFonts w:ascii="Arial" w:hAnsi="Arial"/>
        </w:rPr>
        <w:br w:type="page"/>
      </w:r>
    </w:p>
    <w:p w:rsidR="00E92AB5" w:rsidRPr="00EE1F26" w:rsidRDefault="00E92AB5" w:rsidP="00CF062F">
      <w:pPr>
        <w:pStyle w:val="Heading1"/>
        <w:numPr>
          <w:ilvl w:val="0"/>
          <w:numId w:val="67"/>
        </w:numPr>
        <w:rPr>
          <w:bCs w:val="0"/>
          <w:sz w:val="36"/>
        </w:rPr>
      </w:pPr>
      <w:bookmarkStart w:id="75" w:name="_Toc409508701"/>
      <w:r w:rsidRPr="00EE1F26">
        <w:rPr>
          <w:bCs w:val="0"/>
          <w:sz w:val="36"/>
        </w:rPr>
        <w:t>How to prepare the content of an application</w:t>
      </w:r>
      <w:bookmarkEnd w:id="75"/>
    </w:p>
    <w:p w:rsidR="00E92AB5" w:rsidRDefault="00E92AB5" w:rsidP="00DB34DC">
      <w:pPr>
        <w:pStyle w:val="Heading3"/>
        <w:numPr>
          <w:ilvl w:val="0"/>
          <w:numId w:val="37"/>
        </w:numPr>
      </w:pPr>
      <w:bookmarkStart w:id="76" w:name="_Toc409508702"/>
      <w:r w:rsidRPr="00E92AB5">
        <w:t>Who should apply</w:t>
      </w:r>
      <w:r w:rsidR="00633E55">
        <w:t>?</w:t>
      </w:r>
      <w:bookmarkEnd w:id="76"/>
    </w:p>
    <w:p w:rsidR="00EE1F26" w:rsidRDefault="00EE1F26" w:rsidP="00EE1F26">
      <w:pPr>
        <w:rPr>
          <w:rFonts w:ascii="Arial" w:hAnsi="Arial"/>
        </w:rPr>
      </w:pPr>
      <w:r w:rsidRPr="00EE1F26">
        <w:rPr>
          <w:rFonts w:ascii="Arial" w:hAnsi="Arial"/>
        </w:rPr>
        <w:t xml:space="preserve">The Act allows a person who is a New Zealand resident to submit an NPPA. The person who submits the NPPA is the applicant. </w:t>
      </w:r>
    </w:p>
    <w:p w:rsidR="000C47AF" w:rsidRPr="000C47AF" w:rsidRDefault="000C47AF" w:rsidP="000C47AF">
      <w:pPr>
        <w:rPr>
          <w:rStyle w:val="Arial"/>
        </w:rPr>
      </w:pPr>
    </w:p>
    <w:p w:rsidR="000C47AF" w:rsidRDefault="000C47AF" w:rsidP="000C47AF">
      <w:pPr>
        <w:rPr>
          <w:rFonts w:ascii="Arial" w:hAnsi="Arial"/>
        </w:rPr>
      </w:pPr>
      <w:r w:rsidRPr="000C47AF">
        <w:rPr>
          <w:rStyle w:val="Arial"/>
        </w:rPr>
        <w:t xml:space="preserve">Preparing an application for </w:t>
      </w:r>
      <w:r>
        <w:rPr>
          <w:rStyle w:val="Arial"/>
        </w:rPr>
        <w:t>approval</w:t>
      </w:r>
      <w:r w:rsidRPr="000C47AF">
        <w:rPr>
          <w:rStyle w:val="Arial"/>
        </w:rPr>
        <w:t xml:space="preserve"> </w:t>
      </w:r>
      <w:r w:rsidR="00A86EEF">
        <w:rPr>
          <w:rStyle w:val="Arial"/>
        </w:rPr>
        <w:t>is</w:t>
      </w:r>
      <w:r w:rsidRPr="000C47AF">
        <w:rPr>
          <w:rStyle w:val="Arial"/>
        </w:rPr>
        <w:t xml:space="preserve"> </w:t>
      </w:r>
      <w:r w:rsidR="00871D12">
        <w:rPr>
          <w:rStyle w:val="Arial"/>
        </w:rPr>
        <w:t>complex</w:t>
      </w:r>
      <w:r w:rsidRPr="000C47AF">
        <w:rPr>
          <w:rStyle w:val="Arial"/>
        </w:rPr>
        <w:t xml:space="preserve">. </w:t>
      </w:r>
      <w:r w:rsidR="00A86EEF">
        <w:rPr>
          <w:rFonts w:ascii="Arial" w:hAnsi="Arial"/>
        </w:rPr>
        <w:t>Some</w:t>
      </w:r>
      <w:r w:rsidRPr="000C47AF">
        <w:rPr>
          <w:rFonts w:ascii="Arial" w:hAnsi="Arial"/>
        </w:rPr>
        <w:t xml:space="preserve"> consultants and companies operate as regulatory consultants for the pharmaceutical sector and may be able to provide some assistance. A list of such consultants and companies is available on the Medsafe website (</w:t>
      </w:r>
      <w:hyperlink r:id="rId24" w:history="1">
        <w:r w:rsidRPr="000C47AF">
          <w:rPr>
            <w:rStyle w:val="Arial"/>
          </w:rPr>
          <w:t>www.medsafe.govt.nz/regulatory/consultants.asp</w:t>
        </w:r>
      </w:hyperlink>
      <w:r w:rsidRPr="000C47AF">
        <w:rPr>
          <w:rFonts w:ascii="Arial" w:hAnsi="Arial"/>
        </w:rPr>
        <w:t>).</w:t>
      </w:r>
      <w:r>
        <w:rPr>
          <w:rFonts w:ascii="Arial" w:hAnsi="Arial"/>
        </w:rPr>
        <w:t xml:space="preserve"> </w:t>
      </w:r>
    </w:p>
    <w:p w:rsidR="000C47AF" w:rsidRDefault="000C47AF" w:rsidP="000C47AF">
      <w:pPr>
        <w:rPr>
          <w:rFonts w:ascii="Arial" w:hAnsi="Arial"/>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528"/>
      </w:tblGrid>
      <w:tr w:rsidR="000C47AF" w:rsidTr="000C47AF">
        <w:tc>
          <w:tcPr>
            <w:tcW w:w="8528" w:type="dxa"/>
          </w:tcPr>
          <w:p w:rsidR="000C47AF" w:rsidRDefault="000C47AF" w:rsidP="000C47AF">
            <w:pPr>
              <w:rPr>
                <w:rFonts w:ascii="Arial" w:hAnsi="Arial"/>
              </w:rPr>
            </w:pPr>
          </w:p>
          <w:p w:rsidR="000C47AF" w:rsidRPr="00952D86" w:rsidRDefault="000C47AF" w:rsidP="000C47AF">
            <w:pPr>
              <w:rPr>
                <w:rFonts w:ascii="Arial" w:hAnsi="Arial"/>
                <w:b/>
              </w:rPr>
            </w:pPr>
            <w:r w:rsidRPr="00952D86">
              <w:rPr>
                <w:rFonts w:ascii="Arial" w:hAnsi="Arial"/>
                <w:b/>
              </w:rPr>
              <w:t>It is strongly recommended that you hire an experienced consultant to compile your product application.</w:t>
            </w:r>
          </w:p>
          <w:p w:rsidR="000C47AF" w:rsidRDefault="000C47AF" w:rsidP="000C47AF">
            <w:pPr>
              <w:rPr>
                <w:rFonts w:ascii="Arial" w:hAnsi="Arial"/>
              </w:rPr>
            </w:pPr>
          </w:p>
        </w:tc>
      </w:tr>
    </w:tbl>
    <w:p w:rsidR="000C47AF" w:rsidRDefault="000C47AF" w:rsidP="000C47AF">
      <w:pPr>
        <w:rPr>
          <w:rFonts w:ascii="Arial" w:hAnsi="Arial"/>
        </w:rPr>
      </w:pPr>
    </w:p>
    <w:p w:rsidR="00871D12" w:rsidRDefault="00EE1F26" w:rsidP="00EE1F26">
      <w:pPr>
        <w:rPr>
          <w:rFonts w:ascii="Arial" w:hAnsi="Arial"/>
        </w:rPr>
      </w:pPr>
      <w:r w:rsidRPr="00871D12">
        <w:rPr>
          <w:rFonts w:ascii="Arial" w:hAnsi="Arial"/>
          <w:b/>
        </w:rPr>
        <w:t xml:space="preserve">The application form includes the requirement for an individual or </w:t>
      </w:r>
      <w:r w:rsidR="000C47AF" w:rsidRPr="00871D12">
        <w:rPr>
          <w:rFonts w:ascii="Arial" w:hAnsi="Arial"/>
          <w:b/>
        </w:rPr>
        <w:t>body corporate</w:t>
      </w:r>
      <w:r w:rsidRPr="00871D12">
        <w:rPr>
          <w:rFonts w:ascii="Arial" w:hAnsi="Arial"/>
          <w:b/>
        </w:rPr>
        <w:t xml:space="preserve"> to assume the legal responsibility for all aspects of the product in New Zealand, including any regulatory action relating to it.</w:t>
      </w:r>
      <w:r w:rsidRPr="00871D12">
        <w:rPr>
          <w:rFonts w:ascii="Arial" w:hAnsi="Arial"/>
        </w:rPr>
        <w:t xml:space="preserve"> </w:t>
      </w:r>
    </w:p>
    <w:p w:rsidR="00871D12" w:rsidRDefault="00871D12" w:rsidP="00EE1F26">
      <w:pPr>
        <w:rPr>
          <w:rFonts w:ascii="Arial" w:hAnsi="Arial"/>
        </w:rPr>
      </w:pPr>
    </w:p>
    <w:p w:rsidR="00EE1F26" w:rsidRPr="00871D12" w:rsidRDefault="00EE1F26" w:rsidP="00EE1F26">
      <w:pPr>
        <w:rPr>
          <w:rFonts w:ascii="Arial" w:hAnsi="Arial"/>
        </w:rPr>
      </w:pPr>
      <w:r w:rsidRPr="00871D12">
        <w:rPr>
          <w:rFonts w:ascii="Arial" w:hAnsi="Arial"/>
        </w:rPr>
        <w:t xml:space="preserve">The individual or company who assumes legal responsibility for the product is designated the “sponsor” or “licence holder” for the product. The sponsor is responsible for ensuring the accuracy of any information submitted to the </w:t>
      </w:r>
      <w:r w:rsidR="00F004D6" w:rsidRPr="00871D12">
        <w:rPr>
          <w:rFonts w:ascii="Arial" w:hAnsi="Arial"/>
        </w:rPr>
        <w:t>OPSRA</w:t>
      </w:r>
      <w:r w:rsidRPr="00871D12">
        <w:rPr>
          <w:rFonts w:ascii="Arial" w:hAnsi="Arial"/>
        </w:rPr>
        <w:t xml:space="preserve"> in support of any NPPA or NSPPA.</w:t>
      </w:r>
    </w:p>
    <w:p w:rsidR="00A46454" w:rsidRPr="00871D12" w:rsidRDefault="00A46454" w:rsidP="00EE1F26">
      <w:pPr>
        <w:rPr>
          <w:rFonts w:ascii="Arial" w:hAnsi="Arial"/>
        </w:rPr>
      </w:pPr>
    </w:p>
    <w:p w:rsidR="00EE1F26" w:rsidRPr="00871D12" w:rsidRDefault="00EE1F26" w:rsidP="00EE1F26">
      <w:pPr>
        <w:rPr>
          <w:rFonts w:ascii="Arial" w:hAnsi="Arial"/>
        </w:rPr>
      </w:pPr>
      <w:r w:rsidRPr="00871D12">
        <w:rPr>
          <w:rFonts w:ascii="Arial" w:hAnsi="Arial"/>
        </w:rPr>
        <w:t xml:space="preserve">An overseas company wishing to market a psychoactive product in New Zealand therefore needs to have a New Zealand-based subsidiary or appoint a local individual or company as the New Zealand agent to act for them in New Zealand as the sponsor for the product concerned. </w:t>
      </w:r>
      <w:r w:rsidRPr="00871D12">
        <w:rPr>
          <w:rFonts w:ascii="Arial" w:hAnsi="Arial"/>
          <w:b/>
        </w:rPr>
        <w:t xml:space="preserve">The New Zealand subsidiary or agent is the sponsor responsible for the product, including any recall of the product from the market. </w:t>
      </w:r>
    </w:p>
    <w:p w:rsidR="00EE1F26" w:rsidRPr="00871D12" w:rsidRDefault="00EE1F26" w:rsidP="00EE1F26">
      <w:pPr>
        <w:rPr>
          <w:rFonts w:ascii="Arial" w:hAnsi="Arial"/>
        </w:rPr>
      </w:pPr>
    </w:p>
    <w:p w:rsidR="00EE1F26" w:rsidRPr="00871D12" w:rsidRDefault="00EE1F26" w:rsidP="00EE1F26">
      <w:pPr>
        <w:rPr>
          <w:rFonts w:ascii="Arial" w:hAnsi="Arial"/>
        </w:rPr>
      </w:pPr>
      <w:r w:rsidRPr="00871D12">
        <w:rPr>
          <w:rFonts w:ascii="Arial" w:hAnsi="Arial"/>
        </w:rPr>
        <w:t xml:space="preserve">An NPPA or NSPPA is submitted to the </w:t>
      </w:r>
      <w:r w:rsidR="00F004D6" w:rsidRPr="00871D12">
        <w:rPr>
          <w:rFonts w:ascii="Arial" w:hAnsi="Arial"/>
        </w:rPr>
        <w:t>OPSRA</w:t>
      </w:r>
      <w:r w:rsidRPr="00871D12">
        <w:rPr>
          <w:rFonts w:ascii="Arial" w:hAnsi="Arial"/>
        </w:rPr>
        <w:t xml:space="preserve"> in the name of the sponsor</w:t>
      </w:r>
      <w:r w:rsidR="00633E55" w:rsidRPr="00871D12">
        <w:rPr>
          <w:rFonts w:ascii="Arial" w:hAnsi="Arial"/>
        </w:rPr>
        <w:t>, but may be submitted by an applicant</w:t>
      </w:r>
      <w:r w:rsidRPr="00871D12">
        <w:rPr>
          <w:rFonts w:ascii="Arial" w:hAnsi="Arial"/>
        </w:rPr>
        <w:t xml:space="preserve">. An overseas branch of the company or a local or overseas consultant may act on the sponsor’s behalf and prepare the paperwork for an application and submit it to the </w:t>
      </w:r>
      <w:r w:rsidR="00F004D6" w:rsidRPr="00871D12">
        <w:rPr>
          <w:rFonts w:ascii="Arial" w:hAnsi="Arial"/>
        </w:rPr>
        <w:t>OPSRA</w:t>
      </w:r>
      <w:r w:rsidRPr="00871D12">
        <w:rPr>
          <w:rFonts w:ascii="Arial" w:hAnsi="Arial"/>
        </w:rPr>
        <w:t>. For administrative purposes, the identity of the “applicant”</w:t>
      </w:r>
      <w:r w:rsidR="00082B60" w:rsidRPr="00871D12">
        <w:rPr>
          <w:rFonts w:ascii="Arial" w:hAnsi="Arial"/>
        </w:rPr>
        <w:t xml:space="preserve"> depends upon the circumstances.</w:t>
      </w:r>
    </w:p>
    <w:p w:rsidR="00EE1F26" w:rsidRPr="00871D12" w:rsidRDefault="00EE1F26" w:rsidP="00EE1F26">
      <w:pPr>
        <w:rPr>
          <w:rFonts w:ascii="Arial" w:hAnsi="Arial"/>
        </w:rPr>
      </w:pPr>
    </w:p>
    <w:p w:rsidR="00EE1F26" w:rsidRPr="00871D12" w:rsidRDefault="00082B60" w:rsidP="00DB34DC">
      <w:pPr>
        <w:pStyle w:val="ListParagraph"/>
        <w:numPr>
          <w:ilvl w:val="0"/>
          <w:numId w:val="11"/>
        </w:numPr>
        <w:rPr>
          <w:rFonts w:ascii="Arial" w:hAnsi="Arial"/>
        </w:rPr>
      </w:pPr>
      <w:r w:rsidRPr="00871D12">
        <w:rPr>
          <w:rFonts w:ascii="Arial" w:hAnsi="Arial"/>
        </w:rPr>
        <w:t>An application or notification may be</w:t>
      </w:r>
      <w:r w:rsidR="00EE1F26" w:rsidRPr="00871D12">
        <w:rPr>
          <w:rFonts w:ascii="Arial" w:hAnsi="Arial"/>
        </w:rPr>
        <w:t xml:space="preserve"> prepared, signed and </w:t>
      </w:r>
      <w:r w:rsidRPr="00871D12">
        <w:rPr>
          <w:rFonts w:ascii="Arial" w:hAnsi="Arial"/>
        </w:rPr>
        <w:t xml:space="preserve">submitted to the </w:t>
      </w:r>
      <w:r w:rsidR="00F004D6" w:rsidRPr="00871D12">
        <w:rPr>
          <w:rFonts w:ascii="Arial" w:hAnsi="Arial"/>
        </w:rPr>
        <w:t>OPSRA</w:t>
      </w:r>
      <w:r w:rsidRPr="00871D12">
        <w:rPr>
          <w:rFonts w:ascii="Arial" w:hAnsi="Arial"/>
        </w:rPr>
        <w:t xml:space="preserve"> </w:t>
      </w:r>
      <w:r w:rsidR="00EE1F26" w:rsidRPr="00871D12">
        <w:rPr>
          <w:rFonts w:ascii="Arial" w:hAnsi="Arial"/>
        </w:rPr>
        <w:t>b</w:t>
      </w:r>
      <w:r w:rsidRPr="00871D12">
        <w:rPr>
          <w:rFonts w:ascii="Arial" w:hAnsi="Arial"/>
        </w:rPr>
        <w:t>y an employee of the sponsor</w:t>
      </w:r>
      <w:r w:rsidR="00EE1F26" w:rsidRPr="00871D12">
        <w:rPr>
          <w:rFonts w:ascii="Arial" w:hAnsi="Arial"/>
        </w:rPr>
        <w:t xml:space="preserve">. In this case the applicant is the sponsor. </w:t>
      </w:r>
    </w:p>
    <w:p w:rsidR="00EE1F26" w:rsidRPr="00871D12" w:rsidRDefault="00082B60" w:rsidP="00DB34DC">
      <w:pPr>
        <w:pStyle w:val="ListParagraph"/>
        <w:numPr>
          <w:ilvl w:val="0"/>
          <w:numId w:val="11"/>
        </w:numPr>
        <w:rPr>
          <w:rFonts w:ascii="Arial" w:hAnsi="Arial"/>
        </w:rPr>
      </w:pPr>
      <w:r w:rsidRPr="00871D12">
        <w:rPr>
          <w:rFonts w:ascii="Arial" w:hAnsi="Arial"/>
        </w:rPr>
        <w:t>An application or notification may be</w:t>
      </w:r>
      <w:r w:rsidR="00EE1F26" w:rsidRPr="00871D12">
        <w:rPr>
          <w:rFonts w:ascii="Arial" w:hAnsi="Arial"/>
        </w:rPr>
        <w:t xml:space="preserve"> prepared and submitted on the sponsor’s behalf by an independent consultant who signs the documentation as if he or she was an employee of the sponsor. In this case the applicant is the sponsor. </w:t>
      </w:r>
    </w:p>
    <w:p w:rsidR="00EE1F26" w:rsidRPr="00871D12" w:rsidRDefault="00082B60" w:rsidP="00DB34DC">
      <w:pPr>
        <w:pStyle w:val="ListParagraph"/>
        <w:numPr>
          <w:ilvl w:val="0"/>
          <w:numId w:val="11"/>
        </w:numPr>
        <w:rPr>
          <w:rFonts w:ascii="Arial" w:hAnsi="Arial"/>
        </w:rPr>
      </w:pPr>
      <w:r w:rsidRPr="00871D12">
        <w:rPr>
          <w:rFonts w:ascii="Arial" w:hAnsi="Arial"/>
        </w:rPr>
        <w:t>An application or notification may be</w:t>
      </w:r>
      <w:r w:rsidR="00EE1F26" w:rsidRPr="00871D12">
        <w:rPr>
          <w:rFonts w:ascii="Arial" w:hAnsi="Arial"/>
        </w:rPr>
        <w:t xml:space="preserve"> prepared and submitted on the sponsor’s behalf by a local or overseas consultant who signs the documentation, not as an employee, but in his or her own right as a contracted agent of the sponsor. In this case the consultant (not the sponsor) is the applicant. </w:t>
      </w:r>
    </w:p>
    <w:p w:rsidR="00EE1F26" w:rsidRPr="00871D12" w:rsidRDefault="00082B60" w:rsidP="00DB34DC">
      <w:pPr>
        <w:pStyle w:val="ListParagraph"/>
        <w:numPr>
          <w:ilvl w:val="0"/>
          <w:numId w:val="11"/>
        </w:numPr>
        <w:rPr>
          <w:rFonts w:ascii="Arial" w:hAnsi="Arial"/>
        </w:rPr>
      </w:pPr>
      <w:r w:rsidRPr="00871D12">
        <w:rPr>
          <w:rFonts w:ascii="Arial" w:hAnsi="Arial"/>
        </w:rPr>
        <w:t>An application or notification may be</w:t>
      </w:r>
      <w:r w:rsidR="00EE1F26" w:rsidRPr="00871D12">
        <w:rPr>
          <w:rFonts w:ascii="Arial" w:hAnsi="Arial"/>
        </w:rPr>
        <w:t xml:space="preserve"> prepared and submitted on the sponsor’s behalf by an overseas branch of the company. An employee of the overseas company </w:t>
      </w:r>
      <w:r w:rsidRPr="00871D12">
        <w:rPr>
          <w:rFonts w:ascii="Arial" w:hAnsi="Arial"/>
        </w:rPr>
        <w:t xml:space="preserve">may </w:t>
      </w:r>
      <w:r w:rsidR="00EE1F26" w:rsidRPr="00871D12">
        <w:rPr>
          <w:rFonts w:ascii="Arial" w:hAnsi="Arial"/>
        </w:rPr>
        <w:t xml:space="preserve">sign the documentation and </w:t>
      </w:r>
      <w:r w:rsidRPr="00871D12">
        <w:rPr>
          <w:rFonts w:ascii="Arial" w:hAnsi="Arial"/>
        </w:rPr>
        <w:t xml:space="preserve">submit it to the </w:t>
      </w:r>
      <w:r w:rsidR="00F004D6" w:rsidRPr="00871D12">
        <w:rPr>
          <w:rFonts w:ascii="Arial" w:hAnsi="Arial"/>
        </w:rPr>
        <w:t>OPSRA</w:t>
      </w:r>
      <w:r w:rsidR="00EE1F26" w:rsidRPr="00871D12">
        <w:rPr>
          <w:rFonts w:ascii="Arial" w:hAnsi="Arial"/>
        </w:rPr>
        <w:t xml:space="preserve">. In this case the overseas branch of the company is the applicant while the New Zealand branch is the sponsor. </w:t>
      </w:r>
    </w:p>
    <w:p w:rsidR="00EE1F26" w:rsidRPr="00871D12" w:rsidRDefault="00EE1F26" w:rsidP="00EE1F26">
      <w:pPr>
        <w:rPr>
          <w:rFonts w:ascii="Arial" w:hAnsi="Arial"/>
        </w:rPr>
      </w:pPr>
    </w:p>
    <w:p w:rsidR="00EE1F26" w:rsidRPr="00871D12" w:rsidRDefault="00EE1F26" w:rsidP="00EE1F26">
      <w:pPr>
        <w:rPr>
          <w:rFonts w:ascii="Arial" w:hAnsi="Arial"/>
        </w:rPr>
      </w:pPr>
      <w:r w:rsidRPr="00871D12">
        <w:rPr>
          <w:rFonts w:ascii="Arial" w:hAnsi="Arial"/>
        </w:rPr>
        <w:t xml:space="preserve">Where a local or overseas regulatory affairs consultant or an overseas branch of a company acts on behalf of the sponsor in submitting an </w:t>
      </w:r>
      <w:r w:rsidR="00082B60" w:rsidRPr="00871D12">
        <w:rPr>
          <w:rFonts w:ascii="Arial" w:hAnsi="Arial"/>
        </w:rPr>
        <w:t>NPPA, or an NSPPA</w:t>
      </w:r>
      <w:r w:rsidRPr="00871D12">
        <w:rPr>
          <w:rFonts w:ascii="Arial" w:hAnsi="Arial"/>
        </w:rPr>
        <w:t xml:space="preserve">, a letter (or copy of a previous letter) from the sponsor confirming the consultant’s or overseas company’s authority to act on the sponsor’s behalf should be forwarded to </w:t>
      </w:r>
      <w:r w:rsidR="00082B60" w:rsidRPr="00871D12">
        <w:rPr>
          <w:rFonts w:ascii="Arial" w:hAnsi="Arial"/>
        </w:rPr>
        <w:t xml:space="preserve">the </w:t>
      </w:r>
      <w:r w:rsidR="00F004D6" w:rsidRPr="00871D12">
        <w:rPr>
          <w:rFonts w:ascii="Arial" w:hAnsi="Arial"/>
        </w:rPr>
        <w:t>OPSRA</w:t>
      </w:r>
      <w:r w:rsidRPr="00871D12">
        <w:rPr>
          <w:rFonts w:ascii="Arial" w:hAnsi="Arial"/>
        </w:rPr>
        <w:t>, either with the application/notification or separately</w:t>
      </w:r>
      <w:r w:rsidR="00871D12">
        <w:rPr>
          <w:rFonts w:ascii="Arial" w:hAnsi="Arial"/>
        </w:rPr>
        <w:t xml:space="preserve"> within 20 working days of the application being submitted</w:t>
      </w:r>
      <w:r w:rsidRPr="00871D12">
        <w:rPr>
          <w:rFonts w:ascii="Arial" w:hAnsi="Arial"/>
        </w:rPr>
        <w:t xml:space="preserve">. </w:t>
      </w:r>
    </w:p>
    <w:p w:rsidR="00EE1F26" w:rsidRPr="00871D12" w:rsidRDefault="00EE1F26" w:rsidP="00EE1F26">
      <w:pPr>
        <w:rPr>
          <w:rFonts w:ascii="Arial" w:hAnsi="Arial"/>
        </w:rPr>
      </w:pPr>
    </w:p>
    <w:p w:rsidR="00EE1F26" w:rsidRPr="00871D12" w:rsidRDefault="00EE1F26" w:rsidP="00EE1F26">
      <w:pPr>
        <w:rPr>
          <w:rFonts w:ascii="Arial" w:hAnsi="Arial"/>
        </w:rPr>
      </w:pPr>
      <w:r w:rsidRPr="00871D12">
        <w:rPr>
          <w:rFonts w:ascii="Arial" w:hAnsi="Arial"/>
        </w:rPr>
        <w:t xml:space="preserve">All </w:t>
      </w:r>
      <w:r w:rsidR="00F004D6" w:rsidRPr="00871D12">
        <w:rPr>
          <w:rFonts w:ascii="Arial" w:hAnsi="Arial"/>
        </w:rPr>
        <w:t>OPSRA</w:t>
      </w:r>
      <w:r w:rsidRPr="00871D12">
        <w:rPr>
          <w:rFonts w:ascii="Arial" w:hAnsi="Arial"/>
        </w:rPr>
        <w:t xml:space="preserve"> correspondence relating to the application or notification will be sent to the applicant, irrespective of whether the applicant is also the sponsor, unless the applicant specifically requests otherwise.</w:t>
      </w:r>
    </w:p>
    <w:p w:rsidR="00EE1F26" w:rsidRPr="00871D12" w:rsidRDefault="00EE1F26" w:rsidP="00EE1F26">
      <w:pPr>
        <w:rPr>
          <w:rFonts w:ascii="Arial" w:hAnsi="Arial"/>
        </w:rPr>
      </w:pPr>
    </w:p>
    <w:p w:rsidR="00EE1F26" w:rsidRPr="00871D12" w:rsidRDefault="00EE1F26" w:rsidP="00EE1F26">
      <w:pPr>
        <w:rPr>
          <w:rFonts w:ascii="Arial" w:hAnsi="Arial"/>
        </w:rPr>
      </w:pPr>
      <w:r w:rsidRPr="00871D12">
        <w:rPr>
          <w:rFonts w:ascii="Arial" w:hAnsi="Arial"/>
        </w:rPr>
        <w:t xml:space="preserve">Joint applications in which all or part of the data are shared, may be made by two or more sponsors. It should be clearly indicated in the application that each sponsor supports the shared use of the data. This may be indicated by the covering letter(s) being signed by all sponsors. The letter(s) must identify the person to whom questions and other correspondence relating to the application should be addressed. </w:t>
      </w:r>
    </w:p>
    <w:p w:rsidR="00EE1F26" w:rsidRPr="00871D12" w:rsidRDefault="00EE1F26" w:rsidP="00EE1F26">
      <w:pPr>
        <w:rPr>
          <w:rFonts w:ascii="Arial" w:hAnsi="Arial"/>
        </w:rPr>
      </w:pPr>
    </w:p>
    <w:p w:rsidR="00EE1F26" w:rsidRPr="00871D12" w:rsidRDefault="00EE1F26" w:rsidP="00EE1F26">
      <w:pPr>
        <w:rPr>
          <w:rFonts w:ascii="Arial" w:hAnsi="Arial"/>
        </w:rPr>
      </w:pPr>
      <w:r w:rsidRPr="00871D12">
        <w:rPr>
          <w:rFonts w:ascii="Arial" w:hAnsi="Arial"/>
        </w:rPr>
        <w:t xml:space="preserve">Such joint applications commonly relate to one product to be distributed under two or more brand names. For administrative purposes, each brand name is treated as a separate product. However, the application fee is calculated as for one principal product attracting a full fee with each additional brand name attracting a smaller </w:t>
      </w:r>
      <w:r w:rsidR="00633E55" w:rsidRPr="00871D12">
        <w:rPr>
          <w:rFonts w:ascii="Arial" w:hAnsi="Arial"/>
        </w:rPr>
        <w:t>subsidiary product</w:t>
      </w:r>
      <w:r w:rsidRPr="00871D12">
        <w:rPr>
          <w:rFonts w:ascii="Arial" w:hAnsi="Arial"/>
        </w:rPr>
        <w:t xml:space="preserve"> fee</w:t>
      </w:r>
      <w:r w:rsidR="00633E55" w:rsidRPr="00871D12">
        <w:rPr>
          <w:rFonts w:ascii="Arial" w:hAnsi="Arial"/>
        </w:rPr>
        <w:t>.</w:t>
      </w:r>
    </w:p>
    <w:p w:rsidR="000C47AF" w:rsidRPr="00871D12" w:rsidRDefault="000C47AF" w:rsidP="00EE1F26">
      <w:pPr>
        <w:rPr>
          <w:rFonts w:ascii="Arial" w:hAnsi="Arial"/>
        </w:rPr>
      </w:pPr>
    </w:p>
    <w:p w:rsidR="00E92AB5" w:rsidRDefault="00E92AB5" w:rsidP="00DB34DC">
      <w:pPr>
        <w:pStyle w:val="Heading3"/>
        <w:numPr>
          <w:ilvl w:val="0"/>
          <w:numId w:val="37"/>
        </w:numPr>
      </w:pPr>
      <w:bookmarkStart w:id="77" w:name="_Toc409508703"/>
      <w:r w:rsidRPr="00E92AB5">
        <w:t>Language</w:t>
      </w:r>
      <w:bookmarkEnd w:id="77"/>
    </w:p>
    <w:p w:rsidR="00082B60" w:rsidRDefault="00082B60" w:rsidP="00C63A1F">
      <w:r>
        <w:rPr>
          <w:rFonts w:ascii="Arial" w:hAnsi="Arial"/>
        </w:rPr>
        <w:t>All applications and supporting data should be submitted in English Documents in languages other than English (eg, GMP certificates and manufacturer’s licences) may be included in the application provided they are accompanied by a notarised English translation.</w:t>
      </w:r>
      <w:r w:rsidRPr="00082B60">
        <w:rPr>
          <w:rFonts w:ascii="Arial" w:hAnsi="Arial"/>
        </w:rPr>
        <w:t xml:space="preserve"> </w:t>
      </w:r>
    </w:p>
    <w:p w:rsidR="001D1066" w:rsidRDefault="001D1066" w:rsidP="001D1066">
      <w:pPr>
        <w:pStyle w:val="Heading3"/>
        <w:numPr>
          <w:ilvl w:val="0"/>
          <w:numId w:val="37"/>
        </w:numPr>
      </w:pPr>
      <w:bookmarkStart w:id="78" w:name="_Toc409508704"/>
      <w:r>
        <w:t>Format of application</w:t>
      </w:r>
      <w:bookmarkEnd w:id="78"/>
    </w:p>
    <w:p w:rsidR="00BC6862" w:rsidRDefault="00BC6862" w:rsidP="00BC6862">
      <w:pPr>
        <w:autoSpaceDE w:val="0"/>
        <w:autoSpaceDN w:val="0"/>
        <w:adjustRightInd w:val="0"/>
        <w:rPr>
          <w:rStyle w:val="Arial"/>
        </w:rPr>
      </w:pPr>
      <w:r w:rsidRPr="000F1FF2">
        <w:rPr>
          <w:rStyle w:val="Arial"/>
        </w:rPr>
        <w:t>A new psychoactive product application</w:t>
      </w:r>
      <w:r>
        <w:rPr>
          <w:rStyle w:val="Arial"/>
        </w:rPr>
        <w:t xml:space="preserve"> </w:t>
      </w:r>
      <w:r w:rsidR="00A86EEF">
        <w:rPr>
          <w:rStyle w:val="Arial"/>
        </w:rPr>
        <w:t>consists</w:t>
      </w:r>
      <w:r>
        <w:rPr>
          <w:rStyle w:val="Arial"/>
        </w:rPr>
        <w:t xml:space="preserve"> of two sections;</w:t>
      </w:r>
      <w:r w:rsidRPr="000F1FF2">
        <w:rPr>
          <w:rStyle w:val="Arial"/>
        </w:rPr>
        <w:t xml:space="preserve"> the administrative information and the dossier of supporting data to establish the quality, safety and efficacy of the product. Both the administrative data and the supporting dossier should be divided into appropriately labelled sections using filing tabs.</w:t>
      </w:r>
    </w:p>
    <w:p w:rsidR="00BC6862" w:rsidRDefault="00BC6862" w:rsidP="00BC6862">
      <w:pPr>
        <w:autoSpaceDE w:val="0"/>
        <w:autoSpaceDN w:val="0"/>
        <w:adjustRightInd w:val="0"/>
        <w:rPr>
          <w:rStyle w:val="Arial"/>
        </w:rPr>
      </w:pPr>
    </w:p>
    <w:p w:rsidR="00BC6862" w:rsidRPr="008C3B61" w:rsidRDefault="00BC6862" w:rsidP="00BC6862">
      <w:pPr>
        <w:rPr>
          <w:rStyle w:val="Arial"/>
        </w:rPr>
      </w:pPr>
      <w:r w:rsidRPr="008C3B61">
        <w:rPr>
          <w:rStyle w:val="Arial"/>
        </w:rPr>
        <w:t xml:space="preserve">The required format for the dossier of supporting quality, safety and efficacy data is the </w:t>
      </w:r>
      <w:hyperlink r:id="rId25" w:history="1">
        <w:r w:rsidRPr="00C63A1F">
          <w:rPr>
            <w:rStyle w:val="Hyperlink"/>
            <w:rFonts w:ascii="Arial" w:hAnsi="Arial"/>
            <w:color w:val="auto"/>
            <w:u w:val="none"/>
          </w:rPr>
          <w:t>ICH Common Technical Document (CTD)</w:t>
        </w:r>
      </w:hyperlink>
      <w:r w:rsidR="00F82B29">
        <w:rPr>
          <w:rFonts w:ascii="Arial" w:hAnsi="Arial"/>
        </w:rPr>
        <w:t xml:space="preserve"> (www.ich.org/products/ctd.html)</w:t>
      </w:r>
      <w:r>
        <w:rPr>
          <w:rFonts w:ascii="Arial" w:hAnsi="Arial"/>
        </w:rPr>
        <w:t>.</w:t>
      </w:r>
      <w:r w:rsidRPr="008C3B61">
        <w:rPr>
          <w:rStyle w:val="Arial"/>
        </w:rPr>
        <w:t xml:space="preserve"> </w:t>
      </w:r>
      <w:r>
        <w:rPr>
          <w:rFonts w:ascii="Arial" w:hAnsi="Arial"/>
        </w:rPr>
        <w:t xml:space="preserve">Electronic copies are required to be submitted in the </w:t>
      </w:r>
      <w:hyperlink r:id="rId26" w:history="1">
        <w:r w:rsidRPr="00C63A1F">
          <w:rPr>
            <w:rStyle w:val="Hyperlink"/>
            <w:rFonts w:ascii="Arial" w:hAnsi="Arial"/>
            <w:color w:val="auto"/>
            <w:u w:val="none"/>
          </w:rPr>
          <w:t>eCTD</w:t>
        </w:r>
      </w:hyperlink>
      <w:r>
        <w:rPr>
          <w:rFonts w:ascii="Arial" w:hAnsi="Arial"/>
        </w:rPr>
        <w:t xml:space="preserve"> format. The dossier</w:t>
      </w:r>
      <w:r w:rsidRPr="008C3B61">
        <w:rPr>
          <w:rStyle w:val="Arial"/>
        </w:rPr>
        <w:t xml:space="preserve"> should include the following: </w:t>
      </w:r>
    </w:p>
    <w:p w:rsidR="00BC6862" w:rsidRPr="008C3B61" w:rsidRDefault="00BC6862" w:rsidP="00DB34DC">
      <w:pPr>
        <w:pStyle w:val="ListParagraph"/>
        <w:numPr>
          <w:ilvl w:val="0"/>
          <w:numId w:val="23"/>
        </w:numPr>
        <w:spacing w:before="120" w:after="120"/>
        <w:ind w:left="714" w:hanging="357"/>
        <w:contextualSpacing w:val="0"/>
        <w:rPr>
          <w:rStyle w:val="Arial"/>
        </w:rPr>
      </w:pPr>
      <w:r w:rsidRPr="008C3B61">
        <w:rPr>
          <w:rStyle w:val="Arial"/>
        </w:rPr>
        <w:t>Overview and Summaries of the data (ICH Module 2)</w:t>
      </w:r>
    </w:p>
    <w:p w:rsidR="00BC6862" w:rsidRPr="008C3B61" w:rsidRDefault="00BC6862" w:rsidP="00DB34DC">
      <w:pPr>
        <w:pStyle w:val="ListParagraph"/>
        <w:numPr>
          <w:ilvl w:val="0"/>
          <w:numId w:val="23"/>
        </w:numPr>
        <w:spacing w:before="120" w:after="120"/>
        <w:ind w:left="714" w:hanging="357"/>
        <w:contextualSpacing w:val="0"/>
        <w:rPr>
          <w:rStyle w:val="Arial"/>
        </w:rPr>
      </w:pPr>
      <w:r w:rsidRPr="008C3B61">
        <w:rPr>
          <w:rStyle w:val="Arial"/>
        </w:rPr>
        <w:t xml:space="preserve">Chemical and Pharmaceutical quality documentation (ICH Module 3) </w:t>
      </w:r>
    </w:p>
    <w:p w:rsidR="00BC6862" w:rsidRPr="008C3B61" w:rsidRDefault="00BC6862" w:rsidP="00DB34DC">
      <w:pPr>
        <w:pStyle w:val="ListParagraph"/>
        <w:numPr>
          <w:ilvl w:val="0"/>
          <w:numId w:val="23"/>
        </w:numPr>
        <w:spacing w:before="120" w:after="120"/>
        <w:ind w:left="714" w:hanging="357"/>
        <w:contextualSpacing w:val="0"/>
        <w:rPr>
          <w:rStyle w:val="Arial"/>
        </w:rPr>
      </w:pPr>
      <w:r w:rsidRPr="008C3B61">
        <w:rPr>
          <w:rStyle w:val="Arial"/>
        </w:rPr>
        <w:t>Pre-clinical/Toxicology documentation (ICH Module 4)</w:t>
      </w:r>
    </w:p>
    <w:p w:rsidR="00BC6862" w:rsidRPr="008C3B61" w:rsidRDefault="00BC6862" w:rsidP="00DB34DC">
      <w:pPr>
        <w:pStyle w:val="ListParagraph"/>
        <w:numPr>
          <w:ilvl w:val="0"/>
          <w:numId w:val="23"/>
        </w:numPr>
        <w:spacing w:before="120" w:after="120"/>
        <w:ind w:left="714" w:hanging="357"/>
        <w:contextualSpacing w:val="0"/>
        <w:rPr>
          <w:rStyle w:val="Arial"/>
        </w:rPr>
      </w:pPr>
      <w:r w:rsidRPr="008C3B61">
        <w:rPr>
          <w:rStyle w:val="Arial"/>
        </w:rPr>
        <w:t xml:space="preserve">Clinical documentation (ICH Module 5) </w:t>
      </w:r>
    </w:p>
    <w:p w:rsidR="00BC6862" w:rsidRDefault="00BC6862" w:rsidP="00BC6862">
      <w:pPr>
        <w:rPr>
          <w:rFonts w:ascii="Arial" w:hAnsi="Arial"/>
        </w:rPr>
      </w:pPr>
    </w:p>
    <w:p w:rsidR="00BC6862" w:rsidRDefault="00BC6862" w:rsidP="001D1066">
      <w:pPr>
        <w:pBdr>
          <w:top w:val="single" w:sz="18" w:space="1" w:color="auto"/>
          <w:left w:val="single" w:sz="18" w:space="4" w:color="auto"/>
          <w:bottom w:val="single" w:sz="18" w:space="1" w:color="auto"/>
          <w:right w:val="single" w:sz="18" w:space="4" w:color="auto"/>
        </w:pBdr>
        <w:rPr>
          <w:rFonts w:ascii="Arial" w:hAnsi="Arial"/>
        </w:rPr>
      </w:pPr>
      <w:r>
        <w:rPr>
          <w:rFonts w:ascii="Arial" w:hAnsi="Arial"/>
        </w:rPr>
        <w:t>A complete explanation of the ICH model and guidelines is provided in Appendix 1.</w:t>
      </w:r>
    </w:p>
    <w:p w:rsidR="00BC6862" w:rsidRPr="00F004D6" w:rsidRDefault="00BC6862" w:rsidP="00BC6862">
      <w:pPr>
        <w:rPr>
          <w:highlight w:val="yellow"/>
        </w:rPr>
      </w:pPr>
    </w:p>
    <w:p w:rsidR="00BC6862" w:rsidRDefault="00BC6862" w:rsidP="00BC6862">
      <w:pPr>
        <w:rPr>
          <w:rFonts w:ascii="Arial" w:hAnsi="Arial"/>
        </w:rPr>
      </w:pPr>
      <w:r>
        <w:rPr>
          <w:rFonts w:ascii="Arial" w:hAnsi="Arial"/>
        </w:rPr>
        <w:t>Incorrectly formatted dossiers will be returned to the applicant at the applicant’s expense</w:t>
      </w:r>
      <w:r w:rsidR="00FA09B3">
        <w:rPr>
          <w:rFonts w:ascii="Arial" w:hAnsi="Arial"/>
        </w:rPr>
        <w:t xml:space="preserve"> at the screening stage</w:t>
      </w:r>
      <w:r>
        <w:rPr>
          <w:rFonts w:ascii="Arial" w:hAnsi="Arial"/>
        </w:rPr>
        <w:t>.</w:t>
      </w:r>
    </w:p>
    <w:p w:rsidR="00BC6862" w:rsidRPr="000F1FF2" w:rsidRDefault="00BC6862" w:rsidP="00DB34DC">
      <w:pPr>
        <w:pStyle w:val="Heading3"/>
        <w:numPr>
          <w:ilvl w:val="0"/>
          <w:numId w:val="37"/>
        </w:numPr>
        <w:rPr>
          <w:rStyle w:val="Arial"/>
        </w:rPr>
      </w:pPr>
      <w:bookmarkStart w:id="79" w:name="_Toc409508705"/>
      <w:r>
        <w:rPr>
          <w:rStyle w:val="Arial"/>
        </w:rPr>
        <w:t>Administrative information</w:t>
      </w:r>
      <w:bookmarkEnd w:id="79"/>
    </w:p>
    <w:p w:rsidR="00BC6862" w:rsidRPr="004B0CB2" w:rsidRDefault="00BC6862" w:rsidP="00BC6862">
      <w:pPr>
        <w:rPr>
          <w:rFonts w:ascii="Arial" w:hAnsi="Arial"/>
        </w:rPr>
      </w:pPr>
      <w:r w:rsidRPr="000F1FF2">
        <w:rPr>
          <w:rStyle w:val="Arial"/>
        </w:rPr>
        <w:t xml:space="preserve">The administrative </w:t>
      </w:r>
      <w:r>
        <w:rPr>
          <w:rStyle w:val="Arial"/>
        </w:rPr>
        <w:t>information</w:t>
      </w:r>
      <w:r w:rsidRPr="00DA5905">
        <w:rPr>
          <w:rStyle w:val="Arial"/>
        </w:rPr>
        <w:t xml:space="preserve"> </w:t>
      </w:r>
      <w:r w:rsidRPr="000F1FF2">
        <w:rPr>
          <w:rStyle w:val="Arial"/>
        </w:rPr>
        <w:t>consists of the following documents:</w:t>
      </w:r>
    </w:p>
    <w:p w:rsidR="00BC6862" w:rsidRPr="00FA09B3" w:rsidRDefault="00BC6862" w:rsidP="00DB34DC">
      <w:pPr>
        <w:pStyle w:val="ListParagraph"/>
        <w:numPr>
          <w:ilvl w:val="0"/>
          <w:numId w:val="17"/>
        </w:numPr>
        <w:autoSpaceDE w:val="0"/>
        <w:autoSpaceDN w:val="0"/>
        <w:adjustRightInd w:val="0"/>
        <w:spacing w:before="120" w:after="120"/>
        <w:ind w:left="714" w:hanging="357"/>
        <w:contextualSpacing w:val="0"/>
        <w:rPr>
          <w:rFonts w:ascii="Arial" w:hAnsi="Arial" w:cs="Arial"/>
        </w:rPr>
      </w:pPr>
      <w:r w:rsidRPr="00FA09B3">
        <w:rPr>
          <w:rFonts w:ascii="Arial" w:hAnsi="Arial" w:cs="Arial"/>
        </w:rPr>
        <w:t xml:space="preserve">a covering letter </w:t>
      </w:r>
      <w:r w:rsidR="00F82B29" w:rsidRPr="00FA09B3">
        <w:rPr>
          <w:rFonts w:ascii="Arial" w:hAnsi="Arial" w:cs="Arial"/>
        </w:rPr>
        <w:t xml:space="preserve">(template provided on </w:t>
      </w:r>
      <w:r w:rsidR="00FA09B3">
        <w:rPr>
          <w:rFonts w:ascii="Arial" w:hAnsi="Arial" w:cs="Arial"/>
        </w:rPr>
        <w:t>www.psychoactives.health.govt.nz</w:t>
      </w:r>
      <w:r w:rsidR="00F82B29" w:rsidRPr="00FA09B3">
        <w:rPr>
          <w:rFonts w:ascii="Arial" w:hAnsi="Arial" w:cs="Arial"/>
        </w:rPr>
        <w:t>)</w:t>
      </w:r>
    </w:p>
    <w:p w:rsidR="00BC6862" w:rsidRDefault="00BC6862" w:rsidP="00DB34DC">
      <w:pPr>
        <w:pStyle w:val="ListParagraph"/>
        <w:numPr>
          <w:ilvl w:val="0"/>
          <w:numId w:val="17"/>
        </w:numPr>
        <w:autoSpaceDE w:val="0"/>
        <w:autoSpaceDN w:val="0"/>
        <w:adjustRightInd w:val="0"/>
        <w:spacing w:before="120" w:after="120"/>
        <w:ind w:left="714" w:hanging="357"/>
        <w:contextualSpacing w:val="0"/>
        <w:rPr>
          <w:rFonts w:ascii="Arial" w:hAnsi="Arial" w:cs="Arial"/>
        </w:rPr>
      </w:pPr>
      <w:r>
        <w:rPr>
          <w:rFonts w:ascii="Arial" w:hAnsi="Arial" w:cs="Arial"/>
        </w:rPr>
        <w:t>a detailed Table of Contents</w:t>
      </w:r>
    </w:p>
    <w:p w:rsidR="00BC6862" w:rsidRPr="00FA09B3" w:rsidRDefault="00BC6862" w:rsidP="00DB34DC">
      <w:pPr>
        <w:pStyle w:val="ListParagraph"/>
        <w:numPr>
          <w:ilvl w:val="0"/>
          <w:numId w:val="17"/>
        </w:numPr>
        <w:autoSpaceDE w:val="0"/>
        <w:autoSpaceDN w:val="0"/>
        <w:adjustRightInd w:val="0"/>
        <w:spacing w:before="120" w:after="120"/>
        <w:ind w:left="714" w:hanging="357"/>
        <w:contextualSpacing w:val="0"/>
        <w:rPr>
          <w:rFonts w:ascii="Arial" w:hAnsi="Arial" w:cs="Arial"/>
        </w:rPr>
      </w:pPr>
      <w:r w:rsidRPr="00FA09B3">
        <w:rPr>
          <w:rFonts w:ascii="Arial" w:hAnsi="Arial" w:cs="Arial"/>
        </w:rPr>
        <w:t>a completed application form</w:t>
      </w:r>
      <w:r w:rsidR="00F82B29" w:rsidRPr="00FA09B3">
        <w:rPr>
          <w:rFonts w:ascii="Arial" w:hAnsi="Arial" w:cs="Arial"/>
        </w:rPr>
        <w:t xml:space="preserve"> (accessible from </w:t>
      </w:r>
      <w:r w:rsidR="00FA09B3">
        <w:rPr>
          <w:rFonts w:ascii="Arial" w:hAnsi="Arial" w:cs="Arial"/>
        </w:rPr>
        <w:t>www.psychoactives.health.govt.nz</w:t>
      </w:r>
      <w:r w:rsidR="00F82B29" w:rsidRPr="00FA09B3">
        <w:rPr>
          <w:rFonts w:ascii="Arial" w:hAnsi="Arial" w:cs="Arial"/>
        </w:rPr>
        <w:t>)</w:t>
      </w:r>
    </w:p>
    <w:p w:rsidR="00BC6862" w:rsidRDefault="00BC6862" w:rsidP="00DB34DC">
      <w:pPr>
        <w:pStyle w:val="ListParagraph"/>
        <w:numPr>
          <w:ilvl w:val="0"/>
          <w:numId w:val="17"/>
        </w:numPr>
        <w:autoSpaceDE w:val="0"/>
        <w:autoSpaceDN w:val="0"/>
        <w:adjustRightInd w:val="0"/>
        <w:spacing w:before="120" w:after="120"/>
        <w:ind w:left="714" w:hanging="357"/>
        <w:contextualSpacing w:val="0"/>
        <w:rPr>
          <w:rFonts w:ascii="Arial" w:hAnsi="Arial" w:cs="Arial"/>
        </w:rPr>
      </w:pPr>
      <w:r>
        <w:rPr>
          <w:rFonts w:ascii="Arial" w:hAnsi="Arial" w:cs="Arial"/>
        </w:rPr>
        <w:t xml:space="preserve">evidence that all manufacturing sites are compliant with the NZ Code of Manufacturing Practice or Good Manufacturing Practice </w:t>
      </w:r>
      <w:r w:rsidR="00F82B29">
        <w:rPr>
          <w:rFonts w:ascii="Arial" w:hAnsi="Arial" w:cs="Arial"/>
        </w:rPr>
        <w:t xml:space="preserve">(accessible from </w:t>
      </w:r>
      <w:r w:rsidR="001D1066">
        <w:rPr>
          <w:rFonts w:ascii="Arial" w:hAnsi="Arial" w:cs="Arial"/>
        </w:rPr>
        <w:t>www.psychoactives.health.govt.nz</w:t>
      </w:r>
      <w:r w:rsidR="00F82B29">
        <w:rPr>
          <w:rFonts w:ascii="Arial" w:hAnsi="Arial" w:cs="Arial"/>
        </w:rPr>
        <w:t>)</w:t>
      </w:r>
    </w:p>
    <w:p w:rsidR="00BC6862" w:rsidRPr="00DA5905" w:rsidRDefault="00BC6862" w:rsidP="00DB34DC">
      <w:pPr>
        <w:pStyle w:val="ListParagraph"/>
        <w:numPr>
          <w:ilvl w:val="0"/>
          <w:numId w:val="17"/>
        </w:numPr>
        <w:autoSpaceDE w:val="0"/>
        <w:autoSpaceDN w:val="0"/>
        <w:adjustRightInd w:val="0"/>
        <w:spacing w:before="120" w:after="120"/>
        <w:ind w:left="714" w:hanging="357"/>
        <w:contextualSpacing w:val="0"/>
        <w:rPr>
          <w:rFonts w:ascii="Arial" w:hAnsi="Arial" w:cs="Arial"/>
        </w:rPr>
      </w:pPr>
      <w:r w:rsidRPr="00DA5905">
        <w:rPr>
          <w:rFonts w:ascii="Arial" w:hAnsi="Arial" w:cs="Arial"/>
        </w:rPr>
        <w:t xml:space="preserve">labelling </w:t>
      </w:r>
    </w:p>
    <w:p w:rsidR="00BC6862" w:rsidRDefault="00BC6862" w:rsidP="00DB34DC">
      <w:pPr>
        <w:pStyle w:val="ListParagraph"/>
        <w:numPr>
          <w:ilvl w:val="0"/>
          <w:numId w:val="17"/>
        </w:numPr>
        <w:autoSpaceDE w:val="0"/>
        <w:autoSpaceDN w:val="0"/>
        <w:adjustRightInd w:val="0"/>
        <w:spacing w:before="120" w:after="120"/>
        <w:ind w:left="714" w:hanging="357"/>
        <w:contextualSpacing w:val="0"/>
        <w:rPr>
          <w:rFonts w:ascii="Arial" w:hAnsi="Arial" w:cs="Arial"/>
        </w:rPr>
      </w:pPr>
      <w:r>
        <w:rPr>
          <w:rFonts w:ascii="Arial" w:hAnsi="Arial" w:cs="Arial"/>
        </w:rPr>
        <w:t xml:space="preserve">information leaflet/package </w:t>
      </w:r>
      <w:r w:rsidRPr="00251CC5">
        <w:rPr>
          <w:rFonts w:ascii="Arial" w:hAnsi="Arial" w:cs="Arial"/>
        </w:rPr>
        <w:t>insert</w:t>
      </w:r>
      <w:r>
        <w:rPr>
          <w:rFonts w:ascii="Arial" w:hAnsi="Arial" w:cs="Arial"/>
        </w:rPr>
        <w:t xml:space="preserve"> </w:t>
      </w:r>
    </w:p>
    <w:p w:rsidR="00BC6862" w:rsidRDefault="00BC6862" w:rsidP="00BC6862"/>
    <w:p w:rsidR="00BC6862" w:rsidRPr="000F1FF2" w:rsidRDefault="00BC6862" w:rsidP="00BC6862">
      <w:pPr>
        <w:rPr>
          <w:rStyle w:val="Arial"/>
        </w:rPr>
      </w:pPr>
      <w:r w:rsidRPr="00F004D6">
        <w:rPr>
          <w:rStyle w:val="Arial"/>
        </w:rPr>
        <w:t xml:space="preserve">Dossiers </w:t>
      </w:r>
      <w:r w:rsidR="00A86EEF">
        <w:rPr>
          <w:rStyle w:val="Arial"/>
        </w:rPr>
        <w:t xml:space="preserve">must meet the </w:t>
      </w:r>
      <w:r w:rsidRPr="00F004D6">
        <w:rPr>
          <w:rStyle w:val="Arial"/>
        </w:rPr>
        <w:t>following requirements.</w:t>
      </w:r>
      <w:r w:rsidRPr="000F1FF2">
        <w:rPr>
          <w:rStyle w:val="Arial"/>
        </w:rPr>
        <w:t xml:space="preserve"> </w:t>
      </w:r>
    </w:p>
    <w:p w:rsidR="00BC6862" w:rsidRDefault="00BC6862" w:rsidP="00BC6862">
      <w:pPr>
        <w:rPr>
          <w:rStyle w:val="Arial"/>
        </w:rPr>
      </w:pPr>
    </w:p>
    <w:p w:rsidR="00A86EEF" w:rsidRDefault="00BC6862" w:rsidP="00CF062F">
      <w:pPr>
        <w:pStyle w:val="ListParagraph"/>
        <w:numPr>
          <w:ilvl w:val="0"/>
          <w:numId w:val="55"/>
        </w:numPr>
        <w:rPr>
          <w:rStyle w:val="Arial"/>
        </w:rPr>
      </w:pPr>
      <w:r w:rsidRPr="000F1FF2">
        <w:rPr>
          <w:rStyle w:val="Arial"/>
        </w:rPr>
        <w:t xml:space="preserve">The proposed proprietary name for the product must be clear, unambiguous, </w:t>
      </w:r>
      <w:r>
        <w:rPr>
          <w:rStyle w:val="Arial"/>
        </w:rPr>
        <w:t>and</w:t>
      </w:r>
      <w:r w:rsidRPr="000F1FF2">
        <w:rPr>
          <w:rStyle w:val="Arial"/>
        </w:rPr>
        <w:t xml:space="preserve"> </w:t>
      </w:r>
      <w:r>
        <w:rPr>
          <w:rStyle w:val="Arial"/>
        </w:rPr>
        <w:t>un</w:t>
      </w:r>
      <w:r w:rsidRPr="000F1FF2">
        <w:rPr>
          <w:rStyle w:val="Arial"/>
        </w:rPr>
        <w:t>lik</w:t>
      </w:r>
      <w:r>
        <w:rPr>
          <w:rStyle w:val="Arial"/>
        </w:rPr>
        <w:t>ely to be confused in any way (eg, in</w:t>
      </w:r>
      <w:r w:rsidRPr="000F1FF2">
        <w:rPr>
          <w:rStyle w:val="Arial"/>
        </w:rPr>
        <w:t xml:space="preserve"> print or speech</w:t>
      </w:r>
      <w:r>
        <w:rPr>
          <w:rStyle w:val="Arial"/>
        </w:rPr>
        <w:t>) with</w:t>
      </w:r>
      <w:r w:rsidRPr="000F1FF2">
        <w:rPr>
          <w:rStyle w:val="Arial"/>
        </w:rPr>
        <w:t xml:space="preserve"> another</w:t>
      </w:r>
      <w:r>
        <w:rPr>
          <w:rStyle w:val="Arial"/>
        </w:rPr>
        <w:t xml:space="preserve"> psychoactive product, medicine,</w:t>
      </w:r>
      <w:r w:rsidRPr="000F1FF2">
        <w:rPr>
          <w:rStyle w:val="Arial"/>
        </w:rPr>
        <w:t xml:space="preserve"> food or </w:t>
      </w:r>
      <w:r>
        <w:rPr>
          <w:rStyle w:val="Arial"/>
        </w:rPr>
        <w:t>product</w:t>
      </w:r>
      <w:r w:rsidRPr="000F1FF2">
        <w:rPr>
          <w:rStyle w:val="Arial"/>
        </w:rPr>
        <w:t xml:space="preserve"> currently appr</w:t>
      </w:r>
      <w:r>
        <w:rPr>
          <w:rStyle w:val="Arial"/>
        </w:rPr>
        <w:t>oved in New Zealand.</w:t>
      </w:r>
    </w:p>
    <w:p w:rsidR="00A86EEF" w:rsidRDefault="00BC6862" w:rsidP="00CF062F">
      <w:pPr>
        <w:pStyle w:val="ListParagraph"/>
        <w:numPr>
          <w:ilvl w:val="0"/>
          <w:numId w:val="55"/>
        </w:numPr>
        <w:rPr>
          <w:rStyle w:val="Arial"/>
        </w:rPr>
      </w:pPr>
      <w:r>
        <w:rPr>
          <w:rStyle w:val="Arial"/>
        </w:rPr>
        <w:t xml:space="preserve"> The proposed proprietary name also must</w:t>
      </w:r>
      <w:r w:rsidRPr="000F1FF2">
        <w:rPr>
          <w:rStyle w:val="Arial"/>
        </w:rPr>
        <w:t xml:space="preserve"> not </w:t>
      </w:r>
      <w:r>
        <w:rPr>
          <w:rStyle w:val="Arial"/>
        </w:rPr>
        <w:t xml:space="preserve">be </w:t>
      </w:r>
      <w:r w:rsidRPr="000F1FF2">
        <w:rPr>
          <w:rStyle w:val="Arial"/>
        </w:rPr>
        <w:t xml:space="preserve">misleading in any way with regard to the nature, composition, purpose, uses or effects of the product. </w:t>
      </w:r>
    </w:p>
    <w:p w:rsidR="00BC6862" w:rsidRPr="000F1FF2" w:rsidRDefault="00BC6862" w:rsidP="00CF062F">
      <w:pPr>
        <w:pStyle w:val="ListParagraph"/>
        <w:numPr>
          <w:ilvl w:val="0"/>
          <w:numId w:val="55"/>
        </w:numPr>
        <w:rPr>
          <w:rStyle w:val="Arial"/>
        </w:rPr>
      </w:pPr>
      <w:r>
        <w:rPr>
          <w:rStyle w:val="Arial"/>
        </w:rPr>
        <w:t>The proposed proprietary name must also not be the same as a product that was formerly marketed.</w:t>
      </w:r>
    </w:p>
    <w:p w:rsidR="00BC6862" w:rsidRPr="000F1FF2" w:rsidRDefault="00BC6862" w:rsidP="00BC6862">
      <w:pPr>
        <w:rPr>
          <w:rStyle w:val="Arial"/>
        </w:rPr>
      </w:pPr>
    </w:p>
    <w:p w:rsidR="00876C7A" w:rsidRPr="008E1F5E" w:rsidRDefault="00876C7A" w:rsidP="008E1F5E">
      <w:pPr>
        <w:rPr>
          <w:rStyle w:val="Arial"/>
          <w:i/>
        </w:rPr>
      </w:pPr>
      <w:r w:rsidRPr="008E1F5E">
        <w:rPr>
          <w:rStyle w:val="Arial"/>
          <w:i/>
        </w:rPr>
        <w:t>Site compliance</w:t>
      </w:r>
    </w:p>
    <w:p w:rsidR="00BC6862" w:rsidRDefault="00BC6862" w:rsidP="00BC6862">
      <w:pPr>
        <w:rPr>
          <w:rStyle w:val="Arial"/>
        </w:rPr>
      </w:pPr>
      <w:r>
        <w:rPr>
          <w:rStyle w:val="Arial"/>
        </w:rPr>
        <w:t>All sites involved in the manufacture of a psychoactive product (this includes manufacture of the psychoactive substance, manufacture of the intermediate and final product, and packing and testing of the final product) must have either:</w:t>
      </w:r>
    </w:p>
    <w:p w:rsidR="00BC6862" w:rsidRDefault="00BC6862" w:rsidP="00DB34DC">
      <w:pPr>
        <w:pStyle w:val="ListParagraph"/>
        <w:numPr>
          <w:ilvl w:val="0"/>
          <w:numId w:val="24"/>
        </w:numPr>
        <w:spacing w:before="120" w:after="120"/>
        <w:ind w:left="714" w:hanging="357"/>
        <w:contextualSpacing w:val="0"/>
        <w:rPr>
          <w:rStyle w:val="Arial"/>
        </w:rPr>
      </w:pPr>
      <w:r>
        <w:rPr>
          <w:rStyle w:val="Arial"/>
        </w:rPr>
        <w:t xml:space="preserve">certification or other evidence demonstrating that the site complies with the </w:t>
      </w:r>
      <w:hyperlink r:id="rId27" w:history="1">
        <w:r w:rsidRPr="00FA09B3">
          <w:rPr>
            <w:rStyle w:val="Hyperlink"/>
            <w:rFonts w:ascii="Arial" w:hAnsi="Arial"/>
            <w:color w:val="auto"/>
            <w:u w:val="none"/>
          </w:rPr>
          <w:t>New Zealand Code of Manufacturing Practice 2014</w:t>
        </w:r>
      </w:hyperlink>
      <w:r w:rsidR="00FA09B3">
        <w:rPr>
          <w:rStyle w:val="Arial"/>
        </w:rPr>
        <w:t xml:space="preserve"> (found on </w:t>
      </w:r>
      <w:r w:rsidR="00FA09B3">
        <w:rPr>
          <w:rFonts w:ascii="Arial" w:hAnsi="Arial" w:cs="Arial"/>
        </w:rPr>
        <w:t>www.psychoactives.health.govt.nz)</w:t>
      </w:r>
      <w:r>
        <w:rPr>
          <w:rStyle w:val="Arial"/>
        </w:rPr>
        <w:t xml:space="preserve"> or</w:t>
      </w:r>
    </w:p>
    <w:p w:rsidR="00BC6862" w:rsidRDefault="00BC6862" w:rsidP="00DB34DC">
      <w:pPr>
        <w:pStyle w:val="ListParagraph"/>
        <w:numPr>
          <w:ilvl w:val="0"/>
          <w:numId w:val="24"/>
        </w:numPr>
        <w:spacing w:before="120" w:after="120"/>
        <w:ind w:left="714" w:hanging="357"/>
        <w:contextualSpacing w:val="0"/>
        <w:rPr>
          <w:rStyle w:val="Arial"/>
        </w:rPr>
      </w:pPr>
      <w:r w:rsidRPr="000F1FF2">
        <w:rPr>
          <w:rStyle w:val="Arial"/>
        </w:rPr>
        <w:t>Good Manufacturing Practice (GMP) certification or other evidence of GMP compliance</w:t>
      </w:r>
      <w:r>
        <w:rPr>
          <w:rStyle w:val="Arial"/>
        </w:rPr>
        <w:t xml:space="preserve"> that is accepted by the OPSRA.</w:t>
      </w:r>
    </w:p>
    <w:p w:rsidR="00BC6862" w:rsidRDefault="00BC6862" w:rsidP="00BC6862">
      <w:pPr>
        <w:rPr>
          <w:rStyle w:val="Arial"/>
        </w:rPr>
      </w:pPr>
    </w:p>
    <w:p w:rsidR="00BC6862" w:rsidRPr="000F1FF2" w:rsidRDefault="00BC6862" w:rsidP="00BC6862">
      <w:pPr>
        <w:rPr>
          <w:rStyle w:val="Arial"/>
        </w:rPr>
      </w:pPr>
      <w:r>
        <w:rPr>
          <w:rStyle w:val="Arial"/>
        </w:rPr>
        <w:t>In both cases, the documentation must:</w:t>
      </w:r>
    </w:p>
    <w:p w:rsidR="00BC6862" w:rsidRDefault="00BC6862" w:rsidP="00DB34DC">
      <w:pPr>
        <w:pStyle w:val="ListParagraph"/>
        <w:numPr>
          <w:ilvl w:val="0"/>
          <w:numId w:val="25"/>
        </w:numPr>
        <w:spacing w:before="120" w:after="120"/>
        <w:ind w:left="714" w:hanging="357"/>
        <w:contextualSpacing w:val="0"/>
        <w:rPr>
          <w:rStyle w:val="Arial"/>
        </w:rPr>
      </w:pPr>
      <w:r>
        <w:rPr>
          <w:rStyle w:val="Arial"/>
        </w:rPr>
        <w:t>be specific for</w:t>
      </w:r>
      <w:r w:rsidRPr="000F1FF2">
        <w:rPr>
          <w:rStyle w:val="Arial"/>
        </w:rPr>
        <w:t xml:space="preserve"> the produ</w:t>
      </w:r>
      <w:r>
        <w:rPr>
          <w:rStyle w:val="Arial"/>
        </w:rPr>
        <w:t>ct or substance concerned, or psychoactive products or substances in general and</w:t>
      </w:r>
    </w:p>
    <w:p w:rsidR="00BC6862" w:rsidRPr="000F1FF2" w:rsidRDefault="00BC6862" w:rsidP="00DB34DC">
      <w:pPr>
        <w:pStyle w:val="ListParagraph"/>
        <w:numPr>
          <w:ilvl w:val="0"/>
          <w:numId w:val="25"/>
        </w:numPr>
        <w:spacing w:before="120" w:after="120"/>
        <w:ind w:left="714" w:hanging="357"/>
        <w:contextualSpacing w:val="0"/>
        <w:rPr>
          <w:rStyle w:val="Arial"/>
        </w:rPr>
      </w:pPr>
      <w:r>
        <w:rPr>
          <w:rStyle w:val="Arial"/>
        </w:rPr>
        <w:t>in the case of a product manufacturing site state the dosage form (eg, tablet)</w:t>
      </w:r>
    </w:p>
    <w:p w:rsidR="00BC6862" w:rsidRPr="000F1FF2" w:rsidRDefault="00BC6862" w:rsidP="00DB34DC">
      <w:pPr>
        <w:pStyle w:val="ListParagraph"/>
        <w:numPr>
          <w:ilvl w:val="0"/>
          <w:numId w:val="25"/>
        </w:numPr>
        <w:spacing w:before="120" w:after="120"/>
        <w:ind w:left="714" w:hanging="357"/>
        <w:contextualSpacing w:val="0"/>
        <w:rPr>
          <w:rStyle w:val="Arial"/>
        </w:rPr>
      </w:pPr>
      <w:r w:rsidRPr="000F1FF2">
        <w:rPr>
          <w:rStyle w:val="Arial"/>
        </w:rPr>
        <w:t xml:space="preserve">be issued by </w:t>
      </w:r>
      <w:r w:rsidRPr="00DA5905">
        <w:rPr>
          <w:rFonts w:ascii="Arial" w:hAnsi="Arial"/>
        </w:rPr>
        <w:t xml:space="preserve">authorities recognised by the </w:t>
      </w:r>
      <w:r>
        <w:rPr>
          <w:rFonts w:ascii="Arial" w:hAnsi="Arial"/>
        </w:rPr>
        <w:t>OPSRA</w:t>
      </w:r>
      <w:r w:rsidRPr="00DA5905">
        <w:rPr>
          <w:rFonts w:ascii="Arial" w:hAnsi="Arial"/>
        </w:rPr>
        <w:t xml:space="preserve"> </w:t>
      </w:r>
      <w:r w:rsidRPr="000F1FF2">
        <w:rPr>
          <w:rStyle w:val="Arial"/>
        </w:rPr>
        <w:t xml:space="preserve">and </w:t>
      </w:r>
    </w:p>
    <w:p w:rsidR="00BC6862" w:rsidRPr="000F1FF2" w:rsidRDefault="00BC6862" w:rsidP="00DB34DC">
      <w:pPr>
        <w:pStyle w:val="ListParagraph"/>
        <w:numPr>
          <w:ilvl w:val="0"/>
          <w:numId w:val="25"/>
        </w:numPr>
        <w:spacing w:before="120" w:after="120"/>
        <w:ind w:left="714" w:hanging="357"/>
        <w:contextualSpacing w:val="0"/>
        <w:rPr>
          <w:rStyle w:val="Arial"/>
        </w:rPr>
      </w:pPr>
      <w:r w:rsidRPr="000F1FF2">
        <w:rPr>
          <w:rStyle w:val="Arial"/>
        </w:rPr>
        <w:t xml:space="preserve">not have expired or be more than </w:t>
      </w:r>
      <w:r>
        <w:rPr>
          <w:rStyle w:val="Arial"/>
        </w:rPr>
        <w:t>five</w:t>
      </w:r>
      <w:r w:rsidRPr="000F1FF2">
        <w:rPr>
          <w:rStyle w:val="Arial"/>
        </w:rPr>
        <w:t xml:space="preserve"> years old by the time the product is likely to be approved for distribution in New Zealand. </w:t>
      </w:r>
    </w:p>
    <w:p w:rsidR="00BC6862" w:rsidRDefault="00BC6862" w:rsidP="00BC6862">
      <w:pPr>
        <w:rPr>
          <w:rStyle w:val="Arial"/>
        </w:rPr>
      </w:pPr>
    </w:p>
    <w:p w:rsidR="00BC6862" w:rsidRPr="000F1FF2" w:rsidRDefault="00BC6862" w:rsidP="00BC6862">
      <w:pPr>
        <w:rPr>
          <w:rStyle w:val="Arial"/>
        </w:rPr>
      </w:pPr>
      <w:r>
        <w:rPr>
          <w:rStyle w:val="Arial"/>
        </w:rPr>
        <w:t xml:space="preserve">A list of the authorities recognised by the OPSRA for the purpose of issuing GMP certificates can be found in Appendix 2. </w:t>
      </w:r>
    </w:p>
    <w:p w:rsidR="00F82B29" w:rsidRDefault="00F82B29" w:rsidP="00BC6862">
      <w:pPr>
        <w:rPr>
          <w:rStyle w:val="Arial"/>
        </w:rPr>
      </w:pPr>
    </w:p>
    <w:p w:rsidR="00BC6862" w:rsidRPr="00F82B29" w:rsidRDefault="00876C7A" w:rsidP="00BC6862">
      <w:pPr>
        <w:rPr>
          <w:rStyle w:val="Arial"/>
        </w:rPr>
      </w:pPr>
      <w:r w:rsidRPr="00F82B29">
        <w:rPr>
          <w:rStyle w:val="Arial"/>
        </w:rPr>
        <w:t xml:space="preserve">Product labelling </w:t>
      </w:r>
    </w:p>
    <w:p w:rsidR="00876C7A" w:rsidRDefault="00BC6862" w:rsidP="00CF062F">
      <w:pPr>
        <w:pStyle w:val="ListParagraph"/>
        <w:numPr>
          <w:ilvl w:val="0"/>
          <w:numId w:val="56"/>
        </w:numPr>
        <w:spacing w:before="120"/>
        <w:ind w:left="714" w:hanging="357"/>
        <w:contextualSpacing w:val="0"/>
        <w:rPr>
          <w:rStyle w:val="Arial"/>
        </w:rPr>
      </w:pPr>
      <w:r w:rsidRPr="000F1FF2">
        <w:rPr>
          <w:rStyle w:val="Arial"/>
        </w:rPr>
        <w:t xml:space="preserve">The </w:t>
      </w:r>
      <w:r>
        <w:rPr>
          <w:rStyle w:val="Arial"/>
        </w:rPr>
        <w:t xml:space="preserve">product </w:t>
      </w:r>
      <w:r w:rsidRPr="000F1FF2">
        <w:rPr>
          <w:rStyle w:val="Arial"/>
        </w:rPr>
        <w:t xml:space="preserve">labelling must comply with the Psychoactive Substances Act 2013, Regulations and </w:t>
      </w:r>
      <w:r w:rsidRPr="00BC6862">
        <w:rPr>
          <w:rStyle w:val="Arial"/>
        </w:rPr>
        <w:t xml:space="preserve">Guidelines (see </w:t>
      </w:r>
      <w:r w:rsidR="001D1066">
        <w:rPr>
          <w:rStyle w:val="Arial"/>
        </w:rPr>
        <w:t>12.6</w:t>
      </w:r>
      <w:r w:rsidRPr="00BC6862">
        <w:rPr>
          <w:rStyle w:val="Arial"/>
        </w:rPr>
        <w:t xml:space="preserve"> below</w:t>
      </w:r>
      <w:r w:rsidRPr="00DA5905">
        <w:rPr>
          <w:rStyle w:val="Arial"/>
        </w:rPr>
        <w:t xml:space="preserve"> for more detail). </w:t>
      </w:r>
    </w:p>
    <w:p w:rsidR="00BC6862" w:rsidRPr="000F1FF2" w:rsidRDefault="00BC6862" w:rsidP="00CF062F">
      <w:pPr>
        <w:pStyle w:val="ListParagraph"/>
        <w:numPr>
          <w:ilvl w:val="0"/>
          <w:numId w:val="56"/>
        </w:numPr>
        <w:spacing w:before="120"/>
        <w:ind w:left="714" w:hanging="357"/>
        <w:contextualSpacing w:val="0"/>
        <w:rPr>
          <w:rStyle w:val="Arial"/>
        </w:rPr>
      </w:pPr>
      <w:r w:rsidRPr="00DA5905">
        <w:rPr>
          <w:rStyle w:val="Arial"/>
        </w:rPr>
        <w:t>If applicable</w:t>
      </w:r>
      <w:r w:rsidRPr="000F1FF2">
        <w:rPr>
          <w:rStyle w:val="Arial"/>
        </w:rPr>
        <w:t xml:space="preserve">, the labels must allow easy discrimination between the different strengths of a product. </w:t>
      </w:r>
    </w:p>
    <w:p w:rsidR="00876C7A" w:rsidRDefault="00BC6862" w:rsidP="00CF062F">
      <w:pPr>
        <w:pStyle w:val="ListParagraph"/>
        <w:numPr>
          <w:ilvl w:val="0"/>
          <w:numId w:val="56"/>
        </w:numPr>
        <w:spacing w:before="120"/>
        <w:ind w:left="714" w:hanging="357"/>
        <w:contextualSpacing w:val="0"/>
        <w:rPr>
          <w:rStyle w:val="Arial"/>
        </w:rPr>
      </w:pPr>
      <w:r>
        <w:rPr>
          <w:rStyle w:val="Arial"/>
        </w:rPr>
        <w:t>A</w:t>
      </w:r>
      <w:r w:rsidRPr="000F1FF2">
        <w:rPr>
          <w:rStyle w:val="Arial"/>
        </w:rPr>
        <w:t>ny package insert/information leaflet supplied with the product must be consistent with the product details</w:t>
      </w:r>
      <w:r>
        <w:rPr>
          <w:rStyle w:val="Arial"/>
        </w:rPr>
        <w:t xml:space="preserve"> approved by the Authority</w:t>
      </w:r>
      <w:r w:rsidRPr="000F1FF2">
        <w:rPr>
          <w:rStyle w:val="Arial"/>
        </w:rPr>
        <w:t xml:space="preserve">. </w:t>
      </w:r>
    </w:p>
    <w:p w:rsidR="00BC6862" w:rsidRPr="000F1FF2" w:rsidRDefault="00BC6862" w:rsidP="00CF062F">
      <w:pPr>
        <w:pStyle w:val="ListParagraph"/>
        <w:numPr>
          <w:ilvl w:val="0"/>
          <w:numId w:val="56"/>
        </w:numPr>
        <w:spacing w:before="120"/>
        <w:ind w:left="714" w:hanging="357"/>
        <w:contextualSpacing w:val="0"/>
        <w:rPr>
          <w:rStyle w:val="Arial"/>
        </w:rPr>
      </w:pPr>
      <w:r w:rsidRPr="000F1FF2">
        <w:rPr>
          <w:rStyle w:val="Arial"/>
        </w:rPr>
        <w:t xml:space="preserve">If any excipients </w:t>
      </w:r>
      <w:r>
        <w:rPr>
          <w:rStyle w:val="Arial"/>
        </w:rPr>
        <w:t>(eg, lactose)</w:t>
      </w:r>
      <w:r w:rsidRPr="000F1FF2">
        <w:rPr>
          <w:rStyle w:val="Arial"/>
        </w:rPr>
        <w:t xml:space="preserve"> in the product are unsuitable for particular populations, appropriate information or warnings must be included on the label (or, when space on the label does not permit, in an information leaflet/ package insert). </w:t>
      </w:r>
    </w:p>
    <w:p w:rsidR="00A57F8B" w:rsidRDefault="00BC6862" w:rsidP="003F0BDA">
      <w:pPr>
        <w:pStyle w:val="Heading3"/>
        <w:numPr>
          <w:ilvl w:val="1"/>
          <w:numId w:val="70"/>
        </w:numPr>
      </w:pPr>
      <w:bookmarkStart w:id="80" w:name="_Toc396292833"/>
      <w:bookmarkStart w:id="81" w:name="_Toc396293221"/>
      <w:bookmarkStart w:id="82" w:name="_Toc396293585"/>
      <w:bookmarkStart w:id="83" w:name="_Toc396297584"/>
      <w:bookmarkStart w:id="84" w:name="_Toc396297777"/>
      <w:bookmarkStart w:id="85" w:name="_Toc396297968"/>
      <w:bookmarkStart w:id="86" w:name="_Toc396298163"/>
      <w:bookmarkStart w:id="87" w:name="_Toc396313736"/>
      <w:bookmarkStart w:id="88" w:name="_Toc396721375"/>
      <w:bookmarkStart w:id="89" w:name="_Toc396816579"/>
      <w:bookmarkStart w:id="90" w:name="_Toc396828596"/>
      <w:bookmarkStart w:id="91" w:name="_Toc397694967"/>
      <w:bookmarkStart w:id="92" w:name="_Toc409508706"/>
      <w:bookmarkEnd w:id="80"/>
      <w:bookmarkEnd w:id="81"/>
      <w:bookmarkEnd w:id="82"/>
      <w:bookmarkEnd w:id="83"/>
      <w:bookmarkEnd w:id="84"/>
      <w:bookmarkEnd w:id="85"/>
      <w:bookmarkEnd w:id="86"/>
      <w:bookmarkEnd w:id="87"/>
      <w:bookmarkEnd w:id="88"/>
      <w:bookmarkEnd w:id="89"/>
      <w:bookmarkEnd w:id="90"/>
      <w:bookmarkEnd w:id="91"/>
      <w:r>
        <w:t>Dossier</w:t>
      </w:r>
      <w:r w:rsidRPr="004B0CB2">
        <w:t xml:space="preserve"> </w:t>
      </w:r>
      <w:r w:rsidR="00CC1EA5">
        <w:t xml:space="preserve">- </w:t>
      </w:r>
      <w:r w:rsidR="00A57F8B" w:rsidRPr="00E92AB5">
        <w:t>Technical Guidelines to be Followed</w:t>
      </w:r>
      <w:bookmarkEnd w:id="92"/>
    </w:p>
    <w:p w:rsidR="00A57F8B" w:rsidRDefault="00A57F8B" w:rsidP="00A57F8B">
      <w:pPr>
        <w:rPr>
          <w:rFonts w:ascii="Arial" w:hAnsi="Arial"/>
        </w:rPr>
      </w:pPr>
      <w:r w:rsidRPr="00082B60">
        <w:rPr>
          <w:rFonts w:ascii="Arial" w:hAnsi="Arial"/>
        </w:rPr>
        <w:t xml:space="preserve">The technical data requirements for applications for consent to distribute new psychoactive products in </w:t>
      </w:r>
      <w:r w:rsidR="001D1066">
        <w:rPr>
          <w:rFonts w:ascii="Arial" w:hAnsi="Arial"/>
        </w:rPr>
        <w:t>New Zealand are closely aligned</w:t>
      </w:r>
      <w:r w:rsidRPr="00082B60">
        <w:rPr>
          <w:rFonts w:ascii="Arial" w:hAnsi="Arial"/>
        </w:rPr>
        <w:t xml:space="preserve"> with those currently applying in the European Union for medicines. </w:t>
      </w:r>
      <w:r w:rsidR="00871D12">
        <w:rPr>
          <w:rFonts w:ascii="Arial" w:hAnsi="Arial"/>
        </w:rPr>
        <w:t xml:space="preserve">Requirements may change </w:t>
      </w:r>
      <w:r>
        <w:rPr>
          <w:rFonts w:ascii="Arial" w:hAnsi="Arial"/>
        </w:rPr>
        <w:t xml:space="preserve">in line with evolving “best international practice”. </w:t>
      </w:r>
    </w:p>
    <w:p w:rsidR="00A57F8B" w:rsidRDefault="00A57F8B" w:rsidP="00A57F8B">
      <w:pPr>
        <w:rPr>
          <w:rFonts w:ascii="Arial" w:hAnsi="Arial"/>
        </w:rPr>
      </w:pPr>
    </w:p>
    <w:p w:rsidR="00A57F8B" w:rsidRDefault="00A57F8B" w:rsidP="00A57F8B">
      <w:pPr>
        <w:rPr>
          <w:rFonts w:ascii="Arial" w:hAnsi="Arial"/>
        </w:rPr>
      </w:pPr>
      <w:r>
        <w:rPr>
          <w:rFonts w:ascii="Arial" w:hAnsi="Arial"/>
        </w:rPr>
        <w:t>The guidelines and standards that are accepted by the OPSRA in support of an NPPA are as follows:</w:t>
      </w:r>
    </w:p>
    <w:p w:rsidR="00A57F8B" w:rsidRDefault="00A57F8B" w:rsidP="00CF062F">
      <w:pPr>
        <w:pStyle w:val="ListParagraph"/>
        <w:numPr>
          <w:ilvl w:val="0"/>
          <w:numId w:val="46"/>
        </w:numPr>
        <w:spacing w:before="120" w:after="120"/>
        <w:ind w:left="714" w:hanging="357"/>
        <w:contextualSpacing w:val="0"/>
        <w:rPr>
          <w:rFonts w:ascii="Arial" w:hAnsi="Arial"/>
        </w:rPr>
      </w:pPr>
      <w:r w:rsidRPr="00082B60">
        <w:rPr>
          <w:rFonts w:ascii="Arial" w:hAnsi="Arial"/>
        </w:rPr>
        <w:t xml:space="preserve">International Conference on Harmonisation </w:t>
      </w:r>
      <w:r>
        <w:rPr>
          <w:rFonts w:ascii="Arial" w:hAnsi="Arial"/>
        </w:rPr>
        <w:t>(ICH) guidelines</w:t>
      </w:r>
    </w:p>
    <w:p w:rsidR="00A57F8B" w:rsidRDefault="00A57F8B" w:rsidP="00CF062F">
      <w:pPr>
        <w:pStyle w:val="ListParagraph"/>
        <w:numPr>
          <w:ilvl w:val="0"/>
          <w:numId w:val="46"/>
        </w:numPr>
        <w:spacing w:before="120" w:after="120"/>
        <w:ind w:left="714" w:hanging="357"/>
        <w:contextualSpacing w:val="0"/>
        <w:rPr>
          <w:rFonts w:ascii="Arial" w:hAnsi="Arial"/>
        </w:rPr>
      </w:pPr>
      <w:r>
        <w:rPr>
          <w:rFonts w:ascii="Arial" w:hAnsi="Arial"/>
        </w:rPr>
        <w:t>European Commission (EC) guidelines</w:t>
      </w:r>
    </w:p>
    <w:p w:rsidR="00A57F8B" w:rsidRDefault="00A57F8B" w:rsidP="00CF062F">
      <w:pPr>
        <w:pStyle w:val="ListParagraph"/>
        <w:numPr>
          <w:ilvl w:val="0"/>
          <w:numId w:val="46"/>
        </w:numPr>
        <w:spacing w:before="120" w:after="120"/>
        <w:ind w:left="714" w:hanging="357"/>
        <w:contextualSpacing w:val="0"/>
        <w:rPr>
          <w:rFonts w:ascii="Arial" w:hAnsi="Arial"/>
        </w:rPr>
      </w:pPr>
      <w:r>
        <w:rPr>
          <w:rFonts w:ascii="Arial" w:hAnsi="Arial"/>
        </w:rPr>
        <w:t>U.S. Food and Drug Administration (FDA) guidelines</w:t>
      </w:r>
    </w:p>
    <w:p w:rsidR="00A57F8B" w:rsidRDefault="00A57F8B" w:rsidP="00CF062F">
      <w:pPr>
        <w:pStyle w:val="ListParagraph"/>
        <w:numPr>
          <w:ilvl w:val="0"/>
          <w:numId w:val="46"/>
        </w:numPr>
        <w:spacing w:before="120" w:after="120"/>
        <w:ind w:left="714" w:hanging="357"/>
        <w:contextualSpacing w:val="0"/>
        <w:rPr>
          <w:rFonts w:ascii="Arial" w:hAnsi="Arial"/>
        </w:rPr>
      </w:pPr>
      <w:r>
        <w:rPr>
          <w:rFonts w:ascii="Arial" w:hAnsi="Arial"/>
        </w:rPr>
        <w:t>Pharmacopoeia</w:t>
      </w:r>
    </w:p>
    <w:p w:rsidR="00A57F8B" w:rsidRDefault="00A57F8B" w:rsidP="00CF062F">
      <w:pPr>
        <w:pStyle w:val="ListParagraph"/>
        <w:numPr>
          <w:ilvl w:val="0"/>
          <w:numId w:val="46"/>
        </w:numPr>
        <w:spacing w:before="120" w:after="120"/>
        <w:ind w:left="714" w:hanging="357"/>
        <w:contextualSpacing w:val="0"/>
        <w:rPr>
          <w:rFonts w:ascii="Arial" w:hAnsi="Arial"/>
        </w:rPr>
      </w:pPr>
      <w:r>
        <w:rPr>
          <w:rFonts w:ascii="Arial" w:hAnsi="Arial"/>
        </w:rPr>
        <w:t>World Health Organisation (WHO) guidelines</w:t>
      </w:r>
    </w:p>
    <w:p w:rsidR="00A57F8B" w:rsidRDefault="00A57F8B" w:rsidP="00CF062F">
      <w:pPr>
        <w:pStyle w:val="ListParagraph"/>
        <w:numPr>
          <w:ilvl w:val="0"/>
          <w:numId w:val="46"/>
        </w:numPr>
        <w:spacing w:before="120" w:after="120"/>
        <w:ind w:left="714" w:hanging="357"/>
        <w:contextualSpacing w:val="0"/>
        <w:rPr>
          <w:rStyle w:val="Arial"/>
        </w:rPr>
      </w:pPr>
      <w:r>
        <w:rPr>
          <w:rStyle w:val="Arial"/>
        </w:rPr>
        <w:t>Good Laboratory Practice (GLP)</w:t>
      </w:r>
    </w:p>
    <w:p w:rsidR="00A57F8B" w:rsidRDefault="00A57F8B" w:rsidP="00CF062F">
      <w:pPr>
        <w:pStyle w:val="ListParagraph"/>
        <w:numPr>
          <w:ilvl w:val="0"/>
          <w:numId w:val="46"/>
        </w:numPr>
        <w:spacing w:before="120" w:after="120"/>
        <w:ind w:left="714" w:hanging="357"/>
        <w:contextualSpacing w:val="0"/>
        <w:rPr>
          <w:rStyle w:val="Arial"/>
        </w:rPr>
      </w:pPr>
      <w:r w:rsidRPr="00082B60">
        <w:rPr>
          <w:rStyle w:val="Arial"/>
        </w:rPr>
        <w:t>Good Clinical Research Practice</w:t>
      </w:r>
      <w:r>
        <w:rPr>
          <w:rStyle w:val="Arial"/>
        </w:rPr>
        <w:t xml:space="preserve"> (GCRP)</w:t>
      </w:r>
    </w:p>
    <w:p w:rsidR="00A57F8B" w:rsidRDefault="00A57F8B" w:rsidP="00A57F8B">
      <w:pPr>
        <w:pStyle w:val="ListParagraph"/>
        <w:spacing w:before="120" w:after="120"/>
        <w:ind w:left="714"/>
        <w:contextualSpacing w:val="0"/>
        <w:rPr>
          <w:rStyle w:val="Arial"/>
        </w:rPr>
      </w:pPr>
    </w:p>
    <w:p w:rsidR="00A57F8B" w:rsidRPr="003F0BDA" w:rsidRDefault="00A57F8B" w:rsidP="003F0BDA">
      <w:pPr>
        <w:pStyle w:val="ListParagraph"/>
        <w:numPr>
          <w:ilvl w:val="2"/>
          <w:numId w:val="70"/>
        </w:numPr>
        <w:rPr>
          <w:rStyle w:val="Arial"/>
          <w:i/>
          <w:iCs/>
        </w:rPr>
      </w:pPr>
      <w:r w:rsidRPr="003F0BDA">
        <w:rPr>
          <w:rStyle w:val="Arial"/>
          <w:i/>
          <w:iCs/>
        </w:rPr>
        <w:t>ICH Guidelines</w:t>
      </w:r>
    </w:p>
    <w:p w:rsidR="00A57F8B" w:rsidRDefault="00A57F8B" w:rsidP="00A57F8B">
      <w:pPr>
        <w:rPr>
          <w:rFonts w:ascii="Arial" w:hAnsi="Arial"/>
        </w:rPr>
      </w:pPr>
    </w:p>
    <w:p w:rsidR="00A57F8B" w:rsidRDefault="00A57F8B" w:rsidP="00A57F8B">
      <w:pPr>
        <w:rPr>
          <w:rFonts w:ascii="Arial" w:hAnsi="Arial"/>
        </w:rPr>
      </w:pPr>
      <w:r w:rsidRPr="00082B60">
        <w:rPr>
          <w:rFonts w:ascii="Arial" w:hAnsi="Arial"/>
        </w:rPr>
        <w:t>The</w:t>
      </w:r>
      <w:r>
        <w:rPr>
          <w:rFonts w:ascii="Arial" w:hAnsi="Arial"/>
        </w:rPr>
        <w:t xml:space="preserve"> </w:t>
      </w:r>
      <w:r w:rsidRPr="00082B60">
        <w:rPr>
          <w:rFonts w:ascii="Arial" w:hAnsi="Arial"/>
        </w:rPr>
        <w:t>ICH has developed and published numerous guidelines relating to the quality, safety and efficacy of medicines.</w:t>
      </w:r>
      <w:r>
        <w:rPr>
          <w:rFonts w:ascii="Arial" w:hAnsi="Arial"/>
        </w:rPr>
        <w:t xml:space="preserve"> These guidelines are also relevant to psychoactive products.</w:t>
      </w:r>
      <w:r w:rsidRPr="00082B60">
        <w:rPr>
          <w:rFonts w:ascii="Arial" w:hAnsi="Arial"/>
        </w:rPr>
        <w:t xml:space="preserve"> Copies of these guidelines may be obtained from: </w:t>
      </w:r>
    </w:p>
    <w:p w:rsidR="00A57F8B" w:rsidRPr="00082B60" w:rsidRDefault="00A57F8B" w:rsidP="00A57F8B">
      <w:pPr>
        <w:rPr>
          <w:rFonts w:ascii="Arial" w:hAnsi="Arial"/>
        </w:rPr>
      </w:pPr>
    </w:p>
    <w:p w:rsidR="00A57F8B" w:rsidRPr="00596186" w:rsidRDefault="00A57F8B" w:rsidP="00A57F8B">
      <w:pPr>
        <w:rPr>
          <w:rFonts w:ascii="Arial" w:hAnsi="Arial"/>
        </w:rPr>
      </w:pPr>
      <w:r w:rsidRPr="00596186">
        <w:rPr>
          <w:rFonts w:ascii="Arial" w:hAnsi="Arial"/>
        </w:rPr>
        <w:t xml:space="preserve">ICH Secretariat </w:t>
      </w:r>
    </w:p>
    <w:p w:rsidR="00A57F8B" w:rsidRPr="00596186" w:rsidRDefault="00A57F8B" w:rsidP="00A57F8B">
      <w:pPr>
        <w:rPr>
          <w:rFonts w:ascii="Arial" w:hAnsi="Arial"/>
        </w:rPr>
      </w:pPr>
      <w:r w:rsidRPr="00596186">
        <w:rPr>
          <w:rFonts w:ascii="Arial" w:hAnsi="Arial"/>
        </w:rPr>
        <w:t>15, chemin Louis-Dunant</w:t>
      </w:r>
    </w:p>
    <w:p w:rsidR="00A57F8B" w:rsidRPr="00596186" w:rsidRDefault="00A57F8B" w:rsidP="00A57F8B">
      <w:pPr>
        <w:rPr>
          <w:rFonts w:ascii="Arial" w:hAnsi="Arial"/>
        </w:rPr>
      </w:pPr>
      <w:r w:rsidRPr="00596186">
        <w:rPr>
          <w:rFonts w:ascii="Arial" w:hAnsi="Arial"/>
        </w:rPr>
        <w:t>P.O. Box 195</w:t>
      </w:r>
    </w:p>
    <w:p w:rsidR="00A57F8B" w:rsidRPr="00596186" w:rsidRDefault="00A57F8B" w:rsidP="00A57F8B">
      <w:pPr>
        <w:rPr>
          <w:rFonts w:ascii="Arial" w:hAnsi="Arial"/>
        </w:rPr>
      </w:pPr>
      <w:r w:rsidRPr="00596186">
        <w:rPr>
          <w:rFonts w:ascii="Arial" w:hAnsi="Arial"/>
        </w:rPr>
        <w:t xml:space="preserve">1211 Geneva 20 </w:t>
      </w:r>
    </w:p>
    <w:p w:rsidR="00A57F8B" w:rsidRPr="00596186" w:rsidRDefault="00A57F8B" w:rsidP="00A57F8B">
      <w:pPr>
        <w:rPr>
          <w:rFonts w:ascii="Arial" w:hAnsi="Arial"/>
        </w:rPr>
      </w:pPr>
      <w:r w:rsidRPr="00596186">
        <w:rPr>
          <w:rFonts w:ascii="Arial" w:hAnsi="Arial"/>
        </w:rPr>
        <w:t xml:space="preserve">Switzerland </w:t>
      </w:r>
    </w:p>
    <w:p w:rsidR="00A57F8B" w:rsidRDefault="00A57F8B" w:rsidP="00A57F8B">
      <w:pPr>
        <w:rPr>
          <w:rFonts w:ascii="Arial" w:hAnsi="Arial"/>
        </w:rPr>
      </w:pPr>
      <w:r w:rsidRPr="00596186">
        <w:rPr>
          <w:rFonts w:ascii="Arial" w:hAnsi="Arial"/>
        </w:rPr>
        <w:t xml:space="preserve">email: </w:t>
      </w:r>
      <w:hyperlink r:id="rId28" w:history="1">
        <w:r w:rsidRPr="00596186">
          <w:rPr>
            <w:rStyle w:val="Hyperlink"/>
            <w:rFonts w:ascii="Arial" w:hAnsi="Arial"/>
          </w:rPr>
          <w:t>admin@ich.org</w:t>
        </w:r>
      </w:hyperlink>
      <w:r w:rsidRPr="00082B60">
        <w:rPr>
          <w:rFonts w:ascii="Arial" w:hAnsi="Arial"/>
        </w:rPr>
        <w:t xml:space="preserve"> </w:t>
      </w:r>
    </w:p>
    <w:p w:rsidR="00A57F8B" w:rsidRPr="00082B60" w:rsidRDefault="00A57F8B" w:rsidP="00A57F8B">
      <w:pPr>
        <w:rPr>
          <w:rFonts w:ascii="Arial" w:hAnsi="Arial"/>
        </w:rPr>
      </w:pPr>
    </w:p>
    <w:p w:rsidR="00A57F8B" w:rsidRDefault="00A57F8B" w:rsidP="00A57F8B">
      <w:pPr>
        <w:rPr>
          <w:rFonts w:ascii="Arial" w:hAnsi="Arial"/>
        </w:rPr>
      </w:pPr>
      <w:r w:rsidRPr="00082B60">
        <w:rPr>
          <w:rFonts w:ascii="Arial" w:hAnsi="Arial"/>
        </w:rPr>
        <w:t>ICH guidelines may also be obtained in electronic form (printable pdf format) from the following address:</w:t>
      </w:r>
      <w:r>
        <w:rPr>
          <w:rFonts w:ascii="Arial" w:hAnsi="Arial"/>
        </w:rPr>
        <w:t xml:space="preserve"> </w:t>
      </w:r>
      <w:hyperlink r:id="rId29" w:history="1">
        <w:r w:rsidRPr="002A235C">
          <w:rPr>
            <w:rStyle w:val="Hyperlink"/>
            <w:rFonts w:ascii="Arial" w:hAnsi="Arial"/>
          </w:rPr>
          <w:t>http://www.ich.org/products/guidelines.html</w:t>
        </w:r>
      </w:hyperlink>
      <w:r>
        <w:rPr>
          <w:rFonts w:ascii="Arial" w:hAnsi="Arial"/>
        </w:rPr>
        <w:t xml:space="preserve">. </w:t>
      </w:r>
    </w:p>
    <w:p w:rsidR="00A57F8B" w:rsidRDefault="00A57F8B" w:rsidP="00A57F8B">
      <w:pPr>
        <w:rPr>
          <w:rFonts w:ascii="Arial" w:hAnsi="Arial"/>
        </w:rPr>
      </w:pPr>
    </w:p>
    <w:p w:rsidR="00A57F8B" w:rsidRDefault="00A57F8B" w:rsidP="00A57F8B">
      <w:pPr>
        <w:rPr>
          <w:rFonts w:ascii="Arial" w:hAnsi="Arial"/>
        </w:rPr>
      </w:pPr>
      <w:r>
        <w:rPr>
          <w:rFonts w:ascii="Arial" w:hAnsi="Arial"/>
        </w:rPr>
        <w:t>Once ICH</w:t>
      </w:r>
      <w:r w:rsidRPr="00082B60">
        <w:rPr>
          <w:rFonts w:ascii="Arial" w:hAnsi="Arial"/>
        </w:rPr>
        <w:t xml:space="preserve"> guidelines are formally adopted and come into force in the EU </w:t>
      </w:r>
      <w:r>
        <w:rPr>
          <w:rFonts w:ascii="Arial" w:hAnsi="Arial"/>
        </w:rPr>
        <w:t>they are recognised by the OPSRA</w:t>
      </w:r>
      <w:r w:rsidRPr="00082B60">
        <w:rPr>
          <w:rFonts w:ascii="Arial" w:hAnsi="Arial"/>
        </w:rPr>
        <w:t>.</w:t>
      </w:r>
      <w:r>
        <w:rPr>
          <w:rFonts w:ascii="Arial" w:hAnsi="Arial"/>
        </w:rPr>
        <w:t xml:space="preserve"> Draft guidelines may also be referenced where the guideline is new (ie, there is no previous version of the guideline). A more complete explanation of the ICH model and guidelines is provided in Appendix 1.</w:t>
      </w:r>
    </w:p>
    <w:p w:rsidR="00A57F8B" w:rsidRDefault="00A57F8B" w:rsidP="00A57F8B">
      <w:pPr>
        <w:rPr>
          <w:rFonts w:ascii="Arial" w:hAnsi="Arial"/>
        </w:rPr>
      </w:pPr>
    </w:p>
    <w:p w:rsidR="00A57F8B" w:rsidRPr="00082B60" w:rsidRDefault="00A57F8B" w:rsidP="00A57F8B">
      <w:pPr>
        <w:rPr>
          <w:rStyle w:val="Arial"/>
        </w:rPr>
      </w:pPr>
      <w:r w:rsidRPr="00082B60">
        <w:rPr>
          <w:rStyle w:val="Arial"/>
        </w:rPr>
        <w:t xml:space="preserve">Where an ICH guideline exists for a particular aspect of a </w:t>
      </w:r>
      <w:r>
        <w:rPr>
          <w:rStyle w:val="Arial"/>
        </w:rPr>
        <w:t>product</w:t>
      </w:r>
      <w:r w:rsidRPr="00082B60">
        <w:rPr>
          <w:rStyle w:val="Arial"/>
        </w:rPr>
        <w:t xml:space="preserve"> (eg, impurity limits, validation of analytical procedures, stability) conformity to this guideline is the minimum requirement for applications submitted to the </w:t>
      </w:r>
      <w:r>
        <w:rPr>
          <w:rStyle w:val="Arial"/>
        </w:rPr>
        <w:t>OPSRA</w:t>
      </w:r>
      <w:r w:rsidRPr="00082B60">
        <w:rPr>
          <w:rStyle w:val="Arial"/>
        </w:rPr>
        <w:t xml:space="preserve">. </w:t>
      </w:r>
    </w:p>
    <w:p w:rsidR="00A57F8B" w:rsidRPr="00082B60" w:rsidRDefault="00A57F8B" w:rsidP="00A57F8B">
      <w:pPr>
        <w:rPr>
          <w:rStyle w:val="Arial"/>
        </w:rPr>
      </w:pPr>
      <w:r w:rsidRPr="00082B60">
        <w:rPr>
          <w:rStyle w:val="Arial"/>
        </w:rPr>
        <w:t xml:space="preserve">Where no ICH guideline exists for a particular aspect of a product, data will normally be acceptable if they comply with the requirements of the </w:t>
      </w:r>
      <w:r>
        <w:rPr>
          <w:rStyle w:val="Arial"/>
        </w:rPr>
        <w:t>EC</w:t>
      </w:r>
      <w:r w:rsidRPr="00082B60">
        <w:rPr>
          <w:rStyle w:val="Arial"/>
        </w:rPr>
        <w:t xml:space="preserve"> and/or FDA guidelines. </w:t>
      </w:r>
    </w:p>
    <w:p w:rsidR="00A57F8B" w:rsidRDefault="00A57F8B" w:rsidP="00A57F8B">
      <w:pPr>
        <w:rPr>
          <w:rFonts w:ascii="Arial" w:hAnsi="Arial"/>
        </w:rPr>
      </w:pPr>
    </w:p>
    <w:p w:rsidR="00A57F8B" w:rsidRPr="00DB34DC" w:rsidRDefault="00A57F8B" w:rsidP="003F0BDA">
      <w:pPr>
        <w:pStyle w:val="ListParagraph"/>
        <w:numPr>
          <w:ilvl w:val="2"/>
          <w:numId w:val="70"/>
        </w:numPr>
        <w:spacing w:before="120" w:after="120"/>
        <w:ind w:left="993" w:hanging="993"/>
        <w:rPr>
          <w:rStyle w:val="Arial"/>
          <w:i/>
          <w:iCs/>
        </w:rPr>
      </w:pPr>
      <w:r w:rsidRPr="00DB34DC">
        <w:rPr>
          <w:rStyle w:val="Arial"/>
          <w:i/>
          <w:iCs/>
        </w:rPr>
        <w:t>European Commission guidelines</w:t>
      </w:r>
    </w:p>
    <w:p w:rsidR="00A57F8B" w:rsidRPr="00BC6862" w:rsidRDefault="00A57F8B" w:rsidP="00A57F8B">
      <w:pPr>
        <w:pStyle w:val="ListParagraph"/>
        <w:spacing w:before="120" w:after="120"/>
        <w:ind w:left="1072"/>
        <w:rPr>
          <w:rStyle w:val="Arial"/>
          <w:i/>
          <w:iCs/>
        </w:rPr>
      </w:pPr>
    </w:p>
    <w:p w:rsidR="00A57F8B" w:rsidRDefault="00A57F8B" w:rsidP="00A57F8B">
      <w:pPr>
        <w:rPr>
          <w:rFonts w:ascii="Arial" w:hAnsi="Arial"/>
        </w:rPr>
      </w:pPr>
      <w:r w:rsidRPr="00082B60">
        <w:rPr>
          <w:rFonts w:ascii="Arial" w:hAnsi="Arial"/>
        </w:rPr>
        <w:t xml:space="preserve">The European requirements </w:t>
      </w:r>
      <w:r>
        <w:rPr>
          <w:rFonts w:ascii="Arial" w:hAnsi="Arial"/>
        </w:rPr>
        <w:t xml:space="preserve">for medicines </w:t>
      </w:r>
      <w:r w:rsidRPr="00082B60">
        <w:rPr>
          <w:rFonts w:ascii="Arial" w:hAnsi="Arial"/>
        </w:rPr>
        <w:t>are publi</w:t>
      </w:r>
      <w:r>
        <w:rPr>
          <w:rFonts w:ascii="Arial" w:hAnsi="Arial"/>
        </w:rPr>
        <w:t xml:space="preserve">shed by the European </w:t>
      </w:r>
      <w:r w:rsidRPr="001D1066">
        <w:rPr>
          <w:rFonts w:ascii="Arial" w:hAnsi="Arial"/>
        </w:rPr>
        <w:t xml:space="preserve">Commission (EC) as the </w:t>
      </w:r>
      <w:hyperlink r:id="rId30" w:history="1">
        <w:r w:rsidRPr="001D1066">
          <w:rPr>
            <w:rStyle w:val="Hyperlink"/>
            <w:rFonts w:ascii="Arial" w:hAnsi="Arial"/>
            <w:color w:val="auto"/>
            <w:u w:val="none"/>
          </w:rPr>
          <w:t>Rules Governing Medicinal Products in the European Union</w:t>
        </w:r>
      </w:hyperlink>
      <w:r w:rsidRPr="001D1066">
        <w:rPr>
          <w:rFonts w:ascii="Arial" w:hAnsi="Arial"/>
        </w:rPr>
        <w:t xml:space="preserve">. Various other documents have been published as additions and amendments to these Rules by the </w:t>
      </w:r>
      <w:hyperlink r:id="rId31" w:history="1">
        <w:r w:rsidRPr="001D1066">
          <w:rPr>
            <w:rStyle w:val="Hyperlink"/>
            <w:rFonts w:ascii="Arial" w:hAnsi="Arial"/>
            <w:color w:val="auto"/>
            <w:u w:val="none"/>
          </w:rPr>
          <w:t>Committee for Proprietary Medicinal Products (CPMP) Working Parties</w:t>
        </w:r>
      </w:hyperlink>
      <w:r w:rsidRPr="001D1066">
        <w:rPr>
          <w:rFonts w:ascii="Arial" w:hAnsi="Arial"/>
        </w:rPr>
        <w:t xml:space="preserve"> as ‘Notes for Guidance’. These CPMP documents are listed on the </w:t>
      </w:r>
      <w:hyperlink r:id="rId32" w:history="1">
        <w:r w:rsidRPr="001D1066">
          <w:rPr>
            <w:rStyle w:val="Hyperlink"/>
            <w:rFonts w:ascii="Arial" w:hAnsi="Arial"/>
            <w:color w:val="auto"/>
            <w:u w:val="none"/>
          </w:rPr>
          <w:t>European Medicines Agency</w:t>
        </w:r>
      </w:hyperlink>
      <w:r w:rsidRPr="001D1066">
        <w:rPr>
          <w:rFonts w:ascii="Arial" w:hAnsi="Arial"/>
        </w:rPr>
        <w:t xml:space="preserve"> (EMA) web site (</w:t>
      </w:r>
      <w:hyperlink r:id="rId33" w:history="1">
        <w:r w:rsidRPr="001D1066">
          <w:rPr>
            <w:rStyle w:val="Hyperlink"/>
            <w:rFonts w:ascii="Arial" w:hAnsi="Arial"/>
            <w:color w:val="auto"/>
            <w:u w:val="none"/>
          </w:rPr>
          <w:t>http://www.ema.europa.eu/ema/index.jsp?curl=pages/regulation/general/general_content_000043.jsp&amp;murl=menus/regulations/regulations.jsp&amp;mid=WC0b01ac05800240cb</w:t>
        </w:r>
      </w:hyperlink>
      <w:r>
        <w:rPr>
          <w:rFonts w:ascii="Arial" w:hAnsi="Arial"/>
        </w:rPr>
        <w:t>).</w:t>
      </w:r>
    </w:p>
    <w:p w:rsidR="00A57F8B" w:rsidRDefault="00A57F8B" w:rsidP="00A57F8B">
      <w:pPr>
        <w:rPr>
          <w:rFonts w:ascii="Arial" w:hAnsi="Arial"/>
        </w:rPr>
      </w:pPr>
    </w:p>
    <w:p w:rsidR="00A57F8B" w:rsidRDefault="00A57F8B" w:rsidP="00A57F8B">
      <w:pPr>
        <w:rPr>
          <w:rFonts w:ascii="Arial" w:hAnsi="Arial"/>
        </w:rPr>
      </w:pPr>
      <w:r>
        <w:rPr>
          <w:rFonts w:ascii="Arial" w:hAnsi="Arial"/>
        </w:rPr>
        <w:t>The guidelines and rules are also relevant to psychoactive products.</w:t>
      </w:r>
    </w:p>
    <w:p w:rsidR="00A57F8B" w:rsidRDefault="00A57F8B" w:rsidP="00A57F8B">
      <w:pPr>
        <w:rPr>
          <w:rFonts w:ascii="Arial" w:hAnsi="Arial"/>
        </w:rPr>
      </w:pPr>
    </w:p>
    <w:p w:rsidR="00A57F8B" w:rsidRDefault="00A57F8B" w:rsidP="00A57F8B">
      <w:pPr>
        <w:rPr>
          <w:rFonts w:ascii="Arial" w:hAnsi="Arial"/>
        </w:rPr>
      </w:pPr>
      <w:r w:rsidRPr="00082B60">
        <w:rPr>
          <w:rFonts w:ascii="Arial" w:hAnsi="Arial"/>
        </w:rPr>
        <w:t>Printed copies may be obtained from:</w:t>
      </w:r>
    </w:p>
    <w:p w:rsidR="00A57F8B" w:rsidRDefault="00A57F8B" w:rsidP="00A57F8B">
      <w:pPr>
        <w:rPr>
          <w:rFonts w:ascii="Arial" w:hAnsi="Arial"/>
        </w:rPr>
      </w:pPr>
    </w:p>
    <w:p w:rsidR="00A57F8B" w:rsidRDefault="00A57F8B" w:rsidP="00A57F8B">
      <w:pPr>
        <w:rPr>
          <w:rFonts w:ascii="Arial" w:hAnsi="Arial"/>
        </w:rPr>
      </w:pPr>
      <w:r>
        <w:rPr>
          <w:rFonts w:ascii="Arial" w:hAnsi="Arial"/>
        </w:rPr>
        <w:t>European Medicines Agency</w:t>
      </w:r>
    </w:p>
    <w:p w:rsidR="00A57F8B" w:rsidRDefault="00A57F8B" w:rsidP="00A57F8B">
      <w:pPr>
        <w:rPr>
          <w:rFonts w:ascii="Arial" w:hAnsi="Arial"/>
        </w:rPr>
      </w:pPr>
      <w:r>
        <w:rPr>
          <w:rFonts w:ascii="Arial" w:hAnsi="Arial"/>
        </w:rPr>
        <w:t>30 Churchill Place</w:t>
      </w:r>
    </w:p>
    <w:p w:rsidR="00A57F8B" w:rsidRDefault="00A57F8B" w:rsidP="00A57F8B">
      <w:pPr>
        <w:rPr>
          <w:rFonts w:ascii="Arial" w:hAnsi="Arial"/>
        </w:rPr>
      </w:pPr>
      <w:r>
        <w:rPr>
          <w:rFonts w:ascii="Arial" w:hAnsi="Arial"/>
        </w:rPr>
        <w:t>Canary Wharf</w:t>
      </w:r>
    </w:p>
    <w:p w:rsidR="00A57F8B" w:rsidRDefault="00A57F8B" w:rsidP="00A57F8B">
      <w:pPr>
        <w:rPr>
          <w:rFonts w:ascii="Arial" w:hAnsi="Arial"/>
        </w:rPr>
      </w:pPr>
      <w:r>
        <w:rPr>
          <w:rFonts w:ascii="Arial" w:hAnsi="Arial"/>
        </w:rPr>
        <w:t>London E14 5EU</w:t>
      </w:r>
    </w:p>
    <w:p w:rsidR="00A57F8B" w:rsidRDefault="00A57F8B" w:rsidP="00A57F8B">
      <w:pPr>
        <w:rPr>
          <w:rFonts w:ascii="Arial" w:hAnsi="Arial"/>
        </w:rPr>
      </w:pPr>
      <w:r>
        <w:rPr>
          <w:rFonts w:ascii="Arial" w:hAnsi="Arial"/>
        </w:rPr>
        <w:t>United Kingdom</w:t>
      </w:r>
    </w:p>
    <w:p w:rsidR="00A57F8B" w:rsidRDefault="00A57F8B" w:rsidP="00A57F8B">
      <w:pPr>
        <w:rPr>
          <w:rFonts w:ascii="Arial" w:hAnsi="Arial"/>
        </w:rPr>
      </w:pPr>
      <w:r>
        <w:rPr>
          <w:rFonts w:ascii="Arial" w:hAnsi="Arial"/>
        </w:rPr>
        <w:t>Tel. +44 (0)20 3660 6000</w:t>
      </w:r>
    </w:p>
    <w:p w:rsidR="00A57F8B" w:rsidRPr="00082B60" w:rsidRDefault="00A57F8B" w:rsidP="00A57F8B">
      <w:pPr>
        <w:rPr>
          <w:rFonts w:ascii="Arial" w:hAnsi="Arial"/>
        </w:rPr>
      </w:pPr>
      <w:r>
        <w:rPr>
          <w:rFonts w:ascii="Arial" w:hAnsi="Arial"/>
        </w:rPr>
        <w:t>Fax: +44 (0)20 3660 5555</w:t>
      </w:r>
    </w:p>
    <w:p w:rsidR="00A57F8B" w:rsidRDefault="00A57F8B" w:rsidP="00A57F8B">
      <w:pPr>
        <w:spacing w:before="120" w:after="120"/>
        <w:rPr>
          <w:rFonts w:ascii="Arial" w:hAnsi="Arial"/>
          <w:highlight w:val="yellow"/>
        </w:rPr>
      </w:pPr>
    </w:p>
    <w:p w:rsidR="00A57F8B" w:rsidRPr="00372909" w:rsidRDefault="00A57F8B" w:rsidP="00A57F8B">
      <w:pPr>
        <w:spacing w:before="120" w:after="120"/>
        <w:rPr>
          <w:rFonts w:ascii="Arial" w:hAnsi="Arial"/>
        </w:rPr>
      </w:pPr>
      <w:r w:rsidRPr="00372909">
        <w:rPr>
          <w:rFonts w:ascii="Arial" w:hAnsi="Arial"/>
        </w:rPr>
        <w:t>In the absence of a relevant ICH guideline, the OPSRA accepts EC directives, guidelines and rules.</w:t>
      </w:r>
    </w:p>
    <w:p w:rsidR="00A57F8B" w:rsidRPr="000C47AF" w:rsidRDefault="00A57F8B" w:rsidP="00A57F8B">
      <w:pPr>
        <w:spacing w:before="120" w:after="120"/>
        <w:rPr>
          <w:rFonts w:ascii="Arial" w:hAnsi="Arial"/>
        </w:rPr>
      </w:pPr>
    </w:p>
    <w:p w:rsidR="00A57F8B" w:rsidRPr="00DB34DC" w:rsidRDefault="00A57F8B" w:rsidP="003F0BDA">
      <w:pPr>
        <w:pStyle w:val="ListParagraph"/>
        <w:numPr>
          <w:ilvl w:val="2"/>
          <w:numId w:val="70"/>
        </w:numPr>
        <w:spacing w:before="120" w:after="120"/>
        <w:ind w:left="993" w:hanging="993"/>
        <w:rPr>
          <w:rStyle w:val="Arial"/>
          <w:i/>
          <w:iCs/>
        </w:rPr>
      </w:pPr>
      <w:r w:rsidRPr="00DB34DC">
        <w:rPr>
          <w:rStyle w:val="Arial"/>
          <w:i/>
          <w:iCs/>
        </w:rPr>
        <w:t>FDA guidelines</w:t>
      </w:r>
    </w:p>
    <w:p w:rsidR="00A57F8B" w:rsidRDefault="00A57F8B" w:rsidP="00A57F8B">
      <w:pPr>
        <w:rPr>
          <w:rFonts w:ascii="Arial" w:hAnsi="Arial"/>
        </w:rPr>
      </w:pPr>
    </w:p>
    <w:p w:rsidR="00A57F8B" w:rsidRDefault="00A57F8B" w:rsidP="00A57F8B">
      <w:pPr>
        <w:rPr>
          <w:rFonts w:ascii="Arial" w:hAnsi="Arial"/>
        </w:rPr>
      </w:pPr>
      <w:r w:rsidRPr="001D1066">
        <w:rPr>
          <w:rFonts w:ascii="Arial" w:hAnsi="Arial"/>
        </w:rPr>
        <w:t xml:space="preserve">The US </w:t>
      </w:r>
      <w:hyperlink r:id="rId34" w:history="1">
        <w:r w:rsidRPr="001D1066">
          <w:rPr>
            <w:rStyle w:val="Hyperlink"/>
            <w:rFonts w:ascii="Arial" w:hAnsi="Arial"/>
            <w:color w:val="auto"/>
            <w:u w:val="none"/>
          </w:rPr>
          <w:t>FDA</w:t>
        </w:r>
      </w:hyperlink>
      <w:r w:rsidRPr="001D1066">
        <w:rPr>
          <w:rFonts w:ascii="Arial" w:hAnsi="Arial"/>
        </w:rPr>
        <w:t xml:space="preserve"> has published numerous guidelines dealing with all aspects of </w:t>
      </w:r>
      <w:r w:rsidRPr="00082B60">
        <w:rPr>
          <w:rFonts w:ascii="Arial" w:hAnsi="Arial"/>
        </w:rPr>
        <w:t xml:space="preserve">medicines. Copies of FDA guidelines may be obtained from: </w:t>
      </w:r>
    </w:p>
    <w:p w:rsidR="00A57F8B" w:rsidRPr="00082B60" w:rsidRDefault="00A57F8B" w:rsidP="00A57F8B">
      <w:pPr>
        <w:rPr>
          <w:rFonts w:ascii="Arial" w:hAnsi="Arial"/>
        </w:rPr>
      </w:pPr>
    </w:p>
    <w:p w:rsidR="00A57F8B" w:rsidRPr="00082B60" w:rsidRDefault="00A57F8B" w:rsidP="00A57F8B">
      <w:pPr>
        <w:rPr>
          <w:rFonts w:ascii="Arial" w:hAnsi="Arial"/>
        </w:rPr>
      </w:pPr>
      <w:r w:rsidRPr="00082B60">
        <w:rPr>
          <w:rFonts w:ascii="Arial" w:hAnsi="Arial"/>
        </w:rPr>
        <w:t>Offic</w:t>
      </w:r>
      <w:r>
        <w:rPr>
          <w:rFonts w:ascii="Arial" w:hAnsi="Arial"/>
        </w:rPr>
        <w:t>e of Training and Communication</w:t>
      </w:r>
    </w:p>
    <w:p w:rsidR="00A57F8B" w:rsidRDefault="00A57F8B" w:rsidP="00A57F8B">
      <w:pPr>
        <w:rPr>
          <w:rFonts w:ascii="Arial" w:hAnsi="Arial"/>
        </w:rPr>
      </w:pPr>
      <w:r w:rsidRPr="00082B60">
        <w:rPr>
          <w:rFonts w:ascii="Arial" w:hAnsi="Arial"/>
        </w:rPr>
        <w:t>Division of Drug Information</w:t>
      </w:r>
      <w:r>
        <w:rPr>
          <w:rFonts w:ascii="Arial" w:hAnsi="Arial"/>
        </w:rPr>
        <w:t>, HFD-240</w:t>
      </w:r>
    </w:p>
    <w:p w:rsidR="00A57F8B" w:rsidRPr="00082B60" w:rsidRDefault="00A57F8B" w:rsidP="00A57F8B">
      <w:pPr>
        <w:rPr>
          <w:rFonts w:ascii="Arial" w:hAnsi="Arial"/>
        </w:rPr>
      </w:pPr>
      <w:r>
        <w:rPr>
          <w:rFonts w:ascii="Arial" w:hAnsi="Arial"/>
        </w:rPr>
        <w:t>Center for Drug Evaluation and Research</w:t>
      </w:r>
      <w:r w:rsidRPr="00082B60">
        <w:rPr>
          <w:rFonts w:ascii="Arial" w:hAnsi="Arial"/>
        </w:rPr>
        <w:t xml:space="preserve"> </w:t>
      </w:r>
    </w:p>
    <w:p w:rsidR="00A57F8B" w:rsidRPr="00082B60" w:rsidRDefault="00A57F8B" w:rsidP="00A57F8B">
      <w:pPr>
        <w:rPr>
          <w:rFonts w:ascii="Arial" w:hAnsi="Arial"/>
        </w:rPr>
      </w:pPr>
      <w:r w:rsidRPr="00082B60">
        <w:rPr>
          <w:rFonts w:ascii="Arial" w:hAnsi="Arial"/>
        </w:rPr>
        <w:t xml:space="preserve">Food and Drug Administration </w:t>
      </w:r>
    </w:p>
    <w:p w:rsidR="00A57F8B" w:rsidRPr="00082B60" w:rsidRDefault="00A57F8B" w:rsidP="00A57F8B">
      <w:pPr>
        <w:rPr>
          <w:rFonts w:ascii="Arial" w:hAnsi="Arial"/>
        </w:rPr>
      </w:pPr>
      <w:r w:rsidRPr="00082B60">
        <w:rPr>
          <w:rFonts w:ascii="Arial" w:hAnsi="Arial"/>
        </w:rPr>
        <w:t xml:space="preserve">5600 Fishers Lane </w:t>
      </w:r>
    </w:p>
    <w:p w:rsidR="00A57F8B" w:rsidRPr="00082B60" w:rsidRDefault="00A57F8B" w:rsidP="00A57F8B">
      <w:pPr>
        <w:rPr>
          <w:rFonts w:ascii="Arial" w:hAnsi="Arial"/>
        </w:rPr>
      </w:pPr>
      <w:r>
        <w:rPr>
          <w:rFonts w:ascii="Arial" w:hAnsi="Arial"/>
        </w:rPr>
        <w:t>Rockville, MD 20857</w:t>
      </w:r>
      <w:r w:rsidRPr="00082B60">
        <w:rPr>
          <w:rFonts w:ascii="Arial" w:hAnsi="Arial"/>
        </w:rPr>
        <w:t xml:space="preserve"> </w:t>
      </w:r>
    </w:p>
    <w:p w:rsidR="00A57F8B" w:rsidRPr="00082B60" w:rsidRDefault="00A57F8B" w:rsidP="00A57F8B">
      <w:pPr>
        <w:rPr>
          <w:rFonts w:ascii="Arial" w:hAnsi="Arial"/>
        </w:rPr>
      </w:pPr>
      <w:r w:rsidRPr="00082B60">
        <w:rPr>
          <w:rFonts w:ascii="Arial" w:hAnsi="Arial"/>
        </w:rPr>
        <w:t xml:space="preserve">USA </w:t>
      </w:r>
    </w:p>
    <w:p w:rsidR="00A57F8B" w:rsidRDefault="00A57F8B" w:rsidP="00A57F8B">
      <w:pPr>
        <w:rPr>
          <w:rFonts w:ascii="Arial" w:hAnsi="Arial"/>
        </w:rPr>
      </w:pPr>
    </w:p>
    <w:p w:rsidR="00A57F8B" w:rsidRPr="001D1066" w:rsidRDefault="00A57F8B" w:rsidP="00A57F8B">
      <w:pPr>
        <w:rPr>
          <w:rFonts w:ascii="Arial" w:hAnsi="Arial"/>
        </w:rPr>
      </w:pPr>
      <w:r w:rsidRPr="00082B60">
        <w:rPr>
          <w:rFonts w:ascii="Arial" w:hAnsi="Arial"/>
        </w:rPr>
        <w:t>Most FDA guidelines relevant to New Zealand requirements may also be obtained in printable electronic form (pdf format) from</w:t>
      </w:r>
      <w:r>
        <w:rPr>
          <w:rFonts w:ascii="Arial" w:hAnsi="Arial"/>
        </w:rPr>
        <w:t xml:space="preserve"> </w:t>
      </w:r>
      <w:hyperlink r:id="rId35" w:history="1">
        <w:r w:rsidRPr="001D1066">
          <w:rPr>
            <w:rStyle w:val="Hyperlink"/>
            <w:rFonts w:ascii="Arial" w:hAnsi="Arial"/>
            <w:color w:val="auto"/>
            <w:u w:val="none"/>
          </w:rPr>
          <w:t>http://www.fda.gov/Drugs/GuidanceComplianceRegulatoryInformation/Guidances/default.htm</w:t>
        </w:r>
      </w:hyperlink>
      <w:r w:rsidRPr="001D1066">
        <w:rPr>
          <w:rFonts w:ascii="Arial" w:hAnsi="Arial"/>
        </w:rPr>
        <w:t xml:space="preserve">. </w:t>
      </w:r>
    </w:p>
    <w:p w:rsidR="00A57F8B" w:rsidRPr="001D1066" w:rsidRDefault="00A57F8B" w:rsidP="00A57F8B">
      <w:pPr>
        <w:rPr>
          <w:rFonts w:ascii="Arial" w:hAnsi="Arial"/>
        </w:rPr>
      </w:pPr>
    </w:p>
    <w:p w:rsidR="00A57F8B" w:rsidRPr="001D1066" w:rsidRDefault="00A57F8B" w:rsidP="00A57F8B">
      <w:pPr>
        <w:rPr>
          <w:rStyle w:val="Hyperlink"/>
          <w:rFonts w:ascii="Arial" w:hAnsi="Arial"/>
          <w:color w:val="auto"/>
          <w:u w:val="none"/>
        </w:rPr>
      </w:pPr>
      <w:r w:rsidRPr="001D1066">
        <w:rPr>
          <w:rFonts w:ascii="Arial" w:hAnsi="Arial"/>
        </w:rPr>
        <w:t xml:space="preserve">FDA guidelines relating to biological and biotechnological products may be obtained from </w:t>
      </w:r>
      <w:hyperlink r:id="rId36" w:history="1">
        <w:r w:rsidRPr="001D1066">
          <w:rPr>
            <w:rStyle w:val="Hyperlink"/>
            <w:rFonts w:ascii="Arial" w:hAnsi="Arial"/>
            <w:color w:val="auto"/>
            <w:u w:val="none"/>
          </w:rPr>
          <w:t>http://www.fda.gov/cber/guidelines.htm</w:t>
        </w:r>
      </w:hyperlink>
      <w:r w:rsidRPr="001D1066">
        <w:rPr>
          <w:rStyle w:val="Hyperlink"/>
          <w:rFonts w:ascii="Arial" w:hAnsi="Arial"/>
          <w:color w:val="auto"/>
          <w:u w:val="none"/>
        </w:rPr>
        <w:t>.</w:t>
      </w:r>
    </w:p>
    <w:p w:rsidR="00A57F8B" w:rsidRPr="00082B60" w:rsidRDefault="00A57F8B" w:rsidP="00A57F8B">
      <w:pPr>
        <w:rPr>
          <w:rFonts w:ascii="Arial" w:hAnsi="Arial"/>
          <w:highlight w:val="yellow"/>
        </w:rPr>
      </w:pPr>
    </w:p>
    <w:p w:rsidR="00A57F8B" w:rsidRPr="00372909" w:rsidRDefault="00A57F8B" w:rsidP="00A57F8B">
      <w:pPr>
        <w:spacing w:before="120" w:after="120"/>
        <w:rPr>
          <w:rFonts w:ascii="Arial" w:hAnsi="Arial"/>
        </w:rPr>
      </w:pPr>
      <w:r w:rsidRPr="00372909">
        <w:rPr>
          <w:rFonts w:ascii="Arial" w:hAnsi="Arial"/>
        </w:rPr>
        <w:t xml:space="preserve">In the absence of a relevant ICH guideline, the OPSRA accepts </w:t>
      </w:r>
      <w:r>
        <w:rPr>
          <w:rFonts w:ascii="Arial" w:hAnsi="Arial"/>
        </w:rPr>
        <w:t>FDA guidelines</w:t>
      </w:r>
      <w:r w:rsidRPr="00372909">
        <w:rPr>
          <w:rFonts w:ascii="Arial" w:hAnsi="Arial"/>
        </w:rPr>
        <w:t>.</w:t>
      </w:r>
    </w:p>
    <w:p w:rsidR="00A57F8B" w:rsidRPr="00372909" w:rsidRDefault="00A57F8B" w:rsidP="00A57F8B">
      <w:pPr>
        <w:spacing w:before="120" w:after="120"/>
        <w:rPr>
          <w:rFonts w:ascii="Arial" w:hAnsi="Arial"/>
          <w:highlight w:val="yellow"/>
        </w:rPr>
      </w:pPr>
    </w:p>
    <w:p w:rsidR="00A57F8B" w:rsidRPr="00DB34DC" w:rsidRDefault="00A57F8B" w:rsidP="003F0BDA">
      <w:pPr>
        <w:pStyle w:val="ListParagraph"/>
        <w:numPr>
          <w:ilvl w:val="2"/>
          <w:numId w:val="70"/>
        </w:numPr>
        <w:spacing w:before="120" w:after="120"/>
        <w:ind w:left="993" w:hanging="993"/>
        <w:rPr>
          <w:rStyle w:val="Arial"/>
          <w:i/>
          <w:iCs/>
        </w:rPr>
      </w:pPr>
      <w:r w:rsidRPr="00DB34DC">
        <w:rPr>
          <w:rStyle w:val="Arial"/>
          <w:i/>
          <w:iCs/>
        </w:rPr>
        <w:t>World Health Organisation guidelines</w:t>
      </w:r>
    </w:p>
    <w:p w:rsidR="00A57F8B" w:rsidRDefault="00A57F8B" w:rsidP="00A57F8B">
      <w:pPr>
        <w:rPr>
          <w:rStyle w:val="Arial"/>
        </w:rPr>
      </w:pPr>
      <w:r>
        <w:rPr>
          <w:rStyle w:val="Arial"/>
        </w:rPr>
        <w:t>In the absence of any relevant ICH, EC or FDA guidelines the OPSRA</w:t>
      </w:r>
      <w:r w:rsidRPr="00082B60">
        <w:rPr>
          <w:rStyle w:val="Arial"/>
        </w:rPr>
        <w:t xml:space="preserve"> also recognises</w:t>
      </w:r>
      <w:r>
        <w:rPr>
          <w:rStyle w:val="Arial"/>
        </w:rPr>
        <w:t xml:space="preserve"> </w:t>
      </w:r>
      <w:r w:rsidRPr="00082B60">
        <w:rPr>
          <w:rStyle w:val="Arial"/>
        </w:rPr>
        <w:t>the guidelines published by the World Health Organisation.</w:t>
      </w:r>
    </w:p>
    <w:p w:rsidR="00A57F8B" w:rsidRPr="00082B60" w:rsidRDefault="00A57F8B" w:rsidP="00A57F8B">
      <w:pPr>
        <w:rPr>
          <w:rStyle w:val="Arial"/>
        </w:rPr>
      </w:pPr>
    </w:p>
    <w:p w:rsidR="00A57F8B" w:rsidRDefault="00A57F8B" w:rsidP="00A57F8B">
      <w:pPr>
        <w:spacing w:before="120" w:after="120"/>
        <w:rPr>
          <w:rStyle w:val="Arial"/>
          <w:highlight w:val="yellow"/>
        </w:rPr>
      </w:pPr>
    </w:p>
    <w:p w:rsidR="00A57F8B" w:rsidRPr="00DB34DC" w:rsidRDefault="00A57F8B" w:rsidP="003F0BDA">
      <w:pPr>
        <w:pStyle w:val="ListParagraph"/>
        <w:numPr>
          <w:ilvl w:val="2"/>
          <w:numId w:val="70"/>
        </w:numPr>
        <w:spacing w:before="120" w:after="120"/>
        <w:ind w:left="993" w:hanging="993"/>
        <w:rPr>
          <w:rStyle w:val="Arial"/>
          <w:i/>
          <w:iCs/>
        </w:rPr>
      </w:pPr>
      <w:r w:rsidRPr="00DB34DC">
        <w:rPr>
          <w:rStyle w:val="Arial"/>
          <w:i/>
          <w:iCs/>
        </w:rPr>
        <w:t>Good Laboratory Practice and Good Clinical Research Practice</w:t>
      </w:r>
    </w:p>
    <w:p w:rsidR="00A57F8B" w:rsidRDefault="00A57F8B" w:rsidP="00A57F8B">
      <w:pPr>
        <w:rPr>
          <w:rStyle w:val="Arial"/>
        </w:rPr>
      </w:pPr>
      <w:r w:rsidRPr="00082B60">
        <w:rPr>
          <w:rStyle w:val="Arial"/>
        </w:rPr>
        <w:t xml:space="preserve">The </w:t>
      </w:r>
      <w:r>
        <w:rPr>
          <w:rStyle w:val="Arial"/>
        </w:rPr>
        <w:t>OPSRA</w:t>
      </w:r>
      <w:r w:rsidRPr="00082B60">
        <w:rPr>
          <w:rStyle w:val="Arial"/>
        </w:rPr>
        <w:t xml:space="preserve"> expects toxico-pharmacological studies and clinical studies supplied in support of any NPPA to have been carried out in accordance with the internationally accepted standards of </w:t>
      </w:r>
      <w:r>
        <w:rPr>
          <w:rStyle w:val="Arial"/>
        </w:rPr>
        <w:t>GLP</w:t>
      </w:r>
      <w:r w:rsidRPr="00082B60">
        <w:rPr>
          <w:rStyle w:val="Arial"/>
        </w:rPr>
        <w:t xml:space="preserve"> </w:t>
      </w:r>
      <w:r w:rsidR="00FA09B3">
        <w:rPr>
          <w:rStyle w:val="Arial"/>
        </w:rPr>
        <w:t>(</w:t>
      </w:r>
      <w:r w:rsidR="00FA09B3" w:rsidRPr="00FA09B3">
        <w:rPr>
          <w:rStyle w:val="Arial"/>
        </w:rPr>
        <w:t>http://www.who.int/tdr/publications/documents/glp-handbook.pdf</w:t>
      </w:r>
      <w:r w:rsidR="00FA09B3">
        <w:rPr>
          <w:rStyle w:val="Arial"/>
        </w:rPr>
        <w:t xml:space="preserve">) </w:t>
      </w:r>
      <w:r w:rsidRPr="00082B60">
        <w:rPr>
          <w:rStyle w:val="Arial"/>
        </w:rPr>
        <w:t>and G</w:t>
      </w:r>
      <w:r>
        <w:rPr>
          <w:rStyle w:val="Arial"/>
        </w:rPr>
        <w:t>CRP</w:t>
      </w:r>
      <w:r w:rsidR="00FA09B3">
        <w:rPr>
          <w:rStyle w:val="Arial"/>
        </w:rPr>
        <w:t xml:space="preserve"> (www.medsafe.govt.nz)</w:t>
      </w:r>
      <w:r w:rsidRPr="00082B60">
        <w:rPr>
          <w:rStyle w:val="Arial"/>
        </w:rPr>
        <w:t>.</w:t>
      </w:r>
      <w:r>
        <w:rPr>
          <w:rStyle w:val="Arial"/>
        </w:rPr>
        <w:t xml:space="preserve"> </w:t>
      </w:r>
    </w:p>
    <w:p w:rsidR="00A57F8B" w:rsidRPr="00082B60" w:rsidRDefault="00A57F8B" w:rsidP="00A57F8B">
      <w:pPr>
        <w:rPr>
          <w:rStyle w:val="Arial"/>
        </w:rPr>
      </w:pPr>
    </w:p>
    <w:p w:rsidR="00A57F8B" w:rsidRPr="00DB34DC" w:rsidRDefault="00A57F8B" w:rsidP="003F0BDA">
      <w:pPr>
        <w:pStyle w:val="ListParagraph"/>
        <w:numPr>
          <w:ilvl w:val="2"/>
          <w:numId w:val="70"/>
        </w:numPr>
        <w:spacing w:before="120" w:after="120"/>
        <w:ind w:left="993" w:hanging="993"/>
        <w:rPr>
          <w:rStyle w:val="Arial"/>
          <w:i/>
          <w:iCs/>
        </w:rPr>
      </w:pPr>
      <w:r w:rsidRPr="00DB34DC">
        <w:rPr>
          <w:rStyle w:val="Arial"/>
          <w:i/>
          <w:iCs/>
        </w:rPr>
        <w:t>Pharmacopoeia</w:t>
      </w:r>
    </w:p>
    <w:p w:rsidR="00A57F8B" w:rsidRDefault="00A57F8B" w:rsidP="00A57F8B">
      <w:pPr>
        <w:rPr>
          <w:rStyle w:val="Arial"/>
        </w:rPr>
      </w:pPr>
      <w:r w:rsidRPr="00372909">
        <w:rPr>
          <w:rStyle w:val="Arial"/>
        </w:rPr>
        <w:t>A pharmacopoeia is an official collection of standards for medicinal products and pharmaceutical substances. Each standard is called a monograph.</w:t>
      </w:r>
      <w:r>
        <w:rPr>
          <w:rStyle w:val="Arial"/>
        </w:rPr>
        <w:t xml:space="preserve"> Where a </w:t>
      </w:r>
      <w:r w:rsidRPr="00372909">
        <w:rPr>
          <w:rStyle w:val="Arial"/>
        </w:rPr>
        <w:t xml:space="preserve">British, European </w:t>
      </w:r>
      <w:r>
        <w:rPr>
          <w:rStyle w:val="Arial"/>
        </w:rPr>
        <w:t>or United States p</w:t>
      </w:r>
      <w:r w:rsidRPr="00372909">
        <w:rPr>
          <w:rStyle w:val="Arial"/>
        </w:rPr>
        <w:t>harmacopoeia</w:t>
      </w:r>
      <w:r>
        <w:rPr>
          <w:rStyle w:val="Arial"/>
        </w:rPr>
        <w:t>l</w:t>
      </w:r>
      <w:r w:rsidRPr="00372909">
        <w:rPr>
          <w:rStyle w:val="Arial"/>
        </w:rPr>
        <w:t xml:space="preserve"> </w:t>
      </w:r>
      <w:r>
        <w:rPr>
          <w:rStyle w:val="Arial"/>
        </w:rPr>
        <w:t xml:space="preserve">monograph exists for any ingredient in a psychoactive product, applicants must demonstrate compliance with the current version of the monograph or compliance to a higher standard. </w:t>
      </w:r>
      <w:r w:rsidRPr="00082B60">
        <w:rPr>
          <w:rStyle w:val="Arial"/>
        </w:rPr>
        <w:t>Where a product or ingredient is controlled according to a pharmacopoeial monograph, the specifications are to be updated to reflect any revisions to the monograph concerned. Where a pharmacopoeial monograph exists, this is considered to be the minimum requirements for the product or substance.</w:t>
      </w:r>
    </w:p>
    <w:p w:rsidR="00A57F8B" w:rsidRPr="00082B60" w:rsidRDefault="00A57F8B" w:rsidP="00A57F8B">
      <w:pPr>
        <w:rPr>
          <w:rStyle w:val="Arial"/>
        </w:rPr>
      </w:pPr>
    </w:p>
    <w:p w:rsidR="00A57F8B" w:rsidRPr="00DB34DC" w:rsidRDefault="00A57F8B" w:rsidP="003F0BDA">
      <w:pPr>
        <w:pStyle w:val="ListParagraph"/>
        <w:numPr>
          <w:ilvl w:val="2"/>
          <w:numId w:val="70"/>
        </w:numPr>
        <w:spacing w:before="120" w:after="120"/>
        <w:ind w:left="993" w:hanging="993"/>
        <w:rPr>
          <w:rStyle w:val="Arial"/>
          <w:i/>
          <w:iCs/>
        </w:rPr>
      </w:pPr>
      <w:r w:rsidRPr="00DB34DC">
        <w:rPr>
          <w:rStyle w:val="Arial"/>
          <w:i/>
          <w:iCs/>
        </w:rPr>
        <w:t>Alternative approaches</w:t>
      </w:r>
    </w:p>
    <w:p w:rsidR="00A57F8B" w:rsidRDefault="00A57F8B" w:rsidP="00A57F8B">
      <w:pPr>
        <w:rPr>
          <w:rStyle w:val="Arial"/>
        </w:rPr>
      </w:pPr>
    </w:p>
    <w:p w:rsidR="00A57F8B" w:rsidRPr="00082B60" w:rsidRDefault="00A57F8B" w:rsidP="00A57F8B">
      <w:pPr>
        <w:rPr>
          <w:rStyle w:val="Arial"/>
        </w:rPr>
      </w:pPr>
      <w:r w:rsidRPr="00082B60">
        <w:rPr>
          <w:rStyle w:val="Arial"/>
        </w:rPr>
        <w:t xml:space="preserve">It is recognised that, in some circumstances, a different approach from that described in a guideline may be appropriate. However, where an applicant chooses to submit a data package that does not meet the relevant guideline, that decision should be explained and justified in the dossier submitted in support of the application. The following situations are possible grounds for departing from current guidelines: </w:t>
      </w:r>
    </w:p>
    <w:p w:rsidR="00A57F8B" w:rsidRPr="00082B60" w:rsidRDefault="00A57F8B" w:rsidP="00DB34DC">
      <w:pPr>
        <w:pStyle w:val="ListParagraph"/>
        <w:numPr>
          <w:ilvl w:val="0"/>
          <w:numId w:val="28"/>
        </w:numPr>
        <w:spacing w:before="120" w:after="120"/>
        <w:ind w:left="714" w:hanging="357"/>
        <w:contextualSpacing w:val="0"/>
        <w:rPr>
          <w:rStyle w:val="Arial"/>
        </w:rPr>
      </w:pPr>
      <w:r w:rsidRPr="00082B60">
        <w:rPr>
          <w:rStyle w:val="Arial"/>
        </w:rPr>
        <w:t xml:space="preserve">scientific development </w:t>
      </w:r>
    </w:p>
    <w:p w:rsidR="00A57F8B" w:rsidRPr="00082B60" w:rsidRDefault="00A57F8B" w:rsidP="00DB34DC">
      <w:pPr>
        <w:pStyle w:val="ListParagraph"/>
        <w:numPr>
          <w:ilvl w:val="0"/>
          <w:numId w:val="28"/>
        </w:numPr>
        <w:spacing w:before="120" w:after="120"/>
        <w:ind w:left="714" w:hanging="357"/>
        <w:contextualSpacing w:val="0"/>
        <w:rPr>
          <w:rStyle w:val="Arial"/>
        </w:rPr>
      </w:pPr>
      <w:r w:rsidRPr="00082B60">
        <w:rPr>
          <w:rStyle w:val="Arial"/>
        </w:rPr>
        <w:t xml:space="preserve">circumstances unique to the product in question </w:t>
      </w:r>
    </w:p>
    <w:p w:rsidR="00A57F8B" w:rsidRPr="00082B60" w:rsidRDefault="00A57F8B" w:rsidP="00DB34DC">
      <w:pPr>
        <w:pStyle w:val="ListParagraph"/>
        <w:numPr>
          <w:ilvl w:val="0"/>
          <w:numId w:val="28"/>
        </w:numPr>
        <w:spacing w:before="120" w:after="120"/>
        <w:ind w:left="714" w:hanging="357"/>
        <w:contextualSpacing w:val="0"/>
        <w:rPr>
          <w:rStyle w:val="Arial"/>
        </w:rPr>
      </w:pPr>
      <w:r w:rsidRPr="00082B60">
        <w:rPr>
          <w:rStyle w:val="Arial"/>
        </w:rPr>
        <w:t xml:space="preserve">adoption by the company of an acceptable approach which had not previously been considered by the </w:t>
      </w:r>
      <w:r>
        <w:rPr>
          <w:rStyle w:val="Arial"/>
        </w:rPr>
        <w:t>OPSRA</w:t>
      </w:r>
      <w:r w:rsidRPr="00082B60">
        <w:rPr>
          <w:rStyle w:val="Arial"/>
        </w:rPr>
        <w:t xml:space="preserve"> </w:t>
      </w:r>
    </w:p>
    <w:p w:rsidR="00A57F8B" w:rsidRPr="00082B60" w:rsidRDefault="00A57F8B" w:rsidP="00DB34DC">
      <w:pPr>
        <w:pStyle w:val="ListParagraph"/>
        <w:numPr>
          <w:ilvl w:val="0"/>
          <w:numId w:val="28"/>
        </w:numPr>
        <w:spacing w:before="120" w:after="120"/>
        <w:ind w:left="714" w:hanging="357"/>
        <w:contextualSpacing w:val="0"/>
        <w:rPr>
          <w:rStyle w:val="Arial"/>
        </w:rPr>
      </w:pPr>
      <w:r w:rsidRPr="00082B60">
        <w:rPr>
          <w:rStyle w:val="Arial"/>
        </w:rPr>
        <w:t xml:space="preserve">sufficient alternative studies having been conducted which satisfy the criteria of quality and safety. </w:t>
      </w:r>
    </w:p>
    <w:p w:rsidR="00FA09B3" w:rsidRPr="00846BBC" w:rsidRDefault="00FA09B3" w:rsidP="003F0BDA">
      <w:pPr>
        <w:pStyle w:val="Heading3"/>
        <w:numPr>
          <w:ilvl w:val="0"/>
          <w:numId w:val="70"/>
        </w:numPr>
      </w:pPr>
      <w:bookmarkStart w:id="93" w:name="_Toc409508707"/>
      <w:r w:rsidRPr="00846BBC">
        <w:t>Good Manufacturing Practice Documentation</w:t>
      </w:r>
      <w:bookmarkEnd w:id="93"/>
    </w:p>
    <w:p w:rsidR="00FA09B3" w:rsidRPr="00DB34DC" w:rsidRDefault="00DB34DC" w:rsidP="00107361">
      <w:pPr>
        <w:ind w:left="993" w:hanging="993"/>
        <w:rPr>
          <w:rStyle w:val="Arial"/>
          <w:i/>
          <w:iCs/>
        </w:rPr>
      </w:pPr>
      <w:r>
        <w:rPr>
          <w:rStyle w:val="Arial"/>
          <w:i/>
          <w:iCs/>
        </w:rPr>
        <w:t>11.1</w:t>
      </w:r>
      <w:r>
        <w:rPr>
          <w:rStyle w:val="Arial"/>
          <w:i/>
          <w:iCs/>
        </w:rPr>
        <w:tab/>
      </w:r>
      <w:r w:rsidR="00FA09B3" w:rsidRPr="00DB34DC">
        <w:rPr>
          <w:rStyle w:val="Arial"/>
          <w:i/>
          <w:iCs/>
        </w:rPr>
        <w:t>When is GMP Documentation Required?</w:t>
      </w:r>
    </w:p>
    <w:p w:rsidR="00FA09B3" w:rsidRDefault="00FA09B3" w:rsidP="00FA09B3">
      <w:pPr>
        <w:rPr>
          <w:rStyle w:val="Arial"/>
        </w:rPr>
      </w:pPr>
    </w:p>
    <w:p w:rsidR="00FA09B3" w:rsidRPr="000F1FF2" w:rsidRDefault="00FA09B3" w:rsidP="00FA09B3">
      <w:pPr>
        <w:rPr>
          <w:rStyle w:val="Arial"/>
        </w:rPr>
      </w:pPr>
      <w:r w:rsidRPr="000F1FF2">
        <w:rPr>
          <w:rStyle w:val="Arial"/>
        </w:rPr>
        <w:t xml:space="preserve">The </w:t>
      </w:r>
      <w:r>
        <w:rPr>
          <w:rStyle w:val="Arial"/>
        </w:rPr>
        <w:t>OPSRA</w:t>
      </w:r>
      <w:r w:rsidRPr="000F1FF2">
        <w:rPr>
          <w:rStyle w:val="Arial"/>
        </w:rPr>
        <w:t xml:space="preserve"> requires evidence of </w:t>
      </w:r>
      <w:r w:rsidR="00B150C4" w:rsidRPr="000F1FF2">
        <w:rPr>
          <w:rStyle w:val="Arial"/>
        </w:rPr>
        <w:t>compliance</w:t>
      </w:r>
      <w:r w:rsidR="00B150C4">
        <w:rPr>
          <w:rStyle w:val="Arial12ptBold"/>
          <w:b w:val="0"/>
        </w:rPr>
        <w:t xml:space="preserve"> with manufacturing practice</w:t>
      </w:r>
      <w:r w:rsidRPr="000F1FF2">
        <w:rPr>
          <w:rStyle w:val="Arial"/>
        </w:rPr>
        <w:t xml:space="preserve"> for each </w:t>
      </w:r>
      <w:r>
        <w:rPr>
          <w:rStyle w:val="Arial"/>
        </w:rPr>
        <w:t xml:space="preserve">active ingredient and </w:t>
      </w:r>
      <w:r w:rsidRPr="000F1FF2">
        <w:rPr>
          <w:rStyle w:val="Arial"/>
        </w:rPr>
        <w:t>finished product manufacturing site</w:t>
      </w:r>
      <w:r>
        <w:rPr>
          <w:rStyle w:val="Arial"/>
        </w:rPr>
        <w:t xml:space="preserve"> and packaging site</w:t>
      </w:r>
      <w:r w:rsidRPr="000F1FF2">
        <w:rPr>
          <w:rStyle w:val="Arial"/>
        </w:rPr>
        <w:t xml:space="preserve"> </w:t>
      </w:r>
      <w:r>
        <w:rPr>
          <w:rStyle w:val="Arial"/>
        </w:rPr>
        <w:t xml:space="preserve">specified in an </w:t>
      </w:r>
      <w:r w:rsidRPr="000F1FF2">
        <w:rPr>
          <w:rStyle w:val="Arial"/>
        </w:rPr>
        <w:t>NPPA</w:t>
      </w:r>
      <w:r>
        <w:rPr>
          <w:rStyle w:val="Arial"/>
        </w:rPr>
        <w:t xml:space="preserve"> or NSPPA</w:t>
      </w:r>
      <w:r w:rsidRPr="000F1FF2">
        <w:rPr>
          <w:rStyle w:val="Arial"/>
        </w:rPr>
        <w:t xml:space="preserve">. </w:t>
      </w:r>
    </w:p>
    <w:p w:rsidR="00FA09B3" w:rsidRPr="00EE1F26" w:rsidRDefault="00FA09B3" w:rsidP="00FA09B3">
      <w:pPr>
        <w:rPr>
          <w:rFonts w:ascii="Arial" w:hAnsi="Arial"/>
        </w:rPr>
      </w:pPr>
    </w:p>
    <w:p w:rsidR="00FA09B3" w:rsidRDefault="00FA09B3" w:rsidP="00FA09B3">
      <w:pPr>
        <w:rPr>
          <w:rFonts w:ascii="Arial" w:hAnsi="Arial"/>
        </w:rPr>
      </w:pPr>
      <w:r w:rsidRPr="00EE1F26">
        <w:rPr>
          <w:rFonts w:ascii="Arial" w:hAnsi="Arial"/>
        </w:rPr>
        <w:t>For bulk active ingredients</w:t>
      </w:r>
      <w:r>
        <w:rPr>
          <w:rFonts w:ascii="Arial" w:hAnsi="Arial"/>
        </w:rPr>
        <w:t xml:space="preserve">, the requirement for the manufacturing site is </w:t>
      </w:r>
      <w:r>
        <w:rPr>
          <w:rFonts w:ascii="Arial" w:hAnsi="Arial"/>
          <w:b/>
        </w:rPr>
        <w:t>GMP</w:t>
      </w:r>
      <w:r>
        <w:rPr>
          <w:rFonts w:ascii="Arial" w:hAnsi="Arial"/>
        </w:rPr>
        <w:t xml:space="preserve"> certification issued by an OPSRA recognised regulatory authority</w:t>
      </w:r>
      <w:r w:rsidRPr="0043458C">
        <w:rPr>
          <w:rFonts w:ascii="Arial" w:hAnsi="Arial"/>
        </w:rPr>
        <w:t>.</w:t>
      </w:r>
      <w:r>
        <w:rPr>
          <w:rFonts w:ascii="Arial" w:hAnsi="Arial"/>
        </w:rPr>
        <w:t xml:space="preserve"> </w:t>
      </w:r>
    </w:p>
    <w:p w:rsidR="00FA09B3" w:rsidRDefault="00FA09B3" w:rsidP="00FA09B3">
      <w:pPr>
        <w:rPr>
          <w:rFonts w:ascii="Arial" w:hAnsi="Arial"/>
        </w:rPr>
      </w:pPr>
    </w:p>
    <w:p w:rsidR="00FA09B3" w:rsidRDefault="00FA09B3" w:rsidP="00FA09B3">
      <w:pPr>
        <w:rPr>
          <w:rFonts w:ascii="Arial" w:hAnsi="Arial"/>
        </w:rPr>
      </w:pPr>
      <w:r>
        <w:rPr>
          <w:rFonts w:ascii="Arial" w:hAnsi="Arial"/>
        </w:rPr>
        <w:t xml:space="preserve">For the </w:t>
      </w:r>
      <w:r w:rsidRPr="000F1FF2">
        <w:rPr>
          <w:rStyle w:val="Arial"/>
        </w:rPr>
        <w:t>finished product manufacturing site</w:t>
      </w:r>
      <w:r>
        <w:rPr>
          <w:rStyle w:val="Arial"/>
        </w:rPr>
        <w:t>(s) and packaging site(s)</w:t>
      </w:r>
      <w:r w:rsidRPr="000F1FF2">
        <w:rPr>
          <w:rStyle w:val="Arial"/>
        </w:rPr>
        <w:t xml:space="preserve"> </w:t>
      </w:r>
      <w:r>
        <w:rPr>
          <w:rFonts w:ascii="Arial" w:hAnsi="Arial"/>
        </w:rPr>
        <w:t xml:space="preserve">the requirement is evidence that the site complies with the Psychoactive Substances </w:t>
      </w:r>
      <w:hyperlink r:id="rId37" w:history="1">
        <w:r w:rsidRPr="00B150C4">
          <w:rPr>
            <w:rStyle w:val="Hyperlink"/>
            <w:rFonts w:ascii="Arial" w:hAnsi="Arial"/>
            <w:color w:val="auto"/>
            <w:u w:val="none"/>
          </w:rPr>
          <w:t>Code of Manufacturing Practice</w:t>
        </w:r>
      </w:hyperlink>
      <w:r w:rsidRPr="00B150C4">
        <w:rPr>
          <w:rFonts w:ascii="Arial" w:hAnsi="Arial"/>
        </w:rPr>
        <w:t xml:space="preserve"> </w:t>
      </w:r>
      <w:r>
        <w:rPr>
          <w:rFonts w:ascii="Arial" w:hAnsi="Arial"/>
        </w:rPr>
        <w:t>(CoMP certification</w:t>
      </w:r>
      <w:r w:rsidR="00B150C4">
        <w:rPr>
          <w:rFonts w:ascii="Arial" w:hAnsi="Arial"/>
        </w:rPr>
        <w:t>, found at www.psychoactoves.health.govt.nz</w:t>
      </w:r>
      <w:r>
        <w:rPr>
          <w:rFonts w:ascii="Arial" w:hAnsi="Arial"/>
        </w:rPr>
        <w:t xml:space="preserve">) or GMP </w:t>
      </w:r>
      <w:r w:rsidRPr="00EE1F26">
        <w:rPr>
          <w:rFonts w:ascii="Arial" w:hAnsi="Arial"/>
        </w:rPr>
        <w:t xml:space="preserve">certification, </w:t>
      </w:r>
      <w:r>
        <w:rPr>
          <w:rFonts w:ascii="Arial" w:hAnsi="Arial"/>
        </w:rPr>
        <w:t>issued by an OPSRA</w:t>
      </w:r>
      <w:r w:rsidRPr="00846BBC">
        <w:rPr>
          <w:rFonts w:ascii="Arial" w:hAnsi="Arial"/>
        </w:rPr>
        <w:t xml:space="preserve"> recognised regulatory authority</w:t>
      </w:r>
      <w:r>
        <w:rPr>
          <w:rFonts w:ascii="Arial" w:hAnsi="Arial"/>
        </w:rPr>
        <w:t xml:space="preserve"> and </w:t>
      </w:r>
      <w:r w:rsidRPr="00EE1F26">
        <w:rPr>
          <w:rFonts w:ascii="Arial" w:hAnsi="Arial"/>
        </w:rPr>
        <w:t xml:space="preserve">stating the products or product classes for which it has been </w:t>
      </w:r>
      <w:r>
        <w:rPr>
          <w:rFonts w:ascii="Arial" w:hAnsi="Arial"/>
        </w:rPr>
        <w:t>granted.</w:t>
      </w:r>
    </w:p>
    <w:p w:rsidR="00FA09B3" w:rsidRPr="00EE1F26" w:rsidRDefault="00FA09B3" w:rsidP="00FA09B3">
      <w:pPr>
        <w:rPr>
          <w:rFonts w:ascii="Arial" w:hAnsi="Arial"/>
        </w:rPr>
      </w:pPr>
    </w:p>
    <w:p w:rsidR="00FA09B3" w:rsidRPr="00EE1F26" w:rsidRDefault="00FA09B3" w:rsidP="00B150C4">
      <w:pPr>
        <w:rPr>
          <w:rFonts w:ascii="Arial" w:hAnsi="Arial"/>
        </w:rPr>
      </w:pPr>
      <w:r w:rsidRPr="00EE1F26">
        <w:rPr>
          <w:rFonts w:ascii="Arial" w:hAnsi="Arial"/>
        </w:rPr>
        <w:t xml:space="preserve">A manufacturing site for a finished product is any site which contributes to a manufacturing operation which converts bulk raw materials to a finished dose form. This includes </w:t>
      </w:r>
      <w:r>
        <w:rPr>
          <w:rFonts w:ascii="Arial" w:hAnsi="Arial"/>
        </w:rPr>
        <w:t>the site which manufactures any intermediate products, the finished product manufacturing site</w:t>
      </w:r>
      <w:r w:rsidR="00B150C4">
        <w:rPr>
          <w:rFonts w:ascii="Arial" w:hAnsi="Arial"/>
        </w:rPr>
        <w:t xml:space="preserve"> and </w:t>
      </w:r>
      <w:r w:rsidRPr="00EE1F26">
        <w:rPr>
          <w:rFonts w:ascii="Arial" w:hAnsi="Arial"/>
        </w:rPr>
        <w:t>which contributes to a packing operation which places the final dose form into its labelled primary or secondary</w:t>
      </w:r>
      <w:r>
        <w:rPr>
          <w:rFonts w:ascii="Arial" w:hAnsi="Arial"/>
        </w:rPr>
        <w:t xml:space="preserve"> (etc</w:t>
      </w:r>
      <w:r w:rsidR="00871D12">
        <w:rPr>
          <w:rFonts w:ascii="Arial" w:hAnsi="Arial"/>
        </w:rPr>
        <w:t>.</w:t>
      </w:r>
      <w:r>
        <w:rPr>
          <w:rFonts w:ascii="Arial" w:hAnsi="Arial"/>
        </w:rPr>
        <w:t>)</w:t>
      </w:r>
      <w:r w:rsidRPr="00EE1F26">
        <w:rPr>
          <w:rFonts w:ascii="Arial" w:hAnsi="Arial"/>
        </w:rPr>
        <w:t xml:space="preserve"> container. </w:t>
      </w:r>
      <w:r>
        <w:rPr>
          <w:rFonts w:ascii="Arial" w:hAnsi="Arial"/>
        </w:rPr>
        <w:t>This includes a site where products are overlabeled.</w:t>
      </w:r>
    </w:p>
    <w:p w:rsidR="00FA09B3" w:rsidRPr="00EE1F26" w:rsidRDefault="00FA09B3" w:rsidP="00FA09B3">
      <w:pPr>
        <w:rPr>
          <w:rFonts w:ascii="Arial" w:hAnsi="Arial"/>
        </w:rPr>
      </w:pPr>
    </w:p>
    <w:p w:rsidR="00FA09B3" w:rsidRPr="00EE1F26" w:rsidRDefault="00FA09B3" w:rsidP="00FA09B3">
      <w:pPr>
        <w:rPr>
          <w:rFonts w:ascii="Arial" w:hAnsi="Arial"/>
        </w:rPr>
      </w:pPr>
      <w:r w:rsidRPr="00EE1F26">
        <w:rPr>
          <w:rFonts w:ascii="Arial" w:hAnsi="Arial"/>
        </w:rPr>
        <w:t>Manufacturers with premises in New Zealand must hold an appropriate current licence to manufacture psychoactive products</w:t>
      </w:r>
      <w:r>
        <w:rPr>
          <w:rFonts w:ascii="Arial" w:hAnsi="Arial"/>
        </w:rPr>
        <w:t>, issued by the OPSRA</w:t>
      </w:r>
      <w:r w:rsidRPr="00EE1F26">
        <w:rPr>
          <w:rFonts w:ascii="Arial" w:hAnsi="Arial"/>
        </w:rPr>
        <w:t>. The licence must have been issued before manufacture of the product for distribu</w:t>
      </w:r>
      <w:r>
        <w:rPr>
          <w:rFonts w:ascii="Arial" w:hAnsi="Arial"/>
        </w:rPr>
        <w:t xml:space="preserve">tion can commence. </w:t>
      </w:r>
    </w:p>
    <w:p w:rsidR="00FA09B3" w:rsidRPr="00EE1F26" w:rsidRDefault="00FA09B3" w:rsidP="00FA09B3">
      <w:pPr>
        <w:rPr>
          <w:rFonts w:ascii="Arial" w:hAnsi="Arial"/>
        </w:rPr>
      </w:pPr>
    </w:p>
    <w:p w:rsidR="00FA09B3" w:rsidRPr="00EE1F26" w:rsidRDefault="00FA09B3" w:rsidP="00FA09B3">
      <w:pPr>
        <w:rPr>
          <w:rFonts w:ascii="Arial" w:hAnsi="Arial"/>
        </w:rPr>
      </w:pPr>
      <w:r w:rsidRPr="00EE1F26">
        <w:rPr>
          <w:rFonts w:ascii="Arial" w:hAnsi="Arial"/>
        </w:rPr>
        <w:t xml:space="preserve">For overseas manufacturers and packers, the </w:t>
      </w:r>
      <w:r>
        <w:rPr>
          <w:rFonts w:ascii="Arial" w:hAnsi="Arial"/>
        </w:rPr>
        <w:t xml:space="preserve">OPSRA </w:t>
      </w:r>
      <w:r w:rsidRPr="00EE1F26">
        <w:rPr>
          <w:rFonts w:ascii="Arial" w:hAnsi="Arial"/>
        </w:rPr>
        <w:t>requires that certification be included with each NPPA</w:t>
      </w:r>
      <w:r>
        <w:rPr>
          <w:rFonts w:ascii="Arial" w:hAnsi="Arial"/>
        </w:rPr>
        <w:t xml:space="preserve"> or NSPPA</w:t>
      </w:r>
      <w:r w:rsidRPr="00EE1F26">
        <w:rPr>
          <w:rFonts w:ascii="Arial" w:hAnsi="Arial"/>
        </w:rPr>
        <w:t xml:space="preserve"> even if the site already supplies product to New Zealand and certification has been supplied previously with an earlier application or notification. This is desirable </w:t>
      </w:r>
      <w:r>
        <w:rPr>
          <w:rFonts w:ascii="Arial" w:hAnsi="Arial"/>
        </w:rPr>
        <w:t>to ensure</w:t>
      </w:r>
      <w:r w:rsidRPr="00EE1F26">
        <w:rPr>
          <w:rFonts w:ascii="Arial" w:hAnsi="Arial"/>
        </w:rPr>
        <w:t xml:space="preserve"> the certification to be product-specific and up-to-date. </w:t>
      </w:r>
    </w:p>
    <w:p w:rsidR="00FA09B3" w:rsidRPr="00EE1F26" w:rsidRDefault="00FA09B3" w:rsidP="00FA09B3">
      <w:pPr>
        <w:rPr>
          <w:rFonts w:ascii="Arial" w:hAnsi="Arial"/>
        </w:rPr>
      </w:pPr>
    </w:p>
    <w:p w:rsidR="00FA09B3" w:rsidRPr="00EE1F26" w:rsidRDefault="00FA09B3" w:rsidP="00FA09B3">
      <w:pPr>
        <w:rPr>
          <w:rFonts w:ascii="Arial" w:hAnsi="Arial"/>
        </w:rPr>
      </w:pPr>
      <w:r w:rsidRPr="00EE1F26">
        <w:rPr>
          <w:rFonts w:ascii="Arial" w:hAnsi="Arial"/>
        </w:rPr>
        <w:t xml:space="preserve">Acceptable evidence of GMP compliance normally consists of copies of appropriate certificates, manufacturing licences or reports issued by a regulatory authority whose competence is recognised by the </w:t>
      </w:r>
      <w:r>
        <w:rPr>
          <w:rFonts w:ascii="Arial" w:hAnsi="Arial"/>
        </w:rPr>
        <w:t>OPSRA</w:t>
      </w:r>
      <w:r w:rsidRPr="00EE1F26">
        <w:rPr>
          <w:rFonts w:ascii="Arial" w:hAnsi="Arial"/>
        </w:rPr>
        <w:t>. Details of the documentation that is acceptable</w:t>
      </w:r>
      <w:r>
        <w:rPr>
          <w:rFonts w:ascii="Arial" w:hAnsi="Arial"/>
        </w:rPr>
        <w:t xml:space="preserve"> are provided in section </w:t>
      </w:r>
      <w:r w:rsidR="00BE017D" w:rsidRPr="001D1066">
        <w:rPr>
          <w:rFonts w:ascii="Arial" w:hAnsi="Arial"/>
        </w:rPr>
        <w:t>11</w:t>
      </w:r>
      <w:r w:rsidRPr="001D1066">
        <w:rPr>
          <w:rFonts w:ascii="Arial" w:hAnsi="Arial"/>
        </w:rPr>
        <w:t>.1.2</w:t>
      </w:r>
      <w:r>
        <w:rPr>
          <w:rFonts w:ascii="Arial" w:hAnsi="Arial"/>
        </w:rPr>
        <w:t xml:space="preserve"> below</w:t>
      </w:r>
      <w:r w:rsidRPr="00EE1F26">
        <w:rPr>
          <w:rFonts w:ascii="Arial" w:hAnsi="Arial"/>
        </w:rPr>
        <w:t xml:space="preserve"> and a list of authorities whose competence to certify GMP compliance is </w:t>
      </w:r>
      <w:r>
        <w:rPr>
          <w:rFonts w:ascii="Arial" w:hAnsi="Arial"/>
        </w:rPr>
        <w:t xml:space="preserve">provided in Appendix </w:t>
      </w:r>
      <w:r w:rsidR="00871D12">
        <w:rPr>
          <w:rFonts w:ascii="Arial" w:hAnsi="Arial"/>
        </w:rPr>
        <w:t>2</w:t>
      </w:r>
      <w:r>
        <w:rPr>
          <w:rFonts w:ascii="Arial" w:hAnsi="Arial"/>
        </w:rPr>
        <w:t>.</w:t>
      </w:r>
    </w:p>
    <w:p w:rsidR="00FA09B3" w:rsidRPr="00EE1F26" w:rsidRDefault="00FA09B3" w:rsidP="00FA09B3">
      <w:pPr>
        <w:rPr>
          <w:rFonts w:ascii="Arial" w:hAnsi="Arial"/>
        </w:rPr>
      </w:pPr>
    </w:p>
    <w:p w:rsidR="00FA09B3" w:rsidRPr="00EE1F26" w:rsidRDefault="00FA09B3" w:rsidP="00FA09B3">
      <w:pPr>
        <w:rPr>
          <w:rFonts w:ascii="Arial" w:hAnsi="Arial"/>
        </w:rPr>
      </w:pPr>
      <w:r w:rsidRPr="00EE1F26">
        <w:rPr>
          <w:rFonts w:ascii="Arial" w:hAnsi="Arial"/>
        </w:rPr>
        <w:t xml:space="preserve">The certificate, licence or report should be no more than </w:t>
      </w:r>
      <w:r>
        <w:rPr>
          <w:rFonts w:ascii="Arial" w:hAnsi="Arial"/>
        </w:rPr>
        <w:t>three</w:t>
      </w:r>
      <w:r w:rsidRPr="00EE1F26">
        <w:rPr>
          <w:rFonts w:ascii="Arial" w:hAnsi="Arial"/>
        </w:rPr>
        <w:t xml:space="preserve"> years old when the NPPA is submitted, and must be no more than </w:t>
      </w:r>
      <w:r>
        <w:rPr>
          <w:rFonts w:ascii="Arial" w:hAnsi="Arial"/>
        </w:rPr>
        <w:t>five</w:t>
      </w:r>
      <w:r w:rsidRPr="00EE1F26">
        <w:rPr>
          <w:rFonts w:ascii="Arial" w:hAnsi="Arial"/>
        </w:rPr>
        <w:t xml:space="preserve"> years old at the time of approval of the new psychoactive product. </w:t>
      </w:r>
    </w:p>
    <w:p w:rsidR="00FA09B3" w:rsidRPr="00EE1F26" w:rsidRDefault="00FA09B3" w:rsidP="00FA09B3">
      <w:pPr>
        <w:rPr>
          <w:rFonts w:ascii="Arial" w:hAnsi="Arial"/>
        </w:rPr>
      </w:pPr>
    </w:p>
    <w:p w:rsidR="00FA09B3" w:rsidRPr="00EE1F26" w:rsidRDefault="00FA09B3" w:rsidP="00FA09B3">
      <w:pPr>
        <w:rPr>
          <w:rFonts w:ascii="Arial" w:hAnsi="Arial"/>
        </w:rPr>
      </w:pPr>
      <w:r w:rsidRPr="00EE1F26">
        <w:rPr>
          <w:rFonts w:ascii="Arial" w:hAnsi="Arial"/>
        </w:rPr>
        <w:t xml:space="preserve">If the original documentation was in a language other than English then copies of both the original documents and a certified English translation must be submitted. </w:t>
      </w:r>
    </w:p>
    <w:p w:rsidR="00FA09B3" w:rsidRPr="00EE1F26" w:rsidRDefault="00FA09B3" w:rsidP="00FA09B3">
      <w:pPr>
        <w:rPr>
          <w:rFonts w:ascii="Arial" w:hAnsi="Arial"/>
        </w:rPr>
      </w:pPr>
    </w:p>
    <w:p w:rsidR="00FA09B3" w:rsidRDefault="00FA09B3" w:rsidP="00FA09B3">
      <w:pPr>
        <w:rPr>
          <w:rFonts w:ascii="Arial" w:hAnsi="Arial"/>
        </w:rPr>
      </w:pPr>
      <w:r w:rsidRPr="00EE1F26">
        <w:rPr>
          <w:rFonts w:ascii="Arial" w:hAnsi="Arial"/>
        </w:rPr>
        <w:t xml:space="preserve">If acceptable evidence of GMP compliance is not available, the </w:t>
      </w:r>
      <w:r>
        <w:rPr>
          <w:rFonts w:ascii="Arial" w:hAnsi="Arial"/>
        </w:rPr>
        <w:t>OPSRA</w:t>
      </w:r>
      <w:r w:rsidRPr="00EE1F26">
        <w:rPr>
          <w:rFonts w:ascii="Arial" w:hAnsi="Arial"/>
        </w:rPr>
        <w:t xml:space="preserve"> </w:t>
      </w:r>
      <w:r>
        <w:rPr>
          <w:rFonts w:ascii="Arial" w:hAnsi="Arial"/>
        </w:rPr>
        <w:t>will</w:t>
      </w:r>
      <w:r w:rsidRPr="00EE1F26">
        <w:rPr>
          <w:rFonts w:ascii="Arial" w:hAnsi="Arial"/>
        </w:rPr>
        <w:t xml:space="preserve"> require an audit of the site by </w:t>
      </w:r>
      <w:r>
        <w:rPr>
          <w:rFonts w:ascii="Arial" w:hAnsi="Arial"/>
        </w:rPr>
        <w:t>OPSRA</w:t>
      </w:r>
      <w:r w:rsidRPr="00EE1F26">
        <w:rPr>
          <w:rFonts w:ascii="Arial" w:hAnsi="Arial"/>
        </w:rPr>
        <w:t xml:space="preserve"> auditors to be arranged at the applicant's request and expense. </w:t>
      </w:r>
    </w:p>
    <w:p w:rsidR="00FA09B3" w:rsidRPr="00EE1F26" w:rsidRDefault="00FA09B3" w:rsidP="00FA09B3">
      <w:pPr>
        <w:rPr>
          <w:rFonts w:ascii="Arial" w:hAnsi="Arial"/>
        </w:rPr>
      </w:pPr>
    </w:p>
    <w:p w:rsidR="00FA09B3" w:rsidRPr="00DB34DC" w:rsidRDefault="00FA09B3" w:rsidP="00CF062F">
      <w:pPr>
        <w:pStyle w:val="ListParagraph"/>
        <w:numPr>
          <w:ilvl w:val="2"/>
          <w:numId w:val="62"/>
        </w:numPr>
        <w:ind w:left="993" w:hanging="993"/>
        <w:rPr>
          <w:rStyle w:val="Arial"/>
          <w:i/>
          <w:iCs/>
        </w:rPr>
      </w:pPr>
      <w:r w:rsidRPr="00DB34DC">
        <w:rPr>
          <w:rStyle w:val="Arial"/>
          <w:i/>
          <w:iCs/>
        </w:rPr>
        <w:t>Recognised Documentation</w:t>
      </w:r>
    </w:p>
    <w:p w:rsidR="00FA09B3" w:rsidRDefault="00FA09B3" w:rsidP="00FA09B3">
      <w:pPr>
        <w:rPr>
          <w:rFonts w:ascii="Arial" w:hAnsi="Arial"/>
        </w:rPr>
      </w:pPr>
    </w:p>
    <w:p w:rsidR="00FA09B3" w:rsidRPr="00DA5905" w:rsidRDefault="00FA09B3" w:rsidP="00FA09B3">
      <w:pPr>
        <w:rPr>
          <w:rFonts w:ascii="Arial" w:hAnsi="Arial"/>
        </w:rPr>
      </w:pPr>
      <w:r w:rsidRPr="00DA5905">
        <w:rPr>
          <w:rFonts w:ascii="Arial" w:hAnsi="Arial"/>
        </w:rPr>
        <w:t xml:space="preserve">GMP certification recognised by the </w:t>
      </w:r>
      <w:r>
        <w:rPr>
          <w:rFonts w:ascii="Arial" w:hAnsi="Arial"/>
        </w:rPr>
        <w:t>OPSRA</w:t>
      </w:r>
      <w:r w:rsidRPr="00DA5905">
        <w:rPr>
          <w:rFonts w:ascii="Arial" w:hAnsi="Arial"/>
        </w:rPr>
        <w:t xml:space="preserve"> can be any document issued by </w:t>
      </w:r>
      <w:r w:rsidRPr="00871D12">
        <w:rPr>
          <w:rFonts w:ascii="Arial" w:hAnsi="Arial"/>
        </w:rPr>
        <w:t>a recognised authority</w:t>
      </w:r>
      <w:r w:rsidRPr="00DA5905">
        <w:rPr>
          <w:rFonts w:ascii="Arial" w:hAnsi="Arial"/>
        </w:rPr>
        <w:t xml:space="preserve"> </w:t>
      </w:r>
      <w:r w:rsidR="00871D12">
        <w:rPr>
          <w:rFonts w:ascii="Arial" w:hAnsi="Arial"/>
        </w:rPr>
        <w:t xml:space="preserve">(see Appendix 2) </w:t>
      </w:r>
      <w:r w:rsidRPr="00DA5905">
        <w:rPr>
          <w:rFonts w:ascii="Arial" w:hAnsi="Arial"/>
        </w:rPr>
        <w:t xml:space="preserve">which attests to GMP compliance. Legible photocopies of the documents are acceptable. </w:t>
      </w:r>
    </w:p>
    <w:p w:rsidR="00FA09B3" w:rsidRPr="00DA5905" w:rsidRDefault="00FA09B3" w:rsidP="00FA09B3">
      <w:pPr>
        <w:rPr>
          <w:rFonts w:ascii="Arial" w:hAnsi="Arial"/>
        </w:rPr>
      </w:pPr>
    </w:p>
    <w:p w:rsidR="00FA09B3" w:rsidRPr="00DA5905" w:rsidRDefault="00FA09B3" w:rsidP="00FA09B3">
      <w:pPr>
        <w:rPr>
          <w:rFonts w:ascii="Arial" w:hAnsi="Arial"/>
        </w:rPr>
      </w:pPr>
      <w:r w:rsidRPr="00DA5905">
        <w:rPr>
          <w:rFonts w:ascii="Arial" w:hAnsi="Arial"/>
        </w:rPr>
        <w:t xml:space="preserve">Documents should contain the following information: </w:t>
      </w:r>
    </w:p>
    <w:p w:rsidR="00FA09B3" w:rsidRPr="00DA5905" w:rsidRDefault="00FA09B3" w:rsidP="00DB34DC">
      <w:pPr>
        <w:pStyle w:val="ListParagraph"/>
        <w:numPr>
          <w:ilvl w:val="0"/>
          <w:numId w:val="29"/>
        </w:numPr>
        <w:spacing w:before="120" w:after="120"/>
        <w:ind w:left="714" w:hanging="357"/>
        <w:contextualSpacing w:val="0"/>
        <w:rPr>
          <w:rFonts w:ascii="Arial" w:hAnsi="Arial"/>
        </w:rPr>
      </w:pPr>
      <w:r w:rsidRPr="00DA5905">
        <w:rPr>
          <w:rFonts w:ascii="Arial" w:hAnsi="Arial"/>
        </w:rPr>
        <w:t xml:space="preserve">the street address of the site </w:t>
      </w:r>
    </w:p>
    <w:p w:rsidR="00FA09B3" w:rsidRPr="00DA5905" w:rsidRDefault="00FA09B3" w:rsidP="00DB34DC">
      <w:pPr>
        <w:pStyle w:val="ListParagraph"/>
        <w:numPr>
          <w:ilvl w:val="0"/>
          <w:numId w:val="29"/>
        </w:numPr>
        <w:spacing w:before="120" w:after="120"/>
        <w:ind w:left="714" w:hanging="357"/>
        <w:contextualSpacing w:val="0"/>
        <w:rPr>
          <w:rFonts w:ascii="Arial" w:hAnsi="Arial"/>
        </w:rPr>
      </w:pPr>
      <w:r w:rsidRPr="00DA5905">
        <w:rPr>
          <w:rFonts w:ascii="Arial" w:hAnsi="Arial"/>
        </w:rPr>
        <w:t>reference to the product or product class</w:t>
      </w:r>
    </w:p>
    <w:p w:rsidR="00FA09B3" w:rsidRPr="00DA5905" w:rsidRDefault="00FA09B3" w:rsidP="00DB34DC">
      <w:pPr>
        <w:pStyle w:val="ListParagraph"/>
        <w:numPr>
          <w:ilvl w:val="0"/>
          <w:numId w:val="29"/>
        </w:numPr>
        <w:spacing w:before="120" w:after="120"/>
        <w:ind w:left="714" w:hanging="357"/>
        <w:contextualSpacing w:val="0"/>
        <w:rPr>
          <w:rFonts w:ascii="Arial" w:hAnsi="Arial"/>
        </w:rPr>
      </w:pPr>
      <w:r w:rsidRPr="00DA5905">
        <w:rPr>
          <w:rFonts w:ascii="Arial" w:hAnsi="Arial"/>
        </w:rPr>
        <w:t xml:space="preserve">reference to GMP acceptability and/or to a GMP audit </w:t>
      </w:r>
    </w:p>
    <w:p w:rsidR="00FA09B3" w:rsidRPr="00DA5905" w:rsidRDefault="00FA09B3" w:rsidP="00DB34DC">
      <w:pPr>
        <w:pStyle w:val="ListParagraph"/>
        <w:numPr>
          <w:ilvl w:val="0"/>
          <w:numId w:val="29"/>
        </w:numPr>
        <w:spacing w:before="120" w:after="120"/>
        <w:ind w:left="714" w:hanging="357"/>
        <w:contextualSpacing w:val="0"/>
        <w:rPr>
          <w:rFonts w:ascii="Arial" w:hAnsi="Arial"/>
        </w:rPr>
      </w:pPr>
      <w:r w:rsidRPr="00DA5905">
        <w:rPr>
          <w:rFonts w:ascii="Arial" w:hAnsi="Arial"/>
        </w:rPr>
        <w:t xml:space="preserve">name and address of the issuing authority </w:t>
      </w:r>
    </w:p>
    <w:p w:rsidR="00FA09B3" w:rsidRPr="00DA5905" w:rsidRDefault="00FA09B3" w:rsidP="00DB34DC">
      <w:pPr>
        <w:pStyle w:val="ListParagraph"/>
        <w:numPr>
          <w:ilvl w:val="0"/>
          <w:numId w:val="29"/>
        </w:numPr>
        <w:spacing w:before="120" w:after="120"/>
        <w:ind w:left="714" w:hanging="357"/>
        <w:contextualSpacing w:val="0"/>
        <w:rPr>
          <w:rFonts w:ascii="Arial" w:hAnsi="Arial"/>
        </w:rPr>
      </w:pPr>
      <w:r>
        <w:rPr>
          <w:rFonts w:ascii="Arial" w:hAnsi="Arial"/>
        </w:rPr>
        <w:t>date and signature</w:t>
      </w:r>
      <w:r w:rsidRPr="00DA5905">
        <w:rPr>
          <w:rFonts w:ascii="Arial" w:hAnsi="Arial"/>
        </w:rPr>
        <w:t xml:space="preserve"> </w:t>
      </w:r>
    </w:p>
    <w:p w:rsidR="00FA09B3" w:rsidRPr="00DA5905" w:rsidRDefault="00FA09B3" w:rsidP="00DB34DC">
      <w:pPr>
        <w:pStyle w:val="ListParagraph"/>
        <w:numPr>
          <w:ilvl w:val="0"/>
          <w:numId w:val="29"/>
        </w:numPr>
        <w:spacing w:before="120" w:after="120"/>
        <w:ind w:left="714" w:hanging="357"/>
        <w:contextualSpacing w:val="0"/>
        <w:rPr>
          <w:rFonts w:ascii="Arial" w:hAnsi="Arial"/>
        </w:rPr>
      </w:pPr>
      <w:r w:rsidRPr="00DA5905">
        <w:rPr>
          <w:rFonts w:ascii="Arial" w:hAnsi="Arial"/>
        </w:rPr>
        <w:t xml:space="preserve">date of expiry of the certification or licence </w:t>
      </w:r>
    </w:p>
    <w:p w:rsidR="00FA09B3" w:rsidRPr="0043458C" w:rsidRDefault="00FA09B3" w:rsidP="00FA09B3">
      <w:pPr>
        <w:rPr>
          <w:rFonts w:ascii="Arial" w:hAnsi="Arial"/>
          <w:highlight w:val="yellow"/>
        </w:rPr>
      </w:pPr>
    </w:p>
    <w:p w:rsidR="00FA09B3" w:rsidRPr="00DA5905" w:rsidRDefault="00FA09B3" w:rsidP="00FA09B3">
      <w:pPr>
        <w:rPr>
          <w:rFonts w:ascii="Arial" w:hAnsi="Arial"/>
        </w:rPr>
      </w:pPr>
      <w:r w:rsidRPr="00DA5905">
        <w:rPr>
          <w:rFonts w:ascii="Arial" w:hAnsi="Arial"/>
        </w:rPr>
        <w:t xml:space="preserve">The following are examples of acceptable evidence of GMP certification: </w:t>
      </w:r>
    </w:p>
    <w:p w:rsidR="00FA09B3" w:rsidRPr="00DA5905" w:rsidRDefault="00FA09B3" w:rsidP="00DB34DC">
      <w:pPr>
        <w:pStyle w:val="ListParagraph"/>
        <w:numPr>
          <w:ilvl w:val="0"/>
          <w:numId w:val="29"/>
        </w:numPr>
        <w:spacing w:before="120" w:after="120"/>
        <w:ind w:left="714" w:hanging="357"/>
        <w:contextualSpacing w:val="0"/>
        <w:rPr>
          <w:rFonts w:ascii="Arial" w:hAnsi="Arial"/>
        </w:rPr>
      </w:pPr>
      <w:r w:rsidRPr="00DA5905">
        <w:rPr>
          <w:rFonts w:ascii="Arial" w:hAnsi="Arial"/>
        </w:rPr>
        <w:t>licence to manufacture issued by a recognised authority where such a licence is issued only where the site is inspected and regularly re-inspected for GMP compliance;</w:t>
      </w:r>
    </w:p>
    <w:p w:rsidR="00FA09B3" w:rsidRPr="00DA5905" w:rsidRDefault="00FA09B3" w:rsidP="00DB34DC">
      <w:pPr>
        <w:pStyle w:val="ListParagraph"/>
        <w:numPr>
          <w:ilvl w:val="0"/>
          <w:numId w:val="29"/>
        </w:numPr>
        <w:spacing w:before="120" w:after="120"/>
        <w:ind w:left="714" w:hanging="357"/>
        <w:contextualSpacing w:val="0"/>
        <w:rPr>
          <w:rFonts w:ascii="Arial" w:hAnsi="Arial"/>
        </w:rPr>
      </w:pPr>
      <w:r w:rsidRPr="00DA5905">
        <w:rPr>
          <w:rFonts w:ascii="Arial" w:hAnsi="Arial"/>
        </w:rPr>
        <w:t xml:space="preserve">current registration and entry (for the product, product class or process concerned) of the site in the Australian Register of Licensed Manufacturers; </w:t>
      </w:r>
    </w:p>
    <w:p w:rsidR="00FA09B3" w:rsidRPr="00DA5905" w:rsidRDefault="00FA09B3" w:rsidP="00DB34DC">
      <w:pPr>
        <w:pStyle w:val="ListParagraph"/>
        <w:numPr>
          <w:ilvl w:val="0"/>
          <w:numId w:val="29"/>
        </w:numPr>
        <w:spacing w:before="120" w:after="120"/>
        <w:ind w:left="714" w:hanging="357"/>
        <w:contextualSpacing w:val="0"/>
        <w:rPr>
          <w:rFonts w:ascii="Arial" w:hAnsi="Arial"/>
        </w:rPr>
      </w:pPr>
      <w:r w:rsidRPr="00DA5905">
        <w:rPr>
          <w:rFonts w:ascii="Arial" w:hAnsi="Arial"/>
        </w:rPr>
        <w:t>United Kingdom Product Licence or Product Licence Variation where name and address of site is shown;</w:t>
      </w:r>
    </w:p>
    <w:p w:rsidR="00FA09B3" w:rsidRPr="00DA5905" w:rsidRDefault="00FA09B3" w:rsidP="00DB34DC">
      <w:pPr>
        <w:pStyle w:val="ListParagraph"/>
        <w:numPr>
          <w:ilvl w:val="0"/>
          <w:numId w:val="29"/>
        </w:numPr>
        <w:spacing w:before="120" w:after="120"/>
        <w:ind w:left="714" w:hanging="357"/>
        <w:contextualSpacing w:val="0"/>
        <w:rPr>
          <w:rFonts w:ascii="Arial" w:hAnsi="Arial"/>
        </w:rPr>
      </w:pPr>
      <w:r w:rsidRPr="00DA5905">
        <w:rPr>
          <w:rFonts w:ascii="Arial" w:hAnsi="Arial"/>
        </w:rPr>
        <w:t xml:space="preserve">Canadian Drug Plant Inspection Rating Report; </w:t>
      </w:r>
    </w:p>
    <w:p w:rsidR="00FA09B3" w:rsidRPr="00DA5905" w:rsidRDefault="00FA09B3" w:rsidP="00DB34DC">
      <w:pPr>
        <w:pStyle w:val="ListParagraph"/>
        <w:numPr>
          <w:ilvl w:val="0"/>
          <w:numId w:val="29"/>
        </w:numPr>
        <w:spacing w:before="120" w:after="120"/>
        <w:ind w:left="714" w:hanging="357"/>
        <w:contextualSpacing w:val="0"/>
        <w:rPr>
          <w:rFonts w:ascii="Arial" w:hAnsi="Arial"/>
        </w:rPr>
      </w:pPr>
      <w:r w:rsidRPr="00DA5905">
        <w:rPr>
          <w:rFonts w:ascii="Arial" w:hAnsi="Arial"/>
        </w:rPr>
        <w:t xml:space="preserve">a letter or file note from a recognised authority which attests to GMP compliance. The most usual example seen is an extract from FDA files obtained by the manufacturer under the US Freedom of Information Act. It usually states that an audit occurred on the given date and gives the outcome of the audit; </w:t>
      </w:r>
    </w:p>
    <w:p w:rsidR="00FA09B3" w:rsidRPr="00DA5905" w:rsidRDefault="00FA09B3" w:rsidP="00DB34DC">
      <w:pPr>
        <w:pStyle w:val="ListParagraph"/>
        <w:numPr>
          <w:ilvl w:val="0"/>
          <w:numId w:val="29"/>
        </w:numPr>
        <w:spacing w:before="120" w:after="120"/>
        <w:ind w:left="714" w:hanging="357"/>
        <w:contextualSpacing w:val="0"/>
        <w:rPr>
          <w:rFonts w:ascii="Arial" w:hAnsi="Arial"/>
        </w:rPr>
      </w:pPr>
      <w:r w:rsidRPr="00DA5905">
        <w:rPr>
          <w:rFonts w:ascii="Arial" w:hAnsi="Arial"/>
        </w:rPr>
        <w:t xml:space="preserve">a certificate issued by the Australian TGA confirming that it has confirmed (eg, with the US FDA) that GMP compliance at the particular site is satisfactory. </w:t>
      </w:r>
    </w:p>
    <w:p w:rsidR="00FA09B3" w:rsidRPr="0043458C" w:rsidRDefault="00FA09B3" w:rsidP="00FA09B3">
      <w:pPr>
        <w:rPr>
          <w:rFonts w:ascii="Arial" w:hAnsi="Arial"/>
          <w:highlight w:val="yellow"/>
        </w:rPr>
      </w:pPr>
    </w:p>
    <w:p w:rsidR="00FA09B3" w:rsidRPr="00DA5905" w:rsidRDefault="00FA09B3" w:rsidP="00FA09B3">
      <w:pPr>
        <w:rPr>
          <w:rFonts w:ascii="Arial" w:hAnsi="Arial"/>
        </w:rPr>
      </w:pPr>
      <w:r w:rsidRPr="00DA5905">
        <w:rPr>
          <w:rFonts w:ascii="Arial" w:hAnsi="Arial"/>
        </w:rPr>
        <w:t xml:space="preserve">The following are NOT acceptable as evidence of GMP compliance: </w:t>
      </w:r>
    </w:p>
    <w:p w:rsidR="00FA09B3" w:rsidRPr="00DA5905" w:rsidRDefault="00FA09B3" w:rsidP="00DB34DC">
      <w:pPr>
        <w:pStyle w:val="ListParagraph"/>
        <w:numPr>
          <w:ilvl w:val="0"/>
          <w:numId w:val="30"/>
        </w:numPr>
        <w:spacing w:before="120" w:after="120"/>
        <w:ind w:left="714" w:hanging="357"/>
        <w:contextualSpacing w:val="0"/>
        <w:rPr>
          <w:rFonts w:ascii="Arial" w:hAnsi="Arial"/>
        </w:rPr>
      </w:pPr>
      <w:r w:rsidRPr="00DA5905">
        <w:rPr>
          <w:rFonts w:ascii="Arial" w:hAnsi="Arial"/>
        </w:rPr>
        <w:t xml:space="preserve">a licence to manufacture which is not issued by a recognised authority </w:t>
      </w:r>
    </w:p>
    <w:p w:rsidR="00FA09B3" w:rsidRPr="00DA5905" w:rsidRDefault="00FA09B3" w:rsidP="00DB34DC">
      <w:pPr>
        <w:pStyle w:val="ListParagraph"/>
        <w:numPr>
          <w:ilvl w:val="0"/>
          <w:numId w:val="30"/>
        </w:numPr>
        <w:spacing w:before="120" w:after="120"/>
        <w:ind w:left="714" w:hanging="357"/>
        <w:contextualSpacing w:val="0"/>
        <w:rPr>
          <w:rFonts w:ascii="Arial" w:hAnsi="Arial"/>
        </w:rPr>
      </w:pPr>
      <w:r w:rsidRPr="00DA5905">
        <w:rPr>
          <w:rFonts w:ascii="Arial" w:hAnsi="Arial"/>
        </w:rPr>
        <w:t xml:space="preserve">certification issued by a pharmaceutical company - even if the company certifying is not the same as the manufacturer or packer </w:t>
      </w:r>
    </w:p>
    <w:p w:rsidR="00FA09B3" w:rsidRDefault="00FA09B3" w:rsidP="00DB34DC">
      <w:pPr>
        <w:pStyle w:val="ListParagraph"/>
        <w:numPr>
          <w:ilvl w:val="0"/>
          <w:numId w:val="30"/>
        </w:numPr>
        <w:spacing w:before="120" w:after="120"/>
        <w:ind w:left="714" w:hanging="357"/>
        <w:contextualSpacing w:val="0"/>
        <w:rPr>
          <w:rFonts w:ascii="Arial" w:hAnsi="Arial"/>
        </w:rPr>
      </w:pPr>
      <w:r w:rsidRPr="00DA5905">
        <w:rPr>
          <w:rFonts w:ascii="Arial" w:hAnsi="Arial"/>
        </w:rPr>
        <w:t xml:space="preserve">Annual Registration of Drug Establishment (USA). This document is not indicative of GMP compliance. </w:t>
      </w:r>
    </w:p>
    <w:p w:rsidR="008E1F5E" w:rsidRDefault="008E1F5E">
      <w:pPr>
        <w:rPr>
          <w:rFonts w:ascii="Arial" w:hAnsi="Arial"/>
        </w:rPr>
      </w:pPr>
      <w:r>
        <w:rPr>
          <w:rFonts w:ascii="Arial" w:hAnsi="Arial"/>
        </w:rPr>
        <w:br w:type="page"/>
      </w:r>
    </w:p>
    <w:p w:rsidR="00FA09B3" w:rsidRPr="00DA5905" w:rsidRDefault="00FA09B3" w:rsidP="00FA09B3">
      <w:pPr>
        <w:pStyle w:val="ListParagraph"/>
        <w:spacing w:before="120" w:after="120"/>
        <w:ind w:left="714"/>
        <w:contextualSpacing w:val="0"/>
        <w:rPr>
          <w:rFonts w:ascii="Arial" w:hAnsi="Arial"/>
        </w:rPr>
      </w:pPr>
    </w:p>
    <w:p w:rsidR="00FA09B3" w:rsidRPr="00DB34DC" w:rsidRDefault="00FA09B3" w:rsidP="00CF062F">
      <w:pPr>
        <w:pStyle w:val="ListParagraph"/>
        <w:numPr>
          <w:ilvl w:val="2"/>
          <w:numId w:val="62"/>
        </w:numPr>
        <w:ind w:left="993" w:hanging="993"/>
        <w:rPr>
          <w:rStyle w:val="Arial"/>
          <w:i/>
          <w:iCs/>
        </w:rPr>
      </w:pPr>
      <w:r w:rsidRPr="00DB34DC">
        <w:rPr>
          <w:rStyle w:val="Arial"/>
          <w:i/>
          <w:iCs/>
        </w:rPr>
        <w:t xml:space="preserve">Classes of Product </w:t>
      </w:r>
    </w:p>
    <w:p w:rsidR="00FA09B3" w:rsidRDefault="00FA09B3" w:rsidP="00FA09B3">
      <w:pPr>
        <w:rPr>
          <w:rFonts w:ascii="Arial" w:hAnsi="Arial"/>
        </w:rPr>
      </w:pPr>
    </w:p>
    <w:p w:rsidR="00FA09B3" w:rsidRPr="00DA5905" w:rsidRDefault="00FA09B3" w:rsidP="00FA09B3">
      <w:pPr>
        <w:rPr>
          <w:rFonts w:ascii="Arial" w:hAnsi="Arial"/>
        </w:rPr>
      </w:pPr>
      <w:r w:rsidRPr="00DA5905">
        <w:rPr>
          <w:rFonts w:ascii="Arial" w:hAnsi="Arial"/>
        </w:rPr>
        <w:t xml:space="preserve">Certification should preferably be product-specific. Certification in the WHO format or a manufacturing or product licence listing the product are the most easily obtained examples of this type. </w:t>
      </w:r>
    </w:p>
    <w:p w:rsidR="00FA09B3" w:rsidRPr="00EE1F26" w:rsidRDefault="00FA09B3" w:rsidP="00FA09B3">
      <w:pPr>
        <w:rPr>
          <w:rFonts w:ascii="Arial" w:hAnsi="Arial"/>
        </w:rPr>
      </w:pPr>
    </w:p>
    <w:p w:rsidR="00FA09B3" w:rsidRPr="00DB34DC" w:rsidRDefault="00FA09B3" w:rsidP="00CF062F">
      <w:pPr>
        <w:pStyle w:val="ListParagraph"/>
        <w:numPr>
          <w:ilvl w:val="2"/>
          <w:numId w:val="62"/>
        </w:numPr>
        <w:ind w:left="993" w:hanging="993"/>
        <w:rPr>
          <w:rStyle w:val="Arial"/>
          <w:i/>
          <w:iCs/>
        </w:rPr>
      </w:pPr>
      <w:r w:rsidRPr="00DB34DC">
        <w:rPr>
          <w:rStyle w:val="Arial"/>
          <w:i/>
          <w:iCs/>
        </w:rPr>
        <w:t xml:space="preserve">Manufacturers of Bulk Active Ingredients </w:t>
      </w:r>
    </w:p>
    <w:p w:rsidR="00FA09B3" w:rsidRDefault="00FA09B3" w:rsidP="00FA09B3">
      <w:pPr>
        <w:rPr>
          <w:rStyle w:val="Arial"/>
        </w:rPr>
      </w:pPr>
    </w:p>
    <w:p w:rsidR="00FA09B3" w:rsidRPr="000F1FF2" w:rsidRDefault="00FA09B3" w:rsidP="00FA09B3">
      <w:pPr>
        <w:rPr>
          <w:rStyle w:val="Arial"/>
        </w:rPr>
      </w:pPr>
      <w:r w:rsidRPr="000F1FF2">
        <w:rPr>
          <w:rStyle w:val="Arial"/>
        </w:rPr>
        <w:t xml:space="preserve">Evidence of GMP (or at least evidence that a bulk active ingredient is manufactured consistently and to acceptable quality standards) is required for </w:t>
      </w:r>
      <w:r w:rsidRPr="00DA5905">
        <w:rPr>
          <w:rFonts w:ascii="Arial" w:hAnsi="Arial"/>
        </w:rPr>
        <w:t>all</w:t>
      </w:r>
      <w:r w:rsidRPr="000F1FF2">
        <w:t xml:space="preserve"> </w:t>
      </w:r>
      <w:r w:rsidRPr="0043458C">
        <w:rPr>
          <w:rFonts w:ascii="Arial" w:hAnsi="Arial"/>
        </w:rPr>
        <w:t>sites</w:t>
      </w:r>
      <w:r w:rsidRPr="000F1FF2">
        <w:t xml:space="preserve"> </w:t>
      </w:r>
      <w:r w:rsidRPr="000F1FF2">
        <w:rPr>
          <w:rStyle w:val="Arial"/>
        </w:rPr>
        <w:t>which manufacture bulk active ingredients. Such evidence should be included with each application</w:t>
      </w:r>
      <w:r>
        <w:rPr>
          <w:rStyle w:val="Arial"/>
        </w:rPr>
        <w:t xml:space="preserve"> or notification</w:t>
      </w:r>
      <w:r w:rsidRPr="000F1FF2">
        <w:rPr>
          <w:rStyle w:val="Arial"/>
        </w:rPr>
        <w:t xml:space="preserve">. </w:t>
      </w:r>
    </w:p>
    <w:p w:rsidR="00FA09B3" w:rsidRPr="008619D5" w:rsidRDefault="00FA09B3" w:rsidP="00FA09B3">
      <w:pPr>
        <w:rPr>
          <w:lang w:val="en-NZ"/>
        </w:rPr>
      </w:pPr>
    </w:p>
    <w:p w:rsidR="00FA09B3" w:rsidRPr="00EE1F26" w:rsidRDefault="00FA09B3" w:rsidP="00FA09B3">
      <w:pPr>
        <w:rPr>
          <w:rFonts w:ascii="Arial" w:hAnsi="Arial"/>
        </w:rPr>
      </w:pPr>
      <w:r w:rsidRPr="00EE1F26">
        <w:rPr>
          <w:rFonts w:ascii="Arial" w:hAnsi="Arial"/>
        </w:rPr>
        <w:t xml:space="preserve">Applications and notifications must include the name and address of the actual site of manufacture and applicants should ensure that there is no confusion between sites of manufacture and addresses of company head offices or brokers. Any documentary evidence of GMP must refer to the actual site of manufacture. </w:t>
      </w:r>
    </w:p>
    <w:p w:rsidR="00FA09B3" w:rsidRPr="00EE1F26" w:rsidRDefault="00FA09B3" w:rsidP="00FA09B3">
      <w:pPr>
        <w:rPr>
          <w:rFonts w:ascii="Arial" w:hAnsi="Arial"/>
        </w:rPr>
      </w:pPr>
    </w:p>
    <w:p w:rsidR="00FA09B3" w:rsidRPr="00DA5905" w:rsidRDefault="00FA09B3" w:rsidP="00FA09B3">
      <w:pPr>
        <w:rPr>
          <w:rFonts w:ascii="Arial" w:hAnsi="Arial"/>
        </w:rPr>
      </w:pPr>
      <w:r w:rsidRPr="00DA5905">
        <w:rPr>
          <w:rFonts w:ascii="Arial" w:hAnsi="Arial"/>
        </w:rPr>
        <w:t xml:space="preserve">Any of the following are acceptable as evidence for manufacturers of bulk active ingredients: </w:t>
      </w:r>
    </w:p>
    <w:p w:rsidR="00FA09B3" w:rsidRPr="00DA5905" w:rsidRDefault="00FA09B3" w:rsidP="00FA09B3">
      <w:pPr>
        <w:pStyle w:val="ListParagraph"/>
        <w:numPr>
          <w:ilvl w:val="0"/>
          <w:numId w:val="1"/>
        </w:numPr>
        <w:spacing w:before="120" w:after="120"/>
        <w:ind w:left="714" w:hanging="357"/>
        <w:rPr>
          <w:rFonts w:ascii="Arial" w:hAnsi="Arial" w:cs="Arial"/>
          <w:lang w:val="en-NZ"/>
        </w:rPr>
      </w:pPr>
      <w:r>
        <w:rPr>
          <w:rFonts w:ascii="Arial" w:hAnsi="Arial" w:cs="Arial"/>
          <w:lang w:val="en-NZ"/>
        </w:rPr>
        <w:t>a</w:t>
      </w:r>
      <w:r w:rsidRPr="00DA5905">
        <w:rPr>
          <w:rFonts w:ascii="Arial" w:hAnsi="Arial" w:cs="Arial"/>
          <w:lang w:val="en-NZ"/>
        </w:rPr>
        <w:t xml:space="preserve"> GMP certificate or inspection report issued by a recognised authority. Note that not all authorities issue certification for sites manufacturing bulk active substances</w:t>
      </w:r>
      <w:r>
        <w:rPr>
          <w:rFonts w:ascii="Arial" w:hAnsi="Arial" w:cs="Arial"/>
          <w:lang w:val="en-NZ"/>
        </w:rPr>
        <w:t xml:space="preserve"> </w:t>
      </w:r>
    </w:p>
    <w:p w:rsidR="00FA09B3" w:rsidRPr="00DA5905" w:rsidRDefault="00FA09B3" w:rsidP="00FA09B3">
      <w:pPr>
        <w:pStyle w:val="ListParagraph"/>
        <w:numPr>
          <w:ilvl w:val="0"/>
          <w:numId w:val="1"/>
        </w:numPr>
        <w:spacing w:before="120" w:after="120"/>
        <w:ind w:left="714" w:hanging="357"/>
        <w:rPr>
          <w:rFonts w:ascii="Arial" w:hAnsi="Arial" w:cs="Arial"/>
          <w:lang w:val="en-NZ"/>
        </w:rPr>
      </w:pPr>
      <w:r w:rsidRPr="00DA5905">
        <w:rPr>
          <w:rFonts w:ascii="Arial" w:hAnsi="Arial" w:cs="Arial"/>
          <w:lang w:val="en-NZ"/>
        </w:rPr>
        <w:t xml:space="preserve">a </w:t>
      </w:r>
      <w:r>
        <w:rPr>
          <w:rFonts w:ascii="Arial" w:hAnsi="Arial" w:cs="Arial"/>
          <w:lang w:val="en-NZ"/>
        </w:rPr>
        <w:t>D</w:t>
      </w:r>
      <w:r w:rsidR="00871D12">
        <w:rPr>
          <w:rFonts w:ascii="Arial" w:hAnsi="Arial" w:cs="Arial"/>
          <w:lang w:val="en-NZ"/>
        </w:rPr>
        <w:t xml:space="preserve">rug </w:t>
      </w:r>
      <w:r>
        <w:rPr>
          <w:rFonts w:ascii="Arial" w:hAnsi="Arial" w:cs="Arial"/>
          <w:lang w:val="en-NZ"/>
        </w:rPr>
        <w:t>M</w:t>
      </w:r>
      <w:r w:rsidR="00871D12">
        <w:rPr>
          <w:rFonts w:ascii="Arial" w:hAnsi="Arial" w:cs="Arial"/>
          <w:lang w:val="en-NZ"/>
        </w:rPr>
        <w:t xml:space="preserve">aster </w:t>
      </w:r>
      <w:r>
        <w:rPr>
          <w:rFonts w:ascii="Arial" w:hAnsi="Arial" w:cs="Arial"/>
          <w:lang w:val="en-NZ"/>
        </w:rPr>
        <w:t>F</w:t>
      </w:r>
      <w:r w:rsidR="00871D12">
        <w:rPr>
          <w:rFonts w:ascii="Arial" w:hAnsi="Arial" w:cs="Arial"/>
          <w:lang w:val="en-NZ"/>
        </w:rPr>
        <w:t>ile</w:t>
      </w:r>
      <w:r w:rsidRPr="00DA5905">
        <w:rPr>
          <w:rFonts w:ascii="Arial" w:hAnsi="Arial" w:cs="Arial"/>
          <w:lang w:val="en-NZ"/>
        </w:rPr>
        <w:t xml:space="preserve"> </w:t>
      </w:r>
      <w:r w:rsidR="00871D12">
        <w:rPr>
          <w:rFonts w:ascii="Arial" w:hAnsi="Arial" w:cs="Arial"/>
          <w:lang w:val="en-NZ"/>
        </w:rPr>
        <w:t xml:space="preserve">(DMF) </w:t>
      </w:r>
      <w:r w:rsidRPr="00DA5905">
        <w:rPr>
          <w:rFonts w:ascii="Arial" w:hAnsi="Arial" w:cs="Arial"/>
          <w:lang w:val="en-NZ"/>
        </w:rPr>
        <w:t>or equivalent data (ie, ICH module 3.2.S</w:t>
      </w:r>
      <w:r w:rsidR="00871D12">
        <w:rPr>
          <w:rFonts w:ascii="Arial" w:hAnsi="Arial" w:cs="Arial"/>
          <w:lang w:val="en-NZ"/>
        </w:rPr>
        <w:t>)</w:t>
      </w:r>
    </w:p>
    <w:p w:rsidR="00FA09B3" w:rsidRDefault="00FA09B3" w:rsidP="00FA09B3">
      <w:pPr>
        <w:pStyle w:val="ListParagraph"/>
        <w:numPr>
          <w:ilvl w:val="0"/>
          <w:numId w:val="1"/>
        </w:numPr>
        <w:spacing w:before="120" w:after="120"/>
        <w:ind w:left="714" w:hanging="357"/>
        <w:rPr>
          <w:rFonts w:ascii="Arial" w:hAnsi="Arial" w:cs="Arial"/>
          <w:lang w:val="en-NZ"/>
        </w:rPr>
      </w:pPr>
      <w:r w:rsidRPr="00DA5905">
        <w:rPr>
          <w:rFonts w:ascii="Arial" w:hAnsi="Arial" w:cs="Arial"/>
          <w:lang w:val="en-NZ"/>
        </w:rPr>
        <w:t>a</w:t>
      </w:r>
      <w:r>
        <w:rPr>
          <w:rFonts w:ascii="Arial" w:hAnsi="Arial" w:cs="Arial"/>
          <w:lang w:val="en-NZ"/>
        </w:rPr>
        <w:t xml:space="preserve"> C</w:t>
      </w:r>
      <w:r w:rsidR="00871D12">
        <w:rPr>
          <w:rFonts w:ascii="Arial" w:hAnsi="Arial" w:cs="Arial"/>
          <w:lang w:val="en-NZ"/>
        </w:rPr>
        <w:t xml:space="preserve">ertificate </w:t>
      </w:r>
      <w:r>
        <w:rPr>
          <w:rFonts w:ascii="Arial" w:hAnsi="Arial" w:cs="Arial"/>
          <w:lang w:val="en-NZ"/>
        </w:rPr>
        <w:t>o</w:t>
      </w:r>
      <w:r w:rsidR="00871D12">
        <w:rPr>
          <w:rFonts w:ascii="Arial" w:hAnsi="Arial" w:cs="Arial"/>
          <w:lang w:val="en-NZ"/>
        </w:rPr>
        <w:t xml:space="preserve">f </w:t>
      </w:r>
      <w:r>
        <w:rPr>
          <w:rFonts w:ascii="Arial" w:hAnsi="Arial" w:cs="Arial"/>
          <w:lang w:val="en-NZ"/>
        </w:rPr>
        <w:t>S</w:t>
      </w:r>
      <w:r w:rsidR="00871D12">
        <w:rPr>
          <w:rFonts w:ascii="Arial" w:hAnsi="Arial" w:cs="Arial"/>
          <w:lang w:val="en-NZ"/>
        </w:rPr>
        <w:t>uitability</w:t>
      </w:r>
      <w:r w:rsidRPr="00DA5905">
        <w:rPr>
          <w:rFonts w:ascii="Arial" w:hAnsi="Arial" w:cs="Arial"/>
          <w:lang w:val="en-NZ"/>
        </w:rPr>
        <w:t xml:space="preserve"> </w:t>
      </w:r>
      <w:r w:rsidR="00871D12">
        <w:rPr>
          <w:rFonts w:ascii="Arial" w:hAnsi="Arial" w:cs="Arial"/>
          <w:lang w:val="en-NZ"/>
        </w:rPr>
        <w:t xml:space="preserve">(CoS) </w:t>
      </w:r>
      <w:r w:rsidRPr="00DA5905">
        <w:rPr>
          <w:rFonts w:ascii="Arial" w:hAnsi="Arial" w:cs="Arial"/>
          <w:lang w:val="en-NZ"/>
        </w:rPr>
        <w:t xml:space="preserve">for a substance controlled according to the European Pharmacopoeia </w:t>
      </w:r>
      <w:r>
        <w:rPr>
          <w:rFonts w:ascii="Arial" w:hAnsi="Arial" w:cs="Arial"/>
          <w:lang w:val="en-NZ"/>
        </w:rPr>
        <w:t>(Ph. Eur.)</w:t>
      </w:r>
    </w:p>
    <w:p w:rsidR="00FA09B3" w:rsidRPr="0094469A" w:rsidRDefault="00FA09B3" w:rsidP="00FA09B3">
      <w:pPr>
        <w:pStyle w:val="ListParagraph"/>
        <w:numPr>
          <w:ilvl w:val="0"/>
          <w:numId w:val="1"/>
        </w:numPr>
        <w:spacing w:before="120" w:after="120"/>
        <w:ind w:left="714" w:hanging="357"/>
        <w:rPr>
          <w:rFonts w:ascii="Arial" w:hAnsi="Arial" w:cs="Arial"/>
          <w:lang w:val="en-NZ"/>
        </w:rPr>
      </w:pPr>
      <w:r w:rsidRPr="0094469A">
        <w:rPr>
          <w:rFonts w:ascii="Arial" w:hAnsi="Arial" w:cs="Arial"/>
          <w:lang w:val="en-NZ"/>
        </w:rPr>
        <w:t xml:space="preserve">a DMF or CoS must be accompanied by batch analytical data demonstrating consistent quality of the substance produced. Product testing using a validated testing methodology must have been conducted by a testing </w:t>
      </w:r>
      <w:r w:rsidRPr="0094469A">
        <w:rPr>
          <w:rFonts w:ascii="Arial" w:hAnsi="Arial"/>
        </w:rPr>
        <w:t>facility</w:t>
      </w:r>
      <w:r>
        <w:rPr>
          <w:rFonts w:ascii="Arial" w:hAnsi="Arial"/>
        </w:rPr>
        <w:t xml:space="preserve"> that</w:t>
      </w:r>
      <w:r w:rsidRPr="0094469A">
        <w:rPr>
          <w:rFonts w:ascii="Arial" w:hAnsi="Arial"/>
        </w:rPr>
        <w:t xml:space="preserve"> is accredited </w:t>
      </w:r>
      <w:r w:rsidRPr="0094469A">
        <w:rPr>
          <w:rFonts w:ascii="Arial" w:hAnsi="Arial" w:cs="Arial"/>
          <w:lang w:val="en-NZ"/>
        </w:rPr>
        <w:t xml:space="preserve">by an </w:t>
      </w:r>
      <w:r>
        <w:rPr>
          <w:rFonts w:ascii="Arial" w:hAnsi="Arial" w:cs="Arial"/>
          <w:lang w:val="en-NZ"/>
        </w:rPr>
        <w:t>OPSRA</w:t>
      </w:r>
      <w:r w:rsidRPr="0094469A">
        <w:rPr>
          <w:rFonts w:ascii="Arial" w:hAnsi="Arial" w:cs="Arial"/>
          <w:lang w:val="en-NZ"/>
        </w:rPr>
        <w:t xml:space="preserve"> recognised </w:t>
      </w:r>
      <w:r w:rsidRPr="002C7CC5">
        <w:rPr>
          <w:rFonts w:ascii="Arial" w:hAnsi="Arial" w:cs="Arial"/>
          <w:lang w:val="en-NZ"/>
        </w:rPr>
        <w:t>agency (</w:t>
      </w:r>
      <w:r>
        <w:rPr>
          <w:rFonts w:ascii="Arial" w:hAnsi="Arial" w:cs="Arial"/>
          <w:lang w:val="en-NZ"/>
        </w:rPr>
        <w:t>ie</w:t>
      </w:r>
      <w:r w:rsidRPr="002C7CC5">
        <w:rPr>
          <w:rFonts w:ascii="Arial" w:hAnsi="Arial" w:cs="Arial"/>
          <w:lang w:val="en-NZ"/>
        </w:rPr>
        <w:t xml:space="preserve">, </w:t>
      </w:r>
      <w:r w:rsidR="001D1066">
        <w:rPr>
          <w:rFonts w:ascii="Arial" w:hAnsi="Arial"/>
        </w:rPr>
        <w:t>International Laboratory Accreditation Cooperation</w:t>
      </w:r>
      <w:r w:rsidR="001D1066" w:rsidRPr="002C7CC5">
        <w:rPr>
          <w:rFonts w:ascii="Arial" w:hAnsi="Arial" w:cs="Arial"/>
          <w:lang w:val="en-NZ"/>
        </w:rPr>
        <w:t xml:space="preserve"> </w:t>
      </w:r>
      <w:r w:rsidR="001D1066">
        <w:rPr>
          <w:rFonts w:ascii="Arial" w:hAnsi="Arial" w:cs="Arial"/>
          <w:lang w:val="en-NZ"/>
        </w:rPr>
        <w:t>(</w:t>
      </w:r>
      <w:r w:rsidRPr="002C7CC5">
        <w:rPr>
          <w:rFonts w:ascii="Arial" w:hAnsi="Arial" w:cs="Arial"/>
          <w:lang w:val="en-NZ"/>
        </w:rPr>
        <w:t>ILAC</w:t>
      </w:r>
      <w:r w:rsidR="001D1066">
        <w:rPr>
          <w:rFonts w:ascii="Arial" w:hAnsi="Arial" w:cs="Arial"/>
          <w:lang w:val="en-NZ"/>
        </w:rPr>
        <w:t>)</w:t>
      </w:r>
      <w:r w:rsidRPr="002C7CC5">
        <w:rPr>
          <w:rFonts w:ascii="Arial" w:hAnsi="Arial" w:cs="Arial"/>
          <w:lang w:val="en-NZ"/>
        </w:rPr>
        <w:t xml:space="preserve"> or </w:t>
      </w:r>
      <w:r w:rsidR="001D1066">
        <w:rPr>
          <w:rFonts w:ascii="Arial" w:hAnsi="Arial"/>
        </w:rPr>
        <w:t>Asia Pacific Laboratory Accreditation Cooperation</w:t>
      </w:r>
      <w:r w:rsidR="001D1066" w:rsidRPr="002C7CC5">
        <w:rPr>
          <w:rFonts w:ascii="Arial" w:hAnsi="Arial" w:cs="Arial"/>
          <w:lang w:val="en-NZ"/>
        </w:rPr>
        <w:t xml:space="preserve"> </w:t>
      </w:r>
      <w:r w:rsidR="001D1066">
        <w:rPr>
          <w:rFonts w:ascii="Arial" w:hAnsi="Arial" w:cs="Arial"/>
          <w:lang w:val="en-NZ"/>
        </w:rPr>
        <w:t>(</w:t>
      </w:r>
      <w:r w:rsidRPr="002C7CC5">
        <w:rPr>
          <w:rFonts w:ascii="Arial" w:hAnsi="Arial" w:cs="Arial"/>
          <w:lang w:val="en-NZ"/>
        </w:rPr>
        <w:t>APLAC)</w:t>
      </w:r>
      <w:r w:rsidRPr="0094469A">
        <w:rPr>
          <w:rFonts w:ascii="Arial" w:hAnsi="Arial" w:cs="Arial"/>
          <w:lang w:val="en-NZ"/>
        </w:rPr>
        <w:t xml:space="preserve"> as me</w:t>
      </w:r>
      <w:r>
        <w:rPr>
          <w:rFonts w:ascii="Arial" w:hAnsi="Arial" w:cs="Arial"/>
          <w:lang w:val="en-NZ"/>
        </w:rPr>
        <w:t xml:space="preserve">eting </w:t>
      </w:r>
      <w:r w:rsidR="001D1066">
        <w:rPr>
          <w:rFonts w:ascii="Arial" w:hAnsi="Arial"/>
        </w:rPr>
        <w:t>International Accreditation New Zealand</w:t>
      </w:r>
      <w:r w:rsidR="001D1066">
        <w:rPr>
          <w:rFonts w:ascii="Arial" w:hAnsi="Arial" w:cs="Arial"/>
          <w:lang w:val="en-NZ"/>
        </w:rPr>
        <w:t xml:space="preserve"> (</w:t>
      </w:r>
      <w:r>
        <w:rPr>
          <w:rFonts w:ascii="Arial" w:hAnsi="Arial" w:cs="Arial"/>
          <w:lang w:val="en-NZ"/>
        </w:rPr>
        <w:t>IANZ</w:t>
      </w:r>
      <w:r w:rsidR="001D1066">
        <w:rPr>
          <w:rFonts w:ascii="Arial" w:hAnsi="Arial" w:cs="Arial"/>
          <w:lang w:val="en-NZ"/>
        </w:rPr>
        <w:t>)</w:t>
      </w:r>
      <w:r>
        <w:rPr>
          <w:rFonts w:ascii="Arial" w:hAnsi="Arial" w:cs="Arial"/>
          <w:lang w:val="en-NZ"/>
        </w:rPr>
        <w:t xml:space="preserve"> or </w:t>
      </w:r>
      <w:r w:rsidR="001D1066" w:rsidRPr="0094469A">
        <w:rPr>
          <w:rFonts w:ascii="Arial" w:hAnsi="Arial"/>
        </w:rPr>
        <w:t>Joint Accreditation System of Australia and New Zealand</w:t>
      </w:r>
      <w:r w:rsidR="001D1066">
        <w:rPr>
          <w:rFonts w:ascii="Arial" w:hAnsi="Arial" w:cs="Arial"/>
          <w:lang w:val="en-NZ"/>
        </w:rPr>
        <w:t xml:space="preserve"> (</w:t>
      </w:r>
      <w:r>
        <w:rPr>
          <w:rFonts w:ascii="Arial" w:hAnsi="Arial" w:cs="Arial"/>
          <w:lang w:val="en-NZ"/>
        </w:rPr>
        <w:t>JAS-ANZ</w:t>
      </w:r>
      <w:r w:rsidR="001D1066">
        <w:rPr>
          <w:rFonts w:ascii="Arial" w:hAnsi="Arial" w:cs="Arial"/>
          <w:lang w:val="en-NZ"/>
        </w:rPr>
        <w:t>)</w:t>
      </w:r>
      <w:r>
        <w:rPr>
          <w:rFonts w:ascii="Arial" w:hAnsi="Arial" w:cs="Arial"/>
          <w:lang w:val="en-NZ"/>
        </w:rPr>
        <w:t xml:space="preserve"> standards. </w:t>
      </w:r>
    </w:p>
    <w:p w:rsidR="00FA09B3" w:rsidRPr="00DA5905" w:rsidRDefault="00FA09B3" w:rsidP="00FA09B3">
      <w:pPr>
        <w:pStyle w:val="ListParagraph"/>
        <w:spacing w:before="120" w:after="120"/>
        <w:ind w:left="1440"/>
        <w:rPr>
          <w:rFonts w:ascii="Arial" w:hAnsi="Arial" w:cs="Arial"/>
          <w:lang w:val="en-NZ"/>
        </w:rPr>
      </w:pPr>
    </w:p>
    <w:p w:rsidR="00FA09B3" w:rsidRPr="000F1FF2" w:rsidRDefault="00FA09B3" w:rsidP="00FA09B3">
      <w:pPr>
        <w:rPr>
          <w:rStyle w:val="Arial"/>
        </w:rPr>
      </w:pPr>
      <w:r w:rsidRPr="00DA5905">
        <w:rPr>
          <w:rStyle w:val="Arial12ptBold"/>
        </w:rPr>
        <w:t xml:space="preserve">Note: </w:t>
      </w:r>
      <w:r w:rsidRPr="00DA5905">
        <w:rPr>
          <w:rStyle w:val="Arial"/>
        </w:rPr>
        <w:t xml:space="preserve">A GMP certificate alone is not acceptable as a substitute for a DMF, </w:t>
      </w:r>
      <w:r>
        <w:rPr>
          <w:rStyle w:val="Arial"/>
        </w:rPr>
        <w:t>CoS</w:t>
      </w:r>
      <w:r w:rsidRPr="00DA5905">
        <w:rPr>
          <w:rStyle w:val="Arial"/>
        </w:rPr>
        <w:t xml:space="preserve"> or batch analyti</w:t>
      </w:r>
      <w:r w:rsidRPr="00BC6862">
        <w:rPr>
          <w:rStyle w:val="Arial"/>
        </w:rPr>
        <w:t>cal data where these are normally required.</w:t>
      </w:r>
      <w:r w:rsidRPr="000F1FF2">
        <w:rPr>
          <w:rStyle w:val="Arial"/>
        </w:rPr>
        <w:t xml:space="preserve"> </w:t>
      </w:r>
    </w:p>
    <w:p w:rsidR="00397114" w:rsidRDefault="00397114" w:rsidP="00CF062F">
      <w:pPr>
        <w:pStyle w:val="Heading3"/>
        <w:numPr>
          <w:ilvl w:val="1"/>
          <w:numId w:val="62"/>
        </w:numPr>
      </w:pPr>
      <w:bookmarkStart w:id="94" w:name="_Toc409508708"/>
      <w:r w:rsidRPr="00BB2C10">
        <w:t>Guidance on analytical procedure validation</w:t>
      </w:r>
      <w:bookmarkEnd w:id="94"/>
      <w:r w:rsidRPr="00BB2C10">
        <w:t xml:space="preserve"> </w:t>
      </w:r>
    </w:p>
    <w:p w:rsidR="00397114" w:rsidRPr="00BB2C10" w:rsidRDefault="00397114" w:rsidP="00397114">
      <w:pPr>
        <w:rPr>
          <w:rFonts w:ascii="Arial" w:hAnsi="Arial"/>
        </w:rPr>
      </w:pPr>
      <w:r w:rsidRPr="00BB2C10">
        <w:rPr>
          <w:rFonts w:ascii="Arial" w:hAnsi="Arial"/>
        </w:rPr>
        <w:t xml:space="preserve">The information that follows is guidance to industry on the </w:t>
      </w:r>
      <w:r>
        <w:rPr>
          <w:rFonts w:ascii="Arial" w:hAnsi="Arial"/>
        </w:rPr>
        <w:t>OPSRA</w:t>
      </w:r>
      <w:r w:rsidRPr="00BB2C10">
        <w:rPr>
          <w:rFonts w:ascii="Arial" w:hAnsi="Arial"/>
        </w:rPr>
        <w:t xml:space="preserve">’s expectations with reference to analytical procedure validation. Departure from this guidance is permissible if sufficient justification is provided. Equally, the </w:t>
      </w:r>
      <w:r>
        <w:rPr>
          <w:rFonts w:ascii="Arial" w:hAnsi="Arial"/>
        </w:rPr>
        <w:t>OPSRA</w:t>
      </w:r>
      <w:r w:rsidRPr="00BB2C10">
        <w:rPr>
          <w:rFonts w:ascii="Arial" w:hAnsi="Arial"/>
        </w:rPr>
        <w:t xml:space="preserve"> may request additional information if it has concerns over an aspect of an analytical procedure’s use. </w:t>
      </w:r>
    </w:p>
    <w:p w:rsidR="00397114" w:rsidRPr="00BB2C10" w:rsidRDefault="00397114" w:rsidP="00397114">
      <w:pPr>
        <w:rPr>
          <w:rFonts w:ascii="Arial" w:hAnsi="Arial"/>
        </w:rPr>
      </w:pPr>
    </w:p>
    <w:p w:rsidR="00397114" w:rsidRPr="00BB2C10" w:rsidRDefault="00397114" w:rsidP="00397114">
      <w:pPr>
        <w:rPr>
          <w:rFonts w:ascii="Arial" w:hAnsi="Arial"/>
        </w:rPr>
      </w:pPr>
      <w:r w:rsidRPr="00BB2C10">
        <w:rPr>
          <w:rFonts w:ascii="Arial" w:hAnsi="Arial"/>
        </w:rPr>
        <w:t xml:space="preserve">This guidance covers three topics, which address the </w:t>
      </w:r>
      <w:r>
        <w:rPr>
          <w:rFonts w:ascii="Arial" w:hAnsi="Arial"/>
        </w:rPr>
        <w:t>OPSRA</w:t>
      </w:r>
      <w:r w:rsidRPr="00BB2C10">
        <w:rPr>
          <w:rFonts w:ascii="Arial" w:hAnsi="Arial"/>
        </w:rPr>
        <w:t xml:space="preserve">’s expectations regarding: </w:t>
      </w:r>
    </w:p>
    <w:p w:rsidR="00397114" w:rsidRPr="00BB2C10" w:rsidRDefault="00397114" w:rsidP="00DB34DC">
      <w:pPr>
        <w:pStyle w:val="ListParagraph"/>
        <w:numPr>
          <w:ilvl w:val="0"/>
          <w:numId w:val="3"/>
        </w:numPr>
        <w:spacing w:before="120" w:after="120"/>
        <w:ind w:left="714" w:hanging="357"/>
        <w:contextualSpacing w:val="0"/>
        <w:rPr>
          <w:rFonts w:ascii="Arial" w:hAnsi="Arial"/>
        </w:rPr>
      </w:pPr>
      <w:r w:rsidRPr="00BB2C10">
        <w:rPr>
          <w:rFonts w:ascii="Arial" w:hAnsi="Arial"/>
        </w:rPr>
        <w:t xml:space="preserve">the validation of pharmacopoeial methods </w:t>
      </w:r>
    </w:p>
    <w:p w:rsidR="00397114" w:rsidRPr="00BB2C10" w:rsidRDefault="00397114" w:rsidP="00DB34DC">
      <w:pPr>
        <w:pStyle w:val="ListParagraph"/>
        <w:numPr>
          <w:ilvl w:val="0"/>
          <w:numId w:val="3"/>
        </w:numPr>
        <w:spacing w:before="120" w:after="120"/>
        <w:ind w:left="714" w:hanging="357"/>
        <w:contextualSpacing w:val="0"/>
        <w:rPr>
          <w:rFonts w:ascii="Arial" w:hAnsi="Arial"/>
        </w:rPr>
      </w:pPr>
      <w:r w:rsidRPr="00BB2C10">
        <w:rPr>
          <w:rFonts w:ascii="Arial" w:hAnsi="Arial"/>
        </w:rPr>
        <w:t xml:space="preserve">the validation of non-pharmacopoeial methods </w:t>
      </w:r>
    </w:p>
    <w:p w:rsidR="00397114" w:rsidRPr="00BB2C10" w:rsidRDefault="00397114" w:rsidP="00DB34DC">
      <w:pPr>
        <w:pStyle w:val="ListParagraph"/>
        <w:numPr>
          <w:ilvl w:val="0"/>
          <w:numId w:val="3"/>
        </w:numPr>
        <w:spacing w:before="120" w:after="120"/>
        <w:ind w:left="714" w:hanging="357"/>
        <w:contextualSpacing w:val="0"/>
        <w:rPr>
          <w:rFonts w:ascii="Arial" w:hAnsi="Arial"/>
        </w:rPr>
      </w:pPr>
      <w:r w:rsidRPr="00BB2C10">
        <w:rPr>
          <w:rFonts w:ascii="Arial" w:hAnsi="Arial"/>
        </w:rPr>
        <w:t xml:space="preserve">the conduct of analytical procedure transfer. </w:t>
      </w:r>
    </w:p>
    <w:p w:rsidR="00397114" w:rsidRPr="00DA5905" w:rsidRDefault="00397114" w:rsidP="00397114">
      <w:pPr>
        <w:rPr>
          <w:rFonts w:ascii="Arial" w:hAnsi="Arial"/>
          <w:highlight w:val="yellow"/>
        </w:rPr>
      </w:pPr>
    </w:p>
    <w:p w:rsidR="00397114" w:rsidRPr="00BB2C10" w:rsidRDefault="00397114" w:rsidP="00397114">
      <w:pPr>
        <w:rPr>
          <w:rFonts w:ascii="Arial" w:hAnsi="Arial"/>
        </w:rPr>
      </w:pPr>
      <w:r w:rsidRPr="00BB2C10">
        <w:rPr>
          <w:rFonts w:ascii="Arial" w:hAnsi="Arial"/>
        </w:rPr>
        <w:t xml:space="preserve">In addition, each section includes the </w:t>
      </w:r>
      <w:r>
        <w:rPr>
          <w:rFonts w:ascii="Arial" w:hAnsi="Arial"/>
        </w:rPr>
        <w:t>OPSRA</w:t>
      </w:r>
      <w:r w:rsidRPr="00BB2C10">
        <w:rPr>
          <w:rFonts w:ascii="Arial" w:hAnsi="Arial"/>
        </w:rPr>
        <w:t>’s data requirements as they pertain to the submission of an NPPA.</w:t>
      </w:r>
    </w:p>
    <w:p w:rsidR="00397114" w:rsidRDefault="00397114" w:rsidP="00397114">
      <w:pPr>
        <w:rPr>
          <w:rFonts w:ascii="Arial" w:hAnsi="Arial"/>
        </w:rPr>
      </w:pPr>
    </w:p>
    <w:p w:rsidR="00397114" w:rsidRPr="00BB2C10" w:rsidRDefault="00397114" w:rsidP="00397114">
      <w:pPr>
        <w:rPr>
          <w:rFonts w:ascii="Arial" w:hAnsi="Arial"/>
        </w:rPr>
      </w:pPr>
      <w:r w:rsidRPr="00BB2C10">
        <w:rPr>
          <w:rFonts w:ascii="Arial" w:hAnsi="Arial"/>
        </w:rPr>
        <w:t xml:space="preserve">The </w:t>
      </w:r>
      <w:r>
        <w:rPr>
          <w:rFonts w:ascii="Arial" w:hAnsi="Arial"/>
        </w:rPr>
        <w:t>OPSRA</w:t>
      </w:r>
      <w:r w:rsidRPr="00BB2C10">
        <w:rPr>
          <w:rFonts w:ascii="Arial" w:hAnsi="Arial"/>
        </w:rPr>
        <w:t xml:space="preserve"> expects all analytical procedures, (pharmacopoeial, and non-pharmacopoeial) to have been verified as suitable for use at each site where testing is to occur. It also expects that method verification will have occurred before use. </w:t>
      </w:r>
    </w:p>
    <w:p w:rsidR="00397114" w:rsidRPr="00DA5905" w:rsidRDefault="00397114" w:rsidP="00397114">
      <w:pPr>
        <w:rPr>
          <w:rFonts w:ascii="Arial" w:hAnsi="Arial"/>
          <w:highlight w:val="yellow"/>
        </w:rPr>
      </w:pPr>
    </w:p>
    <w:p w:rsidR="00397114" w:rsidRPr="00BB2C10" w:rsidRDefault="00397114" w:rsidP="00397114">
      <w:pPr>
        <w:rPr>
          <w:rFonts w:ascii="Arial" w:hAnsi="Arial"/>
        </w:rPr>
      </w:pPr>
      <w:r w:rsidRPr="00BB2C10">
        <w:rPr>
          <w:rFonts w:ascii="Arial" w:hAnsi="Arial"/>
        </w:rPr>
        <w:t xml:space="preserve">The extent of verification required is determined by: </w:t>
      </w:r>
    </w:p>
    <w:p w:rsidR="00397114" w:rsidRPr="00BB2C10" w:rsidRDefault="00397114" w:rsidP="00DB34DC">
      <w:pPr>
        <w:pStyle w:val="ListParagraph"/>
        <w:numPr>
          <w:ilvl w:val="0"/>
          <w:numId w:val="32"/>
        </w:numPr>
        <w:spacing w:before="120" w:after="120"/>
        <w:ind w:left="714" w:hanging="357"/>
        <w:contextualSpacing w:val="0"/>
        <w:rPr>
          <w:rFonts w:ascii="Arial" w:hAnsi="Arial"/>
        </w:rPr>
      </w:pPr>
      <w:r w:rsidRPr="00BB2C10">
        <w:rPr>
          <w:rFonts w:ascii="Arial" w:hAnsi="Arial"/>
        </w:rPr>
        <w:t xml:space="preserve">whether the analytical procedure is in a recognised pharmacopoeia </w:t>
      </w:r>
    </w:p>
    <w:p w:rsidR="00397114" w:rsidRPr="00BB2C10" w:rsidRDefault="00397114" w:rsidP="00DB34DC">
      <w:pPr>
        <w:pStyle w:val="ListParagraph"/>
        <w:numPr>
          <w:ilvl w:val="0"/>
          <w:numId w:val="32"/>
        </w:numPr>
        <w:spacing w:before="120" w:after="120"/>
        <w:ind w:left="714" w:hanging="357"/>
        <w:contextualSpacing w:val="0"/>
        <w:rPr>
          <w:rFonts w:ascii="Arial" w:hAnsi="Arial"/>
        </w:rPr>
      </w:pPr>
      <w:r w:rsidRPr="00BB2C10">
        <w:rPr>
          <w:rFonts w:ascii="Arial" w:hAnsi="Arial"/>
        </w:rPr>
        <w:t xml:space="preserve">the type and complexity of the analytical procedure in question. </w:t>
      </w:r>
    </w:p>
    <w:p w:rsidR="00397114" w:rsidRDefault="00397114" w:rsidP="00397114">
      <w:pPr>
        <w:rPr>
          <w:rFonts w:ascii="Arial" w:hAnsi="Arial"/>
        </w:rPr>
      </w:pPr>
      <w:r w:rsidRPr="00BB2C10">
        <w:rPr>
          <w:rFonts w:ascii="Arial" w:hAnsi="Arial"/>
        </w:rPr>
        <w:t xml:space="preserve">Verification encompasses a range of techniques including: full validation in accordance with ICH guidance, analytical procedure transfer validation, or conformance with system suitability criteria. </w:t>
      </w:r>
    </w:p>
    <w:p w:rsidR="00397114" w:rsidRPr="00BB2C10" w:rsidRDefault="00397114" w:rsidP="00397114">
      <w:pPr>
        <w:rPr>
          <w:rFonts w:ascii="Arial" w:hAnsi="Arial"/>
        </w:rPr>
      </w:pPr>
    </w:p>
    <w:p w:rsidR="00397114" w:rsidRPr="003F0BDA" w:rsidRDefault="00397114" w:rsidP="003F0BDA">
      <w:pPr>
        <w:pStyle w:val="ListParagraph"/>
        <w:numPr>
          <w:ilvl w:val="2"/>
          <w:numId w:val="71"/>
        </w:numPr>
        <w:rPr>
          <w:rStyle w:val="Arial"/>
          <w:i/>
          <w:iCs/>
        </w:rPr>
      </w:pPr>
      <w:r w:rsidRPr="003F0BDA">
        <w:rPr>
          <w:rStyle w:val="Arial"/>
          <w:i/>
          <w:iCs/>
        </w:rPr>
        <w:t xml:space="preserve">Validation requirements for pharmacopoeial analytical procedures </w:t>
      </w:r>
    </w:p>
    <w:p w:rsidR="00397114" w:rsidRDefault="00397114" w:rsidP="00397114">
      <w:pPr>
        <w:rPr>
          <w:rFonts w:ascii="Arial" w:hAnsi="Arial"/>
        </w:rPr>
      </w:pPr>
    </w:p>
    <w:p w:rsidR="00397114" w:rsidRPr="00BB2C10" w:rsidRDefault="00397114" w:rsidP="00397114">
      <w:pPr>
        <w:rPr>
          <w:rFonts w:ascii="Arial" w:hAnsi="Arial"/>
        </w:rPr>
      </w:pPr>
      <w:r w:rsidRPr="00BB2C10">
        <w:rPr>
          <w:rFonts w:ascii="Arial" w:hAnsi="Arial"/>
        </w:rPr>
        <w:t xml:space="preserve">The </w:t>
      </w:r>
      <w:r>
        <w:rPr>
          <w:rFonts w:ascii="Arial" w:hAnsi="Arial"/>
        </w:rPr>
        <w:t xml:space="preserve">OPSRA </w:t>
      </w:r>
      <w:r w:rsidRPr="00BB2C10">
        <w:rPr>
          <w:rFonts w:ascii="Arial" w:hAnsi="Arial"/>
        </w:rPr>
        <w:t xml:space="preserve">expects pharmacopoeial analytical procedures to be verified as suitable for use at all sites of testing. In most cases this means conformance with system suitability criteria and does not involve full validation in accordance with ICH guidance. </w:t>
      </w:r>
    </w:p>
    <w:p w:rsidR="00397114" w:rsidRPr="00DA5905" w:rsidRDefault="00397114" w:rsidP="00397114">
      <w:pPr>
        <w:rPr>
          <w:rFonts w:ascii="Arial" w:hAnsi="Arial"/>
          <w:highlight w:val="yellow"/>
        </w:rPr>
      </w:pPr>
    </w:p>
    <w:p w:rsidR="00397114" w:rsidRPr="00BB2C10" w:rsidRDefault="00397114" w:rsidP="00397114">
      <w:pPr>
        <w:rPr>
          <w:rFonts w:ascii="Arial" w:hAnsi="Arial"/>
        </w:rPr>
      </w:pPr>
      <w:r w:rsidRPr="00BB2C10">
        <w:rPr>
          <w:rFonts w:ascii="Arial" w:hAnsi="Arial"/>
        </w:rPr>
        <w:t xml:space="preserve">Notable exceptions to this rule are: </w:t>
      </w:r>
    </w:p>
    <w:p w:rsidR="00397114" w:rsidRPr="00BB2C10" w:rsidRDefault="00397114" w:rsidP="00DB34DC">
      <w:pPr>
        <w:pStyle w:val="ListParagraph"/>
        <w:numPr>
          <w:ilvl w:val="0"/>
          <w:numId w:val="33"/>
        </w:numPr>
        <w:spacing w:before="120" w:after="120"/>
        <w:ind w:left="714" w:hanging="357"/>
        <w:contextualSpacing w:val="0"/>
        <w:rPr>
          <w:rFonts w:ascii="Arial" w:hAnsi="Arial"/>
        </w:rPr>
      </w:pPr>
      <w:r w:rsidRPr="00BB2C10">
        <w:rPr>
          <w:rStyle w:val="Arial"/>
          <w:i/>
          <w:iCs/>
        </w:rPr>
        <w:t>Finished product assay procedures.</w:t>
      </w:r>
      <w:r w:rsidRPr="00BB2C10">
        <w:rPr>
          <w:rFonts w:ascii="Arial" w:hAnsi="Arial"/>
        </w:rPr>
        <w:t xml:space="preserve"> Evidence is required that the </w:t>
      </w:r>
      <w:r>
        <w:rPr>
          <w:rFonts w:ascii="Arial" w:hAnsi="Arial"/>
        </w:rPr>
        <w:t xml:space="preserve">finished product </w:t>
      </w:r>
      <w:r w:rsidRPr="00BB2C10">
        <w:rPr>
          <w:rFonts w:ascii="Arial" w:hAnsi="Arial"/>
        </w:rPr>
        <w:t xml:space="preserve">excipients do not interfere with the procedure. </w:t>
      </w:r>
    </w:p>
    <w:p w:rsidR="00397114" w:rsidRPr="00BB2C10" w:rsidRDefault="00397114" w:rsidP="00DB34DC">
      <w:pPr>
        <w:pStyle w:val="ListParagraph"/>
        <w:numPr>
          <w:ilvl w:val="0"/>
          <w:numId w:val="33"/>
        </w:numPr>
        <w:spacing w:before="120" w:after="120"/>
        <w:ind w:left="714" w:hanging="357"/>
        <w:contextualSpacing w:val="0"/>
        <w:rPr>
          <w:rFonts w:ascii="Arial" w:hAnsi="Arial"/>
        </w:rPr>
      </w:pPr>
      <w:r w:rsidRPr="00BB2C10">
        <w:rPr>
          <w:rStyle w:val="Arial"/>
          <w:i/>
          <w:iCs/>
        </w:rPr>
        <w:t>Impurity (in the active ingredient) analytical procedures.</w:t>
      </w:r>
      <w:r w:rsidRPr="00BB2C10">
        <w:rPr>
          <w:rFonts w:ascii="Arial" w:hAnsi="Arial"/>
        </w:rPr>
        <w:t xml:space="preserve"> Evidence of appropriate validation will be required where the active ingredient is made using a different route of synthesis from the route that underpins the pharmacopoeial monograph, or where a non-pharmacopoeial impurity is specified. </w:t>
      </w:r>
    </w:p>
    <w:p w:rsidR="00397114" w:rsidRPr="00BB2C10" w:rsidRDefault="00397114" w:rsidP="00DB34DC">
      <w:pPr>
        <w:pStyle w:val="ListParagraph"/>
        <w:numPr>
          <w:ilvl w:val="0"/>
          <w:numId w:val="33"/>
        </w:numPr>
        <w:spacing w:before="120" w:after="120"/>
        <w:ind w:left="714" w:hanging="357"/>
        <w:contextualSpacing w:val="0"/>
        <w:rPr>
          <w:rFonts w:ascii="Arial" w:hAnsi="Arial"/>
        </w:rPr>
      </w:pPr>
      <w:r w:rsidRPr="00BB2C10">
        <w:rPr>
          <w:rStyle w:val="Arial"/>
          <w:i/>
          <w:iCs/>
        </w:rPr>
        <w:t>Biological tests eg, microbial quality, sterility, endotoxins.</w:t>
      </w:r>
      <w:r w:rsidRPr="00BB2C10">
        <w:rPr>
          <w:rFonts w:ascii="Arial" w:hAnsi="Arial"/>
        </w:rPr>
        <w:t xml:space="preserve"> Such tests require preparatory investigations to have been undertaken to ensure the analytical procedure is functioning correctly and is suitable for use. Evidence of this is required. </w:t>
      </w:r>
    </w:p>
    <w:p w:rsidR="00397114" w:rsidRPr="00BB2C10" w:rsidRDefault="00397114" w:rsidP="00397114">
      <w:pPr>
        <w:rPr>
          <w:rFonts w:ascii="Arial" w:hAnsi="Arial"/>
        </w:rPr>
      </w:pPr>
      <w:r w:rsidRPr="00BB2C10">
        <w:rPr>
          <w:rFonts w:ascii="Arial" w:hAnsi="Arial"/>
        </w:rPr>
        <w:t xml:space="preserve">For standard pharmacopoeial analytical procedures, other than those specified above, no validation or analytical procedure transfer data is required to be submitted for sites of testing. </w:t>
      </w:r>
    </w:p>
    <w:p w:rsidR="00397114" w:rsidRPr="00BB2C10" w:rsidRDefault="00397114" w:rsidP="00397114">
      <w:pPr>
        <w:rPr>
          <w:rFonts w:ascii="Arial" w:hAnsi="Arial"/>
        </w:rPr>
      </w:pPr>
    </w:p>
    <w:p w:rsidR="00397114" w:rsidRDefault="00397114" w:rsidP="00397114">
      <w:pPr>
        <w:rPr>
          <w:rFonts w:ascii="Arial" w:hAnsi="Arial"/>
        </w:rPr>
      </w:pPr>
      <w:r w:rsidRPr="00BB2C10">
        <w:rPr>
          <w:rFonts w:ascii="Arial" w:hAnsi="Arial"/>
        </w:rPr>
        <w:t xml:space="preserve">For non-standard pharmacopoeial analytical procedures, such as those specified above, validation reports are required from the site of analytical procedure development, but not from each proposed site of testing. </w:t>
      </w:r>
    </w:p>
    <w:p w:rsidR="00397114" w:rsidRPr="00BB2C10" w:rsidRDefault="00397114" w:rsidP="00397114">
      <w:pPr>
        <w:rPr>
          <w:rFonts w:ascii="Arial" w:hAnsi="Arial"/>
        </w:rPr>
      </w:pPr>
    </w:p>
    <w:p w:rsidR="00397114" w:rsidRPr="003F0BDA" w:rsidRDefault="00397114" w:rsidP="003F0BDA">
      <w:pPr>
        <w:pStyle w:val="ListParagraph"/>
        <w:numPr>
          <w:ilvl w:val="2"/>
          <w:numId w:val="71"/>
        </w:numPr>
        <w:rPr>
          <w:rStyle w:val="Arial"/>
          <w:i/>
          <w:iCs/>
        </w:rPr>
      </w:pPr>
      <w:r w:rsidRPr="003F0BDA">
        <w:rPr>
          <w:rStyle w:val="Arial"/>
          <w:i/>
          <w:iCs/>
        </w:rPr>
        <w:t>Validation requirements for non-pharmacopoeial analytical procedures</w:t>
      </w:r>
    </w:p>
    <w:p w:rsidR="00397114" w:rsidRDefault="00397114" w:rsidP="00397114">
      <w:pPr>
        <w:rPr>
          <w:rFonts w:ascii="Arial" w:hAnsi="Arial"/>
        </w:rPr>
      </w:pPr>
    </w:p>
    <w:p w:rsidR="00397114" w:rsidRPr="00BB2C10" w:rsidRDefault="00397114" w:rsidP="00397114">
      <w:pPr>
        <w:rPr>
          <w:rFonts w:ascii="Arial" w:hAnsi="Arial"/>
        </w:rPr>
      </w:pPr>
      <w:r w:rsidRPr="00BB2C10">
        <w:rPr>
          <w:rFonts w:ascii="Arial" w:hAnsi="Arial"/>
        </w:rPr>
        <w:t xml:space="preserve">The </w:t>
      </w:r>
      <w:r>
        <w:rPr>
          <w:rFonts w:ascii="Arial" w:hAnsi="Arial"/>
        </w:rPr>
        <w:t>OPSRA</w:t>
      </w:r>
      <w:r w:rsidRPr="00BB2C10">
        <w:rPr>
          <w:rFonts w:ascii="Arial" w:hAnsi="Arial"/>
        </w:rPr>
        <w:t xml:space="preserve"> expects non-pharmacopoeial analytical procedures to be validated in line with ICH guidance at the site of analytical procedure development. </w:t>
      </w:r>
    </w:p>
    <w:p w:rsidR="00397114" w:rsidRPr="00DA5905" w:rsidRDefault="00397114" w:rsidP="00397114">
      <w:pPr>
        <w:rPr>
          <w:rFonts w:ascii="Arial" w:hAnsi="Arial"/>
          <w:highlight w:val="yellow"/>
        </w:rPr>
      </w:pPr>
    </w:p>
    <w:p w:rsidR="00397114" w:rsidRPr="00BB2C10" w:rsidRDefault="00397114" w:rsidP="00397114">
      <w:pPr>
        <w:rPr>
          <w:rFonts w:ascii="Arial" w:hAnsi="Arial"/>
        </w:rPr>
      </w:pPr>
      <w:r w:rsidRPr="00BB2C10">
        <w:rPr>
          <w:rFonts w:ascii="Arial" w:hAnsi="Arial"/>
        </w:rPr>
        <w:t>Non-pharmacopoeial analytical procedures should be verified as suitable for use at all nominated sites of testing, either through a revalidation process that is in-line with ICH guidance, or through use of an analytical procedure transfer process (</w:t>
      </w:r>
      <w:r w:rsidRPr="00287691">
        <w:rPr>
          <w:rFonts w:ascii="Arial" w:hAnsi="Arial"/>
        </w:rPr>
        <w:t xml:space="preserve">see section </w:t>
      </w:r>
      <w:r w:rsidR="00107361" w:rsidRPr="00287691">
        <w:rPr>
          <w:rFonts w:ascii="Arial" w:hAnsi="Arial"/>
        </w:rPr>
        <w:t>11.</w:t>
      </w:r>
      <w:r w:rsidR="00287691" w:rsidRPr="00287691">
        <w:rPr>
          <w:rFonts w:ascii="Arial" w:hAnsi="Arial"/>
        </w:rPr>
        <w:t>2</w:t>
      </w:r>
      <w:r w:rsidR="00107361" w:rsidRPr="00287691">
        <w:rPr>
          <w:rFonts w:ascii="Arial" w:hAnsi="Arial"/>
        </w:rPr>
        <w:t>.3</w:t>
      </w:r>
      <w:r w:rsidRPr="00287691">
        <w:rPr>
          <w:rFonts w:ascii="Arial" w:hAnsi="Arial"/>
        </w:rPr>
        <w:t xml:space="preserve"> below for further details</w:t>
      </w:r>
      <w:r w:rsidRPr="00BB2C10">
        <w:rPr>
          <w:rFonts w:ascii="Arial" w:hAnsi="Arial"/>
        </w:rPr>
        <w:t xml:space="preserve">). </w:t>
      </w:r>
    </w:p>
    <w:p w:rsidR="00397114" w:rsidRPr="00DA5905" w:rsidRDefault="00397114" w:rsidP="00397114">
      <w:pPr>
        <w:rPr>
          <w:rFonts w:ascii="Arial" w:hAnsi="Arial"/>
          <w:highlight w:val="yellow"/>
        </w:rPr>
      </w:pPr>
    </w:p>
    <w:p w:rsidR="00397114" w:rsidRPr="00BB2C10" w:rsidRDefault="00397114" w:rsidP="00397114">
      <w:pPr>
        <w:rPr>
          <w:rFonts w:ascii="Arial" w:hAnsi="Arial"/>
        </w:rPr>
      </w:pPr>
      <w:r w:rsidRPr="00BB2C10">
        <w:rPr>
          <w:rFonts w:ascii="Arial" w:hAnsi="Arial"/>
        </w:rPr>
        <w:t xml:space="preserve">For a non-pharmacopoeial analytical procedure a validation report is required from the site of analytical procedure development. </w:t>
      </w:r>
    </w:p>
    <w:p w:rsidR="00397114" w:rsidRPr="00BC6862" w:rsidRDefault="00397114" w:rsidP="00397114">
      <w:pPr>
        <w:rPr>
          <w:rFonts w:ascii="Arial" w:hAnsi="Arial"/>
        </w:rPr>
      </w:pPr>
    </w:p>
    <w:p w:rsidR="00397114" w:rsidRDefault="00397114" w:rsidP="00397114">
      <w:pPr>
        <w:rPr>
          <w:rFonts w:ascii="Arial" w:hAnsi="Arial"/>
        </w:rPr>
      </w:pPr>
      <w:r w:rsidRPr="00BC6862">
        <w:rPr>
          <w:rFonts w:ascii="Arial" w:hAnsi="Arial"/>
        </w:rPr>
        <w:t>A revalidation report or evidence of analytical transfer (</w:t>
      </w:r>
      <w:r w:rsidR="00107361" w:rsidRPr="00287691">
        <w:rPr>
          <w:rFonts w:ascii="Arial" w:hAnsi="Arial"/>
        </w:rPr>
        <w:t>see section 11.</w:t>
      </w:r>
      <w:r w:rsidR="00287691" w:rsidRPr="00287691">
        <w:rPr>
          <w:rFonts w:ascii="Arial" w:hAnsi="Arial"/>
        </w:rPr>
        <w:t>2</w:t>
      </w:r>
      <w:r w:rsidR="00107361" w:rsidRPr="00287691">
        <w:rPr>
          <w:rFonts w:ascii="Arial" w:hAnsi="Arial"/>
        </w:rPr>
        <w:t xml:space="preserve">.3 </w:t>
      </w:r>
      <w:r w:rsidRPr="00287691">
        <w:rPr>
          <w:rFonts w:ascii="Arial" w:hAnsi="Arial"/>
        </w:rPr>
        <w:t>below for further details</w:t>
      </w:r>
      <w:r w:rsidRPr="00BC6862">
        <w:rPr>
          <w:rFonts w:ascii="Arial" w:hAnsi="Arial"/>
        </w:rPr>
        <w:t>) is required</w:t>
      </w:r>
      <w:r w:rsidRPr="00BB2C10">
        <w:rPr>
          <w:rFonts w:ascii="Arial" w:hAnsi="Arial"/>
        </w:rPr>
        <w:t xml:space="preserve"> for each additional site of testing. </w:t>
      </w:r>
    </w:p>
    <w:p w:rsidR="00DB34DC" w:rsidRPr="00BB2C10" w:rsidRDefault="00DB34DC" w:rsidP="00397114">
      <w:pPr>
        <w:rPr>
          <w:rFonts w:ascii="Arial" w:hAnsi="Arial"/>
        </w:rPr>
      </w:pPr>
    </w:p>
    <w:p w:rsidR="00397114" w:rsidRPr="00DB34DC" w:rsidRDefault="001D1066" w:rsidP="003F0BDA">
      <w:pPr>
        <w:pStyle w:val="ListParagraph"/>
        <w:numPr>
          <w:ilvl w:val="2"/>
          <w:numId w:val="71"/>
        </w:numPr>
        <w:ind w:left="993" w:hanging="993"/>
        <w:rPr>
          <w:rStyle w:val="Arial"/>
          <w:i/>
          <w:iCs/>
        </w:rPr>
      </w:pPr>
      <w:r>
        <w:rPr>
          <w:rStyle w:val="Arial"/>
          <w:i/>
          <w:iCs/>
        </w:rPr>
        <w:t>Analytical</w:t>
      </w:r>
      <w:r w:rsidR="00397114" w:rsidRPr="00DB34DC">
        <w:rPr>
          <w:rStyle w:val="Arial"/>
          <w:i/>
          <w:iCs/>
        </w:rPr>
        <w:t xml:space="preserve"> Method Transfer </w:t>
      </w:r>
    </w:p>
    <w:p w:rsidR="00397114" w:rsidRDefault="00397114" w:rsidP="00397114">
      <w:pPr>
        <w:rPr>
          <w:rFonts w:ascii="Arial" w:hAnsi="Arial"/>
        </w:rPr>
      </w:pPr>
    </w:p>
    <w:p w:rsidR="00397114" w:rsidRPr="00BB2C10" w:rsidRDefault="001D1066" w:rsidP="00397114">
      <w:pPr>
        <w:rPr>
          <w:rFonts w:ascii="Arial" w:hAnsi="Arial"/>
        </w:rPr>
      </w:pPr>
      <w:r>
        <w:rPr>
          <w:rFonts w:ascii="Arial" w:hAnsi="Arial"/>
        </w:rPr>
        <w:t>Analytical</w:t>
      </w:r>
      <w:r w:rsidR="00397114">
        <w:rPr>
          <w:rFonts w:ascii="Arial" w:hAnsi="Arial"/>
        </w:rPr>
        <w:t xml:space="preserve"> method</w:t>
      </w:r>
      <w:r w:rsidR="00397114" w:rsidRPr="00BB2C10">
        <w:rPr>
          <w:rFonts w:ascii="Arial" w:hAnsi="Arial"/>
        </w:rPr>
        <w:t xml:space="preserve"> transfer is the process that qualifies a laboratory to use a particular </w:t>
      </w:r>
      <w:r w:rsidR="00397114">
        <w:rPr>
          <w:rFonts w:ascii="Arial" w:hAnsi="Arial"/>
        </w:rPr>
        <w:t>test method</w:t>
      </w:r>
      <w:r w:rsidR="00397114" w:rsidRPr="00BB2C10">
        <w:rPr>
          <w:rFonts w:ascii="Arial" w:hAnsi="Arial"/>
        </w:rPr>
        <w:t xml:space="preserve"> that has been developed in another laboratory. </w:t>
      </w:r>
    </w:p>
    <w:p w:rsidR="00397114" w:rsidRPr="00DA5905" w:rsidRDefault="00397114" w:rsidP="00397114">
      <w:pPr>
        <w:rPr>
          <w:rFonts w:ascii="Arial" w:hAnsi="Arial"/>
          <w:highlight w:val="yellow"/>
        </w:rPr>
      </w:pPr>
    </w:p>
    <w:p w:rsidR="00397114" w:rsidRPr="00BB2C10" w:rsidRDefault="00397114" w:rsidP="00397114">
      <w:pPr>
        <w:rPr>
          <w:rFonts w:ascii="Arial" w:hAnsi="Arial"/>
        </w:rPr>
      </w:pPr>
      <w:r w:rsidRPr="00BB2C10">
        <w:rPr>
          <w:rFonts w:ascii="Arial" w:hAnsi="Arial"/>
        </w:rPr>
        <w:t xml:space="preserve">Fundamentally, </w:t>
      </w:r>
      <w:r>
        <w:rPr>
          <w:rFonts w:ascii="Arial" w:hAnsi="Arial"/>
        </w:rPr>
        <w:t>test method</w:t>
      </w:r>
      <w:r w:rsidRPr="00BB2C10">
        <w:rPr>
          <w:rFonts w:ascii="Arial" w:hAnsi="Arial"/>
        </w:rPr>
        <w:t xml:space="preserve"> transfer comprises repeated testing of common samples at the sending and receiving sites in order that comparative analysis may be undertaken. </w:t>
      </w:r>
    </w:p>
    <w:p w:rsidR="00397114" w:rsidRPr="00DA5905" w:rsidRDefault="00397114" w:rsidP="00397114">
      <w:pPr>
        <w:rPr>
          <w:rFonts w:ascii="Arial" w:hAnsi="Arial"/>
          <w:highlight w:val="yellow"/>
        </w:rPr>
      </w:pPr>
    </w:p>
    <w:p w:rsidR="00397114" w:rsidRPr="00BB2C10" w:rsidRDefault="00397114" w:rsidP="00397114">
      <w:pPr>
        <w:rPr>
          <w:rFonts w:ascii="Arial" w:hAnsi="Arial"/>
        </w:rPr>
      </w:pPr>
      <w:r w:rsidRPr="00BB2C10">
        <w:rPr>
          <w:rFonts w:ascii="Arial" w:hAnsi="Arial"/>
        </w:rPr>
        <w:t xml:space="preserve">Useful reference texts on the technical requirements for analytical procedure transfer are: </w:t>
      </w:r>
    </w:p>
    <w:p w:rsidR="00397114" w:rsidRPr="00BB2C10" w:rsidRDefault="00397114" w:rsidP="00DB34DC">
      <w:pPr>
        <w:pStyle w:val="ListParagraph"/>
        <w:numPr>
          <w:ilvl w:val="0"/>
          <w:numId w:val="4"/>
        </w:numPr>
        <w:spacing w:before="120" w:after="120"/>
        <w:ind w:left="714" w:hanging="357"/>
        <w:contextualSpacing w:val="0"/>
        <w:jc w:val="both"/>
        <w:rPr>
          <w:rFonts w:ascii="Arial" w:hAnsi="Arial" w:cs="Arial"/>
          <w:lang w:val="en-NZ"/>
        </w:rPr>
      </w:pPr>
      <w:r w:rsidRPr="00BB2C10">
        <w:rPr>
          <w:rFonts w:ascii="Arial" w:hAnsi="Arial" w:cs="Arial"/>
          <w:lang w:val="en-NZ"/>
        </w:rPr>
        <w:t xml:space="preserve">J. Ermer, J. and Miller, J.H.McB (Eds). 2005. </w:t>
      </w:r>
      <w:r w:rsidRPr="00BB2C10">
        <w:rPr>
          <w:rFonts w:ascii="Arial" w:hAnsi="Arial" w:cs="Arial"/>
          <w:i/>
          <w:iCs/>
          <w:lang w:val="en-NZ"/>
        </w:rPr>
        <w:t xml:space="preserve">Method Validation in Pharmaceutical Analysis. A guide to Best Practice. </w:t>
      </w:r>
      <w:r w:rsidRPr="00BB2C10">
        <w:rPr>
          <w:rFonts w:ascii="Arial" w:hAnsi="Arial" w:cs="Arial"/>
          <w:lang w:val="en-NZ"/>
        </w:rPr>
        <w:t xml:space="preserve">WILEY-VCH Verlag GmbH &amp; Co KGaA, Weinheim. ISBN 978-3-527-31255-9. </w:t>
      </w:r>
    </w:p>
    <w:p w:rsidR="00397114" w:rsidRPr="00BB2C10" w:rsidRDefault="00397114" w:rsidP="00DB34DC">
      <w:pPr>
        <w:pStyle w:val="ListParagraph"/>
        <w:numPr>
          <w:ilvl w:val="0"/>
          <w:numId w:val="4"/>
        </w:numPr>
        <w:spacing w:before="120" w:after="120"/>
        <w:ind w:left="714" w:hanging="357"/>
        <w:contextualSpacing w:val="0"/>
        <w:jc w:val="both"/>
        <w:rPr>
          <w:rFonts w:ascii="Arial" w:hAnsi="Arial" w:cs="Arial"/>
          <w:lang w:val="en-NZ"/>
        </w:rPr>
      </w:pPr>
      <w:r w:rsidRPr="00BB2C10">
        <w:rPr>
          <w:rFonts w:ascii="Arial" w:hAnsi="Arial" w:cs="Arial"/>
          <w:lang w:val="en-NZ"/>
        </w:rPr>
        <w:t xml:space="preserve">ISPE. 2003. ISPE </w:t>
      </w:r>
      <w:r w:rsidRPr="00BB2C10">
        <w:rPr>
          <w:rFonts w:ascii="Arial" w:hAnsi="Arial" w:cs="Arial"/>
          <w:i/>
          <w:iCs/>
          <w:lang w:val="en-NZ"/>
        </w:rPr>
        <w:t xml:space="preserve">Good Practice Guide: Technology Transfer. </w:t>
      </w:r>
      <w:r w:rsidRPr="00BB2C10">
        <w:rPr>
          <w:rFonts w:ascii="Arial" w:hAnsi="Arial" w:cs="Arial"/>
          <w:lang w:val="en-NZ"/>
        </w:rPr>
        <w:t xml:space="preserve">ISPE. www.ispe.org. ISBN 1-931879-13-3 </w:t>
      </w:r>
    </w:p>
    <w:p w:rsidR="00397114" w:rsidRPr="00DA5905" w:rsidRDefault="00397114" w:rsidP="00397114">
      <w:pPr>
        <w:rPr>
          <w:rFonts w:ascii="Arial" w:hAnsi="Arial"/>
          <w:highlight w:val="yellow"/>
        </w:rPr>
      </w:pPr>
    </w:p>
    <w:p w:rsidR="00397114" w:rsidRDefault="00397114" w:rsidP="00397114">
      <w:pPr>
        <w:rPr>
          <w:rFonts w:ascii="Arial" w:hAnsi="Arial"/>
        </w:rPr>
      </w:pPr>
      <w:r>
        <w:rPr>
          <w:rFonts w:ascii="Arial" w:hAnsi="Arial"/>
        </w:rPr>
        <w:t>Test methods must have either been validated or successfully transferred to all testing sites and suitable evidence must be provided as part of the application.</w:t>
      </w:r>
    </w:p>
    <w:p w:rsidR="00397114" w:rsidRPr="00DA5905" w:rsidRDefault="00397114" w:rsidP="00397114">
      <w:pPr>
        <w:rPr>
          <w:highlight w:val="yellow"/>
          <w:lang w:val="en-NZ"/>
        </w:rPr>
      </w:pPr>
    </w:p>
    <w:p w:rsidR="00397114" w:rsidRPr="00871D12" w:rsidRDefault="00397114" w:rsidP="00397114">
      <w:pPr>
        <w:rPr>
          <w:rStyle w:val="Arial"/>
          <w:b/>
        </w:rPr>
      </w:pPr>
      <w:r w:rsidRPr="00871D12">
        <w:rPr>
          <w:rStyle w:val="Arial12ptBold"/>
          <w:b w:val="0"/>
        </w:rPr>
        <w:t>Evidence of test method transfer should be in the form of a report and be accompanied by a justification for the extent of the analytical procedure transfer undertaken</w:t>
      </w:r>
      <w:r w:rsidRPr="00871D12">
        <w:rPr>
          <w:rStyle w:val="Arial"/>
          <w:b/>
        </w:rPr>
        <w:t xml:space="preserve">. </w:t>
      </w:r>
    </w:p>
    <w:p w:rsidR="008E1F5E" w:rsidRDefault="008E1F5E">
      <w:pPr>
        <w:rPr>
          <w:rStyle w:val="Arial"/>
        </w:rPr>
      </w:pPr>
      <w:r>
        <w:rPr>
          <w:rStyle w:val="Arial"/>
        </w:rPr>
        <w:br w:type="page"/>
      </w:r>
    </w:p>
    <w:p w:rsidR="00CC1EA5" w:rsidRPr="00BB2C10" w:rsidRDefault="00CC1EA5" w:rsidP="00397114">
      <w:pPr>
        <w:rPr>
          <w:rStyle w:val="Arial"/>
        </w:rPr>
      </w:pPr>
    </w:p>
    <w:p w:rsidR="00BC6862" w:rsidRPr="001D1066" w:rsidRDefault="00BC6862" w:rsidP="003F0BDA">
      <w:pPr>
        <w:pStyle w:val="ListParagraph"/>
        <w:numPr>
          <w:ilvl w:val="1"/>
          <w:numId w:val="71"/>
        </w:numPr>
        <w:ind w:left="709" w:hanging="709"/>
        <w:rPr>
          <w:rStyle w:val="Arial"/>
          <w:b/>
          <w:iCs/>
        </w:rPr>
      </w:pPr>
      <w:r w:rsidRPr="001D1066">
        <w:rPr>
          <w:rStyle w:val="Arial"/>
          <w:b/>
          <w:iCs/>
        </w:rPr>
        <w:t>Composition</w:t>
      </w:r>
      <w:r w:rsidR="00B150C4" w:rsidRPr="001D1066">
        <w:rPr>
          <w:rStyle w:val="Arial"/>
          <w:b/>
          <w:iCs/>
        </w:rPr>
        <w:t>/formulation</w:t>
      </w:r>
      <w:r w:rsidRPr="001D1066">
        <w:rPr>
          <w:rStyle w:val="Arial"/>
          <w:b/>
          <w:iCs/>
        </w:rPr>
        <w:t xml:space="preserve"> </w:t>
      </w:r>
    </w:p>
    <w:p w:rsidR="00BC6862" w:rsidRDefault="00BC6862" w:rsidP="00BC6862">
      <w:pPr>
        <w:rPr>
          <w:rStyle w:val="Arial"/>
        </w:rPr>
      </w:pPr>
    </w:p>
    <w:p w:rsidR="00BC6862" w:rsidRDefault="00BC6862" w:rsidP="00BC6862">
      <w:pPr>
        <w:rPr>
          <w:rStyle w:val="Arial"/>
        </w:rPr>
      </w:pPr>
      <w:r w:rsidRPr="000F1FF2">
        <w:rPr>
          <w:rStyle w:val="Arial"/>
        </w:rPr>
        <w:t>The dose form</w:t>
      </w:r>
      <w:r>
        <w:rPr>
          <w:rStyle w:val="Arial"/>
        </w:rPr>
        <w:t xml:space="preserve"> (eg, tablet, </w:t>
      </w:r>
      <w:r w:rsidR="00B150C4">
        <w:rPr>
          <w:rStyle w:val="Arial"/>
        </w:rPr>
        <w:t xml:space="preserve">capsule, oral liquids, powders for inhalation, </w:t>
      </w:r>
      <w:r>
        <w:rPr>
          <w:rStyle w:val="Arial"/>
        </w:rPr>
        <w:t>etc)</w:t>
      </w:r>
      <w:r w:rsidRPr="000F1FF2">
        <w:rPr>
          <w:rStyle w:val="Arial"/>
        </w:rPr>
        <w:t xml:space="preserve"> and formulation must be adequately justified and be appropriate for the psychoactive product concerned. </w:t>
      </w:r>
    </w:p>
    <w:p w:rsidR="00B150C4" w:rsidRDefault="00B150C4" w:rsidP="00BC6862">
      <w:pPr>
        <w:rPr>
          <w:rStyle w:val="Arial"/>
        </w:rPr>
      </w:pPr>
    </w:p>
    <w:p w:rsidR="00BC6862" w:rsidRDefault="00BC6862" w:rsidP="00BC6862">
      <w:pPr>
        <w:rPr>
          <w:rStyle w:val="Arial"/>
        </w:rPr>
      </w:pPr>
      <w:r w:rsidRPr="000F1FF2">
        <w:rPr>
          <w:rStyle w:val="Arial"/>
        </w:rPr>
        <w:t>All of the ingredients must be acceptable for use in human</w:t>
      </w:r>
      <w:r>
        <w:rPr>
          <w:rStyle w:val="Arial"/>
        </w:rPr>
        <w:t xml:space="preserve">s </w:t>
      </w:r>
      <w:r w:rsidRPr="000F1FF2">
        <w:rPr>
          <w:rStyle w:val="Arial"/>
        </w:rPr>
        <w:t>and be compatible with each o</w:t>
      </w:r>
      <w:r w:rsidRPr="003208FA">
        <w:rPr>
          <w:rStyle w:val="Arial"/>
        </w:rPr>
        <w:t xml:space="preserve">ther. </w:t>
      </w:r>
      <w:r>
        <w:rPr>
          <w:rStyle w:val="Arial"/>
        </w:rPr>
        <w:t>The Handbook of Pharmaceutical Excipients is a helpful list of ingredients that are acceptable in medicines and other products for human consumption. The Handbook also provides a guide to the uses, properties and safety of these ingredients</w:t>
      </w:r>
      <w:r w:rsidR="00F82B29">
        <w:rPr>
          <w:rStyle w:val="Arial"/>
        </w:rPr>
        <w:t xml:space="preserve">. The Handbook can be accessed here:  </w:t>
      </w:r>
      <w:hyperlink r:id="rId38" w:history="1">
        <w:r w:rsidR="00B9544B" w:rsidRPr="00044B2D">
          <w:rPr>
            <w:rStyle w:val="Hyperlink"/>
            <w:rFonts w:ascii="Arial" w:hAnsi="Arial"/>
          </w:rPr>
          <w:t>http://www.pharmpress.com/product/MC_EX/handbook-of-pharmaceutical-excipients</w:t>
        </w:r>
      </w:hyperlink>
      <w:r>
        <w:rPr>
          <w:rStyle w:val="Arial"/>
        </w:rPr>
        <w:t>.</w:t>
      </w:r>
    </w:p>
    <w:p w:rsidR="00B9544B" w:rsidRDefault="00B9544B" w:rsidP="00BC6862">
      <w:pPr>
        <w:rPr>
          <w:rStyle w:val="Arial"/>
        </w:rPr>
      </w:pPr>
    </w:p>
    <w:p w:rsidR="00667C9A" w:rsidRPr="001D1066" w:rsidRDefault="00DB34DC" w:rsidP="00BC6862">
      <w:pPr>
        <w:rPr>
          <w:rStyle w:val="Arial"/>
          <w:b/>
        </w:rPr>
      </w:pPr>
      <w:r w:rsidRPr="001D1066">
        <w:rPr>
          <w:rStyle w:val="Arial"/>
          <w:b/>
        </w:rPr>
        <w:t>11.</w:t>
      </w:r>
      <w:r w:rsidR="001D1066" w:rsidRPr="001D1066">
        <w:rPr>
          <w:rStyle w:val="Arial"/>
          <w:b/>
        </w:rPr>
        <w:t>4</w:t>
      </w:r>
      <w:r w:rsidRPr="001D1066">
        <w:rPr>
          <w:rStyle w:val="Arial"/>
          <w:b/>
        </w:rPr>
        <w:tab/>
      </w:r>
      <w:r w:rsidR="00667C9A" w:rsidRPr="001D1066">
        <w:rPr>
          <w:rStyle w:val="Arial"/>
          <w:b/>
        </w:rPr>
        <w:t>Dose form</w:t>
      </w:r>
    </w:p>
    <w:p w:rsidR="00667C9A" w:rsidRDefault="00667C9A" w:rsidP="00BC6862">
      <w:pPr>
        <w:rPr>
          <w:rStyle w:val="Arial"/>
        </w:rPr>
      </w:pPr>
      <w:r>
        <w:rPr>
          <w:rStyle w:val="Arial"/>
        </w:rPr>
        <w:t xml:space="preserve"> </w:t>
      </w:r>
    </w:p>
    <w:p w:rsidR="00667C9A" w:rsidRPr="00871D12" w:rsidRDefault="00667C9A" w:rsidP="00BC6862">
      <w:pPr>
        <w:rPr>
          <w:rStyle w:val="Arial"/>
          <w:rFonts w:cs="Arial"/>
        </w:rPr>
      </w:pPr>
      <w:r w:rsidRPr="00871D12">
        <w:rPr>
          <w:rFonts w:ascii="Arial" w:hAnsi="Arial" w:cs="Arial"/>
        </w:rPr>
        <w:t xml:space="preserve">Potential doses forms of psychoactive substances include tablets, capsules, oral liquids, powders for inhalation, smokeable dose forms and products such as incense where inhalation to produce a psychoactive effect is intended. Note that dose forms that require combustion will require additional information </w:t>
      </w:r>
      <w:r w:rsidRPr="00871D12">
        <w:rPr>
          <w:rFonts w:ascii="Arial" w:hAnsi="Arial"/>
        </w:rPr>
        <w:t>to demonstrate that the dosage form is not carcinogenic.</w:t>
      </w:r>
    </w:p>
    <w:p w:rsidR="00BC6862" w:rsidRDefault="00BC6862" w:rsidP="00BC6862">
      <w:pPr>
        <w:rPr>
          <w:rStyle w:val="Arial"/>
        </w:rPr>
      </w:pPr>
    </w:p>
    <w:p w:rsidR="00BC6862" w:rsidRPr="000F1FF2" w:rsidRDefault="00BC6862" w:rsidP="00876C7A">
      <w:pPr>
        <w:rPr>
          <w:rStyle w:val="Arial"/>
        </w:rPr>
      </w:pPr>
      <w:r w:rsidRPr="003208FA">
        <w:rPr>
          <w:rStyle w:val="Arial"/>
        </w:rPr>
        <w:t>Dose delivery must be consistent within and between batches</w:t>
      </w:r>
      <w:r w:rsidR="00667C9A">
        <w:rPr>
          <w:rStyle w:val="Arial"/>
        </w:rPr>
        <w:t>.</w:t>
      </w:r>
      <w:r w:rsidRPr="003208FA">
        <w:rPr>
          <w:rStyle w:val="Arial"/>
        </w:rPr>
        <w:t xml:space="preserve"> </w:t>
      </w:r>
      <w:r w:rsidR="00876C7A">
        <w:rPr>
          <w:rStyle w:val="Arial"/>
        </w:rPr>
        <w:t>Any</w:t>
      </w:r>
      <w:r w:rsidRPr="000F1FF2">
        <w:rPr>
          <w:rStyle w:val="Arial"/>
        </w:rPr>
        <w:t xml:space="preserve"> antioxidants and any chemical or anti-microbial preservatives included in the product must be adequately justified and their effectiveness established. </w:t>
      </w:r>
    </w:p>
    <w:p w:rsidR="00BC6862" w:rsidRPr="000F1FF2" w:rsidRDefault="00BC6862" w:rsidP="00BC6862">
      <w:pPr>
        <w:rPr>
          <w:rStyle w:val="Arial"/>
        </w:rPr>
      </w:pPr>
    </w:p>
    <w:p w:rsidR="00BC6862" w:rsidRPr="000F1FF2" w:rsidRDefault="00BC6862" w:rsidP="00BC6862">
      <w:pPr>
        <w:rPr>
          <w:rStyle w:val="Arial"/>
        </w:rPr>
      </w:pPr>
      <w:r w:rsidRPr="000F1FF2">
        <w:rPr>
          <w:rStyle w:val="Arial"/>
        </w:rPr>
        <w:t>Adequate measures must be taken to ensure that any animal-derived ingredients (</w:t>
      </w:r>
      <w:r>
        <w:rPr>
          <w:rStyle w:val="Arial"/>
        </w:rPr>
        <w:t>eg,</w:t>
      </w:r>
      <w:r w:rsidRPr="000F1FF2">
        <w:rPr>
          <w:rStyle w:val="Arial"/>
        </w:rPr>
        <w:t xml:space="preserve"> gelatin, magnesium or calcium stearate, stearic acid) us</w:t>
      </w:r>
      <w:r>
        <w:rPr>
          <w:rStyle w:val="Arial"/>
        </w:rPr>
        <w:t>ed in the product are free from Transmissible Spongiform Encephalopathy (</w:t>
      </w:r>
      <w:r w:rsidRPr="000F1FF2">
        <w:rPr>
          <w:rStyle w:val="Arial"/>
        </w:rPr>
        <w:t>TSE</w:t>
      </w:r>
      <w:r>
        <w:rPr>
          <w:rStyle w:val="Arial"/>
        </w:rPr>
        <w:t>)</w:t>
      </w:r>
      <w:r w:rsidRPr="000F1FF2">
        <w:rPr>
          <w:rStyle w:val="Arial"/>
        </w:rPr>
        <w:t xml:space="preserve"> contamination</w:t>
      </w:r>
      <w:r w:rsidR="00F82B29">
        <w:rPr>
          <w:rStyle w:val="Arial"/>
        </w:rPr>
        <w:t xml:space="preserve"> in accordance with European Commission (EC) or US requirements. Descriptions of these measures are required</w:t>
      </w:r>
      <w:r w:rsidRPr="000F1FF2">
        <w:rPr>
          <w:rStyle w:val="Arial"/>
        </w:rPr>
        <w:t xml:space="preserve">. </w:t>
      </w:r>
    </w:p>
    <w:p w:rsidR="00BC6862" w:rsidRPr="000F1FF2" w:rsidRDefault="00BC6862" w:rsidP="00BC6862">
      <w:pPr>
        <w:rPr>
          <w:rStyle w:val="Arial"/>
        </w:rPr>
      </w:pPr>
    </w:p>
    <w:p w:rsidR="00BC6862" w:rsidRPr="000F1FF2" w:rsidRDefault="00BC6862" w:rsidP="00BC6862">
      <w:pPr>
        <w:rPr>
          <w:rStyle w:val="Arial"/>
        </w:rPr>
      </w:pPr>
      <w:r w:rsidRPr="000F1FF2">
        <w:rPr>
          <w:rStyle w:val="Arial"/>
        </w:rPr>
        <w:t>Different strengths of the product m</w:t>
      </w:r>
      <w:r>
        <w:rPr>
          <w:rStyle w:val="Arial"/>
        </w:rPr>
        <w:t>ust be readily distinguished (</w:t>
      </w:r>
      <w:r w:rsidR="00667C9A">
        <w:rPr>
          <w:rStyle w:val="Arial"/>
        </w:rPr>
        <w:t>e.g.</w:t>
      </w:r>
      <w:r w:rsidRPr="000F1FF2">
        <w:rPr>
          <w:rStyle w:val="Arial"/>
        </w:rPr>
        <w:t xml:space="preserve"> by differences in size, colour, shape, markings, </w:t>
      </w:r>
      <w:r w:rsidR="00667C9A" w:rsidRPr="000F1FF2">
        <w:rPr>
          <w:rStyle w:val="Arial"/>
        </w:rPr>
        <w:t>etc.</w:t>
      </w:r>
      <w:r>
        <w:rPr>
          <w:rStyle w:val="Arial"/>
        </w:rPr>
        <w:t xml:space="preserve"> or through prominent labelling if this is not possible</w:t>
      </w:r>
      <w:r w:rsidRPr="000F1FF2">
        <w:rPr>
          <w:rStyle w:val="Arial"/>
        </w:rPr>
        <w:t>).</w:t>
      </w:r>
    </w:p>
    <w:p w:rsidR="00BC6862" w:rsidRPr="000F1FF2" w:rsidRDefault="00BC6862" w:rsidP="00BC6862">
      <w:pPr>
        <w:rPr>
          <w:rStyle w:val="Arial"/>
        </w:rPr>
      </w:pPr>
    </w:p>
    <w:p w:rsidR="00BC6862" w:rsidRDefault="00BC6862" w:rsidP="00BC6862">
      <w:pPr>
        <w:rPr>
          <w:rStyle w:val="Arial"/>
        </w:rPr>
      </w:pPr>
      <w:r w:rsidRPr="000F1FF2">
        <w:rPr>
          <w:rStyle w:val="Arial"/>
        </w:rPr>
        <w:t>The primary</w:t>
      </w:r>
      <w:r>
        <w:rPr>
          <w:rStyle w:val="Arial"/>
        </w:rPr>
        <w:t xml:space="preserve"> container</w:t>
      </w:r>
      <w:r w:rsidRPr="000F1FF2">
        <w:rPr>
          <w:rStyle w:val="Arial"/>
        </w:rPr>
        <w:t xml:space="preserve"> (immediate) and secondary (outer) packaging and packaging materials, closures, induction or tamper-proof seals, pack sizes, any dosing device, and any desiccant or cotton wool contained in the package must be </w:t>
      </w:r>
      <w:r>
        <w:rPr>
          <w:rStyle w:val="Arial"/>
        </w:rPr>
        <w:t>compatible with</w:t>
      </w:r>
      <w:r w:rsidRPr="000F1FF2">
        <w:rPr>
          <w:rStyle w:val="Arial"/>
        </w:rPr>
        <w:t xml:space="preserve"> the product</w:t>
      </w:r>
      <w:r>
        <w:rPr>
          <w:rStyle w:val="Arial"/>
        </w:rPr>
        <w:t xml:space="preserve"> and fit for purpose</w:t>
      </w:r>
      <w:r w:rsidRPr="000F1FF2">
        <w:rPr>
          <w:rStyle w:val="Arial"/>
        </w:rPr>
        <w:t xml:space="preserve">. </w:t>
      </w:r>
    </w:p>
    <w:p w:rsidR="00397114" w:rsidRPr="00DA5905" w:rsidRDefault="00B81CD7" w:rsidP="00CF062F">
      <w:pPr>
        <w:pStyle w:val="Heading3"/>
        <w:numPr>
          <w:ilvl w:val="1"/>
          <w:numId w:val="63"/>
        </w:numPr>
      </w:pPr>
      <w:bookmarkStart w:id="95" w:name="_Toc409508709"/>
      <w:r w:rsidRPr="00BC6862">
        <w:rPr>
          <w:rStyle w:val="Arial"/>
          <w:i/>
          <w:iCs/>
        </w:rPr>
        <w:t>Manufacture of Active Ingredients(s)</w:t>
      </w:r>
      <w:bookmarkEnd w:id="95"/>
      <w:r>
        <w:rPr>
          <w:rStyle w:val="Arial"/>
          <w:i/>
          <w:iCs/>
        </w:rPr>
        <w:t xml:space="preserve"> </w:t>
      </w:r>
    </w:p>
    <w:p w:rsidR="001D1066" w:rsidRDefault="00B81CD7" w:rsidP="00B81CD7">
      <w:pPr>
        <w:pStyle w:val="Default"/>
        <w:spacing w:before="180" w:after="180"/>
        <w:rPr>
          <w:color w:val="auto"/>
          <w:szCs w:val="21"/>
        </w:rPr>
      </w:pPr>
      <w:r w:rsidRPr="004B0CB2">
        <w:rPr>
          <w:color w:val="auto"/>
          <w:szCs w:val="21"/>
        </w:rPr>
        <w:t xml:space="preserve">Unless previously approved, information </w:t>
      </w:r>
      <w:r>
        <w:rPr>
          <w:color w:val="auto"/>
          <w:szCs w:val="21"/>
        </w:rPr>
        <w:t>detailing</w:t>
      </w:r>
      <w:r w:rsidRPr="004B0CB2">
        <w:rPr>
          <w:color w:val="auto"/>
          <w:szCs w:val="21"/>
        </w:rPr>
        <w:t xml:space="preserve"> the manufacture</w:t>
      </w:r>
      <w:r>
        <w:rPr>
          <w:color w:val="auto"/>
          <w:szCs w:val="21"/>
        </w:rPr>
        <w:t xml:space="preserve"> and quality control</w:t>
      </w:r>
      <w:r w:rsidRPr="004B0CB2">
        <w:rPr>
          <w:color w:val="auto"/>
          <w:szCs w:val="21"/>
        </w:rPr>
        <w:t xml:space="preserve"> of the active ingredient(s) from each supplier of bulk active ingredient must be submitted</w:t>
      </w:r>
      <w:r>
        <w:rPr>
          <w:color w:val="auto"/>
          <w:szCs w:val="21"/>
        </w:rPr>
        <w:t xml:space="preserve">. </w:t>
      </w:r>
    </w:p>
    <w:p w:rsidR="00B81CD7" w:rsidRDefault="00B81CD7" w:rsidP="00B81CD7">
      <w:pPr>
        <w:pStyle w:val="Default"/>
        <w:spacing w:before="180" w:after="180"/>
        <w:rPr>
          <w:color w:val="auto"/>
          <w:szCs w:val="21"/>
        </w:rPr>
      </w:pPr>
      <w:r>
        <w:rPr>
          <w:color w:val="auto"/>
          <w:szCs w:val="21"/>
        </w:rPr>
        <w:t xml:space="preserve">This may be in the form of a DMF, </w:t>
      </w:r>
      <w:r w:rsidR="00871D12">
        <w:rPr>
          <w:color w:val="auto"/>
          <w:szCs w:val="21"/>
        </w:rPr>
        <w:t xml:space="preserve">ICH </w:t>
      </w:r>
      <w:r w:rsidRPr="00871D12">
        <w:rPr>
          <w:color w:val="auto"/>
          <w:szCs w:val="21"/>
        </w:rPr>
        <w:t xml:space="preserve">Module 3.2.S supplied as part of the dossier, or </w:t>
      </w:r>
      <w:r w:rsidRPr="00871D12">
        <w:t>a Certificate of Suitability to the monographs of the European Pharmacopeia (CoS) issued by the European Directorate for the Quality of Medicines (EDQM).</w:t>
      </w:r>
      <w:r>
        <w:t xml:space="preserve"> </w:t>
      </w:r>
    </w:p>
    <w:p w:rsidR="001D1066" w:rsidRDefault="001D1066" w:rsidP="001D1066">
      <w:pPr>
        <w:pStyle w:val="Default"/>
        <w:spacing w:before="180" w:after="180"/>
        <w:rPr>
          <w:color w:val="auto"/>
          <w:szCs w:val="21"/>
        </w:rPr>
      </w:pPr>
      <w:r>
        <w:rPr>
          <w:color w:val="auto"/>
          <w:szCs w:val="21"/>
        </w:rPr>
        <w:t xml:space="preserve">Although it is likely that some psychoactive substances may not have a DMF or CoS, these documents may be available for other ingredients in the products. </w:t>
      </w:r>
    </w:p>
    <w:p w:rsidR="001D1066" w:rsidRPr="000F1FF2" w:rsidRDefault="001D1066" w:rsidP="001D1066">
      <w:pPr>
        <w:rPr>
          <w:rStyle w:val="Arial"/>
        </w:rPr>
      </w:pPr>
      <w:r w:rsidRPr="000F1FF2">
        <w:rPr>
          <w:rStyle w:val="Arial"/>
        </w:rPr>
        <w:t>The active</w:t>
      </w:r>
      <w:r>
        <w:rPr>
          <w:rStyle w:val="Arial"/>
        </w:rPr>
        <w:t xml:space="preserve"> ingredients</w:t>
      </w:r>
      <w:r w:rsidRPr="000F1FF2">
        <w:rPr>
          <w:rStyle w:val="Arial"/>
        </w:rPr>
        <w:t xml:space="preserve"> found in psychoactive products may be manufactured by a company other than the manufacturer of the finished product. In such cases, the manufacture, quality control and stability of the active ingredient are usually described in a </w:t>
      </w:r>
      <w:r>
        <w:rPr>
          <w:rStyle w:val="Arial"/>
        </w:rPr>
        <w:t>DMF</w:t>
      </w:r>
      <w:r w:rsidRPr="000F1FF2">
        <w:rPr>
          <w:rStyle w:val="Arial"/>
        </w:rPr>
        <w:t xml:space="preserve">, </w:t>
      </w:r>
      <w:r>
        <w:rPr>
          <w:rStyle w:val="Arial"/>
        </w:rPr>
        <w:t xml:space="preserve">and </w:t>
      </w:r>
      <w:r w:rsidRPr="000F1FF2">
        <w:rPr>
          <w:rStyle w:val="Arial"/>
        </w:rPr>
        <w:t xml:space="preserve">submitted to the regulatory authority by the manufacturer of the active ingredient. </w:t>
      </w:r>
    </w:p>
    <w:p w:rsidR="001D1066" w:rsidRPr="007E5D53" w:rsidRDefault="001D1066" w:rsidP="001D1066">
      <w:pPr>
        <w:rPr>
          <w:lang w:val="en-NZ"/>
        </w:rPr>
      </w:pPr>
    </w:p>
    <w:p w:rsidR="001D1066" w:rsidRPr="00EE1F26" w:rsidRDefault="001D1066" w:rsidP="001D1066">
      <w:pPr>
        <w:rPr>
          <w:rFonts w:ascii="Arial" w:hAnsi="Arial"/>
        </w:rPr>
      </w:pPr>
      <w:r w:rsidRPr="00EE1F26">
        <w:rPr>
          <w:rFonts w:ascii="Arial" w:hAnsi="Arial"/>
        </w:rPr>
        <w:t xml:space="preserve">Where the active and finished product are manufactured by the same company, information on the production, quality control and stability of the active substance may be submitted as part of the dossier for the finished product </w:t>
      </w:r>
      <w:r>
        <w:rPr>
          <w:rFonts w:ascii="Arial" w:hAnsi="Arial"/>
        </w:rPr>
        <w:t xml:space="preserve">as ICH module 3.2.S </w:t>
      </w:r>
      <w:r w:rsidRPr="00EE1F26">
        <w:rPr>
          <w:rFonts w:ascii="Arial" w:hAnsi="Arial"/>
        </w:rPr>
        <w:t xml:space="preserve">rather than in a separate DMF. </w:t>
      </w:r>
    </w:p>
    <w:p w:rsidR="00B81CD7" w:rsidRDefault="00B81CD7" w:rsidP="00B81CD7">
      <w:pPr>
        <w:pStyle w:val="Default"/>
        <w:spacing w:before="180" w:after="180"/>
        <w:rPr>
          <w:color w:val="auto"/>
          <w:szCs w:val="21"/>
        </w:rPr>
      </w:pPr>
      <w:r w:rsidRPr="004B0CB2">
        <w:rPr>
          <w:color w:val="auto"/>
          <w:szCs w:val="21"/>
        </w:rPr>
        <w:t xml:space="preserve">The DMF must describe in detail: </w:t>
      </w:r>
    </w:p>
    <w:p w:rsidR="00B81CD7" w:rsidRDefault="00B81CD7" w:rsidP="00DB34DC">
      <w:pPr>
        <w:pStyle w:val="Default"/>
        <w:numPr>
          <w:ilvl w:val="0"/>
          <w:numId w:val="11"/>
        </w:numPr>
        <w:spacing w:before="120" w:after="120"/>
        <w:ind w:left="714" w:hanging="357"/>
        <w:contextualSpacing/>
        <w:rPr>
          <w:color w:val="auto"/>
          <w:szCs w:val="21"/>
        </w:rPr>
      </w:pPr>
      <w:r>
        <w:rPr>
          <w:color w:val="auto"/>
          <w:szCs w:val="21"/>
        </w:rPr>
        <w:t>the “route of synthesis”</w:t>
      </w:r>
      <w:r w:rsidRPr="004B0CB2">
        <w:rPr>
          <w:color w:val="auto"/>
          <w:szCs w:val="21"/>
        </w:rPr>
        <w:t xml:space="preserve"> </w:t>
      </w:r>
    </w:p>
    <w:p w:rsidR="00B81CD7" w:rsidRDefault="00B81CD7" w:rsidP="00DB34DC">
      <w:pPr>
        <w:pStyle w:val="Default"/>
        <w:numPr>
          <w:ilvl w:val="0"/>
          <w:numId w:val="11"/>
        </w:numPr>
        <w:spacing w:before="120" w:after="120"/>
        <w:ind w:left="714" w:hanging="357"/>
        <w:contextualSpacing/>
        <w:rPr>
          <w:color w:val="auto"/>
          <w:szCs w:val="21"/>
        </w:rPr>
      </w:pPr>
      <w:r w:rsidRPr="004B0CB2">
        <w:rPr>
          <w:color w:val="auto"/>
          <w:szCs w:val="21"/>
        </w:rPr>
        <w:t>each step in the manufac</w:t>
      </w:r>
      <w:r>
        <w:rPr>
          <w:color w:val="auto"/>
          <w:szCs w:val="21"/>
        </w:rPr>
        <w:t>turing and purification process</w:t>
      </w:r>
      <w:r w:rsidRPr="004B0CB2">
        <w:rPr>
          <w:color w:val="auto"/>
          <w:szCs w:val="21"/>
        </w:rPr>
        <w:t xml:space="preserve"> </w:t>
      </w:r>
    </w:p>
    <w:p w:rsidR="00B81CD7" w:rsidRDefault="00B81CD7" w:rsidP="00DB34DC">
      <w:pPr>
        <w:pStyle w:val="Default"/>
        <w:numPr>
          <w:ilvl w:val="0"/>
          <w:numId w:val="11"/>
        </w:numPr>
        <w:spacing w:before="120" w:after="120"/>
        <w:ind w:left="714" w:hanging="357"/>
        <w:contextualSpacing/>
        <w:rPr>
          <w:color w:val="auto"/>
          <w:szCs w:val="21"/>
        </w:rPr>
      </w:pPr>
      <w:r w:rsidRPr="004B0CB2">
        <w:rPr>
          <w:color w:val="auto"/>
          <w:szCs w:val="21"/>
        </w:rPr>
        <w:t>the reaction conditions and in</w:t>
      </w:r>
      <w:r>
        <w:rPr>
          <w:color w:val="auto"/>
          <w:szCs w:val="21"/>
        </w:rPr>
        <w:t xml:space="preserve"> process controls for each step</w:t>
      </w:r>
      <w:r w:rsidRPr="004B0CB2">
        <w:rPr>
          <w:color w:val="auto"/>
          <w:szCs w:val="21"/>
        </w:rPr>
        <w:t xml:space="preserve"> </w:t>
      </w:r>
    </w:p>
    <w:p w:rsidR="00B81CD7" w:rsidRDefault="00B81CD7" w:rsidP="00DB34DC">
      <w:pPr>
        <w:pStyle w:val="Default"/>
        <w:numPr>
          <w:ilvl w:val="0"/>
          <w:numId w:val="11"/>
        </w:numPr>
        <w:spacing w:before="120" w:after="120"/>
        <w:ind w:left="714" w:hanging="357"/>
        <w:contextualSpacing/>
        <w:rPr>
          <w:color w:val="auto"/>
          <w:szCs w:val="21"/>
        </w:rPr>
      </w:pPr>
      <w:r w:rsidRPr="004B0CB2">
        <w:rPr>
          <w:color w:val="auto"/>
          <w:szCs w:val="21"/>
        </w:rPr>
        <w:t>the quality control of starting materials, reagents, catalysts, solvents</w:t>
      </w:r>
      <w:r>
        <w:rPr>
          <w:color w:val="auto"/>
          <w:szCs w:val="21"/>
        </w:rPr>
        <w:t xml:space="preserve"> and any isolated intermediates</w:t>
      </w:r>
    </w:p>
    <w:p w:rsidR="00B81CD7" w:rsidRPr="004B0CB2" w:rsidRDefault="00B81CD7" w:rsidP="00DB34DC">
      <w:pPr>
        <w:pStyle w:val="Default"/>
        <w:numPr>
          <w:ilvl w:val="0"/>
          <w:numId w:val="11"/>
        </w:numPr>
        <w:spacing w:before="120" w:after="120"/>
        <w:ind w:left="714" w:hanging="357"/>
        <w:contextualSpacing/>
        <w:rPr>
          <w:color w:val="auto"/>
          <w:szCs w:val="21"/>
        </w:rPr>
      </w:pPr>
      <w:r>
        <w:rPr>
          <w:color w:val="auto"/>
          <w:szCs w:val="21"/>
        </w:rPr>
        <w:t>any subsequent processing (eg,</w:t>
      </w:r>
      <w:r w:rsidRPr="004B0CB2">
        <w:rPr>
          <w:color w:val="auto"/>
          <w:szCs w:val="21"/>
        </w:rPr>
        <w:t xml:space="preserve"> milling) of the bulk substance. </w:t>
      </w:r>
    </w:p>
    <w:p w:rsidR="00B81CD7" w:rsidRDefault="00B81CD7" w:rsidP="00B81CD7">
      <w:pPr>
        <w:pStyle w:val="Default"/>
        <w:spacing w:before="180" w:after="180"/>
        <w:rPr>
          <w:color w:val="auto"/>
          <w:szCs w:val="21"/>
        </w:rPr>
      </w:pPr>
    </w:p>
    <w:p w:rsidR="00B81CD7" w:rsidRPr="004B0CB2" w:rsidRDefault="00B81CD7" w:rsidP="00B81CD7">
      <w:pPr>
        <w:pStyle w:val="Default"/>
        <w:spacing w:before="180" w:after="180"/>
        <w:rPr>
          <w:color w:val="auto"/>
          <w:szCs w:val="21"/>
        </w:rPr>
      </w:pPr>
      <w:r w:rsidRPr="004B0CB2">
        <w:rPr>
          <w:color w:val="auto"/>
          <w:szCs w:val="21"/>
        </w:rPr>
        <w:t xml:space="preserve">The DMF must also provide proof of </w:t>
      </w:r>
      <w:r>
        <w:rPr>
          <w:color w:val="auto"/>
          <w:szCs w:val="21"/>
        </w:rPr>
        <w:t xml:space="preserve">the </w:t>
      </w:r>
      <w:r w:rsidRPr="004B0CB2">
        <w:rPr>
          <w:color w:val="auto"/>
          <w:szCs w:val="21"/>
        </w:rPr>
        <w:t xml:space="preserve">chemical and stereochemical structure of the substance (and of any significant impurities) using appropriate physical, chemical and spectroscopic methods. </w:t>
      </w:r>
    </w:p>
    <w:p w:rsidR="00B81CD7" w:rsidRDefault="00B81CD7" w:rsidP="00B81CD7">
      <w:pPr>
        <w:rPr>
          <w:rFonts w:ascii="Arial" w:hAnsi="Arial"/>
        </w:rPr>
      </w:pPr>
      <w:r w:rsidRPr="004B0CB2">
        <w:rPr>
          <w:rFonts w:ascii="Arial" w:hAnsi="Arial"/>
        </w:rPr>
        <w:t>Where relevant, adequate evidence of the crystalline form produced and control thereof must be provided.</w:t>
      </w:r>
    </w:p>
    <w:p w:rsidR="00B81CD7" w:rsidRDefault="00B81CD7" w:rsidP="00397114">
      <w:pPr>
        <w:rPr>
          <w:rFonts w:ascii="Arial" w:hAnsi="Arial"/>
        </w:rPr>
      </w:pPr>
    </w:p>
    <w:p w:rsidR="00397114" w:rsidRDefault="00397114" w:rsidP="00397114">
      <w:pPr>
        <w:rPr>
          <w:rFonts w:ascii="Arial" w:hAnsi="Arial"/>
        </w:rPr>
      </w:pPr>
      <w:r w:rsidRPr="00EE1F26">
        <w:rPr>
          <w:rFonts w:ascii="Arial" w:hAnsi="Arial"/>
        </w:rPr>
        <w:t xml:space="preserve">This section provides details of the format and content of </w:t>
      </w:r>
      <w:r>
        <w:rPr>
          <w:rFonts w:ascii="Arial" w:hAnsi="Arial"/>
        </w:rPr>
        <w:t>DMFs</w:t>
      </w:r>
      <w:r w:rsidRPr="00EE1F26">
        <w:rPr>
          <w:rFonts w:ascii="Arial" w:hAnsi="Arial"/>
        </w:rPr>
        <w:t xml:space="preserve"> and </w:t>
      </w:r>
      <w:r>
        <w:rPr>
          <w:rFonts w:ascii="Arial" w:hAnsi="Arial"/>
        </w:rPr>
        <w:t>CoSs</w:t>
      </w:r>
      <w:r w:rsidRPr="00EE1F26">
        <w:rPr>
          <w:rFonts w:ascii="Arial" w:hAnsi="Arial"/>
        </w:rPr>
        <w:t xml:space="preserve">. </w:t>
      </w:r>
    </w:p>
    <w:p w:rsidR="00397114" w:rsidRPr="00EE1F26" w:rsidRDefault="00397114" w:rsidP="00397114">
      <w:pPr>
        <w:rPr>
          <w:rFonts w:ascii="Arial" w:hAnsi="Arial"/>
        </w:rPr>
      </w:pPr>
    </w:p>
    <w:p w:rsidR="00397114" w:rsidRDefault="00397114" w:rsidP="00397114">
      <w:pPr>
        <w:rPr>
          <w:rStyle w:val="Arial"/>
          <w:b/>
          <w:bCs/>
        </w:rPr>
      </w:pPr>
      <w:r w:rsidRPr="00A46454">
        <w:rPr>
          <w:rStyle w:val="Arial"/>
          <w:b/>
          <w:bCs/>
        </w:rPr>
        <w:t xml:space="preserve">Guidelines to read in conjunction with this section: </w:t>
      </w:r>
    </w:p>
    <w:p w:rsidR="00397114" w:rsidRPr="00A46454" w:rsidRDefault="00397114" w:rsidP="00397114">
      <w:pPr>
        <w:rPr>
          <w:rStyle w:val="Arial"/>
          <w:b/>
          <w:bCs/>
        </w:rPr>
      </w:pPr>
    </w:p>
    <w:p w:rsidR="00397114" w:rsidRPr="00FC17E1" w:rsidRDefault="00397114" w:rsidP="00397114">
      <w:pPr>
        <w:pStyle w:val="ListParagraph"/>
        <w:numPr>
          <w:ilvl w:val="0"/>
          <w:numId w:val="2"/>
        </w:numPr>
        <w:spacing w:before="120" w:after="120"/>
        <w:ind w:left="714" w:hanging="357"/>
        <w:contextualSpacing w:val="0"/>
        <w:jc w:val="both"/>
        <w:rPr>
          <w:rFonts w:ascii="Arial" w:hAnsi="Arial" w:cs="Arial"/>
          <w:lang w:val="en-NZ"/>
        </w:rPr>
      </w:pPr>
      <w:r w:rsidRPr="00FC17E1">
        <w:rPr>
          <w:rFonts w:ascii="Arial" w:hAnsi="Arial" w:cs="Arial"/>
          <w:lang w:val="en-NZ"/>
        </w:rPr>
        <w:t>CHMP</w:t>
      </w:r>
      <w:r w:rsidRPr="00FC17E1">
        <w:rPr>
          <w:rFonts w:ascii="Arial" w:hAnsi="Arial" w:cs="Arial"/>
          <w:i/>
          <w:iCs/>
          <w:lang w:val="en-NZ"/>
        </w:rPr>
        <w:t xml:space="preserve">: </w:t>
      </w:r>
      <w:hyperlink r:id="rId39" w:history="1">
        <w:r w:rsidRPr="00DA5905">
          <w:rPr>
            <w:rStyle w:val="Hyperlink"/>
            <w:rFonts w:ascii="Arial" w:hAnsi="Arial" w:cs="Arial"/>
            <w:i/>
            <w:iCs/>
            <w:lang w:val="en-NZ"/>
          </w:rPr>
          <w:t>Guideline on Active Substance Master File Procedure</w:t>
        </w:r>
      </w:hyperlink>
      <w:r>
        <w:rPr>
          <w:rFonts w:ascii="Arial" w:hAnsi="Arial" w:cs="Arial"/>
          <w:i/>
          <w:iCs/>
          <w:lang w:val="en-NZ"/>
        </w:rPr>
        <w:t xml:space="preserve"> </w:t>
      </w:r>
    </w:p>
    <w:p w:rsidR="00397114" w:rsidRPr="00DA5905" w:rsidRDefault="00397114" w:rsidP="00397114">
      <w:pPr>
        <w:pStyle w:val="ListParagraph"/>
        <w:numPr>
          <w:ilvl w:val="0"/>
          <w:numId w:val="2"/>
        </w:numPr>
        <w:spacing w:before="120" w:after="120"/>
        <w:ind w:left="714" w:hanging="357"/>
        <w:contextualSpacing w:val="0"/>
        <w:jc w:val="both"/>
        <w:rPr>
          <w:rFonts w:ascii="Arial" w:hAnsi="Arial" w:cs="Arial"/>
          <w:lang w:val="en-NZ"/>
        </w:rPr>
      </w:pPr>
      <w:r w:rsidRPr="00FC17E1">
        <w:rPr>
          <w:rFonts w:ascii="Arial" w:hAnsi="Arial" w:cs="Arial"/>
          <w:lang w:val="en-NZ"/>
        </w:rPr>
        <w:t>FDA</w:t>
      </w:r>
      <w:r w:rsidRPr="00FC17E1">
        <w:rPr>
          <w:rFonts w:ascii="Arial" w:hAnsi="Arial" w:cs="Arial"/>
          <w:i/>
          <w:iCs/>
          <w:lang w:val="en-NZ"/>
        </w:rPr>
        <w:t xml:space="preserve">: </w:t>
      </w:r>
      <w:hyperlink r:id="rId40" w:history="1">
        <w:r w:rsidRPr="00DA5905">
          <w:rPr>
            <w:rStyle w:val="Hyperlink"/>
            <w:rFonts w:ascii="Arial" w:hAnsi="Arial" w:cs="Arial"/>
            <w:i/>
            <w:iCs/>
            <w:lang w:val="en-NZ"/>
          </w:rPr>
          <w:t>Guideline for Drug Master Files</w:t>
        </w:r>
      </w:hyperlink>
      <w:r w:rsidRPr="00FC17E1">
        <w:rPr>
          <w:rFonts w:ascii="Arial" w:hAnsi="Arial" w:cs="Arial"/>
          <w:i/>
          <w:iCs/>
          <w:lang w:val="en-NZ"/>
        </w:rPr>
        <w:t xml:space="preserve"> </w:t>
      </w:r>
    </w:p>
    <w:p w:rsidR="00397114" w:rsidRPr="00FC17E1" w:rsidRDefault="00397114" w:rsidP="00397114">
      <w:pPr>
        <w:pStyle w:val="ListParagraph"/>
        <w:numPr>
          <w:ilvl w:val="0"/>
          <w:numId w:val="2"/>
        </w:numPr>
        <w:spacing w:before="120" w:after="120"/>
        <w:ind w:left="714" w:hanging="357"/>
        <w:contextualSpacing w:val="0"/>
        <w:jc w:val="both"/>
        <w:rPr>
          <w:rFonts w:ascii="Arial" w:hAnsi="Arial" w:cs="Arial"/>
          <w:lang w:val="en-NZ"/>
        </w:rPr>
      </w:pPr>
      <w:r w:rsidRPr="00FC17E1">
        <w:rPr>
          <w:rFonts w:ascii="Arial" w:hAnsi="Arial" w:cs="Arial"/>
          <w:lang w:val="en-NZ"/>
        </w:rPr>
        <w:t>TGA</w:t>
      </w:r>
      <w:r w:rsidRPr="00FC17E1">
        <w:rPr>
          <w:rFonts w:ascii="Arial" w:hAnsi="Arial" w:cs="Arial"/>
          <w:i/>
          <w:iCs/>
          <w:lang w:val="en-NZ"/>
        </w:rPr>
        <w:t xml:space="preserve">: </w:t>
      </w:r>
      <w:hyperlink r:id="rId41" w:history="1">
        <w:r w:rsidRPr="00DA5905">
          <w:rPr>
            <w:rStyle w:val="Hyperlink"/>
            <w:rFonts w:ascii="Arial" w:hAnsi="Arial" w:cs="Arial"/>
            <w:i/>
            <w:iCs/>
            <w:lang w:val="en-NZ"/>
          </w:rPr>
          <w:t>G</w:t>
        </w:r>
        <w:r>
          <w:rPr>
            <w:rStyle w:val="Hyperlink"/>
            <w:rFonts w:ascii="Arial" w:hAnsi="Arial" w:cs="Arial"/>
            <w:i/>
            <w:iCs/>
            <w:lang w:val="en-NZ"/>
          </w:rPr>
          <w:t>uidance 11: Drug</w:t>
        </w:r>
        <w:r w:rsidRPr="00DA5905">
          <w:rPr>
            <w:rStyle w:val="Hyperlink"/>
            <w:rFonts w:ascii="Arial" w:hAnsi="Arial" w:cs="Arial"/>
            <w:i/>
            <w:iCs/>
            <w:lang w:val="en-NZ"/>
          </w:rPr>
          <w:t xml:space="preserve"> Master Files and Certificates of Suitability of a Monograph of the European Pharmacopoeia for drug substances</w:t>
        </w:r>
      </w:hyperlink>
      <w:r w:rsidRPr="00FC17E1">
        <w:rPr>
          <w:rFonts w:ascii="Arial" w:hAnsi="Arial" w:cs="Arial"/>
          <w:i/>
          <w:iCs/>
          <w:lang w:val="en-NZ"/>
        </w:rPr>
        <w:t xml:space="preserve"> </w:t>
      </w:r>
    </w:p>
    <w:p w:rsidR="00397114" w:rsidRPr="00BC6862" w:rsidRDefault="00397114" w:rsidP="00397114">
      <w:pPr>
        <w:pStyle w:val="ListParagraph"/>
        <w:numPr>
          <w:ilvl w:val="0"/>
          <w:numId w:val="2"/>
        </w:numPr>
        <w:spacing w:before="120" w:after="120"/>
        <w:ind w:left="714" w:hanging="357"/>
        <w:contextualSpacing w:val="0"/>
        <w:jc w:val="both"/>
        <w:rPr>
          <w:rFonts w:ascii="Arial" w:hAnsi="Arial" w:cs="Arial"/>
          <w:lang w:val="en-NZ"/>
        </w:rPr>
      </w:pPr>
      <w:r w:rsidRPr="00FC17E1">
        <w:rPr>
          <w:rFonts w:ascii="Arial" w:hAnsi="Arial" w:cs="Arial"/>
          <w:lang w:val="en-NZ"/>
        </w:rPr>
        <w:t>WHO</w:t>
      </w:r>
      <w:r w:rsidRPr="00FC17E1">
        <w:rPr>
          <w:rFonts w:ascii="Arial" w:hAnsi="Arial" w:cs="Arial"/>
          <w:i/>
          <w:iCs/>
          <w:lang w:val="en-NZ"/>
        </w:rPr>
        <w:t xml:space="preserve">: </w:t>
      </w:r>
      <w:hyperlink r:id="rId42" w:history="1">
        <w:r w:rsidRPr="00DA5905">
          <w:rPr>
            <w:rStyle w:val="Hyperlink"/>
            <w:rFonts w:ascii="Arial" w:hAnsi="Arial" w:cs="Arial"/>
            <w:i/>
            <w:iCs/>
            <w:lang w:val="en-NZ"/>
          </w:rPr>
          <w:t>Guidelines for assuring the quality of pharmaceutical preparations made by recombinant DNA technology WHO/PHARM/89.542 BS/89.1609</w:t>
        </w:r>
      </w:hyperlink>
      <w:r w:rsidRPr="00FC17E1">
        <w:rPr>
          <w:rFonts w:ascii="Arial" w:hAnsi="Arial" w:cs="Arial"/>
          <w:i/>
          <w:iCs/>
          <w:lang w:val="en-NZ"/>
        </w:rPr>
        <w:t xml:space="preserve"> </w:t>
      </w:r>
    </w:p>
    <w:p w:rsidR="00397114" w:rsidRDefault="00397114" w:rsidP="00397114">
      <w:pPr>
        <w:rPr>
          <w:rStyle w:val="Arial"/>
        </w:rPr>
      </w:pPr>
    </w:p>
    <w:p w:rsidR="00397114" w:rsidRPr="00D80D78" w:rsidRDefault="00397114" w:rsidP="00397114">
      <w:pPr>
        <w:rPr>
          <w:rFonts w:ascii="Arial" w:hAnsi="Arial"/>
        </w:rPr>
      </w:pPr>
      <w:r w:rsidRPr="00EE1F26">
        <w:rPr>
          <w:rFonts w:ascii="Arial" w:hAnsi="Arial"/>
        </w:rPr>
        <w:t xml:space="preserve">In order to refer to the DMF in an application, the applicant must have the written permission of the active ingredient manufacturer who submitted the DMF. A “letter of access” from the active ingredient manufacturer, addressed to the </w:t>
      </w:r>
      <w:r>
        <w:rPr>
          <w:rFonts w:ascii="Arial" w:hAnsi="Arial"/>
        </w:rPr>
        <w:t>OPSRA</w:t>
      </w:r>
      <w:r w:rsidRPr="00EE1F26">
        <w:rPr>
          <w:rFonts w:ascii="Arial" w:hAnsi="Arial"/>
        </w:rPr>
        <w:t xml:space="preserve"> and indicating clearly the applicant to which it applies must be sent to the </w:t>
      </w:r>
      <w:r>
        <w:rPr>
          <w:rFonts w:ascii="Arial" w:hAnsi="Arial"/>
        </w:rPr>
        <w:t>OPSRA</w:t>
      </w:r>
      <w:r w:rsidRPr="00EE1F26">
        <w:rPr>
          <w:rFonts w:ascii="Arial" w:hAnsi="Arial"/>
        </w:rPr>
        <w:t xml:space="preserve"> by the active ingredient manufacturer, either with the DMF or </w:t>
      </w:r>
      <w:r w:rsidRPr="00D80D78">
        <w:rPr>
          <w:rFonts w:ascii="Arial" w:hAnsi="Arial"/>
        </w:rPr>
        <w:t xml:space="preserve">separately. </w:t>
      </w:r>
    </w:p>
    <w:p w:rsidR="00397114" w:rsidRPr="00D80D78" w:rsidRDefault="00397114" w:rsidP="00397114">
      <w:pPr>
        <w:rPr>
          <w:rFonts w:ascii="Arial" w:hAnsi="Arial"/>
        </w:rPr>
      </w:pPr>
    </w:p>
    <w:p w:rsidR="00397114" w:rsidRPr="00EE1F26" w:rsidRDefault="00397114" w:rsidP="00397114">
      <w:pPr>
        <w:rPr>
          <w:rFonts w:ascii="Arial" w:hAnsi="Arial"/>
        </w:rPr>
      </w:pPr>
      <w:r w:rsidRPr="00D80D78">
        <w:rPr>
          <w:rFonts w:ascii="Arial" w:hAnsi="Arial"/>
        </w:rPr>
        <w:t xml:space="preserve">If an active ingredient manufacturer has supplied (or been asked to supply) a DMF to the </w:t>
      </w:r>
      <w:r>
        <w:rPr>
          <w:rFonts w:ascii="Arial" w:hAnsi="Arial"/>
        </w:rPr>
        <w:t>OPSRA</w:t>
      </w:r>
      <w:r w:rsidRPr="00D80D78">
        <w:rPr>
          <w:rFonts w:ascii="Arial" w:hAnsi="Arial"/>
        </w:rPr>
        <w:t xml:space="preserve"> for the registration of a psychoactive product, it is not necessary for a further copy of the DMF (or part thereof) to be provided for the registration of another product sponsored by a different sponsor. However, the active substance manufacturer needs to provide the </w:t>
      </w:r>
      <w:r>
        <w:rPr>
          <w:rFonts w:ascii="Arial" w:hAnsi="Arial"/>
        </w:rPr>
        <w:t>OPSRA</w:t>
      </w:r>
      <w:r w:rsidRPr="00D80D78">
        <w:rPr>
          <w:rFonts w:ascii="Arial" w:hAnsi="Arial"/>
        </w:rPr>
        <w:t xml:space="preserve"> with a new letter of access, referring to the previously supplied DMF and the new applicant.</w:t>
      </w:r>
      <w:r w:rsidRPr="00EE1F26">
        <w:rPr>
          <w:rFonts w:ascii="Arial" w:hAnsi="Arial"/>
        </w:rPr>
        <w:t xml:space="preserve"> </w:t>
      </w:r>
    </w:p>
    <w:p w:rsidR="00397114" w:rsidRPr="00EE1F26" w:rsidRDefault="00397114" w:rsidP="00397114">
      <w:pPr>
        <w:rPr>
          <w:rFonts w:ascii="Arial" w:hAnsi="Arial"/>
        </w:rPr>
      </w:pPr>
    </w:p>
    <w:p w:rsidR="00397114" w:rsidRPr="00D80D78" w:rsidRDefault="00397114" w:rsidP="00397114">
      <w:pPr>
        <w:rPr>
          <w:rFonts w:ascii="Arial" w:hAnsi="Arial"/>
        </w:rPr>
      </w:pPr>
      <w:r w:rsidRPr="00D80D78">
        <w:rPr>
          <w:rFonts w:ascii="Arial" w:hAnsi="Arial"/>
        </w:rPr>
        <w:t xml:space="preserve">Finished product manufacturers are responsible for the quality of their products and the raw materials used to manufacture them. </w:t>
      </w:r>
      <w:r>
        <w:rPr>
          <w:rFonts w:ascii="Arial" w:hAnsi="Arial"/>
        </w:rPr>
        <w:t>A</w:t>
      </w:r>
      <w:r w:rsidRPr="00D80D78">
        <w:rPr>
          <w:rFonts w:ascii="Arial" w:hAnsi="Arial"/>
        </w:rPr>
        <w:t xml:space="preserve">pplicants should provide written assurance that there is a formal agreement between the active raw material manufacturer and the applicant which ensures that information will be communicated to the sponsor, and to the </w:t>
      </w:r>
      <w:r>
        <w:rPr>
          <w:rFonts w:ascii="Arial" w:hAnsi="Arial"/>
        </w:rPr>
        <w:t>OPSRA</w:t>
      </w:r>
      <w:r w:rsidRPr="00D80D78">
        <w:rPr>
          <w:rFonts w:ascii="Arial" w:hAnsi="Arial"/>
        </w:rPr>
        <w:t xml:space="preserve">, before any significant change is made to the method of manufacture or specifications of an active raw material used in a product distributed in New Zealand. </w:t>
      </w:r>
    </w:p>
    <w:p w:rsidR="00397114" w:rsidRPr="00D80D78" w:rsidRDefault="00397114" w:rsidP="00397114">
      <w:pPr>
        <w:rPr>
          <w:rFonts w:ascii="Arial" w:hAnsi="Arial"/>
        </w:rPr>
      </w:pPr>
    </w:p>
    <w:p w:rsidR="00397114" w:rsidRPr="00D80D78" w:rsidRDefault="00397114" w:rsidP="00397114">
      <w:pPr>
        <w:rPr>
          <w:rFonts w:ascii="Arial" w:hAnsi="Arial"/>
        </w:rPr>
      </w:pPr>
      <w:r w:rsidRPr="00D80D78">
        <w:rPr>
          <w:rFonts w:ascii="Arial" w:hAnsi="Arial"/>
        </w:rPr>
        <w:t>Quality control of the bulk active ingredient is carried out by both the manufacturer of the active ingredient and by the manufacturer of the finished product. Testing by the manufacturer of the bulk active ingr</w:t>
      </w:r>
      <w:r>
        <w:rPr>
          <w:rFonts w:ascii="Arial" w:hAnsi="Arial"/>
        </w:rPr>
        <w:t>edient is usually described in the</w:t>
      </w:r>
      <w:r w:rsidRPr="00D80D78">
        <w:rPr>
          <w:rFonts w:ascii="Arial" w:hAnsi="Arial"/>
        </w:rPr>
        <w:t xml:space="preserve"> DM</w:t>
      </w:r>
      <w:r w:rsidR="00667C9A">
        <w:rPr>
          <w:rFonts w:ascii="Arial" w:hAnsi="Arial"/>
        </w:rPr>
        <w:t>F</w:t>
      </w:r>
      <w:r w:rsidRPr="00D80D78">
        <w:rPr>
          <w:rFonts w:ascii="Arial" w:hAnsi="Arial"/>
        </w:rPr>
        <w:t xml:space="preserve">. </w:t>
      </w:r>
      <w:r w:rsidR="00667C9A">
        <w:rPr>
          <w:rFonts w:ascii="Arial" w:hAnsi="Arial"/>
        </w:rPr>
        <w:t>G</w:t>
      </w:r>
      <w:r>
        <w:rPr>
          <w:rFonts w:ascii="Arial" w:hAnsi="Arial"/>
        </w:rPr>
        <w:t>MP</w:t>
      </w:r>
      <w:r w:rsidRPr="00D80D78">
        <w:rPr>
          <w:rFonts w:ascii="Arial" w:hAnsi="Arial"/>
        </w:rPr>
        <w:t xml:space="preserve"> requires the finished product manufacturer to re-test the active ingredient’s identity, potency and purity before use in the manufacture of finished products. This testing is usually described in the application dossier for the finished product. </w:t>
      </w:r>
    </w:p>
    <w:p w:rsidR="00397114" w:rsidRPr="00DA5905" w:rsidRDefault="00397114" w:rsidP="00397114">
      <w:pPr>
        <w:rPr>
          <w:rFonts w:ascii="Arial" w:hAnsi="Arial"/>
          <w:highlight w:val="yellow"/>
        </w:rPr>
      </w:pPr>
    </w:p>
    <w:p w:rsidR="00397114" w:rsidRPr="00D80D78" w:rsidRDefault="00397114" w:rsidP="00397114">
      <w:pPr>
        <w:rPr>
          <w:rFonts w:ascii="Arial" w:hAnsi="Arial"/>
        </w:rPr>
      </w:pPr>
      <w:r w:rsidRPr="00D80D78">
        <w:rPr>
          <w:rFonts w:ascii="Arial" w:hAnsi="Arial"/>
        </w:rPr>
        <w:t xml:space="preserve">DMFs should be updated periodically to reflect any changes. The sponsor concerned should ensure that either the updated DMF (together with a detailed list of changes made), or details of any changes made, are forwarded to the </w:t>
      </w:r>
      <w:r>
        <w:rPr>
          <w:rFonts w:ascii="Arial" w:hAnsi="Arial"/>
        </w:rPr>
        <w:t>OPSRA</w:t>
      </w:r>
      <w:r w:rsidRPr="00D80D78">
        <w:rPr>
          <w:rFonts w:ascii="Arial" w:hAnsi="Arial"/>
        </w:rPr>
        <w:t xml:space="preserve">. Material changes include but are not limited to changes in the characteristics, manufacture or quality control of the substance concerned. Material changes require an NPPA to be submitted to, and approved by, the </w:t>
      </w:r>
      <w:r>
        <w:rPr>
          <w:rFonts w:ascii="Arial" w:hAnsi="Arial"/>
        </w:rPr>
        <w:t>OPSRA</w:t>
      </w:r>
      <w:r w:rsidRPr="00D80D78">
        <w:rPr>
          <w:rFonts w:ascii="Arial" w:hAnsi="Arial"/>
        </w:rPr>
        <w:t xml:space="preserve"> before the changes can be implemented. </w:t>
      </w:r>
      <w:r>
        <w:rPr>
          <w:rFonts w:ascii="Arial" w:hAnsi="Arial"/>
        </w:rPr>
        <w:t>Non-material changes should be notified to the OPSRA before being implemented but do not require an NPPA.</w:t>
      </w:r>
    </w:p>
    <w:p w:rsidR="00397114" w:rsidRPr="00DA5905" w:rsidRDefault="00397114" w:rsidP="00397114">
      <w:pPr>
        <w:rPr>
          <w:rFonts w:ascii="Arial" w:hAnsi="Arial"/>
          <w:highlight w:val="yellow"/>
        </w:rPr>
      </w:pPr>
    </w:p>
    <w:p w:rsidR="00397114" w:rsidRDefault="00397114" w:rsidP="00397114">
      <w:pPr>
        <w:rPr>
          <w:rFonts w:ascii="Arial" w:hAnsi="Arial"/>
        </w:rPr>
      </w:pPr>
      <w:r w:rsidRPr="00D80D78">
        <w:rPr>
          <w:rFonts w:ascii="Arial" w:hAnsi="Arial"/>
        </w:rPr>
        <w:t>Quality testing for</w:t>
      </w:r>
      <w:r>
        <w:rPr>
          <w:rFonts w:ascii="Arial" w:hAnsi="Arial"/>
        </w:rPr>
        <w:t xml:space="preserve"> active ingredients</w:t>
      </w:r>
      <w:r w:rsidRPr="00D80D78">
        <w:rPr>
          <w:rFonts w:ascii="Arial" w:hAnsi="Arial"/>
        </w:rPr>
        <w:t xml:space="preserve"> should be conducted using validated testing systems by </w:t>
      </w:r>
      <w:r>
        <w:rPr>
          <w:rFonts w:ascii="Arial" w:hAnsi="Arial"/>
        </w:rPr>
        <w:t xml:space="preserve">laboratories accredited </w:t>
      </w:r>
      <w:r w:rsidR="00871D12" w:rsidRPr="0094469A">
        <w:rPr>
          <w:rFonts w:ascii="Arial" w:hAnsi="Arial" w:cs="Arial"/>
          <w:lang w:val="en-NZ"/>
        </w:rPr>
        <w:t>IANZ or JAS-ANZ</w:t>
      </w:r>
      <w:r w:rsidR="00871D12">
        <w:rPr>
          <w:rFonts w:ascii="Arial" w:hAnsi="Arial" w:cs="Arial"/>
          <w:lang w:val="en-NZ"/>
        </w:rPr>
        <w:t xml:space="preserve"> </w:t>
      </w:r>
      <w:r>
        <w:rPr>
          <w:rFonts w:ascii="Arial" w:hAnsi="Arial"/>
        </w:rPr>
        <w:t>by</w:t>
      </w:r>
      <w:r w:rsidRPr="002C7CC5">
        <w:rPr>
          <w:rFonts w:ascii="Arial" w:hAnsi="Arial"/>
        </w:rPr>
        <w:t xml:space="preserve"> ILAC </w:t>
      </w:r>
      <w:r>
        <w:rPr>
          <w:rFonts w:ascii="Arial" w:hAnsi="Arial"/>
        </w:rPr>
        <w:t>or APLAC</w:t>
      </w:r>
      <w:r w:rsidRPr="002C7CC5">
        <w:rPr>
          <w:rFonts w:ascii="Arial" w:hAnsi="Arial"/>
        </w:rPr>
        <w:t>.</w:t>
      </w:r>
      <w:r>
        <w:rPr>
          <w:rFonts w:ascii="Arial" w:hAnsi="Arial"/>
        </w:rPr>
        <w:t xml:space="preserve"> </w:t>
      </w:r>
    </w:p>
    <w:p w:rsidR="00397114" w:rsidRDefault="00397114" w:rsidP="00397114">
      <w:pPr>
        <w:rPr>
          <w:rFonts w:ascii="Arial" w:hAnsi="Arial"/>
        </w:rPr>
      </w:pPr>
    </w:p>
    <w:p w:rsidR="001D1066" w:rsidRPr="001D1066" w:rsidRDefault="001D1066" w:rsidP="00CF062F">
      <w:pPr>
        <w:pStyle w:val="ListParagraph"/>
        <w:numPr>
          <w:ilvl w:val="2"/>
          <w:numId w:val="63"/>
        </w:numPr>
        <w:ind w:left="993" w:hanging="993"/>
        <w:rPr>
          <w:rStyle w:val="Arial"/>
          <w:i/>
          <w:iCs/>
        </w:rPr>
      </w:pPr>
      <w:r w:rsidRPr="001D1066">
        <w:rPr>
          <w:rStyle w:val="Arial"/>
          <w:i/>
          <w:iCs/>
        </w:rPr>
        <w:t xml:space="preserve">Quality Control of Active Ingredient(s) </w:t>
      </w:r>
    </w:p>
    <w:p w:rsidR="001D1066" w:rsidRDefault="001D1066" w:rsidP="001D1066">
      <w:pPr>
        <w:rPr>
          <w:rStyle w:val="Arial"/>
          <w:i/>
          <w:iCs/>
        </w:rPr>
      </w:pPr>
    </w:p>
    <w:p w:rsidR="001D1066" w:rsidRPr="00871D12" w:rsidRDefault="001D1066" w:rsidP="001D1066">
      <w:pPr>
        <w:rPr>
          <w:rStyle w:val="Arial"/>
          <w:iCs/>
        </w:rPr>
      </w:pPr>
      <w:r>
        <w:rPr>
          <w:rStyle w:val="Arial"/>
          <w:iCs/>
        </w:rPr>
        <w:t>The quality control of the active ingredient is important if a DMF, or similar information, does not exist.</w:t>
      </w:r>
    </w:p>
    <w:p w:rsidR="001D1066" w:rsidRPr="00A46454" w:rsidRDefault="001D1066" w:rsidP="001D1066">
      <w:pPr>
        <w:rPr>
          <w:rStyle w:val="Arial"/>
          <w:i/>
          <w:iCs/>
        </w:rPr>
      </w:pPr>
    </w:p>
    <w:p w:rsidR="001D1066" w:rsidRPr="00DB34DC" w:rsidRDefault="001D1066" w:rsidP="00CF062F">
      <w:pPr>
        <w:pStyle w:val="ListParagraph"/>
        <w:numPr>
          <w:ilvl w:val="2"/>
          <w:numId w:val="63"/>
        </w:numPr>
        <w:ind w:left="993" w:hanging="993"/>
        <w:rPr>
          <w:rStyle w:val="Arial"/>
          <w:i/>
          <w:iCs/>
        </w:rPr>
      </w:pPr>
      <w:r w:rsidRPr="00DB34DC">
        <w:rPr>
          <w:rStyle w:val="Arial"/>
          <w:i/>
          <w:iCs/>
        </w:rPr>
        <w:t xml:space="preserve">Controls applied by the bulk active ingredient manufacturer </w:t>
      </w:r>
    </w:p>
    <w:p w:rsidR="001D1066" w:rsidRPr="00A46454" w:rsidRDefault="001D1066" w:rsidP="001D1066">
      <w:pPr>
        <w:rPr>
          <w:rStyle w:val="Arial"/>
          <w:i/>
          <w:iCs/>
        </w:rPr>
      </w:pPr>
    </w:p>
    <w:p w:rsidR="001D1066" w:rsidRDefault="001D1066" w:rsidP="001D1066">
      <w:pPr>
        <w:rPr>
          <w:rFonts w:ascii="Arial" w:hAnsi="Arial"/>
        </w:rPr>
      </w:pPr>
      <w:r w:rsidRPr="004B0CB2">
        <w:rPr>
          <w:rFonts w:ascii="Arial" w:hAnsi="Arial"/>
        </w:rPr>
        <w:t>The active ingredient specifications applied by the manufacturer of the bulk active ingredient must be in accordance with a recognised pharmacopoeia (</w:t>
      </w:r>
      <w:r>
        <w:rPr>
          <w:rFonts w:ascii="Arial" w:hAnsi="Arial"/>
        </w:rPr>
        <w:t xml:space="preserve">eg, European, British or United States pharmacopoeia or Ph. Eur., BP and USP respectively), where a relevant monograph </w:t>
      </w:r>
      <w:r w:rsidRPr="00BC6862">
        <w:rPr>
          <w:rFonts w:ascii="Arial" w:hAnsi="Arial"/>
        </w:rPr>
        <w:t>exists</w:t>
      </w:r>
      <w:r w:rsidR="00BC5EF2">
        <w:rPr>
          <w:rFonts w:ascii="Arial" w:hAnsi="Arial"/>
        </w:rPr>
        <w:t>.</w:t>
      </w:r>
    </w:p>
    <w:p w:rsidR="001D1066" w:rsidRDefault="001D1066" w:rsidP="001D1066">
      <w:pPr>
        <w:rPr>
          <w:rFonts w:ascii="Arial" w:hAnsi="Arial"/>
        </w:rPr>
      </w:pPr>
    </w:p>
    <w:p w:rsidR="001D1066" w:rsidRDefault="001D1066" w:rsidP="001D1066">
      <w:pPr>
        <w:rPr>
          <w:rFonts w:ascii="Arial" w:hAnsi="Arial"/>
        </w:rPr>
      </w:pPr>
      <w:r>
        <w:rPr>
          <w:rFonts w:ascii="Arial" w:hAnsi="Arial"/>
        </w:rPr>
        <w:t>If there is no relevant monograph,</w:t>
      </w:r>
      <w:r w:rsidRPr="004B0CB2">
        <w:rPr>
          <w:rFonts w:ascii="Arial" w:hAnsi="Arial"/>
        </w:rPr>
        <w:t xml:space="preserve"> non-pharmacopoeial specifications </w:t>
      </w:r>
      <w:r>
        <w:rPr>
          <w:rFonts w:ascii="Arial" w:hAnsi="Arial"/>
        </w:rPr>
        <w:t>may be</w:t>
      </w:r>
      <w:r w:rsidRPr="004B0CB2">
        <w:rPr>
          <w:rFonts w:ascii="Arial" w:hAnsi="Arial"/>
        </w:rPr>
        <w:t xml:space="preserve"> applied, </w:t>
      </w:r>
      <w:r>
        <w:rPr>
          <w:rFonts w:ascii="Arial" w:hAnsi="Arial"/>
        </w:rPr>
        <w:t>which</w:t>
      </w:r>
      <w:r w:rsidRPr="004B0CB2">
        <w:rPr>
          <w:rFonts w:ascii="Arial" w:hAnsi="Arial"/>
        </w:rPr>
        <w:t xml:space="preserve"> must cover all of the relevant identity, organoleptic, physical (including crystalline form and particle size distribution, if applicable), chemical, stereochemical and microbiological quality parameters. </w:t>
      </w:r>
    </w:p>
    <w:p w:rsidR="001D1066" w:rsidRDefault="001D1066" w:rsidP="001D1066">
      <w:pPr>
        <w:rPr>
          <w:rFonts w:ascii="Arial" w:hAnsi="Arial"/>
        </w:rPr>
      </w:pPr>
    </w:p>
    <w:p w:rsidR="001D1066" w:rsidRPr="004B0CB2" w:rsidRDefault="001D1066" w:rsidP="001D1066">
      <w:pPr>
        <w:rPr>
          <w:rFonts w:ascii="Arial" w:hAnsi="Arial"/>
        </w:rPr>
      </w:pPr>
      <w:r>
        <w:rPr>
          <w:rFonts w:ascii="Arial" w:hAnsi="Arial"/>
        </w:rPr>
        <w:t>A manufacturer may choose to use non-pharmacopoeial specifications where a pharmacopoeial monograph exists but the non-pharmacopoeial specifications must be shown to be equivalent or superior to the pharmacopoeial monograph.</w:t>
      </w:r>
    </w:p>
    <w:p w:rsidR="001D1066" w:rsidRPr="004B0CB2" w:rsidRDefault="001D1066" w:rsidP="001D1066">
      <w:pPr>
        <w:rPr>
          <w:rFonts w:ascii="Arial" w:hAnsi="Arial"/>
        </w:rPr>
      </w:pPr>
    </w:p>
    <w:p w:rsidR="001D1066" w:rsidRPr="004B0CB2" w:rsidRDefault="001D1066" w:rsidP="001D1066">
      <w:pPr>
        <w:rPr>
          <w:rFonts w:ascii="Arial" w:hAnsi="Arial"/>
        </w:rPr>
      </w:pPr>
      <w:r w:rsidRPr="004B0CB2">
        <w:rPr>
          <w:rFonts w:ascii="Arial" w:hAnsi="Arial"/>
        </w:rPr>
        <w:t xml:space="preserve">Justification must be given for the selection of any non-pharmacopoeial tests, test procedures, requirements and limits. If certain tests are not carried out routinely, adequate justification must be provided. </w:t>
      </w:r>
    </w:p>
    <w:p w:rsidR="001D1066" w:rsidRPr="004B0CB2" w:rsidRDefault="001D1066" w:rsidP="001D1066">
      <w:pPr>
        <w:rPr>
          <w:rFonts w:ascii="Arial" w:hAnsi="Arial"/>
        </w:rPr>
      </w:pPr>
    </w:p>
    <w:p w:rsidR="001D1066" w:rsidRPr="004B0CB2" w:rsidRDefault="001D1066" w:rsidP="001D1066">
      <w:pPr>
        <w:rPr>
          <w:rFonts w:ascii="Arial" w:hAnsi="Arial"/>
        </w:rPr>
      </w:pPr>
      <w:r w:rsidRPr="004B0CB2">
        <w:rPr>
          <w:rFonts w:ascii="Arial" w:hAnsi="Arial"/>
        </w:rPr>
        <w:t xml:space="preserve">Physical, chemical and microbiological test procedures (whether pharmacopoeial or not) must be self-validating or have been validated in accordance with pharmacopoeial standards or ICH guidelines. </w:t>
      </w:r>
    </w:p>
    <w:p w:rsidR="001D1066" w:rsidRPr="004B0CB2" w:rsidRDefault="001D1066" w:rsidP="001D1066">
      <w:pPr>
        <w:rPr>
          <w:rFonts w:ascii="Arial" w:hAnsi="Arial"/>
        </w:rPr>
      </w:pPr>
    </w:p>
    <w:p w:rsidR="001D1066" w:rsidRPr="004B0CB2" w:rsidRDefault="001D1066" w:rsidP="001D1066">
      <w:pPr>
        <w:rPr>
          <w:rFonts w:ascii="Arial" w:hAnsi="Arial"/>
        </w:rPr>
      </w:pPr>
      <w:r w:rsidRPr="004B0CB2">
        <w:rPr>
          <w:rFonts w:ascii="Arial" w:hAnsi="Arial"/>
        </w:rPr>
        <w:t xml:space="preserve">All assay and related product/degradation product and residual solvent impurity level tests must have been validated (as appropriate) for specificity/selectivity, limit of detection, limit of quantitation, accuracy, precision, repeatability, linearity, stability of solutions, and robustness/ ruggedness. </w:t>
      </w:r>
    </w:p>
    <w:p w:rsidR="001D1066" w:rsidRPr="004B0CB2" w:rsidRDefault="001D1066" w:rsidP="001D1066">
      <w:pPr>
        <w:rPr>
          <w:rFonts w:ascii="Arial" w:hAnsi="Arial"/>
        </w:rPr>
      </w:pPr>
    </w:p>
    <w:p w:rsidR="001D1066" w:rsidRPr="004B0CB2" w:rsidRDefault="001D1066" w:rsidP="001D1066">
      <w:pPr>
        <w:rPr>
          <w:rFonts w:ascii="Arial" w:hAnsi="Arial"/>
        </w:rPr>
      </w:pPr>
      <w:r w:rsidRPr="004B0CB2">
        <w:rPr>
          <w:rFonts w:ascii="Arial" w:hAnsi="Arial"/>
        </w:rPr>
        <w:t xml:space="preserve">Proof must be provided that the related substance assay procedure is adequate to detect and control all of the related substance impurities actually or potentially present in the bulk substance produced using the intended manufacturing process. </w:t>
      </w:r>
    </w:p>
    <w:p w:rsidR="001D1066" w:rsidRPr="004B0CB2" w:rsidRDefault="001D1066" w:rsidP="001D1066">
      <w:pPr>
        <w:rPr>
          <w:rFonts w:ascii="Arial" w:hAnsi="Arial"/>
        </w:rPr>
      </w:pPr>
    </w:p>
    <w:p w:rsidR="001D1066" w:rsidRDefault="001D1066" w:rsidP="001D1066">
      <w:pPr>
        <w:rPr>
          <w:rFonts w:ascii="Arial" w:hAnsi="Arial"/>
        </w:rPr>
      </w:pPr>
      <w:r w:rsidRPr="004B0CB2">
        <w:rPr>
          <w:rFonts w:ascii="Arial" w:hAnsi="Arial"/>
        </w:rPr>
        <w:t>Satisfactory representative batch analytical data must be supplied for</w:t>
      </w:r>
      <w:r>
        <w:rPr>
          <w:rFonts w:ascii="Arial" w:hAnsi="Arial"/>
        </w:rPr>
        <w:t xml:space="preserve"> at least</w:t>
      </w:r>
      <w:r w:rsidRPr="004B0CB2">
        <w:rPr>
          <w:rFonts w:ascii="Arial" w:hAnsi="Arial"/>
        </w:rPr>
        <w:t xml:space="preserve"> </w:t>
      </w:r>
      <w:r>
        <w:rPr>
          <w:rFonts w:ascii="Arial" w:hAnsi="Arial"/>
        </w:rPr>
        <w:t xml:space="preserve">three </w:t>
      </w:r>
      <w:r w:rsidRPr="004B0CB2">
        <w:rPr>
          <w:rFonts w:ascii="Arial" w:hAnsi="Arial"/>
        </w:rPr>
        <w:t xml:space="preserve">typical batches of bulk active substance. Any Certificates of Analysis submitted must have been signed. If a “house” reference standard is used in the assays, characterisation and analytical data confirming its suitability for use must be provided. </w:t>
      </w:r>
    </w:p>
    <w:p w:rsidR="001D1066" w:rsidRDefault="001D1066" w:rsidP="00397114">
      <w:pPr>
        <w:rPr>
          <w:rFonts w:ascii="Arial" w:hAnsi="Arial"/>
        </w:rPr>
      </w:pPr>
    </w:p>
    <w:p w:rsidR="00397114" w:rsidRPr="00DB34DC" w:rsidRDefault="00397114" w:rsidP="00CF062F">
      <w:pPr>
        <w:pStyle w:val="ListParagraph"/>
        <w:numPr>
          <w:ilvl w:val="2"/>
          <w:numId w:val="63"/>
        </w:numPr>
        <w:ind w:left="993" w:hanging="993"/>
        <w:rPr>
          <w:rStyle w:val="Arial"/>
          <w:i/>
          <w:iCs/>
        </w:rPr>
      </w:pPr>
      <w:r w:rsidRPr="00DB34DC">
        <w:rPr>
          <w:rStyle w:val="Arial"/>
          <w:i/>
          <w:iCs/>
        </w:rPr>
        <w:t xml:space="preserve">When is a DMF not required? </w:t>
      </w:r>
    </w:p>
    <w:p w:rsidR="00397114" w:rsidRPr="00A46454" w:rsidRDefault="00397114" w:rsidP="00397114">
      <w:pPr>
        <w:rPr>
          <w:rStyle w:val="Arial"/>
          <w:i/>
          <w:iCs/>
        </w:rPr>
      </w:pPr>
    </w:p>
    <w:p w:rsidR="00397114" w:rsidRPr="00D80D78" w:rsidRDefault="00397114" w:rsidP="00397114">
      <w:pPr>
        <w:rPr>
          <w:rFonts w:ascii="Arial" w:hAnsi="Arial"/>
        </w:rPr>
      </w:pPr>
      <w:r w:rsidRPr="00D80D78">
        <w:rPr>
          <w:rFonts w:ascii="Arial" w:hAnsi="Arial"/>
        </w:rPr>
        <w:t xml:space="preserve">A DMF is not required for: </w:t>
      </w:r>
    </w:p>
    <w:p w:rsidR="00397114" w:rsidRPr="0094469A" w:rsidRDefault="00397114" w:rsidP="00DB34DC">
      <w:pPr>
        <w:pStyle w:val="ListParagraph"/>
        <w:numPr>
          <w:ilvl w:val="0"/>
          <w:numId w:val="31"/>
        </w:numPr>
        <w:spacing w:before="120"/>
        <w:ind w:left="714" w:hanging="357"/>
        <w:contextualSpacing w:val="0"/>
        <w:rPr>
          <w:rFonts w:ascii="Arial" w:hAnsi="Arial"/>
        </w:rPr>
      </w:pPr>
      <w:r w:rsidRPr="00D80D78">
        <w:rPr>
          <w:rFonts w:ascii="Arial" w:hAnsi="Arial"/>
        </w:rPr>
        <w:t xml:space="preserve">any active substance that is controlled according to the relevant monograph in </w:t>
      </w:r>
      <w:r w:rsidRPr="00BC6862">
        <w:rPr>
          <w:rFonts w:ascii="Arial" w:hAnsi="Arial"/>
        </w:rPr>
        <w:t>the Ph. Eur. and for</w:t>
      </w:r>
      <w:r w:rsidR="00BC5EF2">
        <w:rPr>
          <w:rFonts w:ascii="Arial" w:hAnsi="Arial"/>
        </w:rPr>
        <w:t xml:space="preserve"> which a valid CoS is provided .</w:t>
      </w:r>
      <w:r w:rsidRPr="0094469A">
        <w:rPr>
          <w:rFonts w:ascii="Arial" w:hAnsi="Arial"/>
        </w:rPr>
        <w:t xml:space="preserve"> </w:t>
      </w:r>
    </w:p>
    <w:p w:rsidR="00397114" w:rsidRPr="0094469A" w:rsidRDefault="00397114" w:rsidP="00DB34DC">
      <w:pPr>
        <w:pStyle w:val="ListParagraph"/>
        <w:numPr>
          <w:ilvl w:val="0"/>
          <w:numId w:val="31"/>
        </w:numPr>
        <w:spacing w:before="120"/>
        <w:ind w:left="714" w:hanging="357"/>
        <w:contextualSpacing w:val="0"/>
        <w:rPr>
          <w:rFonts w:ascii="Arial" w:hAnsi="Arial"/>
        </w:rPr>
      </w:pPr>
      <w:r w:rsidRPr="0094469A">
        <w:rPr>
          <w:rFonts w:ascii="Arial" w:hAnsi="Arial"/>
        </w:rPr>
        <w:t xml:space="preserve">common inorganic substances and simple organic compounds available commercially in high purity from chemical supply houses, eg, naturally occurring organic acids and their salts and amino acids (even though they may be synthesised rather than being extracted and refined) </w:t>
      </w:r>
    </w:p>
    <w:p w:rsidR="00397114" w:rsidRDefault="00397114" w:rsidP="00DB34DC">
      <w:pPr>
        <w:pStyle w:val="ListParagraph"/>
        <w:numPr>
          <w:ilvl w:val="0"/>
          <w:numId w:val="31"/>
        </w:numPr>
        <w:spacing w:before="120"/>
        <w:ind w:left="714" w:hanging="357"/>
        <w:contextualSpacing w:val="0"/>
        <w:rPr>
          <w:rFonts w:ascii="Arial" w:hAnsi="Arial"/>
        </w:rPr>
      </w:pPr>
      <w:r>
        <w:rPr>
          <w:rFonts w:ascii="Arial" w:hAnsi="Arial"/>
        </w:rPr>
        <w:t>s</w:t>
      </w:r>
      <w:r w:rsidRPr="00D80D78">
        <w:rPr>
          <w:rFonts w:ascii="Arial" w:hAnsi="Arial"/>
        </w:rPr>
        <w:t>imple, unrefined extracts from plant ma</w:t>
      </w:r>
      <w:r>
        <w:rPr>
          <w:rFonts w:ascii="Arial" w:hAnsi="Arial"/>
        </w:rPr>
        <w:t>terials</w:t>
      </w:r>
    </w:p>
    <w:p w:rsidR="00397114" w:rsidRDefault="00397114" w:rsidP="00DB34DC">
      <w:pPr>
        <w:pStyle w:val="ListParagraph"/>
        <w:numPr>
          <w:ilvl w:val="0"/>
          <w:numId w:val="31"/>
        </w:numPr>
        <w:spacing w:before="120"/>
        <w:ind w:left="714" w:hanging="357"/>
        <w:contextualSpacing w:val="0"/>
        <w:rPr>
          <w:rFonts w:ascii="Arial" w:hAnsi="Arial"/>
        </w:rPr>
      </w:pPr>
      <w:r>
        <w:rPr>
          <w:rFonts w:ascii="Arial" w:hAnsi="Arial"/>
        </w:rPr>
        <w:t>plant materials</w:t>
      </w:r>
      <w:r w:rsidRPr="00D80D78">
        <w:rPr>
          <w:rFonts w:ascii="Arial" w:hAnsi="Arial"/>
        </w:rPr>
        <w:t xml:space="preserve"> </w:t>
      </w:r>
    </w:p>
    <w:p w:rsidR="00397114" w:rsidRPr="002C7CC5" w:rsidRDefault="00397114" w:rsidP="00397114">
      <w:pPr>
        <w:rPr>
          <w:rFonts w:ascii="Arial" w:hAnsi="Arial"/>
        </w:rPr>
      </w:pPr>
    </w:p>
    <w:p w:rsidR="00397114" w:rsidRPr="00DA5905" w:rsidRDefault="00397114" w:rsidP="00397114">
      <w:pPr>
        <w:rPr>
          <w:rFonts w:ascii="Arial" w:hAnsi="Arial"/>
          <w:highlight w:val="yellow"/>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528"/>
      </w:tblGrid>
      <w:tr w:rsidR="00397114" w:rsidTr="006338B2">
        <w:tc>
          <w:tcPr>
            <w:tcW w:w="8528" w:type="dxa"/>
          </w:tcPr>
          <w:p w:rsidR="00397114" w:rsidRDefault="00397114" w:rsidP="006338B2">
            <w:pPr>
              <w:rPr>
                <w:rFonts w:ascii="Arial" w:hAnsi="Arial"/>
              </w:rPr>
            </w:pPr>
          </w:p>
          <w:p w:rsidR="00397114" w:rsidRDefault="00397114" w:rsidP="006338B2">
            <w:pPr>
              <w:rPr>
                <w:rFonts w:ascii="Arial" w:hAnsi="Arial"/>
              </w:rPr>
            </w:pPr>
            <w:r w:rsidRPr="00D80D78">
              <w:rPr>
                <w:rFonts w:ascii="Arial" w:hAnsi="Arial"/>
              </w:rPr>
              <w:t xml:space="preserve">Although a DMF is not required for these active ingredients, evidence needs to be submitted by the finished product manufacturer that the substance is obtained from a reliable source and consistently complies with the applicable pharmacopoeial or non-pharmacopoeial specifications. Any non-pharmacopoeial specifications need to be assessed by the </w:t>
            </w:r>
            <w:r>
              <w:rPr>
                <w:rFonts w:ascii="Arial" w:hAnsi="Arial"/>
              </w:rPr>
              <w:t>OPSRA</w:t>
            </w:r>
            <w:r w:rsidRPr="00D80D78">
              <w:rPr>
                <w:rFonts w:ascii="Arial" w:hAnsi="Arial"/>
              </w:rPr>
              <w:t xml:space="preserve"> to determine their appropriateness and adequacy to ensure the quality of the substance. </w:t>
            </w:r>
          </w:p>
          <w:p w:rsidR="00397114" w:rsidRDefault="00397114" w:rsidP="006338B2">
            <w:pPr>
              <w:rPr>
                <w:rFonts w:ascii="Arial" w:hAnsi="Arial"/>
              </w:rPr>
            </w:pPr>
          </w:p>
        </w:tc>
      </w:tr>
    </w:tbl>
    <w:p w:rsidR="00397114" w:rsidRDefault="00397114" w:rsidP="00397114">
      <w:pPr>
        <w:rPr>
          <w:rFonts w:ascii="Arial" w:hAnsi="Arial"/>
        </w:rPr>
      </w:pPr>
    </w:p>
    <w:p w:rsidR="00397114" w:rsidRPr="00D80D78" w:rsidRDefault="00397114" w:rsidP="00397114">
      <w:pPr>
        <w:rPr>
          <w:rFonts w:ascii="Arial" w:hAnsi="Arial"/>
        </w:rPr>
      </w:pPr>
    </w:p>
    <w:p w:rsidR="00397114" w:rsidRPr="00DB34DC" w:rsidRDefault="00397114" w:rsidP="00CF062F">
      <w:pPr>
        <w:pStyle w:val="ListParagraph"/>
        <w:numPr>
          <w:ilvl w:val="2"/>
          <w:numId w:val="63"/>
        </w:numPr>
        <w:ind w:left="993" w:hanging="993"/>
        <w:rPr>
          <w:rStyle w:val="Arial"/>
          <w:i/>
          <w:iCs/>
        </w:rPr>
      </w:pPr>
      <w:r w:rsidRPr="00DB34DC">
        <w:rPr>
          <w:rStyle w:val="Arial"/>
          <w:i/>
          <w:iCs/>
        </w:rPr>
        <w:t xml:space="preserve">Format for a DMF </w:t>
      </w:r>
    </w:p>
    <w:p w:rsidR="00397114" w:rsidRPr="00A46454" w:rsidRDefault="00397114" w:rsidP="00397114">
      <w:pPr>
        <w:rPr>
          <w:rStyle w:val="Arial"/>
          <w:i/>
          <w:iCs/>
        </w:rPr>
      </w:pPr>
    </w:p>
    <w:p w:rsidR="00397114" w:rsidRPr="00D80D78" w:rsidRDefault="00397114" w:rsidP="00397114">
      <w:pPr>
        <w:rPr>
          <w:rFonts w:ascii="Arial" w:hAnsi="Arial"/>
        </w:rPr>
      </w:pPr>
      <w:r w:rsidRPr="00D80D78">
        <w:rPr>
          <w:rFonts w:ascii="Arial" w:hAnsi="Arial"/>
        </w:rPr>
        <w:t xml:space="preserve">DMFs compiled using the European or US format are acceptable. </w:t>
      </w:r>
    </w:p>
    <w:p w:rsidR="00397114" w:rsidRPr="00DA5905" w:rsidRDefault="00397114" w:rsidP="00397114">
      <w:pPr>
        <w:rPr>
          <w:rFonts w:ascii="Arial" w:hAnsi="Arial"/>
          <w:highlight w:val="yellow"/>
        </w:rPr>
      </w:pPr>
    </w:p>
    <w:p w:rsidR="00397114" w:rsidRDefault="00397114" w:rsidP="00397114">
      <w:pPr>
        <w:rPr>
          <w:rFonts w:ascii="Arial" w:hAnsi="Arial"/>
        </w:rPr>
      </w:pPr>
      <w:r w:rsidRPr="00D80D78">
        <w:rPr>
          <w:rFonts w:ascii="Arial" w:hAnsi="Arial"/>
        </w:rPr>
        <w:t xml:space="preserve">The DMF may, if required, be presented in two sections, with the first (open) section containing information accessible to the finished dose form manufacturer and the second (closed) section containing information not accessible to the finished dose form manufacturer. </w:t>
      </w:r>
    </w:p>
    <w:p w:rsidR="00397114" w:rsidRPr="00D80D78" w:rsidRDefault="00397114" w:rsidP="00397114">
      <w:pPr>
        <w:rPr>
          <w:rFonts w:ascii="Arial" w:hAnsi="Arial"/>
        </w:rPr>
      </w:pPr>
    </w:p>
    <w:p w:rsidR="00397114" w:rsidRPr="00DB34DC" w:rsidRDefault="00397114" w:rsidP="00CF062F">
      <w:pPr>
        <w:pStyle w:val="ListParagraph"/>
        <w:numPr>
          <w:ilvl w:val="2"/>
          <w:numId w:val="63"/>
        </w:numPr>
        <w:ind w:left="993" w:hanging="993"/>
        <w:rPr>
          <w:rStyle w:val="Arial"/>
          <w:i/>
          <w:iCs/>
        </w:rPr>
      </w:pPr>
      <w:r w:rsidRPr="00DB34DC">
        <w:rPr>
          <w:rStyle w:val="Arial"/>
          <w:i/>
          <w:iCs/>
        </w:rPr>
        <w:t>Certificate of Suitability (CoS)</w:t>
      </w:r>
    </w:p>
    <w:p w:rsidR="00397114" w:rsidRDefault="00397114" w:rsidP="00397114">
      <w:pPr>
        <w:rPr>
          <w:rFonts w:ascii="Arial" w:hAnsi="Arial"/>
        </w:rPr>
      </w:pPr>
    </w:p>
    <w:p w:rsidR="00397114" w:rsidRPr="00D80D78" w:rsidRDefault="00397114" w:rsidP="00397114">
      <w:pPr>
        <w:rPr>
          <w:rFonts w:ascii="Arial" w:hAnsi="Arial"/>
        </w:rPr>
      </w:pPr>
      <w:r w:rsidRPr="00D80D78">
        <w:rPr>
          <w:rFonts w:ascii="Arial" w:hAnsi="Arial"/>
        </w:rPr>
        <w:t>Where an active ingredient is described in the</w:t>
      </w:r>
      <w:r>
        <w:rPr>
          <w:rFonts w:ascii="Arial" w:hAnsi="Arial"/>
        </w:rPr>
        <w:t xml:space="preserve"> European Pharmacopoeia</w:t>
      </w:r>
      <w:r w:rsidRPr="00D80D78">
        <w:rPr>
          <w:rFonts w:ascii="Arial" w:hAnsi="Arial"/>
        </w:rPr>
        <w:t xml:space="preserve"> </w:t>
      </w:r>
      <w:r>
        <w:rPr>
          <w:rFonts w:ascii="Arial" w:hAnsi="Arial"/>
        </w:rPr>
        <w:t>(Ph. Eur.)</w:t>
      </w:r>
      <w:r w:rsidRPr="00D80D78">
        <w:rPr>
          <w:rFonts w:ascii="Arial" w:hAnsi="Arial"/>
        </w:rPr>
        <w:t>, the manufacturer may submit the DMF (or equivalent documentation) to the European Pharmacopoeial Commission for assessment and issuance</w:t>
      </w:r>
      <w:r>
        <w:rPr>
          <w:rFonts w:ascii="Arial" w:hAnsi="Arial"/>
        </w:rPr>
        <w:t xml:space="preserve"> of a CoS</w:t>
      </w:r>
      <w:r w:rsidRPr="00D80D78">
        <w:rPr>
          <w:rFonts w:ascii="Arial" w:hAnsi="Arial"/>
        </w:rPr>
        <w:t xml:space="preserve">. This certificate confirms that the purity of the substance, as produced by the manufacturer, is suitably controlled by the monograph in the </w:t>
      </w:r>
      <w:r>
        <w:rPr>
          <w:rFonts w:ascii="Arial" w:hAnsi="Arial"/>
        </w:rPr>
        <w:t>Ph. Eur.</w:t>
      </w:r>
      <w:r w:rsidRPr="00D80D78">
        <w:rPr>
          <w:rFonts w:ascii="Arial" w:hAnsi="Arial"/>
        </w:rPr>
        <w:t xml:space="preserve"> This certificate may then be submitted in lieu of a DMF, obviating the need for regulatory authorities to carry out their own detailed assessment of the data. For details of the certifications scheme, contact the secretariat of the European Pharmacopoeial Commission. Some information is available on the internet site: </w:t>
      </w:r>
      <w:hyperlink r:id="rId43" w:history="1">
        <w:r w:rsidRPr="00792388">
          <w:rPr>
            <w:rStyle w:val="Hyperlink"/>
            <w:rFonts w:ascii="Arial" w:hAnsi="Arial"/>
          </w:rPr>
          <w:t>http://www.pheur.org</w:t>
        </w:r>
      </w:hyperlink>
      <w:r>
        <w:rPr>
          <w:rFonts w:ascii="Arial" w:hAnsi="Arial"/>
        </w:rPr>
        <w:t xml:space="preserve">. </w:t>
      </w:r>
      <w:r w:rsidRPr="00D80D78">
        <w:rPr>
          <w:rFonts w:ascii="Arial" w:hAnsi="Arial"/>
        </w:rPr>
        <w:t xml:space="preserve"> </w:t>
      </w:r>
    </w:p>
    <w:p w:rsidR="00397114" w:rsidRPr="00DA5905" w:rsidRDefault="00397114" w:rsidP="00397114">
      <w:pPr>
        <w:rPr>
          <w:rFonts w:ascii="Arial" w:hAnsi="Arial"/>
          <w:highlight w:val="yellow"/>
        </w:rPr>
      </w:pPr>
    </w:p>
    <w:p w:rsidR="00397114" w:rsidRPr="0081586F" w:rsidRDefault="00397114" w:rsidP="00397114">
      <w:pPr>
        <w:rPr>
          <w:rFonts w:ascii="Arial" w:hAnsi="Arial"/>
        </w:rPr>
      </w:pPr>
      <w:r w:rsidRPr="0081586F">
        <w:rPr>
          <w:rFonts w:ascii="Arial" w:hAnsi="Arial"/>
        </w:rPr>
        <w:t xml:space="preserve">Where a CoS is submitted in lieu of a DMF, the sponsor must also provide a written assurance that any conditions attached to the CoS by the European Pharmacopoeial Commission, as well as any agreed additional tests and limits (eg, for polymorphic form, particle size distribution, impurities, etc.) are applied to each batch used in product intended for the New Zealand market. </w:t>
      </w:r>
    </w:p>
    <w:p w:rsidR="00397114" w:rsidRPr="0081586F" w:rsidRDefault="00397114" w:rsidP="00397114">
      <w:pPr>
        <w:rPr>
          <w:rFonts w:ascii="Arial" w:hAnsi="Arial"/>
        </w:rPr>
      </w:pPr>
      <w:r w:rsidRPr="0081586F">
        <w:rPr>
          <w:rFonts w:ascii="Arial" w:hAnsi="Arial"/>
        </w:rPr>
        <w:t xml:space="preserve">The European Pharmacopoeial Commission also assesses and issues CoSs for substances used as active ingredients or excipients confirming that they comply with </w:t>
      </w:r>
      <w:r>
        <w:rPr>
          <w:rFonts w:ascii="Arial" w:hAnsi="Arial"/>
        </w:rPr>
        <w:t xml:space="preserve">Ph. Eur. </w:t>
      </w:r>
      <w:r w:rsidRPr="0081586F">
        <w:rPr>
          <w:rFonts w:ascii="Arial" w:hAnsi="Arial"/>
        </w:rPr>
        <w:t xml:space="preserve">requirements for minimising the risk of transmission of animal spongiform encephalopathies. The </w:t>
      </w:r>
      <w:r>
        <w:rPr>
          <w:rFonts w:ascii="Arial" w:hAnsi="Arial"/>
        </w:rPr>
        <w:t>OPSRA</w:t>
      </w:r>
      <w:r w:rsidRPr="0081586F">
        <w:rPr>
          <w:rFonts w:ascii="Arial" w:hAnsi="Arial"/>
        </w:rPr>
        <w:t xml:space="preserve"> accepts these certificates. </w:t>
      </w:r>
    </w:p>
    <w:p w:rsidR="00397114" w:rsidRPr="0081586F" w:rsidRDefault="00397114" w:rsidP="00397114">
      <w:pPr>
        <w:rPr>
          <w:rFonts w:ascii="Arial" w:hAnsi="Arial"/>
        </w:rPr>
      </w:pPr>
    </w:p>
    <w:p w:rsidR="00397114" w:rsidRDefault="00397114" w:rsidP="00397114">
      <w:pPr>
        <w:rPr>
          <w:rFonts w:ascii="Arial" w:hAnsi="Arial"/>
        </w:rPr>
      </w:pPr>
      <w:r w:rsidRPr="0081586F">
        <w:rPr>
          <w:rFonts w:ascii="Arial" w:hAnsi="Arial"/>
        </w:rPr>
        <w:t xml:space="preserve">Where a CoS is submitted in lieu of a DMF, the </w:t>
      </w:r>
      <w:r>
        <w:rPr>
          <w:rFonts w:ascii="Arial" w:hAnsi="Arial"/>
        </w:rPr>
        <w:t xml:space="preserve">New Zealand product </w:t>
      </w:r>
      <w:r w:rsidRPr="0081586F">
        <w:rPr>
          <w:rFonts w:ascii="Arial" w:hAnsi="Arial"/>
        </w:rPr>
        <w:t xml:space="preserve">sponsor must ensure that the CoS is submitted with the written permission of the manufacturer of the bulk </w:t>
      </w:r>
      <w:r>
        <w:rPr>
          <w:rFonts w:ascii="Arial" w:hAnsi="Arial"/>
        </w:rPr>
        <w:t>active ingredient to be used to manufacture</w:t>
      </w:r>
      <w:r w:rsidRPr="0081586F">
        <w:rPr>
          <w:rFonts w:ascii="Arial" w:hAnsi="Arial"/>
        </w:rPr>
        <w:t xml:space="preserve"> the </w:t>
      </w:r>
      <w:r>
        <w:rPr>
          <w:rFonts w:ascii="Arial" w:hAnsi="Arial"/>
        </w:rPr>
        <w:t>specified</w:t>
      </w:r>
      <w:r w:rsidRPr="0081586F">
        <w:rPr>
          <w:rFonts w:ascii="Arial" w:hAnsi="Arial"/>
        </w:rPr>
        <w:t xml:space="preserve"> product for the New Zealand market. </w:t>
      </w:r>
      <w:r>
        <w:rPr>
          <w:rFonts w:ascii="Arial" w:hAnsi="Arial"/>
        </w:rPr>
        <w:t xml:space="preserve">This is usually in the form of a letter of access </w:t>
      </w:r>
      <w:r w:rsidRPr="0081586F">
        <w:rPr>
          <w:rFonts w:ascii="Arial" w:hAnsi="Arial"/>
        </w:rPr>
        <w:t xml:space="preserve">from the active ingredient manufacturer, addressed to the </w:t>
      </w:r>
      <w:r>
        <w:rPr>
          <w:rFonts w:ascii="Arial" w:hAnsi="Arial"/>
        </w:rPr>
        <w:t>OPSRA</w:t>
      </w:r>
      <w:r w:rsidRPr="0081586F">
        <w:rPr>
          <w:rFonts w:ascii="Arial" w:hAnsi="Arial"/>
        </w:rPr>
        <w:t xml:space="preserve"> and clearly indicating the </w:t>
      </w:r>
      <w:r>
        <w:rPr>
          <w:rFonts w:ascii="Arial" w:hAnsi="Arial"/>
        </w:rPr>
        <w:t>sponsor</w:t>
      </w:r>
      <w:r w:rsidRPr="0081586F">
        <w:rPr>
          <w:rFonts w:ascii="Arial" w:hAnsi="Arial"/>
        </w:rPr>
        <w:t xml:space="preserve"> and, where possible, the products to which it applies.</w:t>
      </w:r>
      <w:r w:rsidRPr="0094469A">
        <w:rPr>
          <w:rFonts w:ascii="Arial" w:hAnsi="Arial"/>
        </w:rPr>
        <w:t xml:space="preserve"> </w:t>
      </w:r>
      <w:r w:rsidRPr="0081586F">
        <w:rPr>
          <w:rFonts w:ascii="Arial" w:hAnsi="Arial"/>
        </w:rPr>
        <w:t xml:space="preserve">The letter of access should also confirm that the active ingredient manufacturer will, if requested, supply direct to the </w:t>
      </w:r>
      <w:r>
        <w:rPr>
          <w:rFonts w:ascii="Arial" w:hAnsi="Arial"/>
        </w:rPr>
        <w:t>OPSRA</w:t>
      </w:r>
      <w:r w:rsidRPr="0081586F">
        <w:rPr>
          <w:rFonts w:ascii="Arial" w:hAnsi="Arial"/>
        </w:rPr>
        <w:t xml:space="preserve"> data relating to the manufacture, quality control and stability of the substance concerned. To ensure the appropriate information is provided, the </w:t>
      </w:r>
      <w:r>
        <w:rPr>
          <w:rFonts w:ascii="Arial" w:hAnsi="Arial"/>
        </w:rPr>
        <w:t>OPSRA</w:t>
      </w:r>
      <w:r w:rsidRPr="0081586F">
        <w:rPr>
          <w:rFonts w:ascii="Arial" w:hAnsi="Arial"/>
        </w:rPr>
        <w:t xml:space="preserve"> has developed a template </w:t>
      </w:r>
      <w:r w:rsidRPr="00667C9A">
        <w:rPr>
          <w:rFonts w:ascii="Arial" w:hAnsi="Arial"/>
        </w:rPr>
        <w:t xml:space="preserve">letter of access </w:t>
      </w:r>
      <w:r>
        <w:rPr>
          <w:rFonts w:ascii="Arial" w:hAnsi="Arial"/>
        </w:rPr>
        <w:t>that</w:t>
      </w:r>
      <w:r w:rsidRPr="0081586F">
        <w:rPr>
          <w:rFonts w:ascii="Arial" w:hAnsi="Arial"/>
        </w:rPr>
        <w:t xml:space="preserve"> can be downloaded at: </w:t>
      </w:r>
      <w:r w:rsidR="00667C9A">
        <w:rPr>
          <w:rFonts w:ascii="Arial" w:hAnsi="Arial"/>
        </w:rPr>
        <w:t>www.psychoactives.health.govt.nz</w:t>
      </w:r>
    </w:p>
    <w:p w:rsidR="00397114" w:rsidRDefault="00397114" w:rsidP="00397114">
      <w:pPr>
        <w:rPr>
          <w:rFonts w:ascii="Arial" w:hAnsi="Arial"/>
        </w:rPr>
      </w:pPr>
    </w:p>
    <w:p w:rsidR="00397114" w:rsidRPr="00DB34DC" w:rsidRDefault="00397114" w:rsidP="00CF062F">
      <w:pPr>
        <w:pStyle w:val="ListParagraph"/>
        <w:numPr>
          <w:ilvl w:val="2"/>
          <w:numId w:val="63"/>
        </w:numPr>
        <w:ind w:left="993" w:hanging="993"/>
        <w:rPr>
          <w:rStyle w:val="Arial"/>
          <w:i/>
          <w:iCs/>
        </w:rPr>
      </w:pPr>
      <w:r w:rsidRPr="00DB34DC">
        <w:rPr>
          <w:rStyle w:val="Arial"/>
          <w:i/>
          <w:iCs/>
        </w:rPr>
        <w:t xml:space="preserve">Colouring Agents </w:t>
      </w:r>
    </w:p>
    <w:p w:rsidR="00397114" w:rsidRDefault="00397114" w:rsidP="00397114">
      <w:pPr>
        <w:rPr>
          <w:rStyle w:val="Arial"/>
        </w:rPr>
      </w:pPr>
    </w:p>
    <w:p w:rsidR="00397114" w:rsidRDefault="00397114" w:rsidP="00397114">
      <w:pPr>
        <w:rPr>
          <w:rStyle w:val="Arial"/>
        </w:rPr>
      </w:pPr>
      <w:r w:rsidRPr="00BB2C10">
        <w:rPr>
          <w:rStyle w:val="Arial"/>
        </w:rPr>
        <w:t xml:space="preserve">The colouring agents that are acceptable for use in psychoactive products </w:t>
      </w:r>
      <w:r>
        <w:rPr>
          <w:rStyle w:val="Arial"/>
        </w:rPr>
        <w:t>are</w:t>
      </w:r>
      <w:r w:rsidRPr="00BB2C10">
        <w:rPr>
          <w:rStyle w:val="Arial"/>
        </w:rPr>
        <w:t xml:space="preserve"> the same as those permitted in medicines</w:t>
      </w:r>
      <w:r>
        <w:rPr>
          <w:rStyle w:val="Arial"/>
        </w:rPr>
        <w:t xml:space="preserve"> and are listed in Table 1 below</w:t>
      </w:r>
      <w:r w:rsidRPr="00BB2C10">
        <w:rPr>
          <w:rStyle w:val="Arial"/>
        </w:rPr>
        <w:t xml:space="preserve">. </w:t>
      </w:r>
    </w:p>
    <w:p w:rsidR="00397114" w:rsidRPr="0094469A" w:rsidRDefault="00397114" w:rsidP="00397114">
      <w:pPr>
        <w:spacing w:before="100" w:beforeAutospacing="1" w:after="100" w:afterAutospacing="1"/>
        <w:rPr>
          <w:rStyle w:val="Arial"/>
          <w:b/>
        </w:rPr>
      </w:pPr>
      <w:r w:rsidRPr="0094469A">
        <w:rPr>
          <w:rStyle w:val="Arial"/>
          <w:b/>
        </w:rPr>
        <w:t>Table 1: Colouring agents allowed in psychoactive products</w:t>
      </w:r>
    </w:p>
    <w:tbl>
      <w:tblPr>
        <w:tblW w:w="5000" w:type="pct"/>
        <w:tblCellSpacing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CellMar>
          <w:top w:w="36" w:type="dxa"/>
          <w:left w:w="36" w:type="dxa"/>
          <w:bottom w:w="36" w:type="dxa"/>
          <w:right w:w="36" w:type="dxa"/>
        </w:tblCellMar>
        <w:tblLook w:val="04A0" w:firstRow="1" w:lastRow="0" w:firstColumn="1" w:lastColumn="0" w:noHBand="0" w:noVBand="1"/>
      </w:tblPr>
      <w:tblGrid>
        <w:gridCol w:w="3174"/>
        <w:gridCol w:w="2660"/>
        <w:gridCol w:w="1489"/>
        <w:gridCol w:w="1081"/>
      </w:tblGrid>
      <w:tr w:rsidR="00397114" w:rsidRPr="0094469A" w:rsidTr="006338B2">
        <w:trPr>
          <w:tblCellSpacing w:w="0" w:type="dxa"/>
        </w:trPr>
        <w:tc>
          <w:tcPr>
            <w:tcW w:w="0" w:type="auto"/>
            <w:vAlign w:val="center"/>
            <w:hideMark/>
          </w:tcPr>
          <w:p w:rsidR="00397114" w:rsidRPr="0094469A" w:rsidRDefault="00397114" w:rsidP="006338B2">
            <w:pPr>
              <w:jc w:val="center"/>
              <w:rPr>
                <w:rStyle w:val="Arial"/>
                <w:b/>
              </w:rPr>
            </w:pPr>
            <w:r w:rsidRPr="0094469A">
              <w:rPr>
                <w:rStyle w:val="Arial"/>
                <w:b/>
              </w:rPr>
              <w:t xml:space="preserve">Name </w:t>
            </w:r>
          </w:p>
        </w:tc>
        <w:tc>
          <w:tcPr>
            <w:tcW w:w="0" w:type="auto"/>
            <w:vAlign w:val="center"/>
            <w:hideMark/>
          </w:tcPr>
          <w:p w:rsidR="00397114" w:rsidRPr="0094469A" w:rsidRDefault="00397114" w:rsidP="006338B2">
            <w:pPr>
              <w:jc w:val="center"/>
              <w:rPr>
                <w:rStyle w:val="Arial"/>
                <w:b/>
              </w:rPr>
            </w:pPr>
            <w:r w:rsidRPr="0094469A">
              <w:rPr>
                <w:rStyle w:val="Arial"/>
                <w:b/>
              </w:rPr>
              <w:t>Synonyms</w:t>
            </w:r>
          </w:p>
        </w:tc>
        <w:tc>
          <w:tcPr>
            <w:tcW w:w="0" w:type="auto"/>
            <w:vAlign w:val="center"/>
            <w:hideMark/>
          </w:tcPr>
          <w:p w:rsidR="00397114" w:rsidRPr="0094469A" w:rsidRDefault="00397114" w:rsidP="006338B2">
            <w:pPr>
              <w:jc w:val="center"/>
              <w:rPr>
                <w:rStyle w:val="Arial"/>
                <w:b/>
              </w:rPr>
            </w:pPr>
            <w:r w:rsidRPr="0094469A">
              <w:rPr>
                <w:rStyle w:val="Arial"/>
                <w:b/>
              </w:rPr>
              <w:t>CI Number</w:t>
            </w:r>
          </w:p>
        </w:tc>
        <w:tc>
          <w:tcPr>
            <w:tcW w:w="0" w:type="auto"/>
            <w:vAlign w:val="center"/>
            <w:hideMark/>
          </w:tcPr>
          <w:p w:rsidR="00397114" w:rsidRPr="0094469A" w:rsidRDefault="00397114" w:rsidP="006338B2">
            <w:pPr>
              <w:jc w:val="center"/>
              <w:rPr>
                <w:rStyle w:val="Arial"/>
                <w:b/>
              </w:rPr>
            </w:pPr>
            <w:r w:rsidRPr="0094469A">
              <w:rPr>
                <w:rStyle w:val="Arial"/>
                <w:b/>
              </w:rPr>
              <w:t>INS Number</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Allura Red AC</w:t>
            </w:r>
          </w:p>
        </w:tc>
        <w:tc>
          <w:tcPr>
            <w:tcW w:w="0" w:type="auto"/>
            <w:vAlign w:val="center"/>
            <w:hideMark/>
          </w:tcPr>
          <w:p w:rsidR="00397114" w:rsidRPr="0094469A" w:rsidRDefault="00397114" w:rsidP="006338B2">
            <w:pPr>
              <w:rPr>
                <w:rStyle w:val="Arial"/>
              </w:rPr>
            </w:pPr>
            <w:r w:rsidRPr="0094469A">
              <w:rPr>
                <w:rStyle w:val="Arial"/>
              </w:rPr>
              <w:t xml:space="preserve">CI Food Red 17 </w:t>
            </w:r>
            <w:r w:rsidRPr="0094469A">
              <w:rPr>
                <w:rStyle w:val="Arial"/>
              </w:rPr>
              <w:br/>
              <w:t>FD&amp;C Red No. 40</w:t>
            </w:r>
          </w:p>
        </w:tc>
        <w:tc>
          <w:tcPr>
            <w:tcW w:w="0" w:type="auto"/>
            <w:vAlign w:val="center"/>
            <w:hideMark/>
          </w:tcPr>
          <w:p w:rsidR="00397114" w:rsidRPr="0094469A" w:rsidRDefault="00397114" w:rsidP="006338B2">
            <w:pPr>
              <w:rPr>
                <w:rStyle w:val="Arial"/>
              </w:rPr>
            </w:pPr>
            <w:r w:rsidRPr="0094469A">
              <w:rPr>
                <w:rStyle w:val="Arial"/>
              </w:rPr>
              <w:t>16035</w:t>
            </w:r>
          </w:p>
        </w:tc>
        <w:tc>
          <w:tcPr>
            <w:tcW w:w="0" w:type="auto"/>
            <w:vAlign w:val="center"/>
            <w:hideMark/>
          </w:tcPr>
          <w:p w:rsidR="00397114" w:rsidRPr="0094469A" w:rsidRDefault="00397114" w:rsidP="006338B2">
            <w:pPr>
              <w:rPr>
                <w:rStyle w:val="Arial"/>
              </w:rPr>
            </w:pPr>
            <w:r w:rsidRPr="0094469A">
              <w:rPr>
                <w:rStyle w:val="Arial"/>
              </w:rPr>
              <w:t>129</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Amaranth</w:t>
            </w:r>
          </w:p>
        </w:tc>
        <w:tc>
          <w:tcPr>
            <w:tcW w:w="0" w:type="auto"/>
            <w:vAlign w:val="center"/>
            <w:hideMark/>
          </w:tcPr>
          <w:p w:rsidR="00397114" w:rsidRPr="0094469A" w:rsidRDefault="00397114" w:rsidP="006338B2">
            <w:pPr>
              <w:rPr>
                <w:rStyle w:val="Arial"/>
              </w:rPr>
            </w:pPr>
            <w:r w:rsidRPr="0094469A">
              <w:rPr>
                <w:rStyle w:val="Arial"/>
              </w:rPr>
              <w:t xml:space="preserve">CI Food Red 9 </w:t>
            </w:r>
            <w:r w:rsidRPr="0094469A">
              <w:rPr>
                <w:rStyle w:val="Arial"/>
              </w:rPr>
              <w:br/>
              <w:t>FD&amp;C Red No. 2</w:t>
            </w:r>
          </w:p>
        </w:tc>
        <w:tc>
          <w:tcPr>
            <w:tcW w:w="0" w:type="auto"/>
            <w:vAlign w:val="center"/>
            <w:hideMark/>
          </w:tcPr>
          <w:p w:rsidR="00397114" w:rsidRPr="0094469A" w:rsidRDefault="00397114" w:rsidP="006338B2">
            <w:pPr>
              <w:rPr>
                <w:rStyle w:val="Arial"/>
              </w:rPr>
            </w:pPr>
            <w:r w:rsidRPr="0094469A">
              <w:rPr>
                <w:rStyle w:val="Arial"/>
              </w:rPr>
              <w:t>16185</w:t>
            </w:r>
          </w:p>
        </w:tc>
        <w:tc>
          <w:tcPr>
            <w:tcW w:w="0" w:type="auto"/>
            <w:vAlign w:val="center"/>
            <w:hideMark/>
          </w:tcPr>
          <w:p w:rsidR="00397114" w:rsidRPr="0094469A" w:rsidRDefault="00397114" w:rsidP="006338B2">
            <w:pPr>
              <w:rPr>
                <w:rStyle w:val="Arial"/>
              </w:rPr>
            </w:pPr>
            <w:r w:rsidRPr="0094469A">
              <w:rPr>
                <w:rStyle w:val="Arial"/>
              </w:rPr>
              <w:t>123</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Annatto</w:t>
            </w:r>
          </w:p>
        </w:tc>
        <w:tc>
          <w:tcPr>
            <w:tcW w:w="0" w:type="auto"/>
            <w:vAlign w:val="center"/>
            <w:hideMark/>
          </w:tcPr>
          <w:p w:rsidR="00397114" w:rsidRPr="0094469A" w:rsidRDefault="00397114" w:rsidP="006338B2">
            <w:pPr>
              <w:rPr>
                <w:rStyle w:val="Arial"/>
              </w:rPr>
            </w:pPr>
            <w:r w:rsidRPr="0094469A">
              <w:rPr>
                <w:rStyle w:val="Arial"/>
              </w:rPr>
              <w:t>Natural Orange 4</w:t>
            </w:r>
            <w:r w:rsidRPr="0094469A">
              <w:rPr>
                <w:rStyle w:val="Arial"/>
              </w:rPr>
              <w:br/>
              <w:t>Bixin</w:t>
            </w:r>
            <w:r w:rsidRPr="0094469A">
              <w:rPr>
                <w:rStyle w:val="Arial"/>
              </w:rPr>
              <w:br/>
              <w:t>Norbixin</w:t>
            </w:r>
            <w:r w:rsidRPr="0094469A">
              <w:rPr>
                <w:rStyle w:val="Arial"/>
              </w:rPr>
              <w:br/>
              <w:t>Annatto Extracts (Oil and Alkali-extracted)</w:t>
            </w:r>
            <w:r w:rsidRPr="0094469A">
              <w:rPr>
                <w:rStyle w:val="Arial"/>
              </w:rPr>
              <w:br/>
              <w:t>Annatto Extracts (Solvent-extracted)</w:t>
            </w:r>
          </w:p>
        </w:tc>
        <w:tc>
          <w:tcPr>
            <w:tcW w:w="0" w:type="auto"/>
            <w:vAlign w:val="center"/>
            <w:hideMark/>
          </w:tcPr>
          <w:p w:rsidR="00397114" w:rsidRPr="0094469A" w:rsidRDefault="00397114" w:rsidP="006338B2">
            <w:pPr>
              <w:rPr>
                <w:rStyle w:val="Arial"/>
              </w:rPr>
            </w:pPr>
            <w:r w:rsidRPr="0094469A">
              <w:rPr>
                <w:rStyle w:val="Arial"/>
              </w:rPr>
              <w:t>75120</w:t>
            </w:r>
          </w:p>
        </w:tc>
        <w:tc>
          <w:tcPr>
            <w:tcW w:w="0" w:type="auto"/>
            <w:vAlign w:val="center"/>
            <w:hideMark/>
          </w:tcPr>
          <w:p w:rsidR="00397114" w:rsidRPr="0094469A" w:rsidRDefault="00397114" w:rsidP="006338B2">
            <w:pPr>
              <w:rPr>
                <w:rStyle w:val="Arial"/>
              </w:rPr>
            </w:pPr>
            <w:r w:rsidRPr="0094469A">
              <w:rPr>
                <w:rStyle w:val="Arial"/>
              </w:rPr>
              <w:t>160b</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Anthocyanins</w:t>
            </w:r>
          </w:p>
        </w:tc>
        <w:tc>
          <w:tcPr>
            <w:tcW w:w="0" w:type="auto"/>
            <w:vAlign w:val="center"/>
            <w:hideMark/>
          </w:tcPr>
          <w:p w:rsidR="00397114" w:rsidRPr="0094469A" w:rsidRDefault="00397114" w:rsidP="006338B2">
            <w:pPr>
              <w:rPr>
                <w:rStyle w:val="Arial"/>
              </w:rPr>
            </w:pPr>
            <w:r w:rsidRPr="0094469A">
              <w:rPr>
                <w:rStyle w:val="Arial"/>
              </w:rPr>
              <w:t>Grapeskin extract</w:t>
            </w:r>
            <w:r w:rsidRPr="0094469A">
              <w:rPr>
                <w:rStyle w:val="Arial"/>
              </w:rPr>
              <w:br/>
              <w:t>(comprising Cyanidin, Peonidin, Malvidin, Delphinidin, Petunidin, Pelargonidin)</w:t>
            </w:r>
          </w:p>
        </w:tc>
        <w:tc>
          <w:tcPr>
            <w:tcW w:w="0" w:type="auto"/>
            <w:vAlign w:val="center"/>
            <w:hideMark/>
          </w:tcPr>
          <w:p w:rsidR="00397114" w:rsidRPr="0094469A" w:rsidRDefault="00397114" w:rsidP="006338B2">
            <w:pPr>
              <w:rPr>
                <w:rStyle w:val="Arial"/>
              </w:rPr>
            </w:pPr>
            <w:r w:rsidRPr="0094469A">
              <w:rPr>
                <w:rStyle w:val="Arial"/>
              </w:rPr>
              <w:t>-</w:t>
            </w:r>
          </w:p>
        </w:tc>
        <w:tc>
          <w:tcPr>
            <w:tcW w:w="0" w:type="auto"/>
            <w:vAlign w:val="center"/>
            <w:hideMark/>
          </w:tcPr>
          <w:p w:rsidR="00397114" w:rsidRPr="0094469A" w:rsidRDefault="00397114" w:rsidP="006338B2">
            <w:pPr>
              <w:rPr>
                <w:rStyle w:val="Arial"/>
              </w:rPr>
            </w:pPr>
            <w:r w:rsidRPr="0094469A">
              <w:rPr>
                <w:rStyle w:val="Arial"/>
              </w:rPr>
              <w:t>163</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Betanin (name currently used in NZ)</w:t>
            </w:r>
            <w:r w:rsidRPr="0094469A">
              <w:rPr>
                <w:rStyle w:val="Arial"/>
              </w:rPr>
              <w:br/>
              <w:t>Beet Red (name currently used in Australia)</w:t>
            </w:r>
          </w:p>
        </w:tc>
        <w:tc>
          <w:tcPr>
            <w:tcW w:w="0" w:type="auto"/>
            <w:vAlign w:val="center"/>
            <w:hideMark/>
          </w:tcPr>
          <w:p w:rsidR="00397114" w:rsidRPr="0094469A" w:rsidRDefault="00397114" w:rsidP="006338B2">
            <w:pPr>
              <w:rPr>
                <w:rStyle w:val="Arial"/>
              </w:rPr>
            </w:pPr>
            <w:r w:rsidRPr="0094469A">
              <w:rPr>
                <w:rStyle w:val="Arial"/>
              </w:rPr>
              <w:t>Beetroot Red</w:t>
            </w:r>
          </w:p>
        </w:tc>
        <w:tc>
          <w:tcPr>
            <w:tcW w:w="0" w:type="auto"/>
            <w:vAlign w:val="center"/>
            <w:hideMark/>
          </w:tcPr>
          <w:p w:rsidR="00397114" w:rsidRPr="0094469A" w:rsidRDefault="00397114" w:rsidP="006338B2">
            <w:pPr>
              <w:rPr>
                <w:rStyle w:val="Arial"/>
              </w:rPr>
            </w:pPr>
            <w:r w:rsidRPr="0094469A">
              <w:rPr>
                <w:rStyle w:val="Arial"/>
              </w:rPr>
              <w:t>-</w:t>
            </w:r>
          </w:p>
        </w:tc>
        <w:tc>
          <w:tcPr>
            <w:tcW w:w="0" w:type="auto"/>
            <w:vAlign w:val="center"/>
            <w:hideMark/>
          </w:tcPr>
          <w:p w:rsidR="00397114" w:rsidRPr="0094469A" w:rsidRDefault="00397114" w:rsidP="006338B2">
            <w:pPr>
              <w:rPr>
                <w:rStyle w:val="Arial"/>
              </w:rPr>
            </w:pPr>
            <w:r w:rsidRPr="0094469A">
              <w:rPr>
                <w:rStyle w:val="Arial"/>
              </w:rPr>
              <w:t>162</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Beta -apo-8'-carotenal (C30) (name currently used in NZ)</w:t>
            </w:r>
            <w:r w:rsidRPr="0094469A">
              <w:rPr>
                <w:rStyle w:val="Arial"/>
              </w:rPr>
              <w:br/>
              <w:t>Food Orange 6 (name currently used in Australia)</w:t>
            </w:r>
          </w:p>
        </w:tc>
        <w:tc>
          <w:tcPr>
            <w:tcW w:w="0" w:type="auto"/>
            <w:vAlign w:val="center"/>
            <w:hideMark/>
          </w:tcPr>
          <w:p w:rsidR="00397114" w:rsidRPr="0094469A" w:rsidRDefault="00397114" w:rsidP="006338B2">
            <w:pPr>
              <w:rPr>
                <w:rStyle w:val="Arial"/>
              </w:rPr>
            </w:pPr>
            <w:r w:rsidRPr="0094469A">
              <w:rPr>
                <w:rStyle w:val="Arial"/>
              </w:rPr>
              <w:t>Apocarotenal</w:t>
            </w:r>
          </w:p>
        </w:tc>
        <w:tc>
          <w:tcPr>
            <w:tcW w:w="0" w:type="auto"/>
            <w:vAlign w:val="center"/>
            <w:hideMark/>
          </w:tcPr>
          <w:p w:rsidR="00397114" w:rsidRPr="0094469A" w:rsidRDefault="00397114" w:rsidP="006338B2">
            <w:pPr>
              <w:rPr>
                <w:rStyle w:val="Arial"/>
              </w:rPr>
            </w:pPr>
            <w:r w:rsidRPr="0094469A">
              <w:rPr>
                <w:rStyle w:val="Arial"/>
              </w:rPr>
              <w:t>40820</w:t>
            </w:r>
          </w:p>
        </w:tc>
        <w:tc>
          <w:tcPr>
            <w:tcW w:w="0" w:type="auto"/>
            <w:vAlign w:val="center"/>
            <w:hideMark/>
          </w:tcPr>
          <w:p w:rsidR="00397114" w:rsidRPr="0094469A" w:rsidRDefault="00397114" w:rsidP="006338B2">
            <w:pPr>
              <w:rPr>
                <w:rStyle w:val="Arial"/>
              </w:rPr>
            </w:pPr>
            <w:r w:rsidRPr="0094469A">
              <w:rPr>
                <w:rStyle w:val="Arial"/>
              </w:rPr>
              <w:t>160e</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Beta -apo-8'-carotenoic acid ethyl ester (name currently used in NZ)</w:t>
            </w:r>
            <w:r w:rsidRPr="0094469A">
              <w:rPr>
                <w:rStyle w:val="Arial"/>
              </w:rPr>
              <w:br/>
              <w:t>Food Orange 7 (name currently used in Australia)</w:t>
            </w:r>
          </w:p>
        </w:tc>
        <w:tc>
          <w:tcPr>
            <w:tcW w:w="0" w:type="auto"/>
            <w:vAlign w:val="center"/>
            <w:hideMark/>
          </w:tcPr>
          <w:p w:rsidR="00397114" w:rsidRPr="0094469A" w:rsidRDefault="00397114" w:rsidP="006338B2">
            <w:pPr>
              <w:rPr>
                <w:rStyle w:val="Arial"/>
              </w:rPr>
            </w:pPr>
          </w:p>
        </w:tc>
        <w:tc>
          <w:tcPr>
            <w:tcW w:w="0" w:type="auto"/>
            <w:vAlign w:val="center"/>
            <w:hideMark/>
          </w:tcPr>
          <w:p w:rsidR="00397114" w:rsidRPr="0094469A" w:rsidRDefault="00397114" w:rsidP="006338B2">
            <w:pPr>
              <w:rPr>
                <w:rStyle w:val="Arial"/>
              </w:rPr>
            </w:pPr>
            <w:r w:rsidRPr="0094469A">
              <w:rPr>
                <w:rStyle w:val="Arial"/>
              </w:rPr>
              <w:t>40825</w:t>
            </w:r>
          </w:p>
        </w:tc>
        <w:tc>
          <w:tcPr>
            <w:tcW w:w="0" w:type="auto"/>
            <w:vAlign w:val="center"/>
            <w:hideMark/>
          </w:tcPr>
          <w:p w:rsidR="00397114" w:rsidRPr="0094469A" w:rsidRDefault="00397114" w:rsidP="006338B2">
            <w:pPr>
              <w:rPr>
                <w:rStyle w:val="Arial"/>
              </w:rPr>
            </w:pPr>
            <w:r w:rsidRPr="0094469A">
              <w:rPr>
                <w:rStyle w:val="Arial"/>
              </w:rPr>
              <w:t>160f</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Beta-carotene (name currently used in NZ)</w:t>
            </w:r>
            <w:r w:rsidRPr="0094469A">
              <w:rPr>
                <w:rStyle w:val="Arial"/>
              </w:rPr>
              <w:br/>
              <w:t>Betacarotene (name currently used in Australia)</w:t>
            </w:r>
          </w:p>
        </w:tc>
        <w:tc>
          <w:tcPr>
            <w:tcW w:w="0" w:type="auto"/>
            <w:vAlign w:val="center"/>
            <w:hideMark/>
          </w:tcPr>
          <w:p w:rsidR="00397114" w:rsidRPr="0094469A" w:rsidRDefault="00397114" w:rsidP="006338B2">
            <w:pPr>
              <w:rPr>
                <w:rStyle w:val="Arial"/>
              </w:rPr>
            </w:pPr>
            <w:r w:rsidRPr="0094469A">
              <w:rPr>
                <w:rStyle w:val="Arial"/>
              </w:rPr>
              <w:t>CI Food Orange 5</w:t>
            </w:r>
          </w:p>
        </w:tc>
        <w:tc>
          <w:tcPr>
            <w:tcW w:w="0" w:type="auto"/>
            <w:vAlign w:val="center"/>
            <w:hideMark/>
          </w:tcPr>
          <w:p w:rsidR="00397114" w:rsidRPr="0094469A" w:rsidRDefault="00397114" w:rsidP="006338B2">
            <w:pPr>
              <w:rPr>
                <w:rStyle w:val="Arial"/>
              </w:rPr>
            </w:pPr>
            <w:r w:rsidRPr="0094469A">
              <w:rPr>
                <w:rStyle w:val="Arial"/>
              </w:rPr>
              <w:t>40800</w:t>
            </w:r>
          </w:p>
        </w:tc>
        <w:tc>
          <w:tcPr>
            <w:tcW w:w="0" w:type="auto"/>
            <w:vAlign w:val="center"/>
            <w:hideMark/>
          </w:tcPr>
          <w:p w:rsidR="00397114" w:rsidRPr="0094469A" w:rsidRDefault="00397114" w:rsidP="006338B2">
            <w:pPr>
              <w:rPr>
                <w:rStyle w:val="Arial"/>
              </w:rPr>
            </w:pPr>
            <w:r w:rsidRPr="0094469A">
              <w:rPr>
                <w:rStyle w:val="Arial"/>
              </w:rPr>
              <w:t>160a(ii)</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Brilliant Black BN</w:t>
            </w:r>
          </w:p>
        </w:tc>
        <w:tc>
          <w:tcPr>
            <w:tcW w:w="0" w:type="auto"/>
            <w:vAlign w:val="center"/>
            <w:hideMark/>
          </w:tcPr>
          <w:p w:rsidR="00397114" w:rsidRPr="0094469A" w:rsidRDefault="00397114" w:rsidP="006338B2">
            <w:pPr>
              <w:rPr>
                <w:rStyle w:val="Arial"/>
              </w:rPr>
            </w:pPr>
            <w:r w:rsidRPr="0094469A">
              <w:rPr>
                <w:rStyle w:val="Arial"/>
              </w:rPr>
              <w:t>CI Food Black 1</w:t>
            </w:r>
            <w:r w:rsidRPr="0094469A">
              <w:rPr>
                <w:rStyle w:val="Arial"/>
              </w:rPr>
              <w:br/>
              <w:t>Brilliant Black PN</w:t>
            </w:r>
          </w:p>
        </w:tc>
        <w:tc>
          <w:tcPr>
            <w:tcW w:w="0" w:type="auto"/>
            <w:vAlign w:val="center"/>
            <w:hideMark/>
          </w:tcPr>
          <w:p w:rsidR="00397114" w:rsidRPr="0094469A" w:rsidRDefault="00397114" w:rsidP="006338B2">
            <w:pPr>
              <w:rPr>
                <w:rStyle w:val="Arial"/>
              </w:rPr>
            </w:pPr>
            <w:r w:rsidRPr="0094469A">
              <w:rPr>
                <w:rStyle w:val="Arial"/>
              </w:rPr>
              <w:t>28440</w:t>
            </w:r>
          </w:p>
        </w:tc>
        <w:tc>
          <w:tcPr>
            <w:tcW w:w="0" w:type="auto"/>
            <w:vAlign w:val="center"/>
            <w:hideMark/>
          </w:tcPr>
          <w:p w:rsidR="00397114" w:rsidRPr="0094469A" w:rsidRDefault="00397114" w:rsidP="006338B2">
            <w:pPr>
              <w:rPr>
                <w:rStyle w:val="Arial"/>
              </w:rPr>
            </w:pPr>
            <w:r w:rsidRPr="0094469A">
              <w:rPr>
                <w:rStyle w:val="Arial"/>
              </w:rPr>
              <w:t>151</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Brilliant Blue FCF</w:t>
            </w:r>
          </w:p>
        </w:tc>
        <w:tc>
          <w:tcPr>
            <w:tcW w:w="0" w:type="auto"/>
            <w:vAlign w:val="center"/>
            <w:hideMark/>
          </w:tcPr>
          <w:p w:rsidR="00397114" w:rsidRPr="0094469A" w:rsidRDefault="00397114" w:rsidP="006338B2">
            <w:pPr>
              <w:rPr>
                <w:rStyle w:val="Arial"/>
              </w:rPr>
            </w:pPr>
            <w:r w:rsidRPr="0094469A">
              <w:rPr>
                <w:rStyle w:val="Arial"/>
              </w:rPr>
              <w:t>CI Food Blue 2</w:t>
            </w:r>
            <w:r w:rsidRPr="0094469A">
              <w:rPr>
                <w:rStyle w:val="Arial"/>
              </w:rPr>
              <w:br/>
              <w:t xml:space="preserve">FD&amp;C Blue No. 1 </w:t>
            </w:r>
            <w:r w:rsidRPr="0094469A">
              <w:rPr>
                <w:rStyle w:val="Arial"/>
              </w:rPr>
              <w:br/>
              <w:t>Acid Blue 9 disodium salt</w:t>
            </w:r>
          </w:p>
        </w:tc>
        <w:tc>
          <w:tcPr>
            <w:tcW w:w="0" w:type="auto"/>
            <w:vAlign w:val="center"/>
            <w:hideMark/>
          </w:tcPr>
          <w:p w:rsidR="00397114" w:rsidRPr="0094469A" w:rsidRDefault="00397114" w:rsidP="006338B2">
            <w:pPr>
              <w:rPr>
                <w:rStyle w:val="Arial"/>
              </w:rPr>
            </w:pPr>
            <w:r w:rsidRPr="0094469A">
              <w:rPr>
                <w:rStyle w:val="Arial"/>
              </w:rPr>
              <w:t>42090</w:t>
            </w:r>
          </w:p>
        </w:tc>
        <w:tc>
          <w:tcPr>
            <w:tcW w:w="0" w:type="auto"/>
            <w:vAlign w:val="center"/>
            <w:hideMark/>
          </w:tcPr>
          <w:p w:rsidR="00397114" w:rsidRPr="0094469A" w:rsidRDefault="00397114" w:rsidP="006338B2">
            <w:pPr>
              <w:rPr>
                <w:rStyle w:val="Arial"/>
              </w:rPr>
            </w:pPr>
            <w:r w:rsidRPr="0094469A">
              <w:rPr>
                <w:rStyle w:val="Arial"/>
              </w:rPr>
              <w:t>133</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Brown HT (name currently used in New Zealand)</w:t>
            </w:r>
            <w:r w:rsidRPr="0094469A">
              <w:rPr>
                <w:rStyle w:val="Arial"/>
              </w:rPr>
              <w:br/>
              <w:t>Chocolate Brown HT (name currently used in Australia)</w:t>
            </w:r>
          </w:p>
        </w:tc>
        <w:tc>
          <w:tcPr>
            <w:tcW w:w="0" w:type="auto"/>
            <w:vAlign w:val="center"/>
            <w:hideMark/>
          </w:tcPr>
          <w:p w:rsidR="00397114" w:rsidRPr="0094469A" w:rsidRDefault="00397114" w:rsidP="006338B2">
            <w:pPr>
              <w:rPr>
                <w:rStyle w:val="Arial"/>
              </w:rPr>
            </w:pPr>
            <w:r w:rsidRPr="0094469A">
              <w:rPr>
                <w:rStyle w:val="Arial"/>
              </w:rPr>
              <w:t>CI Food Brown 3</w:t>
            </w:r>
          </w:p>
        </w:tc>
        <w:tc>
          <w:tcPr>
            <w:tcW w:w="0" w:type="auto"/>
            <w:vAlign w:val="center"/>
            <w:hideMark/>
          </w:tcPr>
          <w:p w:rsidR="00397114" w:rsidRPr="0094469A" w:rsidRDefault="00397114" w:rsidP="006338B2">
            <w:pPr>
              <w:rPr>
                <w:rStyle w:val="Arial"/>
              </w:rPr>
            </w:pPr>
            <w:r w:rsidRPr="0094469A">
              <w:rPr>
                <w:rStyle w:val="Arial"/>
              </w:rPr>
              <w:t>20285</w:t>
            </w:r>
          </w:p>
        </w:tc>
        <w:tc>
          <w:tcPr>
            <w:tcW w:w="0" w:type="auto"/>
            <w:vAlign w:val="center"/>
            <w:hideMark/>
          </w:tcPr>
          <w:p w:rsidR="00397114" w:rsidRPr="0094469A" w:rsidRDefault="00397114" w:rsidP="006338B2">
            <w:pPr>
              <w:rPr>
                <w:rStyle w:val="Arial"/>
              </w:rPr>
            </w:pPr>
            <w:r w:rsidRPr="0094469A">
              <w:rPr>
                <w:rStyle w:val="Arial"/>
              </w:rPr>
              <w:t>155</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Calcium carbonate</w:t>
            </w:r>
          </w:p>
        </w:tc>
        <w:tc>
          <w:tcPr>
            <w:tcW w:w="0" w:type="auto"/>
            <w:vAlign w:val="center"/>
            <w:hideMark/>
          </w:tcPr>
          <w:p w:rsidR="00397114" w:rsidRPr="0094469A" w:rsidRDefault="00397114" w:rsidP="006338B2">
            <w:pPr>
              <w:rPr>
                <w:rStyle w:val="Arial"/>
              </w:rPr>
            </w:pPr>
            <w:r w:rsidRPr="0094469A">
              <w:rPr>
                <w:rStyle w:val="Arial"/>
              </w:rPr>
              <w:t>CI Pigment White 18</w:t>
            </w:r>
            <w:r w:rsidRPr="0094469A">
              <w:rPr>
                <w:rStyle w:val="Arial"/>
              </w:rPr>
              <w:br/>
              <w:t>Chalk</w:t>
            </w:r>
          </w:p>
        </w:tc>
        <w:tc>
          <w:tcPr>
            <w:tcW w:w="0" w:type="auto"/>
            <w:vAlign w:val="center"/>
            <w:hideMark/>
          </w:tcPr>
          <w:p w:rsidR="00397114" w:rsidRPr="0094469A" w:rsidRDefault="00397114" w:rsidP="006338B2">
            <w:pPr>
              <w:rPr>
                <w:rStyle w:val="Arial"/>
              </w:rPr>
            </w:pPr>
            <w:r w:rsidRPr="0094469A">
              <w:rPr>
                <w:rStyle w:val="Arial"/>
              </w:rPr>
              <w:t>77220</w:t>
            </w:r>
          </w:p>
        </w:tc>
        <w:tc>
          <w:tcPr>
            <w:tcW w:w="0" w:type="auto"/>
            <w:vAlign w:val="center"/>
            <w:hideMark/>
          </w:tcPr>
          <w:p w:rsidR="00397114" w:rsidRPr="0094469A" w:rsidRDefault="00397114" w:rsidP="006338B2">
            <w:pPr>
              <w:rPr>
                <w:rStyle w:val="Arial"/>
              </w:rPr>
            </w:pPr>
            <w:r w:rsidRPr="0094469A">
              <w:rPr>
                <w:rStyle w:val="Arial"/>
              </w:rPr>
              <w:t>170</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Canthaxanthin</w:t>
            </w:r>
          </w:p>
        </w:tc>
        <w:tc>
          <w:tcPr>
            <w:tcW w:w="0" w:type="auto"/>
            <w:vAlign w:val="center"/>
            <w:hideMark/>
          </w:tcPr>
          <w:p w:rsidR="00397114" w:rsidRPr="0094469A" w:rsidRDefault="00397114" w:rsidP="006338B2">
            <w:pPr>
              <w:rPr>
                <w:rStyle w:val="Arial"/>
              </w:rPr>
            </w:pPr>
            <w:r w:rsidRPr="0094469A">
              <w:rPr>
                <w:rStyle w:val="Arial"/>
              </w:rPr>
              <w:t>Food Orange 8</w:t>
            </w:r>
          </w:p>
        </w:tc>
        <w:tc>
          <w:tcPr>
            <w:tcW w:w="0" w:type="auto"/>
            <w:vAlign w:val="center"/>
            <w:hideMark/>
          </w:tcPr>
          <w:p w:rsidR="00397114" w:rsidRPr="0094469A" w:rsidRDefault="00397114" w:rsidP="006338B2">
            <w:pPr>
              <w:rPr>
                <w:rStyle w:val="Arial"/>
              </w:rPr>
            </w:pPr>
            <w:r w:rsidRPr="0094469A">
              <w:rPr>
                <w:rStyle w:val="Arial"/>
              </w:rPr>
              <w:t>40850</w:t>
            </w:r>
          </w:p>
        </w:tc>
        <w:tc>
          <w:tcPr>
            <w:tcW w:w="0" w:type="auto"/>
            <w:vAlign w:val="center"/>
            <w:hideMark/>
          </w:tcPr>
          <w:p w:rsidR="00397114" w:rsidRPr="0094469A" w:rsidRDefault="00397114" w:rsidP="006338B2">
            <w:pPr>
              <w:rPr>
                <w:rStyle w:val="Arial"/>
              </w:rPr>
            </w:pPr>
            <w:r w:rsidRPr="0094469A">
              <w:rPr>
                <w:rStyle w:val="Arial"/>
              </w:rPr>
              <w:t>161g</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Caramel - Ammonia</w:t>
            </w:r>
          </w:p>
        </w:tc>
        <w:tc>
          <w:tcPr>
            <w:tcW w:w="0" w:type="auto"/>
            <w:vAlign w:val="center"/>
            <w:hideMark/>
          </w:tcPr>
          <w:p w:rsidR="00397114" w:rsidRPr="0094469A" w:rsidRDefault="00397114" w:rsidP="006338B2">
            <w:pPr>
              <w:rPr>
                <w:rStyle w:val="Arial"/>
              </w:rPr>
            </w:pPr>
            <w:r w:rsidRPr="0094469A">
              <w:rPr>
                <w:rStyle w:val="Arial"/>
              </w:rPr>
              <w:t>Caramel III</w:t>
            </w:r>
          </w:p>
        </w:tc>
        <w:tc>
          <w:tcPr>
            <w:tcW w:w="0" w:type="auto"/>
            <w:vAlign w:val="center"/>
            <w:hideMark/>
          </w:tcPr>
          <w:p w:rsidR="00397114" w:rsidRPr="0094469A" w:rsidRDefault="00397114" w:rsidP="006338B2">
            <w:pPr>
              <w:rPr>
                <w:rStyle w:val="Arial"/>
              </w:rPr>
            </w:pPr>
            <w:r w:rsidRPr="0094469A">
              <w:rPr>
                <w:rStyle w:val="Arial"/>
              </w:rPr>
              <w:t>-</w:t>
            </w:r>
          </w:p>
        </w:tc>
        <w:tc>
          <w:tcPr>
            <w:tcW w:w="0" w:type="auto"/>
            <w:vAlign w:val="center"/>
            <w:hideMark/>
          </w:tcPr>
          <w:p w:rsidR="00397114" w:rsidRPr="0094469A" w:rsidRDefault="00397114" w:rsidP="006338B2">
            <w:pPr>
              <w:rPr>
                <w:rStyle w:val="Arial"/>
              </w:rPr>
            </w:pPr>
            <w:r w:rsidRPr="0094469A">
              <w:rPr>
                <w:rStyle w:val="Arial"/>
              </w:rPr>
              <w:t>150c</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Caramel - Caustic sulfite caramel</w:t>
            </w:r>
          </w:p>
        </w:tc>
        <w:tc>
          <w:tcPr>
            <w:tcW w:w="0" w:type="auto"/>
            <w:vAlign w:val="center"/>
            <w:hideMark/>
          </w:tcPr>
          <w:p w:rsidR="00397114" w:rsidRPr="0094469A" w:rsidRDefault="00397114" w:rsidP="006338B2">
            <w:pPr>
              <w:rPr>
                <w:rStyle w:val="Arial"/>
              </w:rPr>
            </w:pPr>
            <w:r w:rsidRPr="0094469A">
              <w:rPr>
                <w:rStyle w:val="Arial"/>
              </w:rPr>
              <w:t>Caramel II</w:t>
            </w:r>
          </w:p>
        </w:tc>
        <w:tc>
          <w:tcPr>
            <w:tcW w:w="0" w:type="auto"/>
            <w:vAlign w:val="center"/>
            <w:hideMark/>
          </w:tcPr>
          <w:p w:rsidR="00397114" w:rsidRPr="0094469A" w:rsidRDefault="00397114" w:rsidP="006338B2">
            <w:pPr>
              <w:rPr>
                <w:rStyle w:val="Arial"/>
              </w:rPr>
            </w:pPr>
            <w:r w:rsidRPr="0094469A">
              <w:rPr>
                <w:rStyle w:val="Arial"/>
              </w:rPr>
              <w:t>-</w:t>
            </w:r>
          </w:p>
        </w:tc>
        <w:tc>
          <w:tcPr>
            <w:tcW w:w="0" w:type="auto"/>
            <w:vAlign w:val="center"/>
            <w:hideMark/>
          </w:tcPr>
          <w:p w:rsidR="00397114" w:rsidRPr="0094469A" w:rsidRDefault="00397114" w:rsidP="006338B2">
            <w:pPr>
              <w:rPr>
                <w:rStyle w:val="Arial"/>
              </w:rPr>
            </w:pPr>
            <w:r w:rsidRPr="0094469A">
              <w:rPr>
                <w:rStyle w:val="Arial"/>
              </w:rPr>
              <w:t>150b</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Caramel - Plain</w:t>
            </w:r>
          </w:p>
        </w:tc>
        <w:tc>
          <w:tcPr>
            <w:tcW w:w="0" w:type="auto"/>
            <w:vAlign w:val="center"/>
            <w:hideMark/>
          </w:tcPr>
          <w:p w:rsidR="00397114" w:rsidRPr="0094469A" w:rsidRDefault="00397114" w:rsidP="006338B2">
            <w:pPr>
              <w:rPr>
                <w:rStyle w:val="Arial"/>
              </w:rPr>
            </w:pPr>
            <w:r w:rsidRPr="0094469A">
              <w:rPr>
                <w:rStyle w:val="Arial"/>
              </w:rPr>
              <w:t xml:space="preserve">CI Natural Brown 10 </w:t>
            </w:r>
            <w:r w:rsidRPr="0094469A">
              <w:rPr>
                <w:rStyle w:val="Arial"/>
              </w:rPr>
              <w:br/>
              <w:t>Caramel I</w:t>
            </w:r>
            <w:r w:rsidRPr="0094469A">
              <w:rPr>
                <w:rStyle w:val="Arial"/>
              </w:rPr>
              <w:br/>
              <w:t>Burnt sugar</w:t>
            </w:r>
          </w:p>
        </w:tc>
        <w:tc>
          <w:tcPr>
            <w:tcW w:w="0" w:type="auto"/>
            <w:vAlign w:val="center"/>
            <w:hideMark/>
          </w:tcPr>
          <w:p w:rsidR="00397114" w:rsidRPr="0094469A" w:rsidRDefault="00397114" w:rsidP="006338B2">
            <w:pPr>
              <w:rPr>
                <w:rStyle w:val="Arial"/>
              </w:rPr>
            </w:pPr>
            <w:r w:rsidRPr="0094469A">
              <w:rPr>
                <w:rStyle w:val="Arial"/>
              </w:rPr>
              <w:t>-</w:t>
            </w:r>
          </w:p>
        </w:tc>
        <w:tc>
          <w:tcPr>
            <w:tcW w:w="0" w:type="auto"/>
            <w:vAlign w:val="center"/>
            <w:hideMark/>
          </w:tcPr>
          <w:p w:rsidR="00397114" w:rsidRPr="0094469A" w:rsidRDefault="00397114" w:rsidP="006338B2">
            <w:pPr>
              <w:rPr>
                <w:rStyle w:val="Arial"/>
              </w:rPr>
            </w:pPr>
            <w:r w:rsidRPr="0094469A">
              <w:rPr>
                <w:rStyle w:val="Arial"/>
              </w:rPr>
              <w:t>150a</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Caramel - Sulfite ammonia caramel</w:t>
            </w:r>
          </w:p>
        </w:tc>
        <w:tc>
          <w:tcPr>
            <w:tcW w:w="0" w:type="auto"/>
            <w:vAlign w:val="center"/>
            <w:hideMark/>
          </w:tcPr>
          <w:p w:rsidR="00397114" w:rsidRPr="0094469A" w:rsidRDefault="00397114" w:rsidP="006338B2">
            <w:pPr>
              <w:rPr>
                <w:rStyle w:val="Arial"/>
              </w:rPr>
            </w:pPr>
            <w:r w:rsidRPr="0094469A">
              <w:rPr>
                <w:rStyle w:val="Arial"/>
              </w:rPr>
              <w:t>Caramel IV</w:t>
            </w:r>
          </w:p>
        </w:tc>
        <w:tc>
          <w:tcPr>
            <w:tcW w:w="0" w:type="auto"/>
            <w:vAlign w:val="center"/>
            <w:hideMark/>
          </w:tcPr>
          <w:p w:rsidR="00397114" w:rsidRPr="0094469A" w:rsidRDefault="00397114" w:rsidP="006338B2">
            <w:pPr>
              <w:rPr>
                <w:rStyle w:val="Arial"/>
              </w:rPr>
            </w:pPr>
            <w:r w:rsidRPr="0094469A">
              <w:rPr>
                <w:rStyle w:val="Arial"/>
              </w:rPr>
              <w:t>-</w:t>
            </w:r>
          </w:p>
        </w:tc>
        <w:tc>
          <w:tcPr>
            <w:tcW w:w="0" w:type="auto"/>
            <w:vAlign w:val="center"/>
            <w:hideMark/>
          </w:tcPr>
          <w:p w:rsidR="00397114" w:rsidRPr="0094469A" w:rsidRDefault="00397114" w:rsidP="006338B2">
            <w:pPr>
              <w:rPr>
                <w:rStyle w:val="Arial"/>
              </w:rPr>
            </w:pPr>
            <w:r w:rsidRPr="0094469A">
              <w:rPr>
                <w:rStyle w:val="Arial"/>
              </w:rPr>
              <w:t>150d</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Carmoisine</w:t>
            </w:r>
          </w:p>
        </w:tc>
        <w:tc>
          <w:tcPr>
            <w:tcW w:w="0" w:type="auto"/>
            <w:vAlign w:val="center"/>
            <w:hideMark/>
          </w:tcPr>
          <w:p w:rsidR="00397114" w:rsidRPr="0094469A" w:rsidRDefault="00397114" w:rsidP="006338B2">
            <w:pPr>
              <w:rPr>
                <w:rStyle w:val="Arial"/>
              </w:rPr>
            </w:pPr>
            <w:r w:rsidRPr="0094469A">
              <w:rPr>
                <w:rStyle w:val="Arial"/>
              </w:rPr>
              <w:t xml:space="preserve">Ext. D&amp;C Red No. 10 </w:t>
            </w:r>
            <w:r w:rsidRPr="0094469A">
              <w:rPr>
                <w:rStyle w:val="Arial"/>
              </w:rPr>
              <w:br/>
              <w:t xml:space="preserve">CI Food Red 3 </w:t>
            </w:r>
            <w:r w:rsidRPr="0094469A">
              <w:rPr>
                <w:rStyle w:val="Arial"/>
              </w:rPr>
              <w:br/>
              <w:t>Azorubine</w:t>
            </w:r>
          </w:p>
        </w:tc>
        <w:tc>
          <w:tcPr>
            <w:tcW w:w="0" w:type="auto"/>
            <w:vAlign w:val="center"/>
            <w:hideMark/>
          </w:tcPr>
          <w:p w:rsidR="00397114" w:rsidRPr="0094469A" w:rsidRDefault="00397114" w:rsidP="006338B2">
            <w:pPr>
              <w:rPr>
                <w:rStyle w:val="Arial"/>
              </w:rPr>
            </w:pPr>
            <w:r w:rsidRPr="0094469A">
              <w:rPr>
                <w:rStyle w:val="Arial"/>
              </w:rPr>
              <w:t>14720</w:t>
            </w:r>
          </w:p>
        </w:tc>
        <w:tc>
          <w:tcPr>
            <w:tcW w:w="0" w:type="auto"/>
            <w:vAlign w:val="center"/>
            <w:hideMark/>
          </w:tcPr>
          <w:p w:rsidR="00397114" w:rsidRPr="0094469A" w:rsidRDefault="00397114" w:rsidP="006338B2">
            <w:pPr>
              <w:rPr>
                <w:rStyle w:val="Arial"/>
              </w:rPr>
            </w:pPr>
            <w:r w:rsidRPr="0094469A">
              <w:rPr>
                <w:rStyle w:val="Arial"/>
              </w:rPr>
              <w:t>122</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Carotenes</w:t>
            </w:r>
          </w:p>
        </w:tc>
        <w:tc>
          <w:tcPr>
            <w:tcW w:w="0" w:type="auto"/>
            <w:vAlign w:val="center"/>
            <w:hideMark/>
          </w:tcPr>
          <w:p w:rsidR="00397114" w:rsidRPr="0094469A" w:rsidRDefault="00397114" w:rsidP="006338B2">
            <w:pPr>
              <w:rPr>
                <w:rStyle w:val="Arial"/>
              </w:rPr>
            </w:pPr>
            <w:r w:rsidRPr="0094469A">
              <w:rPr>
                <w:rStyle w:val="Arial"/>
              </w:rPr>
              <w:t>CI Food Orange 5</w:t>
            </w:r>
            <w:r w:rsidRPr="0094469A">
              <w:rPr>
                <w:rStyle w:val="Arial"/>
              </w:rPr>
              <w:br/>
              <w:t>Mixed carotenes</w:t>
            </w:r>
            <w:r w:rsidRPr="0094469A">
              <w:rPr>
                <w:rStyle w:val="Arial"/>
              </w:rPr>
              <w:br/>
              <w:t>Carotenes (Algae)</w:t>
            </w:r>
            <w:r w:rsidRPr="0094469A">
              <w:rPr>
                <w:rStyle w:val="Arial"/>
              </w:rPr>
              <w:br/>
              <w:t>Carotenes (Vegetable)</w:t>
            </w:r>
          </w:p>
        </w:tc>
        <w:tc>
          <w:tcPr>
            <w:tcW w:w="0" w:type="auto"/>
            <w:vAlign w:val="center"/>
            <w:hideMark/>
          </w:tcPr>
          <w:p w:rsidR="00397114" w:rsidRPr="0094469A" w:rsidRDefault="00397114" w:rsidP="006338B2">
            <w:pPr>
              <w:rPr>
                <w:rStyle w:val="Arial"/>
              </w:rPr>
            </w:pPr>
            <w:r w:rsidRPr="0094469A">
              <w:rPr>
                <w:rStyle w:val="Arial"/>
              </w:rPr>
              <w:t>75130</w:t>
            </w:r>
          </w:p>
        </w:tc>
        <w:tc>
          <w:tcPr>
            <w:tcW w:w="0" w:type="auto"/>
            <w:vAlign w:val="center"/>
            <w:hideMark/>
          </w:tcPr>
          <w:p w:rsidR="00397114" w:rsidRPr="0094469A" w:rsidRDefault="00397114" w:rsidP="006338B2">
            <w:pPr>
              <w:rPr>
                <w:rStyle w:val="Arial"/>
              </w:rPr>
            </w:pPr>
            <w:r w:rsidRPr="0094469A">
              <w:rPr>
                <w:rStyle w:val="Arial"/>
              </w:rPr>
              <w:t>160a(i)</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Chlorophyllins</w:t>
            </w:r>
          </w:p>
        </w:tc>
        <w:tc>
          <w:tcPr>
            <w:tcW w:w="0" w:type="auto"/>
            <w:vAlign w:val="center"/>
            <w:hideMark/>
          </w:tcPr>
          <w:p w:rsidR="00397114" w:rsidRPr="0094469A" w:rsidRDefault="00397114" w:rsidP="006338B2">
            <w:pPr>
              <w:rPr>
                <w:rStyle w:val="Arial"/>
              </w:rPr>
            </w:pPr>
            <w:r w:rsidRPr="0094469A">
              <w:rPr>
                <w:rStyle w:val="Arial"/>
              </w:rPr>
              <w:t xml:space="preserve">CI Natural Green 5 </w:t>
            </w:r>
            <w:r w:rsidRPr="0094469A">
              <w:rPr>
                <w:rStyle w:val="Arial"/>
              </w:rPr>
              <w:br/>
              <w:t>Sodium chlorophyllin</w:t>
            </w:r>
            <w:r w:rsidRPr="0094469A">
              <w:rPr>
                <w:rStyle w:val="Arial"/>
              </w:rPr>
              <w:br/>
              <w:t>Potassium chlorophyllin</w:t>
            </w:r>
          </w:p>
        </w:tc>
        <w:tc>
          <w:tcPr>
            <w:tcW w:w="0" w:type="auto"/>
            <w:vAlign w:val="center"/>
            <w:hideMark/>
          </w:tcPr>
          <w:p w:rsidR="00397114" w:rsidRPr="0094469A" w:rsidRDefault="00397114" w:rsidP="006338B2">
            <w:pPr>
              <w:rPr>
                <w:rStyle w:val="Arial"/>
              </w:rPr>
            </w:pPr>
            <w:r w:rsidRPr="0094469A">
              <w:rPr>
                <w:rStyle w:val="Arial"/>
              </w:rPr>
              <w:t>75815</w:t>
            </w:r>
          </w:p>
        </w:tc>
        <w:tc>
          <w:tcPr>
            <w:tcW w:w="0" w:type="auto"/>
            <w:vAlign w:val="center"/>
            <w:hideMark/>
          </w:tcPr>
          <w:p w:rsidR="00397114" w:rsidRPr="0094469A" w:rsidRDefault="00397114" w:rsidP="006338B2">
            <w:pPr>
              <w:rPr>
                <w:rStyle w:val="Arial"/>
              </w:rPr>
            </w:pPr>
            <w:r w:rsidRPr="0094469A">
              <w:rPr>
                <w:rStyle w:val="Arial"/>
              </w:rPr>
              <w:t>140(ii)</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 xml:space="preserve">Chlorophylls </w:t>
            </w:r>
          </w:p>
        </w:tc>
        <w:tc>
          <w:tcPr>
            <w:tcW w:w="0" w:type="auto"/>
            <w:vAlign w:val="center"/>
            <w:hideMark/>
          </w:tcPr>
          <w:p w:rsidR="00397114" w:rsidRPr="0094469A" w:rsidRDefault="00397114" w:rsidP="006338B2">
            <w:pPr>
              <w:rPr>
                <w:rStyle w:val="Arial"/>
              </w:rPr>
            </w:pPr>
            <w:r w:rsidRPr="0094469A">
              <w:rPr>
                <w:rStyle w:val="Arial"/>
              </w:rPr>
              <w:t xml:space="preserve">CI Natural Green 3 </w:t>
            </w:r>
            <w:r w:rsidRPr="0094469A">
              <w:rPr>
                <w:rStyle w:val="Arial"/>
              </w:rPr>
              <w:br/>
              <w:t>Magnesium chlorophyll</w:t>
            </w:r>
            <w:r w:rsidRPr="0094469A">
              <w:rPr>
                <w:rStyle w:val="Arial"/>
              </w:rPr>
              <w:br/>
              <w:t>Magnesium phaeophytin</w:t>
            </w:r>
          </w:p>
        </w:tc>
        <w:tc>
          <w:tcPr>
            <w:tcW w:w="0" w:type="auto"/>
            <w:vAlign w:val="center"/>
            <w:hideMark/>
          </w:tcPr>
          <w:p w:rsidR="00397114" w:rsidRPr="0094469A" w:rsidRDefault="00397114" w:rsidP="006338B2">
            <w:pPr>
              <w:rPr>
                <w:rStyle w:val="Arial"/>
              </w:rPr>
            </w:pPr>
            <w:r w:rsidRPr="0094469A">
              <w:rPr>
                <w:rStyle w:val="Arial"/>
              </w:rPr>
              <w:t>75810</w:t>
            </w:r>
          </w:p>
        </w:tc>
        <w:tc>
          <w:tcPr>
            <w:tcW w:w="0" w:type="auto"/>
            <w:vAlign w:val="center"/>
            <w:hideMark/>
          </w:tcPr>
          <w:p w:rsidR="00397114" w:rsidRPr="0094469A" w:rsidRDefault="00397114" w:rsidP="006338B2">
            <w:pPr>
              <w:rPr>
                <w:rStyle w:val="Arial"/>
              </w:rPr>
            </w:pPr>
            <w:r w:rsidRPr="0094469A">
              <w:rPr>
                <w:rStyle w:val="Arial"/>
              </w:rPr>
              <w:t>140(i)</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 xml:space="preserve">Cochineal </w:t>
            </w:r>
          </w:p>
        </w:tc>
        <w:tc>
          <w:tcPr>
            <w:tcW w:w="0" w:type="auto"/>
            <w:vAlign w:val="center"/>
            <w:hideMark/>
          </w:tcPr>
          <w:p w:rsidR="00397114" w:rsidRPr="0094469A" w:rsidRDefault="00397114" w:rsidP="006338B2">
            <w:pPr>
              <w:rPr>
                <w:rStyle w:val="Arial"/>
              </w:rPr>
            </w:pPr>
            <w:r w:rsidRPr="0094469A">
              <w:rPr>
                <w:rStyle w:val="Arial"/>
              </w:rPr>
              <w:t xml:space="preserve">CI Natural Red 4 </w:t>
            </w:r>
            <w:r w:rsidRPr="0094469A">
              <w:rPr>
                <w:rStyle w:val="Arial"/>
              </w:rPr>
              <w:br/>
              <w:t xml:space="preserve">Carminic acid </w:t>
            </w:r>
            <w:r w:rsidRPr="0094469A">
              <w:rPr>
                <w:rStyle w:val="Arial"/>
              </w:rPr>
              <w:br/>
              <w:t>Carmines</w:t>
            </w:r>
          </w:p>
        </w:tc>
        <w:tc>
          <w:tcPr>
            <w:tcW w:w="0" w:type="auto"/>
            <w:vAlign w:val="center"/>
            <w:hideMark/>
          </w:tcPr>
          <w:p w:rsidR="00397114" w:rsidRPr="0094469A" w:rsidRDefault="00397114" w:rsidP="006338B2">
            <w:pPr>
              <w:rPr>
                <w:rStyle w:val="Arial"/>
              </w:rPr>
            </w:pPr>
            <w:r w:rsidRPr="0094469A">
              <w:rPr>
                <w:rStyle w:val="Arial"/>
              </w:rPr>
              <w:t>75470</w:t>
            </w:r>
          </w:p>
        </w:tc>
        <w:tc>
          <w:tcPr>
            <w:tcW w:w="0" w:type="auto"/>
            <w:vAlign w:val="center"/>
            <w:hideMark/>
          </w:tcPr>
          <w:p w:rsidR="00397114" w:rsidRPr="0094469A" w:rsidRDefault="00397114" w:rsidP="006338B2">
            <w:pPr>
              <w:rPr>
                <w:rStyle w:val="Arial"/>
              </w:rPr>
            </w:pPr>
            <w:r w:rsidRPr="0094469A">
              <w:rPr>
                <w:rStyle w:val="Arial"/>
              </w:rPr>
              <w:t>120</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Copper Complexes of Chlorophyllins (name currently used in NZ)</w:t>
            </w:r>
            <w:r w:rsidRPr="0094469A">
              <w:rPr>
                <w:rStyle w:val="Arial"/>
              </w:rPr>
              <w:br/>
              <w:t>Chlorophyllins - Copper Complexes of Sodium and Potassium salts (name currently used in Australia)</w:t>
            </w:r>
          </w:p>
        </w:tc>
        <w:tc>
          <w:tcPr>
            <w:tcW w:w="0" w:type="auto"/>
            <w:vAlign w:val="center"/>
            <w:hideMark/>
          </w:tcPr>
          <w:p w:rsidR="00397114" w:rsidRPr="0094469A" w:rsidRDefault="00397114" w:rsidP="006338B2">
            <w:pPr>
              <w:rPr>
                <w:rStyle w:val="Arial"/>
              </w:rPr>
            </w:pPr>
            <w:r w:rsidRPr="0094469A">
              <w:rPr>
                <w:rStyle w:val="Arial"/>
              </w:rPr>
              <w:t xml:space="preserve">CI Natural Green 5 </w:t>
            </w:r>
            <w:r w:rsidRPr="0094469A">
              <w:rPr>
                <w:rStyle w:val="Arial"/>
              </w:rPr>
              <w:br/>
              <w:t xml:space="preserve">Sodium Copper Chlorophyllin </w:t>
            </w:r>
            <w:r w:rsidRPr="0094469A">
              <w:rPr>
                <w:rStyle w:val="Arial"/>
              </w:rPr>
              <w:br/>
              <w:t xml:space="preserve">Potassium Copper Chlorophyllin </w:t>
            </w:r>
          </w:p>
        </w:tc>
        <w:tc>
          <w:tcPr>
            <w:tcW w:w="0" w:type="auto"/>
            <w:vAlign w:val="center"/>
            <w:hideMark/>
          </w:tcPr>
          <w:p w:rsidR="00397114" w:rsidRPr="0094469A" w:rsidRDefault="00397114" w:rsidP="006338B2">
            <w:pPr>
              <w:rPr>
                <w:rStyle w:val="Arial"/>
              </w:rPr>
            </w:pPr>
            <w:r w:rsidRPr="0094469A">
              <w:rPr>
                <w:rStyle w:val="Arial"/>
              </w:rPr>
              <w:t>75815 (CI number in NZ)</w:t>
            </w:r>
            <w:r w:rsidRPr="0094469A">
              <w:rPr>
                <w:rStyle w:val="Arial"/>
              </w:rPr>
              <w:br/>
              <w:t>75810 (CI number in Australia)</w:t>
            </w:r>
          </w:p>
        </w:tc>
        <w:tc>
          <w:tcPr>
            <w:tcW w:w="0" w:type="auto"/>
            <w:vAlign w:val="center"/>
            <w:hideMark/>
          </w:tcPr>
          <w:p w:rsidR="00397114" w:rsidRPr="0094469A" w:rsidRDefault="00397114" w:rsidP="006338B2">
            <w:pPr>
              <w:rPr>
                <w:rStyle w:val="Arial"/>
              </w:rPr>
            </w:pPr>
            <w:r w:rsidRPr="0094469A">
              <w:rPr>
                <w:rStyle w:val="Arial"/>
              </w:rPr>
              <w:t>141(ii)</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Copper Complexes of Chlorophylls (name currently used in NZ)</w:t>
            </w:r>
            <w:r w:rsidRPr="0094469A">
              <w:rPr>
                <w:rStyle w:val="Arial"/>
              </w:rPr>
              <w:br/>
              <w:t>Chlorophylls - Copper (name currently used in Australia)</w:t>
            </w:r>
          </w:p>
        </w:tc>
        <w:tc>
          <w:tcPr>
            <w:tcW w:w="0" w:type="auto"/>
            <w:vAlign w:val="center"/>
            <w:hideMark/>
          </w:tcPr>
          <w:p w:rsidR="00397114" w:rsidRPr="0094469A" w:rsidRDefault="00397114" w:rsidP="006338B2">
            <w:pPr>
              <w:rPr>
                <w:rStyle w:val="Arial"/>
              </w:rPr>
            </w:pPr>
            <w:r w:rsidRPr="0094469A">
              <w:rPr>
                <w:rStyle w:val="Arial"/>
              </w:rPr>
              <w:t>CI Natural Green 3</w:t>
            </w:r>
            <w:r w:rsidRPr="0094469A">
              <w:rPr>
                <w:rStyle w:val="Arial"/>
              </w:rPr>
              <w:br/>
              <w:t>Copper Chlorophyll</w:t>
            </w:r>
            <w:r w:rsidRPr="0094469A">
              <w:rPr>
                <w:rStyle w:val="Arial"/>
              </w:rPr>
              <w:br/>
              <w:t>Copper Phaeophytin</w:t>
            </w:r>
          </w:p>
        </w:tc>
        <w:tc>
          <w:tcPr>
            <w:tcW w:w="0" w:type="auto"/>
            <w:vAlign w:val="center"/>
            <w:hideMark/>
          </w:tcPr>
          <w:p w:rsidR="00397114" w:rsidRPr="0094469A" w:rsidRDefault="00397114" w:rsidP="006338B2">
            <w:pPr>
              <w:rPr>
                <w:rStyle w:val="Arial"/>
              </w:rPr>
            </w:pPr>
            <w:r w:rsidRPr="0094469A">
              <w:rPr>
                <w:rStyle w:val="Arial"/>
              </w:rPr>
              <w:t>75815 (CI number in NZ)</w:t>
            </w:r>
            <w:r w:rsidRPr="0094469A">
              <w:rPr>
                <w:rStyle w:val="Arial"/>
              </w:rPr>
              <w:br/>
              <w:t>75810 (CI number in Australia)</w:t>
            </w:r>
          </w:p>
        </w:tc>
        <w:tc>
          <w:tcPr>
            <w:tcW w:w="0" w:type="auto"/>
            <w:vAlign w:val="center"/>
            <w:hideMark/>
          </w:tcPr>
          <w:p w:rsidR="00397114" w:rsidRPr="0094469A" w:rsidRDefault="00397114" w:rsidP="006338B2">
            <w:pPr>
              <w:rPr>
                <w:rStyle w:val="Arial"/>
              </w:rPr>
            </w:pPr>
            <w:r w:rsidRPr="0094469A">
              <w:rPr>
                <w:rStyle w:val="Arial"/>
              </w:rPr>
              <w:t>141(i)</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 xml:space="preserve">Curcumin </w:t>
            </w:r>
          </w:p>
        </w:tc>
        <w:tc>
          <w:tcPr>
            <w:tcW w:w="0" w:type="auto"/>
            <w:vAlign w:val="center"/>
            <w:hideMark/>
          </w:tcPr>
          <w:p w:rsidR="00397114" w:rsidRPr="0094469A" w:rsidRDefault="00397114" w:rsidP="006338B2">
            <w:pPr>
              <w:rPr>
                <w:rStyle w:val="Arial"/>
              </w:rPr>
            </w:pPr>
            <w:r w:rsidRPr="0094469A">
              <w:rPr>
                <w:rStyle w:val="Arial"/>
              </w:rPr>
              <w:t xml:space="preserve">CI Natural Yellow 3 </w:t>
            </w:r>
            <w:r w:rsidRPr="0094469A">
              <w:rPr>
                <w:rStyle w:val="Arial"/>
              </w:rPr>
              <w:br/>
              <w:t xml:space="preserve">Turmeric Yellow </w:t>
            </w:r>
            <w:r w:rsidRPr="0094469A">
              <w:rPr>
                <w:rStyle w:val="Arial"/>
              </w:rPr>
              <w:br/>
              <w:t>Diferoyl Methane</w:t>
            </w:r>
          </w:p>
        </w:tc>
        <w:tc>
          <w:tcPr>
            <w:tcW w:w="0" w:type="auto"/>
            <w:vAlign w:val="center"/>
            <w:hideMark/>
          </w:tcPr>
          <w:p w:rsidR="00397114" w:rsidRPr="0094469A" w:rsidRDefault="00397114" w:rsidP="006338B2">
            <w:pPr>
              <w:rPr>
                <w:rStyle w:val="Arial"/>
              </w:rPr>
            </w:pPr>
            <w:r w:rsidRPr="0094469A">
              <w:rPr>
                <w:rStyle w:val="Arial"/>
              </w:rPr>
              <w:t>75300</w:t>
            </w:r>
          </w:p>
        </w:tc>
        <w:tc>
          <w:tcPr>
            <w:tcW w:w="0" w:type="auto"/>
            <w:vAlign w:val="center"/>
            <w:hideMark/>
          </w:tcPr>
          <w:p w:rsidR="00397114" w:rsidRPr="0094469A" w:rsidRDefault="00397114" w:rsidP="006338B2">
            <w:pPr>
              <w:rPr>
                <w:rStyle w:val="Arial"/>
              </w:rPr>
            </w:pPr>
            <w:r w:rsidRPr="0094469A">
              <w:rPr>
                <w:rStyle w:val="Arial"/>
              </w:rPr>
              <w:t>100</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D&amp;C Red No. 27 (name currently used in NZ)</w:t>
            </w:r>
            <w:r w:rsidRPr="0094469A">
              <w:rPr>
                <w:rStyle w:val="Arial"/>
              </w:rPr>
              <w:br/>
              <w:t>Red 27 (name currently used in Australia)</w:t>
            </w:r>
          </w:p>
        </w:tc>
        <w:tc>
          <w:tcPr>
            <w:tcW w:w="0" w:type="auto"/>
            <w:vAlign w:val="center"/>
            <w:hideMark/>
          </w:tcPr>
          <w:p w:rsidR="00397114" w:rsidRPr="0094469A" w:rsidRDefault="00397114" w:rsidP="006338B2">
            <w:pPr>
              <w:rPr>
                <w:rStyle w:val="Arial"/>
              </w:rPr>
            </w:pPr>
            <w:r w:rsidRPr="0094469A">
              <w:rPr>
                <w:rStyle w:val="Arial"/>
              </w:rPr>
              <w:t>Phloxine B acid form</w:t>
            </w:r>
          </w:p>
        </w:tc>
        <w:tc>
          <w:tcPr>
            <w:tcW w:w="0" w:type="auto"/>
            <w:vAlign w:val="center"/>
            <w:hideMark/>
          </w:tcPr>
          <w:p w:rsidR="00397114" w:rsidRPr="0094469A" w:rsidRDefault="00397114" w:rsidP="006338B2">
            <w:pPr>
              <w:rPr>
                <w:rStyle w:val="Arial"/>
              </w:rPr>
            </w:pPr>
            <w:r w:rsidRPr="0094469A">
              <w:rPr>
                <w:rStyle w:val="Arial"/>
              </w:rPr>
              <w:t>45410:1</w:t>
            </w:r>
          </w:p>
        </w:tc>
        <w:tc>
          <w:tcPr>
            <w:tcW w:w="0" w:type="auto"/>
            <w:vAlign w:val="center"/>
            <w:hideMark/>
          </w:tcPr>
          <w:p w:rsidR="00397114" w:rsidRPr="0094469A" w:rsidRDefault="00397114" w:rsidP="006338B2">
            <w:pPr>
              <w:rPr>
                <w:rStyle w:val="Arial"/>
              </w:rPr>
            </w:pPr>
            <w:r w:rsidRPr="0094469A">
              <w:rPr>
                <w:rStyle w:val="Arial"/>
              </w:rPr>
              <w:t>-</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Erythrosine</w:t>
            </w:r>
          </w:p>
        </w:tc>
        <w:tc>
          <w:tcPr>
            <w:tcW w:w="0" w:type="auto"/>
            <w:vAlign w:val="center"/>
            <w:hideMark/>
          </w:tcPr>
          <w:p w:rsidR="00397114" w:rsidRPr="0094469A" w:rsidRDefault="00397114" w:rsidP="006338B2">
            <w:pPr>
              <w:rPr>
                <w:rStyle w:val="Arial"/>
              </w:rPr>
            </w:pPr>
            <w:r w:rsidRPr="0094469A">
              <w:rPr>
                <w:rStyle w:val="Arial"/>
              </w:rPr>
              <w:t xml:space="preserve">CI Food Red 14 </w:t>
            </w:r>
            <w:r w:rsidRPr="0094469A">
              <w:rPr>
                <w:rStyle w:val="Arial"/>
              </w:rPr>
              <w:br/>
              <w:t>FD&amp;C Red No. 3</w:t>
            </w:r>
          </w:p>
        </w:tc>
        <w:tc>
          <w:tcPr>
            <w:tcW w:w="0" w:type="auto"/>
            <w:vAlign w:val="center"/>
            <w:hideMark/>
          </w:tcPr>
          <w:p w:rsidR="00397114" w:rsidRPr="0094469A" w:rsidRDefault="00397114" w:rsidP="006338B2">
            <w:pPr>
              <w:rPr>
                <w:rStyle w:val="Arial"/>
              </w:rPr>
            </w:pPr>
            <w:r w:rsidRPr="0094469A">
              <w:rPr>
                <w:rStyle w:val="Arial"/>
              </w:rPr>
              <w:t>45430</w:t>
            </w:r>
          </w:p>
        </w:tc>
        <w:tc>
          <w:tcPr>
            <w:tcW w:w="0" w:type="auto"/>
            <w:vAlign w:val="center"/>
            <w:hideMark/>
          </w:tcPr>
          <w:p w:rsidR="00397114" w:rsidRPr="0094469A" w:rsidRDefault="00397114" w:rsidP="006338B2">
            <w:pPr>
              <w:rPr>
                <w:rStyle w:val="Arial"/>
              </w:rPr>
            </w:pPr>
            <w:r w:rsidRPr="0094469A">
              <w:rPr>
                <w:rStyle w:val="Arial"/>
              </w:rPr>
              <w:t>127</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Fast Green FCF</w:t>
            </w:r>
          </w:p>
        </w:tc>
        <w:tc>
          <w:tcPr>
            <w:tcW w:w="0" w:type="auto"/>
            <w:vAlign w:val="center"/>
            <w:hideMark/>
          </w:tcPr>
          <w:p w:rsidR="00397114" w:rsidRPr="0094469A" w:rsidRDefault="00397114" w:rsidP="006338B2">
            <w:pPr>
              <w:rPr>
                <w:rStyle w:val="Arial"/>
              </w:rPr>
            </w:pPr>
            <w:r w:rsidRPr="0094469A">
              <w:rPr>
                <w:rStyle w:val="Arial"/>
              </w:rPr>
              <w:t xml:space="preserve">CI Food Green 3 </w:t>
            </w:r>
            <w:r w:rsidRPr="0094469A">
              <w:rPr>
                <w:rStyle w:val="Arial"/>
              </w:rPr>
              <w:br/>
              <w:t>FD&amp;C Green No. 3</w:t>
            </w:r>
          </w:p>
        </w:tc>
        <w:tc>
          <w:tcPr>
            <w:tcW w:w="0" w:type="auto"/>
            <w:vAlign w:val="center"/>
            <w:hideMark/>
          </w:tcPr>
          <w:p w:rsidR="00397114" w:rsidRPr="0094469A" w:rsidRDefault="00397114" w:rsidP="006338B2">
            <w:pPr>
              <w:rPr>
                <w:rStyle w:val="Arial"/>
              </w:rPr>
            </w:pPr>
            <w:r w:rsidRPr="0094469A">
              <w:rPr>
                <w:rStyle w:val="Arial"/>
              </w:rPr>
              <w:t>42053</w:t>
            </w:r>
          </w:p>
        </w:tc>
        <w:tc>
          <w:tcPr>
            <w:tcW w:w="0" w:type="auto"/>
            <w:vAlign w:val="center"/>
            <w:hideMark/>
          </w:tcPr>
          <w:p w:rsidR="00397114" w:rsidRPr="0094469A" w:rsidRDefault="00397114" w:rsidP="006338B2">
            <w:pPr>
              <w:rPr>
                <w:rStyle w:val="Arial"/>
              </w:rPr>
            </w:pPr>
            <w:r w:rsidRPr="0094469A">
              <w:rPr>
                <w:rStyle w:val="Arial"/>
              </w:rPr>
              <w:t>143</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Green S</w:t>
            </w:r>
          </w:p>
        </w:tc>
        <w:tc>
          <w:tcPr>
            <w:tcW w:w="0" w:type="auto"/>
            <w:vAlign w:val="center"/>
            <w:hideMark/>
          </w:tcPr>
          <w:p w:rsidR="00397114" w:rsidRPr="0094469A" w:rsidRDefault="00397114" w:rsidP="006338B2">
            <w:pPr>
              <w:rPr>
                <w:rStyle w:val="Arial"/>
              </w:rPr>
            </w:pPr>
            <w:r w:rsidRPr="0094469A">
              <w:rPr>
                <w:rStyle w:val="Arial"/>
              </w:rPr>
              <w:t xml:space="preserve">CI Food Blue 4 </w:t>
            </w:r>
            <w:r w:rsidRPr="0094469A">
              <w:rPr>
                <w:rStyle w:val="Arial"/>
              </w:rPr>
              <w:br/>
              <w:t>Brilliant Green BS</w:t>
            </w:r>
          </w:p>
        </w:tc>
        <w:tc>
          <w:tcPr>
            <w:tcW w:w="0" w:type="auto"/>
            <w:vAlign w:val="center"/>
            <w:hideMark/>
          </w:tcPr>
          <w:p w:rsidR="00397114" w:rsidRPr="0094469A" w:rsidRDefault="00397114" w:rsidP="006338B2">
            <w:pPr>
              <w:rPr>
                <w:rStyle w:val="Arial"/>
              </w:rPr>
            </w:pPr>
            <w:r w:rsidRPr="0094469A">
              <w:rPr>
                <w:rStyle w:val="Arial"/>
              </w:rPr>
              <w:t>44090</w:t>
            </w:r>
          </w:p>
        </w:tc>
        <w:tc>
          <w:tcPr>
            <w:tcW w:w="0" w:type="auto"/>
            <w:vAlign w:val="center"/>
            <w:hideMark/>
          </w:tcPr>
          <w:p w:rsidR="00397114" w:rsidRPr="0094469A" w:rsidRDefault="00397114" w:rsidP="006338B2">
            <w:pPr>
              <w:rPr>
                <w:rStyle w:val="Arial"/>
              </w:rPr>
            </w:pPr>
            <w:r w:rsidRPr="0094469A">
              <w:rPr>
                <w:rStyle w:val="Arial"/>
              </w:rPr>
              <w:t>142</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Indigo Carmine</w:t>
            </w:r>
          </w:p>
        </w:tc>
        <w:tc>
          <w:tcPr>
            <w:tcW w:w="0" w:type="auto"/>
            <w:vAlign w:val="center"/>
            <w:hideMark/>
          </w:tcPr>
          <w:p w:rsidR="00397114" w:rsidRPr="0094469A" w:rsidRDefault="00397114" w:rsidP="006338B2">
            <w:pPr>
              <w:rPr>
                <w:rStyle w:val="Arial"/>
              </w:rPr>
            </w:pPr>
            <w:r w:rsidRPr="0094469A">
              <w:rPr>
                <w:rStyle w:val="Arial"/>
              </w:rPr>
              <w:t>CI Food Blue 1</w:t>
            </w:r>
            <w:r w:rsidRPr="0094469A">
              <w:rPr>
                <w:rStyle w:val="Arial"/>
              </w:rPr>
              <w:br/>
              <w:t xml:space="preserve">FD&amp;C Blue No. 2 </w:t>
            </w:r>
            <w:r w:rsidRPr="0094469A">
              <w:rPr>
                <w:rStyle w:val="Arial"/>
              </w:rPr>
              <w:br/>
              <w:t>Indigotine</w:t>
            </w:r>
          </w:p>
        </w:tc>
        <w:tc>
          <w:tcPr>
            <w:tcW w:w="0" w:type="auto"/>
            <w:vAlign w:val="center"/>
            <w:hideMark/>
          </w:tcPr>
          <w:p w:rsidR="00397114" w:rsidRPr="0094469A" w:rsidRDefault="00397114" w:rsidP="006338B2">
            <w:pPr>
              <w:rPr>
                <w:rStyle w:val="Arial"/>
              </w:rPr>
            </w:pPr>
            <w:r w:rsidRPr="0094469A">
              <w:rPr>
                <w:rStyle w:val="Arial"/>
              </w:rPr>
              <w:t>73015</w:t>
            </w:r>
          </w:p>
        </w:tc>
        <w:tc>
          <w:tcPr>
            <w:tcW w:w="0" w:type="auto"/>
            <w:vAlign w:val="center"/>
            <w:hideMark/>
          </w:tcPr>
          <w:p w:rsidR="00397114" w:rsidRPr="0094469A" w:rsidRDefault="00397114" w:rsidP="006338B2">
            <w:pPr>
              <w:rPr>
                <w:rStyle w:val="Arial"/>
              </w:rPr>
            </w:pPr>
            <w:r w:rsidRPr="0094469A">
              <w:rPr>
                <w:rStyle w:val="Arial"/>
              </w:rPr>
              <w:t>132</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Iron Oxide Black</w:t>
            </w:r>
          </w:p>
        </w:tc>
        <w:tc>
          <w:tcPr>
            <w:tcW w:w="0" w:type="auto"/>
            <w:vAlign w:val="center"/>
            <w:hideMark/>
          </w:tcPr>
          <w:p w:rsidR="00397114" w:rsidRPr="0094469A" w:rsidRDefault="00397114" w:rsidP="006338B2">
            <w:pPr>
              <w:rPr>
                <w:rStyle w:val="Arial"/>
              </w:rPr>
            </w:pPr>
            <w:r w:rsidRPr="0094469A">
              <w:rPr>
                <w:rStyle w:val="Arial"/>
              </w:rPr>
              <w:t>CI Pigment Black 11</w:t>
            </w:r>
            <w:r w:rsidRPr="0094469A">
              <w:rPr>
                <w:rStyle w:val="Arial"/>
              </w:rPr>
              <w:br/>
              <w:t>Iron oxides and iron hydroxides</w:t>
            </w:r>
          </w:p>
        </w:tc>
        <w:tc>
          <w:tcPr>
            <w:tcW w:w="0" w:type="auto"/>
            <w:vAlign w:val="center"/>
            <w:hideMark/>
          </w:tcPr>
          <w:p w:rsidR="00397114" w:rsidRPr="0094469A" w:rsidRDefault="00397114" w:rsidP="006338B2">
            <w:pPr>
              <w:rPr>
                <w:rStyle w:val="Arial"/>
              </w:rPr>
            </w:pPr>
            <w:r w:rsidRPr="0094469A">
              <w:rPr>
                <w:rStyle w:val="Arial"/>
              </w:rPr>
              <w:t>77499</w:t>
            </w:r>
          </w:p>
        </w:tc>
        <w:tc>
          <w:tcPr>
            <w:tcW w:w="0" w:type="auto"/>
            <w:vAlign w:val="center"/>
            <w:hideMark/>
          </w:tcPr>
          <w:p w:rsidR="00397114" w:rsidRPr="0094469A" w:rsidRDefault="00397114" w:rsidP="006338B2">
            <w:pPr>
              <w:rPr>
                <w:rStyle w:val="Arial"/>
              </w:rPr>
            </w:pPr>
            <w:r w:rsidRPr="0094469A">
              <w:rPr>
                <w:rStyle w:val="Arial"/>
              </w:rPr>
              <w:t>172(i)</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Iron Oxide Red</w:t>
            </w:r>
          </w:p>
        </w:tc>
        <w:tc>
          <w:tcPr>
            <w:tcW w:w="0" w:type="auto"/>
            <w:vAlign w:val="center"/>
            <w:hideMark/>
          </w:tcPr>
          <w:p w:rsidR="00397114" w:rsidRPr="0094469A" w:rsidRDefault="00397114" w:rsidP="006338B2">
            <w:pPr>
              <w:rPr>
                <w:rStyle w:val="Arial"/>
              </w:rPr>
            </w:pPr>
            <w:r w:rsidRPr="0094469A">
              <w:rPr>
                <w:rStyle w:val="Arial"/>
              </w:rPr>
              <w:t>CI Pigment Red 101 and 102</w:t>
            </w:r>
            <w:r w:rsidRPr="0094469A">
              <w:rPr>
                <w:rStyle w:val="Arial"/>
              </w:rPr>
              <w:br/>
              <w:t>Iron oxides and iron hydroxides</w:t>
            </w:r>
          </w:p>
        </w:tc>
        <w:tc>
          <w:tcPr>
            <w:tcW w:w="0" w:type="auto"/>
            <w:vAlign w:val="center"/>
            <w:hideMark/>
          </w:tcPr>
          <w:p w:rsidR="00397114" w:rsidRPr="0094469A" w:rsidRDefault="00397114" w:rsidP="006338B2">
            <w:pPr>
              <w:rPr>
                <w:rStyle w:val="Arial"/>
              </w:rPr>
            </w:pPr>
            <w:r w:rsidRPr="0094469A">
              <w:rPr>
                <w:rStyle w:val="Arial"/>
              </w:rPr>
              <w:t>77491</w:t>
            </w:r>
          </w:p>
        </w:tc>
        <w:tc>
          <w:tcPr>
            <w:tcW w:w="0" w:type="auto"/>
            <w:vAlign w:val="center"/>
            <w:hideMark/>
          </w:tcPr>
          <w:p w:rsidR="00397114" w:rsidRPr="0094469A" w:rsidRDefault="00397114" w:rsidP="006338B2">
            <w:pPr>
              <w:rPr>
                <w:rStyle w:val="Arial"/>
              </w:rPr>
            </w:pPr>
            <w:r w:rsidRPr="0094469A">
              <w:rPr>
                <w:rStyle w:val="Arial"/>
              </w:rPr>
              <w:t>172(ii)</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Iron Oxide Yellow</w:t>
            </w:r>
          </w:p>
        </w:tc>
        <w:tc>
          <w:tcPr>
            <w:tcW w:w="0" w:type="auto"/>
            <w:vAlign w:val="center"/>
            <w:hideMark/>
          </w:tcPr>
          <w:p w:rsidR="00397114" w:rsidRPr="0094469A" w:rsidRDefault="00397114" w:rsidP="006338B2">
            <w:pPr>
              <w:rPr>
                <w:rStyle w:val="Arial"/>
              </w:rPr>
            </w:pPr>
            <w:r w:rsidRPr="0094469A">
              <w:rPr>
                <w:rStyle w:val="Arial"/>
              </w:rPr>
              <w:t>CI Pigment Yellow 42 and 43</w:t>
            </w:r>
            <w:r w:rsidRPr="0094469A">
              <w:rPr>
                <w:rStyle w:val="Arial"/>
              </w:rPr>
              <w:br/>
              <w:t>Iron oxides and iron hydroxides</w:t>
            </w:r>
          </w:p>
        </w:tc>
        <w:tc>
          <w:tcPr>
            <w:tcW w:w="0" w:type="auto"/>
            <w:vAlign w:val="center"/>
            <w:hideMark/>
          </w:tcPr>
          <w:p w:rsidR="00397114" w:rsidRPr="0094469A" w:rsidRDefault="00397114" w:rsidP="006338B2">
            <w:pPr>
              <w:rPr>
                <w:rStyle w:val="Arial"/>
              </w:rPr>
            </w:pPr>
            <w:r w:rsidRPr="0094469A">
              <w:rPr>
                <w:rStyle w:val="Arial"/>
              </w:rPr>
              <w:t>77492</w:t>
            </w:r>
          </w:p>
        </w:tc>
        <w:tc>
          <w:tcPr>
            <w:tcW w:w="0" w:type="auto"/>
            <w:vAlign w:val="center"/>
            <w:hideMark/>
          </w:tcPr>
          <w:p w:rsidR="00397114" w:rsidRPr="0094469A" w:rsidRDefault="00397114" w:rsidP="006338B2">
            <w:pPr>
              <w:rPr>
                <w:rStyle w:val="Arial"/>
              </w:rPr>
            </w:pPr>
            <w:r w:rsidRPr="0094469A">
              <w:rPr>
                <w:rStyle w:val="Arial"/>
              </w:rPr>
              <w:t>172(iii)</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Lutein</w:t>
            </w:r>
          </w:p>
        </w:tc>
        <w:tc>
          <w:tcPr>
            <w:tcW w:w="0" w:type="auto"/>
            <w:vAlign w:val="center"/>
            <w:hideMark/>
          </w:tcPr>
          <w:p w:rsidR="00397114" w:rsidRPr="0094469A" w:rsidRDefault="00397114" w:rsidP="006338B2">
            <w:pPr>
              <w:rPr>
                <w:rStyle w:val="Arial"/>
              </w:rPr>
            </w:pPr>
            <w:r w:rsidRPr="0094469A">
              <w:rPr>
                <w:rStyle w:val="Arial"/>
              </w:rPr>
              <w:t xml:space="preserve">Mixed Carotenoids </w:t>
            </w:r>
            <w:r w:rsidRPr="0094469A">
              <w:rPr>
                <w:rStyle w:val="Arial"/>
              </w:rPr>
              <w:br/>
              <w:t>(comprising Xanthophylls and Zeaxanthin)</w:t>
            </w:r>
          </w:p>
        </w:tc>
        <w:tc>
          <w:tcPr>
            <w:tcW w:w="0" w:type="auto"/>
            <w:vAlign w:val="center"/>
            <w:hideMark/>
          </w:tcPr>
          <w:p w:rsidR="00397114" w:rsidRPr="0094469A" w:rsidRDefault="00397114" w:rsidP="006338B2">
            <w:pPr>
              <w:rPr>
                <w:rStyle w:val="Arial"/>
              </w:rPr>
            </w:pPr>
            <w:r w:rsidRPr="0094469A">
              <w:rPr>
                <w:rStyle w:val="Arial"/>
              </w:rPr>
              <w:t>-</w:t>
            </w:r>
          </w:p>
        </w:tc>
        <w:tc>
          <w:tcPr>
            <w:tcW w:w="0" w:type="auto"/>
            <w:vAlign w:val="center"/>
            <w:hideMark/>
          </w:tcPr>
          <w:p w:rsidR="00397114" w:rsidRPr="0094469A" w:rsidRDefault="00397114" w:rsidP="006338B2">
            <w:pPr>
              <w:rPr>
                <w:rStyle w:val="Arial"/>
              </w:rPr>
            </w:pPr>
            <w:r w:rsidRPr="0094469A">
              <w:rPr>
                <w:rStyle w:val="Arial"/>
              </w:rPr>
              <w:t>161b</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 xml:space="preserve">Patent Blue V </w:t>
            </w:r>
          </w:p>
        </w:tc>
        <w:tc>
          <w:tcPr>
            <w:tcW w:w="0" w:type="auto"/>
            <w:vAlign w:val="center"/>
            <w:hideMark/>
          </w:tcPr>
          <w:p w:rsidR="00397114" w:rsidRPr="0094469A" w:rsidRDefault="00397114" w:rsidP="006338B2">
            <w:pPr>
              <w:rPr>
                <w:rStyle w:val="Arial"/>
              </w:rPr>
            </w:pPr>
            <w:r w:rsidRPr="0094469A">
              <w:rPr>
                <w:rStyle w:val="Arial"/>
              </w:rPr>
              <w:t>CI Food Blue 5</w:t>
            </w:r>
          </w:p>
        </w:tc>
        <w:tc>
          <w:tcPr>
            <w:tcW w:w="0" w:type="auto"/>
            <w:vAlign w:val="center"/>
            <w:hideMark/>
          </w:tcPr>
          <w:p w:rsidR="00397114" w:rsidRPr="0094469A" w:rsidRDefault="00397114" w:rsidP="006338B2">
            <w:pPr>
              <w:rPr>
                <w:rStyle w:val="Arial"/>
              </w:rPr>
            </w:pPr>
            <w:r w:rsidRPr="0094469A">
              <w:rPr>
                <w:rStyle w:val="Arial"/>
              </w:rPr>
              <w:t>42051</w:t>
            </w:r>
          </w:p>
        </w:tc>
        <w:tc>
          <w:tcPr>
            <w:tcW w:w="0" w:type="auto"/>
            <w:vAlign w:val="center"/>
            <w:hideMark/>
          </w:tcPr>
          <w:p w:rsidR="00397114" w:rsidRPr="0094469A" w:rsidRDefault="00397114" w:rsidP="006338B2">
            <w:pPr>
              <w:rPr>
                <w:rStyle w:val="Arial"/>
              </w:rPr>
            </w:pPr>
            <w:r w:rsidRPr="0094469A">
              <w:rPr>
                <w:rStyle w:val="Arial"/>
              </w:rPr>
              <w:t>131</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Phloxine B</w:t>
            </w:r>
          </w:p>
        </w:tc>
        <w:tc>
          <w:tcPr>
            <w:tcW w:w="0" w:type="auto"/>
            <w:vAlign w:val="center"/>
            <w:hideMark/>
          </w:tcPr>
          <w:p w:rsidR="00397114" w:rsidRPr="0094469A" w:rsidRDefault="00397114" w:rsidP="006338B2">
            <w:pPr>
              <w:rPr>
                <w:rStyle w:val="Arial"/>
              </w:rPr>
            </w:pPr>
            <w:r w:rsidRPr="0094469A">
              <w:rPr>
                <w:rStyle w:val="Arial"/>
              </w:rPr>
              <w:t xml:space="preserve">D&amp;C Red No. 28 </w:t>
            </w:r>
            <w:r w:rsidRPr="0094469A">
              <w:rPr>
                <w:rStyle w:val="Arial"/>
              </w:rPr>
              <w:br/>
              <w:t xml:space="preserve">Acid Red 92 </w:t>
            </w:r>
            <w:r w:rsidRPr="0094469A">
              <w:rPr>
                <w:rStyle w:val="Arial"/>
              </w:rPr>
              <w:br/>
              <w:t xml:space="preserve">Eosin 10B </w:t>
            </w:r>
            <w:r w:rsidRPr="0094469A">
              <w:rPr>
                <w:rStyle w:val="Arial"/>
              </w:rPr>
              <w:br/>
              <w:t xml:space="preserve">Red 28 </w:t>
            </w:r>
            <w:r w:rsidRPr="0094469A">
              <w:rPr>
                <w:rStyle w:val="Arial"/>
              </w:rPr>
              <w:br/>
              <w:t>Phloxine B sodium salt</w:t>
            </w:r>
          </w:p>
        </w:tc>
        <w:tc>
          <w:tcPr>
            <w:tcW w:w="0" w:type="auto"/>
            <w:vAlign w:val="center"/>
            <w:hideMark/>
          </w:tcPr>
          <w:p w:rsidR="00397114" w:rsidRPr="0094469A" w:rsidRDefault="00397114" w:rsidP="006338B2">
            <w:pPr>
              <w:rPr>
                <w:rStyle w:val="Arial"/>
              </w:rPr>
            </w:pPr>
            <w:r w:rsidRPr="0094469A">
              <w:rPr>
                <w:rStyle w:val="Arial"/>
              </w:rPr>
              <w:t>45410</w:t>
            </w:r>
          </w:p>
        </w:tc>
        <w:tc>
          <w:tcPr>
            <w:tcW w:w="0" w:type="auto"/>
            <w:vAlign w:val="center"/>
            <w:hideMark/>
          </w:tcPr>
          <w:p w:rsidR="00397114" w:rsidRPr="0094469A" w:rsidRDefault="00397114" w:rsidP="006338B2">
            <w:pPr>
              <w:rPr>
                <w:rStyle w:val="Arial"/>
              </w:rPr>
            </w:pPr>
            <w:r w:rsidRPr="0094469A">
              <w:rPr>
                <w:rStyle w:val="Arial"/>
              </w:rPr>
              <w:t>-</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Ponceau 4R (name currently used in NZ)</w:t>
            </w:r>
            <w:r w:rsidRPr="0094469A">
              <w:rPr>
                <w:rStyle w:val="Arial"/>
              </w:rPr>
              <w:br/>
              <w:t>Brilliant Scarlet 4R (name currently used in Australia)</w:t>
            </w:r>
          </w:p>
        </w:tc>
        <w:tc>
          <w:tcPr>
            <w:tcW w:w="0" w:type="auto"/>
            <w:vAlign w:val="center"/>
            <w:hideMark/>
          </w:tcPr>
          <w:p w:rsidR="00397114" w:rsidRPr="0094469A" w:rsidRDefault="00397114" w:rsidP="006338B2">
            <w:pPr>
              <w:rPr>
                <w:rStyle w:val="Arial"/>
              </w:rPr>
            </w:pPr>
            <w:r w:rsidRPr="0094469A">
              <w:rPr>
                <w:rStyle w:val="Arial"/>
              </w:rPr>
              <w:t xml:space="preserve">CI Food Red 7 </w:t>
            </w:r>
            <w:r w:rsidRPr="0094469A">
              <w:rPr>
                <w:rStyle w:val="Arial"/>
              </w:rPr>
              <w:br/>
              <w:t xml:space="preserve">New Coccine </w:t>
            </w:r>
            <w:r w:rsidRPr="0094469A">
              <w:rPr>
                <w:rStyle w:val="Arial"/>
              </w:rPr>
              <w:br/>
              <w:t>Cochineal Red A</w:t>
            </w:r>
          </w:p>
        </w:tc>
        <w:tc>
          <w:tcPr>
            <w:tcW w:w="0" w:type="auto"/>
            <w:vAlign w:val="center"/>
            <w:hideMark/>
          </w:tcPr>
          <w:p w:rsidR="00397114" w:rsidRPr="0094469A" w:rsidRDefault="00397114" w:rsidP="006338B2">
            <w:pPr>
              <w:rPr>
                <w:rStyle w:val="Arial"/>
              </w:rPr>
            </w:pPr>
            <w:r w:rsidRPr="0094469A">
              <w:rPr>
                <w:rStyle w:val="Arial"/>
              </w:rPr>
              <w:t>16255</w:t>
            </w:r>
          </w:p>
        </w:tc>
        <w:tc>
          <w:tcPr>
            <w:tcW w:w="0" w:type="auto"/>
            <w:vAlign w:val="center"/>
            <w:hideMark/>
          </w:tcPr>
          <w:p w:rsidR="00397114" w:rsidRPr="0094469A" w:rsidRDefault="00397114" w:rsidP="006338B2">
            <w:pPr>
              <w:rPr>
                <w:rStyle w:val="Arial"/>
              </w:rPr>
            </w:pPr>
            <w:r w:rsidRPr="0094469A">
              <w:rPr>
                <w:rStyle w:val="Arial"/>
              </w:rPr>
              <w:t>124</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Quinoline Yellow</w:t>
            </w:r>
          </w:p>
        </w:tc>
        <w:tc>
          <w:tcPr>
            <w:tcW w:w="0" w:type="auto"/>
            <w:vAlign w:val="center"/>
            <w:hideMark/>
          </w:tcPr>
          <w:p w:rsidR="00397114" w:rsidRPr="0094469A" w:rsidRDefault="00397114" w:rsidP="006338B2">
            <w:pPr>
              <w:rPr>
                <w:rStyle w:val="Arial"/>
              </w:rPr>
            </w:pPr>
            <w:r w:rsidRPr="0094469A">
              <w:rPr>
                <w:rStyle w:val="Arial"/>
              </w:rPr>
              <w:t xml:space="preserve">CI Food Yellow 13 </w:t>
            </w:r>
            <w:r w:rsidRPr="0094469A">
              <w:rPr>
                <w:rStyle w:val="Arial"/>
              </w:rPr>
              <w:br/>
              <w:t xml:space="preserve">D&amp;C Yellow No. 10 </w:t>
            </w:r>
            <w:r w:rsidRPr="0094469A">
              <w:rPr>
                <w:rStyle w:val="Arial"/>
              </w:rPr>
              <w:br/>
              <w:t>Yellow 10</w:t>
            </w:r>
          </w:p>
        </w:tc>
        <w:tc>
          <w:tcPr>
            <w:tcW w:w="0" w:type="auto"/>
            <w:vAlign w:val="center"/>
            <w:hideMark/>
          </w:tcPr>
          <w:p w:rsidR="00397114" w:rsidRPr="0094469A" w:rsidRDefault="00397114" w:rsidP="006338B2">
            <w:pPr>
              <w:rPr>
                <w:rStyle w:val="Arial"/>
              </w:rPr>
            </w:pPr>
            <w:r w:rsidRPr="0094469A">
              <w:rPr>
                <w:rStyle w:val="Arial"/>
              </w:rPr>
              <w:t>47005</w:t>
            </w:r>
          </w:p>
        </w:tc>
        <w:tc>
          <w:tcPr>
            <w:tcW w:w="0" w:type="auto"/>
            <w:vAlign w:val="center"/>
            <w:hideMark/>
          </w:tcPr>
          <w:p w:rsidR="00397114" w:rsidRPr="0094469A" w:rsidRDefault="00397114" w:rsidP="006338B2">
            <w:pPr>
              <w:rPr>
                <w:rStyle w:val="Arial"/>
              </w:rPr>
            </w:pPr>
            <w:r w:rsidRPr="0094469A">
              <w:rPr>
                <w:rStyle w:val="Arial"/>
              </w:rPr>
              <w:t>104</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Riboflavin</w:t>
            </w:r>
          </w:p>
        </w:tc>
        <w:tc>
          <w:tcPr>
            <w:tcW w:w="0" w:type="auto"/>
            <w:vAlign w:val="center"/>
            <w:hideMark/>
          </w:tcPr>
          <w:p w:rsidR="00397114" w:rsidRPr="0094469A" w:rsidRDefault="00397114" w:rsidP="006338B2">
            <w:pPr>
              <w:rPr>
                <w:rStyle w:val="Arial"/>
              </w:rPr>
            </w:pPr>
            <w:r w:rsidRPr="0094469A">
              <w:rPr>
                <w:rStyle w:val="Arial"/>
              </w:rPr>
              <w:t xml:space="preserve">Lactoflavin </w:t>
            </w:r>
            <w:r w:rsidRPr="0094469A">
              <w:rPr>
                <w:rStyle w:val="Arial"/>
              </w:rPr>
              <w:br/>
              <w:t>Vitamin B2</w:t>
            </w:r>
          </w:p>
        </w:tc>
        <w:tc>
          <w:tcPr>
            <w:tcW w:w="0" w:type="auto"/>
            <w:vAlign w:val="center"/>
            <w:hideMark/>
          </w:tcPr>
          <w:p w:rsidR="00397114" w:rsidRPr="0094469A" w:rsidRDefault="00397114" w:rsidP="006338B2">
            <w:pPr>
              <w:rPr>
                <w:rStyle w:val="Arial"/>
              </w:rPr>
            </w:pPr>
            <w:r w:rsidRPr="0094469A">
              <w:rPr>
                <w:rStyle w:val="Arial"/>
              </w:rPr>
              <w:t>-</w:t>
            </w:r>
          </w:p>
        </w:tc>
        <w:tc>
          <w:tcPr>
            <w:tcW w:w="0" w:type="auto"/>
            <w:vAlign w:val="center"/>
            <w:hideMark/>
          </w:tcPr>
          <w:p w:rsidR="00397114" w:rsidRPr="0094469A" w:rsidRDefault="00397114" w:rsidP="006338B2">
            <w:pPr>
              <w:rPr>
                <w:rStyle w:val="Arial"/>
              </w:rPr>
            </w:pPr>
            <w:r w:rsidRPr="0094469A">
              <w:rPr>
                <w:rStyle w:val="Arial"/>
              </w:rPr>
              <w:t>101(i)</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 xml:space="preserve">Riboflavin -5- phosphate </w:t>
            </w:r>
          </w:p>
        </w:tc>
        <w:tc>
          <w:tcPr>
            <w:tcW w:w="0" w:type="auto"/>
            <w:vAlign w:val="center"/>
            <w:hideMark/>
          </w:tcPr>
          <w:p w:rsidR="00397114" w:rsidRPr="0094469A" w:rsidRDefault="00397114" w:rsidP="006338B2">
            <w:pPr>
              <w:rPr>
                <w:rStyle w:val="Arial"/>
              </w:rPr>
            </w:pPr>
            <w:r w:rsidRPr="0094469A">
              <w:rPr>
                <w:rStyle w:val="Arial"/>
              </w:rPr>
              <w:t>Vitamin B2 phosphate</w:t>
            </w:r>
          </w:p>
        </w:tc>
        <w:tc>
          <w:tcPr>
            <w:tcW w:w="0" w:type="auto"/>
            <w:vAlign w:val="center"/>
            <w:hideMark/>
          </w:tcPr>
          <w:p w:rsidR="00397114" w:rsidRPr="0094469A" w:rsidRDefault="00397114" w:rsidP="006338B2">
            <w:pPr>
              <w:rPr>
                <w:rStyle w:val="Arial"/>
              </w:rPr>
            </w:pPr>
            <w:r w:rsidRPr="0094469A">
              <w:rPr>
                <w:rStyle w:val="Arial"/>
              </w:rPr>
              <w:t>-</w:t>
            </w:r>
          </w:p>
        </w:tc>
        <w:tc>
          <w:tcPr>
            <w:tcW w:w="0" w:type="auto"/>
            <w:vAlign w:val="center"/>
            <w:hideMark/>
          </w:tcPr>
          <w:p w:rsidR="00397114" w:rsidRPr="0094469A" w:rsidRDefault="00397114" w:rsidP="006338B2">
            <w:pPr>
              <w:rPr>
                <w:rStyle w:val="Arial"/>
              </w:rPr>
            </w:pPr>
            <w:r w:rsidRPr="0094469A">
              <w:rPr>
                <w:rStyle w:val="Arial"/>
              </w:rPr>
              <w:t>101(ii)</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Saffron</w:t>
            </w:r>
          </w:p>
        </w:tc>
        <w:tc>
          <w:tcPr>
            <w:tcW w:w="0" w:type="auto"/>
            <w:vAlign w:val="center"/>
            <w:hideMark/>
          </w:tcPr>
          <w:p w:rsidR="00397114" w:rsidRPr="0094469A" w:rsidRDefault="00397114" w:rsidP="006338B2">
            <w:pPr>
              <w:rPr>
                <w:rStyle w:val="Arial"/>
              </w:rPr>
            </w:pPr>
            <w:r w:rsidRPr="0094469A">
              <w:rPr>
                <w:rStyle w:val="Arial"/>
              </w:rPr>
              <w:t>CI Natural Yellow 6</w:t>
            </w:r>
            <w:r w:rsidRPr="0094469A">
              <w:rPr>
                <w:rStyle w:val="Arial"/>
              </w:rPr>
              <w:br/>
              <w:t>Crocetin</w:t>
            </w:r>
            <w:r w:rsidRPr="0094469A">
              <w:rPr>
                <w:rStyle w:val="Arial"/>
              </w:rPr>
              <w:br/>
              <w:t>Crocin</w:t>
            </w:r>
          </w:p>
        </w:tc>
        <w:tc>
          <w:tcPr>
            <w:tcW w:w="0" w:type="auto"/>
            <w:vAlign w:val="center"/>
            <w:hideMark/>
          </w:tcPr>
          <w:p w:rsidR="00397114" w:rsidRPr="0094469A" w:rsidRDefault="00397114" w:rsidP="006338B2">
            <w:pPr>
              <w:rPr>
                <w:rStyle w:val="Arial"/>
              </w:rPr>
            </w:pPr>
            <w:r w:rsidRPr="0094469A">
              <w:rPr>
                <w:rStyle w:val="Arial"/>
              </w:rPr>
              <w:t>75100</w:t>
            </w:r>
          </w:p>
        </w:tc>
        <w:tc>
          <w:tcPr>
            <w:tcW w:w="0" w:type="auto"/>
            <w:vAlign w:val="center"/>
            <w:hideMark/>
          </w:tcPr>
          <w:p w:rsidR="00397114" w:rsidRPr="0094469A" w:rsidRDefault="00397114" w:rsidP="006338B2">
            <w:pPr>
              <w:rPr>
                <w:rStyle w:val="Arial"/>
              </w:rPr>
            </w:pPr>
            <w:r w:rsidRPr="0094469A">
              <w:rPr>
                <w:rStyle w:val="Arial"/>
              </w:rPr>
              <w:t>164</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Sunset Yellow FCF</w:t>
            </w:r>
          </w:p>
        </w:tc>
        <w:tc>
          <w:tcPr>
            <w:tcW w:w="0" w:type="auto"/>
            <w:vAlign w:val="center"/>
            <w:hideMark/>
          </w:tcPr>
          <w:p w:rsidR="00397114" w:rsidRPr="0094469A" w:rsidRDefault="00397114" w:rsidP="006338B2">
            <w:pPr>
              <w:rPr>
                <w:rStyle w:val="Arial"/>
              </w:rPr>
            </w:pPr>
            <w:r w:rsidRPr="0094469A">
              <w:rPr>
                <w:rStyle w:val="Arial"/>
              </w:rPr>
              <w:t>CI Food Yellow 3</w:t>
            </w:r>
            <w:r w:rsidRPr="0094469A">
              <w:rPr>
                <w:rStyle w:val="Arial"/>
              </w:rPr>
              <w:br/>
              <w:t>Orange Yellow S</w:t>
            </w:r>
            <w:r w:rsidRPr="0094469A">
              <w:rPr>
                <w:rStyle w:val="Arial"/>
              </w:rPr>
              <w:br/>
              <w:t>FCF Orange Yellow</w:t>
            </w:r>
            <w:r w:rsidRPr="0094469A">
              <w:rPr>
                <w:rStyle w:val="Arial"/>
              </w:rPr>
              <w:br/>
              <w:t>FD&amp;C Yellow No. 6</w:t>
            </w:r>
          </w:p>
        </w:tc>
        <w:tc>
          <w:tcPr>
            <w:tcW w:w="0" w:type="auto"/>
            <w:vAlign w:val="center"/>
            <w:hideMark/>
          </w:tcPr>
          <w:p w:rsidR="00397114" w:rsidRPr="0094469A" w:rsidRDefault="00397114" w:rsidP="006338B2">
            <w:pPr>
              <w:rPr>
                <w:rStyle w:val="Arial"/>
              </w:rPr>
            </w:pPr>
            <w:r w:rsidRPr="0094469A">
              <w:rPr>
                <w:rStyle w:val="Arial"/>
              </w:rPr>
              <w:t>15985</w:t>
            </w:r>
          </w:p>
        </w:tc>
        <w:tc>
          <w:tcPr>
            <w:tcW w:w="0" w:type="auto"/>
            <w:vAlign w:val="center"/>
            <w:hideMark/>
          </w:tcPr>
          <w:p w:rsidR="00397114" w:rsidRPr="0094469A" w:rsidRDefault="00397114" w:rsidP="006338B2">
            <w:pPr>
              <w:rPr>
                <w:rStyle w:val="Arial"/>
              </w:rPr>
            </w:pPr>
            <w:r w:rsidRPr="0094469A">
              <w:rPr>
                <w:rStyle w:val="Arial"/>
              </w:rPr>
              <w:t>110</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Tartrazine</w:t>
            </w:r>
            <w:r w:rsidRPr="0094469A">
              <w:rPr>
                <w:rStyle w:val="Arial"/>
                <w:vertAlign w:val="superscript"/>
              </w:rPr>
              <w:t>1</w:t>
            </w:r>
          </w:p>
        </w:tc>
        <w:tc>
          <w:tcPr>
            <w:tcW w:w="0" w:type="auto"/>
            <w:vAlign w:val="center"/>
            <w:hideMark/>
          </w:tcPr>
          <w:p w:rsidR="00397114" w:rsidRPr="0094469A" w:rsidRDefault="00397114" w:rsidP="006338B2">
            <w:pPr>
              <w:rPr>
                <w:rStyle w:val="Arial"/>
              </w:rPr>
            </w:pPr>
            <w:r w:rsidRPr="0094469A">
              <w:rPr>
                <w:rStyle w:val="Arial"/>
              </w:rPr>
              <w:t>CI Food Yellow 4</w:t>
            </w:r>
            <w:r w:rsidRPr="0094469A">
              <w:rPr>
                <w:rStyle w:val="Arial"/>
              </w:rPr>
              <w:br/>
              <w:t>FD&amp;C Yellow No. 5</w:t>
            </w:r>
          </w:p>
        </w:tc>
        <w:tc>
          <w:tcPr>
            <w:tcW w:w="0" w:type="auto"/>
            <w:vAlign w:val="center"/>
            <w:hideMark/>
          </w:tcPr>
          <w:p w:rsidR="00397114" w:rsidRPr="0094469A" w:rsidRDefault="00397114" w:rsidP="006338B2">
            <w:pPr>
              <w:rPr>
                <w:rStyle w:val="Arial"/>
              </w:rPr>
            </w:pPr>
            <w:r w:rsidRPr="0094469A">
              <w:rPr>
                <w:rStyle w:val="Arial"/>
              </w:rPr>
              <w:t>19140</w:t>
            </w:r>
          </w:p>
        </w:tc>
        <w:tc>
          <w:tcPr>
            <w:tcW w:w="0" w:type="auto"/>
            <w:vAlign w:val="center"/>
            <w:hideMark/>
          </w:tcPr>
          <w:p w:rsidR="00397114" w:rsidRPr="0094469A" w:rsidRDefault="00397114" w:rsidP="006338B2">
            <w:pPr>
              <w:rPr>
                <w:rStyle w:val="Arial"/>
              </w:rPr>
            </w:pPr>
            <w:r w:rsidRPr="0094469A">
              <w:rPr>
                <w:rStyle w:val="Arial"/>
              </w:rPr>
              <w:t>102</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Titanium dioxide</w:t>
            </w:r>
          </w:p>
        </w:tc>
        <w:tc>
          <w:tcPr>
            <w:tcW w:w="0" w:type="auto"/>
            <w:vAlign w:val="center"/>
            <w:hideMark/>
          </w:tcPr>
          <w:p w:rsidR="00397114" w:rsidRPr="0094469A" w:rsidRDefault="00397114" w:rsidP="006338B2">
            <w:pPr>
              <w:rPr>
                <w:rStyle w:val="Arial"/>
              </w:rPr>
            </w:pPr>
            <w:r w:rsidRPr="0094469A">
              <w:rPr>
                <w:rStyle w:val="Arial"/>
              </w:rPr>
              <w:t>CI Pigment White 6</w:t>
            </w:r>
          </w:p>
        </w:tc>
        <w:tc>
          <w:tcPr>
            <w:tcW w:w="0" w:type="auto"/>
            <w:vAlign w:val="center"/>
            <w:hideMark/>
          </w:tcPr>
          <w:p w:rsidR="00397114" w:rsidRPr="0094469A" w:rsidRDefault="00397114" w:rsidP="006338B2">
            <w:pPr>
              <w:rPr>
                <w:rStyle w:val="Arial"/>
              </w:rPr>
            </w:pPr>
            <w:r w:rsidRPr="0094469A">
              <w:rPr>
                <w:rStyle w:val="Arial"/>
              </w:rPr>
              <w:t>77891</w:t>
            </w:r>
          </w:p>
        </w:tc>
        <w:tc>
          <w:tcPr>
            <w:tcW w:w="0" w:type="auto"/>
            <w:vAlign w:val="center"/>
            <w:hideMark/>
          </w:tcPr>
          <w:p w:rsidR="00397114" w:rsidRPr="0094469A" w:rsidRDefault="00397114" w:rsidP="006338B2">
            <w:pPr>
              <w:rPr>
                <w:rStyle w:val="Arial"/>
              </w:rPr>
            </w:pPr>
            <w:r w:rsidRPr="0094469A">
              <w:rPr>
                <w:rStyle w:val="Arial"/>
              </w:rPr>
              <w:t>171</w:t>
            </w:r>
          </w:p>
        </w:tc>
      </w:tr>
      <w:tr w:rsidR="00397114" w:rsidRPr="0094469A" w:rsidTr="006338B2">
        <w:trPr>
          <w:tblCellSpacing w:w="0" w:type="dxa"/>
        </w:trPr>
        <w:tc>
          <w:tcPr>
            <w:tcW w:w="0" w:type="auto"/>
            <w:vAlign w:val="center"/>
            <w:hideMark/>
          </w:tcPr>
          <w:p w:rsidR="00397114" w:rsidRPr="0094469A" w:rsidRDefault="00397114" w:rsidP="006338B2">
            <w:pPr>
              <w:rPr>
                <w:rStyle w:val="Arial"/>
              </w:rPr>
            </w:pPr>
            <w:r w:rsidRPr="0094469A">
              <w:rPr>
                <w:rStyle w:val="Arial"/>
              </w:rPr>
              <w:t>Vegetable carbon (name currently used in NZ)</w:t>
            </w:r>
            <w:r w:rsidRPr="0094469A">
              <w:rPr>
                <w:rStyle w:val="Arial"/>
              </w:rPr>
              <w:br/>
              <w:t>Carbon Black (name currently used in Australia)</w:t>
            </w:r>
          </w:p>
        </w:tc>
        <w:tc>
          <w:tcPr>
            <w:tcW w:w="0" w:type="auto"/>
            <w:vAlign w:val="center"/>
            <w:hideMark/>
          </w:tcPr>
          <w:p w:rsidR="00397114" w:rsidRPr="0094469A" w:rsidRDefault="00397114" w:rsidP="006338B2">
            <w:pPr>
              <w:rPr>
                <w:rStyle w:val="Arial"/>
              </w:rPr>
            </w:pPr>
            <w:r w:rsidRPr="0094469A">
              <w:rPr>
                <w:rStyle w:val="Arial"/>
              </w:rPr>
              <w:t>Vegetable black</w:t>
            </w:r>
            <w:r w:rsidRPr="0094469A">
              <w:rPr>
                <w:rStyle w:val="Arial"/>
              </w:rPr>
              <w:br/>
              <w:t>D&amp;C Black No. 2</w:t>
            </w:r>
          </w:p>
        </w:tc>
        <w:tc>
          <w:tcPr>
            <w:tcW w:w="0" w:type="auto"/>
            <w:vAlign w:val="center"/>
            <w:hideMark/>
          </w:tcPr>
          <w:p w:rsidR="00397114" w:rsidRPr="0094469A" w:rsidRDefault="00397114" w:rsidP="006338B2">
            <w:pPr>
              <w:rPr>
                <w:rStyle w:val="Arial"/>
              </w:rPr>
            </w:pPr>
            <w:r w:rsidRPr="0094469A">
              <w:rPr>
                <w:rStyle w:val="Arial"/>
              </w:rPr>
              <w:t>77266</w:t>
            </w:r>
          </w:p>
        </w:tc>
        <w:tc>
          <w:tcPr>
            <w:tcW w:w="0" w:type="auto"/>
            <w:vAlign w:val="center"/>
            <w:hideMark/>
          </w:tcPr>
          <w:p w:rsidR="00397114" w:rsidRPr="0094469A" w:rsidRDefault="00397114" w:rsidP="006338B2">
            <w:pPr>
              <w:rPr>
                <w:rStyle w:val="Arial"/>
              </w:rPr>
            </w:pPr>
            <w:r w:rsidRPr="0094469A">
              <w:rPr>
                <w:rStyle w:val="Arial"/>
              </w:rPr>
              <w:t>153</w:t>
            </w:r>
          </w:p>
        </w:tc>
      </w:tr>
    </w:tbl>
    <w:p w:rsidR="00397114" w:rsidRPr="0094469A" w:rsidRDefault="00397114" w:rsidP="00CF062F">
      <w:pPr>
        <w:numPr>
          <w:ilvl w:val="0"/>
          <w:numId w:val="41"/>
        </w:numPr>
        <w:spacing w:before="100" w:beforeAutospacing="1" w:after="100" w:afterAutospacing="1"/>
        <w:rPr>
          <w:rStyle w:val="Arial"/>
          <w:sz w:val="20"/>
          <w:szCs w:val="20"/>
        </w:rPr>
      </w:pPr>
      <w:r w:rsidRPr="0094469A">
        <w:rPr>
          <w:rStyle w:val="Arial"/>
          <w:sz w:val="20"/>
          <w:szCs w:val="20"/>
        </w:rPr>
        <w:t xml:space="preserve">The presence of tartrazine must be declared on the label. </w:t>
      </w:r>
    </w:p>
    <w:p w:rsidR="00397114" w:rsidRPr="00DB34DC" w:rsidRDefault="00397114" w:rsidP="00CF062F">
      <w:pPr>
        <w:pStyle w:val="ListParagraph"/>
        <w:numPr>
          <w:ilvl w:val="2"/>
          <w:numId w:val="63"/>
        </w:numPr>
        <w:ind w:left="993" w:hanging="993"/>
        <w:rPr>
          <w:rStyle w:val="Arial"/>
          <w:i/>
          <w:iCs/>
        </w:rPr>
      </w:pPr>
      <w:r w:rsidRPr="00DB34DC">
        <w:rPr>
          <w:rStyle w:val="Arial"/>
          <w:i/>
          <w:iCs/>
        </w:rPr>
        <w:t>Use of colours not on these lists</w:t>
      </w:r>
    </w:p>
    <w:p w:rsidR="00397114" w:rsidRPr="0094469A" w:rsidRDefault="00397114" w:rsidP="00397114">
      <w:pPr>
        <w:spacing w:before="100" w:beforeAutospacing="1" w:after="100" w:afterAutospacing="1"/>
        <w:rPr>
          <w:rStyle w:val="Arial"/>
        </w:rPr>
      </w:pPr>
      <w:r w:rsidRPr="0094469A">
        <w:rPr>
          <w:rStyle w:val="Arial"/>
        </w:rPr>
        <w:t xml:space="preserve">Where a sponsor wishes to use a colouring agent not included in these lists in a </w:t>
      </w:r>
      <w:r>
        <w:rPr>
          <w:rStyle w:val="Arial"/>
        </w:rPr>
        <w:t>psychoactive product</w:t>
      </w:r>
      <w:r w:rsidRPr="0094469A">
        <w:rPr>
          <w:rStyle w:val="Arial"/>
        </w:rPr>
        <w:t xml:space="preserve">, the sponsor should provide a justification for its use. </w:t>
      </w:r>
    </w:p>
    <w:p w:rsidR="00397114" w:rsidRPr="0094469A" w:rsidRDefault="00397114" w:rsidP="00397114">
      <w:pPr>
        <w:spacing w:before="100" w:beforeAutospacing="1" w:after="100" w:afterAutospacing="1"/>
        <w:rPr>
          <w:rStyle w:val="Arial"/>
        </w:rPr>
      </w:pPr>
      <w:r w:rsidRPr="0094469A">
        <w:rPr>
          <w:rStyle w:val="Arial"/>
        </w:rPr>
        <w:t xml:space="preserve">A data package for that colouring agent should be submitted together with the </w:t>
      </w:r>
      <w:r>
        <w:rPr>
          <w:rStyle w:val="Arial"/>
        </w:rPr>
        <w:t xml:space="preserve">NPPA. </w:t>
      </w:r>
    </w:p>
    <w:p w:rsidR="00397114" w:rsidRPr="0094469A" w:rsidRDefault="00397114" w:rsidP="00CF062F">
      <w:pPr>
        <w:numPr>
          <w:ilvl w:val="0"/>
          <w:numId w:val="42"/>
        </w:numPr>
        <w:spacing w:before="100" w:beforeAutospacing="1" w:after="100" w:afterAutospacing="1"/>
        <w:rPr>
          <w:rStyle w:val="Arial"/>
        </w:rPr>
      </w:pPr>
      <w:r w:rsidRPr="0094469A">
        <w:rPr>
          <w:rStyle w:val="Arial"/>
        </w:rPr>
        <w:t xml:space="preserve">Quality data should be consistent with the Common Technical Document (CTD) requirements for Module 3 and should include: </w:t>
      </w:r>
    </w:p>
    <w:p w:rsidR="00397114" w:rsidRPr="0094469A" w:rsidRDefault="00397114" w:rsidP="00CF062F">
      <w:pPr>
        <w:numPr>
          <w:ilvl w:val="1"/>
          <w:numId w:val="42"/>
        </w:numPr>
        <w:spacing w:before="100" w:beforeAutospacing="1" w:after="100" w:afterAutospacing="1"/>
        <w:rPr>
          <w:rStyle w:val="Arial"/>
        </w:rPr>
      </w:pPr>
      <w:r w:rsidRPr="0094469A">
        <w:rPr>
          <w:rStyle w:val="Arial"/>
        </w:rPr>
        <w:t>requirements as outlined in 2.2.2 of the EU Guideline - Excipients in the Dossier for Application for Marketing Authorisation of a Medical Product (</w:t>
      </w:r>
      <w:hyperlink r:id="rId44" w:history="1">
        <w:r w:rsidRPr="0094469A">
          <w:rPr>
            <w:rStyle w:val="Arial"/>
          </w:rPr>
          <w:t>3AQ9a)</w:t>
        </w:r>
      </w:hyperlink>
      <w:r w:rsidRPr="0094469A">
        <w:rPr>
          <w:rStyle w:val="Arial"/>
        </w:rPr>
        <w:t>.</w:t>
      </w:r>
    </w:p>
    <w:p w:rsidR="00397114" w:rsidRPr="0094469A" w:rsidRDefault="00397114" w:rsidP="00CF062F">
      <w:pPr>
        <w:numPr>
          <w:ilvl w:val="0"/>
          <w:numId w:val="42"/>
        </w:numPr>
        <w:spacing w:before="100" w:beforeAutospacing="1" w:after="100" w:afterAutospacing="1"/>
        <w:rPr>
          <w:rStyle w:val="Arial"/>
        </w:rPr>
      </w:pPr>
      <w:r w:rsidRPr="0094469A">
        <w:rPr>
          <w:rStyle w:val="Arial"/>
        </w:rPr>
        <w:t xml:space="preserve">Non-clinical data should be consistent with the CTD requirements for Module 4 </w:t>
      </w:r>
      <w:r>
        <w:rPr>
          <w:rStyle w:val="Arial"/>
        </w:rPr>
        <w:t xml:space="preserve">(except that animal studies cannot be used) </w:t>
      </w:r>
      <w:r w:rsidRPr="0094469A">
        <w:rPr>
          <w:rStyle w:val="Arial"/>
        </w:rPr>
        <w:t xml:space="preserve">and should include: </w:t>
      </w:r>
    </w:p>
    <w:p w:rsidR="00397114" w:rsidRPr="0094469A" w:rsidRDefault="00397114" w:rsidP="00CF062F">
      <w:pPr>
        <w:numPr>
          <w:ilvl w:val="1"/>
          <w:numId w:val="42"/>
        </w:numPr>
        <w:spacing w:before="100" w:beforeAutospacing="1" w:after="100" w:afterAutospacing="1"/>
        <w:rPr>
          <w:rStyle w:val="Arial"/>
        </w:rPr>
      </w:pPr>
      <w:r w:rsidRPr="0094469A">
        <w:rPr>
          <w:rStyle w:val="Arial"/>
        </w:rPr>
        <w:t>report</w:t>
      </w:r>
      <w:r>
        <w:rPr>
          <w:rStyle w:val="Arial"/>
        </w:rPr>
        <w:t>s</w:t>
      </w:r>
      <w:r w:rsidRPr="0094469A">
        <w:rPr>
          <w:rStyle w:val="Arial"/>
        </w:rPr>
        <w:t xml:space="preserve"> of all toxicology studies that are relevant to the assessment of the chemical </w:t>
      </w:r>
    </w:p>
    <w:p w:rsidR="00397114" w:rsidRPr="0094469A" w:rsidRDefault="00397114" w:rsidP="00CF062F">
      <w:pPr>
        <w:numPr>
          <w:ilvl w:val="0"/>
          <w:numId w:val="42"/>
        </w:numPr>
        <w:spacing w:before="100" w:beforeAutospacing="1" w:after="100" w:afterAutospacing="1"/>
        <w:rPr>
          <w:rStyle w:val="Arial"/>
        </w:rPr>
      </w:pPr>
      <w:r w:rsidRPr="0094469A">
        <w:rPr>
          <w:rStyle w:val="Arial"/>
        </w:rPr>
        <w:t xml:space="preserve">Clinical data should be consistent with the CTD requirements for Module 5 and should include reports of all human studies (if any). </w:t>
      </w:r>
    </w:p>
    <w:p w:rsidR="00BC6862" w:rsidRPr="004B0CB2" w:rsidRDefault="00BC6862" w:rsidP="00BC6862">
      <w:pPr>
        <w:rPr>
          <w:rFonts w:ascii="Arial" w:hAnsi="Arial"/>
        </w:rPr>
      </w:pPr>
    </w:p>
    <w:p w:rsidR="00BC6862" w:rsidRPr="001D1066" w:rsidRDefault="00BC6862" w:rsidP="00CF062F">
      <w:pPr>
        <w:pStyle w:val="ListParagraph"/>
        <w:numPr>
          <w:ilvl w:val="1"/>
          <w:numId w:val="63"/>
        </w:numPr>
        <w:ind w:left="709" w:hanging="709"/>
        <w:rPr>
          <w:rStyle w:val="Arial"/>
          <w:b/>
          <w:iCs/>
        </w:rPr>
      </w:pPr>
      <w:r w:rsidRPr="001D1066">
        <w:rPr>
          <w:rStyle w:val="Arial"/>
          <w:b/>
          <w:iCs/>
        </w:rPr>
        <w:t xml:space="preserve">Manufacture of Finished Product </w:t>
      </w:r>
    </w:p>
    <w:p w:rsidR="00BC6862" w:rsidRPr="00A46454" w:rsidRDefault="00BC6862" w:rsidP="00BC6862">
      <w:pPr>
        <w:rPr>
          <w:rStyle w:val="Arial"/>
          <w:i/>
          <w:iCs/>
        </w:rPr>
      </w:pPr>
    </w:p>
    <w:p w:rsidR="00BC6862" w:rsidRPr="000F1FF2" w:rsidRDefault="00BC6862" w:rsidP="00BC6862">
      <w:pPr>
        <w:rPr>
          <w:rStyle w:val="Arial"/>
        </w:rPr>
      </w:pPr>
      <w:r w:rsidRPr="000F1FF2">
        <w:rPr>
          <w:rStyle w:val="Arial"/>
        </w:rPr>
        <w:t>The manufacturing</w:t>
      </w:r>
      <w:r>
        <w:rPr>
          <w:rStyle w:val="Arial"/>
        </w:rPr>
        <w:t xml:space="preserve"> processes</w:t>
      </w:r>
      <w:r w:rsidRPr="000F1FF2">
        <w:rPr>
          <w:rStyle w:val="Arial"/>
        </w:rPr>
        <w:t xml:space="preserve">, packaging processes, equipment used, and batch sizes must be </w:t>
      </w:r>
      <w:r>
        <w:rPr>
          <w:rStyle w:val="Arial"/>
        </w:rPr>
        <w:t>described in detail, fit for purpose</w:t>
      </w:r>
      <w:r w:rsidRPr="000F1FF2">
        <w:rPr>
          <w:rStyle w:val="Arial"/>
        </w:rPr>
        <w:t xml:space="preserve"> and justified. Any overages or ranges of quantities for the active ingredient(s) or any excipients must be appropriate and adequately justified. </w:t>
      </w:r>
    </w:p>
    <w:p w:rsidR="00BC6862" w:rsidRPr="000F1FF2" w:rsidRDefault="00BC6862" w:rsidP="00BC6862">
      <w:pPr>
        <w:rPr>
          <w:rStyle w:val="Arial"/>
        </w:rPr>
      </w:pPr>
    </w:p>
    <w:p w:rsidR="00BC6862" w:rsidRPr="000F1FF2" w:rsidRDefault="00BC6862" w:rsidP="00BC6862">
      <w:pPr>
        <w:rPr>
          <w:rStyle w:val="Arial"/>
        </w:rPr>
      </w:pPr>
      <w:r w:rsidRPr="000F1FF2">
        <w:rPr>
          <w:rStyle w:val="Arial"/>
        </w:rPr>
        <w:t>Any overfill of the container(s) must be justified. Any solvents or gases used in the manufacturing process must be of adequate quality. If alternative processes are intended at some steps in the manufacture, these</w:t>
      </w:r>
      <w:r>
        <w:rPr>
          <w:rStyle w:val="Arial"/>
        </w:rPr>
        <w:t xml:space="preserve"> must</w:t>
      </w:r>
      <w:r w:rsidRPr="000F1FF2">
        <w:rPr>
          <w:rStyle w:val="Arial"/>
        </w:rPr>
        <w:t xml:space="preserve"> have been justified and shown to yield finished product of equivalent quality. </w:t>
      </w:r>
    </w:p>
    <w:p w:rsidR="00BC6862" w:rsidRPr="000F1FF2" w:rsidRDefault="00BC6862" w:rsidP="00BC6862">
      <w:pPr>
        <w:rPr>
          <w:rStyle w:val="Arial"/>
        </w:rPr>
      </w:pPr>
    </w:p>
    <w:p w:rsidR="00BC6862" w:rsidRPr="000F1FF2" w:rsidRDefault="00BC6862" w:rsidP="00BC6862">
      <w:pPr>
        <w:rPr>
          <w:rStyle w:val="Arial"/>
        </w:rPr>
      </w:pPr>
      <w:r w:rsidRPr="000F1FF2">
        <w:rPr>
          <w:rStyle w:val="Arial"/>
        </w:rPr>
        <w:t>The in-process controls (including temperatures, mixing times and speeds, filter integrity), test methods and acceptance limits at each step in the manufacturing, sterilisation (if any) and packaging processes must be defined, appropriate and adequate to assure batch quality and unit-to-unit consistency.</w:t>
      </w:r>
    </w:p>
    <w:p w:rsidR="00BC6862" w:rsidRPr="000F1FF2" w:rsidRDefault="00BC6862" w:rsidP="00BC6862">
      <w:pPr>
        <w:rPr>
          <w:rStyle w:val="Arial"/>
        </w:rPr>
      </w:pPr>
    </w:p>
    <w:p w:rsidR="00BC6862" w:rsidRPr="000F1FF2" w:rsidRDefault="00BC6862" w:rsidP="00BC6862">
      <w:pPr>
        <w:rPr>
          <w:rStyle w:val="Arial"/>
        </w:rPr>
      </w:pPr>
      <w:r w:rsidRPr="000F1FF2">
        <w:rPr>
          <w:rStyle w:val="Arial"/>
        </w:rPr>
        <w:t>If relevant, any processing (</w:t>
      </w:r>
      <w:r>
        <w:rPr>
          <w:rStyle w:val="Arial"/>
        </w:rPr>
        <w:t>eg,</w:t>
      </w:r>
      <w:r w:rsidRPr="000F1FF2">
        <w:rPr>
          <w:rStyle w:val="Arial"/>
        </w:rPr>
        <w:t xml:space="preserve"> n</w:t>
      </w:r>
      <w:r>
        <w:rPr>
          <w:rStyle w:val="Arial"/>
        </w:rPr>
        <w:t>eutralising, cleaning, washing</w:t>
      </w:r>
      <w:r w:rsidRPr="000F1FF2">
        <w:rPr>
          <w:rStyle w:val="Arial"/>
        </w:rPr>
        <w:t xml:space="preserve">) of the containers before filling must be adequately controlled. </w:t>
      </w:r>
    </w:p>
    <w:p w:rsidR="00BC6862" w:rsidRPr="005857F6" w:rsidRDefault="00BC6862" w:rsidP="00BC6862">
      <w:pPr>
        <w:rPr>
          <w:rStyle w:val="Arial"/>
          <w:highlight w:val="yellow"/>
        </w:rPr>
      </w:pPr>
    </w:p>
    <w:p w:rsidR="00BC6862" w:rsidRPr="000F1FF2" w:rsidRDefault="00BC6862" w:rsidP="00BC6862">
      <w:pPr>
        <w:rPr>
          <w:rStyle w:val="Arial"/>
        </w:rPr>
      </w:pPr>
      <w:r w:rsidRPr="000F1FF2">
        <w:rPr>
          <w:rStyle w:val="Arial"/>
        </w:rPr>
        <w:t xml:space="preserve">All critical steps in the manufacturing process (including any cleaning steps) must have been adequately developed and validated at each manufacturing site at either production scale or at pilot scale (≥10% of full scale or 100,000 solid dose units, whichever is the greater unless otherwise justified) using production scale equipment. </w:t>
      </w:r>
    </w:p>
    <w:p w:rsidR="00BC6862" w:rsidRPr="000F1FF2" w:rsidRDefault="00BC6862" w:rsidP="00BC6862">
      <w:pPr>
        <w:rPr>
          <w:rStyle w:val="Arial"/>
        </w:rPr>
      </w:pPr>
    </w:p>
    <w:p w:rsidR="00BC6862" w:rsidRDefault="00BC6862" w:rsidP="00BC6862">
      <w:pPr>
        <w:rPr>
          <w:rStyle w:val="Arial"/>
        </w:rPr>
      </w:pPr>
      <w:r w:rsidRPr="000F1FF2">
        <w:rPr>
          <w:rStyle w:val="Arial"/>
        </w:rPr>
        <w:t xml:space="preserve">If only pilot scale validation has been completed, confirmation that full scale validation is scheduled for when commercial scale production commences must be provided. </w:t>
      </w:r>
    </w:p>
    <w:p w:rsidR="00BC6862" w:rsidRDefault="00BC6862" w:rsidP="00BC6862">
      <w:pPr>
        <w:rPr>
          <w:rStyle w:val="Arial"/>
        </w:rPr>
      </w:pPr>
    </w:p>
    <w:p w:rsidR="00BC6862" w:rsidRPr="00DB34DC" w:rsidRDefault="001D1066" w:rsidP="00CF062F">
      <w:pPr>
        <w:pStyle w:val="ListParagraph"/>
        <w:numPr>
          <w:ilvl w:val="2"/>
          <w:numId w:val="63"/>
        </w:numPr>
        <w:ind w:left="993" w:hanging="993"/>
        <w:rPr>
          <w:rStyle w:val="Arial"/>
          <w:i/>
          <w:iCs/>
        </w:rPr>
      </w:pPr>
      <w:bookmarkStart w:id="96" w:name="_Toc396293592"/>
      <w:bookmarkStart w:id="97" w:name="_Toc396297588"/>
      <w:bookmarkStart w:id="98" w:name="_Toc396297781"/>
      <w:bookmarkStart w:id="99" w:name="_Toc396297972"/>
      <w:bookmarkStart w:id="100" w:name="_Toc396298167"/>
      <w:bookmarkStart w:id="101" w:name="_Toc396313740"/>
      <w:bookmarkStart w:id="102" w:name="_Toc396721379"/>
      <w:bookmarkStart w:id="103" w:name="_Toc396816583"/>
      <w:bookmarkStart w:id="104" w:name="_Toc396828600"/>
      <w:bookmarkStart w:id="105" w:name="_Toc397694971"/>
      <w:bookmarkEnd w:id="96"/>
      <w:bookmarkEnd w:id="97"/>
      <w:bookmarkEnd w:id="98"/>
      <w:bookmarkEnd w:id="99"/>
      <w:bookmarkEnd w:id="100"/>
      <w:bookmarkEnd w:id="101"/>
      <w:bookmarkEnd w:id="102"/>
      <w:bookmarkEnd w:id="103"/>
      <w:bookmarkEnd w:id="104"/>
      <w:bookmarkEnd w:id="105"/>
      <w:r>
        <w:rPr>
          <w:rStyle w:val="Arial"/>
          <w:i/>
          <w:iCs/>
        </w:rPr>
        <w:t>Active ingredient c</w:t>
      </w:r>
      <w:r w:rsidR="00BC6862" w:rsidRPr="00DB34DC">
        <w:rPr>
          <w:rStyle w:val="Arial"/>
          <w:i/>
          <w:iCs/>
        </w:rPr>
        <w:t xml:space="preserve">ontrols applied by the finished product manufacturer </w:t>
      </w:r>
    </w:p>
    <w:p w:rsidR="00BC6862" w:rsidRDefault="00BC6862" w:rsidP="00BC6862">
      <w:pPr>
        <w:rPr>
          <w:rFonts w:ascii="Arial" w:hAnsi="Arial"/>
        </w:rPr>
      </w:pPr>
    </w:p>
    <w:p w:rsidR="00F82B29" w:rsidRDefault="00F82B29" w:rsidP="00BC6862">
      <w:pPr>
        <w:rPr>
          <w:rFonts w:ascii="Arial" w:hAnsi="Arial"/>
        </w:rPr>
      </w:pPr>
      <w:r>
        <w:rPr>
          <w:rFonts w:ascii="Arial" w:hAnsi="Arial"/>
        </w:rPr>
        <w:t>The finished product manufacturer must test the active ingredient before use to ensure that the active ingredient has remained within specification.</w:t>
      </w:r>
    </w:p>
    <w:p w:rsidR="00F82B29" w:rsidRDefault="00F82B29" w:rsidP="00BC6862">
      <w:pPr>
        <w:rPr>
          <w:rFonts w:ascii="Arial" w:hAnsi="Arial"/>
        </w:rPr>
      </w:pPr>
    </w:p>
    <w:p w:rsidR="00876C7A" w:rsidRDefault="00BC6862" w:rsidP="00BC6862">
      <w:pPr>
        <w:rPr>
          <w:rFonts w:ascii="Arial" w:hAnsi="Arial"/>
        </w:rPr>
      </w:pPr>
      <w:r w:rsidRPr="004B0CB2">
        <w:rPr>
          <w:rFonts w:ascii="Arial" w:hAnsi="Arial"/>
        </w:rPr>
        <w:t>The active ingredient specifications applied by the finished product manufacturer in testing bulk active substance before use in manufacture of the finished product must be in accordance with a recognised pharmacopoeia (</w:t>
      </w:r>
      <w:r>
        <w:rPr>
          <w:rFonts w:ascii="Arial" w:hAnsi="Arial"/>
        </w:rPr>
        <w:t>eg, Ph. Eur.</w:t>
      </w:r>
      <w:r w:rsidRPr="004B0CB2">
        <w:rPr>
          <w:rFonts w:ascii="Arial" w:hAnsi="Arial"/>
        </w:rPr>
        <w:t>, BP, USP</w:t>
      </w:r>
      <w:r>
        <w:rPr>
          <w:rFonts w:ascii="Arial" w:hAnsi="Arial"/>
        </w:rPr>
        <w:t xml:space="preserve">), where a relevant monograph exists. </w:t>
      </w:r>
    </w:p>
    <w:p w:rsidR="00876C7A" w:rsidRDefault="00876C7A" w:rsidP="00BC6862">
      <w:pPr>
        <w:rPr>
          <w:rFonts w:ascii="Arial" w:hAnsi="Arial"/>
        </w:rPr>
      </w:pPr>
    </w:p>
    <w:p w:rsidR="00876C7A" w:rsidRDefault="00BC6862" w:rsidP="00BC6862">
      <w:pPr>
        <w:rPr>
          <w:rFonts w:ascii="Arial" w:hAnsi="Arial"/>
        </w:rPr>
      </w:pPr>
      <w:r>
        <w:rPr>
          <w:rFonts w:ascii="Arial" w:hAnsi="Arial"/>
        </w:rPr>
        <w:t>If there is no relevant monograph,</w:t>
      </w:r>
      <w:r w:rsidRPr="004B0CB2">
        <w:rPr>
          <w:rFonts w:ascii="Arial" w:hAnsi="Arial"/>
        </w:rPr>
        <w:t xml:space="preserve"> non-pharmacopoeial specifications </w:t>
      </w:r>
      <w:r>
        <w:rPr>
          <w:rFonts w:ascii="Arial" w:hAnsi="Arial"/>
        </w:rPr>
        <w:t>may be</w:t>
      </w:r>
      <w:r w:rsidRPr="004B0CB2">
        <w:rPr>
          <w:rFonts w:ascii="Arial" w:hAnsi="Arial"/>
        </w:rPr>
        <w:t xml:space="preserve"> applied, </w:t>
      </w:r>
      <w:r>
        <w:rPr>
          <w:rFonts w:ascii="Arial" w:hAnsi="Arial"/>
        </w:rPr>
        <w:t>which</w:t>
      </w:r>
      <w:r w:rsidRPr="004B0CB2">
        <w:rPr>
          <w:rFonts w:ascii="Arial" w:hAnsi="Arial"/>
        </w:rPr>
        <w:t xml:space="preserve"> must cover all of the relevant identity, organoleptic, physical (including crystalline form and particle size distribution, if applicable), chemical, stereochemical and microbiological quality parameters. </w:t>
      </w:r>
    </w:p>
    <w:p w:rsidR="00876C7A" w:rsidRDefault="00876C7A" w:rsidP="00BC6862">
      <w:pPr>
        <w:rPr>
          <w:rFonts w:ascii="Arial" w:hAnsi="Arial"/>
        </w:rPr>
      </w:pPr>
    </w:p>
    <w:p w:rsidR="00BC6862" w:rsidRPr="004B0CB2" w:rsidRDefault="00BC6862" w:rsidP="00BC6862">
      <w:pPr>
        <w:rPr>
          <w:rFonts w:ascii="Arial" w:hAnsi="Arial"/>
        </w:rPr>
      </w:pPr>
      <w:r>
        <w:rPr>
          <w:rFonts w:ascii="Arial" w:hAnsi="Arial"/>
        </w:rPr>
        <w:t>A manufacturer may choose to use non-pharmacopoeial specifications where a pharmacopoeial monograph exists but the non-pharmacopoeial specifications must be shown to be equivalent or superior to the pharmacopoeial monograph.</w:t>
      </w:r>
    </w:p>
    <w:p w:rsidR="00BC6862" w:rsidRPr="004B0CB2" w:rsidRDefault="00BC6862" w:rsidP="00BC6862">
      <w:pPr>
        <w:rPr>
          <w:rFonts w:ascii="Arial" w:hAnsi="Arial"/>
        </w:rPr>
      </w:pPr>
    </w:p>
    <w:p w:rsidR="00BC6862" w:rsidRPr="004B0CB2" w:rsidRDefault="00BC6862" w:rsidP="00BC6862">
      <w:pPr>
        <w:rPr>
          <w:rFonts w:ascii="Arial" w:hAnsi="Arial"/>
        </w:rPr>
      </w:pPr>
      <w:r w:rsidRPr="004B0CB2">
        <w:rPr>
          <w:rFonts w:ascii="Arial" w:hAnsi="Arial"/>
        </w:rPr>
        <w:t xml:space="preserve">Justification must be given for the selection of any non-pharmacopoeial tests, test procedures, requirements and limits. If certain tests are not carried out routinely, adequate justification must be provided. Physical, chemical and microbiological test procedures (whether pharmacopoeial or not) must be self-validating or have been validated in accordance with pharmacopoeial standards or ICH guidelines in the testing laboratory(ies) used by the finished product manufacturer for routine quality control of the bulk active(s). </w:t>
      </w:r>
    </w:p>
    <w:p w:rsidR="00BC6862" w:rsidRPr="000F1FF2" w:rsidRDefault="00BC6862" w:rsidP="00BC6862">
      <w:pPr>
        <w:rPr>
          <w:rStyle w:val="Arial"/>
        </w:rPr>
      </w:pPr>
    </w:p>
    <w:p w:rsidR="00BC6862" w:rsidRPr="000F1FF2" w:rsidRDefault="00BC6862" w:rsidP="00BC6862">
      <w:pPr>
        <w:rPr>
          <w:rStyle w:val="Arial"/>
        </w:rPr>
      </w:pPr>
      <w:r w:rsidRPr="000F1FF2">
        <w:rPr>
          <w:rStyle w:val="Arial"/>
        </w:rPr>
        <w:t xml:space="preserve">All assay and related product/degradation product and residual solvent impurity level tests must have been validated (as appropriate) for specificity/selectivity, limit of detection, limit of quantitation, accuracy, precision, repeatability, linearity, stability of solutions, and robustness/ </w:t>
      </w:r>
    </w:p>
    <w:p w:rsidR="00BC6862" w:rsidRPr="000F1FF2" w:rsidRDefault="00BC6862" w:rsidP="00BC6862">
      <w:pPr>
        <w:rPr>
          <w:rStyle w:val="Arial"/>
        </w:rPr>
      </w:pPr>
      <w:r w:rsidRPr="000F1FF2">
        <w:rPr>
          <w:rStyle w:val="Arial"/>
        </w:rPr>
        <w:t xml:space="preserve">ruggedness. </w:t>
      </w:r>
    </w:p>
    <w:p w:rsidR="00BC6862" w:rsidRPr="000F1FF2" w:rsidRDefault="00BC6862" w:rsidP="00BC6862">
      <w:pPr>
        <w:rPr>
          <w:rStyle w:val="Arial"/>
        </w:rPr>
      </w:pPr>
    </w:p>
    <w:p w:rsidR="00BC6862" w:rsidRPr="000F1FF2" w:rsidRDefault="00BC6862" w:rsidP="00BC6862">
      <w:pPr>
        <w:rPr>
          <w:rStyle w:val="Arial"/>
        </w:rPr>
      </w:pPr>
      <w:r w:rsidRPr="000F1FF2">
        <w:rPr>
          <w:rStyle w:val="Arial"/>
        </w:rPr>
        <w:t xml:space="preserve">Satisfactory representative batch analytical data generated by the finished product manufacturer(s) must have been supplied for </w:t>
      </w:r>
      <w:r>
        <w:rPr>
          <w:rStyle w:val="Arial"/>
        </w:rPr>
        <w:t xml:space="preserve">at least three </w:t>
      </w:r>
      <w:r w:rsidRPr="000F1FF2">
        <w:rPr>
          <w:rStyle w:val="Arial"/>
        </w:rPr>
        <w:t xml:space="preserve">typical batches of bulk active substance from each supplier. </w:t>
      </w:r>
    </w:p>
    <w:p w:rsidR="00BC6862" w:rsidRPr="000F1FF2" w:rsidRDefault="00BC6862" w:rsidP="00BC6862">
      <w:pPr>
        <w:rPr>
          <w:rStyle w:val="Arial"/>
        </w:rPr>
      </w:pPr>
    </w:p>
    <w:p w:rsidR="00BC6862" w:rsidRPr="000F1FF2" w:rsidRDefault="00BC6862" w:rsidP="00BC6862">
      <w:pPr>
        <w:rPr>
          <w:rStyle w:val="Arial"/>
        </w:rPr>
      </w:pPr>
      <w:r w:rsidRPr="000F1FF2">
        <w:rPr>
          <w:rStyle w:val="Arial"/>
        </w:rPr>
        <w:t xml:space="preserve">Any certificates of analysis submitted must have been signed. If a “house” reference standard is used in the assays, characterisation and analytical data </w:t>
      </w:r>
    </w:p>
    <w:p w:rsidR="00BC6862" w:rsidRDefault="00BC6862" w:rsidP="00BC6862">
      <w:pPr>
        <w:rPr>
          <w:rStyle w:val="Arial"/>
        </w:rPr>
      </w:pPr>
      <w:r w:rsidRPr="000F1FF2">
        <w:rPr>
          <w:rStyle w:val="Arial"/>
        </w:rPr>
        <w:t xml:space="preserve">confirming its suitability for use must be provided. </w:t>
      </w:r>
    </w:p>
    <w:p w:rsidR="00BC6862" w:rsidRPr="000F1FF2" w:rsidRDefault="00BC6862" w:rsidP="00BC6862">
      <w:pPr>
        <w:rPr>
          <w:rStyle w:val="Arial"/>
        </w:rPr>
      </w:pPr>
    </w:p>
    <w:p w:rsidR="00BC6862" w:rsidRPr="00DB34DC" w:rsidRDefault="00BC6862" w:rsidP="00CF062F">
      <w:pPr>
        <w:pStyle w:val="ListParagraph"/>
        <w:numPr>
          <w:ilvl w:val="2"/>
          <w:numId w:val="63"/>
        </w:numPr>
        <w:ind w:left="993" w:hanging="993"/>
        <w:rPr>
          <w:rStyle w:val="Arial"/>
          <w:i/>
          <w:iCs/>
        </w:rPr>
      </w:pPr>
      <w:bookmarkStart w:id="106" w:name="_Toc396292839"/>
      <w:bookmarkStart w:id="107" w:name="_Toc396293227"/>
      <w:bookmarkStart w:id="108" w:name="_Toc396293598"/>
      <w:bookmarkStart w:id="109" w:name="_Toc396297591"/>
      <w:bookmarkStart w:id="110" w:name="_Toc396297784"/>
      <w:bookmarkStart w:id="111" w:name="_Toc396297975"/>
      <w:bookmarkStart w:id="112" w:name="_Toc396298170"/>
      <w:bookmarkStart w:id="113" w:name="_Toc396313743"/>
      <w:bookmarkStart w:id="114" w:name="_Toc396721382"/>
      <w:bookmarkStart w:id="115" w:name="_Toc396816586"/>
      <w:bookmarkStart w:id="116" w:name="_Toc396828603"/>
      <w:bookmarkStart w:id="117" w:name="_Toc397694974"/>
      <w:bookmarkStart w:id="118" w:name="_Toc401819108"/>
      <w:bookmarkStart w:id="119" w:name="_Toc401819406"/>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DB34DC">
        <w:rPr>
          <w:rStyle w:val="Arial"/>
          <w:i/>
          <w:iCs/>
        </w:rPr>
        <w:t xml:space="preserve">Quality Control of Excipient(s) </w:t>
      </w:r>
    </w:p>
    <w:p w:rsidR="00BC6862" w:rsidRDefault="00BC6862" w:rsidP="00BC6862">
      <w:pPr>
        <w:rPr>
          <w:rFonts w:ascii="Arial" w:hAnsi="Arial"/>
        </w:rPr>
      </w:pPr>
    </w:p>
    <w:p w:rsidR="00BC6862" w:rsidRPr="004B0CB2" w:rsidRDefault="00BC6862" w:rsidP="00BC6862">
      <w:pPr>
        <w:rPr>
          <w:rFonts w:ascii="Arial" w:hAnsi="Arial"/>
        </w:rPr>
      </w:pPr>
      <w:r w:rsidRPr="004B0CB2">
        <w:rPr>
          <w:rFonts w:ascii="Arial" w:hAnsi="Arial"/>
        </w:rPr>
        <w:t xml:space="preserve">The identity and quality of all excipients (including capsule shells and their constituents) must be controlled by either pharmacopoeial or appropriate in house specifications. </w:t>
      </w:r>
    </w:p>
    <w:p w:rsidR="00BC6862" w:rsidRPr="004B0CB2" w:rsidRDefault="00BC6862" w:rsidP="00BC6862">
      <w:pPr>
        <w:rPr>
          <w:rFonts w:ascii="Arial" w:hAnsi="Arial"/>
        </w:rPr>
      </w:pPr>
    </w:p>
    <w:p w:rsidR="00BC6862" w:rsidRPr="004B0CB2" w:rsidRDefault="00BC6862" w:rsidP="00BC6862">
      <w:pPr>
        <w:rPr>
          <w:rFonts w:ascii="Arial" w:hAnsi="Arial"/>
        </w:rPr>
      </w:pPr>
      <w:r w:rsidRPr="004B0CB2">
        <w:rPr>
          <w:rFonts w:ascii="Arial" w:hAnsi="Arial"/>
        </w:rPr>
        <w:t xml:space="preserve">Any non-pharmacopoeial specifications must be appropriate to control the identity and the physical, chemical and microbiological quality of the material adequately. </w:t>
      </w:r>
    </w:p>
    <w:p w:rsidR="00BC6862" w:rsidRPr="004B0CB2" w:rsidRDefault="00BC6862" w:rsidP="00BC6862">
      <w:pPr>
        <w:rPr>
          <w:rFonts w:ascii="Arial" w:hAnsi="Arial"/>
        </w:rPr>
      </w:pPr>
    </w:p>
    <w:p w:rsidR="00BC6862" w:rsidRPr="004B0CB2" w:rsidRDefault="00BC6862" w:rsidP="00BC6862">
      <w:pPr>
        <w:rPr>
          <w:rFonts w:ascii="Arial" w:hAnsi="Arial"/>
        </w:rPr>
      </w:pPr>
      <w:r w:rsidRPr="004B0CB2">
        <w:rPr>
          <w:rFonts w:ascii="Arial" w:hAnsi="Arial"/>
        </w:rPr>
        <w:t>Adequate measures must be taken to ensure that any ingredients of animal origin (</w:t>
      </w:r>
      <w:r>
        <w:rPr>
          <w:rFonts w:ascii="Arial" w:hAnsi="Arial"/>
        </w:rPr>
        <w:t>eg,</w:t>
      </w:r>
      <w:r w:rsidRPr="004B0CB2">
        <w:rPr>
          <w:rFonts w:ascii="Arial" w:hAnsi="Arial"/>
        </w:rPr>
        <w:t xml:space="preserve"> gelatin, magnesium or calcium stearate, stearic acid) used in the product are free from TSE contamination in accordance with </w:t>
      </w:r>
      <w:r>
        <w:rPr>
          <w:rFonts w:ascii="Arial" w:hAnsi="Arial"/>
        </w:rPr>
        <w:t>European Commission (</w:t>
      </w:r>
      <w:r w:rsidRPr="004B0CB2">
        <w:rPr>
          <w:rFonts w:ascii="Arial" w:hAnsi="Arial"/>
        </w:rPr>
        <w:t>EC</w:t>
      </w:r>
      <w:r>
        <w:rPr>
          <w:rFonts w:ascii="Arial" w:hAnsi="Arial"/>
        </w:rPr>
        <w:t>)</w:t>
      </w:r>
      <w:r w:rsidRPr="004B0CB2">
        <w:rPr>
          <w:rFonts w:ascii="Arial" w:hAnsi="Arial"/>
        </w:rPr>
        <w:t xml:space="preserve"> and US guidelines. </w:t>
      </w:r>
    </w:p>
    <w:p w:rsidR="00BC6862" w:rsidRPr="004B0CB2" w:rsidRDefault="00BC6862" w:rsidP="00BC6862">
      <w:pPr>
        <w:rPr>
          <w:rFonts w:ascii="Arial" w:hAnsi="Arial"/>
        </w:rPr>
      </w:pPr>
    </w:p>
    <w:p w:rsidR="00BC6862" w:rsidRDefault="00BC6862" w:rsidP="00BC6862">
      <w:pPr>
        <w:rPr>
          <w:rFonts w:ascii="Arial" w:hAnsi="Arial"/>
        </w:rPr>
      </w:pPr>
      <w:r w:rsidRPr="004B0CB2">
        <w:rPr>
          <w:rFonts w:ascii="Arial" w:hAnsi="Arial"/>
        </w:rPr>
        <w:t xml:space="preserve">Satisfactory representative batch analytical data must be provided for any excipients controlled by non-pharmacopoeial specifications. Any certificates of analysis submitted must have been signed. </w:t>
      </w:r>
    </w:p>
    <w:p w:rsidR="00BC6862" w:rsidRPr="004B0CB2" w:rsidRDefault="00BC6862" w:rsidP="00BC6862">
      <w:pPr>
        <w:rPr>
          <w:rFonts w:ascii="Arial" w:hAnsi="Arial"/>
        </w:rPr>
      </w:pPr>
    </w:p>
    <w:p w:rsidR="00BC6862" w:rsidRPr="00DB34DC" w:rsidRDefault="00BC6862" w:rsidP="00CF062F">
      <w:pPr>
        <w:pStyle w:val="ListParagraph"/>
        <w:numPr>
          <w:ilvl w:val="2"/>
          <w:numId w:val="63"/>
        </w:numPr>
        <w:ind w:left="993" w:hanging="993"/>
        <w:rPr>
          <w:rStyle w:val="Arial"/>
          <w:i/>
          <w:iCs/>
        </w:rPr>
      </w:pPr>
      <w:r w:rsidRPr="00DB34DC">
        <w:rPr>
          <w:rStyle w:val="Arial"/>
          <w:i/>
          <w:iCs/>
        </w:rPr>
        <w:t xml:space="preserve">Quality Control of the Container (Immediate Packaging) </w:t>
      </w:r>
    </w:p>
    <w:p w:rsidR="00BC6862" w:rsidRDefault="00BC6862" w:rsidP="00BC6862">
      <w:pPr>
        <w:rPr>
          <w:rFonts w:ascii="Arial" w:hAnsi="Arial"/>
        </w:rPr>
      </w:pPr>
    </w:p>
    <w:p w:rsidR="00BC6862" w:rsidRDefault="00BC6862" w:rsidP="00BC6862">
      <w:pPr>
        <w:rPr>
          <w:rFonts w:ascii="Arial" w:hAnsi="Arial"/>
        </w:rPr>
      </w:pPr>
      <w:r>
        <w:rPr>
          <w:rFonts w:ascii="Arial" w:hAnsi="Arial"/>
        </w:rPr>
        <w:t xml:space="preserve">The </w:t>
      </w:r>
      <w:r w:rsidR="00CC1EA5">
        <w:rPr>
          <w:rFonts w:ascii="Arial" w:hAnsi="Arial"/>
        </w:rPr>
        <w:t>Psychoacti</w:t>
      </w:r>
      <w:r w:rsidR="00F82B29">
        <w:rPr>
          <w:rFonts w:ascii="Arial" w:hAnsi="Arial"/>
        </w:rPr>
        <w:t>ve Substances R</w:t>
      </w:r>
      <w:r>
        <w:rPr>
          <w:rFonts w:ascii="Arial" w:hAnsi="Arial"/>
        </w:rPr>
        <w:t>egulations</w:t>
      </w:r>
      <w:r w:rsidR="00F82B29">
        <w:rPr>
          <w:rFonts w:ascii="Arial" w:hAnsi="Arial"/>
        </w:rPr>
        <w:t xml:space="preserve"> 2014</w:t>
      </w:r>
      <w:r>
        <w:rPr>
          <w:rFonts w:ascii="Arial" w:hAnsi="Arial"/>
        </w:rPr>
        <w:t xml:space="preserve"> define the container as any bottle, jar, box, packet, or other receptacle that contains or is to contain the approved product (see regulation 3). This does not include a capsule or cachet as these form part of the product itself</w:t>
      </w:r>
      <w:r w:rsidR="003E03D9">
        <w:rPr>
          <w:rFonts w:ascii="Arial" w:hAnsi="Arial"/>
        </w:rPr>
        <w:t xml:space="preserve"> or another</w:t>
      </w:r>
      <w:r>
        <w:rPr>
          <w:rFonts w:ascii="Arial" w:hAnsi="Arial"/>
        </w:rPr>
        <w:t xml:space="preserve"> receptacle in which the container is to be contained (such as the carton in which blisters are packaged) </w:t>
      </w:r>
    </w:p>
    <w:p w:rsidR="00BC6862" w:rsidRPr="004B0CB2" w:rsidRDefault="00BC6862" w:rsidP="00BC6862">
      <w:pPr>
        <w:rPr>
          <w:rFonts w:ascii="Arial" w:hAnsi="Arial"/>
        </w:rPr>
      </w:pPr>
      <w:r w:rsidRPr="004B0CB2">
        <w:rPr>
          <w:rFonts w:ascii="Arial" w:hAnsi="Arial"/>
        </w:rPr>
        <w:t xml:space="preserve">The </w:t>
      </w:r>
      <w:r>
        <w:rPr>
          <w:rFonts w:ascii="Arial" w:hAnsi="Arial"/>
        </w:rPr>
        <w:t>container</w:t>
      </w:r>
      <w:r w:rsidRPr="004B0CB2">
        <w:rPr>
          <w:rFonts w:ascii="Arial" w:hAnsi="Arial"/>
        </w:rPr>
        <w:t xml:space="preserve"> materials used (polymers, types of glass, </w:t>
      </w:r>
      <w:r w:rsidRPr="00633E55">
        <w:rPr>
          <w:rFonts w:ascii="Arial" w:hAnsi="Arial"/>
        </w:rPr>
        <w:t>etc</w:t>
      </w:r>
      <w:r w:rsidRPr="004B0CB2">
        <w:rPr>
          <w:rFonts w:ascii="Arial" w:hAnsi="Arial"/>
        </w:rPr>
        <w:t xml:space="preserve">), seals, closures and any delivery device(s) supplied with the product must be clearly defined, suitable for pharmaceutical use, and adequately controlled for identity, dimensions, physical and chemical properties, manufacturing defects, as applicable. </w:t>
      </w:r>
    </w:p>
    <w:p w:rsidR="00BC6862" w:rsidRPr="004B0CB2" w:rsidRDefault="00BC6862" w:rsidP="00BC6862">
      <w:pPr>
        <w:rPr>
          <w:rFonts w:ascii="Arial" w:hAnsi="Arial"/>
        </w:rPr>
      </w:pPr>
    </w:p>
    <w:p w:rsidR="00BC6862" w:rsidRPr="004B0CB2" w:rsidRDefault="00BC6862" w:rsidP="00BC6862">
      <w:pPr>
        <w:rPr>
          <w:rFonts w:ascii="Arial" w:hAnsi="Arial"/>
        </w:rPr>
      </w:pPr>
      <w:r w:rsidRPr="004B0CB2">
        <w:rPr>
          <w:rFonts w:ascii="Arial" w:hAnsi="Arial"/>
        </w:rPr>
        <w:t xml:space="preserve">Any plastic or rubber packaging/closure materials in contact with the product must be free from any leachable toxic impurities and must comply with </w:t>
      </w:r>
      <w:r>
        <w:rPr>
          <w:rFonts w:ascii="Arial" w:hAnsi="Arial"/>
        </w:rPr>
        <w:t xml:space="preserve">Ph. Eur. </w:t>
      </w:r>
      <w:r w:rsidRPr="004B0CB2">
        <w:rPr>
          <w:rFonts w:ascii="Arial" w:hAnsi="Arial"/>
        </w:rPr>
        <w:t xml:space="preserve">and USP requirements for polymeric materials used in packaging of medicines. </w:t>
      </w:r>
    </w:p>
    <w:p w:rsidR="00BC6862" w:rsidRPr="004B0CB2" w:rsidRDefault="00BC6862" w:rsidP="00BC6862">
      <w:pPr>
        <w:rPr>
          <w:rFonts w:ascii="Arial" w:hAnsi="Arial"/>
        </w:rPr>
      </w:pPr>
    </w:p>
    <w:p w:rsidR="00BC6862" w:rsidRDefault="00BC6862" w:rsidP="00BC6862">
      <w:pPr>
        <w:rPr>
          <w:rFonts w:ascii="Arial" w:hAnsi="Arial"/>
        </w:rPr>
      </w:pPr>
      <w:r w:rsidRPr="004B0CB2">
        <w:rPr>
          <w:rFonts w:ascii="Arial" w:hAnsi="Arial"/>
        </w:rPr>
        <w:t>Satisfactory representative batch analytical data must be provided for any primary packaging materials, containers and closures</w:t>
      </w:r>
      <w:r>
        <w:rPr>
          <w:rFonts w:ascii="Arial" w:hAnsi="Arial"/>
        </w:rPr>
        <w:t xml:space="preserve"> that come</w:t>
      </w:r>
      <w:r w:rsidRPr="004B0CB2">
        <w:rPr>
          <w:rFonts w:ascii="Arial" w:hAnsi="Arial"/>
        </w:rPr>
        <w:t xml:space="preserve"> in</w:t>
      </w:r>
      <w:r>
        <w:rPr>
          <w:rFonts w:ascii="Arial" w:hAnsi="Arial"/>
        </w:rPr>
        <w:t>to</w:t>
      </w:r>
      <w:r w:rsidRPr="004B0CB2">
        <w:rPr>
          <w:rFonts w:ascii="Arial" w:hAnsi="Arial"/>
        </w:rPr>
        <w:t xml:space="preserve"> contact with the product. Any certificates of analysis submitted must have been signed. </w:t>
      </w:r>
    </w:p>
    <w:p w:rsidR="00BC6862" w:rsidRPr="004B0CB2" w:rsidRDefault="00BC6862" w:rsidP="00BC6862">
      <w:pPr>
        <w:rPr>
          <w:rFonts w:ascii="Arial" w:hAnsi="Arial"/>
        </w:rPr>
      </w:pPr>
    </w:p>
    <w:p w:rsidR="00BC6862" w:rsidRPr="00DB34DC" w:rsidRDefault="00BC6862" w:rsidP="00CF062F">
      <w:pPr>
        <w:pStyle w:val="ListParagraph"/>
        <w:numPr>
          <w:ilvl w:val="2"/>
          <w:numId w:val="63"/>
        </w:numPr>
        <w:ind w:left="993" w:hanging="993"/>
        <w:rPr>
          <w:rStyle w:val="Arial"/>
          <w:i/>
          <w:iCs/>
        </w:rPr>
      </w:pPr>
      <w:r w:rsidRPr="00DB34DC">
        <w:rPr>
          <w:rStyle w:val="Arial"/>
          <w:i/>
          <w:iCs/>
        </w:rPr>
        <w:t xml:space="preserve">Quality Control of Delivery Device(s) </w:t>
      </w:r>
    </w:p>
    <w:p w:rsidR="00BC6862" w:rsidRPr="00A46454" w:rsidRDefault="00BC6862" w:rsidP="00BC6862">
      <w:pPr>
        <w:rPr>
          <w:rStyle w:val="Arial"/>
          <w:i/>
          <w:iCs/>
        </w:rPr>
      </w:pPr>
    </w:p>
    <w:p w:rsidR="003E03D9" w:rsidRDefault="00BC6862" w:rsidP="00BC6862">
      <w:pPr>
        <w:rPr>
          <w:rFonts w:ascii="Arial" w:hAnsi="Arial"/>
        </w:rPr>
      </w:pPr>
      <w:r w:rsidRPr="004B0CB2">
        <w:rPr>
          <w:rFonts w:ascii="Arial" w:hAnsi="Arial"/>
        </w:rPr>
        <w:t xml:space="preserve">Any delivery device(s) supplied with the product must be clearly defined, suitable for pharmaceutical use and adequately controlled for identity, dimensions, physical and chemical properties, manufacturing defects, and dose delivery, as applicable. </w:t>
      </w:r>
    </w:p>
    <w:p w:rsidR="003E03D9" w:rsidRDefault="003E03D9" w:rsidP="00BC6862">
      <w:pPr>
        <w:rPr>
          <w:rFonts w:ascii="Arial" w:hAnsi="Arial"/>
        </w:rPr>
      </w:pPr>
    </w:p>
    <w:p w:rsidR="00BC6862" w:rsidRDefault="00BC6862" w:rsidP="00BC6862">
      <w:pPr>
        <w:rPr>
          <w:rFonts w:ascii="Arial" w:hAnsi="Arial"/>
        </w:rPr>
      </w:pPr>
      <w:r w:rsidRPr="004B0CB2">
        <w:rPr>
          <w:rFonts w:ascii="Arial" w:hAnsi="Arial"/>
        </w:rPr>
        <w:t xml:space="preserve">Where a novel delivery device is </w:t>
      </w:r>
      <w:r>
        <w:rPr>
          <w:rFonts w:ascii="Arial" w:hAnsi="Arial"/>
        </w:rPr>
        <w:t>proposed, e</w:t>
      </w:r>
      <w:r w:rsidRPr="004B0CB2">
        <w:rPr>
          <w:rFonts w:ascii="Arial" w:hAnsi="Arial"/>
        </w:rPr>
        <w:t>g</w:t>
      </w:r>
      <w:r>
        <w:rPr>
          <w:rFonts w:ascii="Arial" w:hAnsi="Arial"/>
        </w:rPr>
        <w:t>,</w:t>
      </w:r>
      <w:r w:rsidRPr="004B0CB2">
        <w:rPr>
          <w:rFonts w:ascii="Arial" w:hAnsi="Arial"/>
        </w:rPr>
        <w:t xml:space="preserve"> an electronic vaporiser, the application must contain information supporting the use of the device including information validating the testing system used to demonstrate the effectiveness and safety of the delivery device.</w:t>
      </w:r>
    </w:p>
    <w:p w:rsidR="00BC6862" w:rsidRPr="004B0CB2" w:rsidRDefault="00BC6862" w:rsidP="00BC6862">
      <w:pPr>
        <w:rPr>
          <w:rFonts w:ascii="Arial" w:hAnsi="Arial"/>
        </w:rPr>
      </w:pPr>
    </w:p>
    <w:p w:rsidR="00BC6862" w:rsidRPr="00DB34DC" w:rsidRDefault="00BC6862" w:rsidP="00CF062F">
      <w:pPr>
        <w:pStyle w:val="ListParagraph"/>
        <w:numPr>
          <w:ilvl w:val="2"/>
          <w:numId w:val="63"/>
        </w:numPr>
        <w:ind w:left="993" w:hanging="993"/>
        <w:rPr>
          <w:rStyle w:val="Arial"/>
          <w:i/>
          <w:iCs/>
        </w:rPr>
      </w:pPr>
      <w:r w:rsidRPr="00DB34DC">
        <w:rPr>
          <w:rStyle w:val="Arial"/>
          <w:i/>
          <w:iCs/>
        </w:rPr>
        <w:t xml:space="preserve">Quality Control of Intermediate Products </w:t>
      </w:r>
    </w:p>
    <w:p w:rsidR="00BC6862" w:rsidRDefault="00BC6862" w:rsidP="00BC6862">
      <w:pPr>
        <w:rPr>
          <w:rFonts w:ascii="Arial" w:hAnsi="Arial"/>
        </w:rPr>
      </w:pPr>
    </w:p>
    <w:p w:rsidR="00BC6862" w:rsidRDefault="00BC6862" w:rsidP="00BC6862">
      <w:pPr>
        <w:rPr>
          <w:rFonts w:ascii="Arial" w:hAnsi="Arial"/>
        </w:rPr>
      </w:pPr>
      <w:r>
        <w:rPr>
          <w:rFonts w:ascii="Arial" w:hAnsi="Arial"/>
        </w:rPr>
        <w:t>An intermediate product is any isolatable partly processed material that is formed during the manufacturing process, but which must undergo further manufacturing steps before it becomes a finished product. For example, during the manufacturing process, ingredients A, B and C are mixed together and form the stable compound D which can be stored for further processing at a later date, or directly converted to the final product, compound E. In this instance, compound D is considered to be an intermediate product. The definition of an intermediate product includes bulk product.</w:t>
      </w:r>
    </w:p>
    <w:p w:rsidR="00BC6862" w:rsidRDefault="00BC6862" w:rsidP="00BC6862">
      <w:pPr>
        <w:rPr>
          <w:rFonts w:ascii="Arial" w:hAnsi="Arial"/>
        </w:rPr>
      </w:pPr>
    </w:p>
    <w:p w:rsidR="00BC6862" w:rsidRPr="004B0CB2" w:rsidRDefault="00BC6862" w:rsidP="00BC6862">
      <w:pPr>
        <w:rPr>
          <w:rFonts w:ascii="Arial" w:hAnsi="Arial"/>
        </w:rPr>
      </w:pPr>
      <w:r w:rsidRPr="004B0CB2">
        <w:rPr>
          <w:rFonts w:ascii="Arial" w:hAnsi="Arial"/>
        </w:rPr>
        <w:t xml:space="preserve">If there is an intermediate product, it must controlled by separate, appropriate specifications that adequately control all relevant parameters. Satisfactory representative batch analytical data must be provided. </w:t>
      </w:r>
    </w:p>
    <w:p w:rsidR="00BC6862" w:rsidRPr="004B0CB2" w:rsidRDefault="00BC6862" w:rsidP="00BC6862">
      <w:pPr>
        <w:rPr>
          <w:rFonts w:ascii="Arial" w:hAnsi="Arial"/>
        </w:rPr>
      </w:pPr>
    </w:p>
    <w:p w:rsidR="00BC6862" w:rsidRDefault="00BC6862" w:rsidP="00BC6862">
      <w:pPr>
        <w:rPr>
          <w:rFonts w:ascii="Arial" w:hAnsi="Arial"/>
        </w:rPr>
      </w:pPr>
      <w:r w:rsidRPr="004B0CB2">
        <w:rPr>
          <w:rFonts w:ascii="Arial" w:hAnsi="Arial"/>
        </w:rPr>
        <w:t xml:space="preserve">Any certificates of analysis submitted must have been signed. </w:t>
      </w:r>
    </w:p>
    <w:p w:rsidR="00BC6862" w:rsidRPr="004B0CB2" w:rsidRDefault="00BC6862" w:rsidP="00BC6862">
      <w:pPr>
        <w:rPr>
          <w:rFonts w:ascii="Arial" w:hAnsi="Arial"/>
        </w:rPr>
      </w:pPr>
    </w:p>
    <w:p w:rsidR="00BC6862" w:rsidRPr="00DB34DC" w:rsidRDefault="00BC6862" w:rsidP="00CF062F">
      <w:pPr>
        <w:pStyle w:val="ListParagraph"/>
        <w:numPr>
          <w:ilvl w:val="2"/>
          <w:numId w:val="63"/>
        </w:numPr>
        <w:ind w:left="993" w:hanging="993"/>
        <w:rPr>
          <w:rStyle w:val="Arial"/>
          <w:i/>
          <w:iCs/>
        </w:rPr>
      </w:pPr>
      <w:bookmarkStart w:id="120" w:name="_Toc396297599"/>
      <w:bookmarkStart w:id="121" w:name="_Toc396297792"/>
      <w:bookmarkStart w:id="122" w:name="_Toc396297983"/>
      <w:bookmarkStart w:id="123" w:name="_Toc396298178"/>
      <w:bookmarkStart w:id="124" w:name="_Toc396313751"/>
      <w:bookmarkStart w:id="125" w:name="_Toc396721390"/>
      <w:bookmarkStart w:id="126" w:name="_Toc396816594"/>
      <w:bookmarkStart w:id="127" w:name="_Toc396828611"/>
      <w:bookmarkStart w:id="128" w:name="_Toc397694982"/>
      <w:bookmarkEnd w:id="120"/>
      <w:bookmarkEnd w:id="121"/>
      <w:bookmarkEnd w:id="122"/>
      <w:bookmarkEnd w:id="123"/>
      <w:bookmarkEnd w:id="124"/>
      <w:bookmarkEnd w:id="125"/>
      <w:bookmarkEnd w:id="126"/>
      <w:bookmarkEnd w:id="127"/>
      <w:bookmarkEnd w:id="128"/>
      <w:r w:rsidRPr="00DB34DC">
        <w:rPr>
          <w:rStyle w:val="Arial"/>
          <w:i/>
          <w:iCs/>
        </w:rPr>
        <w:t xml:space="preserve">Quality Control of the Finished Product </w:t>
      </w:r>
    </w:p>
    <w:p w:rsidR="00BC6862" w:rsidRPr="00A46454" w:rsidRDefault="00BC6862" w:rsidP="00BC6862">
      <w:pPr>
        <w:rPr>
          <w:rStyle w:val="Arial"/>
          <w:i/>
          <w:iCs/>
        </w:rPr>
      </w:pPr>
    </w:p>
    <w:p w:rsidR="00BC6862" w:rsidRPr="004B0CB2" w:rsidRDefault="00BC6862" w:rsidP="00BC6862">
      <w:pPr>
        <w:rPr>
          <w:rFonts w:ascii="Arial" w:hAnsi="Arial"/>
        </w:rPr>
      </w:pPr>
      <w:r w:rsidRPr="004B0CB2">
        <w:rPr>
          <w:rFonts w:ascii="Arial" w:hAnsi="Arial"/>
        </w:rPr>
        <w:t xml:space="preserve">The complete identity and quality of the finished product must be adequately </w:t>
      </w:r>
    </w:p>
    <w:p w:rsidR="00BC6862" w:rsidRPr="004B0CB2" w:rsidRDefault="00BC6862" w:rsidP="00BC6862">
      <w:pPr>
        <w:rPr>
          <w:rFonts w:ascii="Arial" w:hAnsi="Arial"/>
        </w:rPr>
      </w:pPr>
      <w:r w:rsidRPr="004B0CB2">
        <w:rPr>
          <w:rFonts w:ascii="Arial" w:hAnsi="Arial"/>
        </w:rPr>
        <w:t xml:space="preserve">controlled at release and throughout its shelf-life by appropriate pharmacopoeial or in house specifications that cover all of the necessary organoleptic, physical, dissolution, chemical, microbiological and dose delivery parameters relevant to the dose form. </w:t>
      </w:r>
    </w:p>
    <w:p w:rsidR="00BC6862" w:rsidRPr="004B0CB2" w:rsidRDefault="00BC6862" w:rsidP="00BC6862">
      <w:pPr>
        <w:rPr>
          <w:rFonts w:ascii="Arial" w:hAnsi="Arial"/>
        </w:rPr>
      </w:pPr>
    </w:p>
    <w:p w:rsidR="00BC6862" w:rsidRPr="004B0CB2" w:rsidRDefault="00BC6862" w:rsidP="00BC6862">
      <w:pPr>
        <w:rPr>
          <w:rFonts w:ascii="Arial" w:hAnsi="Arial"/>
        </w:rPr>
      </w:pPr>
      <w:r w:rsidRPr="004B0CB2">
        <w:rPr>
          <w:rFonts w:ascii="Arial" w:hAnsi="Arial"/>
        </w:rPr>
        <w:t xml:space="preserve">It must be clear which requirements apply at release and which apply throughout the shelf-life. If applicable, any non-pharmacopoeial test procedures used as replacements for, or in addition to, the procedures in a pharmacopoeial monograph must be appropriate and have been justified. </w:t>
      </w:r>
    </w:p>
    <w:p w:rsidR="00BC6862" w:rsidRPr="004B0CB2" w:rsidRDefault="00BC6862" w:rsidP="00BC6862">
      <w:pPr>
        <w:rPr>
          <w:rFonts w:ascii="Arial" w:hAnsi="Arial"/>
        </w:rPr>
      </w:pPr>
    </w:p>
    <w:p w:rsidR="00BC6862" w:rsidRPr="004B0CB2" w:rsidRDefault="00BC6862" w:rsidP="00BC6862">
      <w:pPr>
        <w:rPr>
          <w:rFonts w:ascii="Arial" w:hAnsi="Arial"/>
        </w:rPr>
      </w:pPr>
      <w:r w:rsidRPr="004B0CB2">
        <w:rPr>
          <w:rFonts w:ascii="Arial" w:hAnsi="Arial"/>
        </w:rPr>
        <w:t xml:space="preserve">If all specified tests are not carried out routinely, justification must be provided. The test procedures used must be self-validating or have been adequately validated in accordance with pharmacopoeial requirements or ICH guidelines at </w:t>
      </w:r>
      <w:r w:rsidRPr="00EE1F26">
        <w:rPr>
          <w:rStyle w:val="Arial"/>
          <w:u w:val="single"/>
        </w:rPr>
        <w:t>each</w:t>
      </w:r>
      <w:r w:rsidRPr="004B0CB2">
        <w:rPr>
          <w:rFonts w:ascii="Arial" w:hAnsi="Arial"/>
        </w:rPr>
        <w:t xml:space="preserve"> of the testing sites intended for routine quality control of the product. </w:t>
      </w:r>
    </w:p>
    <w:p w:rsidR="00BC6862" w:rsidRPr="004B0CB2" w:rsidRDefault="00BC6862" w:rsidP="00BC6862">
      <w:pPr>
        <w:rPr>
          <w:rFonts w:ascii="Arial" w:hAnsi="Arial"/>
        </w:rPr>
      </w:pPr>
    </w:p>
    <w:p w:rsidR="00BC6862" w:rsidRPr="004B0CB2" w:rsidRDefault="00BC6862" w:rsidP="00BC6862">
      <w:pPr>
        <w:rPr>
          <w:rFonts w:ascii="Arial" w:hAnsi="Arial"/>
        </w:rPr>
      </w:pPr>
      <w:r w:rsidRPr="004B0CB2">
        <w:rPr>
          <w:rFonts w:ascii="Arial" w:hAnsi="Arial"/>
        </w:rPr>
        <w:t xml:space="preserve">All assay and related product/degradation product and residual solvent impurity level tests must have been validated (as appropriate) at each testing </w:t>
      </w:r>
    </w:p>
    <w:p w:rsidR="00BC6862" w:rsidRPr="004B0CB2" w:rsidRDefault="00BC6862" w:rsidP="003E03D9">
      <w:pPr>
        <w:rPr>
          <w:rFonts w:ascii="Arial" w:hAnsi="Arial"/>
        </w:rPr>
      </w:pPr>
      <w:r w:rsidRPr="004B0CB2">
        <w:rPr>
          <w:rFonts w:ascii="Arial" w:hAnsi="Arial"/>
        </w:rPr>
        <w:t xml:space="preserve">laboratory involved in the quality control of the product for specificity/selectivity, limit of detection, limit of quantitation, accuracy, precision, linearity, repeatability, stability of solutions, and robustness/ ruggedness. </w:t>
      </w:r>
    </w:p>
    <w:p w:rsidR="00BC6862" w:rsidRPr="004B0CB2" w:rsidRDefault="00BC6862" w:rsidP="00BC6862">
      <w:pPr>
        <w:rPr>
          <w:rFonts w:ascii="Arial" w:hAnsi="Arial"/>
        </w:rPr>
      </w:pPr>
    </w:p>
    <w:p w:rsidR="00BC6862" w:rsidRPr="004B0CB2" w:rsidRDefault="00BC6862" w:rsidP="00BC6862">
      <w:pPr>
        <w:rPr>
          <w:rFonts w:ascii="Arial" w:hAnsi="Arial"/>
        </w:rPr>
      </w:pPr>
      <w:r w:rsidRPr="004B0CB2">
        <w:rPr>
          <w:rFonts w:ascii="Arial" w:hAnsi="Arial"/>
        </w:rPr>
        <w:t>Satisfactory recent</w:t>
      </w:r>
      <w:r>
        <w:rPr>
          <w:rFonts w:ascii="Arial" w:hAnsi="Arial"/>
        </w:rPr>
        <w:t xml:space="preserve"> (preferably </w:t>
      </w:r>
      <w:r w:rsidRPr="008C3B61">
        <w:rPr>
          <w:rFonts w:ascii="Arial" w:hAnsi="Arial"/>
        </w:rPr>
        <w:t>generated within the last three years</w:t>
      </w:r>
      <w:r>
        <w:rPr>
          <w:rFonts w:ascii="Arial" w:hAnsi="Arial"/>
        </w:rPr>
        <w:t>)</w:t>
      </w:r>
      <w:r w:rsidRPr="004B0CB2">
        <w:rPr>
          <w:rFonts w:ascii="Arial" w:hAnsi="Arial"/>
        </w:rPr>
        <w:t xml:space="preserve"> analytical reports must be provided for </w:t>
      </w:r>
      <w:r>
        <w:rPr>
          <w:rFonts w:ascii="Arial" w:hAnsi="Arial"/>
        </w:rPr>
        <w:t xml:space="preserve">at least three batches of </w:t>
      </w:r>
      <w:r w:rsidRPr="004B0CB2">
        <w:rPr>
          <w:rFonts w:ascii="Arial" w:hAnsi="Arial"/>
        </w:rPr>
        <w:t>the final market formulation(s) of the product manufactured at least at pilot scale at each of the proposed manufacturing sites</w:t>
      </w:r>
      <w:r w:rsidRPr="008C3B61">
        <w:rPr>
          <w:rFonts w:ascii="Arial" w:hAnsi="Arial"/>
        </w:rPr>
        <w:t>. The manufacturing sites must have held GMP or AMP at the time the batches were manufactured.</w:t>
      </w:r>
      <w:r w:rsidRPr="004B0CB2">
        <w:rPr>
          <w:rFonts w:ascii="Arial" w:hAnsi="Arial"/>
        </w:rPr>
        <w:t xml:space="preserve"> Results must be included for </w:t>
      </w:r>
      <w:r w:rsidRPr="00EE1F26">
        <w:rPr>
          <w:rStyle w:val="Arial"/>
          <w:u w:val="single"/>
        </w:rPr>
        <w:t>each specified test</w:t>
      </w:r>
      <w:r w:rsidRPr="004B0CB2">
        <w:rPr>
          <w:rFonts w:ascii="Arial" w:hAnsi="Arial"/>
        </w:rPr>
        <w:t xml:space="preserve"> and all of the reported test results must comply with the specifications. If not, an adequate explanation or justification must be provided. </w:t>
      </w:r>
    </w:p>
    <w:p w:rsidR="00BC6862" w:rsidRPr="004B0CB2" w:rsidRDefault="00BC6862" w:rsidP="00BC6862">
      <w:pPr>
        <w:rPr>
          <w:rFonts w:ascii="Arial" w:hAnsi="Arial"/>
        </w:rPr>
      </w:pPr>
    </w:p>
    <w:p w:rsidR="00BC6862" w:rsidRDefault="00BC6862" w:rsidP="00BC6862">
      <w:pPr>
        <w:rPr>
          <w:rFonts w:ascii="Arial" w:hAnsi="Arial"/>
        </w:rPr>
      </w:pPr>
      <w:r w:rsidRPr="0094469A">
        <w:rPr>
          <w:rFonts w:ascii="Arial" w:hAnsi="Arial"/>
        </w:rPr>
        <w:t xml:space="preserve">Any certificates of analysis submitted must be signed and evidence that the facility is accredited </w:t>
      </w:r>
      <w:r w:rsidRPr="0094469A">
        <w:rPr>
          <w:rFonts w:ascii="Arial" w:hAnsi="Arial" w:cs="Arial"/>
          <w:lang w:val="en-NZ"/>
        </w:rPr>
        <w:t xml:space="preserve">by an </w:t>
      </w:r>
      <w:r>
        <w:rPr>
          <w:rFonts w:ascii="Arial" w:hAnsi="Arial" w:cs="Arial"/>
          <w:lang w:val="en-NZ"/>
        </w:rPr>
        <w:t>OPSRA</w:t>
      </w:r>
      <w:r w:rsidRPr="0094469A">
        <w:rPr>
          <w:rFonts w:ascii="Arial" w:hAnsi="Arial" w:cs="Arial"/>
          <w:lang w:val="en-NZ"/>
        </w:rPr>
        <w:t xml:space="preserve"> recognised </w:t>
      </w:r>
      <w:r w:rsidRPr="008C3B61">
        <w:rPr>
          <w:rFonts w:ascii="Arial" w:hAnsi="Arial" w:cs="Arial"/>
          <w:lang w:val="en-NZ"/>
        </w:rPr>
        <w:t xml:space="preserve">agency </w:t>
      </w:r>
      <w:r>
        <w:rPr>
          <w:rFonts w:ascii="Arial" w:hAnsi="Arial" w:cs="Arial"/>
          <w:lang w:val="en-NZ"/>
        </w:rPr>
        <w:t>(ie</w:t>
      </w:r>
      <w:r w:rsidRPr="008C3B61">
        <w:rPr>
          <w:rFonts w:ascii="Arial" w:hAnsi="Arial" w:cs="Arial"/>
          <w:lang w:val="en-NZ"/>
        </w:rPr>
        <w:t>, ILAC or APLAC)</w:t>
      </w:r>
      <w:r>
        <w:rPr>
          <w:rFonts w:ascii="Arial" w:hAnsi="Arial" w:cs="Arial"/>
          <w:lang w:val="en-NZ"/>
        </w:rPr>
        <w:t xml:space="preserve"> </w:t>
      </w:r>
      <w:r w:rsidRPr="0094469A">
        <w:rPr>
          <w:rFonts w:ascii="Arial" w:hAnsi="Arial" w:cs="Arial"/>
          <w:lang w:val="en-NZ"/>
        </w:rPr>
        <w:t xml:space="preserve">as meeting </w:t>
      </w:r>
      <w:r w:rsidRPr="0094469A">
        <w:rPr>
          <w:rFonts w:ascii="Arial" w:hAnsi="Arial"/>
        </w:rPr>
        <w:t>International Accreditation New Zealand</w:t>
      </w:r>
      <w:r w:rsidRPr="0094469A">
        <w:rPr>
          <w:rFonts w:ascii="Arial" w:hAnsi="Arial" w:cs="Arial"/>
          <w:lang w:val="en-NZ"/>
        </w:rPr>
        <w:t xml:space="preserve"> (IANZ) or </w:t>
      </w:r>
      <w:r w:rsidRPr="0094469A">
        <w:rPr>
          <w:rFonts w:ascii="Arial" w:hAnsi="Arial"/>
        </w:rPr>
        <w:t>Joint Accreditation System of Australia and New Zealand</w:t>
      </w:r>
      <w:r w:rsidRPr="0094469A">
        <w:rPr>
          <w:rFonts w:ascii="Arial" w:hAnsi="Arial" w:cs="Arial"/>
          <w:lang w:val="en-NZ"/>
        </w:rPr>
        <w:t xml:space="preserve"> (JAS-ANZ) standards</w:t>
      </w:r>
      <w:r>
        <w:rPr>
          <w:rFonts w:ascii="Arial" w:hAnsi="Arial" w:cs="Arial"/>
          <w:lang w:val="en-NZ"/>
        </w:rPr>
        <w:t xml:space="preserve"> </w:t>
      </w:r>
      <w:r w:rsidRPr="0094469A">
        <w:rPr>
          <w:rFonts w:ascii="Arial" w:hAnsi="Arial" w:cs="Arial"/>
          <w:lang w:val="en-NZ"/>
        </w:rPr>
        <w:t xml:space="preserve">must be provided. </w:t>
      </w:r>
    </w:p>
    <w:p w:rsidR="00BC6862" w:rsidRPr="004B0CB2" w:rsidRDefault="00BC6862" w:rsidP="00BC6862">
      <w:pPr>
        <w:rPr>
          <w:rFonts w:ascii="Arial" w:hAnsi="Arial"/>
        </w:rPr>
      </w:pPr>
    </w:p>
    <w:p w:rsidR="00BC6862" w:rsidRPr="00DB34DC" w:rsidRDefault="00BC6862" w:rsidP="00CF062F">
      <w:pPr>
        <w:pStyle w:val="ListParagraph"/>
        <w:numPr>
          <w:ilvl w:val="2"/>
          <w:numId w:val="63"/>
        </w:numPr>
        <w:ind w:left="993" w:hanging="993"/>
        <w:rPr>
          <w:rStyle w:val="Arial"/>
          <w:i/>
          <w:iCs/>
        </w:rPr>
      </w:pPr>
      <w:r w:rsidRPr="00DB34DC">
        <w:rPr>
          <w:rStyle w:val="Arial"/>
          <w:i/>
          <w:iCs/>
        </w:rPr>
        <w:t xml:space="preserve">Stability of the Active Ingredient(s) </w:t>
      </w:r>
    </w:p>
    <w:p w:rsidR="00BC6862" w:rsidRPr="00EE1F26" w:rsidRDefault="00BC6862" w:rsidP="00BC6862">
      <w:pPr>
        <w:rPr>
          <w:rStyle w:val="Arial12ptBold"/>
        </w:rPr>
      </w:pPr>
    </w:p>
    <w:p w:rsidR="00BC6862" w:rsidRDefault="00BC6862" w:rsidP="00BC6862">
      <w:pPr>
        <w:rPr>
          <w:rFonts w:ascii="Arial" w:hAnsi="Arial"/>
        </w:rPr>
      </w:pPr>
      <w:r w:rsidRPr="004B0CB2">
        <w:rPr>
          <w:rFonts w:ascii="Arial" w:hAnsi="Arial"/>
        </w:rPr>
        <w:t xml:space="preserve">The stability data submitted must have been produced in accordance with ICH guidelines and adequately establish that the bulk active substance packaged in the intended storage container and stored under the prescribed storage conditions will remain within specifications for the whole of the claimed shelf-life or retest period. </w:t>
      </w:r>
    </w:p>
    <w:p w:rsidR="00BC6862" w:rsidRPr="004B0CB2" w:rsidRDefault="00BC6862" w:rsidP="00BC6862">
      <w:pPr>
        <w:rPr>
          <w:rFonts w:ascii="Arial" w:hAnsi="Arial"/>
        </w:rPr>
      </w:pPr>
    </w:p>
    <w:p w:rsidR="00BC6862" w:rsidRPr="00DB34DC" w:rsidRDefault="00BC6862" w:rsidP="00CF062F">
      <w:pPr>
        <w:pStyle w:val="ListParagraph"/>
        <w:numPr>
          <w:ilvl w:val="2"/>
          <w:numId w:val="63"/>
        </w:numPr>
        <w:ind w:left="993" w:hanging="993"/>
        <w:rPr>
          <w:rStyle w:val="Arial"/>
          <w:i/>
          <w:iCs/>
        </w:rPr>
      </w:pPr>
      <w:r w:rsidRPr="00DB34DC">
        <w:rPr>
          <w:rStyle w:val="Arial"/>
          <w:i/>
          <w:iCs/>
        </w:rPr>
        <w:t xml:space="preserve">Stability of the finished product </w:t>
      </w:r>
    </w:p>
    <w:p w:rsidR="00BC6862" w:rsidRPr="00A46454" w:rsidRDefault="00BC6862" w:rsidP="00BC6862">
      <w:pPr>
        <w:rPr>
          <w:rStyle w:val="Arial"/>
          <w:i/>
          <w:iCs/>
        </w:rPr>
      </w:pPr>
    </w:p>
    <w:p w:rsidR="00BC6862" w:rsidRPr="004B0CB2" w:rsidRDefault="00BC6862" w:rsidP="00BC6862">
      <w:pPr>
        <w:rPr>
          <w:rFonts w:ascii="Arial" w:hAnsi="Arial"/>
        </w:rPr>
      </w:pPr>
      <w:r w:rsidRPr="004B0CB2">
        <w:rPr>
          <w:rFonts w:ascii="Arial" w:hAnsi="Arial"/>
        </w:rPr>
        <w:t>The stability of the market formulations of the finished product (or formulations that may reasonably be expected to have the same stability) packaged as</w:t>
      </w:r>
    </w:p>
    <w:p w:rsidR="00BC6862" w:rsidRPr="004B0CB2" w:rsidRDefault="00BC6862" w:rsidP="00BC6862">
      <w:pPr>
        <w:rPr>
          <w:rFonts w:ascii="Arial" w:hAnsi="Arial"/>
        </w:rPr>
      </w:pPr>
      <w:r w:rsidRPr="004B0CB2">
        <w:rPr>
          <w:rFonts w:ascii="Arial" w:hAnsi="Arial"/>
        </w:rPr>
        <w:t xml:space="preserve">intended for marketing must have been tested in accordance with ICH guidelines (including the ICH requirements for the number and sizes of batches used) unless otherwise justified. Preferably, more than one batch of active substance should have been used in the manufacture of the stability batches. </w:t>
      </w:r>
    </w:p>
    <w:p w:rsidR="00BC6862" w:rsidRPr="004B0CB2" w:rsidRDefault="00BC6862" w:rsidP="00BC6862">
      <w:pPr>
        <w:rPr>
          <w:rFonts w:ascii="Arial" w:hAnsi="Arial"/>
        </w:rPr>
      </w:pPr>
    </w:p>
    <w:p w:rsidR="00BC6862" w:rsidRPr="004B0CB2" w:rsidRDefault="00BC6862" w:rsidP="00BC6862">
      <w:pPr>
        <w:rPr>
          <w:rFonts w:ascii="Arial" w:hAnsi="Arial"/>
        </w:rPr>
      </w:pPr>
      <w:r w:rsidRPr="004B0CB2">
        <w:rPr>
          <w:rFonts w:ascii="Arial" w:hAnsi="Arial"/>
        </w:rPr>
        <w:t xml:space="preserve">The stability trial protocol, packaging, packaging orientation (if relevant), storage conditions and test procedures must be described in detail. All of the stability-indicating organoleptic, physical, chemical and microbiological quality parameters relevant to the dose form and type of packaging must have been included in the testing schedule and have been monitored using appropriate, clearly defined, validated (in the testing laboratory used for the stability samples), stability-indicating test procedures. </w:t>
      </w:r>
    </w:p>
    <w:p w:rsidR="00BC6862" w:rsidRPr="004B0CB2" w:rsidRDefault="00BC6862" w:rsidP="00BC6862">
      <w:pPr>
        <w:rPr>
          <w:rFonts w:ascii="Arial" w:hAnsi="Arial"/>
        </w:rPr>
      </w:pPr>
    </w:p>
    <w:p w:rsidR="00BC6862" w:rsidRPr="004B0CB2" w:rsidRDefault="00BC6862" w:rsidP="00BC6862">
      <w:pPr>
        <w:rPr>
          <w:rFonts w:ascii="Arial" w:hAnsi="Arial"/>
        </w:rPr>
      </w:pPr>
      <w:r w:rsidRPr="004B0CB2">
        <w:rPr>
          <w:rFonts w:ascii="Arial" w:hAnsi="Arial"/>
        </w:rPr>
        <w:t xml:space="preserve">Any changes in test procedures during the stability trials must be justified and results correlated. At least 12 months data for storage under the recommended storage conditions must be available and be submitted with the application (unless otherwise justified). The </w:t>
      </w:r>
      <w:r>
        <w:rPr>
          <w:rFonts w:ascii="Arial" w:hAnsi="Arial"/>
        </w:rPr>
        <w:t xml:space="preserve">most up to date </w:t>
      </w:r>
      <w:r w:rsidRPr="004B0CB2">
        <w:rPr>
          <w:rFonts w:ascii="Arial" w:hAnsi="Arial"/>
        </w:rPr>
        <w:t xml:space="preserve">stability data should be </w:t>
      </w:r>
      <w:r>
        <w:rPr>
          <w:rFonts w:ascii="Arial" w:hAnsi="Arial"/>
        </w:rPr>
        <w:t>submitted</w:t>
      </w:r>
      <w:r w:rsidRPr="004B0CB2">
        <w:rPr>
          <w:rFonts w:ascii="Arial" w:hAnsi="Arial"/>
        </w:rPr>
        <w:t xml:space="preserve">. Wherever relevant, results should be expressed quantitatively rather than as “complies” or “passes test”. Any lack of mass balance between assays and degradation products must be explained or discussed. If relevant, preservative levels or effectiveness must be monitored. </w:t>
      </w:r>
    </w:p>
    <w:p w:rsidR="00BC6862" w:rsidRPr="004B0CB2" w:rsidRDefault="00BC6862" w:rsidP="00BC6862">
      <w:pPr>
        <w:rPr>
          <w:rFonts w:ascii="Arial" w:hAnsi="Arial"/>
        </w:rPr>
      </w:pPr>
      <w:r w:rsidRPr="004B0CB2">
        <w:rPr>
          <w:rFonts w:ascii="Arial" w:hAnsi="Arial"/>
        </w:rPr>
        <w:t xml:space="preserve">The results (and allowing for extrapolation within reasonable limits) must adequately support the proposed shelf-life under the recommended storage conditions (otherwise a shorter shelf-life may be granted until adequate stability data can be provided to support the proposed shelf-life). </w:t>
      </w:r>
    </w:p>
    <w:p w:rsidR="00BC6862" w:rsidRPr="004B0CB2" w:rsidRDefault="00BC6862" w:rsidP="00BC6862">
      <w:pPr>
        <w:rPr>
          <w:rFonts w:ascii="Arial" w:hAnsi="Arial"/>
        </w:rPr>
      </w:pPr>
    </w:p>
    <w:p w:rsidR="00BC6862" w:rsidRPr="004B0CB2" w:rsidRDefault="00BC6862" w:rsidP="00BC6862">
      <w:pPr>
        <w:rPr>
          <w:rFonts w:ascii="Arial" w:hAnsi="Arial"/>
        </w:rPr>
      </w:pPr>
      <w:r w:rsidRPr="004B0CB2">
        <w:rPr>
          <w:rFonts w:ascii="Arial" w:hAnsi="Arial"/>
        </w:rPr>
        <w:t>If relevant, the stability of the product after first opening</w:t>
      </w:r>
      <w:r>
        <w:rPr>
          <w:rFonts w:ascii="Arial" w:hAnsi="Arial"/>
        </w:rPr>
        <w:t xml:space="preserve"> </w:t>
      </w:r>
      <w:r w:rsidRPr="004B0CB2">
        <w:rPr>
          <w:rFonts w:ascii="Arial" w:hAnsi="Arial"/>
        </w:rPr>
        <w:t>must have been investigated and shown to be adequate for the intended use of the product.</w:t>
      </w:r>
      <w:r>
        <w:rPr>
          <w:rFonts w:ascii="Arial" w:hAnsi="Arial"/>
        </w:rPr>
        <w:t xml:space="preserve"> This does not apply to product packaged in single use containers such as blisters containing a single dose of the product.</w:t>
      </w:r>
      <w:r w:rsidRPr="004B0CB2">
        <w:rPr>
          <w:rFonts w:ascii="Arial" w:hAnsi="Arial"/>
        </w:rPr>
        <w:t xml:space="preserve"> </w:t>
      </w:r>
    </w:p>
    <w:p w:rsidR="00BC6862" w:rsidRPr="004B0CB2" w:rsidRDefault="00BC6862" w:rsidP="00BC6862">
      <w:pPr>
        <w:rPr>
          <w:rFonts w:ascii="Arial" w:hAnsi="Arial"/>
        </w:rPr>
      </w:pPr>
    </w:p>
    <w:p w:rsidR="00BC6862" w:rsidRDefault="00BC6862" w:rsidP="00BC6862">
      <w:pPr>
        <w:rPr>
          <w:rFonts w:ascii="Arial" w:hAnsi="Arial"/>
        </w:rPr>
      </w:pPr>
      <w:r w:rsidRPr="004B0CB2">
        <w:rPr>
          <w:rFonts w:ascii="Arial" w:hAnsi="Arial"/>
        </w:rPr>
        <w:t xml:space="preserve">If relevant, adequate storage instructions and time-limits for use of the product after first opening must be stated on the draft product label, and in any package </w:t>
      </w:r>
      <w:r w:rsidRPr="00EE1F26">
        <w:rPr>
          <w:rFonts w:ascii="Arial" w:hAnsi="Arial"/>
        </w:rPr>
        <w:t>insert.</w:t>
      </w:r>
    </w:p>
    <w:p w:rsidR="00BC6862" w:rsidRDefault="00BC6862" w:rsidP="00082B60">
      <w:pPr>
        <w:rPr>
          <w:rFonts w:ascii="Arial" w:hAnsi="Arial"/>
        </w:rPr>
      </w:pPr>
    </w:p>
    <w:p w:rsidR="00E92AB5" w:rsidRDefault="00E92AB5" w:rsidP="00CF062F">
      <w:pPr>
        <w:pStyle w:val="Heading3"/>
        <w:numPr>
          <w:ilvl w:val="1"/>
          <w:numId w:val="63"/>
        </w:numPr>
      </w:pPr>
      <w:bookmarkStart w:id="129" w:name="_Toc409508710"/>
      <w:r w:rsidRPr="00E92AB5">
        <w:t>Individual Patient Data</w:t>
      </w:r>
      <w:bookmarkEnd w:id="129"/>
    </w:p>
    <w:p w:rsidR="00082B60" w:rsidRPr="00082B60" w:rsidRDefault="00082B60" w:rsidP="00082B60">
      <w:pPr>
        <w:rPr>
          <w:rFonts w:ascii="Arial" w:hAnsi="Arial"/>
        </w:rPr>
      </w:pPr>
      <w:r w:rsidRPr="00082B60">
        <w:rPr>
          <w:rFonts w:ascii="Arial" w:hAnsi="Arial"/>
        </w:rPr>
        <w:t>Normally individual patient data from clinical trials need not be included in an application dossier</w:t>
      </w:r>
      <w:r w:rsidR="000C47AF">
        <w:rPr>
          <w:rFonts w:ascii="Arial" w:hAnsi="Arial"/>
        </w:rPr>
        <w:t xml:space="preserve">. </w:t>
      </w:r>
      <w:r w:rsidRPr="00082B60">
        <w:rPr>
          <w:rFonts w:ascii="Arial" w:hAnsi="Arial"/>
        </w:rPr>
        <w:t xml:space="preserve">However, tabulated individual patient data may be included in clinical trial documentation if the applicant considers it appropriate. </w:t>
      </w:r>
    </w:p>
    <w:p w:rsidR="00082B60" w:rsidRDefault="00082B60" w:rsidP="00082B60">
      <w:pPr>
        <w:rPr>
          <w:rFonts w:ascii="Arial" w:hAnsi="Arial"/>
        </w:rPr>
      </w:pPr>
    </w:p>
    <w:p w:rsidR="00082B60" w:rsidRPr="00082B60" w:rsidRDefault="00082B60" w:rsidP="00082B60">
      <w:pPr>
        <w:rPr>
          <w:rFonts w:ascii="Arial" w:hAnsi="Arial"/>
        </w:rPr>
      </w:pPr>
      <w:r w:rsidRPr="00082B60">
        <w:rPr>
          <w:rFonts w:ascii="Arial" w:hAnsi="Arial"/>
        </w:rPr>
        <w:t xml:space="preserve">Before an application is lodged, applicants should ensure that individual patient data (case report forms) are available, and indicate in the application that these data are available. Individual patient data not already supplied may be requested during the evaluation period. </w:t>
      </w:r>
    </w:p>
    <w:p w:rsidR="00082B60" w:rsidRDefault="00082B60" w:rsidP="00082B60">
      <w:pPr>
        <w:rPr>
          <w:rFonts w:ascii="Arial" w:hAnsi="Arial"/>
        </w:rPr>
      </w:pPr>
    </w:p>
    <w:p w:rsidR="00082B60" w:rsidRDefault="00082B60" w:rsidP="00082B60">
      <w:pPr>
        <w:rPr>
          <w:rFonts w:ascii="Arial" w:hAnsi="Arial"/>
        </w:rPr>
      </w:pPr>
      <w:r w:rsidRPr="00082B60">
        <w:rPr>
          <w:rFonts w:ascii="Arial" w:hAnsi="Arial"/>
        </w:rPr>
        <w:t xml:space="preserve">Where not already presented in the Clinical Expert Report, overall numbers of clinical trial patients and treatment subgroups should be tabulated and submitted </w:t>
      </w:r>
      <w:r w:rsidRPr="00633E55">
        <w:rPr>
          <w:rFonts w:ascii="Arial" w:hAnsi="Arial"/>
        </w:rPr>
        <w:t xml:space="preserve">with </w:t>
      </w:r>
      <w:r w:rsidR="00633E55" w:rsidRPr="00633E55">
        <w:rPr>
          <w:rFonts w:ascii="Arial" w:hAnsi="Arial"/>
        </w:rPr>
        <w:t>Module 1</w:t>
      </w:r>
      <w:r w:rsidRPr="00633E55">
        <w:rPr>
          <w:rFonts w:ascii="Arial" w:hAnsi="Arial"/>
        </w:rPr>
        <w:t xml:space="preserve"> of the application.</w:t>
      </w:r>
    </w:p>
    <w:p w:rsidR="006F2E70" w:rsidRDefault="006F2E70">
      <w:pPr>
        <w:rPr>
          <w:rFonts w:ascii="Arial" w:hAnsi="Arial"/>
        </w:rPr>
      </w:pPr>
      <w:r>
        <w:rPr>
          <w:rFonts w:ascii="Arial" w:hAnsi="Arial"/>
        </w:rPr>
        <w:br w:type="page"/>
      </w:r>
    </w:p>
    <w:p w:rsidR="006F2E70" w:rsidRDefault="006F2E70" w:rsidP="00082B60">
      <w:pPr>
        <w:rPr>
          <w:rFonts w:ascii="Arial" w:hAnsi="Arial"/>
        </w:rPr>
      </w:pPr>
    </w:p>
    <w:p w:rsidR="006F2E70" w:rsidRPr="00BE017D" w:rsidRDefault="006F2E70" w:rsidP="00CF062F">
      <w:pPr>
        <w:pStyle w:val="ListParagraph"/>
        <w:numPr>
          <w:ilvl w:val="0"/>
          <w:numId w:val="63"/>
        </w:numPr>
        <w:rPr>
          <w:rFonts w:ascii="Arial" w:hAnsi="Arial"/>
          <w:b/>
          <w:sz w:val="28"/>
          <w:szCs w:val="28"/>
        </w:rPr>
      </w:pPr>
      <w:r w:rsidRPr="00BE017D">
        <w:rPr>
          <w:rFonts w:ascii="Arial" w:hAnsi="Arial"/>
          <w:b/>
          <w:sz w:val="28"/>
          <w:szCs w:val="28"/>
        </w:rPr>
        <w:t>Submitting an Application or Notification</w:t>
      </w:r>
    </w:p>
    <w:p w:rsidR="00E92AB5" w:rsidRDefault="00BE017D" w:rsidP="00107361">
      <w:pPr>
        <w:pStyle w:val="Heading3"/>
      </w:pPr>
      <w:bookmarkStart w:id="130" w:name="_Toc409508711"/>
      <w:r>
        <w:t>12.1</w:t>
      </w:r>
      <w:r>
        <w:tab/>
      </w:r>
      <w:r w:rsidR="00E92AB5" w:rsidRPr="00E92AB5">
        <w:t>Covering Letter</w:t>
      </w:r>
      <w:bookmarkEnd w:id="130"/>
      <w:r w:rsidR="00E92AB5" w:rsidRPr="00E92AB5">
        <w:t xml:space="preserve"> </w:t>
      </w:r>
    </w:p>
    <w:p w:rsidR="00082B60" w:rsidRPr="00082B60" w:rsidRDefault="00082B60" w:rsidP="00082B60">
      <w:pPr>
        <w:rPr>
          <w:rFonts w:ascii="Arial" w:hAnsi="Arial"/>
        </w:rPr>
      </w:pPr>
      <w:r>
        <w:rPr>
          <w:rFonts w:ascii="Arial" w:hAnsi="Arial"/>
        </w:rPr>
        <w:t xml:space="preserve">All NPPAs </w:t>
      </w:r>
      <w:r w:rsidR="00DA5905">
        <w:rPr>
          <w:rFonts w:ascii="Arial" w:hAnsi="Arial"/>
        </w:rPr>
        <w:t>and NSPPAs should be accompanied</w:t>
      </w:r>
      <w:r>
        <w:rPr>
          <w:rFonts w:ascii="Arial" w:hAnsi="Arial"/>
        </w:rPr>
        <w:t xml:space="preserve"> by </w:t>
      </w:r>
      <w:r w:rsidRPr="00082B60">
        <w:rPr>
          <w:rFonts w:ascii="Arial" w:hAnsi="Arial"/>
        </w:rPr>
        <w:t xml:space="preserve">a </w:t>
      </w:r>
      <w:r w:rsidRPr="00E35816">
        <w:rPr>
          <w:rFonts w:ascii="Arial" w:hAnsi="Arial"/>
        </w:rPr>
        <w:t>covering letter</w:t>
      </w:r>
      <w:r>
        <w:rPr>
          <w:rFonts w:ascii="Arial" w:hAnsi="Arial"/>
        </w:rPr>
        <w:t xml:space="preserve"> </w:t>
      </w:r>
      <w:r w:rsidR="006F2E70">
        <w:rPr>
          <w:rFonts w:ascii="Arial" w:hAnsi="Arial"/>
        </w:rPr>
        <w:t>(</w:t>
      </w:r>
      <w:r w:rsidR="00E35816">
        <w:rPr>
          <w:rFonts w:ascii="Arial" w:hAnsi="Arial"/>
        </w:rPr>
        <w:t xml:space="preserve">a copy of the template cover letter can be </w:t>
      </w:r>
      <w:r w:rsidR="006F2E70">
        <w:rPr>
          <w:rFonts w:ascii="Arial" w:hAnsi="Arial"/>
        </w:rPr>
        <w:t xml:space="preserve">found on </w:t>
      </w:r>
      <w:r w:rsidR="006F2E70" w:rsidRPr="00E35816">
        <w:rPr>
          <w:rFonts w:ascii="Arial" w:hAnsi="Arial"/>
        </w:rPr>
        <w:t>www.</w:t>
      </w:r>
      <w:r w:rsidR="00E35816">
        <w:rPr>
          <w:rFonts w:ascii="Arial" w:hAnsi="Arial"/>
        </w:rPr>
        <w:t>psychoactives.health.govt.nz</w:t>
      </w:r>
      <w:r w:rsidR="006F2E70">
        <w:rPr>
          <w:rFonts w:ascii="Arial" w:hAnsi="Arial"/>
        </w:rPr>
        <w:t xml:space="preserve">) </w:t>
      </w:r>
      <w:r>
        <w:rPr>
          <w:rFonts w:ascii="Arial" w:hAnsi="Arial"/>
        </w:rPr>
        <w:t xml:space="preserve">which includes </w:t>
      </w:r>
      <w:r w:rsidR="00DA5905">
        <w:rPr>
          <w:rFonts w:ascii="Arial" w:hAnsi="Arial"/>
        </w:rPr>
        <w:t>a brief background on the product details and the information included in the application</w:t>
      </w:r>
      <w:r>
        <w:rPr>
          <w:rFonts w:ascii="Arial" w:hAnsi="Arial"/>
        </w:rPr>
        <w:t xml:space="preserve">. </w:t>
      </w:r>
    </w:p>
    <w:p w:rsidR="00E92AB5" w:rsidRPr="00E92AB5" w:rsidRDefault="00E92AB5" w:rsidP="00CF062F">
      <w:pPr>
        <w:pStyle w:val="Heading3"/>
        <w:numPr>
          <w:ilvl w:val="1"/>
          <w:numId w:val="64"/>
        </w:numPr>
      </w:pPr>
      <w:bookmarkStart w:id="131" w:name="_Toc409508712"/>
      <w:r w:rsidRPr="00E92AB5">
        <w:t>Submitting an Application or Notification</w:t>
      </w:r>
      <w:bookmarkEnd w:id="131"/>
      <w:r w:rsidRPr="00E92AB5">
        <w:t xml:space="preserve"> </w:t>
      </w:r>
    </w:p>
    <w:p w:rsidR="00082B60" w:rsidRPr="00082B60" w:rsidRDefault="00082B60" w:rsidP="00082B60">
      <w:pPr>
        <w:rPr>
          <w:rFonts w:ascii="Arial" w:hAnsi="Arial"/>
        </w:rPr>
      </w:pPr>
      <w:r w:rsidRPr="00082B60">
        <w:rPr>
          <w:rFonts w:ascii="Arial" w:hAnsi="Arial"/>
        </w:rPr>
        <w:t>All data, including supplementary data, must be submitted on A4 sized paper and should be bound in sturdy ring-binders (or other types of binders from which pages can be removed and replaced) that do not spill their contents when opened. Each part of the application should contain a detailed Table of Contents.</w:t>
      </w:r>
    </w:p>
    <w:p w:rsidR="00082B60" w:rsidRPr="00082B60" w:rsidRDefault="00082B60" w:rsidP="00082B60">
      <w:pPr>
        <w:rPr>
          <w:rFonts w:ascii="Arial" w:hAnsi="Arial"/>
          <w:highlight w:val="yellow"/>
        </w:rPr>
      </w:pPr>
    </w:p>
    <w:p w:rsidR="00082B60" w:rsidRPr="00082B60" w:rsidRDefault="00082B60" w:rsidP="00082B60">
      <w:pPr>
        <w:rPr>
          <w:rFonts w:ascii="Arial" w:hAnsi="Arial"/>
          <w:highlight w:val="yellow"/>
        </w:rPr>
      </w:pPr>
      <w:r w:rsidRPr="00082B60">
        <w:rPr>
          <w:rFonts w:ascii="Arial" w:hAnsi="Arial"/>
        </w:rPr>
        <w:t xml:space="preserve">One hardcopy of all applications and supporting data should be submitted. </w:t>
      </w:r>
      <w:r w:rsidR="00633E55">
        <w:rPr>
          <w:rFonts w:ascii="Arial" w:hAnsi="Arial"/>
        </w:rPr>
        <w:t>Eight</w:t>
      </w:r>
      <w:r w:rsidRPr="00082B60">
        <w:rPr>
          <w:rFonts w:ascii="Arial" w:hAnsi="Arial"/>
        </w:rPr>
        <w:t xml:space="preserve"> copies of all applications and supporting data should be submitted on CD</w:t>
      </w:r>
      <w:r>
        <w:rPr>
          <w:rFonts w:ascii="Arial" w:hAnsi="Arial"/>
        </w:rPr>
        <w:t xml:space="preserve"> to allow each member of the Psychoactive Substances Expert Advisory Committee </w:t>
      </w:r>
      <w:r w:rsidR="0094469A">
        <w:rPr>
          <w:rFonts w:ascii="Arial" w:hAnsi="Arial"/>
        </w:rPr>
        <w:t xml:space="preserve">(PSEAC) </w:t>
      </w:r>
      <w:r>
        <w:rPr>
          <w:rFonts w:ascii="Arial" w:hAnsi="Arial"/>
        </w:rPr>
        <w:t>to review the data</w:t>
      </w:r>
      <w:r w:rsidRPr="00082B60">
        <w:rPr>
          <w:rFonts w:ascii="Arial" w:hAnsi="Arial"/>
        </w:rPr>
        <w:t>.</w:t>
      </w:r>
      <w:r>
        <w:rPr>
          <w:rFonts w:ascii="Arial" w:hAnsi="Arial"/>
        </w:rPr>
        <w:t xml:space="preserve"> </w:t>
      </w:r>
    </w:p>
    <w:p w:rsidR="00082B60" w:rsidRPr="00082B60" w:rsidRDefault="00082B60" w:rsidP="00082B60">
      <w:pPr>
        <w:rPr>
          <w:rFonts w:ascii="Arial" w:hAnsi="Arial"/>
          <w:highlight w:val="yellow"/>
        </w:rPr>
      </w:pPr>
    </w:p>
    <w:p w:rsidR="00082B60" w:rsidRPr="00082B60" w:rsidRDefault="00082B60" w:rsidP="00082B60">
      <w:pPr>
        <w:rPr>
          <w:rFonts w:ascii="Arial" w:hAnsi="Arial"/>
        </w:rPr>
      </w:pPr>
      <w:r w:rsidRPr="00082B60">
        <w:rPr>
          <w:rFonts w:ascii="Arial" w:hAnsi="Arial"/>
        </w:rPr>
        <w:t xml:space="preserve">Send completed applications (with supporting data) to the Manager: </w:t>
      </w:r>
    </w:p>
    <w:p w:rsidR="00082B60" w:rsidRPr="00082B60" w:rsidRDefault="00082B60" w:rsidP="00082B60">
      <w:pPr>
        <w:rPr>
          <w:rFonts w:ascii="Arial" w:hAnsi="Arial"/>
        </w:rPr>
      </w:pPr>
    </w:p>
    <w:p w:rsidR="00082B60" w:rsidRDefault="00082B60" w:rsidP="00633E55">
      <w:pPr>
        <w:ind w:left="2880" w:hanging="2880"/>
        <w:rPr>
          <w:rFonts w:ascii="Arial" w:hAnsi="Arial"/>
        </w:rPr>
      </w:pPr>
      <w:r w:rsidRPr="00082B60">
        <w:rPr>
          <w:rFonts w:ascii="Arial" w:hAnsi="Arial"/>
        </w:rPr>
        <w:t xml:space="preserve">Postal Address: </w:t>
      </w:r>
      <w:r w:rsidR="00633E55">
        <w:rPr>
          <w:rFonts w:ascii="Arial" w:hAnsi="Arial"/>
        </w:rPr>
        <w:tab/>
      </w:r>
      <w:r w:rsidRPr="00082B60">
        <w:rPr>
          <w:rFonts w:ascii="Arial" w:hAnsi="Arial"/>
        </w:rPr>
        <w:t xml:space="preserve">The Office of the Psychoactive Substances Regulatory Authority </w:t>
      </w:r>
    </w:p>
    <w:p w:rsidR="000C47AF" w:rsidRPr="00082B60" w:rsidRDefault="000C47AF" w:rsidP="00633E55">
      <w:pPr>
        <w:ind w:left="2880" w:hanging="2880"/>
        <w:rPr>
          <w:rFonts w:ascii="Arial" w:hAnsi="Arial"/>
        </w:rPr>
      </w:pPr>
      <w:r>
        <w:rPr>
          <w:rFonts w:ascii="Arial" w:hAnsi="Arial"/>
        </w:rPr>
        <w:tab/>
        <w:t>The Ministry of Health</w:t>
      </w:r>
    </w:p>
    <w:p w:rsidR="00082B60" w:rsidRPr="00082B60" w:rsidRDefault="00082B60" w:rsidP="00633E55">
      <w:pPr>
        <w:ind w:left="2160" w:firstLine="720"/>
        <w:rPr>
          <w:rFonts w:ascii="Arial" w:hAnsi="Arial"/>
        </w:rPr>
      </w:pPr>
      <w:r w:rsidRPr="00082B60">
        <w:rPr>
          <w:rFonts w:ascii="Arial" w:hAnsi="Arial"/>
        </w:rPr>
        <w:t xml:space="preserve">PO Box 5013 </w:t>
      </w:r>
    </w:p>
    <w:p w:rsidR="00082B60" w:rsidRPr="00082B60" w:rsidRDefault="00082B60" w:rsidP="00633E55">
      <w:pPr>
        <w:ind w:left="2160" w:firstLine="720"/>
        <w:rPr>
          <w:rFonts w:ascii="Arial" w:hAnsi="Arial"/>
        </w:rPr>
      </w:pPr>
      <w:r w:rsidRPr="00082B60">
        <w:rPr>
          <w:rFonts w:ascii="Arial" w:hAnsi="Arial"/>
        </w:rPr>
        <w:t xml:space="preserve">Wellington </w:t>
      </w:r>
    </w:p>
    <w:p w:rsidR="00082B60" w:rsidRPr="00082B60" w:rsidRDefault="00082B60" w:rsidP="00082B60">
      <w:pPr>
        <w:rPr>
          <w:rFonts w:ascii="Arial" w:hAnsi="Arial"/>
        </w:rPr>
      </w:pPr>
    </w:p>
    <w:p w:rsidR="000C47AF" w:rsidRDefault="00082B60" w:rsidP="000C47AF">
      <w:pPr>
        <w:ind w:left="2880" w:hanging="2880"/>
        <w:rPr>
          <w:rFonts w:ascii="Arial" w:hAnsi="Arial"/>
        </w:rPr>
      </w:pPr>
      <w:r w:rsidRPr="00082B60">
        <w:rPr>
          <w:rFonts w:ascii="Arial" w:hAnsi="Arial"/>
        </w:rPr>
        <w:t>Street/Courier Address</w:t>
      </w:r>
      <w:r w:rsidR="000C47AF">
        <w:rPr>
          <w:rFonts w:ascii="Arial" w:hAnsi="Arial"/>
        </w:rPr>
        <w:t>:</w:t>
      </w:r>
      <w:r w:rsidR="000C47AF">
        <w:rPr>
          <w:rFonts w:ascii="Arial" w:hAnsi="Arial"/>
        </w:rPr>
        <w:tab/>
      </w:r>
      <w:r w:rsidR="000C47AF" w:rsidRPr="000C47AF">
        <w:rPr>
          <w:rFonts w:ascii="Arial" w:hAnsi="Arial"/>
          <w:b/>
        </w:rPr>
        <w:t>For delivery prior to 2 December</w:t>
      </w:r>
      <w:r w:rsidR="000C47AF">
        <w:rPr>
          <w:rFonts w:ascii="Arial" w:hAnsi="Arial"/>
          <w:b/>
        </w:rPr>
        <w:t xml:space="preserve"> 2014</w:t>
      </w:r>
      <w:r w:rsidRPr="00082B60">
        <w:rPr>
          <w:rFonts w:ascii="Arial" w:hAnsi="Arial"/>
        </w:rPr>
        <w:t xml:space="preserve">: </w:t>
      </w:r>
      <w:r w:rsidR="00633E55">
        <w:rPr>
          <w:rFonts w:ascii="Arial" w:hAnsi="Arial"/>
        </w:rPr>
        <w:tab/>
      </w:r>
    </w:p>
    <w:p w:rsidR="00082B60" w:rsidRDefault="00082B60" w:rsidP="000C47AF">
      <w:pPr>
        <w:ind w:left="2880"/>
        <w:rPr>
          <w:rFonts w:ascii="Arial" w:hAnsi="Arial"/>
        </w:rPr>
      </w:pPr>
      <w:r w:rsidRPr="00082B60">
        <w:rPr>
          <w:rFonts w:ascii="Arial" w:hAnsi="Arial"/>
        </w:rPr>
        <w:t>The Office of the Psychoactive Substances Regulatory Authority</w:t>
      </w:r>
    </w:p>
    <w:p w:rsidR="000C47AF" w:rsidRPr="00082B60" w:rsidRDefault="000C47AF" w:rsidP="000C47AF">
      <w:pPr>
        <w:ind w:left="2880"/>
        <w:rPr>
          <w:rFonts w:ascii="Arial" w:hAnsi="Arial"/>
        </w:rPr>
      </w:pPr>
      <w:r>
        <w:rPr>
          <w:rFonts w:ascii="Arial" w:hAnsi="Arial"/>
        </w:rPr>
        <w:t>The Ministry of Health</w:t>
      </w:r>
    </w:p>
    <w:p w:rsidR="00082B60" w:rsidRPr="00082B60" w:rsidRDefault="00082B60" w:rsidP="00633E55">
      <w:pPr>
        <w:ind w:left="2160" w:firstLine="720"/>
        <w:rPr>
          <w:rFonts w:ascii="Arial" w:hAnsi="Arial"/>
        </w:rPr>
      </w:pPr>
      <w:r w:rsidRPr="00082B60">
        <w:rPr>
          <w:rFonts w:ascii="Arial" w:hAnsi="Arial"/>
        </w:rPr>
        <w:t xml:space="preserve">Level 6 </w:t>
      </w:r>
    </w:p>
    <w:p w:rsidR="00082B60" w:rsidRPr="000C47AF" w:rsidRDefault="00082B60" w:rsidP="00633E55">
      <w:pPr>
        <w:ind w:left="2160" w:firstLine="720"/>
        <w:rPr>
          <w:rFonts w:ascii="Arial" w:hAnsi="Arial"/>
        </w:rPr>
      </w:pPr>
      <w:r w:rsidRPr="000C47AF">
        <w:rPr>
          <w:rFonts w:ascii="Arial" w:hAnsi="Arial"/>
        </w:rPr>
        <w:t xml:space="preserve">Deloitte House </w:t>
      </w:r>
    </w:p>
    <w:p w:rsidR="006F2E70" w:rsidRPr="000C47AF" w:rsidRDefault="00082B60" w:rsidP="00A57F8B">
      <w:pPr>
        <w:ind w:left="2160" w:firstLine="720"/>
        <w:rPr>
          <w:rFonts w:ascii="Arial" w:hAnsi="Arial"/>
        </w:rPr>
      </w:pPr>
      <w:r w:rsidRPr="000C47AF">
        <w:rPr>
          <w:rFonts w:ascii="Arial" w:hAnsi="Arial"/>
        </w:rPr>
        <w:t xml:space="preserve">10 Brandon Street </w:t>
      </w:r>
    </w:p>
    <w:p w:rsidR="00082B60" w:rsidRDefault="00082B60" w:rsidP="00633E55">
      <w:pPr>
        <w:ind w:left="2160" w:firstLine="720"/>
        <w:rPr>
          <w:rFonts w:ascii="Arial" w:hAnsi="Arial"/>
        </w:rPr>
      </w:pPr>
      <w:r w:rsidRPr="000C47AF">
        <w:rPr>
          <w:rFonts w:ascii="Arial" w:hAnsi="Arial"/>
        </w:rPr>
        <w:t>Wellington</w:t>
      </w:r>
      <w:r w:rsidRPr="00082B60">
        <w:rPr>
          <w:rFonts w:ascii="Arial" w:hAnsi="Arial"/>
        </w:rPr>
        <w:t xml:space="preserve"> </w:t>
      </w:r>
    </w:p>
    <w:p w:rsidR="000C47AF" w:rsidRDefault="000C47AF" w:rsidP="00633E55">
      <w:pPr>
        <w:ind w:left="2160" w:firstLine="720"/>
        <w:rPr>
          <w:rFonts w:ascii="Arial" w:hAnsi="Arial"/>
        </w:rPr>
      </w:pPr>
    </w:p>
    <w:p w:rsidR="000C47AF" w:rsidRDefault="000C47AF" w:rsidP="000C47AF">
      <w:pPr>
        <w:ind w:left="2880"/>
        <w:rPr>
          <w:rFonts w:ascii="Arial" w:hAnsi="Arial"/>
        </w:rPr>
      </w:pPr>
      <w:r w:rsidRPr="000C47AF">
        <w:rPr>
          <w:rFonts w:ascii="Arial" w:hAnsi="Arial"/>
          <w:b/>
        </w:rPr>
        <w:t xml:space="preserve">For delivery </w:t>
      </w:r>
      <w:r>
        <w:rPr>
          <w:rFonts w:ascii="Arial" w:hAnsi="Arial"/>
          <w:b/>
        </w:rPr>
        <w:t>after</w:t>
      </w:r>
      <w:r w:rsidRPr="000C47AF">
        <w:rPr>
          <w:rFonts w:ascii="Arial" w:hAnsi="Arial"/>
          <w:b/>
        </w:rPr>
        <w:t xml:space="preserve"> 2 December</w:t>
      </w:r>
      <w:r>
        <w:rPr>
          <w:rFonts w:ascii="Arial" w:hAnsi="Arial"/>
          <w:b/>
        </w:rPr>
        <w:t xml:space="preserve"> 2014</w:t>
      </w:r>
      <w:r w:rsidRPr="00082B60">
        <w:rPr>
          <w:rFonts w:ascii="Arial" w:hAnsi="Arial"/>
        </w:rPr>
        <w:t xml:space="preserve">: </w:t>
      </w:r>
      <w:r>
        <w:rPr>
          <w:rFonts w:ascii="Arial" w:hAnsi="Arial"/>
        </w:rPr>
        <w:tab/>
      </w:r>
    </w:p>
    <w:p w:rsidR="000C47AF" w:rsidRDefault="000C47AF" w:rsidP="000C47AF">
      <w:pPr>
        <w:ind w:left="2880"/>
        <w:rPr>
          <w:rFonts w:ascii="Arial" w:hAnsi="Arial"/>
        </w:rPr>
      </w:pPr>
      <w:r w:rsidRPr="00082B60">
        <w:rPr>
          <w:rFonts w:ascii="Arial" w:hAnsi="Arial"/>
        </w:rPr>
        <w:t>The Office of the Psychoactive Substances Regulatory Authority</w:t>
      </w:r>
    </w:p>
    <w:p w:rsidR="000C47AF" w:rsidRPr="00082B60" w:rsidRDefault="000C47AF" w:rsidP="000C47AF">
      <w:pPr>
        <w:ind w:left="2880"/>
        <w:rPr>
          <w:rFonts w:ascii="Arial" w:hAnsi="Arial"/>
        </w:rPr>
      </w:pPr>
      <w:r>
        <w:rPr>
          <w:rFonts w:ascii="Arial" w:hAnsi="Arial"/>
        </w:rPr>
        <w:t>The Ministry of Health</w:t>
      </w:r>
    </w:p>
    <w:p w:rsidR="00A57F8B" w:rsidRDefault="00A57F8B" w:rsidP="00A57F8B">
      <w:pPr>
        <w:ind w:left="2160" w:firstLine="720"/>
        <w:rPr>
          <w:rFonts w:ascii="Arial" w:hAnsi="Arial"/>
        </w:rPr>
      </w:pPr>
      <w:r>
        <w:rPr>
          <w:rFonts w:ascii="Arial" w:hAnsi="Arial"/>
        </w:rPr>
        <w:t>Freyberg Building</w:t>
      </w:r>
    </w:p>
    <w:p w:rsidR="00A57F8B" w:rsidRPr="000C47AF" w:rsidRDefault="00E35816" w:rsidP="00A57F8B">
      <w:pPr>
        <w:ind w:left="2160" w:firstLine="720"/>
        <w:rPr>
          <w:rFonts w:ascii="Arial" w:hAnsi="Arial"/>
        </w:rPr>
      </w:pPr>
      <w:r>
        <w:rPr>
          <w:rFonts w:ascii="Arial" w:hAnsi="Arial"/>
        </w:rPr>
        <w:t>20</w:t>
      </w:r>
      <w:r w:rsidR="00A57F8B">
        <w:rPr>
          <w:rFonts w:ascii="Arial" w:hAnsi="Arial"/>
        </w:rPr>
        <w:t xml:space="preserve"> Aitken Street</w:t>
      </w:r>
    </w:p>
    <w:p w:rsidR="000C47AF" w:rsidRPr="00082B60" w:rsidRDefault="000C47AF" w:rsidP="000C47AF">
      <w:pPr>
        <w:ind w:left="2160" w:firstLine="720"/>
        <w:rPr>
          <w:rFonts w:ascii="Arial" w:hAnsi="Arial"/>
        </w:rPr>
      </w:pPr>
      <w:r w:rsidRPr="000C47AF">
        <w:rPr>
          <w:rFonts w:ascii="Arial" w:hAnsi="Arial"/>
        </w:rPr>
        <w:t>Wellington</w:t>
      </w:r>
      <w:r w:rsidRPr="00082B60">
        <w:rPr>
          <w:rFonts w:ascii="Arial" w:hAnsi="Arial"/>
        </w:rPr>
        <w:t xml:space="preserve"> </w:t>
      </w:r>
    </w:p>
    <w:p w:rsidR="000C47AF" w:rsidRPr="00082B60" w:rsidRDefault="000C47AF" w:rsidP="00633E55">
      <w:pPr>
        <w:ind w:left="2160" w:firstLine="720"/>
        <w:rPr>
          <w:rFonts w:ascii="Arial" w:hAnsi="Arial"/>
        </w:rPr>
      </w:pPr>
    </w:p>
    <w:p w:rsidR="00082B60" w:rsidRDefault="00082B60" w:rsidP="00082B60">
      <w:pPr>
        <w:rPr>
          <w:rFonts w:ascii="Arial" w:hAnsi="Arial"/>
          <w:highlight w:val="yellow"/>
        </w:rPr>
      </w:pPr>
    </w:p>
    <w:p w:rsidR="00082B60" w:rsidRPr="00082B60" w:rsidRDefault="00A40867" w:rsidP="00082B60">
      <w:pPr>
        <w:rPr>
          <w:rFonts w:ascii="Arial" w:hAnsi="Arial"/>
        </w:rPr>
      </w:pPr>
      <w:r>
        <w:rPr>
          <w:rFonts w:ascii="Arial" w:hAnsi="Arial"/>
        </w:rPr>
        <w:t>Payment</w:t>
      </w:r>
      <w:r w:rsidR="00082B60" w:rsidRPr="00082B60">
        <w:rPr>
          <w:rFonts w:ascii="Arial" w:hAnsi="Arial"/>
        </w:rPr>
        <w:t xml:space="preserve"> </w:t>
      </w:r>
      <w:r w:rsidR="00082B60" w:rsidRPr="00C63A1F">
        <w:rPr>
          <w:rFonts w:ascii="Arial" w:hAnsi="Arial"/>
          <w:b/>
        </w:rPr>
        <w:t>should not</w:t>
      </w:r>
      <w:r w:rsidR="00082B60" w:rsidRPr="00082B60">
        <w:rPr>
          <w:rFonts w:ascii="Arial" w:hAnsi="Arial"/>
        </w:rPr>
        <w:t xml:space="preserve"> be enclosed in one of the cartons of data. The </w:t>
      </w:r>
      <w:r w:rsidR="00F004D6">
        <w:rPr>
          <w:rFonts w:ascii="Arial" w:hAnsi="Arial"/>
        </w:rPr>
        <w:t>OPSRA</w:t>
      </w:r>
      <w:r w:rsidR="00082B60" w:rsidRPr="00082B60">
        <w:rPr>
          <w:rFonts w:ascii="Arial" w:hAnsi="Arial"/>
        </w:rPr>
        <w:t xml:space="preserve"> will invoice the applicant when </w:t>
      </w:r>
      <w:r w:rsidR="00633E55">
        <w:rPr>
          <w:rFonts w:ascii="Arial" w:hAnsi="Arial"/>
        </w:rPr>
        <w:t>they are notified</w:t>
      </w:r>
      <w:r w:rsidR="00082B60" w:rsidRPr="00082B60">
        <w:rPr>
          <w:rFonts w:ascii="Arial" w:hAnsi="Arial"/>
        </w:rPr>
        <w:t xml:space="preserve"> that the application has been accepted. </w:t>
      </w:r>
    </w:p>
    <w:p w:rsidR="00082B60" w:rsidRPr="00082B60" w:rsidRDefault="00082B60" w:rsidP="00082B60">
      <w:pPr>
        <w:rPr>
          <w:rFonts w:ascii="Arial" w:hAnsi="Arial"/>
          <w:highlight w:val="yellow"/>
        </w:rPr>
      </w:pPr>
    </w:p>
    <w:p w:rsidR="00082B60" w:rsidRPr="00082B60" w:rsidRDefault="00082B60" w:rsidP="00082B60">
      <w:pPr>
        <w:rPr>
          <w:rFonts w:ascii="Arial" w:hAnsi="Arial"/>
        </w:rPr>
      </w:pPr>
      <w:r w:rsidRPr="00082B60">
        <w:rPr>
          <w:rFonts w:ascii="Arial" w:hAnsi="Arial"/>
        </w:rPr>
        <w:t xml:space="preserve">When sending dossiers please ensure that: </w:t>
      </w:r>
    </w:p>
    <w:p w:rsidR="00A57F8B" w:rsidRDefault="00082B60" w:rsidP="00DB34DC">
      <w:pPr>
        <w:pStyle w:val="ListParagraph"/>
        <w:numPr>
          <w:ilvl w:val="0"/>
          <w:numId w:val="26"/>
        </w:numPr>
        <w:spacing w:before="120" w:after="120"/>
        <w:ind w:hanging="357"/>
        <w:contextualSpacing w:val="0"/>
        <w:rPr>
          <w:rFonts w:ascii="Arial" w:hAnsi="Arial"/>
        </w:rPr>
      </w:pPr>
      <w:r w:rsidRPr="00082B60">
        <w:rPr>
          <w:rFonts w:ascii="Arial" w:hAnsi="Arial"/>
        </w:rPr>
        <w:t xml:space="preserve">all dossiers that are delivered in boxes are labelled clearly on at least two sides that are visible when the box is stacked </w:t>
      </w:r>
    </w:p>
    <w:p w:rsidR="00082B60" w:rsidRPr="00082B60" w:rsidRDefault="00082B60" w:rsidP="00DB34DC">
      <w:pPr>
        <w:pStyle w:val="ListParagraph"/>
        <w:numPr>
          <w:ilvl w:val="0"/>
          <w:numId w:val="26"/>
        </w:numPr>
        <w:spacing w:before="120" w:after="120"/>
        <w:ind w:hanging="357"/>
        <w:contextualSpacing w:val="0"/>
        <w:rPr>
          <w:rFonts w:ascii="Arial" w:hAnsi="Arial"/>
        </w:rPr>
      </w:pPr>
      <w:r w:rsidRPr="00082B60">
        <w:rPr>
          <w:rFonts w:ascii="Arial" w:hAnsi="Arial"/>
        </w:rPr>
        <w:t xml:space="preserve">the box label includes: </w:t>
      </w:r>
    </w:p>
    <w:p w:rsidR="00082B60" w:rsidRPr="00082B60" w:rsidRDefault="00082B60" w:rsidP="00DB34DC">
      <w:pPr>
        <w:pStyle w:val="ListParagraph"/>
        <w:numPr>
          <w:ilvl w:val="1"/>
          <w:numId w:val="26"/>
        </w:numPr>
        <w:spacing w:before="120" w:after="120"/>
        <w:ind w:hanging="357"/>
        <w:contextualSpacing w:val="0"/>
        <w:rPr>
          <w:rFonts w:ascii="Arial" w:hAnsi="Arial"/>
        </w:rPr>
      </w:pPr>
      <w:r w:rsidRPr="00082B60">
        <w:rPr>
          <w:rFonts w:ascii="Arial" w:hAnsi="Arial"/>
        </w:rPr>
        <w:t xml:space="preserve">the box number and the total number of boxes associated with the application (eg, Box 1 of 5) </w:t>
      </w:r>
    </w:p>
    <w:p w:rsidR="00082B60" w:rsidRPr="00082B60" w:rsidRDefault="00082B60" w:rsidP="00DB34DC">
      <w:pPr>
        <w:pStyle w:val="ListParagraph"/>
        <w:numPr>
          <w:ilvl w:val="1"/>
          <w:numId w:val="26"/>
        </w:numPr>
        <w:spacing w:before="120" w:after="120"/>
        <w:ind w:hanging="357"/>
        <w:contextualSpacing w:val="0"/>
        <w:rPr>
          <w:rFonts w:ascii="Arial" w:hAnsi="Arial"/>
        </w:rPr>
      </w:pPr>
      <w:r w:rsidRPr="00082B60">
        <w:rPr>
          <w:rFonts w:ascii="Arial" w:hAnsi="Arial"/>
        </w:rPr>
        <w:t xml:space="preserve">the name of the product </w:t>
      </w:r>
    </w:p>
    <w:p w:rsidR="00082B60" w:rsidRPr="00082B60" w:rsidRDefault="00082B60" w:rsidP="00DB34DC">
      <w:pPr>
        <w:pStyle w:val="ListParagraph"/>
        <w:numPr>
          <w:ilvl w:val="1"/>
          <w:numId w:val="26"/>
        </w:numPr>
        <w:spacing w:before="120" w:after="120"/>
        <w:ind w:hanging="357"/>
        <w:contextualSpacing w:val="0"/>
        <w:rPr>
          <w:rFonts w:ascii="Arial" w:hAnsi="Arial"/>
        </w:rPr>
      </w:pPr>
      <w:r w:rsidRPr="00082B60">
        <w:rPr>
          <w:rFonts w:ascii="Arial" w:hAnsi="Arial"/>
        </w:rPr>
        <w:t xml:space="preserve">the contents of each box by module and volume number </w:t>
      </w:r>
    </w:p>
    <w:p w:rsidR="00082B60" w:rsidRPr="00082B60" w:rsidRDefault="00082B60" w:rsidP="00DB34DC">
      <w:pPr>
        <w:pStyle w:val="ListParagraph"/>
        <w:numPr>
          <w:ilvl w:val="0"/>
          <w:numId w:val="26"/>
        </w:numPr>
        <w:spacing w:before="120" w:after="120"/>
        <w:contextualSpacing w:val="0"/>
        <w:rPr>
          <w:rFonts w:ascii="Arial" w:hAnsi="Arial"/>
        </w:rPr>
      </w:pPr>
      <w:r w:rsidRPr="00082B60">
        <w:rPr>
          <w:rFonts w:ascii="Arial" w:hAnsi="Arial"/>
        </w:rPr>
        <w:t>modules 1 &amp; 2 are included in Box 1 (if more than one box), together with the cover letter. If possible, the label of box 1 should be identifiable by colour</w:t>
      </w:r>
    </w:p>
    <w:p w:rsidR="00082B60" w:rsidRPr="00082B60" w:rsidRDefault="00082B60" w:rsidP="00DB34DC">
      <w:pPr>
        <w:pStyle w:val="ListParagraph"/>
        <w:numPr>
          <w:ilvl w:val="0"/>
          <w:numId w:val="26"/>
        </w:numPr>
        <w:spacing w:before="120" w:after="120"/>
        <w:ind w:hanging="357"/>
        <w:contextualSpacing w:val="0"/>
        <w:rPr>
          <w:rFonts w:ascii="Arial" w:hAnsi="Arial"/>
        </w:rPr>
      </w:pPr>
      <w:r w:rsidRPr="00082B60">
        <w:rPr>
          <w:rFonts w:ascii="Arial" w:hAnsi="Arial"/>
        </w:rPr>
        <w:t>each box only contains documentation</w:t>
      </w:r>
      <w:r w:rsidR="00633E55">
        <w:rPr>
          <w:rFonts w:ascii="Arial" w:hAnsi="Arial"/>
        </w:rPr>
        <w:t xml:space="preserve"> relating to one NPPA or NSPPA</w:t>
      </w:r>
    </w:p>
    <w:p w:rsidR="00A57F8B" w:rsidRPr="00082B60" w:rsidRDefault="00A57F8B" w:rsidP="00DB34DC">
      <w:pPr>
        <w:pStyle w:val="ListParagraph"/>
        <w:numPr>
          <w:ilvl w:val="0"/>
          <w:numId w:val="26"/>
        </w:numPr>
        <w:spacing w:before="120" w:after="120"/>
        <w:ind w:hanging="357"/>
        <w:contextualSpacing w:val="0"/>
        <w:rPr>
          <w:rFonts w:ascii="Arial" w:hAnsi="Arial"/>
        </w:rPr>
      </w:pPr>
      <w:r>
        <w:rPr>
          <w:rFonts w:ascii="Arial" w:hAnsi="Arial"/>
        </w:rPr>
        <w:t>b</w:t>
      </w:r>
      <w:r w:rsidRPr="00082B60">
        <w:rPr>
          <w:rFonts w:ascii="Arial" w:hAnsi="Arial"/>
        </w:rPr>
        <w:t>oxes containing volumes of data must be sturdy enough to provide adequate protection to their contents</w:t>
      </w:r>
    </w:p>
    <w:p w:rsidR="00082B60" w:rsidRPr="00082B60" w:rsidRDefault="00082B60" w:rsidP="00DB34DC">
      <w:pPr>
        <w:pStyle w:val="ListParagraph"/>
        <w:numPr>
          <w:ilvl w:val="0"/>
          <w:numId w:val="26"/>
        </w:numPr>
        <w:spacing w:before="120" w:after="120"/>
        <w:ind w:hanging="357"/>
        <w:contextualSpacing w:val="0"/>
        <w:rPr>
          <w:rFonts w:ascii="Arial" w:hAnsi="Arial"/>
        </w:rPr>
      </w:pPr>
      <w:r w:rsidRPr="00082B60">
        <w:rPr>
          <w:rFonts w:ascii="Arial" w:hAnsi="Arial"/>
        </w:rPr>
        <w:t xml:space="preserve">each box weighs less than 10 Kg. </w:t>
      </w:r>
    </w:p>
    <w:p w:rsidR="00082B60" w:rsidRPr="00082B60" w:rsidRDefault="00082B60" w:rsidP="00082B60">
      <w:pPr>
        <w:rPr>
          <w:rFonts w:ascii="Arial" w:hAnsi="Arial"/>
          <w:highlight w:val="yellow"/>
        </w:rPr>
      </w:pPr>
    </w:p>
    <w:p w:rsidR="00082B60" w:rsidRPr="00082B60" w:rsidRDefault="00082B60" w:rsidP="00082B60">
      <w:pPr>
        <w:rPr>
          <w:rFonts w:ascii="Arial" w:hAnsi="Arial"/>
        </w:rPr>
      </w:pPr>
      <w:r w:rsidRPr="00082B60">
        <w:rPr>
          <w:rFonts w:ascii="Arial" w:hAnsi="Arial"/>
        </w:rPr>
        <w:t xml:space="preserve">Applicants should contact the </w:t>
      </w:r>
      <w:r w:rsidR="00F004D6">
        <w:rPr>
          <w:rFonts w:ascii="Arial" w:hAnsi="Arial"/>
        </w:rPr>
        <w:t>OPSRA</w:t>
      </w:r>
      <w:r w:rsidRPr="00082B60">
        <w:rPr>
          <w:rFonts w:ascii="Arial" w:hAnsi="Arial"/>
        </w:rPr>
        <w:t xml:space="preserve"> at </w:t>
      </w:r>
      <w:hyperlink r:id="rId45" w:history="1">
        <w:r w:rsidR="00E35816" w:rsidRPr="00044B2D">
          <w:rPr>
            <w:rStyle w:val="Hyperlink"/>
            <w:rFonts w:ascii="Arial" w:hAnsi="Arial"/>
          </w:rPr>
          <w:t>psychoactives@moh.govt.nz</w:t>
        </w:r>
      </w:hyperlink>
      <w:r w:rsidRPr="00082B60">
        <w:rPr>
          <w:rFonts w:ascii="Arial" w:hAnsi="Arial"/>
        </w:rPr>
        <w:t xml:space="preserve"> prior to submission of their dossier if they have any questions.</w:t>
      </w:r>
    </w:p>
    <w:p w:rsidR="00E92AB5" w:rsidRDefault="00E92AB5" w:rsidP="00CF062F">
      <w:pPr>
        <w:pStyle w:val="Heading3"/>
        <w:numPr>
          <w:ilvl w:val="1"/>
          <w:numId w:val="64"/>
        </w:numPr>
      </w:pPr>
      <w:bookmarkStart w:id="132" w:name="_Toc409508713"/>
      <w:r w:rsidRPr="00E92AB5">
        <w:t xml:space="preserve">Updating the Data </w:t>
      </w:r>
      <w:r>
        <w:t>p</w:t>
      </w:r>
      <w:r w:rsidRPr="00E92AB5">
        <w:t>ackage</w:t>
      </w:r>
      <w:bookmarkEnd w:id="132"/>
      <w:r w:rsidRPr="00E92AB5">
        <w:t xml:space="preserve"> </w:t>
      </w:r>
    </w:p>
    <w:p w:rsidR="00082B60" w:rsidRPr="00082B60" w:rsidRDefault="00082B60" w:rsidP="00082B60">
      <w:pPr>
        <w:rPr>
          <w:rFonts w:ascii="Arial" w:hAnsi="Arial"/>
        </w:rPr>
      </w:pPr>
      <w:r w:rsidRPr="00082B60">
        <w:rPr>
          <w:rFonts w:ascii="Arial" w:hAnsi="Arial"/>
        </w:rPr>
        <w:t xml:space="preserve">While a product is being evaluated, applicants should notify </w:t>
      </w:r>
      <w:r>
        <w:rPr>
          <w:rFonts w:ascii="Arial" w:hAnsi="Arial"/>
        </w:rPr>
        <w:t xml:space="preserve">the </w:t>
      </w:r>
      <w:r w:rsidR="00F004D6">
        <w:rPr>
          <w:rFonts w:ascii="Arial" w:hAnsi="Arial"/>
        </w:rPr>
        <w:t>OPSRA</w:t>
      </w:r>
      <w:r w:rsidRPr="00082B60">
        <w:rPr>
          <w:rFonts w:ascii="Arial" w:hAnsi="Arial"/>
        </w:rPr>
        <w:t xml:space="preserve"> of: </w:t>
      </w:r>
    </w:p>
    <w:p w:rsidR="00082B60" w:rsidRPr="00082B60" w:rsidRDefault="00082B60" w:rsidP="00DB34DC">
      <w:pPr>
        <w:pStyle w:val="ListParagraph"/>
        <w:numPr>
          <w:ilvl w:val="0"/>
          <w:numId w:val="27"/>
        </w:numPr>
        <w:spacing w:before="120" w:after="120"/>
        <w:ind w:left="714" w:hanging="357"/>
        <w:contextualSpacing w:val="0"/>
        <w:rPr>
          <w:rFonts w:ascii="Arial" w:hAnsi="Arial"/>
        </w:rPr>
      </w:pPr>
      <w:r w:rsidRPr="00082B60">
        <w:rPr>
          <w:rFonts w:ascii="Arial" w:hAnsi="Arial"/>
        </w:rPr>
        <w:t xml:space="preserve">any rejections or withdrawals of applications in other countries </w:t>
      </w:r>
    </w:p>
    <w:p w:rsidR="00082B60" w:rsidRPr="00082B60" w:rsidRDefault="00082B60" w:rsidP="00DB34DC">
      <w:pPr>
        <w:pStyle w:val="ListParagraph"/>
        <w:numPr>
          <w:ilvl w:val="0"/>
          <w:numId w:val="27"/>
        </w:numPr>
        <w:spacing w:before="120" w:after="120"/>
        <w:ind w:left="714" w:hanging="357"/>
        <w:contextualSpacing w:val="0"/>
        <w:rPr>
          <w:rFonts w:ascii="Arial" w:hAnsi="Arial"/>
        </w:rPr>
      </w:pPr>
      <w:r w:rsidRPr="00082B60">
        <w:rPr>
          <w:rFonts w:ascii="Arial" w:hAnsi="Arial"/>
        </w:rPr>
        <w:t xml:space="preserve">any serious adverse effects observed for the first time, or at a frequency which has become a concern. </w:t>
      </w:r>
    </w:p>
    <w:p w:rsidR="00082B60" w:rsidRDefault="00082B60" w:rsidP="00082B60">
      <w:pPr>
        <w:rPr>
          <w:rFonts w:ascii="Arial" w:hAnsi="Arial"/>
        </w:rPr>
      </w:pPr>
      <w:r>
        <w:rPr>
          <w:rFonts w:ascii="Arial" w:hAnsi="Arial"/>
        </w:rPr>
        <w:t xml:space="preserve">Applicants can do so by emailing the </w:t>
      </w:r>
      <w:r w:rsidR="00F004D6">
        <w:rPr>
          <w:rFonts w:ascii="Arial" w:hAnsi="Arial"/>
        </w:rPr>
        <w:t>OPSRA</w:t>
      </w:r>
      <w:r>
        <w:rPr>
          <w:rFonts w:ascii="Arial" w:hAnsi="Arial"/>
        </w:rPr>
        <w:t xml:space="preserve"> at </w:t>
      </w:r>
      <w:hyperlink r:id="rId46" w:history="1">
        <w:r w:rsidR="00633E55" w:rsidRPr="0069415E">
          <w:rPr>
            <w:rStyle w:val="Hyperlink"/>
            <w:rFonts w:ascii="Arial" w:hAnsi="Arial"/>
          </w:rPr>
          <w:t>psychoactives@moh.govt.nz</w:t>
        </w:r>
      </w:hyperlink>
      <w:r>
        <w:rPr>
          <w:rFonts w:ascii="Arial" w:hAnsi="Arial"/>
        </w:rPr>
        <w:t xml:space="preserve"> and referencing the product name and </w:t>
      </w:r>
      <w:r w:rsidR="00F004D6">
        <w:rPr>
          <w:rFonts w:ascii="Arial" w:hAnsi="Arial"/>
        </w:rPr>
        <w:t>OPSRA</w:t>
      </w:r>
      <w:r>
        <w:rPr>
          <w:rFonts w:ascii="Arial" w:hAnsi="Arial"/>
        </w:rPr>
        <w:t xml:space="preserve"> file number</w:t>
      </w:r>
      <w:r w:rsidR="00633E55">
        <w:rPr>
          <w:rFonts w:ascii="Arial" w:hAnsi="Arial"/>
        </w:rPr>
        <w:t>,</w:t>
      </w:r>
      <w:r>
        <w:rPr>
          <w:rFonts w:ascii="Arial" w:hAnsi="Arial"/>
        </w:rPr>
        <w:t xml:space="preserve"> if known.</w:t>
      </w:r>
    </w:p>
    <w:p w:rsidR="00082B60" w:rsidRDefault="00082B60" w:rsidP="00082B60">
      <w:pPr>
        <w:rPr>
          <w:rFonts w:ascii="Arial" w:hAnsi="Arial"/>
        </w:rPr>
      </w:pPr>
    </w:p>
    <w:p w:rsidR="00082B60" w:rsidRDefault="00082B60" w:rsidP="00082B60">
      <w:pPr>
        <w:rPr>
          <w:rFonts w:ascii="Arial" w:hAnsi="Arial"/>
        </w:rPr>
      </w:pPr>
      <w:r w:rsidRPr="00082B60">
        <w:rPr>
          <w:rFonts w:ascii="Arial" w:hAnsi="Arial"/>
        </w:rPr>
        <w:t xml:space="preserve">Applicants should consider withdrawing an application if, during the evaluation period, significant new data become available that are contrary to the use of the </w:t>
      </w:r>
      <w:r>
        <w:rPr>
          <w:rFonts w:ascii="Arial" w:hAnsi="Arial"/>
        </w:rPr>
        <w:t>product</w:t>
      </w:r>
      <w:r w:rsidRPr="00082B60">
        <w:rPr>
          <w:rFonts w:ascii="Arial" w:hAnsi="Arial"/>
        </w:rPr>
        <w:t>.</w:t>
      </w:r>
    </w:p>
    <w:p w:rsidR="00082B60" w:rsidRDefault="00082B60" w:rsidP="00082B60">
      <w:pPr>
        <w:rPr>
          <w:rFonts w:ascii="Arial" w:hAnsi="Arial"/>
        </w:rPr>
      </w:pPr>
    </w:p>
    <w:p w:rsidR="00082B60" w:rsidRDefault="00082B60" w:rsidP="00082B60">
      <w:pPr>
        <w:rPr>
          <w:rFonts w:ascii="Arial" w:hAnsi="Arial"/>
        </w:rPr>
      </w:pPr>
      <w:r>
        <w:rPr>
          <w:rFonts w:ascii="Arial" w:hAnsi="Arial"/>
        </w:rPr>
        <w:t xml:space="preserve">Once an application has been submitted, the </w:t>
      </w:r>
      <w:r w:rsidR="00F004D6">
        <w:rPr>
          <w:rFonts w:ascii="Arial" w:hAnsi="Arial"/>
        </w:rPr>
        <w:t>OPSRA</w:t>
      </w:r>
      <w:r>
        <w:rPr>
          <w:rFonts w:ascii="Arial" w:hAnsi="Arial"/>
        </w:rPr>
        <w:t xml:space="preserve"> will not accept any updates to the data package, other than those specified above, unless the data has specifically been requested by the </w:t>
      </w:r>
      <w:r w:rsidR="00F004D6">
        <w:rPr>
          <w:rFonts w:ascii="Arial" w:hAnsi="Arial"/>
        </w:rPr>
        <w:t>OPSRA</w:t>
      </w:r>
      <w:r>
        <w:rPr>
          <w:rFonts w:ascii="Arial" w:hAnsi="Arial"/>
        </w:rPr>
        <w:t>.</w:t>
      </w:r>
    </w:p>
    <w:p w:rsidR="00E92AB5" w:rsidRDefault="00E92AB5" w:rsidP="00CF062F">
      <w:pPr>
        <w:pStyle w:val="Heading3"/>
        <w:numPr>
          <w:ilvl w:val="1"/>
          <w:numId w:val="64"/>
        </w:numPr>
      </w:pPr>
      <w:bookmarkStart w:id="133" w:name="_Toc409508714"/>
      <w:r w:rsidRPr="00E92AB5">
        <w:t>Sponsors’ Responsibility to Retain Copies of All Documents</w:t>
      </w:r>
      <w:bookmarkEnd w:id="133"/>
      <w:r w:rsidRPr="00E92AB5">
        <w:t xml:space="preserve"> </w:t>
      </w:r>
    </w:p>
    <w:p w:rsidR="00082B60" w:rsidRPr="00082B60" w:rsidRDefault="00082B60" w:rsidP="00082B60">
      <w:pPr>
        <w:rPr>
          <w:rFonts w:ascii="Arial" w:hAnsi="Arial"/>
        </w:rPr>
      </w:pPr>
      <w:r w:rsidRPr="00082B60">
        <w:rPr>
          <w:rFonts w:ascii="Arial" w:hAnsi="Arial"/>
        </w:rPr>
        <w:t xml:space="preserve">Sponsors are expected to retain a copy of all documentation submitted to </w:t>
      </w:r>
      <w:r>
        <w:rPr>
          <w:rFonts w:ascii="Arial" w:hAnsi="Arial"/>
        </w:rPr>
        <w:t xml:space="preserve">the </w:t>
      </w:r>
      <w:r w:rsidR="00F004D6">
        <w:rPr>
          <w:rFonts w:ascii="Arial" w:hAnsi="Arial"/>
        </w:rPr>
        <w:t>OPSRA</w:t>
      </w:r>
      <w:r w:rsidRPr="00082B60">
        <w:rPr>
          <w:rFonts w:ascii="Arial" w:hAnsi="Arial"/>
        </w:rPr>
        <w:t xml:space="preserve"> and all correspondence relating to </w:t>
      </w:r>
      <w:r>
        <w:rPr>
          <w:rFonts w:ascii="Arial" w:hAnsi="Arial"/>
        </w:rPr>
        <w:t>NPPAs, NSPPAs, and package inserts</w:t>
      </w:r>
      <w:r w:rsidRPr="00082B60">
        <w:rPr>
          <w:rFonts w:ascii="Arial" w:hAnsi="Arial"/>
        </w:rPr>
        <w:t xml:space="preserve">. They are also expected to retain copies of product specifications and certificates of analysis for each batch of their products distributed in New Zealand. </w:t>
      </w:r>
    </w:p>
    <w:p w:rsidR="00082B60" w:rsidRDefault="00082B60" w:rsidP="00082B60">
      <w:pPr>
        <w:rPr>
          <w:rFonts w:ascii="Arial" w:hAnsi="Arial"/>
        </w:rPr>
      </w:pPr>
    </w:p>
    <w:p w:rsidR="00082B60" w:rsidRPr="00082B60" w:rsidRDefault="00082B60" w:rsidP="00082B60">
      <w:pPr>
        <w:rPr>
          <w:rFonts w:ascii="Arial" w:hAnsi="Arial"/>
        </w:rPr>
      </w:pPr>
      <w:r w:rsidRPr="00082B60">
        <w:rPr>
          <w:rFonts w:ascii="Arial" w:hAnsi="Arial"/>
        </w:rPr>
        <w:t>In the event of a company merger or takeover, regulatory files should be transferred to the new sponsor</w:t>
      </w:r>
      <w:r>
        <w:rPr>
          <w:rFonts w:ascii="Arial" w:hAnsi="Arial"/>
        </w:rPr>
        <w:t xml:space="preserve"> and an NSPPA should be submitted to the </w:t>
      </w:r>
      <w:r w:rsidR="00F004D6">
        <w:rPr>
          <w:rFonts w:ascii="Arial" w:hAnsi="Arial"/>
        </w:rPr>
        <w:t>OPSRA</w:t>
      </w:r>
      <w:r>
        <w:rPr>
          <w:rFonts w:ascii="Arial" w:hAnsi="Arial"/>
        </w:rPr>
        <w:t xml:space="preserve"> to notify of the change</w:t>
      </w:r>
      <w:r w:rsidRPr="00082B60">
        <w:rPr>
          <w:rFonts w:ascii="Arial" w:hAnsi="Arial"/>
        </w:rPr>
        <w:t>.</w:t>
      </w:r>
    </w:p>
    <w:p w:rsidR="00082B60" w:rsidRPr="00082B60" w:rsidRDefault="00082B60" w:rsidP="00CF062F">
      <w:pPr>
        <w:pStyle w:val="Heading3"/>
        <w:numPr>
          <w:ilvl w:val="1"/>
          <w:numId w:val="64"/>
        </w:numPr>
        <w:ind w:left="709" w:hanging="709"/>
      </w:pPr>
      <w:bookmarkStart w:id="134" w:name="_Toc396292861"/>
      <w:bookmarkStart w:id="135" w:name="_Toc396293249"/>
      <w:bookmarkStart w:id="136" w:name="_Toc396293625"/>
      <w:bookmarkStart w:id="137" w:name="_Toc396297618"/>
      <w:bookmarkStart w:id="138" w:name="_Toc396297809"/>
      <w:bookmarkStart w:id="139" w:name="_Toc396298000"/>
      <w:bookmarkStart w:id="140" w:name="_Toc396298195"/>
      <w:bookmarkStart w:id="141" w:name="_Toc396313768"/>
      <w:bookmarkStart w:id="142" w:name="_Toc396721407"/>
      <w:bookmarkStart w:id="143" w:name="_Toc396816611"/>
      <w:bookmarkStart w:id="144" w:name="_Toc396828628"/>
      <w:bookmarkStart w:id="145" w:name="_Toc397694999"/>
      <w:bookmarkStart w:id="146" w:name="_Toc409508715"/>
      <w:bookmarkEnd w:id="134"/>
      <w:bookmarkEnd w:id="135"/>
      <w:bookmarkEnd w:id="136"/>
      <w:bookmarkEnd w:id="137"/>
      <w:bookmarkEnd w:id="138"/>
      <w:bookmarkEnd w:id="139"/>
      <w:bookmarkEnd w:id="140"/>
      <w:bookmarkEnd w:id="141"/>
      <w:bookmarkEnd w:id="142"/>
      <w:bookmarkEnd w:id="143"/>
      <w:bookmarkEnd w:id="144"/>
      <w:bookmarkEnd w:id="145"/>
      <w:r w:rsidRPr="00082B60">
        <w:t>Proprietary Names</w:t>
      </w:r>
      <w:bookmarkEnd w:id="146"/>
    </w:p>
    <w:p w:rsidR="0051768A" w:rsidRDefault="00082B60" w:rsidP="00082B60">
      <w:pPr>
        <w:rPr>
          <w:rFonts w:ascii="Arial" w:hAnsi="Arial"/>
        </w:rPr>
      </w:pPr>
      <w:r w:rsidRPr="00082B60">
        <w:rPr>
          <w:rFonts w:ascii="Arial" w:hAnsi="Arial"/>
        </w:rPr>
        <w:t xml:space="preserve">The proposed proprietary name for a new </w:t>
      </w:r>
      <w:r>
        <w:rPr>
          <w:rFonts w:ascii="Arial" w:hAnsi="Arial"/>
        </w:rPr>
        <w:t>psychoactive</w:t>
      </w:r>
      <w:r w:rsidRPr="00082B60">
        <w:rPr>
          <w:rFonts w:ascii="Arial" w:hAnsi="Arial"/>
        </w:rPr>
        <w:t xml:space="preserve"> product must </w:t>
      </w:r>
      <w:r w:rsidR="00596186">
        <w:rPr>
          <w:rFonts w:ascii="Arial" w:hAnsi="Arial"/>
        </w:rPr>
        <w:t>not</w:t>
      </w:r>
    </w:p>
    <w:p w:rsidR="0051768A" w:rsidRDefault="0051768A" w:rsidP="00082B60">
      <w:pPr>
        <w:rPr>
          <w:rFonts w:ascii="Arial" w:hAnsi="Arial"/>
        </w:rPr>
      </w:pPr>
    </w:p>
    <w:p w:rsidR="0051768A" w:rsidRDefault="00082B60" w:rsidP="00CF062F">
      <w:pPr>
        <w:pStyle w:val="ListParagraph"/>
        <w:numPr>
          <w:ilvl w:val="0"/>
          <w:numId w:val="57"/>
        </w:numPr>
        <w:rPr>
          <w:rFonts w:ascii="Arial" w:hAnsi="Arial"/>
        </w:rPr>
      </w:pPr>
      <w:r w:rsidRPr="00C63A1F">
        <w:rPr>
          <w:rFonts w:ascii="Arial" w:hAnsi="Arial"/>
        </w:rPr>
        <w:t xml:space="preserve">be similar to, or likely to be confused in any way with another approved product currently registered in New Zealand. </w:t>
      </w:r>
    </w:p>
    <w:p w:rsidR="0051768A" w:rsidRDefault="00082B60" w:rsidP="00CF062F">
      <w:pPr>
        <w:pStyle w:val="ListParagraph"/>
        <w:numPr>
          <w:ilvl w:val="0"/>
          <w:numId w:val="57"/>
        </w:numPr>
        <w:rPr>
          <w:rFonts w:ascii="Arial" w:hAnsi="Arial"/>
        </w:rPr>
      </w:pPr>
      <w:r w:rsidRPr="00C63A1F">
        <w:rPr>
          <w:rFonts w:ascii="Arial" w:hAnsi="Arial"/>
        </w:rPr>
        <w:t xml:space="preserve">be likely to be confused with any non-psychoactive product available in New Zealand </w:t>
      </w:r>
    </w:p>
    <w:p w:rsidR="00082B60" w:rsidRPr="00C63A1F" w:rsidRDefault="00082B60" w:rsidP="00CF062F">
      <w:pPr>
        <w:pStyle w:val="ListParagraph"/>
        <w:numPr>
          <w:ilvl w:val="0"/>
          <w:numId w:val="57"/>
        </w:numPr>
        <w:rPr>
          <w:rFonts w:ascii="Arial" w:hAnsi="Arial"/>
        </w:rPr>
      </w:pPr>
      <w:r w:rsidRPr="00C63A1F">
        <w:rPr>
          <w:rFonts w:ascii="Arial" w:hAnsi="Arial"/>
        </w:rPr>
        <w:t>be misleading in any way with regard to the nature, composition, purpose, uses or effects of the product.</w:t>
      </w:r>
    </w:p>
    <w:p w:rsidR="00082B60" w:rsidRDefault="00082B60" w:rsidP="00082B60">
      <w:pPr>
        <w:rPr>
          <w:rFonts w:ascii="Arial" w:hAnsi="Arial"/>
        </w:rPr>
      </w:pPr>
    </w:p>
    <w:p w:rsidR="00DB34DC" w:rsidRDefault="00E92AB5" w:rsidP="00CF062F">
      <w:pPr>
        <w:pStyle w:val="Heading3"/>
        <w:numPr>
          <w:ilvl w:val="1"/>
          <w:numId w:val="64"/>
        </w:numPr>
      </w:pPr>
      <w:bookmarkStart w:id="147" w:name="_Toc409508716"/>
      <w:r>
        <w:t>Labelling</w:t>
      </w:r>
      <w:bookmarkEnd w:id="147"/>
      <w:r>
        <w:t xml:space="preserve"> </w:t>
      </w:r>
    </w:p>
    <w:p w:rsidR="001A2E58" w:rsidRPr="00DB34DC" w:rsidRDefault="001A2E58" w:rsidP="00CF062F">
      <w:pPr>
        <w:pStyle w:val="ListParagraph"/>
        <w:numPr>
          <w:ilvl w:val="2"/>
          <w:numId w:val="64"/>
        </w:numPr>
        <w:spacing w:before="240"/>
        <w:ind w:left="993" w:hanging="993"/>
        <w:contextualSpacing w:val="0"/>
        <w:rPr>
          <w:rStyle w:val="Arial"/>
          <w:i/>
          <w:iCs/>
        </w:rPr>
      </w:pPr>
      <w:r w:rsidRPr="00DB34DC">
        <w:rPr>
          <w:rStyle w:val="Arial"/>
          <w:i/>
          <w:iCs/>
        </w:rPr>
        <w:t xml:space="preserve">Legislation </w:t>
      </w:r>
    </w:p>
    <w:p w:rsidR="00A40867" w:rsidRPr="00A40867" w:rsidRDefault="00A40867" w:rsidP="00A40867">
      <w:pPr>
        <w:pStyle w:val="ListParagraph"/>
        <w:ind w:left="1072"/>
        <w:rPr>
          <w:rFonts w:ascii="Arial" w:hAnsi="Arial"/>
        </w:rPr>
      </w:pPr>
    </w:p>
    <w:p w:rsidR="00A40867" w:rsidRPr="00A40867" w:rsidRDefault="00A40867" w:rsidP="00A40867">
      <w:pPr>
        <w:pStyle w:val="ListParagraph"/>
        <w:pBdr>
          <w:top w:val="single" w:sz="18" w:space="1" w:color="auto"/>
          <w:left w:val="single" w:sz="18" w:space="4" w:color="auto"/>
          <w:bottom w:val="single" w:sz="18" w:space="1" w:color="auto"/>
          <w:right w:val="single" w:sz="18" w:space="4" w:color="auto"/>
        </w:pBdr>
        <w:ind w:left="0"/>
        <w:rPr>
          <w:rFonts w:ascii="Arial" w:hAnsi="Arial"/>
          <w:lang w:val="en-US"/>
        </w:rPr>
      </w:pPr>
      <w:r w:rsidRPr="00A40867">
        <w:rPr>
          <w:rFonts w:ascii="Arial" w:hAnsi="Arial"/>
          <w:lang w:val="en-US"/>
        </w:rPr>
        <w:t xml:space="preserve">This guideline includes guidance on best labelling practices. Sponsors are </w:t>
      </w:r>
      <w:r w:rsidRPr="00A40867">
        <w:rPr>
          <w:rFonts w:ascii="Arial" w:hAnsi="Arial"/>
        </w:rPr>
        <w:t>strongly recommended</w:t>
      </w:r>
      <w:r w:rsidRPr="00A40867">
        <w:rPr>
          <w:rFonts w:ascii="Arial" w:hAnsi="Arial"/>
          <w:lang w:val="en-US"/>
        </w:rPr>
        <w:t xml:space="preserve"> to apply best practice concepts when designing labels. Although best practice labelling is not mandatory, any deviations should be suitably justified on the basis of user safety. </w:t>
      </w:r>
    </w:p>
    <w:p w:rsidR="00BC6862" w:rsidRPr="00BC6862" w:rsidRDefault="00BC6862" w:rsidP="00BC6862">
      <w:pPr>
        <w:rPr>
          <w:rStyle w:val="Arial"/>
          <w:i/>
          <w:iCs/>
        </w:rPr>
      </w:pPr>
    </w:p>
    <w:p w:rsidR="001A2E58" w:rsidRPr="000F1FF2" w:rsidRDefault="001A2E58" w:rsidP="001A2E58">
      <w:pPr>
        <w:rPr>
          <w:rStyle w:val="Arial"/>
        </w:rPr>
      </w:pPr>
      <w:r w:rsidRPr="000F1FF2">
        <w:rPr>
          <w:rStyle w:val="Arial"/>
        </w:rPr>
        <w:t xml:space="preserve">The following legislation governs the labelling of psychoactive products </w:t>
      </w:r>
      <w:r w:rsidR="00A875BD" w:rsidRPr="000F1FF2">
        <w:rPr>
          <w:rStyle w:val="Arial"/>
        </w:rPr>
        <w:t>in New Zealand:</w:t>
      </w:r>
      <w:r w:rsidRPr="000F1FF2">
        <w:rPr>
          <w:rStyle w:val="Arial"/>
        </w:rPr>
        <w:t xml:space="preserve"> </w:t>
      </w:r>
    </w:p>
    <w:p w:rsidR="008C0773" w:rsidRPr="00A40867" w:rsidRDefault="002916A6" w:rsidP="00DB34DC">
      <w:pPr>
        <w:pStyle w:val="ListParagraph"/>
        <w:numPr>
          <w:ilvl w:val="0"/>
          <w:numId w:val="19"/>
        </w:numPr>
        <w:spacing w:before="120" w:after="120"/>
        <w:ind w:left="714" w:hanging="357"/>
        <w:contextualSpacing w:val="0"/>
        <w:rPr>
          <w:rFonts w:ascii="Arial" w:hAnsi="Arial" w:cs="Arial"/>
        </w:rPr>
      </w:pPr>
      <w:hyperlink r:id="rId47" w:history="1">
        <w:r w:rsidR="00A875BD" w:rsidRPr="00A40867">
          <w:rPr>
            <w:rStyle w:val="Hyperlink"/>
            <w:rFonts w:ascii="Arial" w:hAnsi="Arial" w:cs="Arial"/>
            <w:color w:val="auto"/>
            <w:u w:val="none"/>
          </w:rPr>
          <w:t>s</w:t>
        </w:r>
        <w:r w:rsidR="001A2E58" w:rsidRPr="00A40867">
          <w:rPr>
            <w:rStyle w:val="Hyperlink"/>
            <w:rFonts w:ascii="Arial" w:hAnsi="Arial" w:cs="Arial"/>
            <w:color w:val="auto"/>
            <w:u w:val="none"/>
          </w:rPr>
          <w:t>ection 58</w:t>
        </w:r>
        <w:r w:rsidR="00A875BD" w:rsidRPr="00A40867">
          <w:rPr>
            <w:rStyle w:val="Hyperlink"/>
            <w:rFonts w:ascii="Arial" w:hAnsi="Arial" w:cs="Arial"/>
            <w:color w:val="auto"/>
            <w:u w:val="none"/>
          </w:rPr>
          <w:t xml:space="preserve"> of the </w:t>
        </w:r>
        <w:r w:rsidR="00A40867" w:rsidRPr="00A40867">
          <w:rPr>
            <w:rStyle w:val="Hyperlink"/>
            <w:rFonts w:ascii="Arial" w:hAnsi="Arial" w:cs="Arial"/>
            <w:color w:val="auto"/>
            <w:u w:val="none"/>
          </w:rPr>
          <w:t xml:space="preserve">Psychoactive Substances </w:t>
        </w:r>
        <w:r w:rsidR="00A875BD" w:rsidRPr="00A40867">
          <w:rPr>
            <w:rStyle w:val="Hyperlink"/>
            <w:rFonts w:ascii="Arial" w:hAnsi="Arial" w:cs="Arial"/>
            <w:color w:val="auto"/>
            <w:u w:val="none"/>
          </w:rPr>
          <w:t>Act</w:t>
        </w:r>
      </w:hyperlink>
      <w:r w:rsidR="00A40867" w:rsidRPr="00A40867">
        <w:rPr>
          <w:rStyle w:val="Hyperlink"/>
          <w:rFonts w:ascii="Arial" w:hAnsi="Arial" w:cs="Arial"/>
          <w:color w:val="auto"/>
          <w:u w:val="none"/>
        </w:rPr>
        <w:t xml:space="preserve"> 2013</w:t>
      </w:r>
      <w:r w:rsidR="001A2E58" w:rsidRPr="00A40867">
        <w:rPr>
          <w:rFonts w:ascii="Arial" w:hAnsi="Arial" w:cs="Arial"/>
        </w:rPr>
        <w:t xml:space="preserve"> </w:t>
      </w:r>
      <w:r w:rsidR="008C0773" w:rsidRPr="00A40867">
        <w:rPr>
          <w:rFonts w:ascii="Arial" w:hAnsi="Arial" w:cs="Arial"/>
        </w:rPr>
        <w:t>-</w:t>
      </w:r>
      <w:r w:rsidR="00A875BD" w:rsidRPr="00A40867">
        <w:rPr>
          <w:rFonts w:ascii="Arial" w:hAnsi="Arial" w:cs="Arial"/>
        </w:rPr>
        <w:t xml:space="preserve"> </w:t>
      </w:r>
      <w:r w:rsidR="008C0773" w:rsidRPr="00A40867">
        <w:rPr>
          <w:rFonts w:ascii="Arial" w:hAnsi="Arial" w:cs="Arial"/>
        </w:rPr>
        <w:t>Restrictions and requirements relating to labelling of approved products</w:t>
      </w:r>
    </w:p>
    <w:p w:rsidR="00A875BD" w:rsidRPr="00A875BD" w:rsidRDefault="002916A6" w:rsidP="00DB34DC">
      <w:pPr>
        <w:pStyle w:val="ListParagraph"/>
        <w:numPr>
          <w:ilvl w:val="0"/>
          <w:numId w:val="19"/>
        </w:numPr>
        <w:spacing w:before="120" w:after="120"/>
        <w:ind w:left="714" w:hanging="357"/>
        <w:contextualSpacing w:val="0"/>
        <w:rPr>
          <w:rFonts w:ascii="Arial" w:hAnsi="Arial" w:cs="Arial"/>
        </w:rPr>
      </w:pPr>
      <w:hyperlink r:id="rId48" w:history="1">
        <w:r w:rsidR="00A875BD" w:rsidRPr="00A40867">
          <w:rPr>
            <w:rStyle w:val="Hyperlink"/>
            <w:rFonts w:ascii="Arial" w:hAnsi="Arial" w:cs="Arial"/>
            <w:color w:val="auto"/>
            <w:u w:val="none"/>
          </w:rPr>
          <w:t xml:space="preserve">regulation 9 of the </w:t>
        </w:r>
        <w:r w:rsidR="00A40867" w:rsidRPr="00A40867">
          <w:rPr>
            <w:rStyle w:val="Hyperlink"/>
            <w:rFonts w:ascii="Arial" w:hAnsi="Arial" w:cs="Arial"/>
            <w:color w:val="auto"/>
            <w:u w:val="none"/>
          </w:rPr>
          <w:t xml:space="preserve">Psychoactive Substances </w:t>
        </w:r>
        <w:r w:rsidR="00A875BD" w:rsidRPr="00A40867">
          <w:rPr>
            <w:rStyle w:val="Hyperlink"/>
            <w:rFonts w:ascii="Arial" w:hAnsi="Arial" w:cs="Arial"/>
            <w:color w:val="auto"/>
            <w:u w:val="none"/>
          </w:rPr>
          <w:t>Regulations</w:t>
        </w:r>
      </w:hyperlink>
      <w:r w:rsidR="00A40867" w:rsidRPr="00A40867">
        <w:rPr>
          <w:rStyle w:val="Hyperlink"/>
          <w:rFonts w:ascii="Arial" w:hAnsi="Arial" w:cs="Arial"/>
          <w:color w:val="auto"/>
          <w:u w:val="none"/>
        </w:rPr>
        <w:t xml:space="preserve"> 2014</w:t>
      </w:r>
      <w:r w:rsidR="00A875BD" w:rsidRPr="00A40867">
        <w:rPr>
          <w:rFonts w:ascii="Arial" w:hAnsi="Arial" w:cs="Arial"/>
        </w:rPr>
        <w:t xml:space="preserve"> – </w:t>
      </w:r>
      <w:r w:rsidR="00A875BD">
        <w:rPr>
          <w:rFonts w:ascii="Arial" w:hAnsi="Arial" w:cs="Arial"/>
        </w:rPr>
        <w:t>Labelling of approved products</w:t>
      </w:r>
    </w:p>
    <w:p w:rsidR="00BC6862" w:rsidRDefault="00BC6862" w:rsidP="00BC6862">
      <w:pPr>
        <w:rPr>
          <w:rStyle w:val="Arial"/>
          <w:i/>
          <w:iCs/>
        </w:rPr>
      </w:pPr>
    </w:p>
    <w:p w:rsidR="001A2E58" w:rsidRPr="00DB34DC" w:rsidRDefault="001A2E58" w:rsidP="00CF062F">
      <w:pPr>
        <w:pStyle w:val="ListParagraph"/>
        <w:numPr>
          <w:ilvl w:val="2"/>
          <w:numId w:val="64"/>
        </w:numPr>
        <w:ind w:left="993" w:hanging="993"/>
        <w:rPr>
          <w:rStyle w:val="Arial"/>
          <w:i/>
          <w:iCs/>
        </w:rPr>
      </w:pPr>
      <w:r w:rsidRPr="00DB34DC">
        <w:rPr>
          <w:rStyle w:val="Arial"/>
          <w:i/>
          <w:iCs/>
        </w:rPr>
        <w:t>Mandatory labelling requirements for Psychoactive Products</w:t>
      </w:r>
    </w:p>
    <w:p w:rsidR="00A40867" w:rsidRPr="00C63A1F" w:rsidRDefault="00A40867" w:rsidP="00A40867">
      <w:pPr>
        <w:rPr>
          <w:rFonts w:ascii="Arial" w:hAnsi="Arial"/>
          <w:i/>
          <w:lang w:val="en-US"/>
        </w:rPr>
      </w:pPr>
    </w:p>
    <w:p w:rsidR="004B0CB2" w:rsidRPr="004B0CB2" w:rsidRDefault="00A875BD" w:rsidP="000F1FF2">
      <w:pPr>
        <w:rPr>
          <w:rFonts w:ascii="Arial" w:hAnsi="Arial"/>
        </w:rPr>
      </w:pPr>
      <w:r w:rsidRPr="004B0CB2">
        <w:rPr>
          <w:rFonts w:ascii="Arial" w:hAnsi="Arial"/>
        </w:rPr>
        <w:t>A</w:t>
      </w:r>
      <w:r w:rsidR="000A7537">
        <w:rPr>
          <w:rFonts w:ascii="Arial" w:hAnsi="Arial"/>
        </w:rPr>
        <w:t xml:space="preserve">ll </w:t>
      </w:r>
      <w:r w:rsidRPr="004B0CB2">
        <w:rPr>
          <w:rFonts w:ascii="Arial" w:hAnsi="Arial"/>
        </w:rPr>
        <w:t xml:space="preserve">containers of psychoactive products must </w:t>
      </w:r>
      <w:r w:rsidR="0051768A">
        <w:rPr>
          <w:rFonts w:ascii="Arial" w:hAnsi="Arial"/>
        </w:rPr>
        <w:t>comply with mandatory labelling requirements</w:t>
      </w:r>
      <w:r w:rsidR="00A40867">
        <w:rPr>
          <w:rFonts w:ascii="Arial" w:hAnsi="Arial"/>
        </w:rPr>
        <w:t>.</w:t>
      </w:r>
      <w:r w:rsidR="0051768A">
        <w:rPr>
          <w:rFonts w:ascii="Arial" w:hAnsi="Arial"/>
        </w:rPr>
        <w:t xml:space="preserve"> </w:t>
      </w:r>
    </w:p>
    <w:p w:rsidR="004B0CB2" w:rsidRPr="004B0CB2" w:rsidRDefault="004B0CB2" w:rsidP="000F1FF2">
      <w:pPr>
        <w:rPr>
          <w:rFonts w:ascii="Arial" w:hAnsi="Arial"/>
        </w:rPr>
      </w:pPr>
    </w:p>
    <w:p w:rsidR="0051768A" w:rsidRDefault="001A2E58" w:rsidP="000F1FF2">
      <w:pPr>
        <w:rPr>
          <w:rFonts w:ascii="Arial" w:hAnsi="Arial"/>
          <w:lang w:val="en-US"/>
        </w:rPr>
      </w:pPr>
      <w:r w:rsidRPr="004B0CB2">
        <w:rPr>
          <w:rFonts w:ascii="Arial" w:hAnsi="Arial"/>
          <w:lang w:val="en-US"/>
        </w:rPr>
        <w:t xml:space="preserve">Product </w:t>
      </w:r>
      <w:r w:rsidR="006F6DA3" w:rsidRPr="004B0CB2">
        <w:rPr>
          <w:rFonts w:ascii="Arial" w:hAnsi="Arial"/>
          <w:lang w:val="en-US"/>
        </w:rPr>
        <w:t>sponsors</w:t>
      </w:r>
      <w:r w:rsidRPr="004B0CB2">
        <w:rPr>
          <w:rFonts w:ascii="Arial" w:hAnsi="Arial"/>
          <w:lang w:val="en-US"/>
        </w:rPr>
        <w:t xml:space="preserve"> must ensure labels include all of the required information and that the appearance and layout of the label are designed to</w:t>
      </w:r>
      <w:r w:rsidRPr="004B0CB2">
        <w:rPr>
          <w:rFonts w:ascii="Arial" w:hAnsi="Arial"/>
        </w:rPr>
        <w:t xml:space="preserve"> maximise</w:t>
      </w:r>
      <w:r w:rsidRPr="004B0CB2">
        <w:rPr>
          <w:rFonts w:ascii="Arial" w:hAnsi="Arial"/>
          <w:lang w:val="en-US"/>
        </w:rPr>
        <w:t xml:space="preserve"> the safe use of the product. </w:t>
      </w:r>
      <w:r w:rsidR="00A40867">
        <w:rPr>
          <w:rFonts w:ascii="Arial" w:hAnsi="Arial"/>
          <w:lang w:val="en-US"/>
        </w:rPr>
        <w:t>A</w:t>
      </w:r>
      <w:r w:rsidR="0051768A" w:rsidRPr="0051768A">
        <w:rPr>
          <w:rFonts w:ascii="Arial" w:hAnsi="Arial"/>
          <w:lang w:val="en-US"/>
        </w:rPr>
        <w:t xml:space="preserve"> label must not be designed in a way that is likely to appeal to minors </w:t>
      </w:r>
    </w:p>
    <w:p w:rsidR="004B0CB2" w:rsidRPr="004B0CB2" w:rsidRDefault="004B0CB2" w:rsidP="000F1FF2">
      <w:pPr>
        <w:rPr>
          <w:rFonts w:ascii="Arial" w:hAnsi="Arial"/>
          <w:lang w:val="en-US"/>
        </w:rPr>
      </w:pPr>
    </w:p>
    <w:p w:rsidR="004B0CB2" w:rsidRPr="00C63A1F" w:rsidRDefault="004B0CB2" w:rsidP="000F1FF2">
      <w:pPr>
        <w:rPr>
          <w:i/>
          <w:lang w:val="en-US"/>
        </w:rPr>
      </w:pPr>
    </w:p>
    <w:p w:rsidR="004B0CB2" w:rsidRDefault="00596186" w:rsidP="004B0CB2">
      <w:pPr>
        <w:rPr>
          <w:rStyle w:val="Arial"/>
        </w:rPr>
      </w:pPr>
      <w:r>
        <w:rPr>
          <w:rStyle w:val="Arial"/>
        </w:rPr>
        <w:t>C</w:t>
      </w:r>
      <w:r w:rsidR="004B0CB2" w:rsidRPr="000F1FF2">
        <w:rPr>
          <w:rStyle w:val="Arial"/>
        </w:rPr>
        <w:t>onsent</w:t>
      </w:r>
      <w:r>
        <w:rPr>
          <w:rStyle w:val="Arial"/>
        </w:rPr>
        <w:t xml:space="preserve"> from the Authority</w:t>
      </w:r>
      <w:r w:rsidR="004B0CB2" w:rsidRPr="000F1FF2">
        <w:rPr>
          <w:rStyle w:val="Arial"/>
        </w:rPr>
        <w:t xml:space="preserve"> </w:t>
      </w:r>
      <w:r>
        <w:rPr>
          <w:rStyle w:val="Arial"/>
        </w:rPr>
        <w:t>to distribute</w:t>
      </w:r>
      <w:r w:rsidR="004B0CB2" w:rsidRPr="000F1FF2">
        <w:rPr>
          <w:rStyle w:val="Arial"/>
        </w:rPr>
        <w:t xml:space="preserve"> a new </w:t>
      </w:r>
      <w:r w:rsidR="004B0CB2">
        <w:rPr>
          <w:rStyle w:val="Arial"/>
        </w:rPr>
        <w:t xml:space="preserve">psychoactive product </w:t>
      </w:r>
      <w:r w:rsidR="004B0CB2" w:rsidRPr="000F1FF2">
        <w:rPr>
          <w:rStyle w:val="Arial"/>
        </w:rPr>
        <w:t>is not to be construed as an endorsement of the product. No reference may be made to this consent in any label or advertising, promotional or other published material about the product.</w:t>
      </w:r>
    </w:p>
    <w:p w:rsidR="002C7CC5" w:rsidRPr="002C7CC5" w:rsidRDefault="002C7CC5" w:rsidP="002C7CC5"/>
    <w:p w:rsidR="002C7CC5" w:rsidRPr="00DB34DC" w:rsidRDefault="002C7CC5" w:rsidP="00CF062F">
      <w:pPr>
        <w:pStyle w:val="ListParagraph"/>
        <w:numPr>
          <w:ilvl w:val="2"/>
          <w:numId w:val="64"/>
        </w:numPr>
        <w:ind w:left="993" w:hanging="993"/>
        <w:rPr>
          <w:rStyle w:val="Arial"/>
          <w:i/>
          <w:iCs/>
        </w:rPr>
      </w:pPr>
      <w:r w:rsidRPr="00DB34DC">
        <w:rPr>
          <w:rStyle w:val="Arial"/>
          <w:i/>
          <w:iCs/>
        </w:rPr>
        <w:t>Content</w:t>
      </w:r>
    </w:p>
    <w:p w:rsidR="002C7CC5" w:rsidRDefault="002C7CC5" w:rsidP="000C47AF">
      <w:pPr>
        <w:rPr>
          <w:rFonts w:ascii="Arial" w:hAnsi="Arial"/>
        </w:rPr>
      </w:pPr>
    </w:p>
    <w:p w:rsidR="000C47AF" w:rsidRDefault="002C7CC5" w:rsidP="000C47AF">
      <w:pPr>
        <w:rPr>
          <w:rFonts w:ascii="Arial" w:hAnsi="Arial"/>
        </w:rPr>
      </w:pPr>
      <w:r>
        <w:rPr>
          <w:rFonts w:ascii="Arial" w:hAnsi="Arial"/>
        </w:rPr>
        <w:t xml:space="preserve">The </w:t>
      </w:r>
      <w:r w:rsidR="0051768A">
        <w:rPr>
          <w:rFonts w:ascii="Arial" w:hAnsi="Arial"/>
        </w:rPr>
        <w:t xml:space="preserve">quantity </w:t>
      </w:r>
      <w:r>
        <w:rPr>
          <w:rFonts w:ascii="Arial" w:hAnsi="Arial"/>
        </w:rPr>
        <w:t xml:space="preserve">must be printed on the label </w:t>
      </w:r>
      <w:r w:rsidR="0051768A">
        <w:rPr>
          <w:rFonts w:ascii="Arial" w:hAnsi="Arial"/>
        </w:rPr>
        <w:t xml:space="preserve"> </w:t>
      </w:r>
    </w:p>
    <w:p w:rsidR="002C7CC5" w:rsidRDefault="002C7CC5" w:rsidP="000C47AF">
      <w:pPr>
        <w:rPr>
          <w:rFonts w:ascii="Arial" w:hAnsi="Arial"/>
        </w:rPr>
      </w:pPr>
    </w:p>
    <w:p w:rsidR="000C47AF" w:rsidRPr="00DB34DC" w:rsidRDefault="002C7CC5" w:rsidP="00CF062F">
      <w:pPr>
        <w:pStyle w:val="ListParagraph"/>
        <w:numPr>
          <w:ilvl w:val="2"/>
          <w:numId w:val="64"/>
        </w:numPr>
        <w:ind w:left="993" w:hanging="993"/>
        <w:rPr>
          <w:rStyle w:val="Arial"/>
          <w:i/>
          <w:iCs/>
        </w:rPr>
      </w:pPr>
      <w:r w:rsidRPr="00DB34DC">
        <w:rPr>
          <w:rStyle w:val="Arial"/>
          <w:i/>
          <w:iCs/>
        </w:rPr>
        <w:t>Storage conditions</w:t>
      </w:r>
    </w:p>
    <w:p w:rsidR="002C7CC5" w:rsidRDefault="002C7CC5" w:rsidP="000C47AF">
      <w:pPr>
        <w:rPr>
          <w:rFonts w:ascii="Arial" w:hAnsi="Arial"/>
        </w:rPr>
      </w:pPr>
    </w:p>
    <w:p w:rsidR="002C7CC5" w:rsidRDefault="002C7CC5" w:rsidP="000C47AF">
      <w:pPr>
        <w:rPr>
          <w:rFonts w:ascii="Arial" w:hAnsi="Arial"/>
        </w:rPr>
      </w:pPr>
    </w:p>
    <w:p w:rsidR="000C47AF" w:rsidRPr="000C47AF" w:rsidRDefault="000C47AF" w:rsidP="000C47AF">
      <w:pPr>
        <w:rPr>
          <w:rFonts w:ascii="Arial" w:hAnsi="Arial"/>
        </w:rPr>
      </w:pPr>
      <w:r>
        <w:rPr>
          <w:rFonts w:ascii="Arial" w:hAnsi="Arial"/>
        </w:rPr>
        <w:t>T</w:t>
      </w:r>
      <w:r w:rsidRPr="000C47AF">
        <w:rPr>
          <w:rFonts w:ascii="Arial" w:hAnsi="Arial"/>
        </w:rPr>
        <w:t>he storage conditions statement should be selected or compounded using elements from the following list (or words of similar meanings):</w:t>
      </w:r>
    </w:p>
    <w:p w:rsidR="000C47AF" w:rsidRPr="000C47AF" w:rsidRDefault="000C47AF" w:rsidP="000C47AF">
      <w:pPr>
        <w:rPr>
          <w:rFonts w:ascii="Arial" w:hAnsi="Arial"/>
        </w:rPr>
      </w:pPr>
    </w:p>
    <w:tbl>
      <w:tblPr>
        <w:tblW w:w="0" w:type="auto"/>
        <w:tblLook w:val="04A0" w:firstRow="1" w:lastRow="0" w:firstColumn="1" w:lastColumn="0" w:noHBand="0" w:noVBand="1"/>
      </w:tblPr>
      <w:tblGrid>
        <w:gridCol w:w="4261"/>
        <w:gridCol w:w="4267"/>
      </w:tblGrid>
      <w:tr w:rsidR="000C47AF" w:rsidRPr="000C47AF" w:rsidTr="00385F56">
        <w:tc>
          <w:tcPr>
            <w:tcW w:w="4621" w:type="dxa"/>
            <w:hideMark/>
          </w:tcPr>
          <w:p w:rsidR="000C47AF" w:rsidRPr="000C47AF" w:rsidRDefault="000C47AF" w:rsidP="00385F56">
            <w:pPr>
              <w:rPr>
                <w:rFonts w:ascii="Arial" w:hAnsi="Arial"/>
              </w:rPr>
            </w:pPr>
            <w:r w:rsidRPr="000C47AF">
              <w:rPr>
                <w:rFonts w:ascii="Arial" w:hAnsi="Arial"/>
              </w:rPr>
              <w:t>protect from light</w:t>
            </w:r>
          </w:p>
          <w:p w:rsidR="000C47AF" w:rsidRPr="000C47AF" w:rsidRDefault="000C47AF" w:rsidP="00385F56">
            <w:pPr>
              <w:rPr>
                <w:rFonts w:ascii="Arial" w:hAnsi="Arial"/>
              </w:rPr>
            </w:pPr>
            <w:r w:rsidRPr="000C47AF">
              <w:rPr>
                <w:rFonts w:ascii="Arial" w:hAnsi="Arial"/>
              </w:rPr>
              <w:t>protect from moisture</w:t>
            </w:r>
          </w:p>
          <w:p w:rsidR="000C47AF" w:rsidRPr="000C47AF" w:rsidRDefault="000C47AF" w:rsidP="00385F56">
            <w:pPr>
              <w:rPr>
                <w:rFonts w:ascii="Arial" w:hAnsi="Arial"/>
              </w:rPr>
            </w:pPr>
          </w:p>
          <w:p w:rsidR="000C47AF" w:rsidRPr="000C47AF" w:rsidRDefault="000C47AF" w:rsidP="00385F56">
            <w:pPr>
              <w:rPr>
                <w:rFonts w:ascii="Arial" w:hAnsi="Arial"/>
              </w:rPr>
            </w:pPr>
            <w:r w:rsidRPr="000C47AF">
              <w:rPr>
                <w:rFonts w:ascii="Arial" w:hAnsi="Arial"/>
              </w:rPr>
              <w:t>below -20°C (Deep freeze)</w:t>
            </w:r>
          </w:p>
          <w:p w:rsidR="000C47AF" w:rsidRPr="000C47AF" w:rsidRDefault="000C47AF" w:rsidP="00385F56">
            <w:pPr>
              <w:rPr>
                <w:rFonts w:ascii="Arial" w:hAnsi="Arial"/>
              </w:rPr>
            </w:pPr>
            <w:r w:rsidRPr="000C47AF">
              <w:rPr>
                <w:rFonts w:ascii="Arial" w:hAnsi="Arial"/>
              </w:rPr>
              <w:t>below -5°C (Freeze)</w:t>
            </w:r>
          </w:p>
          <w:p w:rsidR="000C47AF" w:rsidRPr="000C47AF" w:rsidRDefault="000C47AF" w:rsidP="00385F56">
            <w:pPr>
              <w:rPr>
                <w:rFonts w:ascii="Arial" w:hAnsi="Arial"/>
              </w:rPr>
            </w:pPr>
            <w:r w:rsidRPr="000C47AF">
              <w:rPr>
                <w:rFonts w:ascii="Arial" w:hAnsi="Arial"/>
              </w:rPr>
              <w:t xml:space="preserve">at 2° to 8°C (Refrigerate, do not freeze) </w:t>
            </w:r>
          </w:p>
        </w:tc>
        <w:tc>
          <w:tcPr>
            <w:tcW w:w="4622" w:type="dxa"/>
            <w:hideMark/>
          </w:tcPr>
          <w:p w:rsidR="000C47AF" w:rsidRPr="000C47AF" w:rsidRDefault="000C47AF" w:rsidP="00385F56">
            <w:pPr>
              <w:rPr>
                <w:rFonts w:ascii="Arial" w:hAnsi="Arial"/>
              </w:rPr>
            </w:pPr>
            <w:r w:rsidRPr="000C47AF">
              <w:rPr>
                <w:rFonts w:ascii="Arial" w:hAnsi="Arial"/>
              </w:rPr>
              <w:t>at 8° to 15°C (Cool)</w:t>
            </w:r>
          </w:p>
          <w:p w:rsidR="000C47AF" w:rsidRPr="000C47AF" w:rsidRDefault="000C47AF" w:rsidP="00385F56">
            <w:pPr>
              <w:rPr>
                <w:rFonts w:ascii="Arial" w:hAnsi="Arial"/>
              </w:rPr>
            </w:pPr>
            <w:r w:rsidRPr="000C47AF">
              <w:rPr>
                <w:rFonts w:ascii="Arial" w:hAnsi="Arial"/>
              </w:rPr>
              <w:t>at 15° to 25°C (Controlled room temperature)</w:t>
            </w:r>
          </w:p>
          <w:p w:rsidR="000C47AF" w:rsidRPr="000C47AF" w:rsidRDefault="000C47AF" w:rsidP="00385F56">
            <w:pPr>
              <w:rPr>
                <w:rFonts w:ascii="Arial" w:hAnsi="Arial"/>
              </w:rPr>
            </w:pPr>
            <w:r w:rsidRPr="000C47AF">
              <w:rPr>
                <w:rFonts w:ascii="Arial" w:hAnsi="Arial"/>
              </w:rPr>
              <w:t>at or below 25°C</w:t>
            </w:r>
          </w:p>
          <w:p w:rsidR="000C47AF" w:rsidRPr="000C47AF" w:rsidRDefault="000C47AF" w:rsidP="00385F56">
            <w:pPr>
              <w:rPr>
                <w:rFonts w:ascii="Arial" w:hAnsi="Arial"/>
              </w:rPr>
            </w:pPr>
            <w:r w:rsidRPr="000C47AF">
              <w:rPr>
                <w:rFonts w:ascii="Arial" w:hAnsi="Arial"/>
              </w:rPr>
              <w:t>below 30°C</w:t>
            </w:r>
          </w:p>
          <w:p w:rsidR="000C47AF" w:rsidRPr="000C47AF" w:rsidRDefault="000C47AF" w:rsidP="00385F56">
            <w:pPr>
              <w:rPr>
                <w:rFonts w:ascii="Arial" w:hAnsi="Arial"/>
              </w:rPr>
            </w:pPr>
            <w:r w:rsidRPr="000C47AF">
              <w:rPr>
                <w:rFonts w:ascii="Arial" w:hAnsi="Arial"/>
              </w:rPr>
              <w:t>Use immediately</w:t>
            </w:r>
          </w:p>
        </w:tc>
      </w:tr>
    </w:tbl>
    <w:p w:rsidR="000C47AF" w:rsidRPr="000C47AF" w:rsidRDefault="000C47AF" w:rsidP="000C47AF">
      <w:pPr>
        <w:rPr>
          <w:rFonts w:ascii="Arial" w:hAnsi="Arial"/>
        </w:rPr>
      </w:pPr>
    </w:p>
    <w:p w:rsidR="000C47AF" w:rsidRDefault="0051768A" w:rsidP="000C47AF">
      <w:pPr>
        <w:rPr>
          <w:rFonts w:ascii="Arial" w:hAnsi="Arial"/>
        </w:rPr>
      </w:pPr>
      <w:r>
        <w:rPr>
          <w:rFonts w:ascii="Arial" w:hAnsi="Arial"/>
        </w:rPr>
        <w:t>[</w:t>
      </w:r>
      <w:r w:rsidR="000C47AF" w:rsidRPr="000C47AF">
        <w:rPr>
          <w:rFonts w:ascii="Arial" w:hAnsi="Arial"/>
        </w:rPr>
        <w:t>Note that in New Zealand “below 25°C” means room temperature, whereas in Australia “below 25°C” refers to air-conditioned facilities and “below 30°C” refers to room temperature</w:t>
      </w:r>
      <w:r>
        <w:rPr>
          <w:rFonts w:ascii="Arial" w:hAnsi="Arial"/>
        </w:rPr>
        <w:t>]</w:t>
      </w:r>
      <w:r w:rsidR="000C47AF" w:rsidRPr="000C47AF">
        <w:rPr>
          <w:rFonts w:ascii="Arial" w:hAnsi="Arial"/>
        </w:rPr>
        <w:t xml:space="preserve">. </w:t>
      </w:r>
    </w:p>
    <w:p w:rsidR="002C7CC5" w:rsidRDefault="002C7CC5" w:rsidP="002C7CC5">
      <w:pPr>
        <w:rPr>
          <w:rStyle w:val="Arial"/>
        </w:rPr>
      </w:pPr>
    </w:p>
    <w:p w:rsidR="002C7CC5" w:rsidRPr="00DB34DC" w:rsidRDefault="002C7CC5" w:rsidP="00CF062F">
      <w:pPr>
        <w:pStyle w:val="ListParagraph"/>
        <w:numPr>
          <w:ilvl w:val="2"/>
          <w:numId w:val="64"/>
        </w:numPr>
        <w:ind w:left="993" w:hanging="993"/>
        <w:rPr>
          <w:rStyle w:val="Arial"/>
          <w:i/>
          <w:iCs/>
        </w:rPr>
      </w:pPr>
      <w:r w:rsidRPr="00DB34DC">
        <w:rPr>
          <w:rStyle w:val="Arial"/>
          <w:i/>
          <w:iCs/>
        </w:rPr>
        <w:t>CAS registry numbers</w:t>
      </w:r>
    </w:p>
    <w:p w:rsidR="002C7CC5" w:rsidRPr="002C7CC5" w:rsidRDefault="002C7CC5" w:rsidP="002C7CC5">
      <w:pPr>
        <w:rPr>
          <w:rStyle w:val="Arial"/>
          <w:i/>
          <w:iCs/>
        </w:rPr>
      </w:pPr>
    </w:p>
    <w:p w:rsidR="002C7CC5" w:rsidRDefault="002C7CC5" w:rsidP="002C7CC5">
      <w:pPr>
        <w:rPr>
          <w:rStyle w:val="Arial"/>
        </w:rPr>
      </w:pPr>
      <w:r w:rsidRPr="000F1FF2">
        <w:rPr>
          <w:rStyle w:val="Arial"/>
        </w:rPr>
        <w:t>CAS registry numbers (CAS numbers) are unique numerical identifiers assigned by the Chemical Abstracts Service to every chemical substance described in the open scientific literature. Where a CAS number is assigned to a substance, the CAS number</w:t>
      </w:r>
      <w:r>
        <w:rPr>
          <w:rStyle w:val="Arial"/>
        </w:rPr>
        <w:t xml:space="preserve"> must</w:t>
      </w:r>
      <w:r w:rsidRPr="000F1FF2">
        <w:rPr>
          <w:rStyle w:val="Arial"/>
        </w:rPr>
        <w:t xml:space="preserve"> be included on the label to help in the clear identification of substances.</w:t>
      </w:r>
    </w:p>
    <w:p w:rsidR="00107361" w:rsidRDefault="00107361" w:rsidP="002C7CC5">
      <w:pPr>
        <w:rPr>
          <w:rStyle w:val="Arial"/>
        </w:rPr>
      </w:pPr>
    </w:p>
    <w:p w:rsidR="00107361" w:rsidRPr="003F0BDA" w:rsidRDefault="00CF062F" w:rsidP="00107361">
      <w:pPr>
        <w:rPr>
          <w:rStyle w:val="Arial"/>
          <w:i/>
        </w:rPr>
      </w:pPr>
      <w:r w:rsidRPr="003F0BDA">
        <w:rPr>
          <w:rStyle w:val="Arial"/>
          <w:i/>
        </w:rPr>
        <w:t>12.6.6</w:t>
      </w:r>
      <w:r w:rsidRPr="003F0BDA">
        <w:rPr>
          <w:rStyle w:val="Arial"/>
          <w:i/>
        </w:rPr>
        <w:tab/>
      </w:r>
      <w:r w:rsidR="00107361" w:rsidRPr="003F0BDA">
        <w:rPr>
          <w:rStyle w:val="Arial"/>
          <w:i/>
        </w:rPr>
        <w:t>New Zealand Universal list of Medicines</w:t>
      </w:r>
    </w:p>
    <w:p w:rsidR="00107361" w:rsidRPr="00107361" w:rsidRDefault="00107361" w:rsidP="00107361">
      <w:pPr>
        <w:rPr>
          <w:rStyle w:val="Arial"/>
          <w:highlight w:val="yellow"/>
        </w:rPr>
      </w:pPr>
    </w:p>
    <w:p w:rsidR="00107361" w:rsidRPr="00CF062F" w:rsidRDefault="00107361" w:rsidP="00107361">
      <w:pPr>
        <w:rPr>
          <w:rStyle w:val="Arial"/>
        </w:rPr>
      </w:pPr>
      <w:r w:rsidRPr="00CF062F">
        <w:rPr>
          <w:rStyle w:val="Arial"/>
        </w:rPr>
        <w:t xml:space="preserve">It is important to have consistent and standardised names of active ingredients where possible. This facilitates the recording of safety information and adverse reaction monitoring. </w:t>
      </w:r>
    </w:p>
    <w:p w:rsidR="00107361" w:rsidRPr="00CF062F" w:rsidRDefault="00107361" w:rsidP="00107361">
      <w:pPr>
        <w:rPr>
          <w:rStyle w:val="Arial"/>
        </w:rPr>
      </w:pPr>
    </w:p>
    <w:p w:rsidR="00107361" w:rsidRPr="00CF062F" w:rsidRDefault="00107361" w:rsidP="00107361">
      <w:pPr>
        <w:rPr>
          <w:rStyle w:val="Arial"/>
        </w:rPr>
      </w:pPr>
      <w:r w:rsidRPr="00CF062F">
        <w:rPr>
          <w:rStyle w:val="Arial"/>
        </w:rPr>
        <w:t>The New Zealand Universal List of Medicines (NZULM) is a dictionary of standardised information about medicines covering medicines approved for supply in New Zealand. The NZULM can also provide standardised information for psychoactive substances. The application form for product approvals requires the applicant to apply to the NZULM for the psychoactive substance in the product.</w:t>
      </w:r>
    </w:p>
    <w:p w:rsidR="00107361" w:rsidRPr="00CF062F" w:rsidRDefault="00107361" w:rsidP="00107361">
      <w:pPr>
        <w:rPr>
          <w:rStyle w:val="Arial"/>
        </w:rPr>
      </w:pPr>
      <w:r w:rsidRPr="00CF062F">
        <w:rPr>
          <w:rStyle w:val="Arial"/>
        </w:rPr>
        <w:t>It is free to use and can be accessed through this website www.nzulm.org.nz</w:t>
      </w:r>
    </w:p>
    <w:p w:rsidR="002C7CC5" w:rsidRDefault="002C7CC5" w:rsidP="002C7CC5">
      <w:pPr>
        <w:rPr>
          <w:rStyle w:val="Arial"/>
        </w:rPr>
      </w:pPr>
    </w:p>
    <w:p w:rsidR="002C7CC5" w:rsidRPr="00CF062F" w:rsidRDefault="002C7CC5" w:rsidP="00CF062F">
      <w:pPr>
        <w:pStyle w:val="ListParagraph"/>
        <w:numPr>
          <w:ilvl w:val="2"/>
          <w:numId w:val="68"/>
        </w:numPr>
        <w:rPr>
          <w:rStyle w:val="Arial"/>
          <w:i/>
          <w:iCs/>
        </w:rPr>
      </w:pPr>
      <w:r w:rsidRPr="00CF062F">
        <w:rPr>
          <w:rStyle w:val="Arial"/>
          <w:i/>
          <w:iCs/>
        </w:rPr>
        <w:t>Health and safety warnings</w:t>
      </w:r>
    </w:p>
    <w:p w:rsidR="002C7CC5" w:rsidRPr="002C7CC5" w:rsidRDefault="002C7CC5" w:rsidP="002C7CC5">
      <w:pPr>
        <w:rPr>
          <w:rStyle w:val="Arial"/>
          <w:i/>
          <w:iCs/>
        </w:rPr>
      </w:pPr>
    </w:p>
    <w:p w:rsidR="002C7CC5" w:rsidRDefault="002C7CC5" w:rsidP="002C7CC5">
      <w:pPr>
        <w:rPr>
          <w:rFonts w:ascii="Arial" w:hAnsi="Arial"/>
          <w:lang w:val="en-US" w:eastAsia="en-US"/>
        </w:rPr>
      </w:pPr>
    </w:p>
    <w:p w:rsidR="002C7CC5" w:rsidRDefault="002C7CC5" w:rsidP="002C7CC5">
      <w:pPr>
        <w:rPr>
          <w:rFonts w:ascii="Arial" w:hAnsi="Arial"/>
          <w:lang w:val="en-US" w:eastAsia="en-US"/>
        </w:rPr>
      </w:pPr>
      <w:r>
        <w:rPr>
          <w:rFonts w:ascii="Arial" w:hAnsi="Arial"/>
          <w:lang w:val="en-US" w:eastAsia="en-US"/>
        </w:rPr>
        <w:t xml:space="preserve">The following statements </w:t>
      </w:r>
      <w:r w:rsidRPr="002C7CC5">
        <w:rPr>
          <w:rFonts w:ascii="Arial" w:hAnsi="Arial"/>
          <w:b/>
          <w:lang w:val="en-US" w:eastAsia="en-US"/>
        </w:rPr>
        <w:t>must be</w:t>
      </w:r>
      <w:r>
        <w:rPr>
          <w:rFonts w:ascii="Arial" w:hAnsi="Arial"/>
          <w:lang w:val="en-US" w:eastAsia="en-US"/>
        </w:rPr>
        <w:t xml:space="preserve"> </w:t>
      </w:r>
      <w:r w:rsidRPr="002C7CC5">
        <w:rPr>
          <w:rFonts w:ascii="Arial" w:hAnsi="Arial"/>
          <w:b/>
          <w:lang w:val="en-US" w:eastAsia="en-US"/>
        </w:rPr>
        <w:t>prominently</w:t>
      </w:r>
      <w:r>
        <w:rPr>
          <w:rFonts w:ascii="Arial" w:hAnsi="Arial"/>
          <w:lang w:val="en-US" w:eastAsia="en-US"/>
        </w:rPr>
        <w:t xml:space="preserve"> </w:t>
      </w:r>
      <w:r w:rsidRPr="002C7CC5">
        <w:rPr>
          <w:rFonts w:ascii="Arial" w:hAnsi="Arial"/>
          <w:b/>
          <w:lang w:val="en-US" w:eastAsia="en-US"/>
        </w:rPr>
        <w:t>displayed</w:t>
      </w:r>
      <w:r>
        <w:rPr>
          <w:rFonts w:ascii="Arial" w:hAnsi="Arial"/>
          <w:lang w:val="en-US" w:eastAsia="en-US"/>
        </w:rPr>
        <w:t xml:space="preserve"> on the label unless the applicant can adequately justify their omission:</w:t>
      </w:r>
    </w:p>
    <w:p w:rsidR="002C7CC5" w:rsidRDefault="002C7CC5" w:rsidP="00CF062F">
      <w:pPr>
        <w:pStyle w:val="ListParagraph"/>
        <w:numPr>
          <w:ilvl w:val="0"/>
          <w:numId w:val="48"/>
        </w:numPr>
        <w:spacing w:before="120" w:after="120"/>
        <w:ind w:left="714" w:hanging="357"/>
        <w:contextualSpacing w:val="0"/>
        <w:rPr>
          <w:rFonts w:ascii="Arial" w:hAnsi="Arial"/>
          <w:lang w:val="en-US" w:eastAsia="en-US"/>
        </w:rPr>
      </w:pPr>
      <w:r>
        <w:rPr>
          <w:rFonts w:ascii="Arial" w:hAnsi="Arial"/>
          <w:lang w:val="en-US" w:eastAsia="en-US"/>
        </w:rPr>
        <w:t xml:space="preserve">This product is restricted to individuals 18 years or older (or words to that effect - R18 is sufficient). </w:t>
      </w:r>
    </w:p>
    <w:p w:rsidR="002C7CC5" w:rsidRPr="002C7CC5" w:rsidRDefault="002C7CC5" w:rsidP="00CF062F">
      <w:pPr>
        <w:pStyle w:val="ListParagraph"/>
        <w:numPr>
          <w:ilvl w:val="0"/>
          <w:numId w:val="48"/>
        </w:numPr>
        <w:spacing w:before="120" w:after="120"/>
        <w:ind w:left="714" w:hanging="357"/>
        <w:contextualSpacing w:val="0"/>
        <w:rPr>
          <w:rFonts w:ascii="Arial" w:hAnsi="Arial"/>
          <w:lang w:val="en-US" w:eastAsia="en-US"/>
        </w:rPr>
      </w:pPr>
      <w:r>
        <w:rPr>
          <w:rFonts w:ascii="Arial" w:hAnsi="Arial"/>
          <w:lang w:val="en-US" w:eastAsia="en-US"/>
        </w:rPr>
        <w:t xml:space="preserve">Psychoactive product. </w:t>
      </w:r>
    </w:p>
    <w:p w:rsidR="002C7CC5" w:rsidRDefault="002C7CC5" w:rsidP="002C7CC5">
      <w:pPr>
        <w:rPr>
          <w:rFonts w:ascii="Arial" w:hAnsi="Arial"/>
          <w:lang w:val="en-US" w:eastAsia="en-US"/>
        </w:rPr>
      </w:pPr>
    </w:p>
    <w:p w:rsidR="002C7CC5" w:rsidRDefault="002C7CC5" w:rsidP="002C7CC5">
      <w:pPr>
        <w:rPr>
          <w:rFonts w:ascii="Arial" w:hAnsi="Arial"/>
          <w:lang w:val="en-US" w:eastAsia="en-US"/>
        </w:rPr>
      </w:pPr>
      <w:r>
        <w:rPr>
          <w:rFonts w:ascii="Arial" w:hAnsi="Arial"/>
          <w:lang w:val="en-US" w:eastAsia="en-US"/>
        </w:rPr>
        <w:t xml:space="preserve">The following statements </w:t>
      </w:r>
      <w:r w:rsidRPr="002C7CC5">
        <w:rPr>
          <w:rFonts w:ascii="Arial" w:hAnsi="Arial"/>
          <w:b/>
          <w:lang w:val="en-US" w:eastAsia="en-US"/>
        </w:rPr>
        <w:t>must be displayed</w:t>
      </w:r>
      <w:r>
        <w:rPr>
          <w:rFonts w:ascii="Arial" w:hAnsi="Arial"/>
          <w:lang w:val="en-US" w:eastAsia="en-US"/>
        </w:rPr>
        <w:t xml:space="preserve"> on the label unless the applicant can adequately justify their omission, but do not need to be displayed prominently:</w:t>
      </w:r>
    </w:p>
    <w:p w:rsidR="002C7CC5" w:rsidRDefault="002C7CC5" w:rsidP="00CF062F">
      <w:pPr>
        <w:pStyle w:val="ListParagraph"/>
        <w:numPr>
          <w:ilvl w:val="0"/>
          <w:numId w:val="48"/>
        </w:numPr>
        <w:spacing w:before="120" w:after="120"/>
        <w:ind w:left="714" w:hanging="357"/>
        <w:contextualSpacing w:val="0"/>
        <w:rPr>
          <w:rFonts w:ascii="Arial" w:hAnsi="Arial"/>
          <w:lang w:val="en-US" w:eastAsia="en-US"/>
        </w:rPr>
      </w:pPr>
      <w:r>
        <w:rPr>
          <w:rFonts w:ascii="Arial" w:hAnsi="Arial"/>
          <w:lang w:val="en-US" w:eastAsia="en-US"/>
        </w:rPr>
        <w:t xml:space="preserve">Do not use with </w:t>
      </w:r>
      <w:r w:rsidRPr="002C7CC5">
        <w:rPr>
          <w:rFonts w:ascii="Arial" w:hAnsi="Arial"/>
          <w:lang w:val="en-US" w:eastAsia="en-US"/>
        </w:rPr>
        <w:t>alcohol</w:t>
      </w:r>
      <w:r>
        <w:rPr>
          <w:rFonts w:ascii="Arial" w:hAnsi="Arial"/>
          <w:lang w:val="en-US" w:eastAsia="en-US"/>
        </w:rPr>
        <w:t>, drugs or medication</w:t>
      </w:r>
    </w:p>
    <w:p w:rsidR="002C7CC5" w:rsidRDefault="002C7CC5" w:rsidP="00CF062F">
      <w:pPr>
        <w:pStyle w:val="ListParagraph"/>
        <w:numPr>
          <w:ilvl w:val="0"/>
          <w:numId w:val="48"/>
        </w:numPr>
        <w:spacing w:before="120" w:after="120"/>
        <w:ind w:left="714" w:hanging="357"/>
        <w:contextualSpacing w:val="0"/>
        <w:rPr>
          <w:rFonts w:ascii="Arial" w:hAnsi="Arial"/>
          <w:lang w:val="en-US" w:eastAsia="en-US"/>
        </w:rPr>
      </w:pPr>
      <w:r>
        <w:rPr>
          <w:rFonts w:ascii="Arial" w:hAnsi="Arial"/>
          <w:lang w:val="en-US" w:eastAsia="en-US"/>
        </w:rPr>
        <w:t>Do not drive a motor vehicle or operate any heavy machinery during or after use</w:t>
      </w:r>
    </w:p>
    <w:p w:rsidR="002C7CC5" w:rsidRDefault="002C7CC5" w:rsidP="00CF062F">
      <w:pPr>
        <w:pStyle w:val="ListParagraph"/>
        <w:numPr>
          <w:ilvl w:val="0"/>
          <w:numId w:val="48"/>
        </w:numPr>
        <w:spacing w:before="120" w:after="120"/>
        <w:ind w:left="714" w:hanging="357"/>
        <w:contextualSpacing w:val="0"/>
        <w:rPr>
          <w:rFonts w:ascii="Arial" w:hAnsi="Arial"/>
          <w:lang w:val="en-US" w:eastAsia="en-US"/>
        </w:rPr>
      </w:pPr>
      <w:r>
        <w:rPr>
          <w:rFonts w:ascii="Arial" w:hAnsi="Arial"/>
          <w:lang w:val="en-US" w:eastAsia="en-US"/>
        </w:rPr>
        <w:t xml:space="preserve">Not suitable for use by </w:t>
      </w:r>
      <w:r w:rsidR="00A40867">
        <w:rPr>
          <w:rFonts w:ascii="Arial" w:hAnsi="Arial"/>
          <w:lang w:val="en-US" w:eastAsia="en-US"/>
        </w:rPr>
        <w:t xml:space="preserve">pregnant women, </w:t>
      </w:r>
      <w:r>
        <w:rPr>
          <w:rFonts w:ascii="Arial" w:hAnsi="Arial"/>
          <w:lang w:val="en-US" w:eastAsia="en-US"/>
        </w:rPr>
        <w:t>breast-feeding mothers or anyone with a mental illness</w:t>
      </w:r>
    </w:p>
    <w:p w:rsidR="002C7CC5" w:rsidRDefault="002C7CC5" w:rsidP="00CF062F">
      <w:pPr>
        <w:pStyle w:val="ListParagraph"/>
        <w:numPr>
          <w:ilvl w:val="0"/>
          <w:numId w:val="48"/>
        </w:numPr>
        <w:spacing w:before="120" w:after="120"/>
        <w:ind w:left="714" w:hanging="357"/>
        <w:contextualSpacing w:val="0"/>
        <w:rPr>
          <w:rFonts w:ascii="Arial" w:hAnsi="Arial"/>
          <w:lang w:val="en-US" w:eastAsia="en-US"/>
        </w:rPr>
      </w:pPr>
      <w:r>
        <w:rPr>
          <w:rFonts w:ascii="Arial" w:hAnsi="Arial"/>
          <w:lang w:val="en-US" w:eastAsia="en-US"/>
        </w:rPr>
        <w:t>Any other labelling requirement imposed as a condition during product evaluation</w:t>
      </w:r>
    </w:p>
    <w:p w:rsidR="00A40867" w:rsidRDefault="00A40867" w:rsidP="002C7CC5">
      <w:pPr>
        <w:rPr>
          <w:rFonts w:ascii="Arial" w:hAnsi="Arial"/>
          <w:lang w:val="en-US" w:eastAsia="en-US"/>
        </w:rPr>
      </w:pPr>
    </w:p>
    <w:p w:rsidR="001A2E58" w:rsidRPr="00DB34DC" w:rsidRDefault="001A2E58" w:rsidP="00CF062F">
      <w:pPr>
        <w:pStyle w:val="ListParagraph"/>
        <w:numPr>
          <w:ilvl w:val="2"/>
          <w:numId w:val="68"/>
        </w:numPr>
        <w:ind w:left="993" w:hanging="993"/>
        <w:rPr>
          <w:rStyle w:val="Arial"/>
          <w:i/>
          <w:iCs/>
        </w:rPr>
      </w:pPr>
      <w:r w:rsidRPr="00DB34DC">
        <w:rPr>
          <w:rStyle w:val="Arial"/>
          <w:i/>
          <w:iCs/>
        </w:rPr>
        <w:t xml:space="preserve">Label </w:t>
      </w:r>
      <w:r w:rsidR="00397114" w:rsidRPr="00DB34DC">
        <w:rPr>
          <w:rStyle w:val="Arial"/>
          <w:i/>
          <w:iCs/>
        </w:rPr>
        <w:t>format</w:t>
      </w:r>
      <w:r w:rsidR="0051768A" w:rsidRPr="00DB34DC">
        <w:rPr>
          <w:rStyle w:val="Arial"/>
          <w:i/>
          <w:iCs/>
        </w:rPr>
        <w:t xml:space="preserve"> </w:t>
      </w:r>
      <w:r w:rsidRPr="00DB34DC">
        <w:rPr>
          <w:rStyle w:val="Arial"/>
          <w:i/>
          <w:iCs/>
        </w:rPr>
        <w:t xml:space="preserve">requirements for </w:t>
      </w:r>
      <w:r w:rsidR="00A40867" w:rsidRPr="00DB34DC">
        <w:rPr>
          <w:rStyle w:val="Arial"/>
          <w:i/>
          <w:iCs/>
        </w:rPr>
        <w:t>p</w:t>
      </w:r>
      <w:r w:rsidR="00A875BD" w:rsidRPr="00DB34DC">
        <w:rPr>
          <w:rStyle w:val="Arial"/>
          <w:i/>
          <w:iCs/>
        </w:rPr>
        <w:t>sych</w:t>
      </w:r>
      <w:r w:rsidR="00A40867" w:rsidRPr="00DB34DC">
        <w:rPr>
          <w:rStyle w:val="Arial"/>
          <w:i/>
          <w:iCs/>
        </w:rPr>
        <w:t>oactive p</w:t>
      </w:r>
      <w:r w:rsidR="00A875BD" w:rsidRPr="00DB34DC">
        <w:rPr>
          <w:rStyle w:val="Arial"/>
          <w:i/>
          <w:iCs/>
        </w:rPr>
        <w:t>roducts</w:t>
      </w:r>
    </w:p>
    <w:p w:rsidR="00BC6862" w:rsidRPr="00BC6862" w:rsidRDefault="00BC6862" w:rsidP="00BC6862">
      <w:pPr>
        <w:rPr>
          <w:rStyle w:val="Arial"/>
          <w:i/>
          <w:iCs/>
        </w:rPr>
      </w:pPr>
    </w:p>
    <w:p w:rsidR="00A875BD" w:rsidRPr="004B0CB2" w:rsidRDefault="001A2E58" w:rsidP="000F1FF2">
      <w:pPr>
        <w:rPr>
          <w:rFonts w:ascii="Arial" w:hAnsi="Arial"/>
        </w:rPr>
      </w:pPr>
      <w:r w:rsidRPr="004B0CB2">
        <w:rPr>
          <w:rFonts w:ascii="Arial" w:hAnsi="Arial"/>
        </w:rPr>
        <w:t xml:space="preserve">Labels for all </w:t>
      </w:r>
      <w:r w:rsidR="00A875BD" w:rsidRPr="004B0CB2">
        <w:rPr>
          <w:rFonts w:ascii="Arial" w:hAnsi="Arial"/>
        </w:rPr>
        <w:t>psychoactive</w:t>
      </w:r>
      <w:r w:rsidRPr="004B0CB2">
        <w:rPr>
          <w:rFonts w:ascii="Arial" w:hAnsi="Arial"/>
        </w:rPr>
        <w:t xml:space="preserve"> products must</w:t>
      </w:r>
      <w:r w:rsidR="00831328" w:rsidRPr="004B0CB2">
        <w:rPr>
          <w:rFonts w:ascii="Arial" w:hAnsi="Arial"/>
        </w:rPr>
        <w:t xml:space="preserve"> be</w:t>
      </w:r>
      <w:r w:rsidRPr="004B0CB2">
        <w:rPr>
          <w:rFonts w:ascii="Arial" w:hAnsi="Arial"/>
        </w:rPr>
        <w:t xml:space="preserve">: </w:t>
      </w:r>
    </w:p>
    <w:p w:rsidR="001A2E58" w:rsidRPr="00FA7C4F" w:rsidRDefault="00831328" w:rsidP="00DB34DC">
      <w:pPr>
        <w:pStyle w:val="ListBullet"/>
        <w:numPr>
          <w:ilvl w:val="0"/>
          <w:numId w:val="7"/>
        </w:numPr>
        <w:spacing w:before="120" w:after="120"/>
        <w:rPr>
          <w:rFonts w:cs="Arial"/>
          <w:sz w:val="24"/>
        </w:rPr>
      </w:pPr>
      <w:r>
        <w:rPr>
          <w:rFonts w:cs="Arial"/>
          <w:sz w:val="24"/>
        </w:rPr>
        <w:t>printed in</w:t>
      </w:r>
      <w:r w:rsidR="001A2E58" w:rsidRPr="00FA7C4F">
        <w:rPr>
          <w:rFonts w:cs="Arial"/>
          <w:sz w:val="24"/>
        </w:rPr>
        <w:t xml:space="preserve"> in English</w:t>
      </w:r>
    </w:p>
    <w:p w:rsidR="001A2E58" w:rsidRDefault="00831328" w:rsidP="00DB34DC">
      <w:pPr>
        <w:pStyle w:val="ListBullet"/>
        <w:numPr>
          <w:ilvl w:val="0"/>
          <w:numId w:val="7"/>
        </w:numPr>
        <w:spacing w:before="120" w:after="120"/>
        <w:rPr>
          <w:rFonts w:cs="Arial"/>
          <w:sz w:val="24"/>
        </w:rPr>
      </w:pPr>
      <w:r>
        <w:rPr>
          <w:rFonts w:cs="Arial"/>
          <w:sz w:val="24"/>
        </w:rPr>
        <w:t>b</w:t>
      </w:r>
      <w:r w:rsidR="001A2E58" w:rsidRPr="00FA7C4F">
        <w:rPr>
          <w:rFonts w:cs="Arial"/>
          <w:sz w:val="24"/>
        </w:rPr>
        <w:t xml:space="preserve">e </w:t>
      </w:r>
      <w:r>
        <w:rPr>
          <w:rFonts w:cs="Arial"/>
          <w:sz w:val="24"/>
        </w:rPr>
        <w:t xml:space="preserve">clearly visible, </w:t>
      </w:r>
      <w:r w:rsidR="001A2E58" w:rsidRPr="00FA7C4F">
        <w:rPr>
          <w:rFonts w:cs="Arial"/>
          <w:sz w:val="24"/>
        </w:rPr>
        <w:t>legible and durable</w:t>
      </w:r>
    </w:p>
    <w:p w:rsidR="00831328" w:rsidRDefault="00831328" w:rsidP="00DB34DC">
      <w:pPr>
        <w:pStyle w:val="ListBullet"/>
        <w:numPr>
          <w:ilvl w:val="0"/>
          <w:numId w:val="7"/>
        </w:numPr>
        <w:spacing w:before="120" w:after="120"/>
        <w:rPr>
          <w:rFonts w:cs="Arial"/>
          <w:sz w:val="24"/>
        </w:rPr>
      </w:pPr>
      <w:r>
        <w:rPr>
          <w:rFonts w:cs="Arial"/>
          <w:sz w:val="24"/>
        </w:rPr>
        <w:t>securely placed in a prominent position on the approved product so that it is not able to be damaged, de</w:t>
      </w:r>
      <w:r w:rsidR="00082B60">
        <w:rPr>
          <w:rFonts w:cs="Arial"/>
          <w:sz w:val="24"/>
        </w:rPr>
        <w:t>faced, destroyed or removed when</w:t>
      </w:r>
      <w:r>
        <w:rPr>
          <w:rFonts w:cs="Arial"/>
          <w:sz w:val="24"/>
        </w:rPr>
        <w:t xml:space="preserve"> the container is opened</w:t>
      </w:r>
    </w:p>
    <w:p w:rsidR="00831328" w:rsidRPr="00FA7C4F" w:rsidRDefault="00831328" w:rsidP="00DB34DC">
      <w:pPr>
        <w:pStyle w:val="ListBullet"/>
        <w:numPr>
          <w:ilvl w:val="0"/>
          <w:numId w:val="7"/>
        </w:numPr>
        <w:spacing w:before="120" w:after="120"/>
        <w:rPr>
          <w:rFonts w:cs="Arial"/>
          <w:sz w:val="24"/>
        </w:rPr>
      </w:pPr>
      <w:r>
        <w:rPr>
          <w:rFonts w:cs="Arial"/>
          <w:sz w:val="24"/>
        </w:rPr>
        <w:t>designed to maximise safe use of the product</w:t>
      </w:r>
      <w:r w:rsidR="00596186">
        <w:rPr>
          <w:rFonts w:cs="Arial"/>
          <w:sz w:val="24"/>
        </w:rPr>
        <w:t>.</w:t>
      </w:r>
      <w:r>
        <w:rPr>
          <w:rFonts w:cs="Arial"/>
          <w:sz w:val="24"/>
        </w:rPr>
        <w:t xml:space="preserve"> </w:t>
      </w:r>
    </w:p>
    <w:p w:rsidR="00831328" w:rsidRDefault="00831328" w:rsidP="00831328">
      <w:pPr>
        <w:pStyle w:val="NormalWeb"/>
        <w:spacing w:before="120" w:beforeAutospacing="0" w:after="120" w:afterAutospacing="0"/>
        <w:rPr>
          <w:rFonts w:ascii="Arial" w:hAnsi="Arial" w:cs="Arial"/>
          <w:lang w:eastAsia="en-US"/>
        </w:rPr>
      </w:pPr>
      <w:r w:rsidRPr="00831328">
        <w:rPr>
          <w:rFonts w:ascii="Arial" w:hAnsi="Arial" w:cs="Arial"/>
          <w:lang w:eastAsia="en-US"/>
        </w:rPr>
        <w:t>Each layer of packaging should meet the legislative requirements. Where it is not practically possible to fit all of the required information on the container label, reduced labelling requirements may be approved on a case by case basis</w:t>
      </w:r>
      <w:r>
        <w:rPr>
          <w:rFonts w:ascii="Arial" w:hAnsi="Arial" w:cs="Arial"/>
          <w:lang w:eastAsia="en-US"/>
        </w:rPr>
        <w:t xml:space="preserve"> provided the following criteria are both met:</w:t>
      </w:r>
    </w:p>
    <w:p w:rsidR="00831328" w:rsidRPr="00831328" w:rsidRDefault="00831328" w:rsidP="00DB34DC">
      <w:pPr>
        <w:pStyle w:val="NormalWeb"/>
        <w:numPr>
          <w:ilvl w:val="0"/>
          <w:numId w:val="20"/>
        </w:numPr>
        <w:spacing w:before="120" w:beforeAutospacing="0" w:after="120" w:afterAutospacing="0"/>
        <w:rPr>
          <w:rFonts w:ascii="Arial" w:hAnsi="Arial" w:cs="Arial"/>
          <w:lang w:eastAsia="en-US"/>
        </w:rPr>
      </w:pPr>
      <w:r w:rsidRPr="00831328">
        <w:rPr>
          <w:rFonts w:ascii="Arial" w:hAnsi="Arial" w:cs="Arial"/>
          <w:lang w:eastAsia="en-US"/>
        </w:rPr>
        <w:t xml:space="preserve">a pack insert containing the additional required information is included in the container </w:t>
      </w:r>
    </w:p>
    <w:p w:rsidR="00831328" w:rsidRPr="00A875BD" w:rsidRDefault="00831328" w:rsidP="00DB34DC">
      <w:pPr>
        <w:pStyle w:val="NormalWeb"/>
        <w:numPr>
          <w:ilvl w:val="0"/>
          <w:numId w:val="20"/>
        </w:numPr>
        <w:spacing w:before="120" w:beforeAutospacing="0" w:after="120" w:afterAutospacing="0"/>
        <w:rPr>
          <w:rFonts w:ascii="Arial" w:hAnsi="Arial" w:cs="Arial"/>
          <w:lang w:eastAsia="en-US"/>
        </w:rPr>
      </w:pPr>
      <w:r w:rsidRPr="00A875BD">
        <w:rPr>
          <w:rFonts w:ascii="Arial" w:hAnsi="Arial" w:cs="Arial"/>
          <w:lang w:eastAsia="en-US"/>
        </w:rPr>
        <w:t xml:space="preserve">the Authority is satisfied that the safe use of the product would not be compromised. </w:t>
      </w:r>
    </w:p>
    <w:p w:rsidR="001A2E58" w:rsidRDefault="001A2E58" w:rsidP="000F1FF2">
      <w:pPr>
        <w:rPr>
          <w:rFonts w:ascii="Arial" w:hAnsi="Arial"/>
        </w:rPr>
      </w:pPr>
      <w:r w:rsidRPr="004B0CB2">
        <w:rPr>
          <w:rFonts w:ascii="Arial" w:hAnsi="Arial"/>
        </w:rPr>
        <w:t xml:space="preserve">A diagrammatic and summarised representation of the labelling requirements for </w:t>
      </w:r>
      <w:r w:rsidR="00A875BD" w:rsidRPr="004B0CB2">
        <w:rPr>
          <w:rFonts w:ascii="Arial" w:hAnsi="Arial"/>
        </w:rPr>
        <w:t>psychoactive</w:t>
      </w:r>
      <w:r w:rsidRPr="004B0CB2">
        <w:rPr>
          <w:rFonts w:ascii="Arial" w:hAnsi="Arial"/>
        </w:rPr>
        <w:t xml:space="preserve"> products is provided in </w:t>
      </w:r>
      <w:r w:rsidR="00596186">
        <w:rPr>
          <w:rFonts w:ascii="Arial" w:hAnsi="Arial"/>
        </w:rPr>
        <w:t xml:space="preserve">Figure </w:t>
      </w:r>
      <w:r w:rsidR="002C7CC5">
        <w:rPr>
          <w:rFonts w:ascii="Arial" w:hAnsi="Arial"/>
        </w:rPr>
        <w:t>B</w:t>
      </w:r>
      <w:r w:rsidR="00596186">
        <w:rPr>
          <w:rFonts w:ascii="Arial" w:hAnsi="Arial"/>
        </w:rPr>
        <w:t xml:space="preserve"> below.</w:t>
      </w:r>
      <w:r w:rsidRPr="004B0CB2">
        <w:rPr>
          <w:rFonts w:ascii="Arial" w:hAnsi="Arial"/>
        </w:rPr>
        <w:t xml:space="preserve"> </w:t>
      </w:r>
    </w:p>
    <w:p w:rsidR="004B0CB2" w:rsidRPr="004B0CB2" w:rsidRDefault="004B0CB2" w:rsidP="000F1FF2">
      <w:pPr>
        <w:rPr>
          <w:rFonts w:ascii="Arial" w:hAnsi="Arial"/>
        </w:rPr>
      </w:pPr>
    </w:p>
    <w:p w:rsidR="00A875BD" w:rsidRPr="000C47AF" w:rsidRDefault="001A2E58" w:rsidP="00A875BD">
      <w:pPr>
        <w:pStyle w:val="ListBullet"/>
        <w:spacing w:before="120" w:after="120"/>
        <w:rPr>
          <w:sz w:val="22"/>
          <w:szCs w:val="22"/>
        </w:rPr>
      </w:pPr>
      <w:r w:rsidRPr="00DB4CBF">
        <w:rPr>
          <w:rFonts w:cs="Arial"/>
          <w:sz w:val="24"/>
        </w:rPr>
        <w:t xml:space="preserve">The numbered </w:t>
      </w:r>
      <w:r w:rsidRPr="00DB4CBF">
        <w:rPr>
          <w:rFonts w:cs="Arial"/>
          <w:sz w:val="24"/>
          <w:u w:val="single"/>
        </w:rPr>
        <w:t>dark blue boxes</w:t>
      </w:r>
      <w:r w:rsidRPr="00DB4CBF">
        <w:rPr>
          <w:rStyle w:val="FootnoteReference"/>
          <w:rFonts w:cs="Arial"/>
          <w:sz w:val="24"/>
          <w:u w:val="single"/>
        </w:rPr>
        <w:footnoteReference w:id="1"/>
      </w:r>
      <w:r w:rsidR="000C47AF">
        <w:rPr>
          <w:rFonts w:cs="Arial"/>
          <w:sz w:val="24"/>
        </w:rPr>
        <w:t xml:space="preserve"> show the information that </w:t>
      </w:r>
      <w:r w:rsidR="002C7CC5">
        <w:rPr>
          <w:rFonts w:cs="Arial"/>
          <w:sz w:val="24"/>
        </w:rPr>
        <w:t>is required</w:t>
      </w:r>
      <w:r w:rsidR="000C47AF">
        <w:rPr>
          <w:rFonts w:cs="Arial"/>
          <w:sz w:val="24"/>
        </w:rPr>
        <w:t xml:space="preserve"> to</w:t>
      </w:r>
      <w:r w:rsidRPr="00DB4CBF">
        <w:rPr>
          <w:rFonts w:cs="Arial"/>
          <w:sz w:val="24"/>
        </w:rPr>
        <w:t xml:space="preserve"> appear on the </w:t>
      </w:r>
      <w:r w:rsidR="00A875BD" w:rsidRPr="00A875BD">
        <w:rPr>
          <w:rFonts w:cs="Arial"/>
          <w:sz w:val="24"/>
        </w:rPr>
        <w:t>label</w:t>
      </w:r>
      <w:r w:rsidR="00A875BD">
        <w:rPr>
          <w:rFonts w:cs="Arial"/>
          <w:sz w:val="24"/>
        </w:rPr>
        <w:t xml:space="preserve"> </w:t>
      </w:r>
    </w:p>
    <w:p w:rsidR="001A2E58" w:rsidRPr="00FA7C4F" w:rsidRDefault="001A2E58" w:rsidP="00DB34DC">
      <w:pPr>
        <w:pStyle w:val="ListBullet"/>
        <w:numPr>
          <w:ilvl w:val="0"/>
          <w:numId w:val="8"/>
        </w:numPr>
        <w:spacing w:before="120" w:after="120"/>
        <w:ind w:left="709"/>
        <w:rPr>
          <w:rFonts w:cs="Arial"/>
          <w:sz w:val="24"/>
        </w:rPr>
      </w:pPr>
      <w:r w:rsidRPr="00FA7C4F">
        <w:rPr>
          <w:rFonts w:cs="Arial"/>
          <w:sz w:val="24"/>
        </w:rPr>
        <w:t xml:space="preserve">The </w:t>
      </w:r>
      <w:r w:rsidRPr="00FA7C4F">
        <w:rPr>
          <w:rFonts w:cs="Arial"/>
          <w:sz w:val="24"/>
          <w:u w:val="single"/>
        </w:rPr>
        <w:t>pink boxes</w:t>
      </w:r>
      <w:r w:rsidRPr="00FA7C4F">
        <w:rPr>
          <w:rStyle w:val="FootnoteReference"/>
          <w:rFonts w:cs="Arial"/>
          <w:sz w:val="24"/>
        </w:rPr>
        <w:footnoteReference w:id="2"/>
      </w:r>
      <w:r w:rsidRPr="00FA7C4F">
        <w:rPr>
          <w:rFonts w:cs="Arial"/>
          <w:sz w:val="24"/>
        </w:rPr>
        <w:t xml:space="preserve"> provide additional guidance on meeting the labelling requirements.</w:t>
      </w:r>
    </w:p>
    <w:p w:rsidR="00831328" w:rsidRDefault="001A2E58" w:rsidP="000F1FF2">
      <w:pPr>
        <w:rPr>
          <w:rFonts w:ascii="Arial" w:hAnsi="Arial"/>
        </w:rPr>
      </w:pPr>
      <w:r w:rsidRPr="004B0CB2">
        <w:rPr>
          <w:rFonts w:ascii="Arial" w:hAnsi="Arial"/>
        </w:rPr>
        <w:t xml:space="preserve">The figures are intended as a ready reference for those designing labels or assessing labels for compliance with the regulations. Because the information in the diagrams is in summarised form, the </w:t>
      </w:r>
      <w:r w:rsidR="00A875BD" w:rsidRPr="004B0CB2">
        <w:rPr>
          <w:rFonts w:ascii="Arial" w:hAnsi="Arial"/>
        </w:rPr>
        <w:t xml:space="preserve">Act and the </w:t>
      </w:r>
      <w:r w:rsidRPr="004B0CB2">
        <w:rPr>
          <w:rFonts w:ascii="Arial" w:hAnsi="Arial"/>
        </w:rPr>
        <w:t xml:space="preserve">regulations should be consulted for further detail on the requirements for the labelling of </w:t>
      </w:r>
      <w:r w:rsidR="00831328" w:rsidRPr="004B0CB2">
        <w:rPr>
          <w:rFonts w:ascii="Arial" w:hAnsi="Arial"/>
        </w:rPr>
        <w:t>psychoactive products</w:t>
      </w:r>
      <w:r w:rsidRPr="004B0CB2">
        <w:rPr>
          <w:rFonts w:ascii="Arial" w:hAnsi="Arial"/>
        </w:rPr>
        <w:t>.</w:t>
      </w:r>
    </w:p>
    <w:p w:rsidR="00A40867" w:rsidRDefault="00A40867">
      <w:pPr>
        <w:rPr>
          <w:rFonts w:ascii="Arial" w:hAnsi="Arial"/>
        </w:rPr>
      </w:pPr>
      <w:r>
        <w:rPr>
          <w:rFonts w:ascii="Arial" w:hAnsi="Arial"/>
        </w:rPr>
        <w:br w:type="page"/>
      </w:r>
    </w:p>
    <w:p w:rsidR="00BC6862" w:rsidRDefault="00BC6862" w:rsidP="000F1FF2">
      <w:pPr>
        <w:rPr>
          <w:rFonts w:ascii="Arial" w:hAnsi="Arial"/>
        </w:rPr>
      </w:pPr>
    </w:p>
    <w:p w:rsidR="002C7CC5" w:rsidRDefault="002C7CC5" w:rsidP="000F1FF2">
      <w:pPr>
        <w:rPr>
          <w:rFonts w:ascii="Arial" w:hAnsi="Arial"/>
        </w:rPr>
      </w:pPr>
      <w:bookmarkStart w:id="148" w:name="_Toc396721421"/>
      <w:bookmarkStart w:id="149" w:name="_Toc396816625"/>
      <w:bookmarkStart w:id="150" w:name="_Toc396828642"/>
      <w:bookmarkStart w:id="151" w:name="_Toc397695013"/>
      <w:bookmarkEnd w:id="148"/>
      <w:bookmarkEnd w:id="149"/>
      <w:bookmarkEnd w:id="150"/>
      <w:bookmarkEnd w:id="151"/>
    </w:p>
    <w:p w:rsidR="00596186" w:rsidRDefault="00596186" w:rsidP="000F1FF2">
      <w:pPr>
        <w:rPr>
          <w:rFonts w:ascii="Arial" w:hAnsi="Arial"/>
        </w:rPr>
      </w:pPr>
    </w:p>
    <w:p w:rsidR="00596186" w:rsidRDefault="00596186" w:rsidP="000F1FF2">
      <w:pPr>
        <w:rPr>
          <w:lang w:val="en-US"/>
        </w:rPr>
      </w:pPr>
    </w:p>
    <w:p w:rsidR="00A46454" w:rsidRDefault="002C7CC5" w:rsidP="000F1FF2">
      <w:pPr>
        <w:rPr>
          <w:lang w:val="en-US"/>
        </w:rPr>
      </w:pPr>
      <w:r w:rsidRPr="000F1FF2">
        <w:rPr>
          <w:noProof/>
          <w:lang w:val="en-NZ" w:eastAsia="en-NZ"/>
        </w:rPr>
        <mc:AlternateContent>
          <mc:Choice Requires="wps">
            <w:drawing>
              <wp:anchor distT="0" distB="0" distL="114300" distR="114300" simplePos="0" relativeHeight="251659264" behindDoc="0" locked="0" layoutInCell="1" allowOverlap="1" wp14:anchorId="6E3C0962" wp14:editId="1040E2C0">
                <wp:simplePos x="0" y="0"/>
                <wp:positionH relativeFrom="column">
                  <wp:posOffset>-745490</wp:posOffset>
                </wp:positionH>
                <wp:positionV relativeFrom="paragraph">
                  <wp:posOffset>-476250</wp:posOffset>
                </wp:positionV>
                <wp:extent cx="6561455" cy="34290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145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317" w:rsidRPr="00A46454" w:rsidRDefault="002B3317" w:rsidP="00A46454">
                            <w:pPr>
                              <w:rPr>
                                <w:rStyle w:val="Arial"/>
                                <w:b/>
                                <w:bCs/>
                              </w:rPr>
                            </w:pPr>
                            <w:r w:rsidRPr="00A46454">
                              <w:rPr>
                                <w:rStyle w:val="Arial"/>
                                <w:b/>
                                <w:bCs/>
                              </w:rPr>
                              <w:t>F</w:t>
                            </w:r>
                            <w:r>
                              <w:rPr>
                                <w:rStyle w:val="Arial"/>
                                <w:b/>
                                <w:bCs/>
                              </w:rPr>
                              <w:t>igure B</w:t>
                            </w:r>
                            <w:r w:rsidRPr="00A46454">
                              <w:rPr>
                                <w:rStyle w:val="Arial"/>
                                <w:b/>
                                <w:bCs/>
                              </w:rPr>
                              <w:t xml:space="preserve">: </w:t>
                            </w:r>
                            <w:r w:rsidRPr="00A46454">
                              <w:rPr>
                                <w:rStyle w:val="Arial"/>
                                <w:b/>
                                <w:bCs/>
                              </w:rPr>
                              <w:tab/>
                              <w:t>Requirements for psychoactive product labels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58.7pt;margin-top:-37.5pt;width:516.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" stroked="f">
                <v:fill opacity="0"/>
                <v:textbox>
                  <w:txbxContent>
                    <w:p w:rsidR="002B3317" w:rsidRPr="00A46454" w:rsidRDefault="002B3317" w:rsidP="00A46454">
                      <w:pPr>
                        <w:rPr>
                          <w:rStyle w:val="Arial"/>
                          <w:b/>
                          <w:bCs/>
                        </w:rPr>
                      </w:pPr>
                      <w:r w:rsidRPr="00A46454">
                        <w:rPr>
                          <w:rStyle w:val="Arial"/>
                          <w:b/>
                          <w:bCs/>
                        </w:rPr>
                        <w:t>F</w:t>
                      </w:r>
                      <w:r>
                        <w:rPr>
                          <w:rStyle w:val="Arial"/>
                          <w:b/>
                          <w:bCs/>
                        </w:rPr>
                        <w:t>igure B</w:t>
                      </w:r>
                      <w:r w:rsidRPr="00A46454">
                        <w:rPr>
                          <w:rStyle w:val="Arial"/>
                          <w:b/>
                          <w:bCs/>
                        </w:rPr>
                        <w:t xml:space="preserve">: </w:t>
                      </w:r>
                      <w:r w:rsidRPr="00A46454">
                        <w:rPr>
                          <w:rStyle w:val="Arial"/>
                          <w:b/>
                          <w:bCs/>
                        </w:rPr>
                        <w:tab/>
                        <w:t>Requirements for psychoactive product labels</w:t>
                      </w:r>
                    </w:p>
                  </w:txbxContent>
                </v:textbox>
              </v:shape>
            </w:pict>
          </mc:Fallback>
        </mc:AlternateContent>
      </w:r>
      <w:r w:rsidR="00A66591" w:rsidRPr="000F1FF2">
        <w:rPr>
          <w:noProof/>
          <w:lang w:val="en-NZ" w:eastAsia="en-NZ"/>
        </w:rPr>
        <mc:AlternateContent>
          <mc:Choice Requires="wpc">
            <w:drawing>
              <wp:anchor distT="0" distB="0" distL="114300" distR="114300" simplePos="0" relativeHeight="251662336" behindDoc="1" locked="0" layoutInCell="1" allowOverlap="1" wp14:anchorId="244793D4" wp14:editId="68FEE8B5">
                <wp:simplePos x="0" y="0"/>
                <wp:positionH relativeFrom="column">
                  <wp:posOffset>-937895</wp:posOffset>
                </wp:positionH>
                <wp:positionV relativeFrom="paragraph">
                  <wp:posOffset>12700</wp:posOffset>
                </wp:positionV>
                <wp:extent cx="7073900" cy="7664450"/>
                <wp:effectExtent l="0" t="19050" r="12700" b="0"/>
                <wp:wrapNone/>
                <wp:docPr id="87" name="Canvas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 name="AutoShape 12"/>
                        <wps:cNvSpPr>
                          <a:spLocks noChangeArrowheads="1"/>
                        </wps:cNvSpPr>
                        <wps:spPr bwMode="auto">
                          <a:xfrm>
                            <a:off x="2515590" y="5441359"/>
                            <a:ext cx="2401570" cy="684530"/>
                          </a:xfrm>
                          <a:prstGeom prst="roundRect">
                            <a:avLst>
                              <a:gd name="adj" fmla="val 16667"/>
                            </a:avLst>
                          </a:prstGeom>
                          <a:solidFill>
                            <a:srgbClr val="000080">
                              <a:alpha val="39999"/>
                            </a:srgbClr>
                          </a:solidFill>
                          <a:ln w="38100">
                            <a:solidFill>
                              <a:srgbClr val="000080"/>
                            </a:solidFill>
                            <a:round/>
                            <a:headEnd/>
                            <a:tailEnd/>
                          </a:ln>
                        </wps:spPr>
                        <wps:txbx>
                          <w:txbxContent>
                            <w:p w:rsidR="002B3317" w:rsidRPr="00F97D34" w:rsidRDefault="002B3317" w:rsidP="00FA7C4F">
                              <w:pPr>
                                <w:tabs>
                                  <w:tab w:val="left" w:pos="285"/>
                                </w:tabs>
                                <w:ind w:left="-114" w:right="-159" w:firstLine="114"/>
                                <w:jc w:val="center"/>
                                <w:rPr>
                                  <w:rFonts w:ascii="Arial Black" w:hAnsi="Arial Black" w:cs="Arial"/>
                                  <w:color w:val="000000"/>
                                  <w:sz w:val="18"/>
                                  <w:szCs w:val="18"/>
                                </w:rPr>
                              </w:pPr>
                              <w:r>
                                <w:rPr>
                                  <w:rFonts w:ascii="Arial Black" w:hAnsi="Arial Black" w:cs="Arial"/>
                                  <w:color w:val="000000"/>
                                  <w:sz w:val="18"/>
                                  <w:szCs w:val="18"/>
                                </w:rPr>
                                <w:t xml:space="preserve">10.  </w:t>
                              </w:r>
                              <w:r w:rsidRPr="00F97D34">
                                <w:rPr>
                                  <w:rFonts w:ascii="Arial Black" w:hAnsi="Arial Black" w:cs="Arial"/>
                                  <w:color w:val="000000"/>
                                  <w:sz w:val="18"/>
                                  <w:szCs w:val="18"/>
                                </w:rPr>
                                <w:t>Name and address of</w:t>
                              </w:r>
                              <w:r>
                                <w:rPr>
                                  <w:rFonts w:ascii="Arial Black" w:hAnsi="Arial Black" w:cs="Arial"/>
                                  <w:color w:val="000000"/>
                                  <w:sz w:val="18"/>
                                  <w:szCs w:val="18"/>
                                </w:rPr>
                                <w:t xml:space="preserve"> the importer,</w:t>
                              </w:r>
                              <w:r w:rsidRPr="00F97D34">
                                <w:rPr>
                                  <w:rFonts w:ascii="Arial Black" w:hAnsi="Arial Black" w:cs="Arial"/>
                                  <w:color w:val="000000"/>
                                  <w:sz w:val="18"/>
                                  <w:szCs w:val="18"/>
                                </w:rPr>
                                <w:t xml:space="preserve"> manufacturer</w:t>
                              </w:r>
                              <w:r>
                                <w:rPr>
                                  <w:rFonts w:ascii="Arial Black" w:hAnsi="Arial Black" w:cs="Arial"/>
                                  <w:color w:val="000000"/>
                                  <w:sz w:val="18"/>
                                  <w:szCs w:val="18"/>
                                </w:rPr>
                                <w:t>, wholesaler or retailer</w:t>
                              </w:r>
                              <w:r w:rsidRPr="00F97D34">
                                <w:rPr>
                                  <w:rFonts w:ascii="Arial Black" w:hAnsi="Arial Black" w:cs="Arial"/>
                                  <w:color w:val="000000"/>
                                  <w:sz w:val="18"/>
                                  <w:szCs w:val="18"/>
                                </w:rPr>
                                <w:t xml:space="preserve"> </w:t>
                              </w:r>
                            </w:p>
                            <w:p w:rsidR="002B3317" w:rsidRPr="00D53C9E" w:rsidRDefault="002B3317" w:rsidP="00FA7C4F">
                              <w:pPr>
                                <w:jc w:val="center"/>
                                <w:rPr>
                                  <w:rFonts w:ascii="Arial Black" w:hAnsi="Arial Black"/>
                                </w:rPr>
                              </w:pPr>
                              <w:r w:rsidRPr="00D53C9E">
                                <w:rPr>
                                  <w:rFonts w:ascii="Arial Black" w:hAnsi="Arial Black" w:cs="Arial"/>
                                  <w:sz w:val="18"/>
                                  <w:szCs w:val="18"/>
                                </w:rPr>
                                <w:t>or distributor</w:t>
                              </w:r>
                            </w:p>
                          </w:txbxContent>
                        </wps:txbx>
                        <wps:bodyPr rot="0" vert="horz" wrap="square" lIns="91440" tIns="45720" rIns="91440" bIns="45720" anchor="t" anchorCtr="0" upright="1">
                          <a:noAutofit/>
                        </wps:bodyPr>
                      </wps:wsp>
                      <wps:wsp>
                        <wps:cNvPr id="44" name="AutoShape 13"/>
                        <wps:cNvSpPr>
                          <a:spLocks noChangeArrowheads="1"/>
                        </wps:cNvSpPr>
                        <wps:spPr bwMode="auto">
                          <a:xfrm>
                            <a:off x="271667" y="5441375"/>
                            <a:ext cx="1963253" cy="1295810"/>
                          </a:xfrm>
                          <a:prstGeom prst="flowChartAlternateProcess">
                            <a:avLst/>
                          </a:prstGeom>
                          <a:solidFill>
                            <a:srgbClr val="993366">
                              <a:alpha val="14999"/>
                            </a:srgbClr>
                          </a:solidFill>
                          <a:ln w="38100" cap="rnd">
                            <a:solidFill>
                              <a:srgbClr val="993366"/>
                            </a:solidFill>
                            <a:prstDash val="sysDot"/>
                            <a:miter lim="800000"/>
                            <a:headEnd/>
                            <a:tailEnd/>
                          </a:ln>
                        </wps:spPr>
                        <wps:txbx>
                          <w:txbxContent>
                            <w:p w:rsidR="002B3317" w:rsidRPr="00B04BBE" w:rsidRDefault="002B3317" w:rsidP="00FA7C4F">
                              <w:pPr>
                                <w:jc w:val="center"/>
                                <w:rPr>
                                  <w:rFonts w:ascii="Arial Narrow" w:hAnsi="Arial Narrow" w:cs="Arial"/>
                                  <w:b/>
                                  <w:sz w:val="18"/>
                                  <w:szCs w:val="18"/>
                                </w:rPr>
                              </w:pPr>
                              <w:r w:rsidRPr="00B04BBE">
                                <w:rPr>
                                  <w:rFonts w:ascii="Arial Narrow" w:hAnsi="Arial Narrow" w:cs="Arial"/>
                                  <w:sz w:val="18"/>
                                  <w:szCs w:val="18"/>
                                </w:rPr>
                                <w:t xml:space="preserve">A </w:t>
                              </w:r>
                              <w:r w:rsidRPr="00831328">
                                <w:rPr>
                                  <w:rFonts w:ascii="Arial Narrow" w:hAnsi="Arial Narrow" w:cs="Arial"/>
                                  <w:sz w:val="18"/>
                                  <w:szCs w:val="18"/>
                                </w:rPr>
                                <w:t>NZ street/postal address</w:t>
                              </w:r>
                              <w:r>
                                <w:rPr>
                                  <w:rFonts w:ascii="Arial Narrow" w:hAnsi="Arial Narrow" w:cs="Arial"/>
                                  <w:sz w:val="18"/>
                                  <w:szCs w:val="18"/>
                                </w:rPr>
                                <w:t xml:space="preserve"> if manufactured in NZ</w:t>
                              </w:r>
                              <w:r w:rsidRPr="00B04BBE">
                                <w:rPr>
                                  <w:rFonts w:ascii="Arial Narrow" w:hAnsi="Arial Narrow" w:cs="Arial"/>
                                  <w:sz w:val="18"/>
                                  <w:szCs w:val="18"/>
                                </w:rPr>
                                <w:t xml:space="preserve">, or </w:t>
                              </w:r>
                              <w:r w:rsidRPr="00831328">
                                <w:rPr>
                                  <w:rFonts w:ascii="Arial Narrow" w:hAnsi="Arial Narrow" w:cs="Arial"/>
                                  <w:sz w:val="18"/>
                                  <w:szCs w:val="18"/>
                                </w:rPr>
                                <w:t>the name and overseas address if the product is wholly manufactured and packed outside NZ</w:t>
                              </w:r>
                              <w:r w:rsidRPr="00831328">
                                <w:rPr>
                                  <w:rFonts w:ascii="Arial Narrow" w:hAnsi="Arial Narrow" w:cs="Arial"/>
                                  <w:b/>
                                  <w:sz w:val="18"/>
                                  <w:szCs w:val="18"/>
                                </w:rPr>
                                <w:t>.</w:t>
                              </w:r>
                              <w:r>
                                <w:rPr>
                                  <w:rFonts w:ascii="Arial Narrow" w:hAnsi="Arial Narrow" w:cs="Arial"/>
                                  <w:b/>
                                  <w:sz w:val="18"/>
                                  <w:szCs w:val="18"/>
                                </w:rPr>
                                <w:t xml:space="preserve"> </w:t>
                              </w:r>
                              <w:r w:rsidRPr="00831328">
                                <w:rPr>
                                  <w:rFonts w:ascii="Arial Narrow" w:hAnsi="Arial Narrow" w:cs="Arial"/>
                                  <w:sz w:val="18"/>
                                  <w:szCs w:val="18"/>
                                </w:rPr>
                                <w:t>In the latter case, the name and street/postal address of a responsible entity in NZ is also strongly encouraged</w:t>
                              </w:r>
                              <w:r>
                                <w:rPr>
                                  <w:rFonts w:ascii="Arial Narrow" w:hAnsi="Arial Narrow" w:cs="Arial"/>
                                  <w:sz w:val="18"/>
                                  <w:szCs w:val="18"/>
                                </w:rPr>
                                <w:t>.</w:t>
                              </w:r>
                            </w:p>
                            <w:p w:rsidR="002B3317" w:rsidRPr="008C35E7" w:rsidRDefault="002B3317" w:rsidP="00FA7C4F">
                              <w:pPr>
                                <w:jc w:val="center"/>
                                <w:rPr>
                                  <w:sz w:val="16"/>
                                  <w:szCs w:val="16"/>
                                </w:rPr>
                              </w:pPr>
                            </w:p>
                          </w:txbxContent>
                        </wps:txbx>
                        <wps:bodyPr rot="0" vert="horz" wrap="square" lIns="91440" tIns="45720" rIns="91440" bIns="45720" anchor="t" anchorCtr="0" upright="1">
                          <a:noAutofit/>
                        </wps:bodyPr>
                      </wps:wsp>
                      <wps:wsp>
                        <wps:cNvPr id="45" name="AutoShape 14"/>
                        <wps:cNvSpPr>
                          <a:spLocks noChangeArrowheads="1"/>
                        </wps:cNvSpPr>
                        <wps:spPr bwMode="auto">
                          <a:xfrm>
                            <a:off x="2528289" y="4884807"/>
                            <a:ext cx="2388870" cy="453390"/>
                          </a:xfrm>
                          <a:prstGeom prst="roundRect">
                            <a:avLst>
                              <a:gd name="adj" fmla="val 16667"/>
                            </a:avLst>
                          </a:prstGeom>
                          <a:solidFill>
                            <a:srgbClr val="000080">
                              <a:alpha val="39999"/>
                            </a:srgbClr>
                          </a:solidFill>
                          <a:ln w="38100">
                            <a:solidFill>
                              <a:srgbClr val="000080"/>
                            </a:solidFill>
                            <a:round/>
                            <a:headEnd/>
                            <a:tailEnd/>
                          </a:ln>
                        </wps:spPr>
                        <wps:txbx>
                          <w:txbxContent>
                            <w:p w:rsidR="002B3317" w:rsidRPr="00F97D34" w:rsidRDefault="002B3317" w:rsidP="00FA7C4F">
                              <w:pPr>
                                <w:tabs>
                                  <w:tab w:val="left" w:pos="399"/>
                                </w:tabs>
                                <w:jc w:val="center"/>
                                <w:rPr>
                                  <w:rFonts w:ascii="Arial Black" w:hAnsi="Arial Black" w:cs="Arial"/>
                                  <w:color w:val="000000"/>
                                  <w:sz w:val="18"/>
                                  <w:szCs w:val="18"/>
                                </w:rPr>
                              </w:pPr>
                              <w:r>
                                <w:rPr>
                                  <w:rFonts w:ascii="Arial Black" w:hAnsi="Arial Black" w:cs="Arial"/>
                                  <w:color w:val="000000"/>
                                  <w:sz w:val="18"/>
                                  <w:szCs w:val="18"/>
                                </w:rPr>
                                <w:t>9</w:t>
                              </w:r>
                              <w:r w:rsidRPr="00F97D34">
                                <w:rPr>
                                  <w:rFonts w:ascii="Arial Black" w:hAnsi="Arial Black" w:cs="Arial"/>
                                  <w:color w:val="000000"/>
                                  <w:sz w:val="18"/>
                                  <w:szCs w:val="18"/>
                                </w:rPr>
                                <w:t>.</w:t>
                              </w:r>
                              <w:r w:rsidRPr="00F97D34">
                                <w:rPr>
                                  <w:rFonts w:ascii="Arial Black" w:hAnsi="Arial Black" w:cs="Arial"/>
                                  <w:color w:val="000000"/>
                                  <w:sz w:val="18"/>
                                  <w:szCs w:val="18"/>
                                </w:rPr>
                                <w:tab/>
                                <w:t>Directions for use</w:t>
                              </w:r>
                            </w:p>
                            <w:p w:rsidR="002B3317" w:rsidRPr="00F97D34" w:rsidRDefault="002B3317" w:rsidP="00FA7C4F">
                              <w:pPr>
                                <w:jc w:val="center"/>
                                <w:rPr>
                                  <w:color w:val="000000"/>
                                  <w:sz w:val="16"/>
                                  <w:szCs w:val="16"/>
                                </w:rPr>
                              </w:pPr>
                              <w:r w:rsidRPr="00F97D34">
                                <w:rPr>
                                  <w:color w:val="000000"/>
                                  <w:sz w:val="16"/>
                                  <w:szCs w:val="16"/>
                                </w:rPr>
                                <w:t>Dose and frequency of dose</w:t>
                              </w:r>
                            </w:p>
                            <w:p w:rsidR="002B3317" w:rsidRPr="00D53C9E" w:rsidRDefault="002B3317" w:rsidP="00FA7C4F">
                              <w:pPr>
                                <w:tabs>
                                  <w:tab w:val="left" w:pos="399"/>
                                </w:tabs>
                                <w:jc w:val="center"/>
                                <w:rPr>
                                  <w:rFonts w:ascii="Arial Black" w:hAnsi="Arial Black" w:cs="Arial"/>
                                  <w:i/>
                                  <w:sz w:val="18"/>
                                  <w:szCs w:val="18"/>
                                </w:rPr>
                              </w:pPr>
                            </w:p>
                          </w:txbxContent>
                        </wps:txbx>
                        <wps:bodyPr rot="0" vert="horz" wrap="square" lIns="91440" tIns="45720" rIns="91440" bIns="45720" anchor="t" anchorCtr="0" upright="1">
                          <a:noAutofit/>
                        </wps:bodyPr>
                      </wps:wsp>
                      <wps:wsp>
                        <wps:cNvPr id="46" name="AutoShape 15"/>
                        <wps:cNvSpPr>
                          <a:spLocks noChangeArrowheads="1"/>
                        </wps:cNvSpPr>
                        <wps:spPr bwMode="auto">
                          <a:xfrm>
                            <a:off x="271500" y="4882898"/>
                            <a:ext cx="1990725" cy="455296"/>
                          </a:xfrm>
                          <a:prstGeom prst="flowChartAlternateProcess">
                            <a:avLst/>
                          </a:prstGeom>
                          <a:solidFill>
                            <a:srgbClr val="993366">
                              <a:alpha val="14999"/>
                            </a:srgbClr>
                          </a:solidFill>
                          <a:ln w="38100" cap="rnd">
                            <a:solidFill>
                              <a:srgbClr val="993366"/>
                            </a:solidFill>
                            <a:prstDash val="sysDot"/>
                            <a:miter lim="800000"/>
                            <a:headEnd/>
                            <a:tailEnd/>
                          </a:ln>
                        </wps:spPr>
                        <wps:txbx>
                          <w:txbxContent>
                            <w:p w:rsidR="002B3317" w:rsidRDefault="002B3317" w:rsidP="00FA7C4F">
                              <w:pPr>
                                <w:rPr>
                                  <w:rFonts w:ascii="Arial Narrow" w:hAnsi="Arial Narrow"/>
                                  <w:sz w:val="18"/>
                                  <w:szCs w:val="18"/>
                                </w:rPr>
                              </w:pPr>
                              <w:r>
                                <w:rPr>
                                  <w:rFonts w:ascii="Arial Narrow" w:hAnsi="Arial Narrow"/>
                                  <w:sz w:val="18"/>
                                  <w:szCs w:val="18"/>
                                </w:rPr>
                                <w:t>Detail of the purpose, dose and dose frequency to be included</w:t>
                              </w:r>
                            </w:p>
                            <w:p w:rsidR="002B3317" w:rsidRDefault="002B3317" w:rsidP="00FA7C4F"/>
                          </w:txbxContent>
                        </wps:txbx>
                        <wps:bodyPr rot="0" vert="horz" wrap="square" lIns="91440" tIns="45720" rIns="91440" bIns="45720" anchor="t" anchorCtr="0" upright="1">
                          <a:noAutofit/>
                        </wps:bodyPr>
                      </wps:wsp>
                      <wps:wsp>
                        <wps:cNvPr id="47" name="Line 16"/>
                        <wps:cNvCnPr/>
                        <wps:spPr bwMode="auto">
                          <a:xfrm flipH="1">
                            <a:off x="4856200" y="4570710"/>
                            <a:ext cx="482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0" name="Line 19"/>
                        <wps:cNvCnPr/>
                        <wps:spPr bwMode="auto">
                          <a:xfrm flipH="1">
                            <a:off x="2234920" y="5898691"/>
                            <a:ext cx="28067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1" name="Line 20"/>
                        <wps:cNvCnPr>
                          <a:stCxn id="45" idx="1"/>
                          <a:endCxn id="46" idx="3"/>
                        </wps:cNvCnPr>
                        <wps:spPr bwMode="auto">
                          <a:xfrm flipH="1" flipV="1">
                            <a:off x="2262225" y="5110546"/>
                            <a:ext cx="266064" cy="95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8" name="Line 27"/>
                        <wps:cNvCnPr/>
                        <wps:spPr bwMode="auto">
                          <a:xfrm flipH="1">
                            <a:off x="4868265" y="1786432"/>
                            <a:ext cx="470535" cy="6572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8"/>
                        <wps:cNvSpPr>
                          <a:spLocks noChangeArrowheads="1"/>
                        </wps:cNvSpPr>
                        <wps:spPr bwMode="auto">
                          <a:xfrm>
                            <a:off x="5332306" y="2223962"/>
                            <a:ext cx="1737360" cy="571500"/>
                          </a:xfrm>
                          <a:prstGeom prst="flowChartAlternateProcess">
                            <a:avLst/>
                          </a:prstGeom>
                          <a:solidFill>
                            <a:srgbClr val="993366">
                              <a:alpha val="14999"/>
                            </a:srgbClr>
                          </a:solidFill>
                          <a:ln w="38100" cap="rnd">
                            <a:solidFill>
                              <a:srgbClr val="993366"/>
                            </a:solidFill>
                            <a:prstDash val="sysDot"/>
                            <a:miter lim="800000"/>
                            <a:headEnd/>
                            <a:tailEnd/>
                          </a:ln>
                        </wps:spPr>
                        <wps:txbx>
                          <w:txbxContent>
                            <w:p w:rsidR="002B3317" w:rsidRPr="00A670D4" w:rsidRDefault="002B3317" w:rsidP="00FA7C4F">
                              <w:pPr>
                                <w:ind w:left="-57" w:right="18"/>
                                <w:jc w:val="center"/>
                                <w:rPr>
                                  <w:rFonts w:ascii="Arial Narrow" w:hAnsi="Arial Narrow" w:cs="Arial"/>
                                  <w:sz w:val="18"/>
                                  <w:szCs w:val="18"/>
                                </w:rPr>
                              </w:pPr>
                              <w:r>
                                <w:rPr>
                                  <w:rFonts w:ascii="Arial Narrow" w:hAnsi="Arial Narrow" w:cs="Arial"/>
                                  <w:sz w:val="18"/>
                                  <w:szCs w:val="18"/>
                                </w:rPr>
                                <w:t xml:space="preserve">Based on stability data, but in no case can it be </w:t>
                              </w:r>
                              <w:r w:rsidRPr="00A670D4">
                                <w:rPr>
                                  <w:rFonts w:ascii="Arial Narrow" w:hAnsi="Arial Narrow" w:cs="Arial"/>
                                  <w:sz w:val="18"/>
                                  <w:szCs w:val="18"/>
                                </w:rPr>
                                <w:t>later than 5 years from the date of manufacture</w:t>
                              </w:r>
                              <w:r>
                                <w:rPr>
                                  <w:rFonts w:ascii="Arial Narrow" w:hAnsi="Arial Narrow" w:cs="Arial"/>
                                  <w:sz w:val="18"/>
                                  <w:szCs w:val="18"/>
                                </w:rPr>
                                <w:t>.</w:t>
                              </w:r>
                            </w:p>
                          </w:txbxContent>
                        </wps:txbx>
                        <wps:bodyPr rot="0" vert="horz" wrap="square" lIns="91440" tIns="45720" rIns="91440" bIns="45720" anchor="t" anchorCtr="0" upright="1">
                          <a:noAutofit/>
                        </wps:bodyPr>
                      </wps:wsp>
                      <wps:wsp>
                        <wps:cNvPr id="60" name="Line 29"/>
                        <wps:cNvCnPr/>
                        <wps:spPr bwMode="auto">
                          <a:xfrm flipH="1" flipV="1">
                            <a:off x="4877790" y="2491282"/>
                            <a:ext cx="461010"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32"/>
                        <wps:cNvSpPr>
                          <a:spLocks noChangeArrowheads="1"/>
                        </wps:cNvSpPr>
                        <wps:spPr bwMode="auto">
                          <a:xfrm>
                            <a:off x="5332306" y="1495339"/>
                            <a:ext cx="1737360" cy="571500"/>
                          </a:xfrm>
                          <a:prstGeom prst="flowChartAlternateProcess">
                            <a:avLst/>
                          </a:prstGeom>
                          <a:solidFill>
                            <a:srgbClr val="993366">
                              <a:alpha val="14999"/>
                            </a:srgbClr>
                          </a:solidFill>
                          <a:ln w="38100" cap="rnd">
                            <a:solidFill>
                              <a:srgbClr val="993366"/>
                            </a:solidFill>
                            <a:prstDash val="sysDot"/>
                            <a:miter lim="800000"/>
                            <a:headEnd/>
                            <a:tailEnd/>
                          </a:ln>
                        </wps:spPr>
                        <wps:txbx>
                          <w:txbxContent>
                            <w:p w:rsidR="002B3317" w:rsidRPr="00A670D4" w:rsidRDefault="002B3317" w:rsidP="00FA7C4F">
                              <w:pPr>
                                <w:ind w:left="-57" w:right="18"/>
                                <w:jc w:val="center"/>
                                <w:rPr>
                                  <w:rFonts w:ascii="Arial Narrow" w:hAnsi="Arial Narrow" w:cs="Arial"/>
                                  <w:sz w:val="18"/>
                                  <w:szCs w:val="18"/>
                                </w:rPr>
                              </w:pPr>
                              <w:r w:rsidRPr="00A670D4">
                                <w:rPr>
                                  <w:rFonts w:ascii="Arial Narrow" w:hAnsi="Arial Narrow" w:cs="Arial"/>
                                  <w:sz w:val="18"/>
                                  <w:szCs w:val="18"/>
                                </w:rPr>
                                <w:t>The expiry date and batch number may be printed or embossed conspicuously on the container</w:t>
                              </w:r>
                              <w:r>
                                <w:rPr>
                                  <w:rFonts w:ascii="Arial Narrow" w:hAnsi="Arial Narrow" w:cs="Arial"/>
                                  <w:sz w:val="18"/>
                                  <w:szCs w:val="18"/>
                                </w:rPr>
                                <w:t>.</w:t>
                              </w:r>
                            </w:p>
                          </w:txbxContent>
                        </wps:txbx>
                        <wps:bodyPr rot="0" vert="horz" wrap="square" lIns="91440" tIns="45720" rIns="91440" bIns="45720" anchor="t" anchorCtr="0" upright="1">
                          <a:noAutofit/>
                        </wps:bodyPr>
                      </wps:wsp>
                      <wps:wsp>
                        <wps:cNvPr id="64" name="Line 33"/>
                        <wps:cNvCnPr/>
                        <wps:spPr bwMode="auto">
                          <a:xfrm flipH="1" flipV="1">
                            <a:off x="4877790" y="1785797"/>
                            <a:ext cx="441960"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34"/>
                        <wps:cNvSpPr>
                          <a:spLocks noChangeArrowheads="1"/>
                        </wps:cNvSpPr>
                        <wps:spPr bwMode="auto">
                          <a:xfrm>
                            <a:off x="2560252" y="1072057"/>
                            <a:ext cx="2352675" cy="342900"/>
                          </a:xfrm>
                          <a:prstGeom prst="roundRect">
                            <a:avLst>
                              <a:gd name="adj" fmla="val 16667"/>
                            </a:avLst>
                          </a:prstGeom>
                          <a:solidFill>
                            <a:srgbClr val="000080">
                              <a:alpha val="39999"/>
                            </a:srgbClr>
                          </a:solidFill>
                          <a:ln w="38100">
                            <a:solidFill>
                              <a:srgbClr val="000080"/>
                            </a:solidFill>
                            <a:round/>
                            <a:headEnd/>
                            <a:tailEnd/>
                          </a:ln>
                        </wps:spPr>
                        <wps:txbx>
                          <w:txbxContent>
                            <w:p w:rsidR="002B3317" w:rsidRPr="00402AEA" w:rsidRDefault="002B3317" w:rsidP="00FA7C4F">
                              <w:pPr>
                                <w:tabs>
                                  <w:tab w:val="left" w:pos="285"/>
                                </w:tabs>
                                <w:jc w:val="center"/>
                                <w:rPr>
                                  <w:rFonts w:ascii="Arial Black" w:hAnsi="Arial Black" w:cs="Arial"/>
                                  <w:color w:val="000000"/>
                                  <w:sz w:val="18"/>
                                  <w:szCs w:val="18"/>
                                </w:rPr>
                              </w:pPr>
                              <w:r>
                                <w:rPr>
                                  <w:rFonts w:ascii="Arial Black" w:hAnsi="Arial Black" w:cs="Arial"/>
                                  <w:color w:val="000000"/>
                                  <w:sz w:val="18"/>
                                  <w:szCs w:val="18"/>
                                </w:rPr>
                                <w:t>3</w:t>
                              </w:r>
                              <w:r w:rsidRPr="00402AEA">
                                <w:rPr>
                                  <w:rFonts w:ascii="Arial Black" w:hAnsi="Arial Black" w:cs="Arial"/>
                                  <w:color w:val="000000"/>
                                  <w:sz w:val="18"/>
                                  <w:szCs w:val="18"/>
                                </w:rPr>
                                <w:t xml:space="preserve">. </w:t>
                              </w:r>
                              <w:r w:rsidRPr="00402AEA">
                                <w:rPr>
                                  <w:rFonts w:ascii="Arial Black" w:hAnsi="Arial Black" w:cs="Arial"/>
                                  <w:color w:val="000000"/>
                                  <w:sz w:val="18"/>
                                  <w:szCs w:val="18"/>
                                </w:rPr>
                                <w:tab/>
                                <w:t xml:space="preserve">Dose form or presentation </w:t>
                              </w:r>
                            </w:p>
                            <w:p w:rsidR="002B3317" w:rsidRPr="00A670D4" w:rsidRDefault="002B3317" w:rsidP="00FA7C4F">
                              <w:pPr>
                                <w:jc w:val="center"/>
                                <w:rPr>
                                  <w:rFonts w:ascii="Arial Black" w:hAnsi="Arial Black" w:cs="Arial"/>
                                  <w:i/>
                                  <w:sz w:val="18"/>
                                  <w:szCs w:val="18"/>
                                </w:rPr>
                              </w:pPr>
                            </w:p>
                            <w:p w:rsidR="002B3317" w:rsidRPr="00A670D4" w:rsidRDefault="002B3317" w:rsidP="00FA7C4F">
                              <w:pPr>
                                <w:rPr>
                                  <w:rFonts w:ascii="Arial Black" w:hAnsi="Arial Black"/>
                                  <w:sz w:val="18"/>
                                  <w:szCs w:val="18"/>
                                </w:rPr>
                              </w:pPr>
                            </w:p>
                          </w:txbxContent>
                        </wps:txbx>
                        <wps:bodyPr rot="0" vert="horz" wrap="square" lIns="91440" tIns="45720" rIns="91440" bIns="45720" anchor="t" anchorCtr="0" upright="1">
                          <a:noAutofit/>
                        </wps:bodyPr>
                      </wps:wsp>
                      <wps:wsp>
                        <wps:cNvPr id="67" name="Rectangle 36"/>
                        <wps:cNvSpPr>
                          <a:spLocks noChangeArrowheads="1"/>
                        </wps:cNvSpPr>
                        <wps:spPr bwMode="auto">
                          <a:xfrm>
                            <a:off x="2743555" y="529189"/>
                            <a:ext cx="2026920" cy="45645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317" w:rsidRPr="00A670D4" w:rsidRDefault="002B3317" w:rsidP="00FA7C4F">
                              <w:pPr>
                                <w:tabs>
                                  <w:tab w:val="left" w:pos="285"/>
                                </w:tabs>
                                <w:jc w:val="center"/>
                                <w:rPr>
                                  <w:rFonts w:ascii="Arial Black" w:hAnsi="Arial Black" w:cs="Arial"/>
                                  <w:sz w:val="18"/>
                                  <w:szCs w:val="18"/>
                                </w:rPr>
                              </w:pPr>
                              <w:r w:rsidRPr="00A670D4">
                                <w:rPr>
                                  <w:rFonts w:ascii="Arial Black" w:hAnsi="Arial Black" w:cs="Arial"/>
                                  <w:b/>
                                  <w:sz w:val="18"/>
                                  <w:szCs w:val="18"/>
                                </w:rPr>
                                <w:t>2.</w:t>
                              </w:r>
                              <w:r w:rsidRPr="00A670D4">
                                <w:rPr>
                                  <w:rFonts w:ascii="Arial Black" w:hAnsi="Arial Black" w:cs="Arial"/>
                                  <w:b/>
                                  <w:sz w:val="18"/>
                                  <w:szCs w:val="18"/>
                                </w:rPr>
                                <w:tab/>
                              </w:r>
                              <w:r w:rsidRPr="00A670D4">
                                <w:rPr>
                                  <w:rFonts w:ascii="Arial Black" w:hAnsi="Arial Black" w:cs="Arial"/>
                                  <w:sz w:val="18"/>
                                  <w:szCs w:val="18"/>
                                </w:rPr>
                                <w:t>Name and strength of each active</w:t>
                              </w:r>
                              <w:r>
                                <w:rPr>
                                  <w:rFonts w:ascii="Arial Black" w:hAnsi="Arial Black" w:cs="Arial"/>
                                  <w:sz w:val="18"/>
                                  <w:szCs w:val="18"/>
                                </w:rPr>
                                <w:t xml:space="preserve"> </w:t>
                              </w:r>
                              <w:r w:rsidRPr="00A670D4">
                                <w:rPr>
                                  <w:rFonts w:ascii="Arial Black" w:hAnsi="Arial Black" w:cs="Arial"/>
                                  <w:sz w:val="18"/>
                                  <w:szCs w:val="18"/>
                                </w:rPr>
                                <w:t>ingredient</w:t>
                              </w:r>
                            </w:p>
                            <w:p w:rsidR="002B3317" w:rsidRPr="00A670D4" w:rsidRDefault="002B3317" w:rsidP="00FA7C4F">
                              <w:pPr>
                                <w:tabs>
                                  <w:tab w:val="left" w:pos="285"/>
                                </w:tabs>
                                <w:jc w:val="center"/>
                                <w:rPr>
                                  <w:rFonts w:ascii="Arial Black" w:hAnsi="Arial Black"/>
                                </w:rPr>
                              </w:pPr>
                            </w:p>
                          </w:txbxContent>
                        </wps:txbx>
                        <wps:bodyPr rot="0" vert="horz" wrap="square" lIns="91440" tIns="45720" rIns="91440" bIns="45720" anchor="t" anchorCtr="0" upright="1">
                          <a:noAutofit/>
                        </wps:bodyPr>
                      </wps:wsp>
                      <wps:wsp>
                        <wps:cNvPr id="68" name="AutoShape 37"/>
                        <wps:cNvSpPr>
                          <a:spLocks noChangeArrowheads="1"/>
                        </wps:cNvSpPr>
                        <wps:spPr bwMode="auto">
                          <a:xfrm>
                            <a:off x="2587980" y="499646"/>
                            <a:ext cx="2295525" cy="482600"/>
                          </a:xfrm>
                          <a:prstGeom prst="roundRect">
                            <a:avLst>
                              <a:gd name="adj" fmla="val 16667"/>
                            </a:avLst>
                          </a:prstGeom>
                          <a:solidFill>
                            <a:srgbClr val="000080">
                              <a:alpha val="39999"/>
                            </a:srgbClr>
                          </a:solidFill>
                          <a:ln w="38100">
                            <a:solidFill>
                              <a:srgbClr val="000080"/>
                            </a:solidFill>
                            <a:round/>
                            <a:headEnd/>
                            <a:tailEnd/>
                          </a:ln>
                        </wps:spPr>
                        <wps:txbx>
                          <w:txbxContent>
                            <w:p w:rsidR="002B3317" w:rsidRPr="00582036" w:rsidRDefault="002B3317" w:rsidP="00FA7C4F"/>
                          </w:txbxContent>
                        </wps:txbx>
                        <wps:bodyPr rot="0" vert="horz" wrap="square" lIns="91440" tIns="45720" rIns="91440" bIns="45720" anchor="t" anchorCtr="0" upright="1">
                          <a:noAutofit/>
                        </wps:bodyPr>
                      </wps:wsp>
                      <wps:wsp>
                        <wps:cNvPr id="69" name="AutoShape 38"/>
                        <wps:cNvSpPr>
                          <a:spLocks noChangeArrowheads="1"/>
                        </wps:cNvSpPr>
                        <wps:spPr bwMode="auto">
                          <a:xfrm>
                            <a:off x="2603014" y="0"/>
                            <a:ext cx="2280285" cy="416586"/>
                          </a:xfrm>
                          <a:prstGeom prst="roundRect">
                            <a:avLst>
                              <a:gd name="adj" fmla="val 16667"/>
                            </a:avLst>
                          </a:prstGeom>
                          <a:solidFill>
                            <a:srgbClr val="000080">
                              <a:alpha val="39999"/>
                            </a:srgbClr>
                          </a:solidFill>
                          <a:ln w="38100">
                            <a:solidFill>
                              <a:srgbClr val="000080"/>
                            </a:solidFill>
                            <a:round/>
                            <a:headEnd/>
                            <a:tailEnd/>
                          </a:ln>
                        </wps:spPr>
                        <wps:txbx>
                          <w:txbxContent>
                            <w:p w:rsidR="002B3317" w:rsidRPr="00402AEA" w:rsidRDefault="002B3317" w:rsidP="00FA7C4F">
                              <w:pPr>
                                <w:jc w:val="center"/>
                                <w:rPr>
                                  <w:rFonts w:cs="Arial"/>
                                  <w:b/>
                                  <w:color w:val="000000"/>
                                  <w:sz w:val="16"/>
                                  <w:szCs w:val="16"/>
                                </w:rPr>
                              </w:pPr>
                              <w:r>
                                <w:rPr>
                                  <w:rFonts w:ascii="Arial Black" w:hAnsi="Arial Black" w:cs="Arial"/>
                                  <w:b/>
                                  <w:color w:val="000000"/>
                                  <w:sz w:val="18"/>
                                  <w:szCs w:val="18"/>
                                </w:rPr>
                                <w:t xml:space="preserve">1.  </w:t>
                              </w:r>
                              <w:r w:rsidRPr="00402AEA">
                                <w:rPr>
                                  <w:rFonts w:ascii="Arial Black" w:hAnsi="Arial Black" w:cs="Arial"/>
                                  <w:b/>
                                  <w:color w:val="000000"/>
                                  <w:sz w:val="18"/>
                                  <w:szCs w:val="18"/>
                                </w:rPr>
                                <w:t xml:space="preserve">Trade name </w:t>
                              </w:r>
                            </w:p>
                          </w:txbxContent>
                        </wps:txbx>
                        <wps:bodyPr rot="0" vert="horz" wrap="square" lIns="91440" tIns="45720" rIns="91440" bIns="45720" anchor="t" anchorCtr="0" upright="1">
                          <a:noAutofit/>
                        </wps:bodyPr>
                      </wps:wsp>
                      <wps:wsp>
                        <wps:cNvPr id="70" name="Line 39"/>
                        <wps:cNvCnPr>
                          <a:stCxn id="68" idx="1"/>
                        </wps:cNvCnPr>
                        <wps:spPr bwMode="auto">
                          <a:xfrm flipH="1">
                            <a:off x="2262225" y="740946"/>
                            <a:ext cx="32575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1" name="Line 40"/>
                        <wps:cNvCnPr>
                          <a:stCxn id="69" idx="1"/>
                          <a:endCxn id="81" idx="3"/>
                        </wps:cNvCnPr>
                        <wps:spPr bwMode="auto">
                          <a:xfrm flipH="1">
                            <a:off x="2262225" y="204050"/>
                            <a:ext cx="340789" cy="1274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43"/>
                        <wps:cNvSpPr>
                          <a:spLocks noChangeArrowheads="1"/>
                        </wps:cNvSpPr>
                        <wps:spPr bwMode="auto">
                          <a:xfrm>
                            <a:off x="235940" y="523252"/>
                            <a:ext cx="2026285" cy="551180"/>
                          </a:xfrm>
                          <a:prstGeom prst="flowChartAlternateProcess">
                            <a:avLst/>
                          </a:prstGeom>
                          <a:solidFill>
                            <a:srgbClr val="993366">
                              <a:alpha val="14999"/>
                            </a:srgbClr>
                          </a:solidFill>
                          <a:ln w="38100" cap="rnd" algn="ctr">
                            <a:solidFill>
                              <a:srgbClr val="993366"/>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B3317" w:rsidRPr="00A44C54" w:rsidRDefault="002B3317" w:rsidP="00FA7C4F">
                              <w:pPr>
                                <w:ind w:left="-57" w:right="18"/>
                                <w:jc w:val="center"/>
                                <w:rPr>
                                  <w:rFonts w:cs="Arial"/>
                                  <w:sz w:val="16"/>
                                  <w:szCs w:val="16"/>
                                </w:rPr>
                              </w:pPr>
                              <w:r>
                                <w:rPr>
                                  <w:rFonts w:ascii="Arial Narrow" w:hAnsi="Arial Narrow" w:cs="Arial"/>
                                  <w:sz w:val="18"/>
                                  <w:szCs w:val="18"/>
                                </w:rPr>
                                <w:t>The New Zealand Approved Name (NZAN)</w:t>
                              </w:r>
                              <w:r w:rsidRPr="00A670D4">
                                <w:rPr>
                                  <w:rFonts w:ascii="Arial Narrow" w:hAnsi="Arial Narrow" w:cs="Arial"/>
                                  <w:sz w:val="18"/>
                                  <w:szCs w:val="18"/>
                                </w:rPr>
                                <w:t xml:space="preserve"> should be used</w:t>
                              </w:r>
                              <w:r>
                                <w:rPr>
                                  <w:rFonts w:ascii="Arial Narrow" w:hAnsi="Arial Narrow" w:cs="Arial"/>
                                  <w:sz w:val="18"/>
                                  <w:szCs w:val="18"/>
                                </w:rPr>
                                <w:t>.</w:t>
                              </w:r>
                              <w:r w:rsidRPr="00A670D4">
                                <w:rPr>
                                  <w:rFonts w:ascii="Arial Narrow" w:hAnsi="Arial Narrow" w:cs="Arial"/>
                                  <w:sz w:val="18"/>
                                  <w:szCs w:val="18"/>
                                </w:rPr>
                                <w:t xml:space="preserve"> Go to </w:t>
                              </w:r>
                              <w:r>
                                <w:rPr>
                                  <w:rFonts w:ascii="Arial Narrow" w:hAnsi="Arial Narrow" w:cs="Arial"/>
                                  <w:sz w:val="18"/>
                                  <w:szCs w:val="18"/>
                                </w:rPr>
                                <w:t>section 9.11.5</w:t>
                              </w:r>
                              <w:r w:rsidRPr="00A670D4">
                                <w:rPr>
                                  <w:rFonts w:ascii="Arial Narrow" w:hAnsi="Arial Narrow" w:cs="Arial"/>
                                  <w:sz w:val="18"/>
                                  <w:szCs w:val="18"/>
                                </w:rPr>
                                <w:t xml:space="preserve"> for further information</w:t>
                              </w:r>
                              <w:r>
                                <w:rPr>
                                  <w:rFonts w:ascii="Arial Narrow" w:hAnsi="Arial Narrow" w:cs="Arial"/>
                                  <w:sz w:val="18"/>
                                  <w:szCs w:val="18"/>
                                </w:rPr>
                                <w:t xml:space="preserve"> on NZANs</w:t>
                              </w:r>
                              <w:r w:rsidRPr="00A44C54">
                                <w:rPr>
                                  <w:rFonts w:cs="Arial"/>
                                  <w:sz w:val="16"/>
                                  <w:szCs w:val="16"/>
                                </w:rPr>
                                <w:t>.</w:t>
                              </w:r>
                              <w:r>
                                <w:rPr>
                                  <w:rFonts w:cs="Arial"/>
                                  <w:sz w:val="16"/>
                                  <w:szCs w:val="16"/>
                                </w:rPr>
                                <w:t xml:space="preserve"> </w:t>
                              </w:r>
                            </w:p>
                            <w:p w:rsidR="002B3317" w:rsidRPr="00FD6AFF" w:rsidRDefault="002B3317" w:rsidP="00FA7C4F">
                              <w:pPr>
                                <w:ind w:left="-114" w:right="-120"/>
                                <w:rPr>
                                  <w:szCs w:val="16"/>
                                </w:rPr>
                              </w:pPr>
                            </w:p>
                          </w:txbxContent>
                        </wps:txbx>
                        <wps:bodyPr rot="0" vert="horz" wrap="square" lIns="91440" tIns="45720" rIns="91440" bIns="45720" anchor="t" anchorCtr="0" upright="1">
                          <a:noAutofit/>
                        </wps:bodyPr>
                      </wps:wsp>
                      <wps:wsp>
                        <wps:cNvPr id="75" name="AutoShape 44"/>
                        <wps:cNvSpPr>
                          <a:spLocks noChangeArrowheads="1"/>
                        </wps:cNvSpPr>
                        <wps:spPr bwMode="auto">
                          <a:xfrm>
                            <a:off x="5223721" y="499646"/>
                            <a:ext cx="1845945" cy="482600"/>
                          </a:xfrm>
                          <a:prstGeom prst="flowChartAlternateProcess">
                            <a:avLst/>
                          </a:prstGeom>
                          <a:solidFill>
                            <a:srgbClr val="993366">
                              <a:alpha val="14999"/>
                            </a:srgbClr>
                          </a:solidFill>
                          <a:ln w="38100" cap="rnd" algn="ctr">
                            <a:solidFill>
                              <a:srgbClr val="993366"/>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B3317" w:rsidRPr="00A670D4" w:rsidRDefault="002B3317" w:rsidP="00FA7C4F">
                              <w:pPr>
                                <w:ind w:left="-57" w:right="18"/>
                                <w:jc w:val="center"/>
                                <w:rPr>
                                  <w:rFonts w:ascii="Arial Narrow" w:hAnsi="Arial Narrow" w:cs="Arial"/>
                                  <w:sz w:val="18"/>
                                  <w:szCs w:val="18"/>
                                </w:rPr>
                              </w:pPr>
                              <w:r>
                                <w:rPr>
                                  <w:rFonts w:ascii="Arial Narrow" w:hAnsi="Arial Narrow" w:cs="Arial"/>
                                  <w:sz w:val="18"/>
                                  <w:szCs w:val="18"/>
                                </w:rPr>
                                <w:t>Strengths</w:t>
                              </w:r>
                              <w:r w:rsidRPr="00A670D4">
                                <w:rPr>
                                  <w:rFonts w:ascii="Arial Narrow" w:hAnsi="Arial Narrow" w:cs="Arial"/>
                                  <w:sz w:val="18"/>
                                  <w:szCs w:val="18"/>
                                </w:rPr>
                                <w:t xml:space="preserve"> must be expressed in milligrams</w:t>
                              </w:r>
                              <w:r>
                                <w:rPr>
                                  <w:rFonts w:ascii="Arial Narrow" w:hAnsi="Arial Narrow" w:cs="Arial"/>
                                  <w:sz w:val="18"/>
                                  <w:szCs w:val="18"/>
                                </w:rPr>
                                <w:t xml:space="preserve"> </w:t>
                              </w:r>
                              <w:r w:rsidRPr="00A670D4">
                                <w:rPr>
                                  <w:rFonts w:ascii="Arial Narrow" w:hAnsi="Arial Narrow" w:cs="Arial"/>
                                  <w:sz w:val="18"/>
                                  <w:szCs w:val="18"/>
                                </w:rPr>
                                <w:t>or micrograms.</w:t>
                              </w:r>
                            </w:p>
                            <w:p w:rsidR="002B3317" w:rsidRPr="00A670D4" w:rsidRDefault="002B3317" w:rsidP="00FA7C4F">
                              <w:pPr>
                                <w:ind w:right="18"/>
                                <w:rPr>
                                  <w:rFonts w:ascii="Arial Narrow" w:hAnsi="Arial Narrow"/>
                                  <w:sz w:val="18"/>
                                  <w:szCs w:val="18"/>
                                </w:rPr>
                              </w:pPr>
                            </w:p>
                          </w:txbxContent>
                        </wps:txbx>
                        <wps:bodyPr rot="0" vert="horz" wrap="square" lIns="91440" tIns="45720" rIns="91440" bIns="45720" anchor="t" anchorCtr="0" upright="1">
                          <a:noAutofit/>
                        </wps:bodyPr>
                      </wps:wsp>
                      <wps:wsp>
                        <wps:cNvPr id="78" name="AutoShape 47"/>
                        <wps:cNvSpPr>
                          <a:spLocks noChangeArrowheads="1"/>
                        </wps:cNvSpPr>
                        <wps:spPr bwMode="auto">
                          <a:xfrm>
                            <a:off x="5332090" y="3364413"/>
                            <a:ext cx="1732499" cy="2838267"/>
                          </a:xfrm>
                          <a:prstGeom prst="flowChartAlternateProcess">
                            <a:avLst/>
                          </a:prstGeom>
                          <a:solidFill>
                            <a:srgbClr val="993366">
                              <a:alpha val="14999"/>
                            </a:srgbClr>
                          </a:solidFill>
                          <a:ln w="38100" cap="rnd">
                            <a:solidFill>
                              <a:srgbClr val="993366"/>
                            </a:solidFill>
                            <a:prstDash val="sysDot"/>
                            <a:miter lim="800000"/>
                            <a:headEnd/>
                            <a:tailEnd/>
                          </a:ln>
                        </wps:spPr>
                        <wps:txbx>
                          <w:txbxContent>
                            <w:p w:rsidR="002B3317" w:rsidRPr="002C7CC5" w:rsidRDefault="002B3317" w:rsidP="00DB34DC">
                              <w:pPr>
                                <w:pStyle w:val="ListParagraph"/>
                                <w:numPr>
                                  <w:ilvl w:val="0"/>
                                  <w:numId w:val="21"/>
                                </w:numPr>
                                <w:rPr>
                                  <w:rFonts w:ascii="Arial Narrow" w:hAnsi="Arial Narrow" w:cs="Arial"/>
                                  <w:b/>
                                  <w:sz w:val="18"/>
                                  <w:szCs w:val="18"/>
                                </w:rPr>
                              </w:pPr>
                              <w:r w:rsidRPr="002C7CC5">
                                <w:rPr>
                                  <w:rFonts w:ascii="Arial Narrow" w:hAnsi="Arial Narrow" w:cs="Arial"/>
                                  <w:b/>
                                  <w:sz w:val="18"/>
                                  <w:szCs w:val="18"/>
                                </w:rPr>
                                <w:t xml:space="preserve">R18 </w:t>
                              </w:r>
                            </w:p>
                            <w:p w:rsidR="002B3317" w:rsidRPr="002C7CC5" w:rsidRDefault="002B3317" w:rsidP="00DB34DC">
                              <w:pPr>
                                <w:pStyle w:val="ListParagraph"/>
                                <w:numPr>
                                  <w:ilvl w:val="0"/>
                                  <w:numId w:val="21"/>
                                </w:numPr>
                                <w:rPr>
                                  <w:rFonts w:ascii="Arial Narrow" w:hAnsi="Arial Narrow" w:cs="Arial"/>
                                  <w:b/>
                                  <w:sz w:val="18"/>
                                  <w:szCs w:val="18"/>
                                </w:rPr>
                              </w:pPr>
                              <w:r w:rsidRPr="002C7CC5">
                                <w:rPr>
                                  <w:rFonts w:ascii="Arial Narrow" w:hAnsi="Arial Narrow" w:cs="Arial"/>
                                  <w:b/>
                                  <w:sz w:val="18"/>
                                  <w:szCs w:val="18"/>
                                </w:rPr>
                                <w:t>Psychoactive product</w:t>
                              </w:r>
                            </w:p>
                            <w:p w:rsidR="002B3317" w:rsidRPr="000C47AF" w:rsidRDefault="002B3317" w:rsidP="00DB34DC">
                              <w:pPr>
                                <w:pStyle w:val="ListParagraph"/>
                                <w:numPr>
                                  <w:ilvl w:val="0"/>
                                  <w:numId w:val="21"/>
                                </w:numPr>
                                <w:rPr>
                                  <w:rFonts w:ascii="Arial Narrow" w:hAnsi="Arial Narrow" w:cs="Arial"/>
                                  <w:sz w:val="18"/>
                                  <w:szCs w:val="18"/>
                                </w:rPr>
                              </w:pPr>
                              <w:r w:rsidRPr="000C47AF">
                                <w:rPr>
                                  <w:rFonts w:ascii="Arial Narrow" w:hAnsi="Arial Narrow" w:cs="Arial"/>
                                  <w:sz w:val="18"/>
                                  <w:szCs w:val="18"/>
                                </w:rPr>
                                <w:t>do not use with any medication</w:t>
                              </w:r>
                            </w:p>
                            <w:p w:rsidR="002B3317" w:rsidRPr="000C47AF" w:rsidRDefault="002B3317" w:rsidP="00DB34DC">
                              <w:pPr>
                                <w:pStyle w:val="ListParagraph"/>
                                <w:numPr>
                                  <w:ilvl w:val="0"/>
                                  <w:numId w:val="21"/>
                                </w:numPr>
                                <w:rPr>
                                  <w:rFonts w:ascii="Arial Narrow" w:hAnsi="Arial Narrow" w:cs="Arial"/>
                                  <w:sz w:val="18"/>
                                  <w:szCs w:val="18"/>
                                </w:rPr>
                              </w:pPr>
                              <w:r w:rsidRPr="000C47AF">
                                <w:rPr>
                                  <w:rFonts w:ascii="Arial Narrow" w:hAnsi="Arial Narrow" w:cs="Arial"/>
                                  <w:sz w:val="18"/>
                                  <w:szCs w:val="18"/>
                                </w:rPr>
                                <w:t>do not drive a motor vehicle or operate any heavy machinery during or after use</w:t>
                              </w:r>
                            </w:p>
                            <w:p w:rsidR="002B3317" w:rsidRPr="000C47AF" w:rsidRDefault="002B3317" w:rsidP="00DB34DC">
                              <w:pPr>
                                <w:pStyle w:val="ListParagraph"/>
                                <w:numPr>
                                  <w:ilvl w:val="0"/>
                                  <w:numId w:val="21"/>
                                </w:numPr>
                                <w:rPr>
                                  <w:rFonts w:ascii="Arial Narrow" w:hAnsi="Arial Narrow" w:cs="Arial"/>
                                  <w:sz w:val="18"/>
                                  <w:szCs w:val="18"/>
                                </w:rPr>
                              </w:pPr>
                              <w:r w:rsidRPr="000C47AF">
                                <w:rPr>
                                  <w:rFonts w:ascii="Arial Narrow" w:hAnsi="Arial Narrow" w:cs="Arial"/>
                                  <w:sz w:val="18"/>
                                  <w:szCs w:val="18"/>
                                </w:rPr>
                                <w:t>not suitable for use by breast-feeding mothers or anyone with a mental illness</w:t>
                              </w:r>
                            </w:p>
                            <w:p w:rsidR="002B3317" w:rsidRDefault="002B3317" w:rsidP="00DB34DC">
                              <w:pPr>
                                <w:pStyle w:val="ListParagraph"/>
                                <w:numPr>
                                  <w:ilvl w:val="0"/>
                                  <w:numId w:val="21"/>
                                </w:numPr>
                                <w:rPr>
                                  <w:rFonts w:ascii="Arial Narrow" w:hAnsi="Arial Narrow" w:cs="Arial"/>
                                  <w:sz w:val="18"/>
                                  <w:szCs w:val="18"/>
                                </w:rPr>
                              </w:pPr>
                              <w:r w:rsidRPr="000C47AF">
                                <w:rPr>
                                  <w:rFonts w:ascii="Arial Narrow" w:hAnsi="Arial Narrow" w:cs="Arial"/>
                                  <w:sz w:val="18"/>
                                  <w:szCs w:val="18"/>
                                </w:rPr>
                                <w:t xml:space="preserve">the CAS number </w:t>
                              </w:r>
                            </w:p>
                            <w:p w:rsidR="002B3317" w:rsidRDefault="002B3317" w:rsidP="00DB34DC">
                              <w:pPr>
                                <w:pStyle w:val="ListParagraph"/>
                                <w:numPr>
                                  <w:ilvl w:val="0"/>
                                  <w:numId w:val="21"/>
                                </w:numPr>
                                <w:rPr>
                                  <w:rFonts w:ascii="Arial Narrow" w:hAnsi="Arial Narrow" w:cs="Arial"/>
                                  <w:sz w:val="18"/>
                                  <w:szCs w:val="18"/>
                                </w:rPr>
                              </w:pPr>
                              <w:r>
                                <w:rPr>
                                  <w:rFonts w:ascii="Arial Narrow" w:hAnsi="Arial Narrow" w:cs="Arial"/>
                                  <w:sz w:val="18"/>
                                  <w:szCs w:val="18"/>
                                </w:rPr>
                                <w:t>content (net weight or volume or number of the contents of the container)</w:t>
                              </w:r>
                            </w:p>
                            <w:p w:rsidR="002B3317" w:rsidRPr="002C7CC5" w:rsidRDefault="002B3317" w:rsidP="00DB34DC">
                              <w:pPr>
                                <w:pStyle w:val="ListParagraph"/>
                                <w:numPr>
                                  <w:ilvl w:val="0"/>
                                  <w:numId w:val="21"/>
                                </w:numPr>
                                <w:rPr>
                                  <w:rFonts w:ascii="Arial Narrow" w:hAnsi="Arial Narrow" w:cs="Arial"/>
                                  <w:sz w:val="18"/>
                                  <w:szCs w:val="18"/>
                                </w:rPr>
                              </w:pPr>
                              <w:r>
                                <w:rPr>
                                  <w:rFonts w:ascii="Arial Narrow" w:hAnsi="Arial Narrow" w:cs="Arial"/>
                                  <w:sz w:val="18"/>
                                  <w:szCs w:val="18"/>
                                </w:rPr>
                                <w:t>storage conditions</w:t>
                              </w:r>
                            </w:p>
                            <w:p w:rsidR="002B3317" w:rsidRPr="000C47AF" w:rsidRDefault="002B3317" w:rsidP="00DB34DC">
                              <w:pPr>
                                <w:pStyle w:val="ListParagraph"/>
                                <w:numPr>
                                  <w:ilvl w:val="0"/>
                                  <w:numId w:val="21"/>
                                </w:numPr>
                                <w:rPr>
                                  <w:rFonts w:ascii="Arial Narrow" w:hAnsi="Arial Narrow" w:cs="Arial"/>
                                  <w:sz w:val="18"/>
                                  <w:szCs w:val="18"/>
                                </w:rPr>
                              </w:pPr>
                              <w:r w:rsidRPr="000C47AF">
                                <w:rPr>
                                  <w:rFonts w:ascii="Arial Narrow" w:hAnsi="Arial Narrow" w:cs="Arial"/>
                                  <w:sz w:val="18"/>
                                  <w:szCs w:val="18"/>
                                </w:rPr>
                                <w:t>any other labelling requirement imposed as a condition during product evaluation</w:t>
                              </w:r>
                            </w:p>
                            <w:p w:rsidR="002B3317" w:rsidRPr="00B04BBE" w:rsidRDefault="002B3317" w:rsidP="00411A8F">
                              <w:pPr>
                                <w:rPr>
                                  <w:rFonts w:ascii="Arial Narrow" w:hAnsi="Arial Narrow" w:cs="Arial"/>
                                  <w:sz w:val="18"/>
                                  <w:szCs w:val="18"/>
                                </w:rPr>
                              </w:pPr>
                            </w:p>
                          </w:txbxContent>
                        </wps:txbx>
                        <wps:bodyPr rot="0" vert="horz" wrap="square" lIns="91440" tIns="45720" rIns="91440" bIns="45720" anchor="t" anchorCtr="0" upright="1">
                          <a:noAutofit/>
                        </wps:bodyPr>
                      </wps:wsp>
                      <wps:wsp>
                        <wps:cNvPr id="81" name="AutoShape 50"/>
                        <wps:cNvSpPr>
                          <a:spLocks noChangeArrowheads="1"/>
                        </wps:cNvSpPr>
                        <wps:spPr bwMode="auto">
                          <a:xfrm>
                            <a:off x="235305" y="0"/>
                            <a:ext cx="2026920" cy="442070"/>
                          </a:xfrm>
                          <a:prstGeom prst="flowChartAlternateProcess">
                            <a:avLst/>
                          </a:prstGeom>
                          <a:solidFill>
                            <a:srgbClr val="993366">
                              <a:alpha val="14999"/>
                            </a:srgbClr>
                          </a:solidFill>
                          <a:ln w="38100" cap="rnd">
                            <a:solidFill>
                              <a:srgbClr val="993366"/>
                            </a:solidFill>
                            <a:prstDash val="sysDot"/>
                            <a:miter lim="800000"/>
                            <a:headEnd/>
                            <a:tailEnd/>
                          </a:ln>
                        </wps:spPr>
                        <wps:txbx>
                          <w:txbxContent>
                            <w:p w:rsidR="002B3317" w:rsidRDefault="002B3317" w:rsidP="00FA7C4F">
                              <w:pPr>
                                <w:jc w:val="center"/>
                                <w:rPr>
                                  <w:rFonts w:ascii="Arial Narrow" w:hAnsi="Arial Narrow"/>
                                  <w:sz w:val="18"/>
                                  <w:szCs w:val="18"/>
                                </w:rPr>
                              </w:pPr>
                              <w:r>
                                <w:rPr>
                                  <w:rFonts w:ascii="Arial Narrow" w:hAnsi="Arial Narrow"/>
                                  <w:sz w:val="18"/>
                                  <w:szCs w:val="18"/>
                                </w:rPr>
                                <w:t>The name should be presented prominently.</w:t>
                              </w:r>
                            </w:p>
                            <w:p w:rsidR="002B3317" w:rsidRPr="00A670D4" w:rsidRDefault="002B3317" w:rsidP="00FA7C4F">
                              <w:pPr>
                                <w:jc w:val="center"/>
                                <w:rPr>
                                  <w:rFonts w:ascii="Arial Narrow" w:hAnsi="Arial Narrow"/>
                                  <w:sz w:val="18"/>
                                  <w:szCs w:val="18"/>
                                </w:rPr>
                              </w:pPr>
                            </w:p>
                          </w:txbxContent>
                        </wps:txbx>
                        <wps:bodyPr rot="0" vert="horz" wrap="square" lIns="91440" tIns="45720" rIns="91440" bIns="45720" anchor="t" anchorCtr="0" upright="1">
                          <a:noAutofit/>
                        </wps:bodyPr>
                      </wps:wsp>
                      <wps:wsp>
                        <wps:cNvPr id="83" name="Line 52"/>
                        <wps:cNvCnPr>
                          <a:stCxn id="75" idx="1"/>
                          <a:endCxn id="68" idx="3"/>
                        </wps:cNvCnPr>
                        <wps:spPr bwMode="auto">
                          <a:xfrm flipH="1">
                            <a:off x="4883505" y="740946"/>
                            <a:ext cx="3467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44"/>
                        <wps:cNvSpPr>
                          <a:spLocks noChangeArrowheads="1"/>
                        </wps:cNvSpPr>
                        <wps:spPr bwMode="auto">
                          <a:xfrm>
                            <a:off x="271667" y="3721735"/>
                            <a:ext cx="1990725" cy="462915"/>
                          </a:xfrm>
                          <a:prstGeom prst="flowChartAlternateProcess">
                            <a:avLst/>
                          </a:prstGeom>
                          <a:solidFill>
                            <a:srgbClr val="993366">
                              <a:alpha val="14999"/>
                            </a:srgbClr>
                          </a:solidFill>
                          <a:ln w="38100" cap="rnd" algn="ctr">
                            <a:solidFill>
                              <a:srgbClr val="993366"/>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B3317" w:rsidRDefault="002B3317" w:rsidP="00CE6F6A">
                              <w:pPr>
                                <w:pStyle w:val="NormalWeb"/>
                                <w:spacing w:before="0" w:beforeAutospacing="0" w:after="0" w:afterAutospacing="0"/>
                              </w:pPr>
                              <w:r w:rsidRPr="00846BBC">
                                <w:rPr>
                                  <w:rFonts w:ascii="Arial Narrow" w:hAnsi="Arial Narrow"/>
                                  <w:sz w:val="18"/>
                                  <w:szCs w:val="18"/>
                                </w:rPr>
                                <w:t>Refer to 3.</w:t>
                              </w:r>
                              <w:r>
                                <w:rPr>
                                  <w:rFonts w:ascii="Arial Narrow" w:hAnsi="Arial Narrow"/>
                                  <w:sz w:val="18"/>
                                  <w:szCs w:val="18"/>
                                </w:rPr>
                                <w:t>11.13 below for more information on the GS1 standard</w:t>
                              </w:r>
                              <w:r>
                                <w:rPr>
                                  <w:rFonts w:ascii="Arial Narrow" w:hAnsi="Arial Narrow"/>
                                  <w:sz w:val="18"/>
                                  <w:szCs w:val="18"/>
                                  <w:lang w:val="en-GB"/>
                                </w:rPr>
                                <w:t>  </w:t>
                              </w:r>
                            </w:p>
                          </w:txbxContent>
                        </wps:txbx>
                        <wps:bodyPr rot="0" vert="horz" wrap="square" lIns="91440" tIns="45720" rIns="91440" bIns="45720" anchor="t" anchorCtr="0" upright="1">
                          <a:noAutofit/>
                        </wps:bodyPr>
                      </wps:wsp>
                      <wps:wsp>
                        <wps:cNvPr id="72" name="Line 33"/>
                        <wps:cNvCnPr>
                          <a:endCxn id="56" idx="3"/>
                        </wps:cNvCnPr>
                        <wps:spPr bwMode="auto">
                          <a:xfrm flipH="1">
                            <a:off x="2262392" y="3953193"/>
                            <a:ext cx="27813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8"/>
                        <wps:cNvSpPr>
                          <a:spLocks noChangeArrowheads="1"/>
                        </wps:cNvSpPr>
                        <wps:spPr bwMode="auto">
                          <a:xfrm>
                            <a:off x="2577820" y="1534630"/>
                            <a:ext cx="2280285" cy="556600"/>
                          </a:xfrm>
                          <a:prstGeom prst="roundRect">
                            <a:avLst>
                              <a:gd name="adj" fmla="val 16667"/>
                            </a:avLst>
                          </a:prstGeom>
                          <a:solidFill>
                            <a:srgbClr val="000080">
                              <a:alpha val="39999"/>
                            </a:srgbClr>
                          </a:solidFill>
                          <a:ln w="38100">
                            <a:solidFill>
                              <a:srgbClr val="000080"/>
                            </a:solidFill>
                            <a:round/>
                            <a:headEnd/>
                            <a:tailEnd/>
                          </a:ln>
                        </wps:spPr>
                        <wps:txbx>
                          <w:txbxContent>
                            <w:p w:rsidR="002B3317" w:rsidRPr="00402AEA" w:rsidRDefault="002B3317" w:rsidP="00A875BD">
                              <w:pPr>
                                <w:tabs>
                                  <w:tab w:val="left" w:pos="285"/>
                                </w:tabs>
                                <w:jc w:val="center"/>
                                <w:rPr>
                                  <w:rFonts w:ascii="Arial Black" w:hAnsi="Arial Black" w:cs="Arial"/>
                                  <w:color w:val="000000"/>
                                  <w:sz w:val="18"/>
                                  <w:szCs w:val="18"/>
                                </w:rPr>
                              </w:pPr>
                              <w:r>
                                <w:rPr>
                                  <w:rFonts w:ascii="Arial Black" w:hAnsi="Arial Black" w:cs="Arial"/>
                                  <w:color w:val="000000"/>
                                  <w:sz w:val="18"/>
                                  <w:szCs w:val="18"/>
                                </w:rPr>
                                <w:t>4</w:t>
                              </w:r>
                              <w:r w:rsidRPr="00402AEA">
                                <w:rPr>
                                  <w:rFonts w:ascii="Arial Black" w:hAnsi="Arial Black" w:cs="Arial"/>
                                  <w:color w:val="000000"/>
                                  <w:sz w:val="18"/>
                                  <w:szCs w:val="18"/>
                                </w:rPr>
                                <w:t xml:space="preserve">. </w:t>
                              </w:r>
                              <w:r w:rsidRPr="00402AEA">
                                <w:rPr>
                                  <w:rFonts w:ascii="Arial Black" w:hAnsi="Arial Black" w:cs="Arial"/>
                                  <w:color w:val="000000"/>
                                  <w:sz w:val="18"/>
                                  <w:szCs w:val="18"/>
                                </w:rPr>
                                <w:tab/>
                                <w:t xml:space="preserve">Batch number </w:t>
                              </w:r>
                            </w:p>
                            <w:p w:rsidR="002B3317" w:rsidRPr="00402AEA" w:rsidRDefault="002B3317" w:rsidP="00A875BD">
                              <w:pPr>
                                <w:jc w:val="center"/>
                                <w:rPr>
                                  <w:rFonts w:cs="Arial"/>
                                  <w:color w:val="000000"/>
                                  <w:sz w:val="16"/>
                                  <w:szCs w:val="16"/>
                                </w:rPr>
                              </w:pPr>
                              <w:r w:rsidRPr="00402AEA">
                                <w:rPr>
                                  <w:rFonts w:cs="Arial"/>
                                  <w:color w:val="000000"/>
                                  <w:sz w:val="16"/>
                                  <w:szCs w:val="16"/>
                                </w:rPr>
                                <w:t xml:space="preserve">“Batch number”, “Lot number”, “Batch”, “Lot”, or “B” followed by the number </w:t>
                              </w:r>
                            </w:p>
                            <w:p w:rsidR="002B3317" w:rsidRDefault="002B3317" w:rsidP="00A875BD">
                              <w:pPr>
                                <w:pStyle w:val="NormalWeb"/>
                                <w:spacing w:before="0" w:beforeAutospacing="0" w:after="0" w:afterAutospacing="0"/>
                                <w:jc w:val="center"/>
                              </w:pPr>
                            </w:p>
                          </w:txbxContent>
                        </wps:txbx>
                        <wps:bodyPr rot="0" vert="horz" wrap="square" lIns="91440" tIns="45720" rIns="91440" bIns="45720" anchor="t" anchorCtr="0" upright="1">
                          <a:noAutofit/>
                        </wps:bodyPr>
                      </wps:wsp>
                      <wps:wsp>
                        <wps:cNvPr id="49" name="AutoShape 38"/>
                        <wps:cNvSpPr>
                          <a:spLocks noChangeArrowheads="1"/>
                        </wps:cNvSpPr>
                        <wps:spPr bwMode="auto">
                          <a:xfrm>
                            <a:off x="2577820" y="2207096"/>
                            <a:ext cx="2280285" cy="638515"/>
                          </a:xfrm>
                          <a:prstGeom prst="roundRect">
                            <a:avLst>
                              <a:gd name="adj" fmla="val 16667"/>
                            </a:avLst>
                          </a:prstGeom>
                          <a:solidFill>
                            <a:srgbClr val="000080">
                              <a:alpha val="39999"/>
                            </a:srgbClr>
                          </a:solidFill>
                          <a:ln w="38100">
                            <a:solidFill>
                              <a:srgbClr val="000080"/>
                            </a:solidFill>
                            <a:round/>
                            <a:headEnd/>
                            <a:tailEnd/>
                          </a:ln>
                        </wps:spPr>
                        <wps:txbx>
                          <w:txbxContent>
                            <w:p w:rsidR="002B3317" w:rsidRDefault="002B3317" w:rsidP="00A875BD">
                              <w:pPr>
                                <w:pStyle w:val="NormalWeb"/>
                                <w:tabs>
                                  <w:tab w:val="left" w:pos="285"/>
                                </w:tabs>
                                <w:spacing w:before="0" w:beforeAutospacing="0" w:after="0" w:afterAutospacing="0"/>
                                <w:jc w:val="center"/>
                              </w:pPr>
                              <w:r>
                                <w:rPr>
                                  <w:rFonts w:ascii="Arial Black" w:hAnsi="Arial Black" w:cs="Arial"/>
                                  <w:color w:val="000000"/>
                                  <w:sz w:val="18"/>
                                  <w:szCs w:val="18"/>
                                  <w:lang w:val="en-GB"/>
                                </w:rPr>
                                <w:t>5.  Expiry date</w:t>
                              </w:r>
                            </w:p>
                            <w:p w:rsidR="002B3317" w:rsidRDefault="002B3317" w:rsidP="00A875BD">
                              <w:pPr>
                                <w:pStyle w:val="NormalWeb"/>
                                <w:spacing w:before="0" w:beforeAutospacing="0" w:after="0" w:afterAutospacing="0"/>
                                <w:jc w:val="center"/>
                              </w:pPr>
                              <w:r>
                                <w:rPr>
                                  <w:rFonts w:cs="Arial"/>
                                  <w:color w:val="000000"/>
                                  <w:sz w:val="16"/>
                                  <w:szCs w:val="16"/>
                                  <w:lang w:val="en-GB"/>
                                </w:rPr>
                                <w:t>“Use by”, “Use before” or words of similar meaning, followed by the expiry date</w:t>
                              </w:r>
                            </w:p>
                            <w:p w:rsidR="002B3317" w:rsidRDefault="002B3317" w:rsidP="00A875BD">
                              <w:pPr>
                                <w:pStyle w:val="NormalWeb"/>
                                <w:spacing w:before="0" w:beforeAutospacing="0" w:after="0" w:afterAutospacing="0"/>
                                <w:jc w:val="center"/>
                              </w:pPr>
                              <w:r>
                                <w:t> </w:t>
                              </w:r>
                            </w:p>
                          </w:txbxContent>
                        </wps:txbx>
                        <wps:bodyPr rot="0" vert="horz" wrap="square" lIns="91440" tIns="45720" rIns="91440" bIns="45720" anchor="t" anchorCtr="0" upright="1">
                          <a:noAutofit/>
                        </wps:bodyPr>
                      </wps:wsp>
                      <wps:wsp>
                        <wps:cNvPr id="73" name="AutoShape 7"/>
                        <wps:cNvSpPr>
                          <a:spLocks noChangeArrowheads="1"/>
                        </wps:cNvSpPr>
                        <wps:spPr bwMode="auto">
                          <a:xfrm>
                            <a:off x="2540255" y="4261841"/>
                            <a:ext cx="2317115" cy="512478"/>
                          </a:xfrm>
                          <a:prstGeom prst="roundRect">
                            <a:avLst>
                              <a:gd name="adj" fmla="val 16667"/>
                            </a:avLst>
                          </a:prstGeom>
                          <a:solidFill>
                            <a:srgbClr val="000080">
                              <a:alpha val="39999"/>
                            </a:srgbClr>
                          </a:solidFill>
                          <a:ln w="38100">
                            <a:solidFill>
                              <a:srgbClr val="000080"/>
                            </a:solidFill>
                            <a:round/>
                            <a:headEnd/>
                            <a:tailEnd/>
                          </a:ln>
                        </wps:spPr>
                        <wps:txbx>
                          <w:txbxContent>
                            <w:p w:rsidR="002B3317" w:rsidRDefault="002B3317" w:rsidP="00A875BD">
                              <w:pPr>
                                <w:pStyle w:val="NormalWeb"/>
                                <w:tabs>
                                  <w:tab w:val="left" w:pos="285"/>
                                  <w:tab w:val="left" w:pos="720"/>
                                </w:tabs>
                                <w:spacing w:before="0" w:beforeAutospacing="0" w:after="0" w:afterAutospacing="0"/>
                                <w:ind w:left="720" w:hanging="360"/>
                              </w:pPr>
                              <w:r>
                                <w:rPr>
                                  <w:rFonts w:ascii="Arial Black" w:hAnsi="Arial Black" w:cs="Arial"/>
                                  <w:color w:val="000000"/>
                                  <w:sz w:val="18"/>
                                  <w:szCs w:val="18"/>
                                  <w:lang w:val="en-GB"/>
                                </w:rPr>
                                <w:t>8.  Statements required as conditions of approval</w:t>
                              </w:r>
                            </w:p>
                            <w:p w:rsidR="002B3317" w:rsidRDefault="002B3317" w:rsidP="00A875BD">
                              <w:pPr>
                                <w:pStyle w:val="NormalWeb"/>
                                <w:spacing w:before="0" w:beforeAutospacing="0" w:after="0" w:afterAutospacing="0"/>
                                <w:jc w:val="center"/>
                              </w:pPr>
                              <w:r>
                                <w:rPr>
                                  <w:rFonts w:ascii="Arial Black" w:hAnsi="Arial Black"/>
                                  <w:i/>
                                  <w:iCs/>
                                  <w:color w:val="000000"/>
                                  <w:sz w:val="18"/>
                                  <w:szCs w:val="18"/>
                                  <w:lang w:val="en-GB"/>
                                </w:rPr>
                                <w:t> </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87" o:spid="_x0000_s1027" editas="canvas" style="position:absolute;margin-left:-73.85pt;margin-top:1pt;width:557pt;height:603.5pt;z-index:-251654144" coordsize="70739,76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">
                <v:shape id="_x0000_s1028" type="#_x0000_t75" style="position:absolute;width:70739;height:76644;visibility:visible;mso-wrap-style:square">
                  <v:fill o:detectmouseclick="t"/>
                  <v:path o:connecttype="none"/>
                </v:shape>
                <v:roundrect id="AutoShape 12" o:spid="_x0000_s1029" style="position:absolute;left:25155;top:54413;width:24016;height:68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zscQA&#10;AADbAAAADwAAAGRycy9kb3ducmV2LnhtbESPT0sDMRTE70K/Q3gFbzbbP4qsTUsVBUE8tNuDx0fy&#10;ulm6eVmSdBu/vREEj8PM/IZZb7PrxUghdp4VzGcVCGLtTcetgmPzdvcIIiZkg71nUvBNEbabyc0a&#10;a+OvvKfxkFpRIBxrVGBTGmopo7bkMM78QFy8kw8OU5GhlSbgtcBdLxdV9SAddlwWLA70YkmfDxen&#10;IN8vrTZN86rHEL+Onx/Pi8sqK3U7zbsnEIly+g//td+NgtUSfr+U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m87HEAAAA2wAAAA8AAAAAAAAAAAAAAAAAmAIAAGRycy9k&#10;b3ducmV2LnhtbFBLBQYAAAAABAAEAPUAAACJAwAAAAA=&#10;" fillcolor="navy" strokecolor="navy" strokeweight="3pt">
                  <v:fill opacity="26214f"/>
                  <v:textbox>
                    <w:txbxContent>
                      <w:p w:rsidR="002B3317" w:rsidRPr="00F97D34" w:rsidRDefault="002B3317" w:rsidP="00FA7C4F">
                        <w:pPr>
                          <w:tabs>
                            <w:tab w:val="left" w:pos="285"/>
                          </w:tabs>
                          <w:ind w:left="-114" w:right="-159" w:firstLine="114"/>
                          <w:jc w:val="center"/>
                          <w:rPr>
                            <w:rFonts w:ascii="Arial Black" w:hAnsi="Arial Black" w:cs="Arial"/>
                            <w:color w:val="000000"/>
                            <w:sz w:val="18"/>
                            <w:szCs w:val="18"/>
                          </w:rPr>
                        </w:pPr>
                        <w:r>
                          <w:rPr>
                            <w:rFonts w:ascii="Arial Black" w:hAnsi="Arial Black" w:cs="Arial"/>
                            <w:color w:val="000000"/>
                            <w:sz w:val="18"/>
                            <w:szCs w:val="18"/>
                          </w:rPr>
                          <w:t xml:space="preserve">10.  </w:t>
                        </w:r>
                        <w:r w:rsidRPr="00F97D34">
                          <w:rPr>
                            <w:rFonts w:ascii="Arial Black" w:hAnsi="Arial Black" w:cs="Arial"/>
                            <w:color w:val="000000"/>
                            <w:sz w:val="18"/>
                            <w:szCs w:val="18"/>
                          </w:rPr>
                          <w:t>Name and address of</w:t>
                        </w:r>
                        <w:r>
                          <w:rPr>
                            <w:rFonts w:ascii="Arial Black" w:hAnsi="Arial Black" w:cs="Arial"/>
                            <w:color w:val="000000"/>
                            <w:sz w:val="18"/>
                            <w:szCs w:val="18"/>
                          </w:rPr>
                          <w:t xml:space="preserve"> the importer,</w:t>
                        </w:r>
                        <w:r w:rsidRPr="00F97D34">
                          <w:rPr>
                            <w:rFonts w:ascii="Arial Black" w:hAnsi="Arial Black" w:cs="Arial"/>
                            <w:color w:val="000000"/>
                            <w:sz w:val="18"/>
                            <w:szCs w:val="18"/>
                          </w:rPr>
                          <w:t xml:space="preserve"> manufacturer</w:t>
                        </w:r>
                        <w:r>
                          <w:rPr>
                            <w:rFonts w:ascii="Arial Black" w:hAnsi="Arial Black" w:cs="Arial"/>
                            <w:color w:val="000000"/>
                            <w:sz w:val="18"/>
                            <w:szCs w:val="18"/>
                          </w:rPr>
                          <w:t>, wholesaler or retailer</w:t>
                        </w:r>
                        <w:r w:rsidRPr="00F97D34">
                          <w:rPr>
                            <w:rFonts w:ascii="Arial Black" w:hAnsi="Arial Black" w:cs="Arial"/>
                            <w:color w:val="000000"/>
                            <w:sz w:val="18"/>
                            <w:szCs w:val="18"/>
                          </w:rPr>
                          <w:t xml:space="preserve"> </w:t>
                        </w:r>
                      </w:p>
                      <w:p w:rsidR="002B3317" w:rsidRPr="00D53C9E" w:rsidRDefault="002B3317" w:rsidP="00FA7C4F">
                        <w:pPr>
                          <w:jc w:val="center"/>
                          <w:rPr>
                            <w:rFonts w:ascii="Arial Black" w:hAnsi="Arial Black"/>
                          </w:rPr>
                        </w:pPr>
                        <w:r w:rsidRPr="00D53C9E">
                          <w:rPr>
                            <w:rFonts w:ascii="Arial Black" w:hAnsi="Arial Black" w:cs="Arial"/>
                            <w:sz w:val="18"/>
                            <w:szCs w:val="18"/>
                          </w:rPr>
                          <w:t>or distributor</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 o:spid="_x0000_s1030" type="#_x0000_t176" style="position:absolute;left:2716;top:54413;width:19633;height:12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kUxsMA&#10;AADbAAAADwAAAGRycy9kb3ducmV2LnhtbESPQWvCQBSE7wX/w/IEb81GkVCiq5SoRexJDfb62H1N&#10;QrNvQ3Zr0n/fFQo9DjPzDbPejrYVd+p941jBPElBEGtnGq4UlNfD8wsIH5ANto5JwQ952G4mT2vM&#10;jRv4TPdLqESEsM9RQR1Cl0vpdU0WfeI64uh9ut5iiLKvpOlxiHDbykWaZtJiw3Ghxo6KmvTX5dsq&#10;8Hvdnt9ven8aKdt9VF2hy7dCqdl0fF2BCDSG//Bf+2gULJfw+B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kUxsMAAADbAAAADwAAAAAAAAAAAAAAAACYAgAAZHJzL2Rv&#10;d25yZXYueG1sUEsFBgAAAAAEAAQA9QAAAIgDAAAAAA==&#10;" fillcolor="#936" strokecolor="#936" strokeweight="3pt">
                  <v:fill opacity="9766f"/>
                  <v:stroke dashstyle="1 1" endcap="round"/>
                  <v:textbox>
                    <w:txbxContent>
                      <w:p w:rsidR="002B3317" w:rsidRPr="00B04BBE" w:rsidRDefault="002B3317" w:rsidP="00FA7C4F">
                        <w:pPr>
                          <w:jc w:val="center"/>
                          <w:rPr>
                            <w:rFonts w:ascii="Arial Narrow" w:hAnsi="Arial Narrow" w:cs="Arial"/>
                            <w:b/>
                            <w:sz w:val="18"/>
                            <w:szCs w:val="18"/>
                          </w:rPr>
                        </w:pPr>
                        <w:r w:rsidRPr="00B04BBE">
                          <w:rPr>
                            <w:rFonts w:ascii="Arial Narrow" w:hAnsi="Arial Narrow" w:cs="Arial"/>
                            <w:sz w:val="18"/>
                            <w:szCs w:val="18"/>
                          </w:rPr>
                          <w:t xml:space="preserve">A </w:t>
                        </w:r>
                        <w:r w:rsidRPr="00831328">
                          <w:rPr>
                            <w:rFonts w:ascii="Arial Narrow" w:hAnsi="Arial Narrow" w:cs="Arial"/>
                            <w:sz w:val="18"/>
                            <w:szCs w:val="18"/>
                          </w:rPr>
                          <w:t>NZ street/postal address</w:t>
                        </w:r>
                        <w:r>
                          <w:rPr>
                            <w:rFonts w:ascii="Arial Narrow" w:hAnsi="Arial Narrow" w:cs="Arial"/>
                            <w:sz w:val="18"/>
                            <w:szCs w:val="18"/>
                          </w:rPr>
                          <w:t xml:space="preserve"> if manufactured in NZ</w:t>
                        </w:r>
                        <w:r w:rsidRPr="00B04BBE">
                          <w:rPr>
                            <w:rFonts w:ascii="Arial Narrow" w:hAnsi="Arial Narrow" w:cs="Arial"/>
                            <w:sz w:val="18"/>
                            <w:szCs w:val="18"/>
                          </w:rPr>
                          <w:t xml:space="preserve">, or </w:t>
                        </w:r>
                        <w:r w:rsidRPr="00831328">
                          <w:rPr>
                            <w:rFonts w:ascii="Arial Narrow" w:hAnsi="Arial Narrow" w:cs="Arial"/>
                            <w:sz w:val="18"/>
                            <w:szCs w:val="18"/>
                          </w:rPr>
                          <w:t>the name and overseas address if the product is wholly manufactured and packed outside NZ</w:t>
                        </w:r>
                        <w:r w:rsidRPr="00831328">
                          <w:rPr>
                            <w:rFonts w:ascii="Arial Narrow" w:hAnsi="Arial Narrow" w:cs="Arial"/>
                            <w:b/>
                            <w:sz w:val="18"/>
                            <w:szCs w:val="18"/>
                          </w:rPr>
                          <w:t>.</w:t>
                        </w:r>
                        <w:r>
                          <w:rPr>
                            <w:rFonts w:ascii="Arial Narrow" w:hAnsi="Arial Narrow" w:cs="Arial"/>
                            <w:b/>
                            <w:sz w:val="18"/>
                            <w:szCs w:val="18"/>
                          </w:rPr>
                          <w:t xml:space="preserve"> </w:t>
                        </w:r>
                        <w:r w:rsidRPr="00831328">
                          <w:rPr>
                            <w:rFonts w:ascii="Arial Narrow" w:hAnsi="Arial Narrow" w:cs="Arial"/>
                            <w:sz w:val="18"/>
                            <w:szCs w:val="18"/>
                          </w:rPr>
                          <w:t>In the latter case, the name and street/postal address of a responsible entity in NZ is also strongly encouraged</w:t>
                        </w:r>
                        <w:r>
                          <w:rPr>
                            <w:rFonts w:ascii="Arial Narrow" w:hAnsi="Arial Narrow" w:cs="Arial"/>
                            <w:sz w:val="18"/>
                            <w:szCs w:val="18"/>
                          </w:rPr>
                          <w:t>.</w:t>
                        </w:r>
                      </w:p>
                      <w:p w:rsidR="002B3317" w:rsidRPr="008C35E7" w:rsidRDefault="002B3317" w:rsidP="00FA7C4F">
                        <w:pPr>
                          <w:jc w:val="center"/>
                          <w:rPr>
                            <w:sz w:val="16"/>
                            <w:szCs w:val="16"/>
                          </w:rPr>
                        </w:pPr>
                      </w:p>
                    </w:txbxContent>
                  </v:textbox>
                </v:shape>
                <v:roundrect id="AutoShape 14" o:spid="_x0000_s1031" style="position:absolute;left:25282;top:48848;width:23889;height:45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POXsQA&#10;AADbAAAADwAAAGRycy9kb3ducmV2LnhtbESPQUsDMRSE70L/Q3iCN5u1tqWsTUsVBUE8tNuDx0fy&#10;ulm6eVmSdBv/vREEj8PMfMOst9n1YqQQO88KHqYVCGLtTcetgmPzdr8CEROywd4zKfimCNvN5GaN&#10;tfFX3tN4SK0oEI41KrApDbWUUVtyGKd+IC7eyQeHqcjQShPwWuCul7OqWkqHHZcFiwO9WNLnw8Up&#10;yItHq03TvOoxxK/j58fz7DLPSt3d5t0TiEQ5/Yf/2u9GwXwBv1/K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Dzl7EAAAA2wAAAA8AAAAAAAAAAAAAAAAAmAIAAGRycy9k&#10;b3ducmV2LnhtbFBLBQYAAAAABAAEAPUAAACJAwAAAAA=&#10;" fillcolor="navy" strokecolor="navy" strokeweight="3pt">
                  <v:fill opacity="26214f"/>
                  <v:textbox>
                    <w:txbxContent>
                      <w:p w:rsidR="002B3317" w:rsidRPr="00F97D34" w:rsidRDefault="002B3317" w:rsidP="00FA7C4F">
                        <w:pPr>
                          <w:tabs>
                            <w:tab w:val="left" w:pos="399"/>
                          </w:tabs>
                          <w:jc w:val="center"/>
                          <w:rPr>
                            <w:rFonts w:ascii="Arial Black" w:hAnsi="Arial Black" w:cs="Arial"/>
                            <w:color w:val="000000"/>
                            <w:sz w:val="18"/>
                            <w:szCs w:val="18"/>
                          </w:rPr>
                        </w:pPr>
                        <w:r>
                          <w:rPr>
                            <w:rFonts w:ascii="Arial Black" w:hAnsi="Arial Black" w:cs="Arial"/>
                            <w:color w:val="000000"/>
                            <w:sz w:val="18"/>
                            <w:szCs w:val="18"/>
                          </w:rPr>
                          <w:t>9</w:t>
                        </w:r>
                        <w:r w:rsidRPr="00F97D34">
                          <w:rPr>
                            <w:rFonts w:ascii="Arial Black" w:hAnsi="Arial Black" w:cs="Arial"/>
                            <w:color w:val="000000"/>
                            <w:sz w:val="18"/>
                            <w:szCs w:val="18"/>
                          </w:rPr>
                          <w:t>.</w:t>
                        </w:r>
                        <w:r w:rsidRPr="00F97D34">
                          <w:rPr>
                            <w:rFonts w:ascii="Arial Black" w:hAnsi="Arial Black" w:cs="Arial"/>
                            <w:color w:val="000000"/>
                            <w:sz w:val="18"/>
                            <w:szCs w:val="18"/>
                          </w:rPr>
                          <w:tab/>
                          <w:t>Directions for use</w:t>
                        </w:r>
                      </w:p>
                      <w:p w:rsidR="002B3317" w:rsidRPr="00F97D34" w:rsidRDefault="002B3317" w:rsidP="00FA7C4F">
                        <w:pPr>
                          <w:jc w:val="center"/>
                          <w:rPr>
                            <w:color w:val="000000"/>
                            <w:sz w:val="16"/>
                            <w:szCs w:val="16"/>
                          </w:rPr>
                        </w:pPr>
                        <w:r w:rsidRPr="00F97D34">
                          <w:rPr>
                            <w:color w:val="000000"/>
                            <w:sz w:val="16"/>
                            <w:szCs w:val="16"/>
                          </w:rPr>
                          <w:t>Dose and frequency of dose</w:t>
                        </w:r>
                      </w:p>
                      <w:p w:rsidR="002B3317" w:rsidRPr="00D53C9E" w:rsidRDefault="002B3317" w:rsidP="00FA7C4F">
                        <w:pPr>
                          <w:tabs>
                            <w:tab w:val="left" w:pos="399"/>
                          </w:tabs>
                          <w:jc w:val="center"/>
                          <w:rPr>
                            <w:rFonts w:ascii="Arial Black" w:hAnsi="Arial Black" w:cs="Arial"/>
                            <w:i/>
                            <w:sz w:val="18"/>
                            <w:szCs w:val="18"/>
                          </w:rPr>
                        </w:pPr>
                      </w:p>
                    </w:txbxContent>
                  </v:textbox>
                </v:roundrect>
                <v:shape id="AutoShape 15" o:spid="_x0000_s1032" type="#_x0000_t176" style="position:absolute;left:2715;top:48828;width:19907;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cvKsMA&#10;AADbAAAADwAAAGRycy9kb3ducmV2LnhtbESPQWvCQBSE70L/w/IKvelGKaFEV5GYllJPsVKvj91n&#10;Esy+Ddltkv77bkHocZiZb5jNbrKtGKj3jWMFy0UCglg703Cl4Pz5On8B4QOywdYxKfghD7vtw2yD&#10;mXEjlzScQiUihH2GCuoQukxKr2uy6BeuI47e1fUWQ5R9JU2PY4TbVq6SJJUWG44LNXaU16Rvp2+r&#10;wBe6LY9fuviYKD1cqi7X57dcqafHab8GEWgK/+F7+90oeE7h70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cvKsMAAADbAAAADwAAAAAAAAAAAAAAAACYAgAAZHJzL2Rv&#10;d25yZXYueG1sUEsFBgAAAAAEAAQA9QAAAIgDAAAAAA==&#10;" fillcolor="#936" strokecolor="#936" strokeweight="3pt">
                  <v:fill opacity="9766f"/>
                  <v:stroke dashstyle="1 1" endcap="round"/>
                  <v:textbox>
                    <w:txbxContent>
                      <w:p w:rsidR="002B3317" w:rsidRDefault="002B3317" w:rsidP="00FA7C4F">
                        <w:pPr>
                          <w:rPr>
                            <w:rFonts w:ascii="Arial Narrow" w:hAnsi="Arial Narrow"/>
                            <w:sz w:val="18"/>
                            <w:szCs w:val="18"/>
                          </w:rPr>
                        </w:pPr>
                        <w:r>
                          <w:rPr>
                            <w:rFonts w:ascii="Arial Narrow" w:hAnsi="Arial Narrow"/>
                            <w:sz w:val="18"/>
                            <w:szCs w:val="18"/>
                          </w:rPr>
                          <w:t>Detail of the purpose, dose and dose frequency to be included</w:t>
                        </w:r>
                      </w:p>
                      <w:p w:rsidR="002B3317" w:rsidRDefault="002B3317" w:rsidP="00FA7C4F"/>
                    </w:txbxContent>
                  </v:textbox>
                </v:shape>
                <v:line id="Line 16" o:spid="_x0000_s1033" style="position:absolute;flip:x;visibility:visible;mso-wrap-style:square" from="48562,45707" to="53388,45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3cKccAAADbAAAADwAAAGRycy9kb3ducmV2LnhtbESPQWvCQBCF74X+h2UKvRTdKKFKdBOK&#10;WqsghaoHj2N2TEKzsyG7avz3XaHg8fHmfW/eNOtMLS7UusqygkE/AkGcW11xoWC/++yNQTiPrLG2&#10;TApu5CBLn5+mmGh75R+6bH0hAoRdggpK75tESpeXZND1bUMcvJNtDfog20LqFq8Bbmo5jKJ3abDi&#10;0FBiQ7OS8t/t2YQ35vFufTt+LUffi1m+Oa3jt2h1UOr1pfuYgPDU+cfxf3qlFcQjuG8JAJDp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bdwpxwAAANsAAAAPAAAAAAAA&#10;AAAAAAAAAKECAABkcnMvZG93bnJldi54bWxQSwUGAAAAAAQABAD5AAAAlQMAAAAA&#10;" strokeweight="2.25pt"/>
                <v:line id="Line 19" o:spid="_x0000_s1034" style="position:absolute;flip:x;visibility:visible;mso-wrap-style:square" from="22349,58986" to="25155,5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3SgMcAAADbAAAADwAAAGRycy9kb3ducmV2LnhtbESPTWvCQBCG74L/YZlCL6Ibi62SuorY&#10;L4Ui+HHocZodk2B2NmS3Gv+9cyh4HN55n3lmOm9dpc7UhNKzgeEgAUWceVtybuCw/+hPQIWIbLHy&#10;TAauFGA+63ammFp/4S2ddzFXAuGQooEixjrVOmQFOQwDXxNLdvSNwyhjk2vb4EXgrtJPSfKiHZYs&#10;FwqsaVlQdtr9OdF4G+3X19+vz/HmfZl9H9ejXrL6MebxoV28gorUxvvyf3tlDTyLvfwiAN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XdKAxwAAANsAAAAPAAAAAAAA&#10;AAAAAAAAAKECAABkcnMvZG93bnJldi54bWxQSwUGAAAAAAQABAD5AAAAlQMAAAAA&#10;" strokeweight="2.25pt"/>
                <v:line id="Line 20" o:spid="_x0000_s1035" style="position:absolute;flip:x y;visibility:visible;mso-wrap-style:square" from="22622,51105" to="25282,51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oLg8MAAADbAAAADwAAAGRycy9kb3ducmV2LnhtbESPwWrDMBBE74H+g9hCb4mcQEpxIwdj&#10;KIRc0jqF5LhYW9vYWhmvErt/XxUKPQ4z84bZ7WfXqzuN0no2sF4loIgrb1uuDXye35YvoCQgW+w9&#10;k4FvEthnD4sdptZP/EH3MtQqQlhSNNCEMKRaS9WQQ1n5gTh6X350GKIca21HnCLc9XqTJM/aYctx&#10;ocGBioaqrrw5A91FruU1l2K6SJGczkeZ3/PKmKfHOX8FFWgO/+G/9sEa2K7h90v8ATr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KC4PDAAAA2wAAAA8AAAAAAAAAAAAA&#10;AAAAoQIAAGRycy9kb3ducmV2LnhtbFBLBQYAAAAABAAEAPkAAACRAwAAAAA=&#10;" strokeweight="2.25pt"/>
                <v:line id="Line 27" o:spid="_x0000_s1036" style="position:absolute;flip:x;visibility:visible;mso-wrap-style:square" from="48682,17864" to="53388,24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vehscAAADbAAAADwAAAGRycy9kb3ducmV2LnhtbESPTWvCQBCG74L/YZlCL6Ibi62SuorY&#10;L4Ui+HHocZodk2B2NmS3Gv+9cyh4HN55n3lmOm9dpc7UhNKzgeEgAUWceVtybuCw/+hPQIWIbLHy&#10;TAauFGA+63ammFp/4S2ddzFXAuGQooEixjrVOmQFOQwDXxNLdvSNwyhjk2vb4EXgrtJPSfKiHZYs&#10;FwqsaVlQdtr9OdF4G+3X19+vz/HmfZl9H9ejXrL6MebxoV28gorUxvvyf3tlDTyLrPwiAN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K96GxwAAANsAAAAPAAAAAAAA&#10;AAAAAAAAAKECAABkcnMvZG93bnJldi54bWxQSwUGAAAAAAQABAD5AAAAlQMAAAAA&#10;" strokeweight="2.25pt"/>
                <v:shape id="AutoShape 28" o:spid="_x0000_s1037" type="#_x0000_t176" style="position:absolute;left:53323;top:22239;width:173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EthcMA&#10;AADbAAAADwAAAGRycy9kb3ducmV2LnhtbESPQWsCMRSE70L/Q3hCb5q1ULGrUWRrS6knt4teH8lz&#10;d3HzsiSpbv99Uyh4HGbmG2a1GWwnruRD61jBbJqBINbOtFwrqL7eJgsQISIb7ByTgh8KsFk/jFaY&#10;G3fjA13LWIsE4ZCjgibGPpcy6IYshqnriZN3dt5iTNLX0ni8Jbjt5FOWzaXFltNCgz0VDelL+W0V&#10;hJ3uDvuj3n0ONH891X2hq/dCqcfxsF2CiDTEe/i//WEUPL/A3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EthcMAAADbAAAADwAAAAAAAAAAAAAAAACYAgAAZHJzL2Rv&#10;d25yZXYueG1sUEsFBgAAAAAEAAQA9QAAAIgDAAAAAA==&#10;" fillcolor="#936" strokecolor="#936" strokeweight="3pt">
                  <v:fill opacity="9766f"/>
                  <v:stroke dashstyle="1 1" endcap="round"/>
                  <v:textbox>
                    <w:txbxContent>
                      <w:p w:rsidR="002B3317" w:rsidRPr="00A670D4" w:rsidRDefault="002B3317" w:rsidP="00FA7C4F">
                        <w:pPr>
                          <w:ind w:left="-57" w:right="18"/>
                          <w:jc w:val="center"/>
                          <w:rPr>
                            <w:rFonts w:ascii="Arial Narrow" w:hAnsi="Arial Narrow" w:cs="Arial"/>
                            <w:sz w:val="18"/>
                            <w:szCs w:val="18"/>
                          </w:rPr>
                        </w:pPr>
                        <w:r>
                          <w:rPr>
                            <w:rFonts w:ascii="Arial Narrow" w:hAnsi="Arial Narrow" w:cs="Arial"/>
                            <w:sz w:val="18"/>
                            <w:szCs w:val="18"/>
                          </w:rPr>
                          <w:t xml:space="preserve">Based on stability data, but in no case can it be </w:t>
                        </w:r>
                        <w:r w:rsidRPr="00A670D4">
                          <w:rPr>
                            <w:rFonts w:ascii="Arial Narrow" w:hAnsi="Arial Narrow" w:cs="Arial"/>
                            <w:sz w:val="18"/>
                            <w:szCs w:val="18"/>
                          </w:rPr>
                          <w:t>later than 5 years from the date of manufacture</w:t>
                        </w:r>
                        <w:r>
                          <w:rPr>
                            <w:rFonts w:ascii="Arial Narrow" w:hAnsi="Arial Narrow" w:cs="Arial"/>
                            <w:sz w:val="18"/>
                            <w:szCs w:val="18"/>
                          </w:rPr>
                          <w:t>.</w:t>
                        </w:r>
                      </w:p>
                    </w:txbxContent>
                  </v:textbox>
                </v:shape>
                <v:line id="Line 29" o:spid="_x0000_s1038" style="position:absolute;flip:x y;visibility:visible;mso-wrap-style:square" from="48777,24912" to="53388,24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pkpb8AAADbAAAADwAAAGRycy9kb3ducmV2LnhtbERPTYvCMBC9C/6HMII3Td2DSNcopSDI&#10;XnSroMehmW2LzaR0oq3/fnNY2OPjfW/3o2vVi3ppPBtYLRNQxKW3DVcGrpfDYgNKArLF1jMZeJPA&#10;fjedbDG1fuBvehWhUjGEJUUDdQhdqrWUNTmUpe+II/fje4chwr7StschhrtWfyTJWjtsODbU2FFe&#10;U/kons7A4yb34p5JPtwkT06XLxnPWWnMfDZmn6ACjeFf/Oc+WgPruD5+iT9A73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Cpkpb8AAADbAAAADwAAAAAAAAAAAAAAAACh&#10;AgAAZHJzL2Rvd25yZXYueG1sUEsFBgAAAAAEAAQA+QAAAI0DAAAAAA==&#10;" strokeweight="2.25pt"/>
                <v:shape id="AutoShape 32" o:spid="_x0000_s1039" type="#_x0000_t176" style="position:absolute;left:53323;top:14953;width:173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XQ0sMA&#10;AADbAAAADwAAAGRycy9kb3ducmV2LnhtbESPQWvCQBSE70L/w/IKvelGC6FEV5GYllJPsVKvj91n&#10;Esy+Ddltkv77bkHocZiZb5jNbrKtGKj3jWMFy0UCglg703Cl4Pz5On8B4QOywdYxKfghD7vtw2yD&#10;mXEjlzScQiUihH2GCuoQukxKr2uy6BeuI47e1fUWQ5R9JU2PY4TbVq6SJJUWG44LNXaU16Rvp2+r&#10;wBe6LY9fuviYKD1cqi7X57dcqafHab8GEWgK/+F7+90oSJ/h70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XQ0sMAAADbAAAADwAAAAAAAAAAAAAAAACYAgAAZHJzL2Rv&#10;d25yZXYueG1sUEsFBgAAAAAEAAQA9QAAAIgDAAAAAA==&#10;" fillcolor="#936" strokecolor="#936" strokeweight="3pt">
                  <v:fill opacity="9766f"/>
                  <v:stroke dashstyle="1 1" endcap="round"/>
                  <v:textbox>
                    <w:txbxContent>
                      <w:p w:rsidR="002B3317" w:rsidRPr="00A670D4" w:rsidRDefault="002B3317" w:rsidP="00FA7C4F">
                        <w:pPr>
                          <w:ind w:left="-57" w:right="18"/>
                          <w:jc w:val="center"/>
                          <w:rPr>
                            <w:rFonts w:ascii="Arial Narrow" w:hAnsi="Arial Narrow" w:cs="Arial"/>
                            <w:sz w:val="18"/>
                            <w:szCs w:val="18"/>
                          </w:rPr>
                        </w:pPr>
                        <w:r w:rsidRPr="00A670D4">
                          <w:rPr>
                            <w:rFonts w:ascii="Arial Narrow" w:hAnsi="Arial Narrow" w:cs="Arial"/>
                            <w:sz w:val="18"/>
                            <w:szCs w:val="18"/>
                          </w:rPr>
                          <w:t>The expiry date and batch number may be printed or embossed conspicuously on the container</w:t>
                        </w:r>
                        <w:r>
                          <w:rPr>
                            <w:rFonts w:ascii="Arial Narrow" w:hAnsi="Arial Narrow" w:cs="Arial"/>
                            <w:sz w:val="18"/>
                            <w:szCs w:val="18"/>
                          </w:rPr>
                          <w:t>.</w:t>
                        </w:r>
                      </w:p>
                    </w:txbxContent>
                  </v:textbox>
                </v:shape>
                <v:line id="Line 33" o:spid="_x0000_s1040" style="position:absolute;flip:x y;visibility:visible;mso-wrap-style:square" from="48777,17857" to="53197,17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FipsMAAADbAAAADwAAAGRycy9kb3ducmV2LnhtbESPwWrDMBBE74X+g9hCb43cUkJxIgdj&#10;CIRemjqB5LhYW9vYWhmvGjt/HwUKPQ4z84ZZb2bXqwuN0no28LpIQBFX3rZcGzgeti8foCQgW+w9&#10;k4ErCWyyx4c1ptZP/E2XMtQqQlhSNNCEMKRaS9WQQ1n4gTh6P350GKIca21HnCLc9fotSZbaYctx&#10;ocGBioaqrvx1BrqTnMtzLsV0kiL5OnzKvM8rY56f5nwFKtAc/sN/7Z01sHyH+5f4A3R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RYqbDAAAA2wAAAA8AAAAAAAAAAAAA&#10;AAAAoQIAAGRycy9kb3ducmV2LnhtbFBLBQYAAAAABAAEAPkAAACRAwAAAAA=&#10;" strokeweight="2.25pt"/>
                <v:roundrect id="AutoShape 34" o:spid="_x0000_s1041" style="position:absolute;left:25602;top:10720;width:23527;height:3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aSPsQA&#10;AADbAAAADwAAAGRycy9kb3ducmV2LnhtbESPQUsDMRSE74L/ITzBm81abSnbpqUVBUE8tNtDj4/k&#10;dbO4eVmSdBv/vREEj8PMfMOsNtn1YqQQO88KHicVCGLtTcetgmPz9rAAEROywd4zKfimCJv17c0K&#10;a+OvvKfxkFpRIBxrVGBTGmopo7bkME78QFy8sw8OU5GhlSbgtcBdL6dVNZcOOy4LFgd6saS/Dhen&#10;IM+erDZN86rHEE/Hz4/d9PKclbq/y9sliEQ5/Yf/2u9GwXwGv1/K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2kj7EAAAA2wAAAA8AAAAAAAAAAAAAAAAAmAIAAGRycy9k&#10;b3ducmV2LnhtbFBLBQYAAAAABAAEAPUAAACJAwAAAAA=&#10;" fillcolor="navy" strokecolor="navy" strokeweight="3pt">
                  <v:fill opacity="26214f"/>
                  <v:textbox>
                    <w:txbxContent>
                      <w:p w:rsidR="002B3317" w:rsidRPr="00402AEA" w:rsidRDefault="002B3317" w:rsidP="00FA7C4F">
                        <w:pPr>
                          <w:tabs>
                            <w:tab w:val="left" w:pos="285"/>
                          </w:tabs>
                          <w:jc w:val="center"/>
                          <w:rPr>
                            <w:rFonts w:ascii="Arial Black" w:hAnsi="Arial Black" w:cs="Arial"/>
                            <w:color w:val="000000"/>
                            <w:sz w:val="18"/>
                            <w:szCs w:val="18"/>
                          </w:rPr>
                        </w:pPr>
                        <w:r>
                          <w:rPr>
                            <w:rFonts w:ascii="Arial Black" w:hAnsi="Arial Black" w:cs="Arial"/>
                            <w:color w:val="000000"/>
                            <w:sz w:val="18"/>
                            <w:szCs w:val="18"/>
                          </w:rPr>
                          <w:t>3</w:t>
                        </w:r>
                        <w:r w:rsidRPr="00402AEA">
                          <w:rPr>
                            <w:rFonts w:ascii="Arial Black" w:hAnsi="Arial Black" w:cs="Arial"/>
                            <w:color w:val="000000"/>
                            <w:sz w:val="18"/>
                            <w:szCs w:val="18"/>
                          </w:rPr>
                          <w:t xml:space="preserve">. </w:t>
                        </w:r>
                        <w:r w:rsidRPr="00402AEA">
                          <w:rPr>
                            <w:rFonts w:ascii="Arial Black" w:hAnsi="Arial Black" w:cs="Arial"/>
                            <w:color w:val="000000"/>
                            <w:sz w:val="18"/>
                            <w:szCs w:val="18"/>
                          </w:rPr>
                          <w:tab/>
                          <w:t xml:space="preserve">Dose form or presentation </w:t>
                        </w:r>
                      </w:p>
                      <w:p w:rsidR="002B3317" w:rsidRPr="00A670D4" w:rsidRDefault="002B3317" w:rsidP="00FA7C4F">
                        <w:pPr>
                          <w:jc w:val="center"/>
                          <w:rPr>
                            <w:rFonts w:ascii="Arial Black" w:hAnsi="Arial Black" w:cs="Arial"/>
                            <w:i/>
                            <w:sz w:val="18"/>
                            <w:szCs w:val="18"/>
                          </w:rPr>
                        </w:pPr>
                      </w:p>
                      <w:p w:rsidR="002B3317" w:rsidRPr="00A670D4" w:rsidRDefault="002B3317" w:rsidP="00FA7C4F">
                        <w:pPr>
                          <w:rPr>
                            <w:rFonts w:ascii="Arial Black" w:hAnsi="Arial Black"/>
                            <w:sz w:val="18"/>
                            <w:szCs w:val="18"/>
                          </w:rPr>
                        </w:pPr>
                      </w:p>
                    </w:txbxContent>
                  </v:textbox>
                </v:roundrect>
                <v:rect id="_x0000_s1042" style="position:absolute;left:27435;top:5291;width:20269;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ym28MA&#10;AADbAAAADwAAAGRycy9kb3ducmV2LnhtbESPT4vCMBTE74LfITzBm6a64J9qFFEL62EPVsXro3m2&#10;xealNFmt334jLHgcZuY3zHLdmko8qHGlZQWjYQSCOLO65FzB+ZQMZiCcR9ZYWSYFL3KwXnU7S4y1&#10;ffKRHqnPRYCwi1FB4X0dS+myggy6oa2Jg3ezjUEfZJNL3eAzwE0lx1E0kQZLDgsF1rQtKLunv0ZB&#10;mlz0z/zqv662TfL9Ybe77euTUv1eu1mA8NT6T/i//a0VTKbw/h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ym28MAAADbAAAADwAAAAAAAAAAAAAAAACYAgAAZHJzL2Rv&#10;d25yZXYueG1sUEsFBgAAAAAEAAQA9QAAAIgDAAAAAA==&#10;" stroked="f">
                  <v:fill opacity="0"/>
                  <v:textbox>
                    <w:txbxContent>
                      <w:p w:rsidR="002B3317" w:rsidRPr="00A670D4" w:rsidRDefault="002B3317" w:rsidP="00FA7C4F">
                        <w:pPr>
                          <w:tabs>
                            <w:tab w:val="left" w:pos="285"/>
                          </w:tabs>
                          <w:jc w:val="center"/>
                          <w:rPr>
                            <w:rFonts w:ascii="Arial Black" w:hAnsi="Arial Black" w:cs="Arial"/>
                            <w:sz w:val="18"/>
                            <w:szCs w:val="18"/>
                          </w:rPr>
                        </w:pPr>
                        <w:r w:rsidRPr="00A670D4">
                          <w:rPr>
                            <w:rFonts w:ascii="Arial Black" w:hAnsi="Arial Black" w:cs="Arial"/>
                            <w:b/>
                            <w:sz w:val="18"/>
                            <w:szCs w:val="18"/>
                          </w:rPr>
                          <w:t>2.</w:t>
                        </w:r>
                        <w:r w:rsidRPr="00A670D4">
                          <w:rPr>
                            <w:rFonts w:ascii="Arial Black" w:hAnsi="Arial Black" w:cs="Arial"/>
                            <w:b/>
                            <w:sz w:val="18"/>
                            <w:szCs w:val="18"/>
                          </w:rPr>
                          <w:tab/>
                        </w:r>
                        <w:r w:rsidRPr="00A670D4">
                          <w:rPr>
                            <w:rFonts w:ascii="Arial Black" w:hAnsi="Arial Black" w:cs="Arial"/>
                            <w:sz w:val="18"/>
                            <w:szCs w:val="18"/>
                          </w:rPr>
                          <w:t>Name and strength of each active</w:t>
                        </w:r>
                        <w:r>
                          <w:rPr>
                            <w:rFonts w:ascii="Arial Black" w:hAnsi="Arial Black" w:cs="Arial"/>
                            <w:sz w:val="18"/>
                            <w:szCs w:val="18"/>
                          </w:rPr>
                          <w:t xml:space="preserve"> </w:t>
                        </w:r>
                        <w:r w:rsidRPr="00A670D4">
                          <w:rPr>
                            <w:rFonts w:ascii="Arial Black" w:hAnsi="Arial Black" w:cs="Arial"/>
                            <w:sz w:val="18"/>
                            <w:szCs w:val="18"/>
                          </w:rPr>
                          <w:t>ingredient</w:t>
                        </w:r>
                      </w:p>
                      <w:p w:rsidR="002B3317" w:rsidRPr="00A670D4" w:rsidRDefault="002B3317" w:rsidP="00FA7C4F">
                        <w:pPr>
                          <w:tabs>
                            <w:tab w:val="left" w:pos="285"/>
                          </w:tabs>
                          <w:jc w:val="center"/>
                          <w:rPr>
                            <w:rFonts w:ascii="Arial Black" w:hAnsi="Arial Black"/>
                          </w:rPr>
                        </w:pPr>
                      </w:p>
                    </w:txbxContent>
                  </v:textbox>
                </v:rect>
                <v:roundrect id="AutoShape 37" o:spid="_x0000_s1043" style="position:absolute;left:25879;top:4996;width:22956;height:48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c9oMEA&#10;AADbAAAADwAAAGRycy9kb3ducmV2LnhtbERPTWsCMRC9F/ofwhR6q9laK2VrlFYUCtKDroceh2S6&#10;WbqZLElc479vDoLHx/terLLrxUghdp4VPE8qEMTam45bBcdm+/QGIiZkg71nUnChCKvl/d0Ca+PP&#10;vKfxkFpRQjjWqMCmNNRSRm3JYZz4gbhwvz44TAWGVpqA5xLuejmtqrl02HFpsDjQ2pL+O5ycgvz6&#10;YrVpmo0eQ/w5fu8+p6dZVurxIX+8g0iU0018dX8ZBfMytnwp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3PaDBAAAA2wAAAA8AAAAAAAAAAAAAAAAAmAIAAGRycy9kb3du&#10;cmV2LnhtbFBLBQYAAAAABAAEAPUAAACGAwAAAAA=&#10;" fillcolor="navy" strokecolor="navy" strokeweight="3pt">
                  <v:fill opacity="26214f"/>
                  <v:textbox>
                    <w:txbxContent>
                      <w:p w:rsidR="002B3317" w:rsidRPr="00582036" w:rsidRDefault="002B3317" w:rsidP="00FA7C4F"/>
                    </w:txbxContent>
                  </v:textbox>
                </v:roundrect>
                <v:roundrect id="AutoShape 38" o:spid="_x0000_s1044" style="position:absolute;left:26030;width:22802;height:41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uYO8QA&#10;AADbAAAADwAAAGRycy9kb3ducmV2LnhtbESPQUsDMRSE74L/ITzBm81atdRt09KKgiA9tNuDx0fy&#10;ulncvCxJuo3/3giCx2FmvmGW6+x6MVKInWcF95MKBLH2puNWwbF5u5uDiAnZYO+ZFHxThPXq+mqJ&#10;tfEX3tN4SK0oEI41KrApDbWUUVtyGCd+IC7eyQeHqcjQShPwUuCul9OqmkmHHZcFiwO9WNJfh7NT&#10;kJ8erDZN86rHED+Pu4/t9PyYlbq9yZsFiEQ5/Yf/2u9GwewZfr+U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7mDvEAAAA2wAAAA8AAAAAAAAAAAAAAAAAmAIAAGRycy9k&#10;b3ducmV2LnhtbFBLBQYAAAAABAAEAPUAAACJAwAAAAA=&#10;" fillcolor="navy" strokecolor="navy" strokeweight="3pt">
                  <v:fill opacity="26214f"/>
                  <v:textbox>
                    <w:txbxContent>
                      <w:p w:rsidR="002B3317" w:rsidRPr="00402AEA" w:rsidRDefault="002B3317" w:rsidP="00FA7C4F">
                        <w:pPr>
                          <w:jc w:val="center"/>
                          <w:rPr>
                            <w:rFonts w:cs="Arial"/>
                            <w:b/>
                            <w:color w:val="000000"/>
                            <w:sz w:val="16"/>
                            <w:szCs w:val="16"/>
                          </w:rPr>
                        </w:pPr>
                        <w:r>
                          <w:rPr>
                            <w:rFonts w:ascii="Arial Black" w:hAnsi="Arial Black" w:cs="Arial"/>
                            <w:b/>
                            <w:color w:val="000000"/>
                            <w:sz w:val="18"/>
                            <w:szCs w:val="18"/>
                          </w:rPr>
                          <w:t xml:space="preserve">1.  </w:t>
                        </w:r>
                        <w:r w:rsidRPr="00402AEA">
                          <w:rPr>
                            <w:rFonts w:ascii="Arial Black" w:hAnsi="Arial Black" w:cs="Arial"/>
                            <w:b/>
                            <w:color w:val="000000"/>
                            <w:sz w:val="18"/>
                            <w:szCs w:val="18"/>
                          </w:rPr>
                          <w:t xml:space="preserve">Trade name </w:t>
                        </w:r>
                      </w:p>
                    </w:txbxContent>
                  </v:textbox>
                </v:roundrect>
                <v:line id="Line 39" o:spid="_x0000_s1045" style="position:absolute;flip:x;visibility:visible;mso-wrap-style:square" from="22622,7409" to="25879,7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iO4McAAADbAAAADwAAAGRycy9kb3ducmV2LnhtbESPTWvCQBCG74L/YZmCF9FNRbSkrlL8&#10;aBVKoeqhx2l2TILZ2ZBdNf5751DocXjnfeaZ2aJ1lbpSE0rPBp6HCSjizNuScwPHw2bwAipEZIuV&#10;ZzJwpwCLebczw9T6G3/TdR9zJRAOKRooYqxTrUNWkMMw9DWxZCffOIwyNrm2Dd4E7io9SpKJdliy&#10;XCiwpmVB2Xl/caKxGh9299+P9+nXepl9nnbjfrL9Mab31L69gorUxv/lv/bWGpiKvfwiAN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6I7gxwAAANsAAAAPAAAAAAAA&#10;AAAAAAAAAKECAABkcnMvZG93bnJldi54bWxQSwUGAAAAAAQABAD5AAAAlQMAAAAA&#10;" strokeweight="2.25pt"/>
                <v:line id="Line 40" o:spid="_x0000_s1046" style="position:absolute;flip:x;visibility:visible;mso-wrap-style:square" from="22622,2040" to="26030,2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re8YAAADbAAAADwAAAGRycy9kb3ducmV2LnhtbESPS4vCQBCE78L+h6EXvIhOXEQlOsri&#10;ri8QwcfBY2+mTcJmekJm1PjvHUHwWFTXV13jaW0KcaXK5ZYVdDsRCOLE6pxTBcfDvD0E4TyyxsIy&#10;KbiTg+nkozHGWNsb7+i696kIEHYxKsi8L2MpXZKRQdexJXHwzrYy6IOsUqkrvAW4KeRXFPWlwZxD&#10;Q4YlzTJK/vcXE9746R3W97/lYrD9nSWb87rXilYnpZqf9fcIhKfav49f6ZVWMOjCc0sAgJ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K3vGAAAA2wAAAA8AAAAAAAAA&#10;AAAAAAAAoQIAAGRycy9kb3ducmV2LnhtbFBLBQYAAAAABAAEAPkAAACUAwAAAAA=&#10;" strokeweight="2.25pt"/>
                <v:shape id="AutoShape 43" o:spid="_x0000_s1047" type="#_x0000_t176" style="position:absolute;left:2359;top:5232;width:20263;height:5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Xee8MA&#10;AADbAAAADwAAAGRycy9kb3ducmV2LnhtbESPQWsCMRSE70L/Q3hCb5q1FC2rUWRrS6knt4teH8lz&#10;d3HzsiSpbv99Uyh4HGbmG2a1GWwnruRD61jBbJqBINbOtFwrqL7eJi8gQkQ22DkmBT8UYLN+GK0w&#10;N+7GB7qWsRYJwiFHBU2MfS5l0A1ZDFPXEyfv7LzFmKSvpfF4S3Dbyacsm0uLLaeFBnsqGtKX8tsq&#10;CDvdHfZHvfscaP56qvtCV++FUo/jYbsEEWmI9/B/+8MoWDzD3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Xee8MAAADbAAAADwAAAAAAAAAAAAAAAACYAgAAZHJzL2Rv&#10;d25yZXYueG1sUEsFBgAAAAAEAAQA9QAAAIgDAAAAAA==&#10;" fillcolor="#936" strokecolor="#936" strokeweight="3pt">
                  <v:fill opacity="9766f"/>
                  <v:stroke dashstyle="1 1" endcap="round"/>
                  <v:textbox>
                    <w:txbxContent>
                      <w:p w:rsidR="002B3317" w:rsidRPr="00A44C54" w:rsidRDefault="002B3317" w:rsidP="00FA7C4F">
                        <w:pPr>
                          <w:ind w:left="-57" w:right="18"/>
                          <w:jc w:val="center"/>
                          <w:rPr>
                            <w:rFonts w:cs="Arial"/>
                            <w:sz w:val="16"/>
                            <w:szCs w:val="16"/>
                          </w:rPr>
                        </w:pPr>
                        <w:r>
                          <w:rPr>
                            <w:rFonts w:ascii="Arial Narrow" w:hAnsi="Arial Narrow" w:cs="Arial"/>
                            <w:sz w:val="18"/>
                            <w:szCs w:val="18"/>
                          </w:rPr>
                          <w:t>The New Zealand Approved Name (NZAN)</w:t>
                        </w:r>
                        <w:r w:rsidRPr="00A670D4">
                          <w:rPr>
                            <w:rFonts w:ascii="Arial Narrow" w:hAnsi="Arial Narrow" w:cs="Arial"/>
                            <w:sz w:val="18"/>
                            <w:szCs w:val="18"/>
                          </w:rPr>
                          <w:t xml:space="preserve"> should be used</w:t>
                        </w:r>
                        <w:r>
                          <w:rPr>
                            <w:rFonts w:ascii="Arial Narrow" w:hAnsi="Arial Narrow" w:cs="Arial"/>
                            <w:sz w:val="18"/>
                            <w:szCs w:val="18"/>
                          </w:rPr>
                          <w:t>.</w:t>
                        </w:r>
                        <w:r w:rsidRPr="00A670D4">
                          <w:rPr>
                            <w:rFonts w:ascii="Arial Narrow" w:hAnsi="Arial Narrow" w:cs="Arial"/>
                            <w:sz w:val="18"/>
                            <w:szCs w:val="18"/>
                          </w:rPr>
                          <w:t xml:space="preserve"> Go to </w:t>
                        </w:r>
                        <w:r>
                          <w:rPr>
                            <w:rFonts w:ascii="Arial Narrow" w:hAnsi="Arial Narrow" w:cs="Arial"/>
                            <w:sz w:val="18"/>
                            <w:szCs w:val="18"/>
                          </w:rPr>
                          <w:t>section 9.11.5</w:t>
                        </w:r>
                        <w:r w:rsidRPr="00A670D4">
                          <w:rPr>
                            <w:rFonts w:ascii="Arial Narrow" w:hAnsi="Arial Narrow" w:cs="Arial"/>
                            <w:sz w:val="18"/>
                            <w:szCs w:val="18"/>
                          </w:rPr>
                          <w:t xml:space="preserve"> for further information</w:t>
                        </w:r>
                        <w:r>
                          <w:rPr>
                            <w:rFonts w:ascii="Arial Narrow" w:hAnsi="Arial Narrow" w:cs="Arial"/>
                            <w:sz w:val="18"/>
                            <w:szCs w:val="18"/>
                          </w:rPr>
                          <w:t xml:space="preserve"> on NZANs</w:t>
                        </w:r>
                        <w:r w:rsidRPr="00A44C54">
                          <w:rPr>
                            <w:rFonts w:cs="Arial"/>
                            <w:sz w:val="16"/>
                            <w:szCs w:val="16"/>
                          </w:rPr>
                          <w:t>.</w:t>
                        </w:r>
                        <w:r>
                          <w:rPr>
                            <w:rFonts w:cs="Arial"/>
                            <w:sz w:val="16"/>
                            <w:szCs w:val="16"/>
                          </w:rPr>
                          <w:t xml:space="preserve"> </w:t>
                        </w:r>
                      </w:p>
                      <w:p w:rsidR="002B3317" w:rsidRPr="00FD6AFF" w:rsidRDefault="002B3317" w:rsidP="00FA7C4F">
                        <w:pPr>
                          <w:ind w:left="-114" w:right="-120"/>
                          <w:rPr>
                            <w:szCs w:val="16"/>
                          </w:rPr>
                        </w:pPr>
                      </w:p>
                    </w:txbxContent>
                  </v:textbox>
                </v:shape>
                <v:shape id="AutoShape 44" o:spid="_x0000_s1048" type="#_x0000_t176" style="position:absolute;left:52237;top:4996;width:18459;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74MMA&#10;AADbAAAADwAAAGRycy9kb3ducmV2LnhtbESPQWsCMRSE70L/Q3hCb5q1UC2rUWRrS6knt4teH8lz&#10;d3HzsiSpbv99Uyh4HGbmG2a1GWwnruRD61jBbJqBINbOtFwrqL7eJi8gQkQ22DkmBT8UYLN+GK0w&#10;N+7GB7qWsRYJwiFHBU2MfS5l0A1ZDFPXEyfv7LzFmKSvpfF4S3Dbyacsm0uLLaeFBnsqGtKX8tsq&#10;CDvdHfZHvfscaP56qvtCV++FUo/jYbsEEWmI9/B/+8MoWDzD3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74MMAAADbAAAADwAAAAAAAAAAAAAAAACYAgAAZHJzL2Rv&#10;d25yZXYueG1sUEsFBgAAAAAEAAQA9QAAAIgDAAAAAA==&#10;" fillcolor="#936" strokecolor="#936" strokeweight="3pt">
                  <v:fill opacity="9766f"/>
                  <v:stroke dashstyle="1 1" endcap="round"/>
                  <v:textbox>
                    <w:txbxContent>
                      <w:p w:rsidR="002B3317" w:rsidRPr="00A670D4" w:rsidRDefault="002B3317" w:rsidP="00FA7C4F">
                        <w:pPr>
                          <w:ind w:left="-57" w:right="18"/>
                          <w:jc w:val="center"/>
                          <w:rPr>
                            <w:rFonts w:ascii="Arial Narrow" w:hAnsi="Arial Narrow" w:cs="Arial"/>
                            <w:sz w:val="18"/>
                            <w:szCs w:val="18"/>
                          </w:rPr>
                        </w:pPr>
                        <w:r>
                          <w:rPr>
                            <w:rFonts w:ascii="Arial Narrow" w:hAnsi="Arial Narrow" w:cs="Arial"/>
                            <w:sz w:val="18"/>
                            <w:szCs w:val="18"/>
                          </w:rPr>
                          <w:t>Strengths</w:t>
                        </w:r>
                        <w:r w:rsidRPr="00A670D4">
                          <w:rPr>
                            <w:rFonts w:ascii="Arial Narrow" w:hAnsi="Arial Narrow" w:cs="Arial"/>
                            <w:sz w:val="18"/>
                            <w:szCs w:val="18"/>
                          </w:rPr>
                          <w:t xml:space="preserve"> must be expressed in milligrams</w:t>
                        </w:r>
                        <w:r>
                          <w:rPr>
                            <w:rFonts w:ascii="Arial Narrow" w:hAnsi="Arial Narrow" w:cs="Arial"/>
                            <w:sz w:val="18"/>
                            <w:szCs w:val="18"/>
                          </w:rPr>
                          <w:t xml:space="preserve"> </w:t>
                        </w:r>
                        <w:r w:rsidRPr="00A670D4">
                          <w:rPr>
                            <w:rFonts w:ascii="Arial Narrow" w:hAnsi="Arial Narrow" w:cs="Arial"/>
                            <w:sz w:val="18"/>
                            <w:szCs w:val="18"/>
                          </w:rPr>
                          <w:t>or micrograms.</w:t>
                        </w:r>
                      </w:p>
                      <w:p w:rsidR="002B3317" w:rsidRPr="00A670D4" w:rsidRDefault="002B3317" w:rsidP="00FA7C4F">
                        <w:pPr>
                          <w:ind w:right="18"/>
                          <w:rPr>
                            <w:rFonts w:ascii="Arial Narrow" w:hAnsi="Arial Narrow"/>
                            <w:sz w:val="18"/>
                            <w:szCs w:val="18"/>
                          </w:rPr>
                        </w:pPr>
                      </w:p>
                    </w:txbxContent>
                  </v:textbox>
                </v:shape>
                <v:shape id="AutoShape 47" o:spid="_x0000_s1049" type="#_x0000_t176" style="position:absolute;left:53320;top:33644;width:17325;height:2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jUfr4A&#10;AADbAAAADwAAAGRycy9kb3ducmV2LnhtbERPy4rCMBTdD/gP4QruxtRZqFSjSHVEdOUD3V6Sa1ts&#10;bkoTtf69WQguD+c9nbe2Eg9qfOlYwaCfgCDWzpScKzgd/3/HIHxANlg5JgUv8jCfdX6mmBr35D09&#10;DiEXMYR9igqKEOpUSq8Lsuj7riaO3NU1FkOETS5Ng88Ybiv5lyRDabHk2FBgTVlB+na4WwV+pav9&#10;7qxX25aGy0teZ/q0zpTqddvFBESgNnzFH/fGKBjFsfFL/AFy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Y1H6+AAAA2wAAAA8AAAAAAAAAAAAAAAAAmAIAAGRycy9kb3ducmV2&#10;LnhtbFBLBQYAAAAABAAEAPUAAACDAwAAAAA=&#10;" fillcolor="#936" strokecolor="#936" strokeweight="3pt">
                  <v:fill opacity="9766f"/>
                  <v:stroke dashstyle="1 1" endcap="round"/>
                  <v:textbox>
                    <w:txbxContent>
                      <w:p w:rsidR="002B3317" w:rsidRPr="002C7CC5" w:rsidRDefault="002B3317" w:rsidP="00DB34DC">
                        <w:pPr>
                          <w:pStyle w:val="ListParagraph"/>
                          <w:numPr>
                            <w:ilvl w:val="0"/>
                            <w:numId w:val="21"/>
                          </w:numPr>
                          <w:rPr>
                            <w:rFonts w:ascii="Arial Narrow" w:hAnsi="Arial Narrow" w:cs="Arial"/>
                            <w:b/>
                            <w:sz w:val="18"/>
                            <w:szCs w:val="18"/>
                          </w:rPr>
                        </w:pPr>
                        <w:r w:rsidRPr="002C7CC5">
                          <w:rPr>
                            <w:rFonts w:ascii="Arial Narrow" w:hAnsi="Arial Narrow" w:cs="Arial"/>
                            <w:b/>
                            <w:sz w:val="18"/>
                            <w:szCs w:val="18"/>
                          </w:rPr>
                          <w:t xml:space="preserve">R18 </w:t>
                        </w:r>
                      </w:p>
                      <w:p w:rsidR="002B3317" w:rsidRPr="002C7CC5" w:rsidRDefault="002B3317" w:rsidP="00DB34DC">
                        <w:pPr>
                          <w:pStyle w:val="ListParagraph"/>
                          <w:numPr>
                            <w:ilvl w:val="0"/>
                            <w:numId w:val="21"/>
                          </w:numPr>
                          <w:rPr>
                            <w:rFonts w:ascii="Arial Narrow" w:hAnsi="Arial Narrow" w:cs="Arial"/>
                            <w:b/>
                            <w:sz w:val="18"/>
                            <w:szCs w:val="18"/>
                          </w:rPr>
                        </w:pPr>
                        <w:r w:rsidRPr="002C7CC5">
                          <w:rPr>
                            <w:rFonts w:ascii="Arial Narrow" w:hAnsi="Arial Narrow" w:cs="Arial"/>
                            <w:b/>
                            <w:sz w:val="18"/>
                            <w:szCs w:val="18"/>
                          </w:rPr>
                          <w:t>Psychoactive product</w:t>
                        </w:r>
                      </w:p>
                      <w:p w:rsidR="002B3317" w:rsidRPr="000C47AF" w:rsidRDefault="002B3317" w:rsidP="00DB34DC">
                        <w:pPr>
                          <w:pStyle w:val="ListParagraph"/>
                          <w:numPr>
                            <w:ilvl w:val="0"/>
                            <w:numId w:val="21"/>
                          </w:numPr>
                          <w:rPr>
                            <w:rFonts w:ascii="Arial Narrow" w:hAnsi="Arial Narrow" w:cs="Arial"/>
                            <w:sz w:val="18"/>
                            <w:szCs w:val="18"/>
                          </w:rPr>
                        </w:pPr>
                        <w:r w:rsidRPr="000C47AF">
                          <w:rPr>
                            <w:rFonts w:ascii="Arial Narrow" w:hAnsi="Arial Narrow" w:cs="Arial"/>
                            <w:sz w:val="18"/>
                            <w:szCs w:val="18"/>
                          </w:rPr>
                          <w:t>do not use with any medication</w:t>
                        </w:r>
                      </w:p>
                      <w:p w:rsidR="002B3317" w:rsidRPr="000C47AF" w:rsidRDefault="002B3317" w:rsidP="00DB34DC">
                        <w:pPr>
                          <w:pStyle w:val="ListParagraph"/>
                          <w:numPr>
                            <w:ilvl w:val="0"/>
                            <w:numId w:val="21"/>
                          </w:numPr>
                          <w:rPr>
                            <w:rFonts w:ascii="Arial Narrow" w:hAnsi="Arial Narrow" w:cs="Arial"/>
                            <w:sz w:val="18"/>
                            <w:szCs w:val="18"/>
                          </w:rPr>
                        </w:pPr>
                        <w:r w:rsidRPr="000C47AF">
                          <w:rPr>
                            <w:rFonts w:ascii="Arial Narrow" w:hAnsi="Arial Narrow" w:cs="Arial"/>
                            <w:sz w:val="18"/>
                            <w:szCs w:val="18"/>
                          </w:rPr>
                          <w:t>do not drive a motor vehicle or operate any heavy machinery during or after use</w:t>
                        </w:r>
                      </w:p>
                      <w:p w:rsidR="002B3317" w:rsidRPr="000C47AF" w:rsidRDefault="002B3317" w:rsidP="00DB34DC">
                        <w:pPr>
                          <w:pStyle w:val="ListParagraph"/>
                          <w:numPr>
                            <w:ilvl w:val="0"/>
                            <w:numId w:val="21"/>
                          </w:numPr>
                          <w:rPr>
                            <w:rFonts w:ascii="Arial Narrow" w:hAnsi="Arial Narrow" w:cs="Arial"/>
                            <w:sz w:val="18"/>
                            <w:szCs w:val="18"/>
                          </w:rPr>
                        </w:pPr>
                        <w:r w:rsidRPr="000C47AF">
                          <w:rPr>
                            <w:rFonts w:ascii="Arial Narrow" w:hAnsi="Arial Narrow" w:cs="Arial"/>
                            <w:sz w:val="18"/>
                            <w:szCs w:val="18"/>
                          </w:rPr>
                          <w:t>not suitable for use by breast-feeding mothers or anyone with a mental illness</w:t>
                        </w:r>
                      </w:p>
                      <w:p w:rsidR="002B3317" w:rsidRDefault="002B3317" w:rsidP="00DB34DC">
                        <w:pPr>
                          <w:pStyle w:val="ListParagraph"/>
                          <w:numPr>
                            <w:ilvl w:val="0"/>
                            <w:numId w:val="21"/>
                          </w:numPr>
                          <w:rPr>
                            <w:rFonts w:ascii="Arial Narrow" w:hAnsi="Arial Narrow" w:cs="Arial"/>
                            <w:sz w:val="18"/>
                            <w:szCs w:val="18"/>
                          </w:rPr>
                        </w:pPr>
                        <w:r w:rsidRPr="000C47AF">
                          <w:rPr>
                            <w:rFonts w:ascii="Arial Narrow" w:hAnsi="Arial Narrow" w:cs="Arial"/>
                            <w:sz w:val="18"/>
                            <w:szCs w:val="18"/>
                          </w:rPr>
                          <w:t xml:space="preserve">the CAS number </w:t>
                        </w:r>
                      </w:p>
                      <w:p w:rsidR="002B3317" w:rsidRDefault="002B3317" w:rsidP="00DB34DC">
                        <w:pPr>
                          <w:pStyle w:val="ListParagraph"/>
                          <w:numPr>
                            <w:ilvl w:val="0"/>
                            <w:numId w:val="21"/>
                          </w:numPr>
                          <w:rPr>
                            <w:rFonts w:ascii="Arial Narrow" w:hAnsi="Arial Narrow" w:cs="Arial"/>
                            <w:sz w:val="18"/>
                            <w:szCs w:val="18"/>
                          </w:rPr>
                        </w:pPr>
                        <w:r>
                          <w:rPr>
                            <w:rFonts w:ascii="Arial Narrow" w:hAnsi="Arial Narrow" w:cs="Arial"/>
                            <w:sz w:val="18"/>
                            <w:szCs w:val="18"/>
                          </w:rPr>
                          <w:t>content (net weight or volume or number of the contents of the container)</w:t>
                        </w:r>
                      </w:p>
                      <w:p w:rsidR="002B3317" w:rsidRPr="002C7CC5" w:rsidRDefault="002B3317" w:rsidP="00DB34DC">
                        <w:pPr>
                          <w:pStyle w:val="ListParagraph"/>
                          <w:numPr>
                            <w:ilvl w:val="0"/>
                            <w:numId w:val="21"/>
                          </w:numPr>
                          <w:rPr>
                            <w:rFonts w:ascii="Arial Narrow" w:hAnsi="Arial Narrow" w:cs="Arial"/>
                            <w:sz w:val="18"/>
                            <w:szCs w:val="18"/>
                          </w:rPr>
                        </w:pPr>
                        <w:r>
                          <w:rPr>
                            <w:rFonts w:ascii="Arial Narrow" w:hAnsi="Arial Narrow" w:cs="Arial"/>
                            <w:sz w:val="18"/>
                            <w:szCs w:val="18"/>
                          </w:rPr>
                          <w:t>storage conditions</w:t>
                        </w:r>
                      </w:p>
                      <w:p w:rsidR="002B3317" w:rsidRPr="000C47AF" w:rsidRDefault="002B3317" w:rsidP="00DB34DC">
                        <w:pPr>
                          <w:pStyle w:val="ListParagraph"/>
                          <w:numPr>
                            <w:ilvl w:val="0"/>
                            <w:numId w:val="21"/>
                          </w:numPr>
                          <w:rPr>
                            <w:rFonts w:ascii="Arial Narrow" w:hAnsi="Arial Narrow" w:cs="Arial"/>
                            <w:sz w:val="18"/>
                            <w:szCs w:val="18"/>
                          </w:rPr>
                        </w:pPr>
                        <w:r w:rsidRPr="000C47AF">
                          <w:rPr>
                            <w:rFonts w:ascii="Arial Narrow" w:hAnsi="Arial Narrow" w:cs="Arial"/>
                            <w:sz w:val="18"/>
                            <w:szCs w:val="18"/>
                          </w:rPr>
                          <w:t>any other labelling requirement imposed as a condition during product evaluation</w:t>
                        </w:r>
                      </w:p>
                      <w:p w:rsidR="002B3317" w:rsidRPr="00B04BBE" w:rsidRDefault="002B3317" w:rsidP="00411A8F">
                        <w:pPr>
                          <w:rPr>
                            <w:rFonts w:ascii="Arial Narrow" w:hAnsi="Arial Narrow" w:cs="Arial"/>
                            <w:sz w:val="18"/>
                            <w:szCs w:val="18"/>
                          </w:rPr>
                        </w:pPr>
                      </w:p>
                    </w:txbxContent>
                  </v:textbox>
                </v:shape>
                <v:shape id="AutoShape 50" o:spid="_x0000_s1050" type="#_x0000_t176" style="position:absolute;left:2353;width:20269;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cNxMMA&#10;AADbAAAADwAAAGRycy9kb3ducmV2LnhtbESPQWvCQBSE70L/w/KE3nSjhxCiq5RoS6mnqNjrY/c1&#10;Cc2+DdnVpP++Kwgeh5n5hllvR9uKG/W+caxgMU9AEGtnGq4UnE/vswyED8gGW8ek4I88bDcvkzXm&#10;xg1c0u0YKhEh7HNUUIfQ5VJ6XZNFP3cdcfR+XG8xRNlX0vQ4RLht5TJJUmmx4bhQY0dFTfr3eLUK&#10;/F635eGi918jpbvvqiv0+aNQ6nU6vq1ABBrDM/xofxoF2QLuX+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cNxMMAAADbAAAADwAAAAAAAAAAAAAAAACYAgAAZHJzL2Rv&#10;d25yZXYueG1sUEsFBgAAAAAEAAQA9QAAAIgDAAAAAA==&#10;" fillcolor="#936" strokecolor="#936" strokeweight="3pt">
                  <v:fill opacity="9766f"/>
                  <v:stroke dashstyle="1 1" endcap="round"/>
                  <v:textbox>
                    <w:txbxContent>
                      <w:p w:rsidR="002B3317" w:rsidRDefault="002B3317" w:rsidP="00FA7C4F">
                        <w:pPr>
                          <w:jc w:val="center"/>
                          <w:rPr>
                            <w:rFonts w:ascii="Arial Narrow" w:hAnsi="Arial Narrow"/>
                            <w:sz w:val="18"/>
                            <w:szCs w:val="18"/>
                          </w:rPr>
                        </w:pPr>
                        <w:r>
                          <w:rPr>
                            <w:rFonts w:ascii="Arial Narrow" w:hAnsi="Arial Narrow"/>
                            <w:sz w:val="18"/>
                            <w:szCs w:val="18"/>
                          </w:rPr>
                          <w:t>The name should be presented prominently.</w:t>
                        </w:r>
                      </w:p>
                      <w:p w:rsidR="002B3317" w:rsidRPr="00A670D4" w:rsidRDefault="002B3317" w:rsidP="00FA7C4F">
                        <w:pPr>
                          <w:jc w:val="center"/>
                          <w:rPr>
                            <w:rFonts w:ascii="Arial Narrow" w:hAnsi="Arial Narrow"/>
                            <w:sz w:val="18"/>
                            <w:szCs w:val="18"/>
                          </w:rPr>
                        </w:pPr>
                      </w:p>
                    </w:txbxContent>
                  </v:textbox>
                </v:shape>
                <v:line id="Line 52" o:spid="_x0000_s1051" style="position:absolute;flip:x;visibility:visible;mso-wrap-style:square" from="48835,7409" to="52302,7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9gsMcAAADbAAAADwAAAGRycy9kb3ducmV2LnhtbESPW2vCQBCF3wv9D8sUfCl14wUboquI&#10;typIoeqDj2N2TILZ2ZBdNf77rlDo4+HM+c6c0aQxpbhR7QrLCjrtCARxanXBmYLDfvkRg3AeWWNp&#10;mRQ8yMFk/PoywkTbO//QbeczESDsElSQe18lUro0J4OubSvi4J1tbdAHWWdS13gPcFPKbhQNpMGC&#10;Q0OOFc1ySi+7qwlvzPv7zeP0tfr8XszS7XnTf4/WR6Vab810CMJT4/+P/9JrrSDuwXNLAIA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72CwxwAAANsAAAAPAAAAAAAA&#10;AAAAAAAAAKECAABkcnMvZG93bnJldi54bWxQSwUGAAAAAAQABAD5AAAAlQMAAAAA&#10;" strokeweight="2.25pt"/>
                <v:shape id="AutoShape 44" o:spid="_x0000_s1052" type="#_x0000_t176" style="position:absolute;left:2716;top:37217;width:19907;height:4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6598MA&#10;AADbAAAADwAAAGRycy9kb3ducmV2LnhtbESPQWvCQBSE70L/w/IKvelGoaFEV5GYllJPsVKvj91n&#10;Esy+Ddltkv77bkHocZiZb5jNbrKtGKj3jWMFy0UCglg703Cl4Pz5On8B4QOywdYxKfghD7vtw2yD&#10;mXEjlzScQiUihH2GCuoQukxKr2uy6BeuI47e1fUWQ5R9JU2PY4TbVq6SJJUWG44LNXaU16Rvp2+r&#10;wBe6LY9fuviYKD1cqi7X57dcqafHab8GEWgK/+F7+90oeE7h70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6598MAAADbAAAADwAAAAAAAAAAAAAAAACYAgAAZHJzL2Rv&#10;d25yZXYueG1sUEsFBgAAAAAEAAQA9QAAAIgDAAAAAA==&#10;" fillcolor="#936" strokecolor="#936" strokeweight="3pt">
                  <v:fill opacity="9766f"/>
                  <v:stroke dashstyle="1 1" endcap="round"/>
                  <v:textbox>
                    <w:txbxContent>
                      <w:p w:rsidR="002B3317" w:rsidRDefault="002B3317" w:rsidP="00CE6F6A">
                        <w:pPr>
                          <w:pStyle w:val="NormalWeb"/>
                          <w:spacing w:before="0" w:beforeAutospacing="0" w:after="0" w:afterAutospacing="0"/>
                        </w:pPr>
                        <w:r w:rsidRPr="00846BBC">
                          <w:rPr>
                            <w:rFonts w:ascii="Arial Narrow" w:hAnsi="Arial Narrow"/>
                            <w:sz w:val="18"/>
                            <w:szCs w:val="18"/>
                          </w:rPr>
                          <w:t>Refer to 3.</w:t>
                        </w:r>
                        <w:r>
                          <w:rPr>
                            <w:rFonts w:ascii="Arial Narrow" w:hAnsi="Arial Narrow"/>
                            <w:sz w:val="18"/>
                            <w:szCs w:val="18"/>
                          </w:rPr>
                          <w:t>11.13 below for more information on the GS1 standard</w:t>
                        </w:r>
                        <w:r>
                          <w:rPr>
                            <w:rFonts w:ascii="Arial Narrow" w:hAnsi="Arial Narrow"/>
                            <w:sz w:val="18"/>
                            <w:szCs w:val="18"/>
                            <w:lang w:val="en-GB"/>
                          </w:rPr>
                          <w:t>  </w:t>
                        </w:r>
                      </w:p>
                    </w:txbxContent>
                  </v:textbox>
                </v:shape>
                <v:line id="Line 33" o:spid="_x0000_s1053" style="position:absolute;flip:x;visibility:visible;mso-wrap-style:square" from="22623,39531" to="25405,39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a1DMUAAADbAAAADwAAAGRycy9kb3ducmV2LnhtbESPQYvCMBCF74L/IYzgRdZUEV2qUcRd&#10;VwURVvfgcWzGtthMSpPV+u+NIHh8vHnfmzeZ1aYQV6pcbllBrxuBIE6szjlV8HdYfnyCcB5ZY2GZ&#10;FNzJwWzabEww1vbGv3Td+1QECLsYFWTel7GULsnIoOvakjh4Z1sZ9EFWqdQV3gLcFLIfRUNpMOfQ&#10;kGFJi4ySy/7fhDe+BofN/bT6Ge2+F8n2vBl0ovVRqXarno9BeKr9+/iVXmsFoz48twQA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3a1DMUAAADbAAAADwAAAAAAAAAA&#10;AAAAAAChAgAAZHJzL2Rvd25yZXYueG1sUEsFBgAAAAAEAAQA+QAAAJMDAAAAAA==&#10;" strokeweight="2.25pt"/>
                <v:roundrect id="AutoShape 38" o:spid="_x0000_s1054" style="position:absolute;left:25778;top:15346;width:22803;height:55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JhwMEA&#10;AADbAAAADwAAAGRycy9kb3ducmV2LnhtbERPz0vDMBS+D/wfwhO8bal1itRlxQ0FQTxs3cHjI3k2&#10;xealJFkX/3tzEDx+fL83bXajmCnEwbOC21UFglh7M3Cv4NS9Lh9BxIRscPRMCn4oQru9WmywMf7C&#10;B5qPqRclhGODCmxKUyNl1JYcxpWfiAv35YPDVGDopQl4KeFulHVVPUiHA5cGixPtLenv49kpyPd3&#10;Vpuue9FziJ+nj/ddfV5npW6u8/MTiEQ5/Yv/3G9GwbqMLV/K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CYcDBAAAA2wAAAA8AAAAAAAAAAAAAAAAAmAIAAGRycy9kb3du&#10;cmV2LnhtbFBLBQYAAAAABAAEAPUAAACGAwAAAAA=&#10;" fillcolor="navy" strokecolor="navy" strokeweight="3pt">
                  <v:fill opacity="26214f"/>
                  <v:textbox>
                    <w:txbxContent>
                      <w:p w:rsidR="002B3317" w:rsidRPr="00402AEA" w:rsidRDefault="002B3317" w:rsidP="00A875BD">
                        <w:pPr>
                          <w:tabs>
                            <w:tab w:val="left" w:pos="285"/>
                          </w:tabs>
                          <w:jc w:val="center"/>
                          <w:rPr>
                            <w:rFonts w:ascii="Arial Black" w:hAnsi="Arial Black" w:cs="Arial"/>
                            <w:color w:val="000000"/>
                            <w:sz w:val="18"/>
                            <w:szCs w:val="18"/>
                          </w:rPr>
                        </w:pPr>
                        <w:r>
                          <w:rPr>
                            <w:rFonts w:ascii="Arial Black" w:hAnsi="Arial Black" w:cs="Arial"/>
                            <w:color w:val="000000"/>
                            <w:sz w:val="18"/>
                            <w:szCs w:val="18"/>
                          </w:rPr>
                          <w:t>4</w:t>
                        </w:r>
                        <w:r w:rsidRPr="00402AEA">
                          <w:rPr>
                            <w:rFonts w:ascii="Arial Black" w:hAnsi="Arial Black" w:cs="Arial"/>
                            <w:color w:val="000000"/>
                            <w:sz w:val="18"/>
                            <w:szCs w:val="18"/>
                          </w:rPr>
                          <w:t xml:space="preserve">. </w:t>
                        </w:r>
                        <w:r w:rsidRPr="00402AEA">
                          <w:rPr>
                            <w:rFonts w:ascii="Arial Black" w:hAnsi="Arial Black" w:cs="Arial"/>
                            <w:color w:val="000000"/>
                            <w:sz w:val="18"/>
                            <w:szCs w:val="18"/>
                          </w:rPr>
                          <w:tab/>
                          <w:t xml:space="preserve">Batch number </w:t>
                        </w:r>
                      </w:p>
                      <w:p w:rsidR="002B3317" w:rsidRPr="00402AEA" w:rsidRDefault="002B3317" w:rsidP="00A875BD">
                        <w:pPr>
                          <w:jc w:val="center"/>
                          <w:rPr>
                            <w:rFonts w:cs="Arial"/>
                            <w:color w:val="000000"/>
                            <w:sz w:val="16"/>
                            <w:szCs w:val="16"/>
                          </w:rPr>
                        </w:pPr>
                        <w:r w:rsidRPr="00402AEA">
                          <w:rPr>
                            <w:rFonts w:cs="Arial"/>
                            <w:color w:val="000000"/>
                            <w:sz w:val="16"/>
                            <w:szCs w:val="16"/>
                          </w:rPr>
                          <w:t xml:space="preserve">“Batch number”, “Lot number”, “Batch”, “Lot”, or “B” followed by the number </w:t>
                        </w:r>
                      </w:p>
                      <w:p w:rsidR="002B3317" w:rsidRDefault="002B3317" w:rsidP="00A875BD">
                        <w:pPr>
                          <w:pStyle w:val="NormalWeb"/>
                          <w:spacing w:before="0" w:beforeAutospacing="0" w:after="0" w:afterAutospacing="0"/>
                          <w:jc w:val="center"/>
                        </w:pPr>
                      </w:p>
                    </w:txbxContent>
                  </v:textbox>
                </v:roundrect>
                <v:roundrect id="AutoShape 38" o:spid="_x0000_s1055" style="position:absolute;left:25778;top:22070;width:22803;height:63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7EW8QA&#10;AADbAAAADwAAAGRycy9kb3ducmV2LnhtbESPQUsDMRSE74L/IbyCN5ttrcVumxYVBUF6aLcHj4/k&#10;uVncvCxJuo3/3giCx2FmvmE2u+x6MVKInWcFs2kFglh703Gr4NS83j6AiAnZYO+ZFHxThN32+mqD&#10;tfEXPtB4TK0oEI41KrApDbWUUVtyGKd+IC7epw8OU5GhlSbgpcBdL+dVtZQOOy4LFgd6tqS/jmen&#10;IN/fWW2a5kWPIX6c9u9P8/MiK3UzyY9rEIly+g//td+MgsUKfr+U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OxFvEAAAA2wAAAA8AAAAAAAAAAAAAAAAAmAIAAGRycy9k&#10;b3ducmV2LnhtbFBLBQYAAAAABAAEAPUAAACJAwAAAAA=&#10;" fillcolor="navy" strokecolor="navy" strokeweight="3pt">
                  <v:fill opacity="26214f"/>
                  <v:textbox>
                    <w:txbxContent>
                      <w:p w:rsidR="002B3317" w:rsidRDefault="002B3317" w:rsidP="00A875BD">
                        <w:pPr>
                          <w:pStyle w:val="NormalWeb"/>
                          <w:tabs>
                            <w:tab w:val="left" w:pos="285"/>
                          </w:tabs>
                          <w:spacing w:before="0" w:beforeAutospacing="0" w:after="0" w:afterAutospacing="0"/>
                          <w:jc w:val="center"/>
                        </w:pPr>
                        <w:r>
                          <w:rPr>
                            <w:rFonts w:ascii="Arial Black" w:hAnsi="Arial Black" w:cs="Arial"/>
                            <w:color w:val="000000"/>
                            <w:sz w:val="18"/>
                            <w:szCs w:val="18"/>
                            <w:lang w:val="en-GB"/>
                          </w:rPr>
                          <w:t>5.  Expiry date</w:t>
                        </w:r>
                      </w:p>
                      <w:p w:rsidR="002B3317" w:rsidRDefault="002B3317" w:rsidP="00A875BD">
                        <w:pPr>
                          <w:pStyle w:val="NormalWeb"/>
                          <w:spacing w:before="0" w:beforeAutospacing="0" w:after="0" w:afterAutospacing="0"/>
                          <w:jc w:val="center"/>
                        </w:pPr>
                        <w:r>
                          <w:rPr>
                            <w:rFonts w:cs="Arial"/>
                            <w:color w:val="000000"/>
                            <w:sz w:val="16"/>
                            <w:szCs w:val="16"/>
                            <w:lang w:val="en-GB"/>
                          </w:rPr>
                          <w:t>“Use by”, “Use before” or words of similar meaning, followed by the expiry date</w:t>
                        </w:r>
                      </w:p>
                      <w:p w:rsidR="002B3317" w:rsidRDefault="002B3317" w:rsidP="00A875BD">
                        <w:pPr>
                          <w:pStyle w:val="NormalWeb"/>
                          <w:spacing w:before="0" w:beforeAutospacing="0" w:after="0" w:afterAutospacing="0"/>
                          <w:jc w:val="center"/>
                        </w:pPr>
                        <w:r>
                          <w:t> </w:t>
                        </w:r>
                      </w:p>
                    </w:txbxContent>
                  </v:textbox>
                </v:roundrect>
                <v:roundrect id="_x0000_s1056" style="position:absolute;left:25402;top:42618;width:23171;height:51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o5DMQA&#10;AADbAAAADwAAAGRycy9kb3ducmV2LnhtbESPQUsDMRSE74L/IbyCN5ttq7VsmxYVBUF6aLcHj4/k&#10;uVncvCxJuo3/3giCx2FmvmE2u+x6MVKInWcFs2kFglh703Gr4NS83q5AxIRssPdMCr4pwm57fbXB&#10;2vgLH2g8plYUCMcaFdiUhlrKqC05jFM/EBfv0weHqcjQShPwUuCul/OqWkqHHZcFiwM9W9Jfx7NT&#10;kO8XVpumedFjiB+n/fvT/HyXlbqZ5Mc1iEQ5/Yf/2m9GwcMCfr+U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KOQzEAAAA2wAAAA8AAAAAAAAAAAAAAAAAmAIAAGRycy9k&#10;b3ducmV2LnhtbFBLBQYAAAAABAAEAPUAAACJAwAAAAA=&#10;" fillcolor="navy" strokecolor="navy" strokeweight="3pt">
                  <v:fill opacity="26214f"/>
                  <v:textbox>
                    <w:txbxContent>
                      <w:p w:rsidR="002B3317" w:rsidRDefault="002B3317" w:rsidP="00A875BD">
                        <w:pPr>
                          <w:pStyle w:val="NormalWeb"/>
                          <w:tabs>
                            <w:tab w:val="left" w:pos="285"/>
                            <w:tab w:val="left" w:pos="720"/>
                          </w:tabs>
                          <w:spacing w:before="0" w:beforeAutospacing="0" w:after="0" w:afterAutospacing="0"/>
                          <w:ind w:left="720" w:hanging="360"/>
                        </w:pPr>
                        <w:r>
                          <w:rPr>
                            <w:rFonts w:ascii="Arial Black" w:hAnsi="Arial Black" w:cs="Arial"/>
                            <w:color w:val="000000"/>
                            <w:sz w:val="18"/>
                            <w:szCs w:val="18"/>
                            <w:lang w:val="en-GB"/>
                          </w:rPr>
                          <w:t>8.  Statements required as conditions of approval</w:t>
                        </w:r>
                      </w:p>
                      <w:p w:rsidR="002B3317" w:rsidRDefault="002B3317" w:rsidP="00A875BD">
                        <w:pPr>
                          <w:pStyle w:val="NormalWeb"/>
                          <w:spacing w:before="0" w:beforeAutospacing="0" w:after="0" w:afterAutospacing="0"/>
                          <w:jc w:val="center"/>
                        </w:pPr>
                        <w:r>
                          <w:rPr>
                            <w:rFonts w:ascii="Arial Black" w:hAnsi="Arial Black"/>
                            <w:i/>
                            <w:iCs/>
                            <w:color w:val="000000"/>
                            <w:sz w:val="18"/>
                            <w:szCs w:val="18"/>
                            <w:lang w:val="en-GB"/>
                          </w:rPr>
                          <w:t> </w:t>
                        </w:r>
                      </w:p>
                    </w:txbxContent>
                  </v:textbox>
                </v:roundrect>
              </v:group>
            </w:pict>
          </mc:Fallback>
        </mc:AlternateContent>
      </w:r>
    </w:p>
    <w:p w:rsidR="00A46454" w:rsidRPr="0068496D" w:rsidRDefault="00A46454" w:rsidP="000F1FF2">
      <w:pPr>
        <w:rPr>
          <w:lang w:val="en-US"/>
        </w:rPr>
      </w:pPr>
    </w:p>
    <w:p w:rsidR="00FA7C4F" w:rsidRPr="000F1FF2" w:rsidRDefault="00FA7C4F" w:rsidP="00FA7C4F"/>
    <w:p w:rsidR="00FA7C4F" w:rsidRDefault="00FA7C4F" w:rsidP="00FA7C4F"/>
    <w:p w:rsidR="00FA7C4F" w:rsidRPr="00192C30" w:rsidRDefault="00FA7C4F" w:rsidP="00CE6F6A">
      <w:pPr>
        <w:tabs>
          <w:tab w:val="left" w:pos="4776"/>
        </w:tabs>
      </w:pPr>
    </w:p>
    <w:p w:rsidR="00FA7C4F" w:rsidRPr="00192C30" w:rsidRDefault="00FA7C4F" w:rsidP="00CE6F6A">
      <w:pPr>
        <w:tabs>
          <w:tab w:val="left" w:pos="4776"/>
        </w:tabs>
      </w:pPr>
    </w:p>
    <w:p w:rsidR="00FA7C4F" w:rsidRPr="00192C30" w:rsidRDefault="00FA7C4F" w:rsidP="00FA7C4F"/>
    <w:p w:rsidR="00FA7C4F" w:rsidRPr="00192C30" w:rsidRDefault="00FA7C4F" w:rsidP="00596186">
      <w:pPr>
        <w:tabs>
          <w:tab w:val="left" w:pos="6528"/>
        </w:tabs>
      </w:pPr>
    </w:p>
    <w:p w:rsidR="00FA7C4F" w:rsidRPr="00192C30" w:rsidRDefault="00FA7C4F" w:rsidP="00FA7C4F"/>
    <w:p w:rsidR="00FA7C4F" w:rsidRPr="00192C30" w:rsidRDefault="00FA7C4F" w:rsidP="00FA7C4F"/>
    <w:p w:rsidR="00FA7C4F" w:rsidRPr="00192C30" w:rsidRDefault="00FA7C4F" w:rsidP="00FA7C4F"/>
    <w:p w:rsidR="00FA7C4F" w:rsidRPr="00192C30" w:rsidRDefault="00FA7C4F" w:rsidP="00FA7C4F"/>
    <w:p w:rsidR="00FA7C4F" w:rsidRPr="00192C30" w:rsidRDefault="00FA7C4F" w:rsidP="00FA7C4F"/>
    <w:p w:rsidR="00FA7C4F" w:rsidRPr="00192C30" w:rsidRDefault="00FA7C4F" w:rsidP="00FA7C4F"/>
    <w:p w:rsidR="00FA7C4F" w:rsidRPr="00192C30" w:rsidRDefault="00FA7C4F" w:rsidP="00FA7C4F"/>
    <w:p w:rsidR="00FA7C4F" w:rsidRPr="00192C30" w:rsidRDefault="00FA7C4F" w:rsidP="00FA7C4F"/>
    <w:p w:rsidR="00FA7C4F" w:rsidRPr="00192C30" w:rsidRDefault="002C7CC5" w:rsidP="00FA7C4F">
      <w:r>
        <w:rPr>
          <w:noProof/>
          <w:lang w:val="en-NZ" w:eastAsia="en-NZ"/>
        </w:rPr>
        <mc:AlternateContent>
          <mc:Choice Requires="wps">
            <w:drawing>
              <wp:anchor distT="0" distB="0" distL="114300" distR="114300" simplePos="0" relativeHeight="251666432" behindDoc="1" locked="0" layoutInCell="1" allowOverlap="1" wp14:anchorId="1632468B" wp14:editId="21C8ED5B">
                <wp:simplePos x="0" y="0"/>
                <wp:positionH relativeFrom="column">
                  <wp:posOffset>1611630</wp:posOffset>
                </wp:positionH>
                <wp:positionV relativeFrom="paragraph">
                  <wp:posOffset>139065</wp:posOffset>
                </wp:positionV>
                <wp:extent cx="2317115" cy="645160"/>
                <wp:effectExtent l="19050" t="19050" r="26035" b="215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115" cy="645160"/>
                        </a:xfrm>
                        <a:prstGeom prst="roundRect">
                          <a:avLst>
                            <a:gd name="adj" fmla="val 16667"/>
                          </a:avLst>
                        </a:prstGeom>
                        <a:solidFill>
                          <a:srgbClr val="000080">
                            <a:alpha val="39999"/>
                          </a:srgbClr>
                        </a:solidFill>
                        <a:ln w="38100">
                          <a:solidFill>
                            <a:srgbClr val="000080"/>
                          </a:solidFill>
                          <a:round/>
                          <a:headEnd/>
                          <a:tailEnd/>
                        </a:ln>
                      </wps:spPr>
                      <wps:txbx>
                        <w:txbxContent>
                          <w:p w:rsidR="002B3317" w:rsidRPr="000C47AF" w:rsidRDefault="002B3317" w:rsidP="000C47AF">
                            <w:pPr>
                              <w:tabs>
                                <w:tab w:val="left" w:pos="285"/>
                              </w:tabs>
                              <w:ind w:left="360"/>
                              <w:jc w:val="center"/>
                              <w:rPr>
                                <w:rFonts w:ascii="Arial Black" w:hAnsi="Arial Black" w:cs="Arial"/>
                                <w:color w:val="000000"/>
                                <w:sz w:val="18"/>
                                <w:szCs w:val="18"/>
                              </w:rPr>
                            </w:pPr>
                            <w:r>
                              <w:rPr>
                                <w:rFonts w:ascii="Arial Black" w:hAnsi="Arial Black" w:cs="Arial"/>
                                <w:color w:val="000000"/>
                                <w:sz w:val="18"/>
                                <w:szCs w:val="18"/>
                              </w:rPr>
                              <w:t>6.</w:t>
                            </w:r>
                            <w:r w:rsidRPr="000C47AF">
                              <w:rPr>
                                <w:rFonts w:ascii="Arial Black" w:hAnsi="Arial Black" w:cs="Arial"/>
                                <w:color w:val="000000"/>
                                <w:sz w:val="18"/>
                                <w:szCs w:val="18"/>
                              </w:rPr>
                              <w:t xml:space="preserve"> The National Poisons Centre phone number </w:t>
                            </w:r>
                          </w:p>
                          <w:p w:rsidR="002B3317" w:rsidRPr="00A875BD" w:rsidRDefault="002B3317" w:rsidP="00A875BD">
                            <w:pPr>
                              <w:pStyle w:val="ListParagraph"/>
                              <w:tabs>
                                <w:tab w:val="left" w:pos="285"/>
                              </w:tabs>
                              <w:ind w:left="357"/>
                              <w:jc w:val="center"/>
                              <w:rPr>
                                <w:rFonts w:ascii="Arial Black" w:hAnsi="Arial Black" w:cs="Arial"/>
                                <w:color w:val="000000"/>
                                <w:sz w:val="18"/>
                                <w:szCs w:val="18"/>
                              </w:rPr>
                            </w:pPr>
                            <w:r w:rsidRPr="00A875BD">
                              <w:rPr>
                                <w:rFonts w:cs="Arial"/>
                                <w:color w:val="000000"/>
                                <w:sz w:val="16"/>
                                <w:szCs w:val="16"/>
                              </w:rPr>
                              <w:t>0800 764 766</w:t>
                            </w:r>
                          </w:p>
                          <w:p w:rsidR="002B3317" w:rsidRPr="00402AEA" w:rsidRDefault="002B3317" w:rsidP="00CE6F6A">
                            <w:pPr>
                              <w:jc w:val="center"/>
                              <w:rPr>
                                <w:rFonts w:ascii="Arial Black" w:hAnsi="Arial Black"/>
                                <w:i/>
                                <w:color w:val="000000"/>
                                <w:sz w:val="18"/>
                                <w:szCs w:val="18"/>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id="AutoShape 7" o:spid="_x0000_s1057" style="position:absolute;margin-left:126.9pt;margin-top:10.95pt;width:182.45pt;height:50.8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" fillcolor="navy" strokecolor="navy" strokeweight="3pt">
                <v:fill opacity="26214f"/>
                <v:textbox>
                  <w:txbxContent>
                    <w:p w:rsidR="002B3317" w:rsidRPr="000C47AF" w:rsidRDefault="002B3317" w:rsidP="000C47AF">
                      <w:pPr>
                        <w:tabs>
                          <w:tab w:val="left" w:pos="285"/>
                        </w:tabs>
                        <w:ind w:left="360"/>
                        <w:jc w:val="center"/>
                        <w:rPr>
                          <w:rFonts w:ascii="Arial Black" w:hAnsi="Arial Black" w:cs="Arial"/>
                          <w:color w:val="000000"/>
                          <w:sz w:val="18"/>
                          <w:szCs w:val="18"/>
                        </w:rPr>
                      </w:pPr>
                      <w:r>
                        <w:rPr>
                          <w:rFonts w:ascii="Arial Black" w:hAnsi="Arial Black" w:cs="Arial"/>
                          <w:color w:val="000000"/>
                          <w:sz w:val="18"/>
                          <w:szCs w:val="18"/>
                        </w:rPr>
                        <w:t>6.</w:t>
                      </w:r>
                      <w:r w:rsidRPr="000C47AF">
                        <w:rPr>
                          <w:rFonts w:ascii="Arial Black" w:hAnsi="Arial Black" w:cs="Arial"/>
                          <w:color w:val="000000"/>
                          <w:sz w:val="18"/>
                          <w:szCs w:val="18"/>
                        </w:rPr>
                        <w:t xml:space="preserve"> The National Poisons Centre phone number </w:t>
                      </w:r>
                    </w:p>
                    <w:p w:rsidR="002B3317" w:rsidRPr="00A875BD" w:rsidRDefault="002B3317" w:rsidP="00A875BD">
                      <w:pPr>
                        <w:pStyle w:val="ListParagraph"/>
                        <w:tabs>
                          <w:tab w:val="left" w:pos="285"/>
                        </w:tabs>
                        <w:ind w:left="357"/>
                        <w:jc w:val="center"/>
                        <w:rPr>
                          <w:rFonts w:ascii="Arial Black" w:hAnsi="Arial Black" w:cs="Arial"/>
                          <w:color w:val="000000"/>
                          <w:sz w:val="18"/>
                          <w:szCs w:val="18"/>
                        </w:rPr>
                      </w:pPr>
                      <w:r w:rsidRPr="00A875BD">
                        <w:rPr>
                          <w:rFonts w:cs="Arial"/>
                          <w:color w:val="000000"/>
                          <w:sz w:val="16"/>
                          <w:szCs w:val="16"/>
                        </w:rPr>
                        <w:t>0800 764 766</w:t>
                      </w:r>
                    </w:p>
                    <w:p w:rsidR="002B3317" w:rsidRPr="00402AEA" w:rsidRDefault="002B3317" w:rsidP="00CE6F6A">
                      <w:pPr>
                        <w:jc w:val="center"/>
                        <w:rPr>
                          <w:rFonts w:ascii="Arial Black" w:hAnsi="Arial Black"/>
                          <w:i/>
                          <w:color w:val="000000"/>
                          <w:sz w:val="18"/>
                          <w:szCs w:val="18"/>
                        </w:rPr>
                      </w:pPr>
                    </w:p>
                  </w:txbxContent>
                </v:textbox>
              </v:roundrect>
            </w:pict>
          </mc:Fallback>
        </mc:AlternateContent>
      </w:r>
    </w:p>
    <w:p w:rsidR="00FA7C4F" w:rsidRPr="00192C30" w:rsidRDefault="00FA7C4F" w:rsidP="00FA7C4F"/>
    <w:p w:rsidR="00FA7C4F" w:rsidRPr="00192C30" w:rsidRDefault="00FA7C4F" w:rsidP="00FA7C4F"/>
    <w:p w:rsidR="00FA7C4F" w:rsidRPr="00192C30" w:rsidRDefault="00CE6F6A" w:rsidP="00CE6F6A">
      <w:pPr>
        <w:tabs>
          <w:tab w:val="left" w:pos="6728"/>
        </w:tabs>
      </w:pPr>
      <w:r>
        <w:tab/>
      </w:r>
    </w:p>
    <w:p w:rsidR="00FA7C4F" w:rsidRPr="009D1257" w:rsidRDefault="00FA7C4F" w:rsidP="005A24D1">
      <w:pPr>
        <w:tabs>
          <w:tab w:val="left" w:pos="5397"/>
        </w:tabs>
      </w:pPr>
    </w:p>
    <w:p w:rsidR="005A24D1" w:rsidRPr="00481369" w:rsidRDefault="002C7CC5" w:rsidP="005A24D1">
      <w:r>
        <w:rPr>
          <w:noProof/>
          <w:lang w:val="en-NZ" w:eastAsia="en-NZ"/>
        </w:rPr>
        <mc:AlternateContent>
          <mc:Choice Requires="wps">
            <w:drawing>
              <wp:anchor distT="0" distB="0" distL="114300" distR="114300" simplePos="0" relativeHeight="251664384" behindDoc="1" locked="0" layoutInCell="1" allowOverlap="1" wp14:anchorId="34469201" wp14:editId="125BF0F4">
                <wp:simplePos x="0" y="0"/>
                <wp:positionH relativeFrom="column">
                  <wp:posOffset>1620520</wp:posOffset>
                </wp:positionH>
                <wp:positionV relativeFrom="paragraph">
                  <wp:posOffset>59690</wp:posOffset>
                </wp:positionV>
                <wp:extent cx="2317115" cy="457200"/>
                <wp:effectExtent l="19050" t="19050" r="2603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115" cy="457200"/>
                        </a:xfrm>
                        <a:prstGeom prst="roundRect">
                          <a:avLst>
                            <a:gd name="adj" fmla="val 16667"/>
                          </a:avLst>
                        </a:prstGeom>
                        <a:solidFill>
                          <a:srgbClr val="000080">
                            <a:alpha val="39999"/>
                          </a:srgbClr>
                        </a:solidFill>
                        <a:ln w="38100">
                          <a:solidFill>
                            <a:srgbClr val="000080"/>
                          </a:solidFill>
                          <a:round/>
                          <a:headEnd/>
                          <a:tailEnd/>
                        </a:ln>
                      </wps:spPr>
                      <wps:txbx>
                        <w:txbxContent>
                          <w:p w:rsidR="002B3317" w:rsidRPr="000C47AF" w:rsidRDefault="002B3317" w:rsidP="00CF062F">
                            <w:pPr>
                              <w:pStyle w:val="ListParagraph"/>
                              <w:numPr>
                                <w:ilvl w:val="0"/>
                                <w:numId w:val="47"/>
                              </w:numPr>
                              <w:tabs>
                                <w:tab w:val="left" w:pos="285"/>
                              </w:tabs>
                              <w:jc w:val="center"/>
                              <w:rPr>
                                <w:rFonts w:ascii="Arial Black" w:hAnsi="Arial Black" w:cs="Arial"/>
                                <w:color w:val="000000"/>
                                <w:sz w:val="18"/>
                                <w:szCs w:val="18"/>
                              </w:rPr>
                            </w:pPr>
                            <w:r w:rsidRPr="000C47AF">
                              <w:rPr>
                                <w:rFonts w:ascii="Arial Black" w:hAnsi="Arial Black" w:cs="Arial"/>
                                <w:color w:val="000000"/>
                                <w:sz w:val="18"/>
                                <w:szCs w:val="18"/>
                              </w:rPr>
                              <w:t>Bar code</w:t>
                            </w:r>
                          </w:p>
                          <w:p w:rsidR="002B3317" w:rsidRPr="00402AEA" w:rsidRDefault="002B3317" w:rsidP="00CE6F6A">
                            <w:pPr>
                              <w:tabs>
                                <w:tab w:val="left" w:pos="285"/>
                              </w:tabs>
                              <w:ind w:left="360"/>
                              <w:jc w:val="center"/>
                              <w:rPr>
                                <w:rFonts w:ascii="Arial Black" w:hAnsi="Arial Black" w:cs="Arial"/>
                                <w:color w:val="000000"/>
                                <w:sz w:val="16"/>
                                <w:szCs w:val="16"/>
                              </w:rPr>
                            </w:pPr>
                            <w:r>
                              <w:rPr>
                                <w:rFonts w:cs="Arial"/>
                                <w:color w:val="000000"/>
                                <w:sz w:val="16"/>
                                <w:szCs w:val="16"/>
                              </w:rPr>
                              <w:t>That meets the GS1 standard</w:t>
                            </w:r>
                          </w:p>
                          <w:p w:rsidR="002B3317" w:rsidRPr="00402AEA" w:rsidRDefault="002B3317" w:rsidP="00CE6F6A">
                            <w:pPr>
                              <w:jc w:val="center"/>
                              <w:rPr>
                                <w:rFonts w:ascii="Arial Black" w:hAnsi="Arial Black"/>
                                <w:i/>
                                <w:color w:val="000000"/>
                                <w:sz w:val="18"/>
                                <w:szCs w:val="18"/>
                              </w:rPr>
                            </w:pPr>
                          </w:p>
                        </w:txbxContent>
                      </wps:txbx>
                      <wps:bodyPr rot="0" vert="horz" wrap="square" lIns="91440" tIns="45720" rIns="91440" bIns="45720" anchor="t" anchorCtr="0" upright="1">
                        <a:noAutofit/>
                      </wps:bodyPr>
                    </wps:wsp>
                  </a:graphicData>
                </a:graphic>
              </wp:anchor>
            </w:drawing>
          </mc:Choice>
          <mc:Fallback>
            <w:pict>
              <v:roundrect id="_x0000_s1058" style="position:absolute;margin-left:127.6pt;margin-top:4.7pt;width:182.45pt;height:36pt;z-index:-25165209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" fillcolor="navy" strokecolor="navy" strokeweight="3pt">
                <v:fill opacity="26214f"/>
                <v:textbox>
                  <w:txbxContent>
                    <w:p w:rsidR="002B3317" w:rsidRPr="000C47AF" w:rsidRDefault="002B3317" w:rsidP="00CF062F">
                      <w:pPr>
                        <w:pStyle w:val="ListParagraph"/>
                        <w:numPr>
                          <w:ilvl w:val="0"/>
                          <w:numId w:val="47"/>
                        </w:numPr>
                        <w:tabs>
                          <w:tab w:val="left" w:pos="285"/>
                        </w:tabs>
                        <w:jc w:val="center"/>
                        <w:rPr>
                          <w:rFonts w:ascii="Arial Black" w:hAnsi="Arial Black" w:cs="Arial"/>
                          <w:color w:val="000000"/>
                          <w:sz w:val="18"/>
                          <w:szCs w:val="18"/>
                        </w:rPr>
                      </w:pPr>
                      <w:r w:rsidRPr="000C47AF">
                        <w:rPr>
                          <w:rFonts w:ascii="Arial Black" w:hAnsi="Arial Black" w:cs="Arial"/>
                          <w:color w:val="000000"/>
                          <w:sz w:val="18"/>
                          <w:szCs w:val="18"/>
                        </w:rPr>
                        <w:t>Bar code</w:t>
                      </w:r>
                    </w:p>
                    <w:p w:rsidR="002B3317" w:rsidRPr="00402AEA" w:rsidRDefault="002B3317" w:rsidP="00CE6F6A">
                      <w:pPr>
                        <w:tabs>
                          <w:tab w:val="left" w:pos="285"/>
                        </w:tabs>
                        <w:ind w:left="360"/>
                        <w:jc w:val="center"/>
                        <w:rPr>
                          <w:rFonts w:ascii="Arial Black" w:hAnsi="Arial Black" w:cs="Arial"/>
                          <w:color w:val="000000"/>
                          <w:sz w:val="16"/>
                          <w:szCs w:val="16"/>
                        </w:rPr>
                      </w:pPr>
                      <w:r>
                        <w:rPr>
                          <w:rFonts w:cs="Arial"/>
                          <w:color w:val="000000"/>
                          <w:sz w:val="16"/>
                          <w:szCs w:val="16"/>
                        </w:rPr>
                        <w:t>That meets the GS1 standard</w:t>
                      </w:r>
                    </w:p>
                    <w:p w:rsidR="002B3317" w:rsidRPr="00402AEA" w:rsidRDefault="002B3317" w:rsidP="00CE6F6A">
                      <w:pPr>
                        <w:jc w:val="center"/>
                        <w:rPr>
                          <w:rFonts w:ascii="Arial Black" w:hAnsi="Arial Black"/>
                          <w:i/>
                          <w:color w:val="000000"/>
                          <w:sz w:val="18"/>
                          <w:szCs w:val="18"/>
                        </w:rPr>
                      </w:pPr>
                    </w:p>
                  </w:txbxContent>
                </v:textbox>
              </v:roundrect>
            </w:pict>
          </mc:Fallback>
        </mc:AlternateContent>
      </w:r>
    </w:p>
    <w:p w:rsidR="00FA7C4F" w:rsidRPr="00696A92" w:rsidRDefault="00A875BD" w:rsidP="000F1FF2">
      <w:pPr>
        <w:rPr>
          <w:szCs w:val="22"/>
          <w:lang w:val="en-US"/>
        </w:rPr>
      </w:pPr>
      <w:r>
        <w:rPr>
          <w:noProof/>
          <w:lang w:val="en-NZ" w:eastAsia="en-NZ"/>
        </w:rPr>
        <mc:AlternateContent>
          <mc:Choice Requires="wps">
            <w:drawing>
              <wp:anchor distT="0" distB="0" distL="114300" distR="114300" simplePos="0" relativeHeight="251661312" behindDoc="0" locked="0" layoutInCell="1" allowOverlap="1" wp14:anchorId="6C378A25" wp14:editId="29BB8E8D">
                <wp:simplePos x="0" y="0"/>
                <wp:positionH relativeFrom="column">
                  <wp:posOffset>-868680</wp:posOffset>
                </wp:positionH>
                <wp:positionV relativeFrom="paragraph">
                  <wp:posOffset>3873500</wp:posOffset>
                </wp:positionV>
                <wp:extent cx="7021830" cy="1168400"/>
                <wp:effectExtent l="19050" t="19050" r="26670" b="1270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1830" cy="1168400"/>
                        </a:xfrm>
                        <a:prstGeom prst="rect">
                          <a:avLst/>
                        </a:prstGeom>
                        <a:solidFill>
                          <a:srgbClr val="FFFF99"/>
                        </a:solidFill>
                        <a:ln w="28575">
                          <a:solidFill>
                            <a:srgbClr val="008080"/>
                          </a:solidFill>
                          <a:miter lim="800000"/>
                          <a:headEnd/>
                          <a:tailEnd/>
                        </a:ln>
                      </wps:spPr>
                      <wps:txbx>
                        <w:txbxContent>
                          <w:p w:rsidR="002B3317" w:rsidRPr="00831328" w:rsidRDefault="002B3317" w:rsidP="00831328">
                            <w:pPr>
                              <w:pStyle w:val="NormalWeb"/>
                              <w:spacing w:before="120" w:beforeAutospacing="0" w:after="120" w:afterAutospacing="0"/>
                              <w:rPr>
                                <w:rFonts w:ascii="Arial Narrow" w:hAnsi="Arial Narrow" w:cs="Arial"/>
                                <w:b/>
                                <w:sz w:val="18"/>
                                <w:szCs w:val="18"/>
                                <w:u w:val="single"/>
                                <w:lang w:eastAsia="en-US"/>
                              </w:rPr>
                            </w:pPr>
                            <w:r>
                              <w:rPr>
                                <w:rFonts w:ascii="Arial Narrow" w:hAnsi="Arial Narrow" w:cs="Arial"/>
                                <w:b/>
                                <w:sz w:val="18"/>
                                <w:szCs w:val="18"/>
                                <w:u w:val="single"/>
                                <w:lang w:eastAsia="en-US"/>
                              </w:rPr>
                              <w:t>Reduced labelling requirements:</w:t>
                            </w:r>
                          </w:p>
                          <w:p w:rsidR="002B3317" w:rsidRPr="00831328" w:rsidRDefault="002B3317" w:rsidP="00831328">
                            <w:pPr>
                              <w:pStyle w:val="NormalWeb"/>
                              <w:spacing w:before="120" w:beforeAutospacing="0" w:after="120" w:afterAutospacing="0"/>
                              <w:rPr>
                                <w:rFonts w:ascii="Arial Narrow" w:hAnsi="Arial Narrow" w:cs="Arial"/>
                                <w:sz w:val="18"/>
                                <w:szCs w:val="18"/>
                                <w:lang w:eastAsia="en-US"/>
                              </w:rPr>
                            </w:pPr>
                            <w:r w:rsidRPr="00831328">
                              <w:rPr>
                                <w:rFonts w:ascii="Arial Narrow" w:hAnsi="Arial Narrow" w:cs="Arial"/>
                                <w:sz w:val="18"/>
                                <w:szCs w:val="18"/>
                                <w:lang w:eastAsia="en-US"/>
                              </w:rPr>
                              <w:t>Where it is not practically possible to fit all of the required information on the container label, reduced labelling requirements may be approved on a case by case basis provided the following criteria are both met:</w:t>
                            </w:r>
                          </w:p>
                          <w:p w:rsidR="002B3317" w:rsidRPr="00831328" w:rsidRDefault="002B3317" w:rsidP="00DB34DC">
                            <w:pPr>
                              <w:pStyle w:val="NormalWeb"/>
                              <w:numPr>
                                <w:ilvl w:val="0"/>
                                <w:numId w:val="20"/>
                              </w:numPr>
                              <w:spacing w:before="120" w:beforeAutospacing="0" w:after="120" w:afterAutospacing="0"/>
                              <w:rPr>
                                <w:rFonts w:ascii="Arial Narrow" w:hAnsi="Arial Narrow" w:cs="Arial"/>
                                <w:sz w:val="18"/>
                                <w:szCs w:val="18"/>
                                <w:lang w:eastAsia="en-US"/>
                              </w:rPr>
                            </w:pPr>
                            <w:r w:rsidRPr="00831328">
                              <w:rPr>
                                <w:rFonts w:ascii="Arial Narrow" w:hAnsi="Arial Narrow" w:cs="Arial"/>
                                <w:sz w:val="18"/>
                                <w:szCs w:val="18"/>
                                <w:lang w:eastAsia="en-US"/>
                              </w:rPr>
                              <w:t xml:space="preserve">a pack insert containing the additional required information is included in the container </w:t>
                            </w:r>
                          </w:p>
                          <w:p w:rsidR="002B3317" w:rsidRPr="00831328" w:rsidRDefault="002B3317" w:rsidP="00DB34DC">
                            <w:pPr>
                              <w:pStyle w:val="NormalWeb"/>
                              <w:numPr>
                                <w:ilvl w:val="0"/>
                                <w:numId w:val="20"/>
                              </w:numPr>
                              <w:spacing w:before="120" w:beforeAutospacing="0" w:after="120" w:afterAutospacing="0"/>
                              <w:rPr>
                                <w:rFonts w:ascii="Arial Narrow" w:hAnsi="Arial Narrow" w:cs="Arial"/>
                                <w:sz w:val="18"/>
                                <w:szCs w:val="18"/>
                                <w:lang w:eastAsia="en-US"/>
                              </w:rPr>
                            </w:pPr>
                            <w:r w:rsidRPr="00831328">
                              <w:rPr>
                                <w:rFonts w:ascii="Arial Narrow" w:hAnsi="Arial Narrow" w:cs="Arial"/>
                                <w:sz w:val="18"/>
                                <w:szCs w:val="18"/>
                                <w:lang w:eastAsia="en-US"/>
                              </w:rPr>
                              <w:t xml:space="preserve">the Authority is satisfied that the safe use of the product would not be compromised. </w:t>
                            </w:r>
                          </w:p>
                          <w:p w:rsidR="002B3317" w:rsidRPr="00CE6F6A" w:rsidRDefault="002B3317" w:rsidP="00FA7C4F">
                            <w:pPr>
                              <w:rPr>
                                <w:rFonts w:ascii="Arial Narrow" w:hAnsi="Arial Narrow"/>
                                <w:b/>
                                <w:sz w:val="18"/>
                                <w:szCs w:val="18"/>
                              </w:rPr>
                            </w:pPr>
                          </w:p>
                          <w:p w:rsidR="002B3317" w:rsidRPr="007E4809" w:rsidRDefault="002B3317" w:rsidP="00FA7C4F">
                            <w:pPr>
                              <w:rPr>
                                <w:rFonts w:ascii="Arial Narrow" w:hAnsi="Arial Narrow"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59" style="position:absolute;margin-left:-68.4pt;margin-top:305pt;width:552.9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" fillcolor="#ff9" strokecolor="teal" strokeweight="2.25pt">
                <v:textbox>
                  <w:txbxContent>
                    <w:p w:rsidR="002B3317" w:rsidRPr="00831328" w:rsidRDefault="002B3317" w:rsidP="00831328">
                      <w:pPr>
                        <w:pStyle w:val="NormalWeb"/>
                        <w:spacing w:before="120" w:beforeAutospacing="0" w:after="120" w:afterAutospacing="0"/>
                        <w:rPr>
                          <w:rFonts w:ascii="Arial Narrow" w:hAnsi="Arial Narrow" w:cs="Arial"/>
                          <w:b/>
                          <w:sz w:val="18"/>
                          <w:szCs w:val="18"/>
                          <w:u w:val="single"/>
                          <w:lang w:eastAsia="en-US"/>
                        </w:rPr>
                      </w:pPr>
                      <w:r>
                        <w:rPr>
                          <w:rFonts w:ascii="Arial Narrow" w:hAnsi="Arial Narrow" w:cs="Arial"/>
                          <w:b/>
                          <w:sz w:val="18"/>
                          <w:szCs w:val="18"/>
                          <w:u w:val="single"/>
                          <w:lang w:eastAsia="en-US"/>
                        </w:rPr>
                        <w:t>Reduced labelling requirements:</w:t>
                      </w:r>
                    </w:p>
                    <w:p w:rsidR="002B3317" w:rsidRPr="00831328" w:rsidRDefault="002B3317" w:rsidP="00831328">
                      <w:pPr>
                        <w:pStyle w:val="NormalWeb"/>
                        <w:spacing w:before="120" w:beforeAutospacing="0" w:after="120" w:afterAutospacing="0"/>
                        <w:rPr>
                          <w:rFonts w:ascii="Arial Narrow" w:hAnsi="Arial Narrow" w:cs="Arial"/>
                          <w:sz w:val="18"/>
                          <w:szCs w:val="18"/>
                          <w:lang w:eastAsia="en-US"/>
                        </w:rPr>
                      </w:pPr>
                      <w:r w:rsidRPr="00831328">
                        <w:rPr>
                          <w:rFonts w:ascii="Arial Narrow" w:hAnsi="Arial Narrow" w:cs="Arial"/>
                          <w:sz w:val="18"/>
                          <w:szCs w:val="18"/>
                          <w:lang w:eastAsia="en-US"/>
                        </w:rPr>
                        <w:t>Where it is not practically possible to fit all of the required information on the container label, reduced labelling requirements may be approved on a case by case basis provided the following criteria are both met:</w:t>
                      </w:r>
                    </w:p>
                    <w:p w:rsidR="002B3317" w:rsidRPr="00831328" w:rsidRDefault="002B3317" w:rsidP="00DB34DC">
                      <w:pPr>
                        <w:pStyle w:val="NormalWeb"/>
                        <w:numPr>
                          <w:ilvl w:val="0"/>
                          <w:numId w:val="20"/>
                        </w:numPr>
                        <w:spacing w:before="120" w:beforeAutospacing="0" w:after="120" w:afterAutospacing="0"/>
                        <w:rPr>
                          <w:rFonts w:ascii="Arial Narrow" w:hAnsi="Arial Narrow" w:cs="Arial"/>
                          <w:sz w:val="18"/>
                          <w:szCs w:val="18"/>
                          <w:lang w:eastAsia="en-US"/>
                        </w:rPr>
                      </w:pPr>
                      <w:r w:rsidRPr="00831328">
                        <w:rPr>
                          <w:rFonts w:ascii="Arial Narrow" w:hAnsi="Arial Narrow" w:cs="Arial"/>
                          <w:sz w:val="18"/>
                          <w:szCs w:val="18"/>
                          <w:lang w:eastAsia="en-US"/>
                        </w:rPr>
                        <w:t xml:space="preserve">a pack insert containing the additional required information is included in the container </w:t>
                      </w:r>
                    </w:p>
                    <w:p w:rsidR="002B3317" w:rsidRPr="00831328" w:rsidRDefault="002B3317" w:rsidP="00DB34DC">
                      <w:pPr>
                        <w:pStyle w:val="NormalWeb"/>
                        <w:numPr>
                          <w:ilvl w:val="0"/>
                          <w:numId w:val="20"/>
                        </w:numPr>
                        <w:spacing w:before="120" w:beforeAutospacing="0" w:after="120" w:afterAutospacing="0"/>
                        <w:rPr>
                          <w:rFonts w:ascii="Arial Narrow" w:hAnsi="Arial Narrow" w:cs="Arial"/>
                          <w:sz w:val="18"/>
                          <w:szCs w:val="18"/>
                          <w:lang w:eastAsia="en-US"/>
                        </w:rPr>
                      </w:pPr>
                      <w:r w:rsidRPr="00831328">
                        <w:rPr>
                          <w:rFonts w:ascii="Arial Narrow" w:hAnsi="Arial Narrow" w:cs="Arial"/>
                          <w:sz w:val="18"/>
                          <w:szCs w:val="18"/>
                          <w:lang w:eastAsia="en-US"/>
                        </w:rPr>
                        <w:t xml:space="preserve">the Authority is satisfied that the safe use of the product would not be compromised. </w:t>
                      </w:r>
                    </w:p>
                    <w:p w:rsidR="002B3317" w:rsidRPr="00CE6F6A" w:rsidRDefault="002B3317" w:rsidP="00FA7C4F">
                      <w:pPr>
                        <w:rPr>
                          <w:rFonts w:ascii="Arial Narrow" w:hAnsi="Arial Narrow"/>
                          <w:b/>
                          <w:sz w:val="18"/>
                          <w:szCs w:val="18"/>
                        </w:rPr>
                      </w:pPr>
                    </w:p>
                    <w:p w:rsidR="002B3317" w:rsidRPr="007E4809" w:rsidRDefault="002B3317" w:rsidP="00FA7C4F">
                      <w:pPr>
                        <w:rPr>
                          <w:rFonts w:ascii="Arial Narrow" w:hAnsi="Arial Narrow" w:cs="Arial"/>
                          <w:b/>
                          <w:sz w:val="18"/>
                          <w:szCs w:val="18"/>
                        </w:rPr>
                      </w:pPr>
                    </w:p>
                  </w:txbxContent>
                </v:textbox>
              </v:rect>
            </w:pict>
          </mc:Fallback>
        </mc:AlternateContent>
      </w:r>
      <w:r w:rsidR="00FA7C4F">
        <w:br w:type="page"/>
      </w:r>
    </w:p>
    <w:p w:rsidR="00FA7C4F" w:rsidRPr="00DB34DC" w:rsidRDefault="00FA7C4F" w:rsidP="00CF062F">
      <w:pPr>
        <w:pStyle w:val="ListParagraph"/>
        <w:numPr>
          <w:ilvl w:val="2"/>
          <w:numId w:val="68"/>
        </w:numPr>
        <w:ind w:left="993" w:hanging="993"/>
        <w:rPr>
          <w:rStyle w:val="Arial"/>
          <w:i/>
          <w:iCs/>
        </w:rPr>
      </w:pPr>
      <w:bookmarkStart w:id="152" w:name="_Toc396721425"/>
      <w:bookmarkStart w:id="153" w:name="_Toc396816629"/>
      <w:bookmarkStart w:id="154" w:name="_Toc396828646"/>
      <w:bookmarkStart w:id="155" w:name="_Toc397695017"/>
      <w:bookmarkEnd w:id="152"/>
      <w:bookmarkEnd w:id="153"/>
      <w:bookmarkEnd w:id="154"/>
      <w:bookmarkEnd w:id="155"/>
      <w:r w:rsidRPr="00DB34DC">
        <w:rPr>
          <w:rStyle w:val="Arial"/>
          <w:i/>
          <w:iCs/>
        </w:rPr>
        <w:t xml:space="preserve">Use of package inserts for </w:t>
      </w:r>
      <w:r w:rsidR="002A09D9" w:rsidRPr="00DB34DC">
        <w:rPr>
          <w:rStyle w:val="Arial"/>
          <w:i/>
          <w:iCs/>
        </w:rPr>
        <w:t>psychoactive products</w:t>
      </w:r>
    </w:p>
    <w:p w:rsidR="00BC6862" w:rsidRPr="00BC6862" w:rsidRDefault="00BC6862" w:rsidP="00BC6862">
      <w:pPr>
        <w:rPr>
          <w:rStyle w:val="Arial"/>
          <w:i/>
          <w:iCs/>
        </w:rPr>
      </w:pPr>
    </w:p>
    <w:p w:rsidR="00A875BD" w:rsidRPr="00846BBC" w:rsidRDefault="00596186" w:rsidP="00A875BD">
      <w:pPr>
        <w:rPr>
          <w:rStyle w:val="Arial"/>
        </w:rPr>
      </w:pPr>
      <w:r>
        <w:rPr>
          <w:rStyle w:val="Arial"/>
        </w:rPr>
        <w:t>The legislation</w:t>
      </w:r>
      <w:r w:rsidR="00FA7C4F" w:rsidRPr="00846BBC">
        <w:rPr>
          <w:rStyle w:val="Arial"/>
        </w:rPr>
        <w:t xml:space="preserve"> </w:t>
      </w:r>
      <w:r w:rsidR="00A875BD" w:rsidRPr="00846BBC">
        <w:rPr>
          <w:rStyle w:val="Arial"/>
        </w:rPr>
        <w:t>allow</w:t>
      </w:r>
      <w:r>
        <w:rPr>
          <w:rStyle w:val="Arial"/>
        </w:rPr>
        <w:t>s</w:t>
      </w:r>
      <w:r w:rsidR="00FA7C4F" w:rsidRPr="00846BBC">
        <w:rPr>
          <w:rStyle w:val="Arial"/>
        </w:rPr>
        <w:t xml:space="preserve"> the use of a separate information sheet </w:t>
      </w:r>
      <w:r w:rsidR="00A875BD" w:rsidRPr="00846BBC">
        <w:rPr>
          <w:rStyle w:val="Arial"/>
        </w:rPr>
        <w:t>to provide information that is required by the legislation but which is not included on the label that is attached to the container.</w:t>
      </w:r>
      <w:r>
        <w:rPr>
          <w:rStyle w:val="Arial"/>
        </w:rPr>
        <w:t xml:space="preserve"> This separate information sheet is known as a package insert.</w:t>
      </w:r>
    </w:p>
    <w:p w:rsidR="00A875BD" w:rsidRPr="00846BBC" w:rsidRDefault="00A875BD" w:rsidP="00A875BD">
      <w:pPr>
        <w:rPr>
          <w:rStyle w:val="Arial"/>
        </w:rPr>
      </w:pPr>
    </w:p>
    <w:p w:rsidR="00FA7C4F" w:rsidRPr="00846BBC" w:rsidRDefault="00A875BD" w:rsidP="00A875BD">
      <w:pPr>
        <w:rPr>
          <w:rStyle w:val="Arial"/>
        </w:rPr>
      </w:pPr>
      <w:r w:rsidRPr="00846BBC">
        <w:rPr>
          <w:rStyle w:val="Arial"/>
        </w:rPr>
        <w:t>The use of a package insert is only permitted provided the Authority is satisfied that the safe use of an approved product would not be compromised</w:t>
      </w:r>
      <w:r w:rsidR="00FA7C4F" w:rsidRPr="00846BBC">
        <w:rPr>
          <w:rStyle w:val="Arial"/>
        </w:rPr>
        <w:t>.</w:t>
      </w:r>
      <w:r w:rsidRPr="00846BBC">
        <w:rPr>
          <w:rStyle w:val="Arial"/>
        </w:rPr>
        <w:t xml:space="preserve"> </w:t>
      </w:r>
      <w:r w:rsidR="00066DEA">
        <w:rPr>
          <w:rStyle w:val="Arial"/>
        </w:rPr>
        <w:t>and</w:t>
      </w:r>
      <w:r w:rsidR="006F6DA3" w:rsidRPr="00846BBC">
        <w:rPr>
          <w:rStyle w:val="Arial"/>
        </w:rPr>
        <w:t xml:space="preserve"> would</w:t>
      </w:r>
      <w:r w:rsidRPr="00846BBC">
        <w:rPr>
          <w:rStyle w:val="Arial"/>
        </w:rPr>
        <w:t xml:space="preserve"> only </w:t>
      </w:r>
      <w:r w:rsidR="006F6DA3" w:rsidRPr="00846BBC">
        <w:rPr>
          <w:rStyle w:val="Arial"/>
        </w:rPr>
        <w:t xml:space="preserve">be </w:t>
      </w:r>
      <w:r w:rsidRPr="00846BBC">
        <w:rPr>
          <w:rStyle w:val="Arial"/>
        </w:rPr>
        <w:t>consider</w:t>
      </w:r>
      <w:r w:rsidR="006F6DA3" w:rsidRPr="00846BBC">
        <w:rPr>
          <w:rStyle w:val="Arial"/>
        </w:rPr>
        <w:t>ed by the Authority</w:t>
      </w:r>
      <w:r w:rsidRPr="00846BBC">
        <w:rPr>
          <w:rStyle w:val="Arial"/>
        </w:rPr>
        <w:t xml:space="preserve"> where it is impractical to put all the required information on the label </w:t>
      </w:r>
      <w:r w:rsidR="00066DEA">
        <w:rPr>
          <w:rFonts w:ascii="Arial" w:hAnsi="Arial"/>
          <w:lang w:val="en-US"/>
        </w:rPr>
        <w:t>P</w:t>
      </w:r>
      <w:r w:rsidR="00846BBC" w:rsidRPr="00846BBC">
        <w:rPr>
          <w:rFonts w:ascii="Arial" w:hAnsi="Arial"/>
          <w:lang w:val="en-US"/>
        </w:rPr>
        <w:t xml:space="preserve">ackage inserts require </w:t>
      </w:r>
      <w:r w:rsidR="00596186">
        <w:rPr>
          <w:rFonts w:ascii="Arial" w:hAnsi="Arial"/>
          <w:lang w:val="en-US"/>
        </w:rPr>
        <w:t xml:space="preserve">the </w:t>
      </w:r>
      <w:r w:rsidR="00846BBC" w:rsidRPr="00846BBC">
        <w:rPr>
          <w:rFonts w:ascii="Arial" w:hAnsi="Arial"/>
          <w:lang w:val="en-US"/>
        </w:rPr>
        <w:t>consent</w:t>
      </w:r>
      <w:r w:rsidR="00596186">
        <w:rPr>
          <w:rFonts w:ascii="Arial" w:hAnsi="Arial"/>
          <w:lang w:val="en-US"/>
        </w:rPr>
        <w:t xml:space="preserve"> of the Authority</w:t>
      </w:r>
      <w:r w:rsidR="00846BBC" w:rsidRPr="00846BBC">
        <w:rPr>
          <w:rFonts w:ascii="Arial" w:hAnsi="Arial"/>
          <w:lang w:val="en-US"/>
        </w:rPr>
        <w:t xml:space="preserve"> and must be included in the approved container. </w:t>
      </w:r>
    </w:p>
    <w:p w:rsidR="00A875BD" w:rsidRPr="00846BBC" w:rsidRDefault="00A875BD" w:rsidP="00A875BD">
      <w:pPr>
        <w:rPr>
          <w:rStyle w:val="Arial"/>
        </w:rPr>
      </w:pPr>
    </w:p>
    <w:p w:rsidR="00846BBC" w:rsidRDefault="00066DEA" w:rsidP="00846BBC">
      <w:pPr>
        <w:rPr>
          <w:rFonts w:ascii="Arial" w:hAnsi="Arial"/>
          <w:lang w:val="en-US"/>
        </w:rPr>
      </w:pPr>
      <w:r>
        <w:rPr>
          <w:rFonts w:ascii="Arial" w:hAnsi="Arial"/>
          <w:lang w:val="en-US"/>
        </w:rPr>
        <w:t xml:space="preserve">The </w:t>
      </w:r>
      <w:r w:rsidR="00846BBC" w:rsidRPr="00846BBC">
        <w:rPr>
          <w:rFonts w:ascii="Arial" w:hAnsi="Arial"/>
          <w:lang w:val="en-US"/>
        </w:rPr>
        <w:t xml:space="preserve">package insert </w:t>
      </w:r>
      <w:r>
        <w:rPr>
          <w:rFonts w:ascii="Arial" w:hAnsi="Arial"/>
          <w:lang w:val="en-US"/>
        </w:rPr>
        <w:t>must</w:t>
      </w:r>
      <w:r w:rsidR="00846BBC" w:rsidRPr="00846BBC">
        <w:rPr>
          <w:rFonts w:ascii="Arial" w:hAnsi="Arial"/>
          <w:lang w:val="en-US"/>
        </w:rPr>
        <w:t xml:space="preserve"> </w:t>
      </w:r>
      <w:r w:rsidR="00846BBC" w:rsidRPr="00846BBC">
        <w:rPr>
          <w:rFonts w:ascii="Arial" w:hAnsi="Arial"/>
        </w:rPr>
        <w:t xml:space="preserve">comply with any applicable </w:t>
      </w:r>
      <w:r>
        <w:rPr>
          <w:rFonts w:ascii="Arial" w:hAnsi="Arial"/>
        </w:rPr>
        <w:t xml:space="preserve">labelling </w:t>
      </w:r>
      <w:r w:rsidR="00846BBC" w:rsidRPr="00846BBC">
        <w:rPr>
          <w:rFonts w:ascii="Arial" w:hAnsi="Arial"/>
        </w:rPr>
        <w:t>requirements</w:t>
      </w:r>
      <w:r w:rsidR="00846BBC" w:rsidRPr="00846BBC">
        <w:rPr>
          <w:rFonts w:ascii="Arial" w:hAnsi="Arial"/>
          <w:lang w:val="en-US"/>
        </w:rPr>
        <w:t xml:space="preserve"> </w:t>
      </w:r>
      <w:r>
        <w:rPr>
          <w:rFonts w:ascii="Arial" w:hAnsi="Arial"/>
          <w:lang w:val="en-US"/>
        </w:rPr>
        <w:t xml:space="preserve">. In addition, the insert may not </w:t>
      </w:r>
    </w:p>
    <w:p w:rsidR="00846BBC" w:rsidRDefault="00846BBC" w:rsidP="00DB34DC">
      <w:pPr>
        <w:pStyle w:val="ListParagraph"/>
        <w:numPr>
          <w:ilvl w:val="0"/>
          <w:numId w:val="8"/>
        </w:numPr>
        <w:spacing w:before="120" w:after="120"/>
        <w:ind w:left="1077" w:hanging="357"/>
        <w:contextualSpacing w:val="0"/>
        <w:rPr>
          <w:rFonts w:ascii="Arial" w:hAnsi="Arial"/>
          <w:lang w:val="en-US"/>
        </w:rPr>
      </w:pPr>
      <w:r>
        <w:rPr>
          <w:rFonts w:ascii="Arial" w:hAnsi="Arial"/>
          <w:lang w:val="en-US"/>
        </w:rPr>
        <w:t>convey that the product is safe</w:t>
      </w:r>
    </w:p>
    <w:p w:rsidR="00846BBC" w:rsidRDefault="00846BBC" w:rsidP="00DB34DC">
      <w:pPr>
        <w:pStyle w:val="ListParagraph"/>
        <w:numPr>
          <w:ilvl w:val="0"/>
          <w:numId w:val="8"/>
        </w:numPr>
        <w:spacing w:before="120" w:after="120"/>
        <w:ind w:left="1077" w:hanging="357"/>
        <w:contextualSpacing w:val="0"/>
        <w:rPr>
          <w:rFonts w:ascii="Arial" w:hAnsi="Arial"/>
          <w:lang w:val="en-US"/>
        </w:rPr>
      </w:pPr>
      <w:r>
        <w:rPr>
          <w:rFonts w:ascii="Arial" w:hAnsi="Arial"/>
          <w:lang w:val="en-US"/>
        </w:rPr>
        <w:t>be particularly appealing to minors</w:t>
      </w:r>
    </w:p>
    <w:p w:rsidR="00846BBC" w:rsidRDefault="00846BBC" w:rsidP="00DB34DC">
      <w:pPr>
        <w:pStyle w:val="ListParagraph"/>
        <w:numPr>
          <w:ilvl w:val="0"/>
          <w:numId w:val="8"/>
        </w:numPr>
        <w:spacing w:before="120" w:after="120"/>
        <w:ind w:left="1077" w:hanging="357"/>
        <w:contextualSpacing w:val="0"/>
        <w:rPr>
          <w:rFonts w:ascii="Arial" w:hAnsi="Arial"/>
          <w:lang w:val="en-US"/>
        </w:rPr>
      </w:pPr>
      <w:r>
        <w:rPr>
          <w:rFonts w:ascii="Arial" w:hAnsi="Arial"/>
          <w:lang w:val="en-US"/>
        </w:rPr>
        <w:t>reference incentives to encourage persons to buy an approved product</w:t>
      </w:r>
      <w:r w:rsidR="00397114">
        <w:rPr>
          <w:rFonts w:ascii="Arial" w:hAnsi="Arial"/>
          <w:lang w:val="en-US"/>
        </w:rPr>
        <w:t>, such as comp</w:t>
      </w:r>
      <w:r w:rsidR="009534DB">
        <w:rPr>
          <w:rFonts w:ascii="Arial" w:hAnsi="Arial"/>
          <w:lang w:val="en-US"/>
        </w:rPr>
        <w:t>e</w:t>
      </w:r>
      <w:r w:rsidR="00397114">
        <w:rPr>
          <w:rFonts w:ascii="Arial" w:hAnsi="Arial"/>
          <w:lang w:val="en-US"/>
        </w:rPr>
        <w:t>titions, rewards</w:t>
      </w:r>
      <w:r w:rsidR="00066DEA">
        <w:rPr>
          <w:rFonts w:ascii="Arial" w:hAnsi="Arial"/>
          <w:lang w:val="en-US"/>
        </w:rPr>
        <w:t xml:space="preserve"> </w:t>
      </w:r>
    </w:p>
    <w:p w:rsidR="00BC6862" w:rsidRPr="00846BBC" w:rsidRDefault="00BC6862" w:rsidP="00BC6862">
      <w:pPr>
        <w:pStyle w:val="ListParagraph"/>
        <w:spacing w:before="120" w:after="120"/>
        <w:ind w:left="1077"/>
        <w:contextualSpacing w:val="0"/>
        <w:rPr>
          <w:rFonts w:ascii="Arial" w:hAnsi="Arial"/>
          <w:lang w:val="en-US"/>
        </w:rPr>
      </w:pPr>
    </w:p>
    <w:p w:rsidR="00FA7C4F" w:rsidRPr="00DB34DC" w:rsidRDefault="00FA7C4F" w:rsidP="00CF062F">
      <w:pPr>
        <w:pStyle w:val="ListParagraph"/>
        <w:numPr>
          <w:ilvl w:val="2"/>
          <w:numId w:val="68"/>
        </w:numPr>
        <w:ind w:left="993" w:hanging="993"/>
        <w:rPr>
          <w:rStyle w:val="Arial"/>
          <w:i/>
          <w:iCs/>
        </w:rPr>
      </w:pPr>
      <w:r w:rsidRPr="00DB34DC">
        <w:rPr>
          <w:rStyle w:val="Arial"/>
          <w:i/>
          <w:iCs/>
        </w:rPr>
        <w:t>Use of over-labelling to achieve compliance with labelling</w:t>
      </w:r>
      <w:r w:rsidR="00696A92" w:rsidRPr="00DB34DC">
        <w:rPr>
          <w:rStyle w:val="Arial"/>
          <w:i/>
          <w:iCs/>
        </w:rPr>
        <w:t xml:space="preserve"> </w:t>
      </w:r>
      <w:r w:rsidRPr="00DB34DC">
        <w:rPr>
          <w:rStyle w:val="Arial"/>
          <w:i/>
          <w:iCs/>
        </w:rPr>
        <w:t>requirements</w:t>
      </w:r>
    </w:p>
    <w:p w:rsidR="00BC6862" w:rsidRDefault="00BC6862" w:rsidP="000F1FF2">
      <w:pPr>
        <w:rPr>
          <w:rFonts w:ascii="Arial" w:hAnsi="Arial"/>
          <w:lang w:val="en-US"/>
        </w:rPr>
      </w:pPr>
    </w:p>
    <w:p w:rsidR="00FA7C4F" w:rsidRDefault="00596186" w:rsidP="000F1FF2">
      <w:pPr>
        <w:rPr>
          <w:rFonts w:ascii="Arial" w:hAnsi="Arial"/>
          <w:lang w:val="en-US"/>
        </w:rPr>
      </w:pPr>
      <w:r>
        <w:rPr>
          <w:rFonts w:ascii="Arial" w:hAnsi="Arial"/>
          <w:lang w:val="en-US"/>
        </w:rPr>
        <w:t>Attaching</w:t>
      </w:r>
      <w:r w:rsidR="006F6DA3" w:rsidRPr="004B0CB2">
        <w:rPr>
          <w:rFonts w:ascii="Arial" w:hAnsi="Arial"/>
          <w:lang w:val="en-US"/>
        </w:rPr>
        <w:t xml:space="preserve"> a label over the original label to make the container label</w:t>
      </w:r>
      <w:r w:rsidR="00FA7C4F" w:rsidRPr="004B0CB2">
        <w:rPr>
          <w:rFonts w:ascii="Arial" w:hAnsi="Arial"/>
          <w:lang w:val="en-US"/>
        </w:rPr>
        <w:t xml:space="preserve"> compliant with New Zealand legislation </w:t>
      </w:r>
      <w:r w:rsidR="006F6DA3" w:rsidRPr="004B0CB2">
        <w:rPr>
          <w:rFonts w:ascii="Arial" w:hAnsi="Arial"/>
          <w:lang w:val="en-US"/>
        </w:rPr>
        <w:t xml:space="preserve">is </w:t>
      </w:r>
      <w:r w:rsidR="00FA7C4F" w:rsidRPr="004B0CB2">
        <w:rPr>
          <w:rFonts w:ascii="Arial" w:hAnsi="Arial"/>
          <w:lang w:val="en-US"/>
        </w:rPr>
        <w:t xml:space="preserve">permitted. New Zealand and overseas sites where labelling (including over-labeling) is carried out must comply with </w:t>
      </w:r>
      <w:r>
        <w:rPr>
          <w:rFonts w:ascii="Arial" w:hAnsi="Arial"/>
          <w:lang w:val="en-US"/>
        </w:rPr>
        <w:t xml:space="preserve">Acceptable or Good Manufacturing Practice </w:t>
      </w:r>
      <w:r w:rsidR="00FA7C4F" w:rsidRPr="004B0CB2">
        <w:rPr>
          <w:rFonts w:ascii="Arial" w:hAnsi="Arial"/>
          <w:lang w:val="en-US"/>
        </w:rPr>
        <w:t>requirements</w:t>
      </w:r>
      <w:r w:rsidR="002C7CC5">
        <w:rPr>
          <w:rFonts w:ascii="Arial" w:hAnsi="Arial"/>
          <w:lang w:val="en-US"/>
        </w:rPr>
        <w:t xml:space="preserve"> (AMP and GMP, respectively)</w:t>
      </w:r>
      <w:r w:rsidR="006F6DA3" w:rsidRPr="004B0CB2">
        <w:rPr>
          <w:rFonts w:ascii="Arial" w:hAnsi="Arial"/>
          <w:lang w:val="en-US"/>
        </w:rPr>
        <w:t xml:space="preserve"> and the sites must be registered as part of the product application.</w:t>
      </w:r>
      <w:r w:rsidR="006F6DA3" w:rsidRPr="004B0CB2">
        <w:rPr>
          <w:rFonts w:ascii="Arial" w:hAnsi="Arial"/>
        </w:rPr>
        <w:t xml:space="preserve"> </w:t>
      </w:r>
      <w:r w:rsidR="00FA7C4F" w:rsidRPr="004B0CB2">
        <w:rPr>
          <w:rFonts w:ascii="Arial" w:hAnsi="Arial"/>
          <w:lang w:val="en-US"/>
        </w:rPr>
        <w:t xml:space="preserve">All labelling activities carried out in New Zealand must occur at a site that </w:t>
      </w:r>
      <w:r>
        <w:rPr>
          <w:rFonts w:ascii="Arial" w:hAnsi="Arial"/>
          <w:lang w:val="en-US"/>
        </w:rPr>
        <w:t>has been issued with</w:t>
      </w:r>
      <w:r w:rsidR="00FA7C4F" w:rsidRPr="004B0CB2">
        <w:rPr>
          <w:rFonts w:ascii="Arial" w:hAnsi="Arial"/>
          <w:lang w:val="en-US"/>
        </w:rPr>
        <w:t xml:space="preserve"> a licence to manufacture </w:t>
      </w:r>
      <w:r w:rsidR="006F6DA3" w:rsidRPr="004B0CB2">
        <w:rPr>
          <w:rFonts w:ascii="Arial" w:hAnsi="Arial"/>
          <w:lang w:val="en-US"/>
        </w:rPr>
        <w:t>psychoactive products</w:t>
      </w:r>
      <w:r>
        <w:rPr>
          <w:rFonts w:ascii="Arial" w:hAnsi="Arial"/>
          <w:lang w:val="en-US"/>
        </w:rPr>
        <w:t>.</w:t>
      </w:r>
    </w:p>
    <w:p w:rsidR="00BC6862" w:rsidRPr="004B0CB2" w:rsidRDefault="00BC6862" w:rsidP="000F1FF2">
      <w:pPr>
        <w:rPr>
          <w:rFonts w:ascii="Arial" w:hAnsi="Arial"/>
        </w:rPr>
      </w:pPr>
    </w:p>
    <w:p w:rsidR="00FA7C4F" w:rsidRPr="003F0BDA" w:rsidRDefault="00FA7C4F" w:rsidP="003F0BDA">
      <w:pPr>
        <w:pStyle w:val="ListParagraph"/>
        <w:numPr>
          <w:ilvl w:val="2"/>
          <w:numId w:val="68"/>
        </w:numPr>
        <w:rPr>
          <w:rStyle w:val="Arial"/>
          <w:i/>
          <w:iCs/>
        </w:rPr>
      </w:pPr>
      <w:r w:rsidRPr="003F0BDA">
        <w:rPr>
          <w:rStyle w:val="Arial"/>
          <w:i/>
          <w:iCs/>
        </w:rPr>
        <w:t>Brand names using umbrella segments</w:t>
      </w:r>
    </w:p>
    <w:p w:rsidR="00BC6862" w:rsidRPr="00BC6862" w:rsidRDefault="00BC6862" w:rsidP="00BC6862">
      <w:pPr>
        <w:rPr>
          <w:rStyle w:val="Arial"/>
          <w:i/>
          <w:iCs/>
        </w:rPr>
      </w:pPr>
    </w:p>
    <w:p w:rsidR="00FA7C4F" w:rsidRPr="004B0CB2" w:rsidRDefault="00FA7C4F" w:rsidP="00831328">
      <w:pPr>
        <w:rPr>
          <w:rFonts w:ascii="Arial" w:hAnsi="Arial"/>
        </w:rPr>
      </w:pPr>
      <w:r w:rsidRPr="004B0CB2">
        <w:rPr>
          <w:rFonts w:ascii="Arial" w:hAnsi="Arial"/>
        </w:rPr>
        <w:t>An umbrella segment is a section of a brand name that is used in th</w:t>
      </w:r>
      <w:r w:rsidR="002A09D9" w:rsidRPr="004B0CB2">
        <w:rPr>
          <w:rFonts w:ascii="Arial" w:hAnsi="Arial"/>
        </w:rPr>
        <w:t xml:space="preserve">e name of more than one psychoactive product </w:t>
      </w:r>
      <w:r w:rsidRPr="004B0CB2">
        <w:rPr>
          <w:rFonts w:ascii="Arial" w:hAnsi="Arial"/>
        </w:rPr>
        <w:t xml:space="preserve">to create </w:t>
      </w:r>
      <w:r w:rsidR="006F6DA3" w:rsidRPr="004B0CB2">
        <w:rPr>
          <w:rFonts w:ascii="Arial" w:hAnsi="Arial"/>
        </w:rPr>
        <w:t>a brand for a range of products. For example, if a range of products were to be called “Mr Blog’s Alpaca”, “Mr Blog’s Bonobo” and “Mr Blog’s Chinchilla”, the term “Mr Blog’s” would be regarded as an umbrella segment.</w:t>
      </w:r>
    </w:p>
    <w:p w:rsidR="00831328" w:rsidRPr="004B0CB2" w:rsidRDefault="00831328" w:rsidP="00831328">
      <w:pPr>
        <w:rPr>
          <w:rFonts w:ascii="Arial" w:hAnsi="Arial"/>
        </w:rPr>
      </w:pPr>
    </w:p>
    <w:p w:rsidR="006F6DA3" w:rsidRDefault="00066DEA" w:rsidP="00831328">
      <w:pPr>
        <w:rPr>
          <w:rFonts w:ascii="Arial" w:hAnsi="Arial"/>
        </w:rPr>
      </w:pPr>
      <w:r>
        <w:rPr>
          <w:rFonts w:ascii="Arial" w:hAnsi="Arial"/>
        </w:rPr>
        <w:t>To avoid confusion in adverse reaction reporting</w:t>
      </w:r>
      <w:r w:rsidR="006F6DA3" w:rsidRPr="004B0CB2">
        <w:rPr>
          <w:rFonts w:ascii="Arial" w:hAnsi="Arial"/>
        </w:rPr>
        <w:t xml:space="preserve">, the Authority </w:t>
      </w:r>
      <w:r w:rsidR="00831328" w:rsidRPr="004B0CB2">
        <w:rPr>
          <w:rFonts w:ascii="Arial" w:hAnsi="Arial"/>
        </w:rPr>
        <w:t>is unlikely</w:t>
      </w:r>
      <w:r w:rsidR="006F6DA3" w:rsidRPr="004B0CB2">
        <w:rPr>
          <w:rFonts w:ascii="Arial" w:hAnsi="Arial"/>
        </w:rPr>
        <w:t xml:space="preserve"> to </w:t>
      </w:r>
      <w:r w:rsidR="00831328" w:rsidRPr="004B0CB2">
        <w:rPr>
          <w:rFonts w:ascii="Arial" w:hAnsi="Arial"/>
        </w:rPr>
        <w:t>approve</w:t>
      </w:r>
      <w:r w:rsidR="006F6DA3" w:rsidRPr="004B0CB2">
        <w:rPr>
          <w:rFonts w:ascii="Arial" w:hAnsi="Arial"/>
        </w:rPr>
        <w:t xml:space="preserve"> umbrella branding</w:t>
      </w:r>
      <w:r w:rsidR="00831328" w:rsidRPr="004B0CB2">
        <w:rPr>
          <w:rFonts w:ascii="Arial" w:hAnsi="Arial"/>
        </w:rPr>
        <w:t xml:space="preserve"> in any instance except where the only difference is in the flavourings or</w:t>
      </w:r>
      <w:r>
        <w:rPr>
          <w:rFonts w:ascii="Arial" w:hAnsi="Arial"/>
        </w:rPr>
        <w:t xml:space="preserve"> when</w:t>
      </w:r>
      <w:r w:rsidR="00831328" w:rsidRPr="004B0CB2">
        <w:rPr>
          <w:rFonts w:ascii="Arial" w:hAnsi="Arial"/>
        </w:rPr>
        <w:t xml:space="preserve"> the name of the psychoactive substance forms part of the trade name</w:t>
      </w:r>
      <w:r w:rsidR="006F6DA3" w:rsidRPr="004B0CB2">
        <w:rPr>
          <w:rFonts w:ascii="Arial" w:hAnsi="Arial"/>
        </w:rPr>
        <w:t>.</w:t>
      </w:r>
    </w:p>
    <w:p w:rsidR="00BC6862" w:rsidRPr="004B0CB2" w:rsidRDefault="00BC6862" w:rsidP="00831328">
      <w:pPr>
        <w:rPr>
          <w:rFonts w:ascii="Arial" w:hAnsi="Arial"/>
        </w:rPr>
      </w:pPr>
    </w:p>
    <w:p w:rsidR="00696A92" w:rsidRPr="00DB34DC" w:rsidRDefault="00696A92" w:rsidP="003F0BDA">
      <w:pPr>
        <w:pStyle w:val="ListParagraph"/>
        <w:numPr>
          <w:ilvl w:val="2"/>
          <w:numId w:val="68"/>
        </w:numPr>
        <w:ind w:left="993" w:hanging="993"/>
        <w:rPr>
          <w:rStyle w:val="Arial"/>
          <w:i/>
          <w:iCs/>
        </w:rPr>
      </w:pPr>
      <w:r w:rsidRPr="00DB34DC">
        <w:rPr>
          <w:rStyle w:val="Arial"/>
          <w:i/>
          <w:iCs/>
        </w:rPr>
        <w:t>Obtaining approval for new psychoactive product labels</w:t>
      </w:r>
    </w:p>
    <w:p w:rsidR="00BC6862" w:rsidRPr="00BC6862" w:rsidRDefault="00BC6862" w:rsidP="00BC6862"/>
    <w:p w:rsidR="00FA7C4F" w:rsidRDefault="00FA7C4F" w:rsidP="00831328">
      <w:pPr>
        <w:rPr>
          <w:rFonts w:ascii="Arial" w:hAnsi="Arial"/>
        </w:rPr>
      </w:pPr>
      <w:r w:rsidRPr="004B0CB2">
        <w:rPr>
          <w:rFonts w:ascii="Arial" w:hAnsi="Arial"/>
        </w:rPr>
        <w:t xml:space="preserve">All labels for new </w:t>
      </w:r>
      <w:r w:rsidR="00E81C7A" w:rsidRPr="004B0CB2">
        <w:rPr>
          <w:rFonts w:ascii="Arial" w:hAnsi="Arial"/>
        </w:rPr>
        <w:t xml:space="preserve">psychoactive products </w:t>
      </w:r>
      <w:r w:rsidRPr="004B0CB2">
        <w:rPr>
          <w:rFonts w:ascii="Arial" w:hAnsi="Arial"/>
        </w:rPr>
        <w:t>(including container and package labels) are required to be submitted with the application for the new product and are assessed during the evaluation of the</w:t>
      </w:r>
      <w:r w:rsidR="006F6DA3" w:rsidRPr="004B0CB2">
        <w:rPr>
          <w:rFonts w:ascii="Arial" w:hAnsi="Arial"/>
        </w:rPr>
        <w:t xml:space="preserve"> NPP</w:t>
      </w:r>
      <w:r w:rsidR="00E81C7A" w:rsidRPr="004B0CB2">
        <w:rPr>
          <w:rFonts w:ascii="Arial" w:hAnsi="Arial"/>
        </w:rPr>
        <w:t>A</w:t>
      </w:r>
      <w:r w:rsidRPr="004B0CB2">
        <w:rPr>
          <w:rFonts w:ascii="Arial" w:hAnsi="Arial"/>
        </w:rPr>
        <w:t xml:space="preserve">. </w:t>
      </w:r>
      <w:r w:rsidR="00596186">
        <w:rPr>
          <w:rFonts w:ascii="Arial" w:hAnsi="Arial"/>
        </w:rPr>
        <w:t>Applicants should NOT provide a sample of the product along with the label.</w:t>
      </w:r>
    </w:p>
    <w:p w:rsidR="00596186" w:rsidRPr="004B0CB2" w:rsidRDefault="00596186" w:rsidP="00831328">
      <w:pPr>
        <w:rPr>
          <w:rFonts w:ascii="Arial" w:hAnsi="Arial"/>
        </w:rPr>
      </w:pPr>
    </w:p>
    <w:p w:rsidR="00FA7C4F" w:rsidRPr="0094469A" w:rsidRDefault="0094469A" w:rsidP="000F1FF2">
      <w:pPr>
        <w:rPr>
          <w:rFonts w:ascii="Arial" w:hAnsi="Arial"/>
          <w:lang w:val="en-US"/>
        </w:rPr>
      </w:pPr>
      <w:r w:rsidRPr="0094469A">
        <w:rPr>
          <w:rFonts w:ascii="Arial" w:hAnsi="Arial"/>
          <w:lang w:val="en-US"/>
        </w:rPr>
        <w:t>An N</w:t>
      </w:r>
      <w:r w:rsidR="00596186" w:rsidRPr="0094469A">
        <w:rPr>
          <w:rFonts w:ascii="Arial" w:hAnsi="Arial"/>
          <w:lang w:val="en-US"/>
        </w:rPr>
        <w:t xml:space="preserve">PPA </w:t>
      </w:r>
      <w:r w:rsidR="00FA7C4F" w:rsidRPr="0094469A">
        <w:rPr>
          <w:rFonts w:ascii="Arial" w:hAnsi="Arial"/>
          <w:lang w:val="en-US"/>
        </w:rPr>
        <w:t>is required whenever a change:</w:t>
      </w:r>
    </w:p>
    <w:p w:rsidR="00066DEA" w:rsidRDefault="00FA7C4F" w:rsidP="00DB34DC">
      <w:pPr>
        <w:pStyle w:val="ListBullet"/>
        <w:numPr>
          <w:ilvl w:val="0"/>
          <w:numId w:val="9"/>
        </w:numPr>
        <w:spacing w:before="120" w:after="120"/>
        <w:rPr>
          <w:rFonts w:cs="Arial"/>
          <w:sz w:val="24"/>
          <w:lang w:val="en-US"/>
        </w:rPr>
      </w:pPr>
      <w:r w:rsidRPr="0094469A">
        <w:rPr>
          <w:rFonts w:cs="Arial"/>
          <w:sz w:val="24"/>
        </w:rPr>
        <w:t xml:space="preserve">is </w:t>
      </w:r>
      <w:r w:rsidRPr="0094469A">
        <w:rPr>
          <w:rFonts w:cs="Arial"/>
          <w:sz w:val="24"/>
          <w:lang w:val="en-US"/>
        </w:rPr>
        <w:t xml:space="preserve">made to the actual information appearing on the label relating to the name, strength of active ingredient, dosage instructions or warning statements. </w:t>
      </w:r>
    </w:p>
    <w:p w:rsidR="00FA7C4F" w:rsidRPr="0094469A" w:rsidRDefault="00FA7C4F" w:rsidP="00DB34DC">
      <w:pPr>
        <w:pStyle w:val="ListBullet"/>
        <w:numPr>
          <w:ilvl w:val="0"/>
          <w:numId w:val="9"/>
        </w:numPr>
        <w:spacing w:before="120" w:after="120"/>
        <w:rPr>
          <w:rFonts w:cs="Arial"/>
          <w:sz w:val="24"/>
          <w:lang w:val="en-US"/>
        </w:rPr>
      </w:pPr>
      <w:r w:rsidRPr="0094469A">
        <w:rPr>
          <w:rFonts w:cs="Arial"/>
          <w:sz w:val="24"/>
          <w:lang w:val="en-US"/>
        </w:rPr>
        <w:t>This does not apply if the change is only to the colour or print style used for this information</w:t>
      </w:r>
      <w:r w:rsidR="00596186" w:rsidRPr="0094469A">
        <w:rPr>
          <w:rFonts w:cs="Arial"/>
          <w:sz w:val="24"/>
          <w:lang w:val="en-US"/>
        </w:rPr>
        <w:t>.</w:t>
      </w:r>
      <w:r w:rsidR="0094469A" w:rsidRPr="0094469A">
        <w:rPr>
          <w:rFonts w:cs="Arial"/>
          <w:sz w:val="24"/>
          <w:lang w:val="en-US"/>
        </w:rPr>
        <w:t xml:space="preserve"> </w:t>
      </w:r>
    </w:p>
    <w:p w:rsidR="00871D12" w:rsidRPr="00871D12" w:rsidRDefault="00871D12" w:rsidP="00871D12">
      <w:pPr>
        <w:pBdr>
          <w:top w:val="single" w:sz="18" w:space="1" w:color="auto"/>
          <w:left w:val="single" w:sz="18" w:space="4" w:color="auto"/>
          <w:bottom w:val="single" w:sz="18" w:space="1" w:color="auto"/>
          <w:right w:val="single" w:sz="18" w:space="4" w:color="auto"/>
        </w:pBdr>
        <w:rPr>
          <w:rFonts w:ascii="Arial" w:hAnsi="Arial"/>
          <w:b/>
          <w:lang w:val="en-US"/>
        </w:rPr>
      </w:pPr>
      <w:r w:rsidRPr="00871D12">
        <w:rPr>
          <w:rFonts w:ascii="Arial" w:hAnsi="Arial"/>
          <w:b/>
          <w:lang w:val="en-US"/>
        </w:rPr>
        <w:t>However, a full dossier and full fee will not be required for such a label change. Contact the OPSRA to discuss this process.</w:t>
      </w:r>
    </w:p>
    <w:p w:rsidR="00871D12" w:rsidRDefault="00871D12" w:rsidP="000F1FF2">
      <w:pPr>
        <w:rPr>
          <w:rFonts w:ascii="Arial" w:hAnsi="Arial"/>
          <w:lang w:val="en-US"/>
        </w:rPr>
      </w:pPr>
    </w:p>
    <w:p w:rsidR="00FA7C4F" w:rsidRPr="004B0CB2" w:rsidRDefault="00FA7C4F" w:rsidP="000F1FF2">
      <w:pPr>
        <w:rPr>
          <w:rFonts w:ascii="Arial" w:hAnsi="Arial"/>
          <w:lang w:val="en-US"/>
        </w:rPr>
      </w:pPr>
      <w:r w:rsidRPr="004B0CB2">
        <w:rPr>
          <w:rFonts w:ascii="Arial" w:hAnsi="Arial"/>
          <w:lang w:val="en-US"/>
        </w:rPr>
        <w:t xml:space="preserve">An </w:t>
      </w:r>
      <w:r w:rsidR="00596186">
        <w:rPr>
          <w:rFonts w:ascii="Arial" w:hAnsi="Arial"/>
          <w:lang w:val="en-US"/>
        </w:rPr>
        <w:t>NPPA</w:t>
      </w:r>
      <w:r w:rsidRPr="004B0CB2">
        <w:rPr>
          <w:rFonts w:ascii="Arial" w:hAnsi="Arial"/>
          <w:lang w:val="en-US"/>
        </w:rPr>
        <w:t xml:space="preserve"> must include the following:</w:t>
      </w:r>
    </w:p>
    <w:p w:rsidR="00FA7C4F" w:rsidRDefault="00FA7C4F" w:rsidP="00DB34DC">
      <w:pPr>
        <w:pStyle w:val="ListBullet"/>
        <w:numPr>
          <w:ilvl w:val="0"/>
          <w:numId w:val="9"/>
        </w:numPr>
        <w:spacing w:before="120" w:after="120"/>
        <w:rPr>
          <w:rFonts w:cs="Arial"/>
          <w:sz w:val="24"/>
          <w:lang w:val="en-US"/>
        </w:rPr>
      </w:pPr>
      <w:r w:rsidRPr="004B0CB2">
        <w:rPr>
          <w:rFonts w:cs="Arial"/>
          <w:sz w:val="24"/>
        </w:rPr>
        <w:t xml:space="preserve">Colour artworks of </w:t>
      </w:r>
      <w:r w:rsidRPr="004B0CB2">
        <w:rPr>
          <w:rFonts w:cs="Arial"/>
          <w:sz w:val="24"/>
          <w:lang w:val="en-US"/>
        </w:rPr>
        <w:t xml:space="preserve">labels and packaging material. Artwork does not need to be actual size, but must be legible, drawn to scale and include a statement of the label dimensions.  If the same label (apart from the contents statement) is to be used for several pack sizes of the same strength of a product, it is only necessary to submit exemplar artwork for one pack size and state that it applies across the pack size range. </w:t>
      </w:r>
    </w:p>
    <w:p w:rsidR="00BC6862" w:rsidRDefault="00BC6862" w:rsidP="00BC6862">
      <w:pPr>
        <w:pStyle w:val="ListBullet"/>
        <w:numPr>
          <w:ilvl w:val="0"/>
          <w:numId w:val="0"/>
        </w:numPr>
        <w:spacing w:before="120" w:after="120"/>
        <w:ind w:left="720"/>
        <w:rPr>
          <w:rFonts w:cs="Arial"/>
          <w:sz w:val="24"/>
          <w:lang w:val="en-US"/>
        </w:rPr>
      </w:pPr>
    </w:p>
    <w:p w:rsidR="00696A92" w:rsidRPr="00DB34DC" w:rsidRDefault="00696A92" w:rsidP="003F0BDA">
      <w:pPr>
        <w:pStyle w:val="ListParagraph"/>
        <w:numPr>
          <w:ilvl w:val="2"/>
          <w:numId w:val="68"/>
        </w:numPr>
        <w:ind w:left="993" w:hanging="993"/>
        <w:rPr>
          <w:rStyle w:val="Arial"/>
          <w:i/>
          <w:iCs/>
        </w:rPr>
      </w:pPr>
      <w:r w:rsidRPr="00DB34DC">
        <w:rPr>
          <w:rStyle w:val="Arial"/>
          <w:i/>
          <w:iCs/>
        </w:rPr>
        <w:t>Best practice guideline on label</w:t>
      </w:r>
      <w:r w:rsidR="00947CCB" w:rsidRPr="00DB34DC">
        <w:rPr>
          <w:rStyle w:val="Arial"/>
          <w:i/>
          <w:iCs/>
        </w:rPr>
        <w:t>l</w:t>
      </w:r>
      <w:r w:rsidRPr="00DB34DC">
        <w:rPr>
          <w:rStyle w:val="Arial"/>
          <w:i/>
          <w:iCs/>
        </w:rPr>
        <w:t>ing of Psychoactive Products</w:t>
      </w:r>
    </w:p>
    <w:p w:rsidR="00BC6862" w:rsidRPr="00BC6862" w:rsidRDefault="00BC6862" w:rsidP="00BC6862">
      <w:pPr>
        <w:rPr>
          <w:rStyle w:val="Arial"/>
          <w:i/>
          <w:iCs/>
        </w:rPr>
      </w:pPr>
    </w:p>
    <w:p w:rsidR="00E81C7A" w:rsidRDefault="00E81C7A" w:rsidP="000F1FF2">
      <w:pPr>
        <w:rPr>
          <w:rFonts w:ascii="Arial" w:hAnsi="Arial"/>
          <w:lang w:val="en-US"/>
        </w:rPr>
      </w:pPr>
      <w:r w:rsidRPr="004B0CB2">
        <w:rPr>
          <w:rFonts w:ascii="Arial" w:hAnsi="Arial"/>
          <w:lang w:val="en-US"/>
        </w:rPr>
        <w:t>The Psychoactive Substance</w:t>
      </w:r>
      <w:r w:rsidR="006F6DA3" w:rsidRPr="004B0CB2">
        <w:rPr>
          <w:rFonts w:ascii="Arial" w:hAnsi="Arial"/>
          <w:lang w:val="en-US"/>
        </w:rPr>
        <w:t>s</w:t>
      </w:r>
      <w:r w:rsidRPr="004B0CB2">
        <w:rPr>
          <w:rFonts w:ascii="Arial" w:hAnsi="Arial"/>
          <w:lang w:val="en-US"/>
        </w:rPr>
        <w:t xml:space="preserve"> legislation set</w:t>
      </w:r>
      <w:r w:rsidR="006F6DA3" w:rsidRPr="004B0CB2">
        <w:rPr>
          <w:rFonts w:ascii="Arial" w:hAnsi="Arial"/>
          <w:lang w:val="en-US"/>
        </w:rPr>
        <w:t>s</w:t>
      </w:r>
      <w:r w:rsidRPr="004B0CB2">
        <w:rPr>
          <w:rFonts w:ascii="Arial" w:hAnsi="Arial"/>
          <w:lang w:val="en-US"/>
        </w:rPr>
        <w:t xml:space="preserve"> out the mandatory requirements for the labelling of psychoactive products. These represent the minimum requirements to be met when designing labels. In general, these requirements relate to the information that needs to be included on the label, rather than to the way in which that information is presented.</w:t>
      </w:r>
    </w:p>
    <w:p w:rsidR="004B0CB2" w:rsidRPr="004B0CB2" w:rsidRDefault="004B0CB2" w:rsidP="000F1FF2">
      <w:pPr>
        <w:rPr>
          <w:rFonts w:ascii="Arial" w:hAnsi="Arial"/>
          <w:lang w:val="en-US"/>
        </w:rPr>
      </w:pPr>
    </w:p>
    <w:p w:rsidR="004B0CB2" w:rsidRPr="004B0CB2" w:rsidRDefault="00066DEA" w:rsidP="000F1FF2">
      <w:pPr>
        <w:rPr>
          <w:rFonts w:ascii="Arial" w:hAnsi="Arial"/>
          <w:lang w:val="en-US"/>
        </w:rPr>
      </w:pPr>
      <w:r>
        <w:rPr>
          <w:rFonts w:ascii="Arial" w:hAnsi="Arial"/>
          <w:lang w:val="en-US"/>
        </w:rPr>
        <w:t>Good</w:t>
      </w:r>
      <w:r w:rsidR="00E81C7A" w:rsidRPr="004B0CB2">
        <w:rPr>
          <w:rFonts w:ascii="Arial" w:hAnsi="Arial"/>
          <w:lang w:val="en-US"/>
        </w:rPr>
        <w:t xml:space="preserve"> label design plays a significant role in improving safe use of </w:t>
      </w:r>
      <w:r>
        <w:rPr>
          <w:rFonts w:ascii="Arial" w:hAnsi="Arial"/>
          <w:lang w:val="en-US"/>
        </w:rPr>
        <w:t>products</w:t>
      </w:r>
      <w:r w:rsidRPr="004B0CB2">
        <w:rPr>
          <w:rFonts w:ascii="Arial" w:hAnsi="Arial"/>
          <w:lang w:val="en-US"/>
        </w:rPr>
        <w:t xml:space="preserve"> </w:t>
      </w:r>
      <w:r w:rsidR="00E81C7A" w:rsidRPr="004B0CB2">
        <w:rPr>
          <w:rFonts w:ascii="Arial" w:hAnsi="Arial"/>
          <w:lang w:val="en-US"/>
        </w:rPr>
        <w:t xml:space="preserve">by enhancing the ability of </w:t>
      </w:r>
      <w:r w:rsidR="00397114">
        <w:rPr>
          <w:rFonts w:ascii="Arial" w:hAnsi="Arial"/>
          <w:lang w:val="en-US"/>
        </w:rPr>
        <w:t>users</w:t>
      </w:r>
      <w:r w:rsidR="00E81C7A" w:rsidRPr="004B0CB2">
        <w:rPr>
          <w:rFonts w:ascii="Arial" w:hAnsi="Arial"/>
          <w:lang w:val="en-US"/>
        </w:rPr>
        <w:t xml:space="preserve"> to identify, select and use </w:t>
      </w:r>
      <w:r w:rsidR="00397114">
        <w:rPr>
          <w:rFonts w:ascii="Arial" w:hAnsi="Arial"/>
          <w:lang w:val="en-US"/>
        </w:rPr>
        <w:t>psychoactive products</w:t>
      </w:r>
      <w:r w:rsidR="00397114" w:rsidRPr="004B0CB2">
        <w:rPr>
          <w:rFonts w:ascii="Arial" w:hAnsi="Arial"/>
          <w:lang w:val="en-US"/>
        </w:rPr>
        <w:t xml:space="preserve"> </w:t>
      </w:r>
      <w:r w:rsidR="00E81C7A" w:rsidRPr="004B0CB2">
        <w:rPr>
          <w:rFonts w:ascii="Arial" w:hAnsi="Arial"/>
          <w:lang w:val="en-US"/>
        </w:rPr>
        <w:t>correctly.</w:t>
      </w:r>
      <w:r w:rsidR="006F6DA3" w:rsidRPr="004B0CB2">
        <w:rPr>
          <w:rFonts w:ascii="Arial" w:hAnsi="Arial"/>
          <w:lang w:val="en-US"/>
        </w:rPr>
        <w:t xml:space="preserve"> </w:t>
      </w:r>
    </w:p>
    <w:p w:rsidR="00E81C7A" w:rsidRDefault="006F6DA3" w:rsidP="000F1FF2">
      <w:pPr>
        <w:rPr>
          <w:rFonts w:ascii="Arial" w:hAnsi="Arial"/>
          <w:lang w:val="en-US"/>
        </w:rPr>
      </w:pPr>
      <w:r w:rsidRPr="004B0CB2">
        <w:rPr>
          <w:rFonts w:ascii="Arial" w:hAnsi="Arial"/>
          <w:lang w:val="en-US"/>
        </w:rPr>
        <w:t>Sponsor</w:t>
      </w:r>
      <w:r w:rsidR="00E81C7A" w:rsidRPr="004B0CB2">
        <w:rPr>
          <w:rFonts w:ascii="Arial" w:hAnsi="Arial"/>
          <w:lang w:val="en-US"/>
        </w:rPr>
        <w:t xml:space="preserve">s should, always utilise the available guidance on best practice for medicine labelling when designing and assessing the suitability of labels for psychoactive products supplied in New Zealand. </w:t>
      </w:r>
    </w:p>
    <w:p w:rsidR="00BC6862" w:rsidRDefault="00BC6862" w:rsidP="000F1FF2">
      <w:pPr>
        <w:rPr>
          <w:rFonts w:ascii="Arial" w:hAnsi="Arial"/>
          <w:lang w:val="en-US"/>
        </w:rPr>
      </w:pPr>
    </w:p>
    <w:p w:rsidR="00E81C7A" w:rsidRPr="00DB34DC" w:rsidRDefault="00E81C7A" w:rsidP="003F0BDA">
      <w:pPr>
        <w:pStyle w:val="ListParagraph"/>
        <w:numPr>
          <w:ilvl w:val="2"/>
          <w:numId w:val="68"/>
        </w:numPr>
        <w:ind w:left="993" w:hanging="993"/>
        <w:rPr>
          <w:rStyle w:val="Arial"/>
          <w:i/>
          <w:iCs/>
        </w:rPr>
      </w:pPr>
      <w:r w:rsidRPr="00DB34DC">
        <w:rPr>
          <w:rStyle w:val="Arial"/>
          <w:i/>
          <w:iCs/>
        </w:rPr>
        <w:t xml:space="preserve">Recommended best practice guidance on the labelling of medicines  </w:t>
      </w:r>
    </w:p>
    <w:p w:rsidR="00BC6862" w:rsidRDefault="00BC6862" w:rsidP="000F1FF2">
      <w:pPr>
        <w:rPr>
          <w:rFonts w:ascii="Arial" w:hAnsi="Arial"/>
          <w:lang w:val="en-US"/>
        </w:rPr>
      </w:pPr>
    </w:p>
    <w:p w:rsidR="00E81C7A" w:rsidRPr="004B0CB2" w:rsidRDefault="00E81C7A" w:rsidP="000F1FF2">
      <w:pPr>
        <w:rPr>
          <w:rFonts w:ascii="Arial" w:hAnsi="Arial"/>
          <w:lang w:val="en-US"/>
        </w:rPr>
      </w:pPr>
      <w:r w:rsidRPr="004B0CB2">
        <w:rPr>
          <w:rFonts w:ascii="Arial" w:hAnsi="Arial"/>
          <w:lang w:val="en-US"/>
        </w:rPr>
        <w:t>The following resources provide useful guidance on best practice in medicines labelling:</w:t>
      </w:r>
    </w:p>
    <w:p w:rsidR="00E81C7A" w:rsidRPr="00E81C7A" w:rsidRDefault="00E81C7A" w:rsidP="00DB34DC">
      <w:pPr>
        <w:pStyle w:val="ListBullet"/>
        <w:numPr>
          <w:ilvl w:val="0"/>
          <w:numId w:val="10"/>
        </w:numPr>
        <w:spacing w:before="120" w:after="120"/>
        <w:rPr>
          <w:rFonts w:cs="Arial"/>
          <w:sz w:val="24"/>
          <w:lang w:val="en-US"/>
        </w:rPr>
      </w:pPr>
      <w:r w:rsidRPr="00E81C7A">
        <w:rPr>
          <w:rFonts w:cs="Arial"/>
          <w:i/>
          <w:sz w:val="24"/>
        </w:rPr>
        <w:t>B</w:t>
      </w:r>
      <w:r w:rsidRPr="00E81C7A">
        <w:rPr>
          <w:rFonts w:cs="Arial"/>
          <w:i/>
          <w:sz w:val="24"/>
          <w:lang w:val="en-US"/>
        </w:rPr>
        <w:t xml:space="preserve">est practice guidance on labelling and packaging of medicines </w:t>
      </w:r>
      <w:r w:rsidRPr="00E81C7A">
        <w:rPr>
          <w:rFonts w:cs="Arial"/>
          <w:sz w:val="24"/>
          <w:lang w:val="en-US"/>
        </w:rPr>
        <w:t>(MHRA Guidance Note No.25 published June 2003)</w:t>
      </w:r>
      <w:r w:rsidRPr="00E81C7A">
        <w:rPr>
          <w:rFonts w:cs="Arial"/>
          <w:i/>
          <w:sz w:val="24"/>
          <w:lang w:val="en-US"/>
        </w:rPr>
        <w:t xml:space="preserve"> </w:t>
      </w:r>
      <w:hyperlink r:id="rId49" w:history="1">
        <w:r w:rsidRPr="00E81C7A">
          <w:rPr>
            <w:rStyle w:val="Hyperlink"/>
            <w:rFonts w:cs="Arial"/>
            <w:sz w:val="24"/>
            <w:lang w:val="en-US"/>
          </w:rPr>
          <w:t>http://www.mhra.gov.uk/Howweregulate/Medicines/Labelspatientinformationleafletsandpackaging/index.htm</w:t>
        </w:r>
      </w:hyperlink>
    </w:p>
    <w:p w:rsidR="00E81C7A" w:rsidRPr="00E81C7A" w:rsidRDefault="00E81C7A" w:rsidP="00DB34DC">
      <w:pPr>
        <w:pStyle w:val="ListBullet"/>
        <w:numPr>
          <w:ilvl w:val="0"/>
          <w:numId w:val="10"/>
        </w:numPr>
        <w:spacing w:before="120" w:after="120"/>
        <w:rPr>
          <w:rFonts w:cs="Arial"/>
          <w:sz w:val="24"/>
          <w:lang w:val="en-US"/>
        </w:rPr>
      </w:pPr>
      <w:r w:rsidRPr="00E81C7A">
        <w:rPr>
          <w:rFonts w:cs="Arial"/>
          <w:i/>
          <w:sz w:val="24"/>
          <w:lang w:val="en-US"/>
        </w:rPr>
        <w:t xml:space="preserve">Best practice guideline on prescription medicine labelling </w:t>
      </w:r>
      <w:r w:rsidRPr="00E81C7A">
        <w:rPr>
          <w:rFonts w:cs="Arial"/>
          <w:sz w:val="24"/>
          <w:lang w:val="en-US"/>
        </w:rPr>
        <w:t>(published by the Australian Therapeutic Goods Administration November 2005)</w:t>
      </w:r>
      <w:r w:rsidRPr="00E81C7A">
        <w:rPr>
          <w:rFonts w:cs="Arial"/>
          <w:i/>
          <w:sz w:val="24"/>
          <w:lang w:val="en-US"/>
        </w:rPr>
        <w:t xml:space="preserve"> </w:t>
      </w:r>
      <w:hyperlink r:id="rId50" w:history="1">
        <w:r w:rsidRPr="00E81C7A">
          <w:rPr>
            <w:rStyle w:val="Hyperlink"/>
            <w:rFonts w:cs="Arial"/>
            <w:sz w:val="24"/>
            <w:lang w:val="en-US"/>
          </w:rPr>
          <w:t>http://www.tga.gov.au/industry/labelling-pm-best-practice.htm</w:t>
        </w:r>
      </w:hyperlink>
    </w:p>
    <w:p w:rsidR="00E81C7A" w:rsidRPr="00E81C7A" w:rsidRDefault="00E81C7A" w:rsidP="00DB34DC">
      <w:pPr>
        <w:pStyle w:val="ListBullet"/>
        <w:numPr>
          <w:ilvl w:val="0"/>
          <w:numId w:val="10"/>
        </w:numPr>
        <w:spacing w:before="120" w:after="0"/>
        <w:rPr>
          <w:rFonts w:cs="Arial"/>
          <w:sz w:val="24"/>
          <w:lang w:val="en-US"/>
        </w:rPr>
      </w:pPr>
      <w:r w:rsidRPr="00E81C7A">
        <w:rPr>
          <w:rFonts w:cs="Arial"/>
          <w:i/>
          <w:sz w:val="24"/>
          <w:lang w:val="en-US"/>
        </w:rPr>
        <w:t>Guideline on the readability of the labelling and package leaflet of medicinal products for human use</w:t>
      </w:r>
      <w:r w:rsidRPr="00E81C7A">
        <w:rPr>
          <w:rFonts w:cs="Arial"/>
          <w:sz w:val="24"/>
          <w:lang w:val="en-US"/>
        </w:rPr>
        <w:t xml:space="preserve"> (Revision 1 published by the European Commission 12 January 2009)</w:t>
      </w:r>
      <w:r w:rsidRPr="00E81C7A">
        <w:rPr>
          <w:rFonts w:cs="Arial"/>
          <w:sz w:val="24"/>
        </w:rPr>
        <w:t xml:space="preserve"> </w:t>
      </w:r>
    </w:p>
    <w:p w:rsidR="00E81C7A" w:rsidRPr="00E81C7A" w:rsidRDefault="002916A6" w:rsidP="00DB34DC">
      <w:pPr>
        <w:pStyle w:val="ListBullet"/>
        <w:numPr>
          <w:ilvl w:val="0"/>
          <w:numId w:val="10"/>
        </w:numPr>
        <w:spacing w:before="0" w:after="120"/>
        <w:rPr>
          <w:rFonts w:cs="Arial"/>
          <w:sz w:val="24"/>
          <w:lang w:val="en-US"/>
        </w:rPr>
      </w:pPr>
      <w:hyperlink r:id="rId51" w:history="1">
        <w:r w:rsidR="00E81C7A" w:rsidRPr="00E81C7A">
          <w:rPr>
            <w:rStyle w:val="Hyperlink"/>
            <w:rFonts w:cs="Arial"/>
            <w:sz w:val="24"/>
            <w:lang w:val="en-US"/>
          </w:rPr>
          <w:t>http://ec.europa.eu/health/files/eudralex/vol-2/c/2009_01_12_readability_guideline_final_en.pdf</w:t>
        </w:r>
      </w:hyperlink>
      <w:r w:rsidR="00E81C7A" w:rsidRPr="00E81C7A">
        <w:rPr>
          <w:rFonts w:cs="Arial"/>
          <w:sz w:val="24"/>
          <w:lang w:val="en-US"/>
        </w:rPr>
        <w:t xml:space="preserve"> </w:t>
      </w:r>
    </w:p>
    <w:p w:rsidR="00696A92" w:rsidRPr="00082B60" w:rsidRDefault="00E81C7A" w:rsidP="00DB34DC">
      <w:pPr>
        <w:pStyle w:val="ListBullet"/>
        <w:numPr>
          <w:ilvl w:val="0"/>
          <w:numId w:val="10"/>
        </w:numPr>
        <w:spacing w:before="120" w:after="120"/>
        <w:rPr>
          <w:rStyle w:val="Hyperlink"/>
          <w:rFonts w:cs="Arial"/>
          <w:color w:val="auto"/>
          <w:sz w:val="24"/>
          <w:lang w:val="en-US"/>
        </w:rPr>
      </w:pPr>
      <w:r w:rsidRPr="00E81C7A">
        <w:rPr>
          <w:rFonts w:cs="Arial"/>
          <w:i/>
          <w:sz w:val="24"/>
          <w:lang w:val="en-US"/>
        </w:rPr>
        <w:t xml:space="preserve">Design for Patient Safety </w:t>
      </w:r>
      <w:r w:rsidRPr="00E81C7A">
        <w:rPr>
          <w:rFonts w:cs="Arial"/>
          <w:sz w:val="24"/>
          <w:lang w:val="en-US"/>
        </w:rPr>
        <w:t>(A guide to the graphic design of medication packaging) (NHS National Patient Safety Agency 2</w:t>
      </w:r>
      <w:r w:rsidRPr="00E81C7A">
        <w:rPr>
          <w:rFonts w:cs="Arial"/>
          <w:sz w:val="24"/>
          <w:vertAlign w:val="superscript"/>
          <w:lang w:val="en-US"/>
        </w:rPr>
        <w:t>nd</w:t>
      </w:r>
      <w:r w:rsidRPr="00E81C7A">
        <w:rPr>
          <w:rFonts w:cs="Arial"/>
          <w:sz w:val="24"/>
          <w:lang w:val="en-US"/>
        </w:rPr>
        <w:t xml:space="preserve"> Edition 2007)</w:t>
      </w:r>
      <w:r w:rsidRPr="00E81C7A">
        <w:rPr>
          <w:rFonts w:cs="Arial"/>
          <w:sz w:val="24"/>
          <w:u w:val="single"/>
          <w:lang w:val="en-US"/>
        </w:rPr>
        <w:t xml:space="preserve"> </w:t>
      </w:r>
      <w:hyperlink r:id="rId52" w:history="1">
        <w:r w:rsidRPr="00E81C7A">
          <w:rPr>
            <w:rStyle w:val="Hyperlink"/>
            <w:rFonts w:cs="Arial"/>
            <w:sz w:val="24"/>
            <w:lang w:val="en-US"/>
          </w:rPr>
          <w:t>http://www.hhc.rca.ac.uk/CMS/files/NPSA-Design-for-patient-safety-.pdf</w:t>
        </w:r>
      </w:hyperlink>
    </w:p>
    <w:p w:rsidR="00BC6862" w:rsidRDefault="00BC6862" w:rsidP="00BC6862">
      <w:pPr>
        <w:rPr>
          <w:rStyle w:val="Arial"/>
          <w:i/>
          <w:iCs/>
        </w:rPr>
      </w:pPr>
    </w:p>
    <w:p w:rsidR="00E81C7A" w:rsidRPr="00DB34DC" w:rsidRDefault="00E81C7A" w:rsidP="003F0BDA">
      <w:pPr>
        <w:pStyle w:val="ListParagraph"/>
        <w:numPr>
          <w:ilvl w:val="2"/>
          <w:numId w:val="68"/>
        </w:numPr>
        <w:ind w:left="993" w:hanging="993"/>
        <w:rPr>
          <w:rStyle w:val="Arial"/>
          <w:i/>
          <w:iCs/>
        </w:rPr>
      </w:pPr>
      <w:r w:rsidRPr="00DB34DC">
        <w:rPr>
          <w:rStyle w:val="Arial"/>
          <w:i/>
          <w:iCs/>
        </w:rPr>
        <w:t xml:space="preserve">Barcoding on psychoactive product labels </w:t>
      </w:r>
    </w:p>
    <w:p w:rsidR="00BC6862" w:rsidRDefault="00BC6862" w:rsidP="000F1FF2">
      <w:pPr>
        <w:rPr>
          <w:rFonts w:ascii="Arial" w:hAnsi="Arial"/>
          <w:lang w:val="en-US"/>
        </w:rPr>
      </w:pPr>
    </w:p>
    <w:p w:rsidR="00596186" w:rsidRDefault="00E81C7A" w:rsidP="000F1FF2">
      <w:pPr>
        <w:rPr>
          <w:rFonts w:ascii="Arial" w:hAnsi="Arial"/>
          <w:lang w:val="en-US"/>
        </w:rPr>
      </w:pPr>
      <w:r w:rsidRPr="004B0CB2">
        <w:rPr>
          <w:rFonts w:ascii="Arial" w:hAnsi="Arial"/>
          <w:lang w:val="en-US"/>
        </w:rPr>
        <w:t>Barcoding is mandatory for labels on psychoactive products supplied in N</w:t>
      </w:r>
      <w:r w:rsidR="00696A92" w:rsidRPr="004B0CB2">
        <w:rPr>
          <w:rFonts w:ascii="Arial" w:hAnsi="Arial"/>
          <w:lang w:val="en-US"/>
        </w:rPr>
        <w:t xml:space="preserve">ew Zealand. </w:t>
      </w:r>
      <w:r w:rsidRPr="004B0CB2">
        <w:rPr>
          <w:rFonts w:ascii="Arial" w:hAnsi="Arial"/>
          <w:lang w:val="en-US"/>
        </w:rPr>
        <w:t xml:space="preserve"> </w:t>
      </w:r>
      <w:r w:rsidR="00696A92" w:rsidRPr="004B0CB2">
        <w:rPr>
          <w:rFonts w:ascii="Arial" w:hAnsi="Arial"/>
        </w:rPr>
        <w:t>S</w:t>
      </w:r>
      <w:r w:rsidRPr="004B0CB2">
        <w:rPr>
          <w:rFonts w:ascii="Arial" w:hAnsi="Arial"/>
        </w:rPr>
        <w:t xml:space="preserve">ponsors </w:t>
      </w:r>
      <w:r w:rsidR="00696A92" w:rsidRPr="004B0CB2">
        <w:rPr>
          <w:rFonts w:ascii="Arial" w:hAnsi="Arial"/>
        </w:rPr>
        <w:t xml:space="preserve">must </w:t>
      </w:r>
      <w:r w:rsidRPr="004B0CB2">
        <w:rPr>
          <w:rFonts w:ascii="Arial" w:hAnsi="Arial"/>
        </w:rPr>
        <w:t xml:space="preserve">place </w:t>
      </w:r>
      <w:r w:rsidR="00E76B5D">
        <w:rPr>
          <w:rFonts w:ascii="Arial" w:hAnsi="Arial"/>
        </w:rPr>
        <w:t xml:space="preserve">GS1 </w:t>
      </w:r>
      <w:r w:rsidRPr="004B0CB2">
        <w:rPr>
          <w:rFonts w:ascii="Arial" w:hAnsi="Arial"/>
        </w:rPr>
        <w:t>bar codes on original packs at the point of manufacture/packing</w:t>
      </w:r>
      <w:r w:rsidRPr="004B0CB2">
        <w:rPr>
          <w:rFonts w:ascii="Arial" w:hAnsi="Arial"/>
          <w:lang w:val="en-US"/>
        </w:rPr>
        <w:t>.</w:t>
      </w:r>
    </w:p>
    <w:p w:rsidR="00E81C7A" w:rsidRPr="004B0CB2" w:rsidRDefault="00E81C7A" w:rsidP="000F1FF2">
      <w:pPr>
        <w:rPr>
          <w:rFonts w:ascii="Arial" w:hAnsi="Arial"/>
          <w:lang w:val="en-US"/>
        </w:rPr>
      </w:pPr>
      <w:r w:rsidRPr="004B0CB2">
        <w:rPr>
          <w:rFonts w:ascii="Arial" w:hAnsi="Arial"/>
          <w:lang w:val="en-US"/>
        </w:rPr>
        <w:t xml:space="preserve">  </w:t>
      </w:r>
    </w:p>
    <w:p w:rsidR="00E81C7A" w:rsidRPr="004B0CB2" w:rsidRDefault="00E81C7A" w:rsidP="000F1FF2">
      <w:pPr>
        <w:rPr>
          <w:rFonts w:ascii="Arial" w:hAnsi="Arial"/>
          <w:lang w:val="en-US"/>
        </w:rPr>
      </w:pPr>
      <w:r w:rsidRPr="004B0CB2">
        <w:rPr>
          <w:rFonts w:ascii="Arial" w:hAnsi="Arial"/>
          <w:lang w:val="en-US"/>
        </w:rPr>
        <w:t>The following links can be used to find information about barcode types and product identifiers (</w:t>
      </w:r>
      <w:r w:rsidR="006F6DA3" w:rsidRPr="004B0CB2">
        <w:rPr>
          <w:rFonts w:ascii="Arial" w:hAnsi="Arial"/>
          <w:lang w:val="en-US"/>
        </w:rPr>
        <w:t>Global Trade Item Numbers (</w:t>
      </w:r>
      <w:r w:rsidRPr="004B0CB2">
        <w:rPr>
          <w:rFonts w:ascii="Arial" w:hAnsi="Arial"/>
          <w:lang w:val="en-US"/>
        </w:rPr>
        <w:t>GTINs</w:t>
      </w:r>
      <w:r w:rsidR="006F6DA3" w:rsidRPr="004B0CB2">
        <w:rPr>
          <w:rFonts w:ascii="Arial" w:hAnsi="Arial"/>
          <w:lang w:val="en-US"/>
        </w:rPr>
        <w:t>)</w:t>
      </w:r>
      <w:r w:rsidRPr="004B0CB2">
        <w:rPr>
          <w:rFonts w:ascii="Arial" w:hAnsi="Arial"/>
          <w:lang w:val="en-US"/>
        </w:rPr>
        <w:t>):</w:t>
      </w:r>
    </w:p>
    <w:p w:rsidR="00E81C7A" w:rsidRPr="00E81C7A" w:rsidRDefault="002916A6" w:rsidP="00E81C7A">
      <w:pPr>
        <w:pStyle w:val="ListBullet"/>
        <w:spacing w:before="120" w:after="120"/>
        <w:jc w:val="both"/>
        <w:rPr>
          <w:rFonts w:cs="Arial"/>
          <w:sz w:val="24"/>
          <w:lang w:val="en-US"/>
        </w:rPr>
      </w:pPr>
      <w:hyperlink r:id="rId53" w:history="1">
        <w:r w:rsidR="00E81C7A" w:rsidRPr="00E81C7A">
          <w:rPr>
            <w:rStyle w:val="Hyperlink"/>
            <w:rFonts w:cs="Arial"/>
            <w:sz w:val="24"/>
          </w:rPr>
          <w:t>h</w:t>
        </w:r>
        <w:r w:rsidR="00E81C7A" w:rsidRPr="00E81C7A">
          <w:rPr>
            <w:rStyle w:val="Hyperlink"/>
            <w:rFonts w:cs="Arial"/>
            <w:sz w:val="24"/>
            <w:lang w:val="en-US"/>
          </w:rPr>
          <w:t>ttp://www.gs1.org/barcodes/technical/bar_code_types</w:t>
        </w:r>
      </w:hyperlink>
      <w:r w:rsidR="00E81C7A" w:rsidRPr="00E81C7A">
        <w:rPr>
          <w:rFonts w:cs="Arial"/>
          <w:sz w:val="24"/>
          <w:lang w:val="en-US"/>
        </w:rPr>
        <w:t xml:space="preserve"> </w:t>
      </w:r>
    </w:p>
    <w:p w:rsidR="00E81C7A" w:rsidRPr="00E81C7A" w:rsidRDefault="002916A6" w:rsidP="00E81C7A">
      <w:pPr>
        <w:pStyle w:val="ListBullet"/>
        <w:spacing w:before="120" w:after="120"/>
        <w:jc w:val="both"/>
        <w:rPr>
          <w:rFonts w:cs="Arial"/>
          <w:sz w:val="24"/>
          <w:lang w:val="en-US"/>
        </w:rPr>
      </w:pPr>
      <w:hyperlink r:id="rId54" w:history="1">
        <w:r w:rsidR="00E81C7A" w:rsidRPr="00E81C7A">
          <w:rPr>
            <w:rStyle w:val="Hyperlink"/>
            <w:rFonts w:cs="Arial"/>
            <w:sz w:val="24"/>
            <w:lang w:val="en-US"/>
          </w:rPr>
          <w:t>http://www.gs1.org/sites/default/files/docs/media_centre/gs1_pr_210110_healthcare_AIDC_Application_Standards.pdf</w:t>
        </w:r>
      </w:hyperlink>
    </w:p>
    <w:p w:rsidR="00E81C7A" w:rsidRPr="002C7CC5" w:rsidRDefault="002916A6" w:rsidP="00E81C7A">
      <w:pPr>
        <w:pStyle w:val="ListBullet"/>
        <w:spacing w:before="120" w:after="120"/>
        <w:jc w:val="both"/>
        <w:rPr>
          <w:rStyle w:val="Hyperlink"/>
          <w:rFonts w:cs="Arial"/>
          <w:color w:val="auto"/>
          <w:sz w:val="24"/>
          <w:u w:val="none"/>
          <w:lang w:val="en-US"/>
        </w:rPr>
      </w:pPr>
      <w:hyperlink r:id="rId55" w:history="1">
        <w:r w:rsidR="002C7CC5" w:rsidRPr="0002716C">
          <w:rPr>
            <w:rStyle w:val="Hyperlink"/>
            <w:rFonts w:cs="Arial"/>
            <w:sz w:val="24"/>
            <w:lang w:val="en-US"/>
          </w:rPr>
          <w:t>http://www.gs1.org/docs/gsmp/healthcare/GS1_Healthcare_GTIN_Allocation_Rules.pdf</w:t>
        </w:r>
      </w:hyperlink>
    </w:p>
    <w:p w:rsidR="00A66591" w:rsidRDefault="00A66591" w:rsidP="003F0BDA">
      <w:pPr>
        <w:pStyle w:val="Heading3"/>
        <w:numPr>
          <w:ilvl w:val="1"/>
          <w:numId w:val="68"/>
        </w:numPr>
        <w:rPr>
          <w:rStyle w:val="Arial"/>
        </w:rPr>
      </w:pPr>
      <w:bookmarkStart w:id="156" w:name="_Toc396292886"/>
      <w:bookmarkStart w:id="157" w:name="_Toc396293274"/>
      <w:bookmarkStart w:id="158" w:name="_Toc396293650"/>
      <w:bookmarkStart w:id="159" w:name="_Toc396297643"/>
      <w:bookmarkStart w:id="160" w:name="_Toc396297834"/>
      <w:bookmarkStart w:id="161" w:name="_Toc396298025"/>
      <w:bookmarkStart w:id="162" w:name="_Toc396298220"/>
      <w:bookmarkStart w:id="163" w:name="_Toc396313793"/>
      <w:bookmarkStart w:id="164" w:name="_Toc396721437"/>
      <w:bookmarkStart w:id="165" w:name="_Toc396816641"/>
      <w:bookmarkStart w:id="166" w:name="_Toc396828658"/>
      <w:bookmarkStart w:id="167" w:name="_Toc397695029"/>
      <w:bookmarkStart w:id="168" w:name="_Toc396292903"/>
      <w:bookmarkStart w:id="169" w:name="_Toc396293291"/>
      <w:bookmarkStart w:id="170" w:name="_Toc396293667"/>
      <w:bookmarkStart w:id="171" w:name="_Toc396297660"/>
      <w:bookmarkStart w:id="172" w:name="_Toc396297851"/>
      <w:bookmarkStart w:id="173" w:name="_Toc396298042"/>
      <w:bookmarkStart w:id="174" w:name="_Toc396298237"/>
      <w:bookmarkStart w:id="175" w:name="_Toc396313810"/>
      <w:bookmarkStart w:id="176" w:name="_Toc396721454"/>
      <w:bookmarkStart w:id="177" w:name="_Toc396816658"/>
      <w:bookmarkStart w:id="178" w:name="_Toc396828675"/>
      <w:bookmarkStart w:id="179" w:name="_Toc397695046"/>
      <w:bookmarkStart w:id="180" w:name="_Toc396292919"/>
      <w:bookmarkStart w:id="181" w:name="_Toc396293307"/>
      <w:bookmarkStart w:id="182" w:name="_Toc396293683"/>
      <w:bookmarkStart w:id="183" w:name="_Toc396297676"/>
      <w:bookmarkStart w:id="184" w:name="_Toc396297867"/>
      <w:bookmarkStart w:id="185" w:name="_Toc396298056"/>
      <w:bookmarkStart w:id="186" w:name="_Toc396298251"/>
      <w:bookmarkStart w:id="187" w:name="_Toc396313824"/>
      <w:bookmarkStart w:id="188" w:name="_Toc396721468"/>
      <w:bookmarkStart w:id="189" w:name="_Toc396816672"/>
      <w:bookmarkStart w:id="190" w:name="_Toc396828689"/>
      <w:bookmarkStart w:id="191" w:name="_Toc397695060"/>
      <w:bookmarkStart w:id="192" w:name="_Toc396292920"/>
      <w:bookmarkStart w:id="193" w:name="_Toc396293308"/>
      <w:bookmarkStart w:id="194" w:name="_Toc396293684"/>
      <w:bookmarkStart w:id="195" w:name="_Toc396297677"/>
      <w:bookmarkStart w:id="196" w:name="_Toc396297868"/>
      <w:bookmarkStart w:id="197" w:name="_Toc396298057"/>
      <w:bookmarkStart w:id="198" w:name="_Toc396298252"/>
      <w:bookmarkStart w:id="199" w:name="_Toc396313825"/>
      <w:bookmarkStart w:id="200" w:name="_Toc396721469"/>
      <w:bookmarkStart w:id="201" w:name="_Toc396816673"/>
      <w:bookmarkStart w:id="202" w:name="_Toc396828690"/>
      <w:bookmarkStart w:id="203" w:name="_Toc397695061"/>
      <w:bookmarkStart w:id="204" w:name="_Toc396292928"/>
      <w:bookmarkStart w:id="205" w:name="_Toc396293316"/>
      <w:bookmarkStart w:id="206" w:name="_Toc396293692"/>
      <w:bookmarkStart w:id="207" w:name="_Toc396297685"/>
      <w:bookmarkStart w:id="208" w:name="_Toc396297876"/>
      <w:bookmarkStart w:id="209" w:name="_Toc396298062"/>
      <w:bookmarkStart w:id="210" w:name="_Toc396298257"/>
      <w:bookmarkStart w:id="211" w:name="_Toc396313830"/>
      <w:bookmarkStart w:id="212" w:name="_Toc396721474"/>
      <w:bookmarkStart w:id="213" w:name="_Toc396816678"/>
      <w:bookmarkStart w:id="214" w:name="_Toc396828695"/>
      <w:bookmarkStart w:id="215" w:name="_Toc397695066"/>
      <w:bookmarkStart w:id="216" w:name="_Toc401819126"/>
      <w:bookmarkStart w:id="217" w:name="_Toc401819424"/>
      <w:bookmarkStart w:id="218" w:name="_Toc401819127"/>
      <w:bookmarkStart w:id="219" w:name="_Toc401819425"/>
      <w:bookmarkStart w:id="220" w:name="_Toc401819128"/>
      <w:bookmarkStart w:id="221" w:name="_Toc401819426"/>
      <w:bookmarkStart w:id="222" w:name="_Toc401819129"/>
      <w:bookmarkStart w:id="223" w:name="_Toc401819427"/>
      <w:bookmarkStart w:id="224" w:name="_Toc401819130"/>
      <w:bookmarkStart w:id="225" w:name="_Toc401819428"/>
      <w:bookmarkStart w:id="226" w:name="_Toc401819131"/>
      <w:bookmarkStart w:id="227" w:name="_Toc401819429"/>
      <w:bookmarkStart w:id="228" w:name="_Toc401819132"/>
      <w:bookmarkStart w:id="229" w:name="_Toc401819430"/>
      <w:bookmarkStart w:id="230" w:name="_Toc401819133"/>
      <w:bookmarkStart w:id="231" w:name="_Toc401819431"/>
      <w:bookmarkStart w:id="232" w:name="_Toc401819134"/>
      <w:bookmarkStart w:id="233" w:name="_Toc401819432"/>
      <w:bookmarkStart w:id="234" w:name="_Toc401819135"/>
      <w:bookmarkStart w:id="235" w:name="_Toc401819433"/>
      <w:bookmarkStart w:id="236" w:name="_Toc401819136"/>
      <w:bookmarkStart w:id="237" w:name="_Toc401819434"/>
      <w:bookmarkStart w:id="238" w:name="_Toc401819137"/>
      <w:bookmarkStart w:id="239" w:name="_Toc401819435"/>
      <w:bookmarkStart w:id="240" w:name="_Toc401819138"/>
      <w:bookmarkStart w:id="241" w:name="_Toc401819436"/>
      <w:bookmarkStart w:id="242" w:name="_Toc401819139"/>
      <w:bookmarkStart w:id="243" w:name="_Toc401819437"/>
      <w:bookmarkStart w:id="244" w:name="_Toc401819140"/>
      <w:bookmarkStart w:id="245" w:name="_Toc401819438"/>
      <w:bookmarkStart w:id="246" w:name="_Toc396721492"/>
      <w:bookmarkStart w:id="247" w:name="_Toc396816696"/>
      <w:bookmarkStart w:id="248" w:name="_Toc396828713"/>
      <w:bookmarkStart w:id="249" w:name="_Toc397695084"/>
      <w:bookmarkStart w:id="250" w:name="_Toc401819142"/>
      <w:bookmarkStart w:id="251" w:name="_Toc401819440"/>
      <w:bookmarkStart w:id="252" w:name="_Toc401819143"/>
      <w:bookmarkStart w:id="253" w:name="_Toc401819441"/>
      <w:bookmarkStart w:id="254" w:name="_Toc401819144"/>
      <w:bookmarkStart w:id="255" w:name="_Toc401819442"/>
      <w:bookmarkStart w:id="256" w:name="_Toc401819145"/>
      <w:bookmarkStart w:id="257" w:name="_Toc401819443"/>
      <w:bookmarkStart w:id="258" w:name="_Toc401819146"/>
      <w:bookmarkStart w:id="259" w:name="_Toc401819444"/>
      <w:bookmarkStart w:id="260" w:name="_Toc401819147"/>
      <w:bookmarkStart w:id="261" w:name="_Toc401819445"/>
      <w:bookmarkStart w:id="262" w:name="_Toc401819148"/>
      <w:bookmarkStart w:id="263" w:name="_Toc401819446"/>
      <w:bookmarkStart w:id="264" w:name="_Toc401819149"/>
      <w:bookmarkStart w:id="265" w:name="_Toc401819447"/>
      <w:bookmarkStart w:id="266" w:name="_Toc401819150"/>
      <w:bookmarkStart w:id="267" w:name="_Toc401819448"/>
      <w:bookmarkStart w:id="268" w:name="_Toc401819151"/>
      <w:bookmarkStart w:id="269" w:name="_Toc401819449"/>
      <w:bookmarkStart w:id="270" w:name="_Toc401819152"/>
      <w:bookmarkStart w:id="271" w:name="_Toc401819450"/>
      <w:bookmarkStart w:id="272" w:name="_Toc401819153"/>
      <w:bookmarkStart w:id="273" w:name="_Toc401819451"/>
      <w:bookmarkStart w:id="274" w:name="_Toc401819154"/>
      <w:bookmarkStart w:id="275" w:name="_Toc401819452"/>
      <w:bookmarkStart w:id="276" w:name="_Toc401819453"/>
      <w:bookmarkStart w:id="277" w:name="_Toc401819454"/>
      <w:bookmarkStart w:id="278" w:name="_Toc401819455"/>
      <w:bookmarkStart w:id="279" w:name="_Toc401819456"/>
      <w:bookmarkStart w:id="280" w:name="_Toc401819457"/>
      <w:bookmarkStart w:id="281" w:name="_Toc401819458"/>
      <w:bookmarkStart w:id="282" w:name="_Toc401819459"/>
      <w:bookmarkStart w:id="283" w:name="_Toc401819460"/>
      <w:bookmarkStart w:id="284" w:name="_Toc401819461"/>
      <w:bookmarkStart w:id="285" w:name="_Toc401819462"/>
      <w:bookmarkStart w:id="286" w:name="_Toc401819463"/>
      <w:bookmarkStart w:id="287" w:name="_Toc401819464"/>
      <w:bookmarkStart w:id="288" w:name="_Toc401819465"/>
      <w:bookmarkStart w:id="289" w:name="_Toc401819466"/>
      <w:bookmarkStart w:id="290" w:name="_Toc401819467"/>
      <w:bookmarkStart w:id="291" w:name="_Toc401819468"/>
      <w:bookmarkStart w:id="292" w:name="_Toc409508717"/>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Pr>
          <w:rStyle w:val="Arial"/>
        </w:rPr>
        <w:t>Requirement to demonstrate the absence of abuse potential</w:t>
      </w:r>
      <w:bookmarkEnd w:id="292"/>
    </w:p>
    <w:p w:rsidR="00A66591" w:rsidRDefault="00A66591" w:rsidP="00A66591">
      <w:pPr>
        <w:rPr>
          <w:rFonts w:ascii="Arial" w:hAnsi="Arial"/>
        </w:rPr>
      </w:pPr>
      <w:r>
        <w:rPr>
          <w:rFonts w:ascii="Arial" w:hAnsi="Arial"/>
        </w:rPr>
        <w:t>The Act requires the potential for any psychoactive product to create physical or</w:t>
      </w:r>
      <w:r w:rsidR="002C7CC5">
        <w:rPr>
          <w:rFonts w:ascii="Arial" w:hAnsi="Arial"/>
        </w:rPr>
        <w:t xml:space="preserve"> psychological dependence (see S</w:t>
      </w:r>
      <w:r>
        <w:rPr>
          <w:rFonts w:ascii="Arial" w:hAnsi="Arial"/>
        </w:rPr>
        <w:t xml:space="preserve">ection 11(3)(d)), to be considered when determining if a product is able to be approved for use by individuals. Physical or psychological dependence is also known as abuse potential. </w:t>
      </w:r>
    </w:p>
    <w:p w:rsidR="002C7CC5" w:rsidRDefault="002C7CC5" w:rsidP="00A66591">
      <w:pPr>
        <w:rPr>
          <w:rFonts w:ascii="Arial" w:hAnsi="Arial"/>
        </w:rPr>
      </w:pPr>
    </w:p>
    <w:p w:rsidR="00E76B5D" w:rsidRDefault="002C7CC5" w:rsidP="002C7CC5">
      <w:pPr>
        <w:rPr>
          <w:rFonts w:ascii="Arial" w:hAnsi="Arial"/>
        </w:rPr>
      </w:pPr>
      <w:r>
        <w:rPr>
          <w:rFonts w:ascii="Arial" w:hAnsi="Arial"/>
        </w:rPr>
        <w:t xml:space="preserve">Applicants should refer to the FDA draft guidance document called </w:t>
      </w:r>
      <w:hyperlink r:id="rId56" w:history="1">
        <w:r w:rsidRPr="002C7CC5">
          <w:rPr>
            <w:rStyle w:val="Hyperlink"/>
            <w:rFonts w:ascii="Arial" w:hAnsi="Arial"/>
          </w:rPr>
          <w:t>Guidance for Industry: Assessment of Abuse Potential of Drugs</w:t>
        </w:r>
      </w:hyperlink>
      <w:r>
        <w:rPr>
          <w:rFonts w:ascii="Arial" w:hAnsi="Arial"/>
        </w:rPr>
        <w:t xml:space="preserve"> for guidance on how to demonstrate the absence of abuse potential. Applicants should ignore any reference to animal testing. The remainder of the document remains relevant to developing a new psychoactive product. </w:t>
      </w:r>
    </w:p>
    <w:p w:rsidR="00E76B5D" w:rsidRDefault="00E76B5D" w:rsidP="002C7CC5">
      <w:pPr>
        <w:rPr>
          <w:rFonts w:ascii="Arial" w:hAnsi="Arial"/>
        </w:rPr>
      </w:pPr>
    </w:p>
    <w:p w:rsidR="00E76B5D" w:rsidRPr="00E76B5D" w:rsidRDefault="002C7CC5" w:rsidP="00E76B5D">
      <w:pPr>
        <w:pBdr>
          <w:top w:val="single" w:sz="18" w:space="1" w:color="auto"/>
          <w:left w:val="single" w:sz="18" w:space="4" w:color="auto"/>
          <w:bottom w:val="single" w:sz="18" w:space="1" w:color="auto"/>
          <w:right w:val="single" w:sz="18" w:space="4" w:color="auto"/>
        </w:pBdr>
        <w:rPr>
          <w:rFonts w:ascii="Arial" w:hAnsi="Arial"/>
          <w:b/>
          <w:sz w:val="22"/>
          <w:szCs w:val="22"/>
        </w:rPr>
      </w:pPr>
      <w:r w:rsidRPr="00E76B5D">
        <w:rPr>
          <w:rFonts w:ascii="Arial" w:hAnsi="Arial"/>
          <w:b/>
          <w:sz w:val="22"/>
          <w:szCs w:val="22"/>
        </w:rPr>
        <w:t xml:space="preserve">The OPSRA is unaware of any </w:t>
      </w:r>
      <w:r w:rsidRPr="00E76B5D">
        <w:rPr>
          <w:rFonts w:ascii="Arial" w:hAnsi="Arial"/>
          <w:b/>
          <w:i/>
          <w:sz w:val="22"/>
          <w:szCs w:val="22"/>
        </w:rPr>
        <w:t>in-vitro</w:t>
      </w:r>
      <w:r w:rsidRPr="00E76B5D">
        <w:rPr>
          <w:rFonts w:ascii="Arial" w:hAnsi="Arial"/>
          <w:b/>
          <w:sz w:val="22"/>
          <w:szCs w:val="22"/>
        </w:rPr>
        <w:t xml:space="preserve"> abuse potential tests which are a comprehensive and suitable alternative to animal testing </w:t>
      </w:r>
      <w:r w:rsidR="00B81CD7" w:rsidRPr="00E76B5D">
        <w:rPr>
          <w:rFonts w:ascii="Arial" w:hAnsi="Arial"/>
          <w:b/>
          <w:sz w:val="22"/>
          <w:szCs w:val="22"/>
        </w:rPr>
        <w:t xml:space="preserve">for abuse potential </w:t>
      </w:r>
      <w:r w:rsidRPr="00E76B5D">
        <w:rPr>
          <w:rFonts w:ascii="Arial" w:hAnsi="Arial"/>
          <w:b/>
          <w:sz w:val="22"/>
          <w:szCs w:val="22"/>
        </w:rPr>
        <w:t>and any human clinical trial investigating abuse potential would not be considered ethical.</w:t>
      </w:r>
      <w:r w:rsidR="00E76B5D" w:rsidRPr="00E76B5D">
        <w:rPr>
          <w:rFonts w:ascii="Arial" w:hAnsi="Arial"/>
          <w:b/>
          <w:sz w:val="22"/>
          <w:szCs w:val="22"/>
        </w:rPr>
        <w:t xml:space="preserve"> </w:t>
      </w:r>
    </w:p>
    <w:p w:rsidR="00E76B5D" w:rsidRPr="00E76B5D" w:rsidRDefault="00E76B5D" w:rsidP="00E76B5D">
      <w:pPr>
        <w:pBdr>
          <w:top w:val="single" w:sz="18" w:space="1" w:color="auto"/>
          <w:left w:val="single" w:sz="18" w:space="4" w:color="auto"/>
          <w:bottom w:val="single" w:sz="18" w:space="1" w:color="auto"/>
          <w:right w:val="single" w:sz="18" w:space="4" w:color="auto"/>
        </w:pBdr>
        <w:rPr>
          <w:rFonts w:ascii="Arial" w:hAnsi="Arial"/>
          <w:b/>
          <w:sz w:val="22"/>
          <w:szCs w:val="22"/>
        </w:rPr>
      </w:pPr>
    </w:p>
    <w:p w:rsidR="002C7CC5" w:rsidRPr="00E76B5D" w:rsidRDefault="00E76B5D" w:rsidP="00E76B5D">
      <w:pPr>
        <w:pBdr>
          <w:top w:val="single" w:sz="18" w:space="1" w:color="auto"/>
          <w:left w:val="single" w:sz="18" w:space="4" w:color="auto"/>
          <w:bottom w:val="single" w:sz="18" w:space="1" w:color="auto"/>
          <w:right w:val="single" w:sz="18" w:space="4" w:color="auto"/>
        </w:pBdr>
        <w:rPr>
          <w:rFonts w:ascii="Arial" w:hAnsi="Arial"/>
          <w:b/>
          <w:sz w:val="22"/>
          <w:szCs w:val="22"/>
        </w:rPr>
      </w:pPr>
      <w:r w:rsidRPr="00E76B5D">
        <w:rPr>
          <w:rFonts w:ascii="Arial" w:hAnsi="Arial"/>
          <w:b/>
          <w:sz w:val="22"/>
          <w:szCs w:val="22"/>
        </w:rPr>
        <w:t xml:space="preserve">See </w:t>
      </w:r>
      <w:r w:rsidRPr="00871D12">
        <w:rPr>
          <w:rFonts w:ascii="Arial" w:hAnsi="Arial"/>
          <w:b/>
          <w:sz w:val="22"/>
          <w:szCs w:val="22"/>
        </w:rPr>
        <w:t xml:space="preserve">Appendix </w:t>
      </w:r>
      <w:r w:rsidR="00871D12">
        <w:rPr>
          <w:rFonts w:ascii="Arial" w:hAnsi="Arial"/>
          <w:b/>
          <w:sz w:val="22"/>
          <w:szCs w:val="22"/>
        </w:rPr>
        <w:t>3</w:t>
      </w:r>
      <w:r w:rsidRPr="00E76B5D">
        <w:rPr>
          <w:rFonts w:ascii="Arial" w:hAnsi="Arial"/>
          <w:b/>
          <w:sz w:val="22"/>
          <w:szCs w:val="22"/>
        </w:rPr>
        <w:t xml:space="preserve"> for the PSEAC Position Statement on animal testing</w:t>
      </w:r>
    </w:p>
    <w:p w:rsidR="00A66591" w:rsidRDefault="00A66591" w:rsidP="00A66591">
      <w:pPr>
        <w:rPr>
          <w:rStyle w:val="Arial"/>
        </w:rPr>
      </w:pPr>
    </w:p>
    <w:p w:rsidR="00A66591" w:rsidRDefault="00A66591" w:rsidP="00A66591">
      <w:pPr>
        <w:rPr>
          <w:rStyle w:val="Arial"/>
        </w:rPr>
      </w:pPr>
      <w:r w:rsidRPr="00A66591">
        <w:rPr>
          <w:rStyle w:val="Arial"/>
        </w:rPr>
        <w:t>Applicants should be aware of these difficulties when deciding whether to develop a psychoactive product</w:t>
      </w:r>
      <w:r>
        <w:rPr>
          <w:rStyle w:val="Arial"/>
        </w:rPr>
        <w:t xml:space="preserve"> as </w:t>
      </w:r>
      <w:r w:rsidR="002C7CC5">
        <w:rPr>
          <w:rStyle w:val="Arial"/>
        </w:rPr>
        <w:t xml:space="preserve">fees </w:t>
      </w:r>
      <w:r>
        <w:rPr>
          <w:rStyle w:val="Arial"/>
        </w:rPr>
        <w:t>refunds are unlikely to be granted once an application has been accepted.</w:t>
      </w:r>
    </w:p>
    <w:p w:rsidR="0094469A" w:rsidRDefault="0094469A" w:rsidP="00A66591">
      <w:pPr>
        <w:rPr>
          <w:rStyle w:val="Arial"/>
        </w:rPr>
      </w:pPr>
    </w:p>
    <w:p w:rsidR="00A66591" w:rsidRPr="00A66591" w:rsidRDefault="00A66591" w:rsidP="003F0BDA">
      <w:pPr>
        <w:pStyle w:val="Heading3"/>
        <w:numPr>
          <w:ilvl w:val="1"/>
          <w:numId w:val="68"/>
        </w:numPr>
        <w:ind w:left="709" w:hanging="709"/>
        <w:rPr>
          <w:rStyle w:val="Arial"/>
        </w:rPr>
      </w:pPr>
      <w:bookmarkStart w:id="293" w:name="_Toc401819470"/>
      <w:bookmarkStart w:id="294" w:name="_Toc401819471"/>
      <w:bookmarkStart w:id="295" w:name="_Toc401819472"/>
      <w:bookmarkStart w:id="296" w:name="_Toc401819473"/>
      <w:bookmarkStart w:id="297" w:name="_Toc401819474"/>
      <w:bookmarkStart w:id="298" w:name="_Toc401819475"/>
      <w:bookmarkStart w:id="299" w:name="_Toc401819476"/>
      <w:bookmarkStart w:id="300" w:name="_Toc401819477"/>
      <w:bookmarkStart w:id="301" w:name="_Toc401819478"/>
      <w:bookmarkStart w:id="302" w:name="_Toc401819479"/>
      <w:bookmarkStart w:id="303" w:name="_Toc401819480"/>
      <w:bookmarkStart w:id="304" w:name="_Toc401819481"/>
      <w:bookmarkStart w:id="305" w:name="_Toc401819482"/>
      <w:bookmarkStart w:id="306" w:name="_Toc401819483"/>
      <w:bookmarkStart w:id="307" w:name="_Toc401819484"/>
      <w:bookmarkStart w:id="308" w:name="_Toc401819485"/>
      <w:bookmarkStart w:id="309" w:name="_Toc401819486"/>
      <w:bookmarkStart w:id="310" w:name="_Toc40950871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A66591">
        <w:rPr>
          <w:rStyle w:val="Arial"/>
        </w:rPr>
        <w:t>Guidance on the minimum acceptable level of evidence for determination of potential alcohol interactions</w:t>
      </w:r>
      <w:bookmarkEnd w:id="310"/>
    </w:p>
    <w:p w:rsidR="0094469A" w:rsidRDefault="0094469A" w:rsidP="00A66591">
      <w:pPr>
        <w:rPr>
          <w:rFonts w:ascii="Arial" w:hAnsi="Arial"/>
        </w:rPr>
      </w:pPr>
      <w:r>
        <w:rPr>
          <w:rFonts w:ascii="Arial" w:hAnsi="Arial"/>
        </w:rPr>
        <w:t>Section 4(c) of the</w:t>
      </w:r>
      <w:r w:rsidR="00A66591" w:rsidRPr="00A66591">
        <w:rPr>
          <w:rFonts w:ascii="Arial" w:hAnsi="Arial"/>
        </w:rPr>
        <w:t xml:space="preserve"> Act requires </w:t>
      </w:r>
      <w:r>
        <w:rPr>
          <w:rFonts w:ascii="Arial" w:hAnsi="Arial"/>
        </w:rPr>
        <w:t>a product application to include a report on the risks to, and impact on, public health and vulnerable or at-risk populations that may arise if the psychoactive product is approved, including:</w:t>
      </w:r>
    </w:p>
    <w:p w:rsidR="0094469A" w:rsidRDefault="0094469A" w:rsidP="00CF062F">
      <w:pPr>
        <w:pStyle w:val="ListParagraph"/>
        <w:numPr>
          <w:ilvl w:val="0"/>
          <w:numId w:val="43"/>
        </w:numPr>
        <w:rPr>
          <w:rFonts w:ascii="Arial" w:hAnsi="Arial"/>
        </w:rPr>
      </w:pPr>
      <w:r>
        <w:rPr>
          <w:rFonts w:ascii="Arial" w:hAnsi="Arial"/>
        </w:rPr>
        <w:t>information about the interaction of the product with alcohol; and</w:t>
      </w:r>
    </w:p>
    <w:p w:rsidR="0094469A" w:rsidRPr="0094469A" w:rsidRDefault="0094469A" w:rsidP="00CF062F">
      <w:pPr>
        <w:pStyle w:val="ListParagraph"/>
        <w:numPr>
          <w:ilvl w:val="0"/>
          <w:numId w:val="43"/>
        </w:numPr>
        <w:rPr>
          <w:rFonts w:ascii="Arial" w:hAnsi="Arial"/>
        </w:rPr>
      </w:pPr>
      <w:r>
        <w:rPr>
          <w:rFonts w:ascii="Arial" w:hAnsi="Arial"/>
        </w:rPr>
        <w:t>a plan to mage those risks.</w:t>
      </w:r>
    </w:p>
    <w:p w:rsidR="0094469A" w:rsidRDefault="0094469A" w:rsidP="00A66591">
      <w:pPr>
        <w:rPr>
          <w:rFonts w:ascii="Arial" w:hAnsi="Arial"/>
        </w:rPr>
      </w:pPr>
    </w:p>
    <w:p w:rsidR="00A66591" w:rsidRPr="00A66591" w:rsidRDefault="00A66591" w:rsidP="00A66591">
      <w:pPr>
        <w:rPr>
          <w:rFonts w:ascii="Arial" w:hAnsi="Arial"/>
        </w:rPr>
      </w:pPr>
      <w:r w:rsidRPr="00A66591">
        <w:rPr>
          <w:rFonts w:ascii="Arial" w:hAnsi="Arial"/>
        </w:rPr>
        <w:t xml:space="preserve">The </w:t>
      </w:r>
      <w:r w:rsidR="00F004D6">
        <w:rPr>
          <w:rFonts w:ascii="Arial" w:hAnsi="Arial"/>
        </w:rPr>
        <w:t>OPSRA</w:t>
      </w:r>
      <w:r w:rsidRPr="00A66591">
        <w:rPr>
          <w:rFonts w:ascii="Arial" w:hAnsi="Arial"/>
        </w:rPr>
        <w:t xml:space="preserve"> is unaware of any suitable tests or guidelines that are capable of adequately demonstrating the absence of any interactions with alcohol, and which do not require animal trials. </w:t>
      </w:r>
    </w:p>
    <w:p w:rsidR="00A66591" w:rsidRPr="00A66591" w:rsidRDefault="00A66591" w:rsidP="00A66591">
      <w:pPr>
        <w:rPr>
          <w:rFonts w:ascii="Arial" w:hAnsi="Arial"/>
        </w:rPr>
      </w:pPr>
    </w:p>
    <w:p w:rsidR="00A66591" w:rsidRDefault="00A66591" w:rsidP="00E76B5D">
      <w:pPr>
        <w:pBdr>
          <w:top w:val="single" w:sz="18" w:space="1" w:color="auto"/>
          <w:left w:val="single" w:sz="18" w:space="4" w:color="auto"/>
          <w:bottom w:val="single" w:sz="18" w:space="1" w:color="auto"/>
          <w:right w:val="single" w:sz="18" w:space="4" w:color="auto"/>
        </w:pBdr>
        <w:rPr>
          <w:rFonts w:ascii="Arial" w:hAnsi="Arial"/>
        </w:rPr>
      </w:pPr>
      <w:r w:rsidRPr="00E76B5D">
        <w:rPr>
          <w:rStyle w:val="Arial"/>
        </w:rPr>
        <w:t xml:space="preserve">The </w:t>
      </w:r>
      <w:r w:rsidR="00F004D6" w:rsidRPr="00E76B5D">
        <w:rPr>
          <w:rStyle w:val="Arial"/>
        </w:rPr>
        <w:t>OPSRA</w:t>
      </w:r>
      <w:r w:rsidRPr="00E76B5D">
        <w:rPr>
          <w:rStyle w:val="Arial"/>
        </w:rPr>
        <w:t xml:space="preserve"> is willing to consider any information that the applicant can compile on demonstrating the absence of </w:t>
      </w:r>
      <w:r w:rsidRPr="00E76B5D">
        <w:rPr>
          <w:rFonts w:ascii="Arial" w:hAnsi="Arial"/>
        </w:rPr>
        <w:t>any interactions with alcohol</w:t>
      </w:r>
      <w:r w:rsidRPr="00E76B5D">
        <w:rPr>
          <w:rStyle w:val="Arial"/>
        </w:rPr>
        <w:t xml:space="preserve">. A combination of </w:t>
      </w:r>
      <w:r w:rsidRPr="00E76B5D">
        <w:rPr>
          <w:rStyle w:val="Arial"/>
          <w:i/>
          <w:iCs/>
        </w:rPr>
        <w:t>in vitro</w:t>
      </w:r>
      <w:r w:rsidRPr="00E76B5D">
        <w:rPr>
          <w:rStyle w:val="Arial"/>
        </w:rPr>
        <w:t xml:space="preserve"> pre-clinical testing and human clinical trials may be sufficient to demonstrate the absence of </w:t>
      </w:r>
      <w:r w:rsidR="008415F6" w:rsidRPr="00E76B5D">
        <w:rPr>
          <w:rStyle w:val="Arial"/>
        </w:rPr>
        <w:t>interactions with alcohol</w:t>
      </w:r>
      <w:r w:rsidRPr="00E76B5D">
        <w:rPr>
          <w:rStyle w:val="Arial"/>
        </w:rPr>
        <w:t>. Human clinical trials, however, must be performed in an ethical manner, which may be difficult to demonstrate without pre-clinical animal trials. T</w:t>
      </w:r>
      <w:r w:rsidRPr="00E76B5D">
        <w:rPr>
          <w:rFonts w:ascii="Arial" w:hAnsi="Arial"/>
        </w:rPr>
        <w:t xml:space="preserve">he </w:t>
      </w:r>
      <w:r w:rsidR="00F004D6" w:rsidRPr="00E76B5D">
        <w:rPr>
          <w:rFonts w:ascii="Arial" w:hAnsi="Arial"/>
        </w:rPr>
        <w:t>OPSRA</w:t>
      </w:r>
      <w:r w:rsidRPr="00E76B5D">
        <w:rPr>
          <w:rFonts w:ascii="Arial" w:hAnsi="Arial"/>
        </w:rPr>
        <w:t xml:space="preserve"> will not consider the results of any human clinical trial that does not have suitable ethics committee approval.</w:t>
      </w:r>
    </w:p>
    <w:p w:rsidR="00E76B5D" w:rsidRDefault="00E76B5D" w:rsidP="00E76B5D">
      <w:pPr>
        <w:pBdr>
          <w:top w:val="single" w:sz="18" w:space="1" w:color="auto"/>
          <w:left w:val="single" w:sz="18" w:space="4" w:color="auto"/>
          <w:bottom w:val="single" w:sz="18" w:space="1" w:color="auto"/>
          <w:right w:val="single" w:sz="18" w:space="4" w:color="auto"/>
        </w:pBdr>
        <w:rPr>
          <w:rFonts w:ascii="Arial" w:hAnsi="Arial"/>
        </w:rPr>
      </w:pPr>
    </w:p>
    <w:p w:rsidR="00E76B5D" w:rsidRPr="00E76B5D" w:rsidRDefault="00E76B5D" w:rsidP="00E76B5D">
      <w:pPr>
        <w:pBdr>
          <w:top w:val="single" w:sz="18" w:space="1" w:color="auto"/>
          <w:left w:val="single" w:sz="18" w:space="4" w:color="auto"/>
          <w:bottom w:val="single" w:sz="18" w:space="1" w:color="auto"/>
          <w:right w:val="single" w:sz="18" w:space="4" w:color="auto"/>
        </w:pBdr>
        <w:rPr>
          <w:rFonts w:ascii="Arial" w:hAnsi="Arial"/>
          <w:b/>
          <w:sz w:val="22"/>
          <w:szCs w:val="22"/>
        </w:rPr>
      </w:pPr>
      <w:r w:rsidRPr="00E76B5D">
        <w:rPr>
          <w:rFonts w:ascii="Arial" w:hAnsi="Arial"/>
          <w:b/>
          <w:sz w:val="22"/>
          <w:szCs w:val="22"/>
        </w:rPr>
        <w:t xml:space="preserve">See </w:t>
      </w:r>
      <w:r w:rsidRPr="00871D12">
        <w:rPr>
          <w:rFonts w:ascii="Arial" w:hAnsi="Arial"/>
          <w:b/>
          <w:sz w:val="22"/>
          <w:szCs w:val="22"/>
        </w:rPr>
        <w:t xml:space="preserve">Appendix </w:t>
      </w:r>
      <w:r w:rsidR="00871D12" w:rsidRPr="00871D12">
        <w:rPr>
          <w:rFonts w:ascii="Arial" w:hAnsi="Arial"/>
          <w:b/>
          <w:sz w:val="22"/>
          <w:szCs w:val="22"/>
        </w:rPr>
        <w:t>3</w:t>
      </w:r>
      <w:r w:rsidRPr="00E76B5D">
        <w:rPr>
          <w:rFonts w:ascii="Arial" w:hAnsi="Arial"/>
          <w:b/>
          <w:sz w:val="22"/>
          <w:szCs w:val="22"/>
        </w:rPr>
        <w:t xml:space="preserve"> for the PSEAC Position Statement on animal testing</w:t>
      </w:r>
    </w:p>
    <w:p w:rsidR="00E76B5D" w:rsidRPr="00A66591" w:rsidRDefault="00E76B5D" w:rsidP="00E76B5D">
      <w:pPr>
        <w:pBdr>
          <w:top w:val="single" w:sz="18" w:space="1" w:color="auto"/>
          <w:left w:val="single" w:sz="18" w:space="4" w:color="auto"/>
          <w:bottom w:val="single" w:sz="18" w:space="1" w:color="auto"/>
          <w:right w:val="single" w:sz="18" w:space="4" w:color="auto"/>
        </w:pBdr>
        <w:rPr>
          <w:rFonts w:ascii="Arial" w:hAnsi="Arial"/>
        </w:rPr>
      </w:pPr>
    </w:p>
    <w:p w:rsidR="00A66591" w:rsidRPr="00A66591" w:rsidRDefault="00A66591" w:rsidP="00A66591">
      <w:pPr>
        <w:rPr>
          <w:rStyle w:val="Arial"/>
        </w:rPr>
      </w:pPr>
    </w:p>
    <w:p w:rsidR="00A66591" w:rsidRPr="000F1FF2" w:rsidRDefault="00A66591" w:rsidP="00A66591">
      <w:pPr>
        <w:rPr>
          <w:rStyle w:val="Arial"/>
        </w:rPr>
      </w:pPr>
      <w:r w:rsidRPr="00A66591">
        <w:rPr>
          <w:rStyle w:val="Arial"/>
        </w:rPr>
        <w:t>Applicants should be aware of these difficulties when deciding whether to develop a psychoactive product as refunds are unlikely to be granted once an application has been accepted.</w:t>
      </w:r>
    </w:p>
    <w:p w:rsidR="00B9544B" w:rsidRDefault="00B9544B">
      <w:pPr>
        <w:rPr>
          <w:rFonts w:ascii="Arial" w:hAnsi="Arial"/>
          <w:kern w:val="36"/>
          <w:sz w:val="36"/>
          <w:szCs w:val="48"/>
          <w:lang w:val="en-NZ" w:eastAsia="en-NZ"/>
        </w:rPr>
      </w:pPr>
      <w:bookmarkStart w:id="311" w:name="_Toc396721496"/>
      <w:bookmarkStart w:id="312" w:name="_Toc396816700"/>
      <w:bookmarkStart w:id="313" w:name="_Toc396828717"/>
      <w:bookmarkStart w:id="314" w:name="_Toc397695088"/>
      <w:bookmarkStart w:id="315" w:name="_Toc401819488"/>
      <w:bookmarkStart w:id="316" w:name="_Toc396721501"/>
      <w:bookmarkStart w:id="317" w:name="_Toc396816705"/>
      <w:bookmarkStart w:id="318" w:name="_Toc396828722"/>
      <w:bookmarkStart w:id="319" w:name="_Toc397695093"/>
      <w:bookmarkStart w:id="320" w:name="_Toc401819158"/>
      <w:bookmarkStart w:id="321" w:name="_Toc401819507"/>
      <w:bookmarkEnd w:id="311"/>
      <w:bookmarkEnd w:id="312"/>
      <w:bookmarkEnd w:id="313"/>
      <w:bookmarkEnd w:id="314"/>
      <w:bookmarkEnd w:id="315"/>
      <w:bookmarkEnd w:id="316"/>
      <w:bookmarkEnd w:id="317"/>
      <w:bookmarkEnd w:id="318"/>
      <w:bookmarkEnd w:id="319"/>
      <w:bookmarkEnd w:id="320"/>
      <w:bookmarkEnd w:id="321"/>
      <w:r>
        <w:rPr>
          <w:bCs/>
          <w:sz w:val="36"/>
        </w:rPr>
        <w:br w:type="page"/>
      </w:r>
    </w:p>
    <w:p w:rsidR="00DB34DC" w:rsidRDefault="00CE6F6A" w:rsidP="003F0BDA">
      <w:pPr>
        <w:pStyle w:val="Heading1"/>
        <w:numPr>
          <w:ilvl w:val="0"/>
          <w:numId w:val="68"/>
        </w:numPr>
        <w:rPr>
          <w:bCs w:val="0"/>
          <w:sz w:val="36"/>
        </w:rPr>
      </w:pPr>
      <w:bookmarkStart w:id="322" w:name="_Toc409508719"/>
      <w:r w:rsidRPr="00A46454">
        <w:rPr>
          <w:bCs w:val="0"/>
          <w:sz w:val="36"/>
        </w:rPr>
        <w:t>Post-approval requirements</w:t>
      </w:r>
      <w:bookmarkEnd w:id="322"/>
    </w:p>
    <w:p w:rsidR="00CE6F6A" w:rsidRPr="00BB2C10" w:rsidRDefault="00CE6F6A" w:rsidP="00CF062F">
      <w:pPr>
        <w:pStyle w:val="Heading3"/>
        <w:numPr>
          <w:ilvl w:val="1"/>
          <w:numId w:val="65"/>
        </w:numPr>
        <w:spacing w:before="240" w:beforeAutospacing="0"/>
      </w:pPr>
      <w:bookmarkStart w:id="323" w:name="_Toc393185483"/>
      <w:bookmarkStart w:id="324" w:name="_Toc409508720"/>
      <w:r w:rsidRPr="00BB2C10">
        <w:t>Post-market safety assessment</w:t>
      </w:r>
      <w:bookmarkEnd w:id="323"/>
      <w:bookmarkEnd w:id="324"/>
    </w:p>
    <w:p w:rsidR="00BB2C10" w:rsidRDefault="006F6DA3" w:rsidP="006F6DA3">
      <w:pPr>
        <w:rPr>
          <w:rStyle w:val="Arial"/>
        </w:rPr>
      </w:pPr>
      <w:r w:rsidRPr="00BB2C10">
        <w:rPr>
          <w:rStyle w:val="Arial"/>
        </w:rPr>
        <w:t>The</w:t>
      </w:r>
      <w:r w:rsidR="00CE6F6A" w:rsidRPr="00BB2C10">
        <w:rPr>
          <w:rStyle w:val="Arial"/>
        </w:rPr>
        <w:t xml:space="preserve"> </w:t>
      </w:r>
      <w:r w:rsidR="008415F6">
        <w:rPr>
          <w:rStyle w:val="Arial"/>
        </w:rPr>
        <w:t xml:space="preserve">sponsor’s </w:t>
      </w:r>
      <w:r w:rsidR="00CE6F6A" w:rsidRPr="00BB2C10">
        <w:rPr>
          <w:rStyle w:val="Arial"/>
        </w:rPr>
        <w:t xml:space="preserve">responsibility for the safety of </w:t>
      </w:r>
      <w:r w:rsidRPr="00BB2C10">
        <w:rPr>
          <w:rStyle w:val="Arial"/>
        </w:rPr>
        <w:t>a</w:t>
      </w:r>
      <w:r w:rsidR="00CE6F6A" w:rsidRPr="00BB2C10">
        <w:rPr>
          <w:rStyle w:val="Arial"/>
        </w:rPr>
        <w:t xml:space="preserve"> product does not </w:t>
      </w:r>
      <w:r w:rsidRPr="00BB2C10">
        <w:rPr>
          <w:rStyle w:val="Arial"/>
        </w:rPr>
        <w:t>end</w:t>
      </w:r>
      <w:r w:rsidR="00CE6F6A" w:rsidRPr="00BB2C10">
        <w:rPr>
          <w:rStyle w:val="Arial"/>
        </w:rPr>
        <w:t xml:space="preserve"> following approval</w:t>
      </w:r>
      <w:r w:rsidR="008415F6">
        <w:rPr>
          <w:rStyle w:val="Arial"/>
        </w:rPr>
        <w:t xml:space="preserve"> of the product</w:t>
      </w:r>
      <w:r w:rsidR="00CE6F6A" w:rsidRPr="00BB2C10">
        <w:rPr>
          <w:rStyle w:val="Arial"/>
        </w:rPr>
        <w:t xml:space="preserve">. </w:t>
      </w:r>
    </w:p>
    <w:p w:rsidR="00BB2C10" w:rsidRDefault="00BB2C10" w:rsidP="006F6DA3">
      <w:pPr>
        <w:rPr>
          <w:rStyle w:val="Arial"/>
        </w:rPr>
      </w:pPr>
    </w:p>
    <w:p w:rsidR="00BB2C10" w:rsidRDefault="00BB2C10" w:rsidP="00BB2C10">
      <w:pPr>
        <w:rPr>
          <w:rStyle w:val="Arial"/>
        </w:rPr>
      </w:pPr>
      <w:r>
        <w:rPr>
          <w:rStyle w:val="Arial"/>
        </w:rPr>
        <w:t>As part of the product approval process the applicant must provide:</w:t>
      </w:r>
    </w:p>
    <w:p w:rsidR="00BB2C10" w:rsidRPr="00BB2C10" w:rsidRDefault="00BB2C10" w:rsidP="00DB34DC">
      <w:pPr>
        <w:pStyle w:val="ListParagraph"/>
        <w:numPr>
          <w:ilvl w:val="0"/>
          <w:numId w:val="34"/>
        </w:numPr>
        <w:rPr>
          <w:rStyle w:val="Arial"/>
        </w:rPr>
      </w:pPr>
      <w:r>
        <w:rPr>
          <w:rStyle w:val="Arial"/>
        </w:rPr>
        <w:t xml:space="preserve">a plan to manage the risks to </w:t>
      </w:r>
      <w:r w:rsidRPr="00BB2C10">
        <w:rPr>
          <w:rFonts w:ascii="Arial" w:hAnsi="Arial"/>
        </w:rPr>
        <w:t>vulnerable or at-risk populations that may arise if the psychoactive</w:t>
      </w:r>
      <w:r>
        <w:rPr>
          <w:rFonts w:ascii="Arial" w:hAnsi="Arial"/>
        </w:rPr>
        <w:t xml:space="preserve"> product is approved, including </w:t>
      </w:r>
      <w:r w:rsidRPr="00BB2C10">
        <w:rPr>
          <w:rFonts w:ascii="Arial" w:hAnsi="Arial"/>
        </w:rPr>
        <w:t>information about the interaction of the product with alcohol</w:t>
      </w:r>
    </w:p>
    <w:p w:rsidR="00BB2C10" w:rsidRPr="00BB2C10" w:rsidRDefault="00BB2C10" w:rsidP="00DB34DC">
      <w:pPr>
        <w:pStyle w:val="ListParagraph"/>
        <w:numPr>
          <w:ilvl w:val="0"/>
          <w:numId w:val="34"/>
        </w:numPr>
        <w:rPr>
          <w:rFonts w:ascii="Arial" w:hAnsi="Arial"/>
        </w:rPr>
      </w:pPr>
      <w:r w:rsidRPr="00BB2C10">
        <w:rPr>
          <w:rFonts w:ascii="Arial" w:hAnsi="Arial"/>
        </w:rPr>
        <w:t xml:space="preserve">a detailed plan of how the risk of harm posed by the psychoactive product will continue to be monitored and managed by the applicant if the product is approved, including how the applicant would comply with a recall order issued under </w:t>
      </w:r>
      <w:bookmarkStart w:id="325" w:name="DLM5278451"/>
      <w:r w:rsidRPr="00BB2C10">
        <w:rPr>
          <w:rFonts w:ascii="Arial" w:hAnsi="Arial"/>
        </w:rPr>
        <w:fldChar w:fldCharType="begin"/>
      </w:r>
      <w:r w:rsidRPr="00BB2C10">
        <w:rPr>
          <w:rFonts w:ascii="Arial" w:hAnsi="Arial"/>
        </w:rPr>
        <w:instrText xml:space="preserve"> HYPERLINK "http://www.legislation.govt.nz/regulation/public/2014/0243/latest/link.aspx?id=DLM5278451" </w:instrText>
      </w:r>
      <w:r w:rsidRPr="00BB2C10">
        <w:rPr>
          <w:rFonts w:ascii="Arial" w:hAnsi="Arial"/>
        </w:rPr>
        <w:fldChar w:fldCharType="separate"/>
      </w:r>
      <w:r w:rsidRPr="00BB2C10">
        <w:rPr>
          <w:rStyle w:val="Hyperlink"/>
          <w:rFonts w:ascii="Arial" w:hAnsi="Arial"/>
          <w:color w:val="auto"/>
          <w:u w:val="none"/>
        </w:rPr>
        <w:t>section 88</w:t>
      </w:r>
      <w:r w:rsidRPr="00BB2C10">
        <w:rPr>
          <w:rFonts w:ascii="Arial" w:hAnsi="Arial"/>
        </w:rPr>
        <w:fldChar w:fldCharType="end"/>
      </w:r>
      <w:bookmarkEnd w:id="325"/>
      <w:r w:rsidRPr="00BB2C10">
        <w:rPr>
          <w:rFonts w:ascii="Arial" w:hAnsi="Arial"/>
        </w:rPr>
        <w:t xml:space="preserve"> of the Act.</w:t>
      </w:r>
    </w:p>
    <w:p w:rsidR="00BB2C10" w:rsidRDefault="00BB2C10" w:rsidP="006F6DA3">
      <w:pPr>
        <w:rPr>
          <w:rStyle w:val="Arial"/>
        </w:rPr>
      </w:pPr>
    </w:p>
    <w:p w:rsidR="006F6DA3" w:rsidRPr="00BB2C10" w:rsidRDefault="00BB2C10" w:rsidP="006F6DA3">
      <w:pPr>
        <w:rPr>
          <w:rStyle w:val="Arial"/>
        </w:rPr>
      </w:pPr>
      <w:r>
        <w:rPr>
          <w:rStyle w:val="Arial"/>
        </w:rPr>
        <w:t>Furthermore, t</w:t>
      </w:r>
      <w:r w:rsidR="00CE6F6A" w:rsidRPr="00BB2C10">
        <w:rPr>
          <w:rStyle w:val="Arial"/>
        </w:rPr>
        <w:t xml:space="preserve">he </w:t>
      </w:r>
      <w:r w:rsidR="006F6DA3" w:rsidRPr="00BB2C10">
        <w:rPr>
          <w:rStyle w:val="Arial"/>
        </w:rPr>
        <w:t xml:space="preserve">Act requires </w:t>
      </w:r>
      <w:r w:rsidR="00CE6F6A" w:rsidRPr="00BB2C10">
        <w:rPr>
          <w:rStyle w:val="Arial"/>
        </w:rPr>
        <w:t xml:space="preserve">that </w:t>
      </w:r>
      <w:r w:rsidR="006F6DA3" w:rsidRPr="00BB2C10">
        <w:rPr>
          <w:rStyle w:val="Arial"/>
        </w:rPr>
        <w:t xml:space="preserve">all specified persons must notify the </w:t>
      </w:r>
      <w:r w:rsidR="00F004D6">
        <w:rPr>
          <w:rStyle w:val="Arial"/>
        </w:rPr>
        <w:t>OPSRA</w:t>
      </w:r>
      <w:r w:rsidR="006F6DA3" w:rsidRPr="00BB2C10">
        <w:rPr>
          <w:rStyle w:val="Arial"/>
        </w:rPr>
        <w:t xml:space="preserve"> of any adverse reaction arising from the use of a psychoactive substance or an approved product, whether it occurred within New Zealand or overseas, as soon as the person becomes aware of it (see section 98).</w:t>
      </w:r>
    </w:p>
    <w:p w:rsidR="006F6DA3" w:rsidRPr="00DA5905" w:rsidRDefault="006F6DA3" w:rsidP="006F6DA3">
      <w:pPr>
        <w:rPr>
          <w:rStyle w:val="Arial"/>
          <w:highlight w:val="yellow"/>
        </w:rPr>
      </w:pPr>
    </w:p>
    <w:p w:rsidR="006F6DA3" w:rsidRPr="00BB2C10" w:rsidRDefault="006F6DA3" w:rsidP="006F6DA3">
      <w:pPr>
        <w:rPr>
          <w:rStyle w:val="Arial"/>
        </w:rPr>
      </w:pPr>
      <w:r w:rsidRPr="00BB2C10">
        <w:rPr>
          <w:rStyle w:val="Arial"/>
        </w:rPr>
        <w:t xml:space="preserve">The term </w:t>
      </w:r>
      <w:r w:rsidRPr="00BB2C10">
        <w:rPr>
          <w:rStyle w:val="Arial"/>
          <w:i/>
        </w:rPr>
        <w:t>specified person</w:t>
      </w:r>
      <w:r w:rsidRPr="00BB2C10">
        <w:rPr>
          <w:rStyle w:val="Arial"/>
        </w:rPr>
        <w:t xml:space="preserve"> includes all persons who hold a licence in respect of a psychoactive substance and the person who applied for approval of a product.</w:t>
      </w:r>
    </w:p>
    <w:p w:rsidR="006F6DA3" w:rsidRPr="00BB2C10" w:rsidRDefault="006F6DA3" w:rsidP="006F6DA3">
      <w:pPr>
        <w:rPr>
          <w:rStyle w:val="Arial"/>
        </w:rPr>
      </w:pPr>
    </w:p>
    <w:p w:rsidR="00BB2C10" w:rsidRDefault="006F6DA3" w:rsidP="006F6DA3">
      <w:pPr>
        <w:rPr>
          <w:rStyle w:val="Arial"/>
        </w:rPr>
      </w:pPr>
      <w:r w:rsidRPr="00BB2C10">
        <w:rPr>
          <w:rStyle w:val="Arial"/>
        </w:rPr>
        <w:t xml:space="preserve">In order to fulfil this requirement to report adverse events, sponsors and manufacturers must monitor and report </w:t>
      </w:r>
      <w:r w:rsidR="00CE6F6A" w:rsidRPr="00BB2C10">
        <w:rPr>
          <w:rStyle w:val="Arial"/>
        </w:rPr>
        <w:t>on the safety of its products over the entire life-cycle of that product</w:t>
      </w:r>
      <w:r w:rsidRPr="00BB2C10">
        <w:rPr>
          <w:rStyle w:val="Arial"/>
        </w:rPr>
        <w:t>. This encompasses the</w:t>
      </w:r>
      <w:r w:rsidR="00CE6F6A" w:rsidRPr="00BB2C10">
        <w:rPr>
          <w:rStyle w:val="Arial"/>
        </w:rPr>
        <w:t xml:space="preserve"> development</w:t>
      </w:r>
      <w:r w:rsidRPr="00BB2C10">
        <w:rPr>
          <w:rStyle w:val="Arial"/>
        </w:rPr>
        <w:t xml:space="preserve"> stage</w:t>
      </w:r>
      <w:r w:rsidR="00CE6F6A" w:rsidRPr="00BB2C10">
        <w:rPr>
          <w:rStyle w:val="Arial"/>
        </w:rPr>
        <w:t xml:space="preserve"> until after the company decides to stop marketing the product</w:t>
      </w:r>
      <w:r w:rsidRPr="00BB2C10">
        <w:rPr>
          <w:rStyle w:val="Arial"/>
        </w:rPr>
        <w:t xml:space="preserve"> and no further product is available on the market</w:t>
      </w:r>
      <w:r w:rsidR="00CE6F6A" w:rsidRPr="00BB2C10">
        <w:rPr>
          <w:rStyle w:val="Arial"/>
        </w:rPr>
        <w:t>.</w:t>
      </w:r>
      <w:r w:rsidR="00BB2C10">
        <w:rPr>
          <w:rStyle w:val="Arial"/>
        </w:rPr>
        <w:t xml:space="preserve"> </w:t>
      </w:r>
    </w:p>
    <w:p w:rsidR="00BB2C10" w:rsidRDefault="00BB2C10" w:rsidP="006F6DA3">
      <w:pPr>
        <w:rPr>
          <w:rStyle w:val="Arial"/>
        </w:rPr>
      </w:pPr>
    </w:p>
    <w:p w:rsidR="00CE6F6A" w:rsidRPr="00BB2C10" w:rsidRDefault="00CE6F6A" w:rsidP="006F6DA3">
      <w:pPr>
        <w:rPr>
          <w:rStyle w:val="Arial"/>
        </w:rPr>
      </w:pPr>
      <w:r w:rsidRPr="00BB2C10">
        <w:rPr>
          <w:rStyle w:val="Arial"/>
        </w:rPr>
        <w:t xml:space="preserve">The range and extent of post-market safety monitoring will be determined by the </w:t>
      </w:r>
      <w:r w:rsidR="00F004D6">
        <w:rPr>
          <w:rStyle w:val="Arial"/>
        </w:rPr>
        <w:t>OPSRA</w:t>
      </w:r>
      <w:r w:rsidRPr="00BB2C10">
        <w:rPr>
          <w:rStyle w:val="Arial"/>
        </w:rPr>
        <w:t>. It will make its decision on a case-by-case basis and additional testing and research can be required at any time after the product is approved e</w:t>
      </w:r>
      <w:r w:rsidR="006F6DA3" w:rsidRPr="00BB2C10">
        <w:rPr>
          <w:rStyle w:val="Arial"/>
        </w:rPr>
        <w:t>g,</w:t>
      </w:r>
      <w:r w:rsidRPr="00BB2C10">
        <w:rPr>
          <w:rStyle w:val="Arial"/>
        </w:rPr>
        <w:t xml:space="preserve"> should a safety signal emerge from adverse event reporting or through other literature.</w:t>
      </w:r>
    </w:p>
    <w:p w:rsidR="00CE6F6A" w:rsidRPr="00BB2C10" w:rsidRDefault="00CE6F6A" w:rsidP="00CF062F">
      <w:pPr>
        <w:pStyle w:val="Heading3"/>
        <w:numPr>
          <w:ilvl w:val="1"/>
          <w:numId w:val="65"/>
        </w:numPr>
      </w:pPr>
      <w:bookmarkStart w:id="326" w:name="_Toc393185484"/>
      <w:bookmarkStart w:id="327" w:name="_Toc409508721"/>
      <w:r w:rsidRPr="00BB2C10">
        <w:t>Revocation of approval</w:t>
      </w:r>
      <w:bookmarkEnd w:id="326"/>
      <w:bookmarkEnd w:id="327"/>
    </w:p>
    <w:p w:rsidR="002C7CC5" w:rsidRDefault="006F6DA3" w:rsidP="006F6DA3">
      <w:pPr>
        <w:rPr>
          <w:rStyle w:val="Arial"/>
        </w:rPr>
      </w:pPr>
      <w:r w:rsidRPr="00BB2C10">
        <w:rPr>
          <w:rStyle w:val="Arial"/>
        </w:rPr>
        <w:t>N</w:t>
      </w:r>
      <w:r w:rsidR="00CE6F6A" w:rsidRPr="00BB2C10">
        <w:rPr>
          <w:rStyle w:val="Arial"/>
        </w:rPr>
        <w:t>ew data</w:t>
      </w:r>
      <w:r w:rsidRPr="00BB2C10">
        <w:rPr>
          <w:rStyle w:val="Arial"/>
        </w:rPr>
        <w:t xml:space="preserve"> may</w:t>
      </w:r>
      <w:r w:rsidR="00CE6F6A" w:rsidRPr="00BB2C10">
        <w:rPr>
          <w:rStyle w:val="Arial"/>
        </w:rPr>
        <w:t xml:space="preserve"> emerge in the post-market period which gives the </w:t>
      </w:r>
      <w:r w:rsidR="00F004D6">
        <w:rPr>
          <w:rStyle w:val="Arial"/>
        </w:rPr>
        <w:t>OPSRA</w:t>
      </w:r>
      <w:r w:rsidR="00BB2C10" w:rsidRPr="00BB2C10">
        <w:rPr>
          <w:rStyle w:val="Arial"/>
        </w:rPr>
        <w:t xml:space="preserve"> </w:t>
      </w:r>
      <w:r w:rsidR="00CE6F6A" w:rsidRPr="00BB2C10">
        <w:rPr>
          <w:rStyle w:val="Arial"/>
        </w:rPr>
        <w:t xml:space="preserve">reasonable grounds to consider that the product poses </w:t>
      </w:r>
      <w:r w:rsidR="00CE6F6A" w:rsidRPr="00BB2C10">
        <w:rPr>
          <w:rStyle w:val="Arial12ptBold"/>
        </w:rPr>
        <w:t>more</w:t>
      </w:r>
      <w:r w:rsidR="00CE6F6A" w:rsidRPr="00BB2C10">
        <w:rPr>
          <w:rStyle w:val="Arial"/>
        </w:rPr>
        <w:t xml:space="preserve"> than a low risk of harm</w:t>
      </w:r>
      <w:r w:rsidRPr="00BB2C10">
        <w:rPr>
          <w:rStyle w:val="Arial"/>
        </w:rPr>
        <w:t>. If this happens</w:t>
      </w:r>
      <w:r w:rsidR="00CE6F6A" w:rsidRPr="00BB2C10">
        <w:rPr>
          <w:rStyle w:val="Arial"/>
        </w:rPr>
        <w:t xml:space="preserve"> the </w:t>
      </w:r>
      <w:r w:rsidR="00F004D6">
        <w:rPr>
          <w:rStyle w:val="Arial"/>
        </w:rPr>
        <w:t>OPSRA</w:t>
      </w:r>
      <w:r w:rsidR="00CE6F6A" w:rsidRPr="00BB2C10">
        <w:rPr>
          <w:rStyle w:val="Arial"/>
        </w:rPr>
        <w:t xml:space="preserve"> can temporarily halt the distribution of the product, recall the product from the market and</w:t>
      </w:r>
      <w:r w:rsidR="00BB2C10" w:rsidRPr="00BB2C10">
        <w:rPr>
          <w:rStyle w:val="Arial"/>
        </w:rPr>
        <w:t>,</w:t>
      </w:r>
      <w:r w:rsidR="00CE6F6A" w:rsidRPr="00BB2C10">
        <w:rPr>
          <w:rStyle w:val="Arial"/>
        </w:rPr>
        <w:t xml:space="preserve"> if required</w:t>
      </w:r>
      <w:r w:rsidR="00BB2C10" w:rsidRPr="00BB2C10">
        <w:rPr>
          <w:rStyle w:val="Arial"/>
        </w:rPr>
        <w:t>,</w:t>
      </w:r>
      <w:r w:rsidR="00CE6F6A" w:rsidRPr="00BB2C10">
        <w:rPr>
          <w:rStyle w:val="Arial"/>
        </w:rPr>
        <w:t xml:space="preserve"> revoke the product approval. </w:t>
      </w:r>
      <w:r w:rsidRPr="00BB2C10">
        <w:rPr>
          <w:rStyle w:val="Arial"/>
        </w:rPr>
        <w:t>Sponsor</w:t>
      </w:r>
      <w:r w:rsidR="00CE6F6A" w:rsidRPr="00BB2C10">
        <w:rPr>
          <w:rStyle w:val="Arial"/>
        </w:rPr>
        <w:t xml:space="preserve">s of products </w:t>
      </w:r>
      <w:r w:rsidRPr="00BB2C10">
        <w:rPr>
          <w:rStyle w:val="Arial"/>
        </w:rPr>
        <w:t>are</w:t>
      </w:r>
      <w:r w:rsidR="00CE6F6A" w:rsidRPr="00BB2C10">
        <w:rPr>
          <w:rStyle w:val="Arial"/>
        </w:rPr>
        <w:t xml:space="preserve"> required by the </w:t>
      </w:r>
      <w:r w:rsidR="00BC5EF2">
        <w:rPr>
          <w:rStyle w:val="Arial"/>
        </w:rPr>
        <w:t>Psychoactive Substances R</w:t>
      </w:r>
      <w:r w:rsidRPr="00BB2C10">
        <w:rPr>
          <w:rStyle w:val="Arial"/>
        </w:rPr>
        <w:t>egulations</w:t>
      </w:r>
      <w:r w:rsidR="00BC5EF2">
        <w:rPr>
          <w:rStyle w:val="Arial"/>
        </w:rPr>
        <w:t xml:space="preserve"> 2014</w:t>
      </w:r>
      <w:r w:rsidRPr="00BB2C10">
        <w:rPr>
          <w:rStyle w:val="Arial"/>
        </w:rPr>
        <w:t xml:space="preserve"> (see regulation 4(d))</w:t>
      </w:r>
      <w:r w:rsidR="00CE6F6A" w:rsidRPr="00BB2C10">
        <w:rPr>
          <w:rStyle w:val="Arial"/>
        </w:rPr>
        <w:t xml:space="preserve"> to develop and maintain systems to ma</w:t>
      </w:r>
      <w:r w:rsidRPr="00BB2C10">
        <w:rPr>
          <w:rStyle w:val="Arial"/>
        </w:rPr>
        <w:t>nage recalls of the products they hold approvals for</w:t>
      </w:r>
      <w:r w:rsidR="00CE6F6A" w:rsidRPr="00BB2C10">
        <w:rPr>
          <w:rStyle w:val="Arial"/>
        </w:rPr>
        <w:t>.</w:t>
      </w:r>
      <w:r w:rsidR="002C7CC5">
        <w:rPr>
          <w:rStyle w:val="Arial"/>
        </w:rPr>
        <w:br w:type="page"/>
      </w:r>
    </w:p>
    <w:p w:rsidR="00A46454" w:rsidRPr="00A46454" w:rsidRDefault="00751187" w:rsidP="00CF062F">
      <w:pPr>
        <w:pStyle w:val="Heading1"/>
        <w:numPr>
          <w:ilvl w:val="0"/>
          <w:numId w:val="65"/>
        </w:numPr>
        <w:rPr>
          <w:rStyle w:val="Arial"/>
          <w:bCs w:val="0"/>
          <w:sz w:val="36"/>
        </w:rPr>
      </w:pPr>
      <w:bookmarkStart w:id="328" w:name="_Toc396293351"/>
      <w:bookmarkStart w:id="329" w:name="_Toc396293727"/>
      <w:bookmarkStart w:id="330" w:name="_Toc396297720"/>
      <w:bookmarkStart w:id="331" w:name="_Toc396297911"/>
      <w:bookmarkStart w:id="332" w:name="_Toc396298097"/>
      <w:bookmarkStart w:id="333" w:name="_Toc396298292"/>
      <w:bookmarkStart w:id="334" w:name="_Toc396313865"/>
      <w:bookmarkStart w:id="335" w:name="_Toc396721524"/>
      <w:bookmarkStart w:id="336" w:name="_Toc396816728"/>
      <w:bookmarkStart w:id="337" w:name="_Toc396828745"/>
      <w:bookmarkStart w:id="338" w:name="_Toc397695116"/>
      <w:bookmarkStart w:id="339" w:name="_Toc401819180"/>
      <w:bookmarkStart w:id="340" w:name="_Toc401819529"/>
      <w:bookmarkStart w:id="341" w:name="_Toc409508722"/>
      <w:bookmarkEnd w:id="328"/>
      <w:bookmarkEnd w:id="329"/>
      <w:bookmarkEnd w:id="330"/>
      <w:bookmarkEnd w:id="331"/>
      <w:bookmarkEnd w:id="332"/>
      <w:bookmarkEnd w:id="333"/>
      <w:bookmarkEnd w:id="334"/>
      <w:bookmarkEnd w:id="335"/>
      <w:bookmarkEnd w:id="336"/>
      <w:bookmarkEnd w:id="337"/>
      <w:bookmarkEnd w:id="338"/>
      <w:bookmarkEnd w:id="339"/>
      <w:bookmarkEnd w:id="340"/>
      <w:r w:rsidRPr="00A46454">
        <w:rPr>
          <w:rStyle w:val="Arial"/>
          <w:bCs w:val="0"/>
          <w:sz w:val="36"/>
        </w:rPr>
        <w:t>Product approval fees</w:t>
      </w:r>
      <w:bookmarkEnd w:id="341"/>
    </w:p>
    <w:p w:rsidR="0094469A" w:rsidRDefault="00A46454" w:rsidP="00A46454">
      <w:pPr>
        <w:rPr>
          <w:rFonts w:ascii="Arial" w:hAnsi="Arial"/>
        </w:rPr>
      </w:pPr>
      <w:r w:rsidRPr="00A46454">
        <w:rPr>
          <w:rFonts w:ascii="Arial" w:hAnsi="Arial"/>
        </w:rPr>
        <w:t>The fees and levies associated with the product approval process are described in detail in the Psychoactive Substances (Fees and Levies) Regulatio</w:t>
      </w:r>
      <w:r w:rsidR="0094469A">
        <w:rPr>
          <w:rFonts w:ascii="Arial" w:hAnsi="Arial"/>
        </w:rPr>
        <w:t>ns 2014 and are summarised in table 2</w:t>
      </w:r>
      <w:r w:rsidRPr="00A46454">
        <w:rPr>
          <w:rFonts w:ascii="Arial" w:hAnsi="Arial"/>
        </w:rPr>
        <w:t>.</w:t>
      </w:r>
    </w:p>
    <w:p w:rsidR="0094469A" w:rsidRPr="0094469A" w:rsidRDefault="0094469A" w:rsidP="0094469A">
      <w:pPr>
        <w:spacing w:before="100" w:beforeAutospacing="1" w:after="100" w:afterAutospacing="1"/>
        <w:rPr>
          <w:rFonts w:ascii="Arial" w:hAnsi="Arial"/>
          <w:b/>
        </w:rPr>
      </w:pPr>
      <w:r w:rsidRPr="0094469A">
        <w:rPr>
          <w:rFonts w:ascii="Arial" w:hAnsi="Arial"/>
          <w:b/>
        </w:rPr>
        <w:t>Table 2: Product approval fees and levies</w:t>
      </w:r>
    </w:p>
    <w:tbl>
      <w:tblPr>
        <w:tblStyle w:val="TableGrid"/>
        <w:tblW w:w="0" w:type="auto"/>
        <w:tblLook w:val="04A0" w:firstRow="1" w:lastRow="0" w:firstColumn="1" w:lastColumn="0" w:noHBand="0" w:noVBand="1"/>
      </w:tblPr>
      <w:tblGrid>
        <w:gridCol w:w="6487"/>
        <w:gridCol w:w="2041"/>
      </w:tblGrid>
      <w:tr w:rsidR="00A46454" w:rsidRPr="00A46454" w:rsidTr="00A46454">
        <w:tc>
          <w:tcPr>
            <w:tcW w:w="6487" w:type="dxa"/>
          </w:tcPr>
          <w:p w:rsidR="00A46454" w:rsidRPr="00A46454" w:rsidRDefault="0094469A" w:rsidP="00A46454">
            <w:pPr>
              <w:rPr>
                <w:rFonts w:ascii="Arial" w:hAnsi="Arial"/>
              </w:rPr>
            </w:pPr>
            <w:r>
              <w:rPr>
                <w:rFonts w:ascii="Arial" w:hAnsi="Arial"/>
              </w:rPr>
              <w:t>Charge type</w:t>
            </w:r>
          </w:p>
        </w:tc>
        <w:tc>
          <w:tcPr>
            <w:tcW w:w="2041" w:type="dxa"/>
          </w:tcPr>
          <w:p w:rsidR="00A46454" w:rsidRPr="00A46454" w:rsidRDefault="00A46454" w:rsidP="00A46454">
            <w:pPr>
              <w:rPr>
                <w:rFonts w:ascii="Arial" w:hAnsi="Arial"/>
              </w:rPr>
            </w:pPr>
            <w:r w:rsidRPr="00A46454">
              <w:rPr>
                <w:rFonts w:ascii="Arial" w:hAnsi="Arial"/>
              </w:rPr>
              <w:t>NZD (includes GST)</w:t>
            </w:r>
          </w:p>
        </w:tc>
      </w:tr>
      <w:tr w:rsidR="00A46454" w:rsidRPr="00A46454" w:rsidTr="00A46454">
        <w:tc>
          <w:tcPr>
            <w:tcW w:w="6487" w:type="dxa"/>
          </w:tcPr>
          <w:p w:rsidR="00A46454" w:rsidRPr="00A46454" w:rsidRDefault="00A46454" w:rsidP="00A46454">
            <w:pPr>
              <w:rPr>
                <w:rFonts w:ascii="Arial" w:hAnsi="Arial"/>
              </w:rPr>
            </w:pPr>
            <w:r w:rsidRPr="00A46454">
              <w:rPr>
                <w:rFonts w:ascii="Arial" w:hAnsi="Arial"/>
              </w:rPr>
              <w:t>New Psychoactive Product Application</w:t>
            </w:r>
            <w:r w:rsidR="0094469A">
              <w:rPr>
                <w:rFonts w:ascii="Arial" w:hAnsi="Arial"/>
              </w:rPr>
              <w:t xml:space="preserve"> Fee</w:t>
            </w:r>
          </w:p>
        </w:tc>
        <w:tc>
          <w:tcPr>
            <w:tcW w:w="2041" w:type="dxa"/>
          </w:tcPr>
          <w:p w:rsidR="00A46454" w:rsidRPr="00A46454" w:rsidRDefault="00A46454" w:rsidP="00A46454">
            <w:pPr>
              <w:jc w:val="right"/>
              <w:rPr>
                <w:rFonts w:ascii="Arial" w:hAnsi="Arial"/>
              </w:rPr>
            </w:pPr>
            <w:r w:rsidRPr="00A46454">
              <w:rPr>
                <w:rFonts w:ascii="Arial" w:hAnsi="Arial"/>
              </w:rPr>
              <w:t>175,000</w:t>
            </w:r>
          </w:p>
        </w:tc>
      </w:tr>
      <w:tr w:rsidR="00A46454" w:rsidRPr="00A46454" w:rsidTr="00A46454">
        <w:tc>
          <w:tcPr>
            <w:tcW w:w="6487" w:type="dxa"/>
          </w:tcPr>
          <w:p w:rsidR="00A46454" w:rsidRPr="00A46454" w:rsidRDefault="00A46454" w:rsidP="00A46454">
            <w:pPr>
              <w:rPr>
                <w:rFonts w:ascii="Arial" w:hAnsi="Arial"/>
              </w:rPr>
            </w:pPr>
            <w:r w:rsidRPr="00A46454">
              <w:rPr>
                <w:rFonts w:ascii="Arial" w:hAnsi="Arial"/>
              </w:rPr>
              <w:t>New Subsidiary Psychoactive Product Application</w:t>
            </w:r>
            <w:r w:rsidR="0094469A">
              <w:rPr>
                <w:rFonts w:ascii="Arial" w:hAnsi="Arial"/>
              </w:rPr>
              <w:t xml:space="preserve"> Fee</w:t>
            </w:r>
          </w:p>
        </w:tc>
        <w:tc>
          <w:tcPr>
            <w:tcW w:w="2041" w:type="dxa"/>
          </w:tcPr>
          <w:p w:rsidR="00A46454" w:rsidRPr="00A46454" w:rsidRDefault="00A46454" w:rsidP="00A46454">
            <w:pPr>
              <w:jc w:val="right"/>
              <w:rPr>
                <w:rFonts w:ascii="Arial" w:hAnsi="Arial"/>
              </w:rPr>
            </w:pPr>
            <w:r w:rsidRPr="00A46454">
              <w:rPr>
                <w:rFonts w:ascii="Arial" w:hAnsi="Arial"/>
              </w:rPr>
              <w:t>10,000</w:t>
            </w:r>
          </w:p>
        </w:tc>
      </w:tr>
      <w:tr w:rsidR="0094469A" w:rsidRPr="00A46454" w:rsidTr="00A46454">
        <w:tc>
          <w:tcPr>
            <w:tcW w:w="6487" w:type="dxa"/>
          </w:tcPr>
          <w:p w:rsidR="0094469A" w:rsidRPr="00A46454" w:rsidRDefault="0094469A" w:rsidP="00A46454">
            <w:pPr>
              <w:rPr>
                <w:rFonts w:ascii="Arial" w:hAnsi="Arial"/>
              </w:rPr>
            </w:pPr>
            <w:r>
              <w:rPr>
                <w:rFonts w:ascii="Arial" w:hAnsi="Arial"/>
              </w:rPr>
              <w:t>Annual levy (per NPPA and NSPPA)</w:t>
            </w:r>
          </w:p>
        </w:tc>
        <w:tc>
          <w:tcPr>
            <w:tcW w:w="2041" w:type="dxa"/>
          </w:tcPr>
          <w:p w:rsidR="0094469A" w:rsidRPr="00A46454" w:rsidRDefault="0094469A" w:rsidP="00A46454">
            <w:pPr>
              <w:jc w:val="right"/>
              <w:rPr>
                <w:rFonts w:ascii="Arial" w:hAnsi="Arial"/>
              </w:rPr>
            </w:pPr>
            <w:r>
              <w:rPr>
                <w:rFonts w:ascii="Arial" w:hAnsi="Arial"/>
              </w:rPr>
              <w:t>88,000</w:t>
            </w:r>
          </w:p>
        </w:tc>
      </w:tr>
    </w:tbl>
    <w:p w:rsidR="00A46454" w:rsidRDefault="00A46454" w:rsidP="00A46454">
      <w:pPr>
        <w:rPr>
          <w:rFonts w:ascii="Arial" w:hAnsi="Arial"/>
        </w:rPr>
      </w:pPr>
    </w:p>
    <w:p w:rsidR="00871D12" w:rsidRDefault="00871D12" w:rsidP="00A46454">
      <w:pPr>
        <w:rPr>
          <w:rFonts w:ascii="Arial" w:hAnsi="Arial"/>
        </w:rPr>
      </w:pPr>
      <w:r>
        <w:rPr>
          <w:rFonts w:ascii="Arial" w:hAnsi="Arial"/>
        </w:rPr>
        <w:t xml:space="preserve">Note that minor changes to products may not require a full dossier or the full fee. Contact the OPSRA at </w:t>
      </w:r>
      <w:hyperlink r:id="rId57" w:history="1">
        <w:r w:rsidRPr="00F104EF">
          <w:rPr>
            <w:rStyle w:val="Hyperlink"/>
            <w:rFonts w:ascii="Arial" w:hAnsi="Arial"/>
          </w:rPr>
          <w:t>psychoactives@moh.govt.nz</w:t>
        </w:r>
      </w:hyperlink>
      <w:r>
        <w:rPr>
          <w:rStyle w:val="Hyperlink"/>
          <w:rFonts w:ascii="Arial" w:hAnsi="Arial"/>
        </w:rPr>
        <w:t xml:space="preserve"> </w:t>
      </w:r>
      <w:r w:rsidRPr="00E84E05">
        <w:rPr>
          <w:rStyle w:val="Hyperlink"/>
          <w:rFonts w:ascii="Arial" w:hAnsi="Arial"/>
          <w:color w:val="auto"/>
          <w:u w:val="none"/>
        </w:rPr>
        <w:t>to discuss this process.</w:t>
      </w:r>
    </w:p>
    <w:p w:rsidR="00871D12" w:rsidRDefault="00871D12" w:rsidP="00A46454">
      <w:pPr>
        <w:rPr>
          <w:rFonts w:ascii="Arial" w:hAnsi="Arial"/>
        </w:rPr>
      </w:pPr>
    </w:p>
    <w:p w:rsidR="00A46454" w:rsidRPr="00A46454" w:rsidRDefault="002C7CC5" w:rsidP="00A46454">
      <w:pPr>
        <w:rPr>
          <w:rFonts w:ascii="Arial" w:hAnsi="Arial"/>
        </w:rPr>
      </w:pPr>
      <w:r w:rsidRPr="002C7CC5">
        <w:rPr>
          <w:rFonts w:ascii="Arial" w:hAnsi="Arial"/>
        </w:rPr>
        <w:t xml:space="preserve">The annual levy is to be paid on a pro rata basis by the 20th of the month following approval of the product, and by the 20th of July for each subsequent year. </w:t>
      </w:r>
      <w:r>
        <w:rPr>
          <w:rFonts w:ascii="Arial" w:hAnsi="Arial"/>
        </w:rPr>
        <w:t>P</w:t>
      </w:r>
      <w:r w:rsidR="00A46454" w:rsidRPr="00A46454">
        <w:rPr>
          <w:rFonts w:ascii="Arial" w:hAnsi="Arial"/>
        </w:rPr>
        <w:t xml:space="preserve">roduct sponsors will be issued with a tax invoice </w:t>
      </w:r>
      <w:r>
        <w:rPr>
          <w:rFonts w:ascii="Arial" w:hAnsi="Arial"/>
        </w:rPr>
        <w:t>prior to the due date</w:t>
      </w:r>
      <w:r w:rsidR="00A46454" w:rsidRPr="00A46454">
        <w:rPr>
          <w:rFonts w:ascii="Arial" w:hAnsi="Arial"/>
        </w:rPr>
        <w:t xml:space="preserve">. </w:t>
      </w:r>
    </w:p>
    <w:p w:rsidR="00A46454" w:rsidRDefault="00A46454" w:rsidP="00A46454">
      <w:pPr>
        <w:rPr>
          <w:rFonts w:ascii="Arial" w:hAnsi="Arial"/>
        </w:rPr>
      </w:pPr>
    </w:p>
    <w:p w:rsidR="00A46454" w:rsidRPr="00A46454" w:rsidRDefault="00A46454" w:rsidP="00A46454">
      <w:pPr>
        <w:rPr>
          <w:rFonts w:ascii="Arial" w:hAnsi="Arial"/>
        </w:rPr>
      </w:pPr>
      <w:r w:rsidRPr="00A46454">
        <w:rPr>
          <w:rFonts w:ascii="Arial" w:hAnsi="Arial"/>
        </w:rPr>
        <w:t xml:space="preserve">Applicants may apply for a waiver or refund of a fee or levy (see regulation 6). </w:t>
      </w:r>
      <w:r w:rsidR="00E84E05">
        <w:rPr>
          <w:rFonts w:ascii="Arial" w:hAnsi="Arial"/>
        </w:rPr>
        <w:t>It is advised that applicants wishing to apply for a fee waiver contact the</w:t>
      </w:r>
      <w:r w:rsidRPr="00A46454">
        <w:rPr>
          <w:rFonts w:ascii="Arial" w:hAnsi="Arial"/>
        </w:rPr>
        <w:t xml:space="preserve"> </w:t>
      </w:r>
      <w:r w:rsidR="00F004D6">
        <w:rPr>
          <w:rFonts w:ascii="Arial" w:hAnsi="Arial"/>
        </w:rPr>
        <w:t>OPSRA</w:t>
      </w:r>
      <w:r w:rsidRPr="00A46454">
        <w:rPr>
          <w:rFonts w:ascii="Arial" w:hAnsi="Arial"/>
        </w:rPr>
        <w:t xml:space="preserve"> </w:t>
      </w:r>
      <w:r>
        <w:rPr>
          <w:rFonts w:ascii="Arial" w:hAnsi="Arial"/>
        </w:rPr>
        <w:t xml:space="preserve">at </w:t>
      </w:r>
      <w:hyperlink r:id="rId58" w:history="1">
        <w:r w:rsidRPr="00F104EF">
          <w:rPr>
            <w:rStyle w:val="Hyperlink"/>
            <w:rFonts w:ascii="Arial" w:hAnsi="Arial"/>
          </w:rPr>
          <w:t>psychoactives@moh.govt.nz</w:t>
        </w:r>
      </w:hyperlink>
      <w:r w:rsidR="00E84E05">
        <w:rPr>
          <w:rStyle w:val="Hyperlink"/>
          <w:rFonts w:ascii="Arial" w:hAnsi="Arial"/>
        </w:rPr>
        <w:t xml:space="preserve"> </w:t>
      </w:r>
      <w:r w:rsidR="00E84E05" w:rsidRPr="00E84E05">
        <w:rPr>
          <w:rStyle w:val="Hyperlink"/>
          <w:rFonts w:ascii="Arial" w:hAnsi="Arial"/>
          <w:color w:val="auto"/>
          <w:u w:val="none"/>
        </w:rPr>
        <w:t>to discuss this process.</w:t>
      </w:r>
      <w:r>
        <w:rPr>
          <w:rFonts w:ascii="Arial" w:hAnsi="Arial"/>
        </w:rPr>
        <w:t xml:space="preserve"> </w:t>
      </w:r>
    </w:p>
    <w:p w:rsidR="00BB2C10" w:rsidRPr="000F1FF2" w:rsidRDefault="00BB2C10" w:rsidP="006F6DA3">
      <w:pPr>
        <w:rPr>
          <w:rStyle w:val="Arial"/>
        </w:rPr>
      </w:pPr>
    </w:p>
    <w:p w:rsidR="00DB4CBF" w:rsidRDefault="00DB4CBF" w:rsidP="000F1FF2"/>
    <w:p w:rsidR="002C7CC5" w:rsidRDefault="002C7CC5" w:rsidP="002C7CC5">
      <w:pPr>
        <w:pStyle w:val="Heading1"/>
        <w:rPr>
          <w:highlight w:val="yellow"/>
        </w:rPr>
      </w:pPr>
      <w:r>
        <w:rPr>
          <w:highlight w:val="yellow"/>
        </w:rPr>
        <w:br w:type="page"/>
      </w:r>
    </w:p>
    <w:p w:rsidR="00082B60" w:rsidRPr="002C7CC5" w:rsidRDefault="00082B60" w:rsidP="002C7CC5">
      <w:pPr>
        <w:pStyle w:val="Heading1"/>
        <w:rPr>
          <w:highlight w:val="yellow"/>
        </w:rPr>
      </w:pPr>
      <w:bookmarkStart w:id="342" w:name="_Toc409508723"/>
      <w:r w:rsidRPr="00A46454">
        <w:rPr>
          <w:rStyle w:val="Heading1Char"/>
          <w:sz w:val="36"/>
        </w:rPr>
        <w:t>Appendix 1: I</w:t>
      </w:r>
      <w:r w:rsidR="002C7CC5">
        <w:rPr>
          <w:rStyle w:val="Heading1Char"/>
          <w:sz w:val="36"/>
        </w:rPr>
        <w:t>nternational Conference on Harmonisation (I</w:t>
      </w:r>
      <w:r w:rsidRPr="00A46454">
        <w:rPr>
          <w:rStyle w:val="Heading1Char"/>
          <w:sz w:val="36"/>
        </w:rPr>
        <w:t>CH</w:t>
      </w:r>
      <w:r w:rsidR="002C7CC5">
        <w:rPr>
          <w:rStyle w:val="Heading1Char"/>
          <w:sz w:val="36"/>
        </w:rPr>
        <w:t>)</w:t>
      </w:r>
      <w:r w:rsidRPr="00A46454">
        <w:rPr>
          <w:rStyle w:val="Heading1Char"/>
          <w:sz w:val="36"/>
        </w:rPr>
        <w:t xml:space="preserve"> Standards</w:t>
      </w:r>
      <w:bookmarkEnd w:id="342"/>
      <w:r w:rsidRPr="00A46454">
        <w:rPr>
          <w:rStyle w:val="Heading1Char"/>
          <w:sz w:val="36"/>
        </w:rPr>
        <w:t xml:space="preserve"> </w:t>
      </w:r>
    </w:p>
    <w:p w:rsidR="00BC6862" w:rsidRDefault="002C7CC5" w:rsidP="00BC6862">
      <w:pPr>
        <w:rPr>
          <w:rFonts w:ascii="Arial" w:hAnsi="Arial"/>
        </w:rPr>
      </w:pPr>
      <w:r w:rsidRPr="002C7CC5">
        <w:rPr>
          <w:rFonts w:ascii="Arial" w:hAnsi="Arial"/>
        </w:rPr>
        <w:t>The</w:t>
      </w:r>
      <w:r>
        <w:rPr>
          <w:rFonts w:ascii="Arial" w:hAnsi="Arial"/>
        </w:rPr>
        <w:t xml:space="preserve"> ICH has developed a collection of guidelines which are the minimum acceptable standards for the approval of medicines. These guidelines also form the minimum requirements for the approval of psychoactive products in New Zealand. </w:t>
      </w:r>
      <w:r w:rsidR="00BC6862">
        <w:rPr>
          <w:rFonts w:ascii="Arial" w:hAnsi="Arial"/>
        </w:rPr>
        <w:t>As such, where ever drug substance and drug product are referenced in regards to the ICH guidelines, the terms psychoactive substance and psychoactive product should be substituted instead.</w:t>
      </w:r>
    </w:p>
    <w:p w:rsidR="00E84E05" w:rsidRDefault="00E84E05" w:rsidP="00BC6862">
      <w:pPr>
        <w:rPr>
          <w:rFonts w:ascii="Arial" w:hAnsi="Arial"/>
        </w:rPr>
      </w:pPr>
    </w:p>
    <w:p w:rsidR="00E84E05" w:rsidRDefault="00E84E05" w:rsidP="00E84E05">
      <w:pPr>
        <w:pBdr>
          <w:top w:val="single" w:sz="18" w:space="1" w:color="auto"/>
          <w:left w:val="single" w:sz="18" w:space="4" w:color="auto"/>
          <w:bottom w:val="single" w:sz="18" w:space="1" w:color="auto"/>
          <w:right w:val="single" w:sz="18" w:space="4" w:color="auto"/>
        </w:pBdr>
        <w:rPr>
          <w:rFonts w:ascii="Arial" w:hAnsi="Arial"/>
        </w:rPr>
      </w:pPr>
      <w:r>
        <w:rPr>
          <w:rFonts w:ascii="Arial" w:hAnsi="Arial"/>
        </w:rPr>
        <w:t>Applicants should disregard all reference to animal testing.</w:t>
      </w:r>
      <w:r w:rsidRPr="002048CE">
        <w:rPr>
          <w:rFonts w:ascii="Arial" w:hAnsi="Arial"/>
        </w:rPr>
        <w:t xml:space="preserve"> </w:t>
      </w:r>
      <w:r>
        <w:rPr>
          <w:rFonts w:ascii="Arial" w:hAnsi="Arial"/>
        </w:rPr>
        <w:t>All other aspects of the following guidelines remain applicable to developing a new psychoactive product.</w:t>
      </w:r>
    </w:p>
    <w:p w:rsidR="00E84E05" w:rsidRDefault="00E84E05" w:rsidP="00E84E05">
      <w:pPr>
        <w:pBdr>
          <w:top w:val="single" w:sz="18" w:space="1" w:color="auto"/>
          <w:left w:val="single" w:sz="18" w:space="4" w:color="auto"/>
          <w:bottom w:val="single" w:sz="18" w:space="1" w:color="auto"/>
          <w:right w:val="single" w:sz="18" w:space="4" w:color="auto"/>
        </w:pBdr>
        <w:rPr>
          <w:rFonts w:ascii="Arial" w:hAnsi="Arial"/>
        </w:rPr>
      </w:pPr>
    </w:p>
    <w:p w:rsidR="00E84E05" w:rsidRDefault="00E84E05" w:rsidP="00E84E05">
      <w:pPr>
        <w:pBdr>
          <w:top w:val="single" w:sz="18" w:space="1" w:color="auto"/>
          <w:left w:val="single" w:sz="18" w:space="4" w:color="auto"/>
          <w:bottom w:val="single" w:sz="18" w:space="1" w:color="auto"/>
          <w:right w:val="single" w:sz="18" w:space="4" w:color="auto"/>
        </w:pBdr>
        <w:rPr>
          <w:rFonts w:ascii="Arial" w:hAnsi="Arial"/>
        </w:rPr>
      </w:pPr>
      <w:r w:rsidRPr="000B4BC9">
        <w:rPr>
          <w:rFonts w:ascii="Arial" w:hAnsi="Arial"/>
        </w:rPr>
        <w:t xml:space="preserve">The </w:t>
      </w:r>
      <w:r>
        <w:rPr>
          <w:rFonts w:ascii="Arial" w:hAnsi="Arial"/>
        </w:rPr>
        <w:t xml:space="preserve">Psychoactive Substances </w:t>
      </w:r>
      <w:r w:rsidRPr="000B4BC9">
        <w:rPr>
          <w:rFonts w:ascii="Arial" w:hAnsi="Arial"/>
        </w:rPr>
        <w:t xml:space="preserve">Act </w:t>
      </w:r>
      <w:r>
        <w:rPr>
          <w:rFonts w:ascii="Arial" w:hAnsi="Arial"/>
        </w:rPr>
        <w:t xml:space="preserve">2013 </w:t>
      </w:r>
      <w:r w:rsidRPr="000B4BC9">
        <w:rPr>
          <w:rFonts w:ascii="Arial" w:hAnsi="Arial"/>
        </w:rPr>
        <w:t>does not allow for the results of animal testing to be used to support the approval of a psychoactive product.</w:t>
      </w:r>
      <w:r w:rsidRPr="002048CE">
        <w:rPr>
          <w:rFonts w:ascii="Arial" w:hAnsi="Arial"/>
        </w:rPr>
        <w:t xml:space="preserve"> </w:t>
      </w:r>
      <w:r>
        <w:rPr>
          <w:rFonts w:ascii="Arial" w:hAnsi="Arial"/>
        </w:rPr>
        <w:t>Any reference to the use of animal testing in the following guidelines should be disregarded and alternatives sought.</w:t>
      </w:r>
    </w:p>
    <w:p w:rsidR="00E84E05" w:rsidRDefault="00E84E05" w:rsidP="00E84E05">
      <w:pPr>
        <w:pBdr>
          <w:top w:val="single" w:sz="18" w:space="1" w:color="auto"/>
          <w:left w:val="single" w:sz="18" w:space="4" w:color="auto"/>
          <w:bottom w:val="single" w:sz="18" w:space="1" w:color="auto"/>
          <w:right w:val="single" w:sz="18" w:space="4" w:color="auto"/>
        </w:pBdr>
        <w:rPr>
          <w:rFonts w:ascii="Arial" w:hAnsi="Arial"/>
        </w:rPr>
      </w:pPr>
    </w:p>
    <w:p w:rsidR="00E84E05" w:rsidRPr="00E76B5D" w:rsidRDefault="00E84E05" w:rsidP="00E84E05">
      <w:pPr>
        <w:pBdr>
          <w:top w:val="single" w:sz="18" w:space="1" w:color="auto"/>
          <w:left w:val="single" w:sz="18" w:space="4" w:color="auto"/>
          <w:bottom w:val="single" w:sz="18" w:space="1" w:color="auto"/>
          <w:right w:val="single" w:sz="18" w:space="4" w:color="auto"/>
        </w:pBdr>
        <w:rPr>
          <w:rFonts w:ascii="Arial" w:hAnsi="Arial"/>
          <w:b/>
          <w:sz w:val="22"/>
          <w:szCs w:val="22"/>
        </w:rPr>
      </w:pPr>
      <w:r w:rsidRPr="00E76B5D">
        <w:rPr>
          <w:rFonts w:ascii="Arial" w:hAnsi="Arial"/>
          <w:b/>
          <w:sz w:val="22"/>
          <w:szCs w:val="22"/>
        </w:rPr>
        <w:t xml:space="preserve">See </w:t>
      </w:r>
      <w:r w:rsidRPr="00871D12">
        <w:rPr>
          <w:rFonts w:ascii="Arial" w:hAnsi="Arial"/>
          <w:b/>
          <w:sz w:val="22"/>
          <w:szCs w:val="22"/>
        </w:rPr>
        <w:t xml:space="preserve">Appendix </w:t>
      </w:r>
      <w:r w:rsidR="00871D12">
        <w:rPr>
          <w:rFonts w:ascii="Arial" w:hAnsi="Arial"/>
          <w:b/>
          <w:sz w:val="22"/>
          <w:szCs w:val="22"/>
        </w:rPr>
        <w:t>3</w:t>
      </w:r>
      <w:r w:rsidRPr="00E76B5D">
        <w:rPr>
          <w:rFonts w:ascii="Arial" w:hAnsi="Arial"/>
          <w:b/>
          <w:sz w:val="22"/>
          <w:szCs w:val="22"/>
        </w:rPr>
        <w:t xml:space="preserve"> for the PSEAC Position Statement on animal testing</w:t>
      </w:r>
    </w:p>
    <w:p w:rsidR="00E84E05" w:rsidRDefault="00E84E05" w:rsidP="00E84E05">
      <w:pPr>
        <w:pBdr>
          <w:top w:val="single" w:sz="18" w:space="1" w:color="auto"/>
          <w:left w:val="single" w:sz="18" w:space="4" w:color="auto"/>
          <w:bottom w:val="single" w:sz="18" w:space="1" w:color="auto"/>
          <w:right w:val="single" w:sz="18" w:space="4" w:color="auto"/>
        </w:pBdr>
        <w:rPr>
          <w:rFonts w:ascii="Arial" w:hAnsi="Arial"/>
        </w:rPr>
      </w:pPr>
    </w:p>
    <w:p w:rsidR="00E84E05" w:rsidRDefault="00E84E05" w:rsidP="00E84E05">
      <w:pPr>
        <w:pBdr>
          <w:top w:val="single" w:sz="18" w:space="1" w:color="auto"/>
          <w:left w:val="single" w:sz="18" w:space="4" w:color="auto"/>
          <w:bottom w:val="single" w:sz="18" w:space="1" w:color="auto"/>
          <w:right w:val="single" w:sz="18" w:space="4" w:color="auto"/>
        </w:pBdr>
        <w:rPr>
          <w:rFonts w:ascii="Arial" w:hAnsi="Arial"/>
        </w:rPr>
      </w:pPr>
      <w:r w:rsidRPr="002048CE">
        <w:rPr>
          <w:rFonts w:ascii="Arial" w:hAnsi="Arial"/>
        </w:rPr>
        <w:t>The ICH guidelines recognise and support the use of non-animal tes</w:t>
      </w:r>
      <w:r w:rsidR="00871D12">
        <w:rPr>
          <w:rFonts w:ascii="Arial" w:hAnsi="Arial"/>
        </w:rPr>
        <w:t>ts which have been validated e.g.</w:t>
      </w:r>
      <w:r w:rsidRPr="002048CE">
        <w:rPr>
          <w:rFonts w:ascii="Arial" w:hAnsi="Arial"/>
        </w:rPr>
        <w:t xml:space="preserve"> genotoxicity.</w:t>
      </w:r>
    </w:p>
    <w:p w:rsidR="00E84E05" w:rsidRDefault="00E84E05" w:rsidP="00E84E05">
      <w:pPr>
        <w:pBdr>
          <w:top w:val="single" w:sz="18" w:space="1" w:color="auto"/>
          <w:left w:val="single" w:sz="18" w:space="4" w:color="auto"/>
          <w:bottom w:val="single" w:sz="18" w:space="1" w:color="auto"/>
          <w:right w:val="single" w:sz="18" w:space="4" w:color="auto"/>
        </w:pBdr>
        <w:rPr>
          <w:rFonts w:ascii="Arial" w:hAnsi="Arial"/>
        </w:rPr>
      </w:pPr>
    </w:p>
    <w:p w:rsidR="00E84E05" w:rsidRDefault="00E84E05" w:rsidP="00E84E05">
      <w:pPr>
        <w:pBdr>
          <w:top w:val="single" w:sz="18" w:space="1" w:color="auto"/>
          <w:left w:val="single" w:sz="18" w:space="4" w:color="auto"/>
          <w:bottom w:val="single" w:sz="18" w:space="1" w:color="auto"/>
          <w:right w:val="single" w:sz="18" w:space="4" w:color="auto"/>
        </w:pBdr>
        <w:rPr>
          <w:rFonts w:ascii="Arial" w:hAnsi="Arial"/>
        </w:rPr>
      </w:pPr>
      <w:r w:rsidRPr="00A66591">
        <w:rPr>
          <w:rStyle w:val="Arial"/>
        </w:rPr>
        <w:t xml:space="preserve">The </w:t>
      </w:r>
      <w:r>
        <w:rPr>
          <w:rStyle w:val="Arial"/>
        </w:rPr>
        <w:t>OPSRA</w:t>
      </w:r>
      <w:r w:rsidRPr="00A66591">
        <w:rPr>
          <w:rStyle w:val="Arial"/>
        </w:rPr>
        <w:t xml:space="preserve"> is willing to consider any information that the applicant can compile</w:t>
      </w:r>
      <w:r>
        <w:rPr>
          <w:rStyle w:val="Arial"/>
        </w:rPr>
        <w:t xml:space="preserve"> to demonstrate compliance</w:t>
      </w:r>
      <w:r w:rsidRPr="002048CE">
        <w:rPr>
          <w:rFonts w:ascii="Arial" w:hAnsi="Arial"/>
        </w:rPr>
        <w:t xml:space="preserve"> </w:t>
      </w:r>
      <w:r w:rsidRPr="000B4BC9">
        <w:rPr>
          <w:rFonts w:ascii="Arial" w:hAnsi="Arial"/>
        </w:rPr>
        <w:t>with</w:t>
      </w:r>
      <w:r>
        <w:rPr>
          <w:rFonts w:ascii="Arial" w:hAnsi="Arial"/>
        </w:rPr>
        <w:t>, or justify alternatives to,</w:t>
      </w:r>
      <w:r w:rsidRPr="000B4BC9">
        <w:rPr>
          <w:rFonts w:ascii="Arial" w:hAnsi="Arial"/>
        </w:rPr>
        <w:t xml:space="preserve"> the</w:t>
      </w:r>
      <w:r>
        <w:rPr>
          <w:rFonts w:ascii="Arial" w:hAnsi="Arial"/>
        </w:rPr>
        <w:t xml:space="preserve"> following standards</w:t>
      </w:r>
      <w:r w:rsidRPr="000B4BC9">
        <w:rPr>
          <w:rFonts w:ascii="Arial" w:hAnsi="Arial"/>
        </w:rPr>
        <w:t xml:space="preserve"> for each psychoactive product</w:t>
      </w:r>
      <w:r>
        <w:rPr>
          <w:rFonts w:ascii="Arial" w:hAnsi="Arial"/>
        </w:rPr>
        <w:t>.</w:t>
      </w:r>
      <w:r>
        <w:rPr>
          <w:rStyle w:val="Arial"/>
        </w:rPr>
        <w:t xml:space="preserve"> Note that t</w:t>
      </w:r>
      <w:r w:rsidRPr="002048CE">
        <w:rPr>
          <w:rFonts w:ascii="Arial" w:hAnsi="Arial"/>
        </w:rPr>
        <w:t xml:space="preserve">he </w:t>
      </w:r>
      <w:r>
        <w:rPr>
          <w:rFonts w:ascii="Arial" w:hAnsi="Arial"/>
        </w:rPr>
        <w:t>OPSRA will not consider the results of any human clinical trial that does not have suitable ethics committee approval.</w:t>
      </w:r>
    </w:p>
    <w:p w:rsidR="00E84E05" w:rsidRDefault="00E84E05" w:rsidP="00E84E05">
      <w:pPr>
        <w:pBdr>
          <w:top w:val="single" w:sz="18" w:space="1" w:color="auto"/>
          <w:left w:val="single" w:sz="18" w:space="4" w:color="auto"/>
          <w:bottom w:val="single" w:sz="18" w:space="1" w:color="auto"/>
          <w:right w:val="single" w:sz="18" w:space="4" w:color="auto"/>
        </w:pBdr>
        <w:rPr>
          <w:rFonts w:ascii="Arial" w:hAnsi="Arial"/>
        </w:rPr>
      </w:pPr>
    </w:p>
    <w:p w:rsidR="00E84E05" w:rsidRPr="002048CE" w:rsidRDefault="00E84E05" w:rsidP="00E84E05">
      <w:pPr>
        <w:pBdr>
          <w:top w:val="single" w:sz="18" w:space="1" w:color="auto"/>
          <w:left w:val="single" w:sz="18" w:space="4" w:color="auto"/>
          <w:bottom w:val="single" w:sz="18" w:space="1" w:color="auto"/>
          <w:right w:val="single" w:sz="18" w:space="4" w:color="auto"/>
        </w:pBdr>
        <w:rPr>
          <w:rFonts w:ascii="Arial" w:hAnsi="Arial"/>
        </w:rPr>
      </w:pPr>
      <w:r w:rsidRPr="002048CE">
        <w:rPr>
          <w:rFonts w:ascii="Arial" w:hAnsi="Arial"/>
        </w:rPr>
        <w:t>The lack of animal testing where required by these guidelines should be suitably justified in terms of safety of the user.</w:t>
      </w:r>
    </w:p>
    <w:p w:rsidR="00E84E05" w:rsidRDefault="00E84E05" w:rsidP="00E84E05">
      <w:pPr>
        <w:pBdr>
          <w:top w:val="single" w:sz="18" w:space="1" w:color="auto"/>
          <w:left w:val="single" w:sz="18" w:space="4" w:color="auto"/>
          <w:bottom w:val="single" w:sz="18" w:space="1" w:color="auto"/>
          <w:right w:val="single" w:sz="18" w:space="4" w:color="auto"/>
        </w:pBdr>
        <w:rPr>
          <w:rFonts w:ascii="Arial" w:hAnsi="Arial"/>
        </w:rPr>
      </w:pPr>
    </w:p>
    <w:p w:rsidR="00E84E05" w:rsidRDefault="00E84E05" w:rsidP="00E84E05">
      <w:pPr>
        <w:pBdr>
          <w:top w:val="single" w:sz="18" w:space="1" w:color="auto"/>
          <w:left w:val="single" w:sz="18" w:space="4" w:color="auto"/>
          <w:bottom w:val="single" w:sz="18" w:space="1" w:color="auto"/>
          <w:right w:val="single" w:sz="18" w:space="4" w:color="auto"/>
        </w:pBdr>
        <w:rPr>
          <w:rStyle w:val="Arial"/>
        </w:rPr>
      </w:pPr>
      <w:r w:rsidRPr="000B4BC9">
        <w:rPr>
          <w:rStyle w:val="Arial"/>
        </w:rPr>
        <w:t>Applicant</w:t>
      </w:r>
      <w:r>
        <w:rPr>
          <w:rStyle w:val="Arial"/>
        </w:rPr>
        <w:t>s should be aware of the</w:t>
      </w:r>
      <w:r w:rsidRPr="000B4BC9">
        <w:rPr>
          <w:rStyle w:val="Arial"/>
        </w:rPr>
        <w:t xml:space="preserve"> difficulties </w:t>
      </w:r>
      <w:r>
        <w:rPr>
          <w:rStyle w:val="Arial"/>
        </w:rPr>
        <w:t xml:space="preserve">identified in the PSEAC Position Statement </w:t>
      </w:r>
      <w:r w:rsidRPr="000B4BC9">
        <w:rPr>
          <w:rStyle w:val="Arial"/>
        </w:rPr>
        <w:t>when deciding whether to develop a psychoactive product</w:t>
      </w:r>
      <w:r>
        <w:rPr>
          <w:rStyle w:val="Arial"/>
        </w:rPr>
        <w:t>,</w:t>
      </w:r>
      <w:r w:rsidRPr="000B4BC9">
        <w:rPr>
          <w:rStyle w:val="Arial"/>
        </w:rPr>
        <w:t xml:space="preserve"> as refunds are unlikely to be granted once an application has been accepted.</w:t>
      </w:r>
    </w:p>
    <w:p w:rsidR="00871D12" w:rsidRDefault="00871D12" w:rsidP="00E84E05">
      <w:pPr>
        <w:pBdr>
          <w:top w:val="single" w:sz="18" w:space="1" w:color="auto"/>
          <w:left w:val="single" w:sz="18" w:space="4" w:color="auto"/>
          <w:bottom w:val="single" w:sz="18" w:space="1" w:color="auto"/>
          <w:right w:val="single" w:sz="18" w:space="4" w:color="auto"/>
        </w:pBdr>
        <w:rPr>
          <w:rStyle w:val="Arial"/>
        </w:rPr>
      </w:pPr>
    </w:p>
    <w:p w:rsidR="00BC6862" w:rsidRDefault="00BC6862" w:rsidP="002C7CC5">
      <w:pPr>
        <w:rPr>
          <w:rFonts w:ascii="Arial" w:hAnsi="Arial"/>
        </w:rPr>
      </w:pPr>
    </w:p>
    <w:p w:rsidR="00BC6862" w:rsidRDefault="00BC6862" w:rsidP="002C7CC5">
      <w:pPr>
        <w:rPr>
          <w:rFonts w:ascii="Arial" w:hAnsi="Arial"/>
        </w:rPr>
      </w:pPr>
      <w:r>
        <w:rPr>
          <w:rFonts w:ascii="Arial" w:hAnsi="Arial"/>
        </w:rPr>
        <w:t>The ICH website (</w:t>
      </w:r>
      <w:hyperlink r:id="rId59" w:history="1">
        <w:r w:rsidRPr="001528E4">
          <w:rPr>
            <w:rStyle w:val="Hyperlink"/>
            <w:rFonts w:ascii="Arial" w:hAnsi="Arial"/>
          </w:rPr>
          <w:t>www.ich.org</w:t>
        </w:r>
      </w:hyperlink>
      <w:r>
        <w:rPr>
          <w:rFonts w:ascii="Arial" w:hAnsi="Arial"/>
        </w:rPr>
        <w:t>) details the requirements for how the dossier of supporting quality, safety and efficacy data should be formatted. This format is called the common technical document (</w:t>
      </w:r>
      <w:hyperlink r:id="rId60" w:history="1">
        <w:r w:rsidRPr="001528E4">
          <w:rPr>
            <w:rStyle w:val="Hyperlink"/>
            <w:rFonts w:ascii="Arial" w:hAnsi="Arial"/>
          </w:rPr>
          <w:t>http://www.ich.org/products/ctd.html</w:t>
        </w:r>
      </w:hyperlink>
      <w:r>
        <w:rPr>
          <w:rFonts w:ascii="Arial" w:hAnsi="Arial"/>
        </w:rPr>
        <w:t>). Guidance on overall organisation of the information and on how to format and compile the quality, safety and efficacy data is also provided.</w:t>
      </w:r>
    </w:p>
    <w:p w:rsidR="00BC6862" w:rsidRDefault="00BC6862" w:rsidP="002C7CC5">
      <w:pPr>
        <w:rPr>
          <w:rFonts w:ascii="Arial" w:hAnsi="Arial"/>
        </w:rPr>
      </w:pPr>
    </w:p>
    <w:p w:rsidR="00082B60" w:rsidRDefault="00BC6862" w:rsidP="00BC6862">
      <w:pPr>
        <w:rPr>
          <w:rStyle w:val="Arial"/>
        </w:rPr>
      </w:pPr>
      <w:r>
        <w:rPr>
          <w:rFonts w:ascii="Arial" w:hAnsi="Arial"/>
        </w:rPr>
        <w:t>The ICH website also provides further detail on what is required to demonstrate the quality, safety and efficacy (including post-market monitoring) of a product (</w:t>
      </w:r>
      <w:hyperlink r:id="rId61" w:history="1">
        <w:r w:rsidRPr="001528E4">
          <w:rPr>
            <w:rStyle w:val="Hyperlink"/>
            <w:rFonts w:ascii="Arial" w:hAnsi="Arial"/>
          </w:rPr>
          <w:t>http://www.ich.org/products/guidelines.html</w:t>
        </w:r>
      </w:hyperlink>
      <w:r>
        <w:rPr>
          <w:rFonts w:ascii="Arial" w:hAnsi="Arial"/>
        </w:rPr>
        <w:t xml:space="preserve">). </w:t>
      </w:r>
      <w:r w:rsidR="00082B60" w:rsidRPr="000F1FF2">
        <w:rPr>
          <w:rStyle w:val="Arial"/>
        </w:rPr>
        <w:t>The</w:t>
      </w:r>
      <w:r>
        <w:rPr>
          <w:rStyle w:val="Arial"/>
        </w:rPr>
        <w:t xml:space="preserve">se </w:t>
      </w:r>
      <w:r w:rsidR="00082B60" w:rsidRPr="000F1FF2">
        <w:rPr>
          <w:rStyle w:val="Arial"/>
        </w:rPr>
        <w:t>quality standards</w:t>
      </w:r>
      <w:r>
        <w:rPr>
          <w:rStyle w:val="Arial"/>
        </w:rPr>
        <w:t xml:space="preserve"> are explained in further detail below and</w:t>
      </w:r>
      <w:r w:rsidR="00082B60" w:rsidRPr="000F1FF2">
        <w:rPr>
          <w:rStyle w:val="Arial"/>
        </w:rPr>
        <w:t xml:space="preserve"> set out the </w:t>
      </w:r>
      <w:r w:rsidR="00F004D6">
        <w:rPr>
          <w:rStyle w:val="Arial"/>
        </w:rPr>
        <w:t>OPSRA</w:t>
      </w:r>
      <w:r w:rsidR="00A46454">
        <w:rPr>
          <w:rStyle w:val="Arial"/>
        </w:rPr>
        <w:t>s</w:t>
      </w:r>
      <w:r w:rsidR="00082B60" w:rsidRPr="000F1FF2">
        <w:rPr>
          <w:rStyle w:val="Arial"/>
        </w:rPr>
        <w:t xml:space="preserve"> expectations wit</w:t>
      </w:r>
      <w:r w:rsidR="002048CE">
        <w:rPr>
          <w:rStyle w:val="Arial"/>
        </w:rPr>
        <w:t>h respect to the development,</w:t>
      </w:r>
      <w:r w:rsidR="00082B60" w:rsidRPr="000F1FF2">
        <w:rPr>
          <w:rStyle w:val="Arial"/>
        </w:rPr>
        <w:t xml:space="preserve"> manufacture</w:t>
      </w:r>
      <w:r w:rsidR="002048CE">
        <w:rPr>
          <w:rStyle w:val="Arial"/>
        </w:rPr>
        <w:t>, safety and post-market monitoring</w:t>
      </w:r>
      <w:r w:rsidR="00082B60" w:rsidRPr="000F1FF2">
        <w:rPr>
          <w:rStyle w:val="Arial"/>
        </w:rPr>
        <w:t xml:space="preserve"> of psychoactive products. </w:t>
      </w:r>
    </w:p>
    <w:p w:rsidR="00BC6862" w:rsidRPr="000F1FF2" w:rsidRDefault="00BC6862" w:rsidP="00BC6862">
      <w:pPr>
        <w:rPr>
          <w:rStyle w:val="Arial"/>
        </w:rPr>
      </w:pPr>
    </w:p>
    <w:p w:rsidR="00082B60" w:rsidRDefault="00082B60" w:rsidP="00082B60">
      <w:pPr>
        <w:rPr>
          <w:rFonts w:ascii="Arial" w:hAnsi="Arial"/>
        </w:rPr>
      </w:pPr>
      <w:r w:rsidRPr="00EE1F26">
        <w:rPr>
          <w:rFonts w:ascii="Arial" w:hAnsi="Arial"/>
        </w:rPr>
        <w:t xml:space="preserve">Compliance with the standards applicable to the dose forms used for each psychoactive product, </w:t>
      </w:r>
      <w:r w:rsidR="000B4BC9" w:rsidRPr="00EE1F26">
        <w:rPr>
          <w:rFonts w:ascii="Arial" w:hAnsi="Arial"/>
        </w:rPr>
        <w:t xml:space="preserve">supported by evidence, </w:t>
      </w:r>
      <w:r w:rsidRPr="00EE1F26">
        <w:rPr>
          <w:rFonts w:ascii="Arial" w:hAnsi="Arial"/>
        </w:rPr>
        <w:t>or justification of why compliance with one of these standards</w:t>
      </w:r>
      <w:r w:rsidR="000B4BC9">
        <w:rPr>
          <w:rFonts w:ascii="Arial" w:hAnsi="Arial"/>
        </w:rPr>
        <w:t xml:space="preserve"> is not demonstrated</w:t>
      </w:r>
      <w:r w:rsidRPr="00EE1F26">
        <w:rPr>
          <w:rFonts w:ascii="Arial" w:hAnsi="Arial"/>
        </w:rPr>
        <w:t>, is required if a product is to attain approval.</w:t>
      </w:r>
    </w:p>
    <w:p w:rsidR="00A46454" w:rsidRDefault="00A46454" w:rsidP="00082B60">
      <w:pPr>
        <w:rPr>
          <w:rFonts w:ascii="Arial" w:hAnsi="Arial"/>
        </w:rPr>
      </w:pPr>
    </w:p>
    <w:p w:rsidR="002048CE" w:rsidRPr="002048CE" w:rsidRDefault="002048CE" w:rsidP="002048CE">
      <w:pPr>
        <w:rPr>
          <w:rFonts w:ascii="Arial" w:hAnsi="Arial"/>
        </w:rPr>
      </w:pPr>
      <w:r w:rsidRPr="002048CE">
        <w:rPr>
          <w:rFonts w:ascii="Arial" w:hAnsi="Arial"/>
        </w:rPr>
        <w:t xml:space="preserve">For the purpose of conducting a safety assessment, psychoactive products should be considered against the ICH guidelines for products intended for acute intermittent use. </w:t>
      </w:r>
    </w:p>
    <w:p w:rsidR="002048CE" w:rsidRPr="002048CE" w:rsidRDefault="002048CE" w:rsidP="002048CE">
      <w:pPr>
        <w:rPr>
          <w:rFonts w:ascii="Arial" w:hAnsi="Arial"/>
        </w:rPr>
      </w:pPr>
    </w:p>
    <w:p w:rsidR="002048CE" w:rsidRPr="002048CE" w:rsidRDefault="002048CE" w:rsidP="002048CE">
      <w:pPr>
        <w:rPr>
          <w:rFonts w:ascii="Arial" w:hAnsi="Arial"/>
        </w:rPr>
      </w:pPr>
      <w:r w:rsidRPr="002048CE">
        <w:rPr>
          <w:rFonts w:ascii="Arial" w:hAnsi="Arial"/>
        </w:rPr>
        <w:t xml:space="preserve">The list of guidelines should be considered in their totality as the need to conduct one set of tests is often conditional on the results of another test. </w:t>
      </w:r>
    </w:p>
    <w:p w:rsidR="002048CE" w:rsidRPr="002048CE" w:rsidRDefault="002048CE" w:rsidP="002048CE">
      <w:pPr>
        <w:rPr>
          <w:rFonts w:ascii="Arial" w:hAnsi="Arial"/>
        </w:rPr>
      </w:pPr>
    </w:p>
    <w:p w:rsidR="002048CE" w:rsidRPr="002048CE" w:rsidRDefault="002048CE" w:rsidP="002048CE">
      <w:pPr>
        <w:rPr>
          <w:rFonts w:ascii="Arial" w:hAnsi="Arial"/>
        </w:rPr>
      </w:pPr>
      <w:r w:rsidRPr="002048CE">
        <w:rPr>
          <w:rFonts w:ascii="Arial" w:hAnsi="Arial"/>
        </w:rPr>
        <w:t>The nonclinical safety assessment for marketing approval of a pharmaceutical usually includes pharmacology studies, general toxicity studies, toxicokinetic and nonclinical pharmacokinetic studies, reproduction toxicity studies, genotoxicity studies and, for drugs that have special cause for concern or are intended for a long duration of use, an assess</w:t>
      </w:r>
      <w:r w:rsidR="0094469A">
        <w:rPr>
          <w:rFonts w:ascii="Arial" w:hAnsi="Arial"/>
        </w:rPr>
        <w:t xml:space="preserve">ment of carcinogenic potential. </w:t>
      </w:r>
      <w:r w:rsidRPr="002048CE">
        <w:rPr>
          <w:rFonts w:ascii="Arial" w:hAnsi="Arial"/>
        </w:rPr>
        <w:t xml:space="preserve">Other nonclinical studies to assess phototoxicity, immunotoxicity, and abuse liability </w:t>
      </w:r>
      <w:r w:rsidR="0094469A">
        <w:rPr>
          <w:rFonts w:ascii="Arial" w:hAnsi="Arial"/>
        </w:rPr>
        <w:t>are</w:t>
      </w:r>
      <w:r w:rsidRPr="002048CE">
        <w:rPr>
          <w:rFonts w:ascii="Arial" w:hAnsi="Arial"/>
        </w:rPr>
        <w:t xml:space="preserve"> conducted on a case-by-case basis.   </w:t>
      </w:r>
    </w:p>
    <w:p w:rsidR="002048CE" w:rsidRDefault="002048CE" w:rsidP="00082B60">
      <w:pPr>
        <w:rPr>
          <w:rFonts w:ascii="Arial" w:hAnsi="Arial"/>
        </w:rPr>
      </w:pPr>
    </w:p>
    <w:p w:rsidR="00E84E05" w:rsidRDefault="00E84E05">
      <w:pPr>
        <w:rPr>
          <w:rFonts w:ascii="Arial" w:hAnsi="Arial"/>
          <w:kern w:val="36"/>
          <w:sz w:val="36"/>
          <w:szCs w:val="48"/>
          <w:lang w:val="en-NZ" w:eastAsia="en-NZ"/>
        </w:rPr>
      </w:pPr>
      <w:r>
        <w:rPr>
          <w:bCs/>
          <w:sz w:val="36"/>
        </w:rPr>
        <w:br w:type="page"/>
      </w:r>
    </w:p>
    <w:p w:rsidR="002048CE" w:rsidRPr="002C7CC5" w:rsidRDefault="002048CE" w:rsidP="002C7CC5">
      <w:pPr>
        <w:pStyle w:val="Heading1"/>
        <w:rPr>
          <w:bCs w:val="0"/>
          <w:sz w:val="36"/>
        </w:rPr>
      </w:pPr>
      <w:bookmarkStart w:id="343" w:name="_Toc409508724"/>
      <w:r w:rsidRPr="002C7CC5">
        <w:rPr>
          <w:bCs w:val="0"/>
          <w:sz w:val="36"/>
        </w:rPr>
        <w:t>ICH Product Quality Standards</w:t>
      </w:r>
      <w:bookmarkEnd w:id="343"/>
    </w:p>
    <w:p w:rsidR="0094469A" w:rsidRDefault="0094469A" w:rsidP="0094469A">
      <w:pPr>
        <w:rPr>
          <w:rStyle w:val="Arial"/>
          <w:b/>
          <w:bCs/>
        </w:rPr>
      </w:pPr>
    </w:p>
    <w:p w:rsidR="00082B60" w:rsidRPr="0094469A" w:rsidRDefault="0094469A" w:rsidP="0094469A">
      <w:pPr>
        <w:rPr>
          <w:rStyle w:val="Arial"/>
          <w:b/>
          <w:bCs/>
        </w:rPr>
      </w:pPr>
      <w:r w:rsidRPr="0094469A">
        <w:rPr>
          <w:rStyle w:val="Arial"/>
          <w:b/>
          <w:bCs/>
        </w:rPr>
        <w:t xml:space="preserve">ICH </w:t>
      </w:r>
      <w:r w:rsidR="00082B60" w:rsidRPr="0094469A">
        <w:rPr>
          <w:rStyle w:val="Arial"/>
          <w:b/>
          <w:bCs/>
        </w:rPr>
        <w:t>Q1A(R2) S</w:t>
      </w:r>
      <w:r w:rsidR="00A46454" w:rsidRPr="0094469A">
        <w:rPr>
          <w:rStyle w:val="Arial"/>
          <w:b/>
          <w:bCs/>
        </w:rPr>
        <w:t xml:space="preserve">tability testing of new drug substances and products </w:t>
      </w:r>
    </w:p>
    <w:p w:rsidR="0094469A" w:rsidRDefault="0094469A" w:rsidP="00082B60">
      <w:pPr>
        <w:rPr>
          <w:rFonts w:ascii="Arial" w:hAnsi="Arial"/>
        </w:rPr>
      </w:pPr>
    </w:p>
    <w:p w:rsidR="00082B60" w:rsidRPr="00A46454" w:rsidRDefault="00082B60" w:rsidP="00082B60">
      <w:pPr>
        <w:rPr>
          <w:rFonts w:ascii="Arial" w:hAnsi="Arial"/>
        </w:rPr>
      </w:pPr>
      <w:r w:rsidRPr="00A46454">
        <w:rPr>
          <w:rFonts w:ascii="Arial" w:hAnsi="Arial"/>
        </w:rPr>
        <w:t>Th</w:t>
      </w:r>
      <w:r w:rsidR="00A46454" w:rsidRPr="00A46454">
        <w:rPr>
          <w:rFonts w:ascii="Arial" w:hAnsi="Arial"/>
        </w:rPr>
        <w:t xml:space="preserve">is </w:t>
      </w:r>
      <w:r w:rsidRPr="00A46454">
        <w:rPr>
          <w:rFonts w:ascii="Arial" w:hAnsi="Arial"/>
        </w:rPr>
        <w:t>guideline defines the stability data package for a new drug substance or drug product</w:t>
      </w:r>
      <w:r w:rsidR="00A46454">
        <w:rPr>
          <w:rFonts w:ascii="Arial" w:hAnsi="Arial"/>
        </w:rPr>
        <w:t>.</w:t>
      </w:r>
    </w:p>
    <w:p w:rsidR="00A46454" w:rsidRPr="00A46454" w:rsidRDefault="00A46454" w:rsidP="00082B60">
      <w:pPr>
        <w:rPr>
          <w:rFonts w:ascii="Arial" w:hAnsi="Arial"/>
          <w:highlight w:val="yellow"/>
        </w:rPr>
      </w:pPr>
    </w:p>
    <w:p w:rsidR="00082B60" w:rsidRPr="00A46454" w:rsidRDefault="00082B60" w:rsidP="00082B60">
      <w:pPr>
        <w:rPr>
          <w:rFonts w:ascii="Arial" w:hAnsi="Arial"/>
        </w:rPr>
      </w:pPr>
      <w:r w:rsidRPr="00A46454">
        <w:rPr>
          <w:rFonts w:ascii="Arial" w:hAnsi="Arial"/>
        </w:rPr>
        <w:t xml:space="preserve">The guideline seeks to exemplify the core stability data package for new drug substances and products, but leaves sufficient flexibility to encompass the variety of different practical situations that may be encountered due to specific scientific considerations and characteristics of the materials being evaluated. Alternative approaches can be used when there are scientifically justifiable reasons. </w:t>
      </w:r>
    </w:p>
    <w:p w:rsidR="00A46454" w:rsidRPr="00A46454" w:rsidRDefault="00A46454" w:rsidP="00082B60">
      <w:pPr>
        <w:rPr>
          <w:rFonts w:ascii="Arial" w:hAnsi="Arial"/>
          <w:highlight w:val="yellow"/>
        </w:rPr>
      </w:pPr>
    </w:p>
    <w:p w:rsidR="00082B60" w:rsidRPr="00A46454" w:rsidRDefault="00082B60" w:rsidP="00082B60">
      <w:pPr>
        <w:rPr>
          <w:rFonts w:ascii="Arial" w:hAnsi="Arial"/>
        </w:rPr>
      </w:pPr>
      <w:r w:rsidRPr="00A46454">
        <w:rPr>
          <w:rFonts w:ascii="Arial" w:hAnsi="Arial"/>
        </w:rPr>
        <w:t xml:space="preserve">Further guidance on new dosage forms and on biotechnological/biological products can be found in </w:t>
      </w:r>
      <w:r w:rsidR="0094469A" w:rsidRPr="008415F6">
        <w:rPr>
          <w:rFonts w:ascii="Arial" w:hAnsi="Arial"/>
        </w:rPr>
        <w:t>ICH</w:t>
      </w:r>
      <w:r w:rsidR="0094469A" w:rsidRPr="00A46454">
        <w:rPr>
          <w:rFonts w:ascii="Arial" w:hAnsi="Arial"/>
        </w:rPr>
        <w:t xml:space="preserve"> </w:t>
      </w:r>
      <w:r w:rsidRPr="00A46454">
        <w:rPr>
          <w:rFonts w:ascii="Arial" w:hAnsi="Arial"/>
        </w:rPr>
        <w:t xml:space="preserve">Q1C and Q5C, respectively. </w:t>
      </w:r>
    </w:p>
    <w:p w:rsidR="00A46454" w:rsidRPr="00A46454" w:rsidRDefault="00A46454" w:rsidP="00082B60">
      <w:pPr>
        <w:rPr>
          <w:rFonts w:ascii="Arial" w:hAnsi="Arial"/>
          <w:highlight w:val="yellow"/>
        </w:rPr>
      </w:pPr>
    </w:p>
    <w:p w:rsidR="00082B60" w:rsidRPr="00A46454" w:rsidRDefault="00082B60" w:rsidP="00082B60">
      <w:pPr>
        <w:rPr>
          <w:rFonts w:ascii="Arial" w:hAnsi="Arial"/>
        </w:rPr>
      </w:pPr>
      <w:r w:rsidRPr="00A46454">
        <w:rPr>
          <w:rFonts w:ascii="Arial" w:hAnsi="Arial"/>
        </w:rPr>
        <w:t xml:space="preserve">The purpose of stability testing is to provide evidence on how the quality of a drug substance or drug product varies with time under the influence of a variety of environmental factors such as temperature, humidity, and light, and to establish a re-test period for the drug substance or a shelf life for the drug product and recommended storage conditions. </w:t>
      </w:r>
    </w:p>
    <w:p w:rsidR="0094469A" w:rsidRDefault="0094469A" w:rsidP="0094469A">
      <w:pPr>
        <w:rPr>
          <w:rStyle w:val="Arial"/>
          <w:b/>
          <w:bCs/>
        </w:rPr>
      </w:pPr>
    </w:p>
    <w:p w:rsidR="00082B60" w:rsidRPr="0094469A" w:rsidRDefault="0094469A" w:rsidP="0094469A">
      <w:pPr>
        <w:rPr>
          <w:rStyle w:val="Arial"/>
          <w:b/>
          <w:bCs/>
        </w:rPr>
      </w:pPr>
      <w:r w:rsidRPr="0094469A">
        <w:rPr>
          <w:rStyle w:val="Arial"/>
          <w:b/>
          <w:bCs/>
        </w:rPr>
        <w:t xml:space="preserve">ICH </w:t>
      </w:r>
      <w:r w:rsidR="00082B60" w:rsidRPr="0094469A">
        <w:rPr>
          <w:rStyle w:val="Arial"/>
          <w:b/>
          <w:bCs/>
        </w:rPr>
        <w:t>Q1B S</w:t>
      </w:r>
      <w:r w:rsidR="00A46454" w:rsidRPr="0094469A">
        <w:rPr>
          <w:rStyle w:val="Arial"/>
          <w:b/>
          <w:bCs/>
        </w:rPr>
        <w:t xml:space="preserve">tability testing: photostability testing of new drug substances and products </w:t>
      </w:r>
    </w:p>
    <w:p w:rsidR="0094469A" w:rsidRDefault="0094469A" w:rsidP="00082B60">
      <w:pPr>
        <w:rPr>
          <w:rFonts w:ascii="Arial" w:hAnsi="Arial"/>
        </w:rPr>
      </w:pPr>
    </w:p>
    <w:p w:rsidR="00082B60" w:rsidRPr="00A46454" w:rsidRDefault="00082B60" w:rsidP="00082B60">
      <w:pPr>
        <w:rPr>
          <w:rFonts w:ascii="Arial" w:hAnsi="Arial"/>
        </w:rPr>
      </w:pPr>
      <w:r w:rsidRPr="00A46454">
        <w:rPr>
          <w:rFonts w:ascii="Arial" w:hAnsi="Arial"/>
        </w:rPr>
        <w:t xml:space="preserve">This document is an annex to </w:t>
      </w:r>
      <w:r w:rsidR="0094469A" w:rsidRPr="008415F6">
        <w:rPr>
          <w:rFonts w:ascii="Arial" w:hAnsi="Arial"/>
        </w:rPr>
        <w:t>ICH</w:t>
      </w:r>
      <w:r w:rsidR="0094469A" w:rsidRPr="00A46454">
        <w:rPr>
          <w:rFonts w:ascii="Arial" w:hAnsi="Arial"/>
        </w:rPr>
        <w:t xml:space="preserve"> </w:t>
      </w:r>
      <w:r w:rsidR="00A46454" w:rsidRPr="00A46454">
        <w:rPr>
          <w:rFonts w:ascii="Arial" w:hAnsi="Arial"/>
        </w:rPr>
        <w:t>Q1A(R2)</w:t>
      </w:r>
      <w:r w:rsidRPr="00A46454">
        <w:rPr>
          <w:rFonts w:ascii="Arial" w:hAnsi="Arial"/>
        </w:rPr>
        <w:t xml:space="preserve"> and addresses the recommendations for photostability testing. </w:t>
      </w:r>
      <w:r w:rsidR="0094469A" w:rsidRPr="008415F6">
        <w:rPr>
          <w:rFonts w:ascii="Arial" w:hAnsi="Arial"/>
        </w:rPr>
        <w:t>ICH</w:t>
      </w:r>
      <w:r w:rsidR="0094469A" w:rsidRPr="00A46454">
        <w:rPr>
          <w:rFonts w:ascii="Arial" w:hAnsi="Arial"/>
        </w:rPr>
        <w:t xml:space="preserve"> </w:t>
      </w:r>
      <w:r w:rsidR="00A46454" w:rsidRPr="00A46454">
        <w:rPr>
          <w:rFonts w:ascii="Arial" w:hAnsi="Arial"/>
        </w:rPr>
        <w:t>Q1A(R2) notes that light testing should be an integral part of stress testing.</w:t>
      </w:r>
    </w:p>
    <w:p w:rsidR="00A46454" w:rsidRPr="00A46454" w:rsidRDefault="00A46454" w:rsidP="00082B60">
      <w:pPr>
        <w:rPr>
          <w:rFonts w:ascii="Arial" w:hAnsi="Arial"/>
          <w:highlight w:val="yellow"/>
        </w:rPr>
      </w:pPr>
    </w:p>
    <w:p w:rsidR="00082B60" w:rsidRDefault="00082B60" w:rsidP="00082B60">
      <w:pPr>
        <w:rPr>
          <w:rFonts w:ascii="Arial" w:hAnsi="Arial"/>
        </w:rPr>
      </w:pPr>
      <w:r w:rsidRPr="00A46454">
        <w:rPr>
          <w:rFonts w:ascii="Arial" w:hAnsi="Arial"/>
        </w:rPr>
        <w:t xml:space="preserve">The intrinsic photostability characteristics of new drug substances and products should be evaluated to demonstrate that, as appropriate, light exposure does not result in unacceptable change. </w:t>
      </w:r>
    </w:p>
    <w:p w:rsidR="00A46454" w:rsidRPr="00A46454" w:rsidRDefault="00A46454" w:rsidP="00082B60">
      <w:pPr>
        <w:rPr>
          <w:rFonts w:ascii="Arial" w:hAnsi="Arial"/>
          <w:highlight w:val="yellow"/>
        </w:rPr>
      </w:pPr>
    </w:p>
    <w:p w:rsidR="00082B60" w:rsidRPr="00A46454" w:rsidRDefault="00082B60" w:rsidP="00082B60">
      <w:pPr>
        <w:rPr>
          <w:rFonts w:ascii="Arial" w:hAnsi="Arial"/>
        </w:rPr>
      </w:pPr>
      <w:r w:rsidRPr="00A46454">
        <w:rPr>
          <w:rFonts w:ascii="Arial" w:hAnsi="Arial"/>
        </w:rPr>
        <w:t xml:space="preserve">Alternative approaches </w:t>
      </w:r>
      <w:r w:rsidR="00A46454" w:rsidRPr="00A46454">
        <w:rPr>
          <w:rFonts w:ascii="Arial" w:hAnsi="Arial"/>
        </w:rPr>
        <w:t xml:space="preserve">to those specified in this guideline </w:t>
      </w:r>
      <w:r w:rsidRPr="00A46454">
        <w:rPr>
          <w:rFonts w:ascii="Arial" w:hAnsi="Arial"/>
        </w:rPr>
        <w:t xml:space="preserve">may be used if they are scientifically sound and justification is provided. </w:t>
      </w:r>
    </w:p>
    <w:p w:rsidR="00A46454" w:rsidRPr="00A46454" w:rsidRDefault="00A46454" w:rsidP="00082B60">
      <w:pPr>
        <w:rPr>
          <w:rFonts w:ascii="Arial" w:hAnsi="Arial"/>
        </w:rPr>
      </w:pPr>
    </w:p>
    <w:p w:rsidR="00082B60" w:rsidRPr="00A46454" w:rsidRDefault="00082B60" w:rsidP="00082B60">
      <w:pPr>
        <w:rPr>
          <w:rFonts w:ascii="Arial" w:hAnsi="Arial"/>
        </w:rPr>
      </w:pPr>
      <w:r w:rsidRPr="00A46454">
        <w:rPr>
          <w:rFonts w:ascii="Arial" w:hAnsi="Arial"/>
        </w:rPr>
        <w:t xml:space="preserve">The extent of drug product testing should be established by assessing whether or not acceptable change has occurred at the end of the light exposure testing as described in the Decision Flow Chart for Photostability Testing of Drug Products. </w:t>
      </w:r>
    </w:p>
    <w:p w:rsidR="00A46454" w:rsidRPr="00A46454" w:rsidRDefault="00A46454" w:rsidP="00082B60">
      <w:pPr>
        <w:rPr>
          <w:rFonts w:ascii="Arial" w:hAnsi="Arial"/>
          <w:highlight w:val="yellow"/>
        </w:rPr>
      </w:pPr>
    </w:p>
    <w:p w:rsidR="00082B60" w:rsidRPr="00A46454" w:rsidRDefault="00082B60" w:rsidP="00082B60">
      <w:pPr>
        <w:rPr>
          <w:rFonts w:ascii="Arial" w:hAnsi="Arial"/>
        </w:rPr>
      </w:pPr>
      <w:r w:rsidRPr="00A46454">
        <w:rPr>
          <w:rFonts w:ascii="Arial" w:hAnsi="Arial"/>
        </w:rPr>
        <w:t xml:space="preserve">The formal labelling requirements for </w:t>
      </w:r>
      <w:r w:rsidR="0094469A" w:rsidRPr="00A46454">
        <w:rPr>
          <w:rFonts w:ascii="Arial" w:hAnsi="Arial"/>
        </w:rPr>
        <w:t>photo labile</w:t>
      </w:r>
      <w:r w:rsidRPr="00A46454">
        <w:rPr>
          <w:rFonts w:ascii="Arial" w:hAnsi="Arial"/>
        </w:rPr>
        <w:t xml:space="preserve"> drug substances and drug products are established by national/regional requirements. </w:t>
      </w:r>
    </w:p>
    <w:p w:rsidR="0094469A" w:rsidRDefault="0094469A" w:rsidP="0094469A">
      <w:pPr>
        <w:rPr>
          <w:rStyle w:val="Arial"/>
          <w:b/>
          <w:bCs/>
        </w:rPr>
      </w:pPr>
    </w:p>
    <w:p w:rsidR="00082B60" w:rsidRPr="0094469A" w:rsidRDefault="0094469A" w:rsidP="0094469A">
      <w:pPr>
        <w:rPr>
          <w:rStyle w:val="Arial"/>
          <w:b/>
          <w:bCs/>
        </w:rPr>
      </w:pPr>
      <w:r w:rsidRPr="0094469A">
        <w:rPr>
          <w:rStyle w:val="Arial"/>
          <w:b/>
          <w:bCs/>
        </w:rPr>
        <w:t xml:space="preserve">ICH </w:t>
      </w:r>
      <w:r w:rsidR="00082B60" w:rsidRPr="0094469A">
        <w:rPr>
          <w:rStyle w:val="Arial"/>
          <w:b/>
          <w:bCs/>
        </w:rPr>
        <w:t>Q1C Guideline on Stability Testing of New Drug Substances</w:t>
      </w:r>
    </w:p>
    <w:p w:rsidR="0094469A" w:rsidRDefault="0094469A" w:rsidP="00082B60">
      <w:pPr>
        <w:rPr>
          <w:rFonts w:ascii="Arial" w:hAnsi="Arial"/>
        </w:rPr>
      </w:pPr>
    </w:p>
    <w:p w:rsidR="00082B60" w:rsidRPr="00A46454" w:rsidRDefault="00082B60" w:rsidP="00082B60">
      <w:pPr>
        <w:rPr>
          <w:rFonts w:ascii="Arial" w:hAnsi="Arial"/>
        </w:rPr>
      </w:pPr>
      <w:r w:rsidRPr="00A46454">
        <w:rPr>
          <w:rFonts w:ascii="Arial" w:hAnsi="Arial"/>
        </w:rPr>
        <w:t xml:space="preserve">This document is an annex to </w:t>
      </w:r>
      <w:r w:rsidR="0094469A" w:rsidRPr="008415F6">
        <w:rPr>
          <w:rFonts w:ascii="Arial" w:hAnsi="Arial"/>
        </w:rPr>
        <w:t>ICH</w:t>
      </w:r>
      <w:r w:rsidR="0094469A" w:rsidRPr="00A46454">
        <w:rPr>
          <w:rFonts w:ascii="Arial" w:hAnsi="Arial"/>
        </w:rPr>
        <w:t xml:space="preserve"> </w:t>
      </w:r>
      <w:r w:rsidR="00A46454" w:rsidRPr="00A46454">
        <w:rPr>
          <w:rFonts w:ascii="Arial" w:hAnsi="Arial"/>
        </w:rPr>
        <w:t xml:space="preserve">Q1A(R2) </w:t>
      </w:r>
      <w:r w:rsidRPr="00A46454">
        <w:rPr>
          <w:rFonts w:ascii="Arial" w:hAnsi="Arial"/>
        </w:rPr>
        <w:t xml:space="preserve">and addresses the recommendations on what should be submitted regarding stability of new dosage forms by the owner of the original application, after the original submission for new drug substances and products. </w:t>
      </w:r>
    </w:p>
    <w:p w:rsidR="00A46454" w:rsidRPr="00A46454" w:rsidRDefault="00A46454" w:rsidP="00082B60">
      <w:pPr>
        <w:rPr>
          <w:rFonts w:ascii="Arial" w:hAnsi="Arial"/>
          <w:highlight w:val="yellow"/>
        </w:rPr>
      </w:pPr>
    </w:p>
    <w:p w:rsidR="00082B60" w:rsidRPr="00A46454" w:rsidRDefault="00082B60" w:rsidP="00082B60">
      <w:pPr>
        <w:rPr>
          <w:rFonts w:ascii="Arial" w:hAnsi="Arial"/>
        </w:rPr>
      </w:pPr>
      <w:r w:rsidRPr="00A46454">
        <w:rPr>
          <w:rFonts w:ascii="Arial" w:hAnsi="Arial"/>
        </w:rPr>
        <w:t xml:space="preserve">A new dosage form is defined as a </w:t>
      </w:r>
      <w:r w:rsidR="00A46454" w:rsidRPr="00A46454">
        <w:rPr>
          <w:rFonts w:ascii="Arial" w:hAnsi="Arial"/>
        </w:rPr>
        <w:t>psychoactive</w:t>
      </w:r>
      <w:r w:rsidRPr="00A46454">
        <w:rPr>
          <w:rFonts w:ascii="Arial" w:hAnsi="Arial"/>
        </w:rPr>
        <w:t xml:space="preserve"> product which is a different product type, but contains the same active substance as included in the existing </w:t>
      </w:r>
      <w:r w:rsidR="00A46454" w:rsidRPr="00A46454">
        <w:rPr>
          <w:rFonts w:ascii="Arial" w:hAnsi="Arial"/>
        </w:rPr>
        <w:t xml:space="preserve">psychoactive </w:t>
      </w:r>
      <w:r w:rsidRPr="00A46454">
        <w:rPr>
          <w:rFonts w:ascii="Arial" w:hAnsi="Arial"/>
        </w:rPr>
        <w:t>product approved by the pertinent regulatory authority.</w:t>
      </w:r>
      <w:r w:rsidR="00A46454">
        <w:rPr>
          <w:rFonts w:ascii="Arial" w:hAnsi="Arial"/>
        </w:rPr>
        <w:t xml:space="preserve"> </w:t>
      </w:r>
      <w:r w:rsidRPr="00A46454">
        <w:rPr>
          <w:rFonts w:ascii="Arial" w:hAnsi="Arial"/>
        </w:rPr>
        <w:t>Such product types include products of new specific func</w:t>
      </w:r>
      <w:r w:rsidR="00A46454" w:rsidRPr="00A46454">
        <w:rPr>
          <w:rFonts w:ascii="Arial" w:hAnsi="Arial"/>
        </w:rPr>
        <w:t>tionality/delivery systems (</w:t>
      </w:r>
      <w:r w:rsidR="003749B7" w:rsidRPr="00A46454">
        <w:rPr>
          <w:rFonts w:ascii="Arial" w:hAnsi="Arial"/>
        </w:rPr>
        <w:t>e.g.</w:t>
      </w:r>
      <w:r w:rsidR="00A46454" w:rsidRPr="00A46454">
        <w:rPr>
          <w:rFonts w:ascii="Arial" w:hAnsi="Arial"/>
        </w:rPr>
        <w:t>,</w:t>
      </w:r>
      <w:r w:rsidRPr="00A46454">
        <w:rPr>
          <w:rFonts w:ascii="Arial" w:hAnsi="Arial"/>
        </w:rPr>
        <w:t xml:space="preserve"> immediate release tablet to modified release tablet) and different dosage forms of the sa</w:t>
      </w:r>
      <w:r w:rsidR="00A46454" w:rsidRPr="00A46454">
        <w:rPr>
          <w:rFonts w:ascii="Arial" w:hAnsi="Arial"/>
        </w:rPr>
        <w:t>me administration route (</w:t>
      </w:r>
      <w:r w:rsidR="003749B7" w:rsidRPr="00A46454">
        <w:rPr>
          <w:rFonts w:ascii="Arial" w:hAnsi="Arial"/>
        </w:rPr>
        <w:t>e.g.</w:t>
      </w:r>
      <w:r w:rsidR="00A46454" w:rsidRPr="00A46454">
        <w:rPr>
          <w:rFonts w:ascii="Arial" w:hAnsi="Arial"/>
        </w:rPr>
        <w:t>,</w:t>
      </w:r>
      <w:r w:rsidRPr="00A46454">
        <w:rPr>
          <w:rFonts w:ascii="Arial" w:hAnsi="Arial"/>
        </w:rPr>
        <w:t xml:space="preserve"> capsule to tablet). </w:t>
      </w:r>
      <w:r w:rsidR="00A46454" w:rsidRPr="00A46454">
        <w:rPr>
          <w:rFonts w:ascii="Arial" w:hAnsi="Arial"/>
        </w:rPr>
        <w:t>For example, a tablet and a capsule that both contain kava would be different dosage forms of the same product.</w:t>
      </w:r>
    </w:p>
    <w:p w:rsidR="00A46454" w:rsidRPr="00A46454" w:rsidRDefault="00A46454" w:rsidP="00082B60">
      <w:pPr>
        <w:rPr>
          <w:rFonts w:ascii="Arial" w:hAnsi="Arial"/>
        </w:rPr>
      </w:pPr>
    </w:p>
    <w:p w:rsidR="00082B60" w:rsidRPr="00A46454" w:rsidRDefault="00082B60" w:rsidP="00082B60">
      <w:pPr>
        <w:rPr>
          <w:rFonts w:ascii="Arial" w:hAnsi="Arial"/>
        </w:rPr>
      </w:pPr>
      <w:r w:rsidRPr="00A46454">
        <w:rPr>
          <w:rFonts w:ascii="Arial" w:hAnsi="Arial"/>
        </w:rPr>
        <w:t xml:space="preserve">Stability protocols for new dosage forms should follow the guidance in </w:t>
      </w:r>
      <w:r w:rsidR="0094469A" w:rsidRPr="008415F6">
        <w:rPr>
          <w:rFonts w:ascii="Arial" w:hAnsi="Arial"/>
        </w:rPr>
        <w:t>ICH</w:t>
      </w:r>
      <w:r w:rsidR="0094469A" w:rsidRPr="00A46454">
        <w:rPr>
          <w:rFonts w:ascii="Arial" w:hAnsi="Arial"/>
        </w:rPr>
        <w:t xml:space="preserve"> </w:t>
      </w:r>
      <w:r w:rsidR="00A46454" w:rsidRPr="00A46454">
        <w:rPr>
          <w:rFonts w:ascii="Arial" w:hAnsi="Arial"/>
        </w:rPr>
        <w:t xml:space="preserve">Q1A(R2) </w:t>
      </w:r>
      <w:r w:rsidRPr="00A46454">
        <w:rPr>
          <w:rFonts w:ascii="Arial" w:hAnsi="Arial"/>
        </w:rPr>
        <w:t>in principle. However, a reduced stability database at submission time (</w:t>
      </w:r>
      <w:r w:rsidR="003749B7" w:rsidRPr="00A46454">
        <w:rPr>
          <w:rFonts w:ascii="Arial" w:hAnsi="Arial"/>
        </w:rPr>
        <w:t>e.g.</w:t>
      </w:r>
      <w:r w:rsidRPr="00A46454">
        <w:rPr>
          <w:rFonts w:ascii="Arial" w:hAnsi="Arial"/>
        </w:rPr>
        <w:t xml:space="preserve">, 6 months accelerated and 6 months long term data from ongoing studies) may be acceptable in certain justified cases. </w:t>
      </w:r>
    </w:p>
    <w:p w:rsidR="0094469A" w:rsidRDefault="0094469A" w:rsidP="0094469A">
      <w:pPr>
        <w:rPr>
          <w:rStyle w:val="Arial"/>
          <w:b/>
          <w:bCs/>
        </w:rPr>
      </w:pPr>
    </w:p>
    <w:p w:rsidR="00082B60" w:rsidRPr="0094469A" w:rsidRDefault="0094469A" w:rsidP="0094469A">
      <w:pPr>
        <w:rPr>
          <w:rStyle w:val="Arial"/>
          <w:b/>
          <w:bCs/>
        </w:rPr>
      </w:pPr>
      <w:r w:rsidRPr="0094469A">
        <w:rPr>
          <w:rStyle w:val="Arial"/>
          <w:b/>
          <w:bCs/>
        </w:rPr>
        <w:t xml:space="preserve">ICH </w:t>
      </w:r>
      <w:r w:rsidR="00082B60" w:rsidRPr="0094469A">
        <w:rPr>
          <w:rStyle w:val="Arial"/>
          <w:b/>
          <w:bCs/>
        </w:rPr>
        <w:t>Q1D B</w:t>
      </w:r>
      <w:r w:rsidR="00A46454" w:rsidRPr="0094469A">
        <w:rPr>
          <w:rStyle w:val="Arial"/>
          <w:b/>
          <w:bCs/>
        </w:rPr>
        <w:t xml:space="preserve">racketing and matrixing designs for stability testing of new drug substances and products </w:t>
      </w:r>
    </w:p>
    <w:p w:rsidR="0094469A" w:rsidRDefault="0094469A" w:rsidP="00082B60">
      <w:pPr>
        <w:rPr>
          <w:rFonts w:ascii="Arial" w:hAnsi="Arial"/>
        </w:rPr>
      </w:pPr>
    </w:p>
    <w:p w:rsidR="00A46454" w:rsidRPr="00A46454" w:rsidRDefault="00082B60" w:rsidP="00082B60">
      <w:pPr>
        <w:rPr>
          <w:rFonts w:ascii="Arial" w:hAnsi="Arial"/>
        </w:rPr>
      </w:pPr>
      <w:r w:rsidRPr="00A46454">
        <w:rPr>
          <w:rFonts w:ascii="Arial" w:hAnsi="Arial"/>
        </w:rPr>
        <w:t xml:space="preserve">This guideline is intended to address recommendations on the application of bracketing and matrixing to stability studies conducted in accordance with principles outlined in </w:t>
      </w:r>
      <w:r w:rsidR="0094469A" w:rsidRPr="008415F6">
        <w:rPr>
          <w:rFonts w:ascii="Arial" w:hAnsi="Arial"/>
        </w:rPr>
        <w:t>ICH</w:t>
      </w:r>
      <w:r w:rsidR="0094469A" w:rsidRPr="00A46454">
        <w:rPr>
          <w:rFonts w:ascii="Arial" w:hAnsi="Arial"/>
        </w:rPr>
        <w:t xml:space="preserve"> </w:t>
      </w:r>
      <w:r w:rsidRPr="00A46454">
        <w:rPr>
          <w:rFonts w:ascii="Arial" w:hAnsi="Arial"/>
        </w:rPr>
        <w:t>Q1A(R</w:t>
      </w:r>
      <w:r w:rsidR="00A46454" w:rsidRPr="00A46454">
        <w:rPr>
          <w:rFonts w:ascii="Arial" w:hAnsi="Arial"/>
        </w:rPr>
        <w:t>2</w:t>
      </w:r>
      <w:r w:rsidRPr="00A46454">
        <w:rPr>
          <w:rFonts w:ascii="Arial" w:hAnsi="Arial"/>
        </w:rPr>
        <w:t>)</w:t>
      </w:r>
      <w:r w:rsidR="00A46454" w:rsidRPr="00A46454">
        <w:rPr>
          <w:rFonts w:ascii="Arial" w:hAnsi="Arial"/>
        </w:rPr>
        <w:t>.</w:t>
      </w:r>
    </w:p>
    <w:p w:rsidR="0094469A" w:rsidRDefault="0094469A" w:rsidP="0094469A">
      <w:pPr>
        <w:rPr>
          <w:rStyle w:val="Arial"/>
          <w:b/>
          <w:bCs/>
        </w:rPr>
      </w:pPr>
    </w:p>
    <w:p w:rsidR="00082B60" w:rsidRPr="0094469A" w:rsidRDefault="0094469A" w:rsidP="0094469A">
      <w:pPr>
        <w:rPr>
          <w:rStyle w:val="Arial"/>
          <w:b/>
          <w:bCs/>
        </w:rPr>
      </w:pPr>
      <w:r w:rsidRPr="0094469A">
        <w:rPr>
          <w:rStyle w:val="Arial"/>
          <w:b/>
          <w:bCs/>
        </w:rPr>
        <w:t xml:space="preserve">ICH </w:t>
      </w:r>
      <w:r w:rsidR="00082B60" w:rsidRPr="0094469A">
        <w:rPr>
          <w:rStyle w:val="Arial"/>
          <w:b/>
          <w:bCs/>
        </w:rPr>
        <w:t>Q1E E</w:t>
      </w:r>
      <w:r w:rsidR="00A46454" w:rsidRPr="0094469A">
        <w:rPr>
          <w:rStyle w:val="Arial"/>
          <w:b/>
          <w:bCs/>
        </w:rPr>
        <w:t>valuation of stability data</w:t>
      </w:r>
      <w:r w:rsidR="00082B60" w:rsidRPr="0094469A">
        <w:rPr>
          <w:rStyle w:val="Arial"/>
          <w:b/>
          <w:bCs/>
        </w:rPr>
        <w:t xml:space="preserve"> </w:t>
      </w:r>
    </w:p>
    <w:p w:rsidR="0094469A" w:rsidRDefault="0094469A" w:rsidP="00082B60">
      <w:pPr>
        <w:rPr>
          <w:rFonts w:ascii="Arial" w:hAnsi="Arial"/>
        </w:rPr>
      </w:pPr>
    </w:p>
    <w:p w:rsidR="00082B60" w:rsidRDefault="00082B60" w:rsidP="00082B60">
      <w:pPr>
        <w:rPr>
          <w:rFonts w:ascii="Arial" w:hAnsi="Arial"/>
        </w:rPr>
      </w:pPr>
      <w:r w:rsidRPr="00A46454">
        <w:rPr>
          <w:rFonts w:ascii="Arial" w:hAnsi="Arial"/>
        </w:rPr>
        <w:t xml:space="preserve">This guideline is intended to provide recommendations on how to use stability data generated in accordance with the principles detailed in </w:t>
      </w:r>
      <w:r w:rsidR="0094469A" w:rsidRPr="008415F6">
        <w:rPr>
          <w:rFonts w:ascii="Arial" w:hAnsi="Arial"/>
        </w:rPr>
        <w:t>ICH</w:t>
      </w:r>
      <w:r w:rsidR="0094469A" w:rsidRPr="00A46454">
        <w:rPr>
          <w:rFonts w:ascii="Arial" w:hAnsi="Arial"/>
        </w:rPr>
        <w:t xml:space="preserve"> </w:t>
      </w:r>
      <w:r w:rsidRPr="00A46454">
        <w:rPr>
          <w:rFonts w:ascii="Arial" w:hAnsi="Arial"/>
        </w:rPr>
        <w:t>Q1A(R</w:t>
      </w:r>
      <w:r w:rsidR="00A46454" w:rsidRPr="00A46454">
        <w:rPr>
          <w:rFonts w:ascii="Arial" w:hAnsi="Arial"/>
        </w:rPr>
        <w:t>2</w:t>
      </w:r>
      <w:r w:rsidRPr="00A46454">
        <w:rPr>
          <w:rFonts w:ascii="Arial" w:hAnsi="Arial"/>
        </w:rPr>
        <w:t>) to propose a retest period or shelf life in a registration application. This guideline describes when and how extrapolation can be considered when proposing a retest period for a drug substance or a shelf life for a drug product that extends beyond the period covered by “available data from the stability study under the long-term stor</w:t>
      </w:r>
      <w:r w:rsidR="000B4BC9">
        <w:rPr>
          <w:rFonts w:ascii="Arial" w:hAnsi="Arial"/>
        </w:rPr>
        <w:t>age condition”</w:t>
      </w:r>
      <w:r w:rsidRPr="00A46454">
        <w:rPr>
          <w:rFonts w:ascii="Arial" w:hAnsi="Arial"/>
        </w:rPr>
        <w:t xml:space="preserve">. </w:t>
      </w:r>
    </w:p>
    <w:p w:rsidR="00A46454" w:rsidRPr="00A46454" w:rsidRDefault="00A46454" w:rsidP="00082B60">
      <w:pPr>
        <w:rPr>
          <w:rFonts w:ascii="Arial" w:hAnsi="Arial"/>
        </w:rPr>
      </w:pPr>
    </w:p>
    <w:p w:rsidR="00082B60" w:rsidRPr="00A46454" w:rsidRDefault="00082B60" w:rsidP="00082B60">
      <w:pPr>
        <w:rPr>
          <w:rFonts w:ascii="Arial" w:hAnsi="Arial"/>
        </w:rPr>
      </w:pPr>
      <w:r w:rsidRPr="00A46454">
        <w:rPr>
          <w:rFonts w:ascii="Arial" w:hAnsi="Arial"/>
        </w:rPr>
        <w:t xml:space="preserve">This guideline addresses the evaluation of stability data that should be submitted in registration applications for new molecular entities and associated drug products. </w:t>
      </w:r>
      <w:r w:rsidR="0094469A">
        <w:rPr>
          <w:rFonts w:ascii="Arial" w:hAnsi="Arial"/>
        </w:rPr>
        <w:t xml:space="preserve">It also </w:t>
      </w:r>
      <w:r w:rsidRPr="00A46454">
        <w:rPr>
          <w:rFonts w:ascii="Arial" w:hAnsi="Arial"/>
        </w:rPr>
        <w:t>provides recommendations on establishing retest periods and shelf lives for drug substances and drug products intended for storage</w:t>
      </w:r>
      <w:r w:rsidR="000B4BC9">
        <w:rPr>
          <w:rFonts w:ascii="Arial" w:hAnsi="Arial"/>
        </w:rPr>
        <w:t xml:space="preserve"> at or below “room temperature”</w:t>
      </w:r>
      <w:r w:rsidRPr="00A46454">
        <w:rPr>
          <w:rFonts w:ascii="Arial" w:hAnsi="Arial"/>
        </w:rPr>
        <w:t xml:space="preserve">. </w:t>
      </w:r>
    </w:p>
    <w:p w:rsidR="00A46454" w:rsidRPr="00A46454" w:rsidRDefault="00A46454" w:rsidP="00082B60">
      <w:pPr>
        <w:rPr>
          <w:rFonts w:ascii="Arial" w:hAnsi="Arial"/>
          <w:highlight w:val="yellow"/>
        </w:rPr>
      </w:pPr>
    </w:p>
    <w:p w:rsidR="00082B60" w:rsidRPr="00A46454" w:rsidRDefault="0094469A" w:rsidP="00082B60">
      <w:pPr>
        <w:rPr>
          <w:rFonts w:ascii="Arial" w:hAnsi="Arial"/>
        </w:rPr>
      </w:pPr>
      <w:r w:rsidRPr="008415F6">
        <w:rPr>
          <w:rFonts w:ascii="Arial" w:hAnsi="Arial"/>
        </w:rPr>
        <w:t>ICH</w:t>
      </w:r>
      <w:r w:rsidRPr="00A46454">
        <w:rPr>
          <w:rFonts w:ascii="Arial" w:hAnsi="Arial"/>
        </w:rPr>
        <w:t xml:space="preserve"> </w:t>
      </w:r>
      <w:r w:rsidR="00082B60" w:rsidRPr="00A46454">
        <w:rPr>
          <w:rFonts w:ascii="Arial" w:hAnsi="Arial"/>
        </w:rPr>
        <w:t xml:space="preserve">Q6A and Q6B should be consulted for recommendations on the setting and justification of acceptance criteria, and </w:t>
      </w:r>
      <w:r w:rsidRPr="008415F6">
        <w:rPr>
          <w:rFonts w:ascii="Arial" w:hAnsi="Arial"/>
        </w:rPr>
        <w:t>ICH</w:t>
      </w:r>
      <w:r w:rsidRPr="00A46454">
        <w:rPr>
          <w:rFonts w:ascii="Arial" w:hAnsi="Arial"/>
        </w:rPr>
        <w:t xml:space="preserve"> </w:t>
      </w:r>
      <w:r w:rsidR="00082B60" w:rsidRPr="00A46454">
        <w:rPr>
          <w:rFonts w:ascii="Arial" w:hAnsi="Arial"/>
        </w:rPr>
        <w:t>Q1D should be referenced for rec</w:t>
      </w:r>
      <w:r>
        <w:rPr>
          <w:rFonts w:ascii="Arial" w:hAnsi="Arial"/>
        </w:rPr>
        <w:t>ommendations on the use of full</w:t>
      </w:r>
      <w:r w:rsidR="00082B60" w:rsidRPr="00A46454">
        <w:rPr>
          <w:rFonts w:ascii="Arial" w:hAnsi="Arial"/>
        </w:rPr>
        <w:t xml:space="preserve"> versus reduced-design studies. </w:t>
      </w:r>
    </w:p>
    <w:p w:rsidR="0094469A" w:rsidRDefault="0094469A" w:rsidP="0094469A">
      <w:pPr>
        <w:rPr>
          <w:rStyle w:val="Arial"/>
          <w:b/>
          <w:bCs/>
        </w:rPr>
      </w:pPr>
    </w:p>
    <w:p w:rsidR="00082B60" w:rsidRPr="0094469A" w:rsidRDefault="0094469A" w:rsidP="0094469A">
      <w:pPr>
        <w:rPr>
          <w:rStyle w:val="Arial"/>
          <w:b/>
          <w:bCs/>
        </w:rPr>
      </w:pPr>
      <w:r w:rsidRPr="0094469A">
        <w:rPr>
          <w:rStyle w:val="Arial"/>
          <w:b/>
          <w:bCs/>
        </w:rPr>
        <w:t xml:space="preserve">ICH </w:t>
      </w:r>
      <w:r w:rsidR="00082B60" w:rsidRPr="0094469A">
        <w:rPr>
          <w:rStyle w:val="Arial"/>
          <w:b/>
          <w:bCs/>
        </w:rPr>
        <w:t>Q2R1 T</w:t>
      </w:r>
      <w:r w:rsidR="008415F6" w:rsidRPr="0094469A">
        <w:rPr>
          <w:rStyle w:val="Arial"/>
          <w:b/>
          <w:bCs/>
        </w:rPr>
        <w:t xml:space="preserve">ext on validation of analytical procedures </w:t>
      </w:r>
    </w:p>
    <w:p w:rsidR="0094469A" w:rsidRDefault="0094469A" w:rsidP="00082B60">
      <w:pPr>
        <w:rPr>
          <w:rFonts w:ascii="Arial" w:hAnsi="Arial"/>
        </w:rPr>
      </w:pPr>
    </w:p>
    <w:p w:rsidR="00082B60" w:rsidRPr="008415F6" w:rsidRDefault="00082B60" w:rsidP="00082B60">
      <w:pPr>
        <w:rPr>
          <w:rFonts w:ascii="Arial" w:hAnsi="Arial"/>
        </w:rPr>
      </w:pPr>
      <w:r w:rsidRPr="008415F6">
        <w:rPr>
          <w:rFonts w:ascii="Arial" w:hAnsi="Arial"/>
        </w:rPr>
        <w:t>This document presents a discussion of the characteristics for consideration during the validation of the analytical procedures</w:t>
      </w:r>
      <w:r w:rsidR="008415F6" w:rsidRPr="008415F6">
        <w:rPr>
          <w:rFonts w:ascii="Arial" w:hAnsi="Arial"/>
        </w:rPr>
        <w:t>.</w:t>
      </w:r>
      <w:r w:rsidRPr="008415F6">
        <w:rPr>
          <w:rFonts w:ascii="Arial" w:hAnsi="Arial"/>
        </w:rPr>
        <w:t xml:space="preserve"> </w:t>
      </w:r>
      <w:r w:rsidR="008415F6" w:rsidRPr="008415F6">
        <w:rPr>
          <w:rFonts w:ascii="Arial" w:hAnsi="Arial"/>
        </w:rPr>
        <w:t>T</w:t>
      </w:r>
      <w:r w:rsidRPr="008415F6">
        <w:rPr>
          <w:rFonts w:ascii="Arial" w:hAnsi="Arial"/>
        </w:rPr>
        <w:t xml:space="preserve">his text presentation serves as a collection of terms, and their definitions, and is not intended to provide direction on how to accomplish validation. </w:t>
      </w:r>
    </w:p>
    <w:p w:rsidR="008415F6" w:rsidRPr="008415F6" w:rsidRDefault="008415F6" w:rsidP="00082B60">
      <w:pPr>
        <w:rPr>
          <w:rFonts w:ascii="Arial" w:hAnsi="Arial"/>
        </w:rPr>
      </w:pPr>
    </w:p>
    <w:p w:rsidR="00082B60" w:rsidRDefault="00082B60" w:rsidP="00082B60">
      <w:pPr>
        <w:rPr>
          <w:rFonts w:ascii="Arial" w:hAnsi="Arial"/>
        </w:rPr>
      </w:pPr>
      <w:r w:rsidRPr="008415F6">
        <w:rPr>
          <w:rFonts w:ascii="Arial" w:hAnsi="Arial"/>
        </w:rPr>
        <w:t xml:space="preserve">The objective of validation of an analytical procedure is to demonstrate that it is suitable for its intended purpose. A tabular summation of the characteristics applicable to identification, control of impurities and assay procedures is included. </w:t>
      </w:r>
    </w:p>
    <w:p w:rsidR="0094469A" w:rsidRPr="008415F6" w:rsidRDefault="0094469A" w:rsidP="00082B60">
      <w:pPr>
        <w:rPr>
          <w:rFonts w:ascii="Arial" w:hAnsi="Arial"/>
        </w:rPr>
      </w:pPr>
    </w:p>
    <w:p w:rsidR="00082B60" w:rsidRPr="0094469A" w:rsidRDefault="0094469A" w:rsidP="0094469A">
      <w:pPr>
        <w:rPr>
          <w:rStyle w:val="Arial"/>
          <w:b/>
          <w:bCs/>
        </w:rPr>
      </w:pPr>
      <w:r w:rsidRPr="0094469A">
        <w:rPr>
          <w:rStyle w:val="Arial"/>
          <w:b/>
          <w:bCs/>
        </w:rPr>
        <w:t xml:space="preserve">ICH </w:t>
      </w:r>
      <w:r w:rsidR="00082B60" w:rsidRPr="0094469A">
        <w:rPr>
          <w:rStyle w:val="Arial"/>
          <w:b/>
          <w:bCs/>
        </w:rPr>
        <w:t>Q3AR2 I</w:t>
      </w:r>
      <w:r w:rsidR="008415F6" w:rsidRPr="0094469A">
        <w:rPr>
          <w:rStyle w:val="Arial"/>
          <w:b/>
          <w:bCs/>
        </w:rPr>
        <w:t xml:space="preserve">mpurities in new drug substances </w:t>
      </w:r>
    </w:p>
    <w:p w:rsidR="0094469A" w:rsidRDefault="0094469A" w:rsidP="00082B60">
      <w:pPr>
        <w:rPr>
          <w:rFonts w:ascii="Arial" w:hAnsi="Arial"/>
        </w:rPr>
      </w:pPr>
    </w:p>
    <w:p w:rsidR="00082B60" w:rsidRDefault="00082B60" w:rsidP="00082B60">
      <w:pPr>
        <w:rPr>
          <w:rFonts w:ascii="Arial" w:hAnsi="Arial"/>
        </w:rPr>
      </w:pPr>
      <w:r w:rsidRPr="008415F6">
        <w:rPr>
          <w:rFonts w:ascii="Arial" w:hAnsi="Arial"/>
        </w:rPr>
        <w:t xml:space="preserve">This document is intended to provide guidance for registration applications on the content and qualification of impurities in new drug substances produced by chemical syntheses and not previously registered in a region or member state. </w:t>
      </w:r>
    </w:p>
    <w:p w:rsidR="008415F6" w:rsidRDefault="008415F6" w:rsidP="00082B60">
      <w:pPr>
        <w:rPr>
          <w:rFonts w:ascii="Arial" w:hAnsi="Arial"/>
        </w:rPr>
      </w:pPr>
    </w:p>
    <w:p w:rsidR="008415F6" w:rsidRDefault="00082B60" w:rsidP="00082B60">
      <w:pPr>
        <w:rPr>
          <w:rFonts w:ascii="Arial" w:hAnsi="Arial"/>
        </w:rPr>
      </w:pPr>
      <w:r w:rsidRPr="008415F6">
        <w:rPr>
          <w:rFonts w:ascii="Arial" w:hAnsi="Arial"/>
        </w:rPr>
        <w:t>Impurities in new drug substances are addressed from two perspectives:</w:t>
      </w:r>
    </w:p>
    <w:p w:rsidR="00082B60" w:rsidRPr="0094469A" w:rsidRDefault="0094469A" w:rsidP="00CF062F">
      <w:pPr>
        <w:pStyle w:val="ListParagraph"/>
        <w:numPr>
          <w:ilvl w:val="0"/>
          <w:numId w:val="45"/>
        </w:numPr>
        <w:spacing w:before="120" w:after="120"/>
        <w:ind w:left="714" w:hanging="357"/>
        <w:rPr>
          <w:rFonts w:ascii="Arial" w:hAnsi="Arial"/>
        </w:rPr>
      </w:pPr>
      <w:r w:rsidRPr="0094469A">
        <w:rPr>
          <w:rFonts w:ascii="Arial" w:hAnsi="Arial"/>
        </w:rPr>
        <w:t>chemistry a</w:t>
      </w:r>
      <w:r w:rsidR="00082B60" w:rsidRPr="0094469A">
        <w:rPr>
          <w:rFonts w:ascii="Arial" w:hAnsi="Arial"/>
        </w:rPr>
        <w:t>spects</w:t>
      </w:r>
      <w:r w:rsidRPr="0094469A">
        <w:rPr>
          <w:rFonts w:ascii="Arial" w:hAnsi="Arial"/>
        </w:rPr>
        <w:t>, which</w:t>
      </w:r>
      <w:r w:rsidR="00082B60" w:rsidRPr="0094469A">
        <w:rPr>
          <w:rFonts w:ascii="Arial" w:hAnsi="Arial"/>
        </w:rPr>
        <w:t xml:space="preserve"> include classification and identification of impurities, report generation, listing of impurities in specifications, and a brief discussion of analytical procedures; and </w:t>
      </w:r>
    </w:p>
    <w:p w:rsidR="00082B60" w:rsidRPr="0094469A" w:rsidRDefault="0094469A" w:rsidP="00CF062F">
      <w:pPr>
        <w:pStyle w:val="ListParagraph"/>
        <w:numPr>
          <w:ilvl w:val="0"/>
          <w:numId w:val="45"/>
        </w:numPr>
        <w:spacing w:before="120" w:after="120"/>
        <w:ind w:left="714" w:hanging="357"/>
        <w:rPr>
          <w:rFonts w:ascii="Arial" w:hAnsi="Arial"/>
        </w:rPr>
      </w:pPr>
      <w:r w:rsidRPr="0094469A">
        <w:rPr>
          <w:rFonts w:ascii="Arial" w:hAnsi="Arial"/>
        </w:rPr>
        <w:t>safety a</w:t>
      </w:r>
      <w:r w:rsidR="00082B60" w:rsidRPr="0094469A">
        <w:rPr>
          <w:rFonts w:ascii="Arial" w:hAnsi="Arial"/>
        </w:rPr>
        <w:t xml:space="preserve">spects include specific guidance for qualifying those impurities that were not present, or were present at substantially lower levels, in batches of a new drug substance used in safety and clinical studies. </w:t>
      </w:r>
    </w:p>
    <w:p w:rsidR="00082B60" w:rsidRPr="008415F6" w:rsidRDefault="00082B60" w:rsidP="00082B60">
      <w:pPr>
        <w:rPr>
          <w:rFonts w:ascii="Arial" w:hAnsi="Arial"/>
        </w:rPr>
      </w:pPr>
      <w:r w:rsidRPr="008415F6">
        <w:rPr>
          <w:rFonts w:ascii="Arial" w:hAnsi="Arial"/>
        </w:rPr>
        <w:t xml:space="preserve">Impurities can be classified into the following categories: </w:t>
      </w:r>
    </w:p>
    <w:p w:rsidR="00082B60" w:rsidRPr="008415F6" w:rsidRDefault="00082B60" w:rsidP="00082B60">
      <w:pPr>
        <w:rPr>
          <w:rFonts w:ascii="Arial" w:hAnsi="Arial"/>
        </w:rPr>
      </w:pPr>
      <w:r w:rsidRPr="008415F6">
        <w:rPr>
          <w:rFonts w:ascii="Arial" w:hAnsi="Arial"/>
        </w:rPr>
        <w:t xml:space="preserve">• Organic impurities (process- and drug-related) </w:t>
      </w:r>
    </w:p>
    <w:p w:rsidR="00082B60" w:rsidRPr="008415F6" w:rsidRDefault="00082B60" w:rsidP="00082B60">
      <w:pPr>
        <w:rPr>
          <w:rFonts w:ascii="Arial" w:hAnsi="Arial"/>
        </w:rPr>
      </w:pPr>
      <w:r w:rsidRPr="008415F6">
        <w:rPr>
          <w:rFonts w:ascii="Arial" w:hAnsi="Arial"/>
        </w:rPr>
        <w:t xml:space="preserve">• Inorganic impurities </w:t>
      </w:r>
    </w:p>
    <w:p w:rsidR="00082B60" w:rsidRDefault="00082B60" w:rsidP="00082B60">
      <w:pPr>
        <w:rPr>
          <w:rFonts w:ascii="Arial" w:hAnsi="Arial"/>
        </w:rPr>
      </w:pPr>
      <w:r w:rsidRPr="008415F6">
        <w:rPr>
          <w:rFonts w:ascii="Arial" w:hAnsi="Arial"/>
        </w:rPr>
        <w:t xml:space="preserve">• Residual solvents </w:t>
      </w:r>
    </w:p>
    <w:p w:rsidR="0094469A" w:rsidRDefault="0094469A" w:rsidP="0094469A">
      <w:pPr>
        <w:rPr>
          <w:rStyle w:val="Arial"/>
          <w:b/>
          <w:bCs/>
        </w:rPr>
      </w:pPr>
    </w:p>
    <w:p w:rsidR="008415F6" w:rsidRPr="0094469A" w:rsidRDefault="0094469A" w:rsidP="0094469A">
      <w:pPr>
        <w:rPr>
          <w:rStyle w:val="Arial"/>
          <w:b/>
          <w:bCs/>
        </w:rPr>
      </w:pPr>
      <w:r w:rsidRPr="0094469A">
        <w:rPr>
          <w:rStyle w:val="Arial"/>
          <w:b/>
          <w:bCs/>
        </w:rPr>
        <w:t xml:space="preserve">ICH </w:t>
      </w:r>
      <w:r w:rsidR="00082B60" w:rsidRPr="0094469A">
        <w:rPr>
          <w:rStyle w:val="Arial"/>
          <w:b/>
          <w:bCs/>
        </w:rPr>
        <w:t>Q3BR2 I</w:t>
      </w:r>
      <w:r w:rsidR="008415F6" w:rsidRPr="0094469A">
        <w:rPr>
          <w:rStyle w:val="Arial"/>
          <w:b/>
          <w:bCs/>
        </w:rPr>
        <w:t xml:space="preserve">mpurities in new drug products </w:t>
      </w:r>
    </w:p>
    <w:p w:rsidR="008415F6" w:rsidRPr="008415F6" w:rsidRDefault="008415F6" w:rsidP="008415F6">
      <w:pPr>
        <w:rPr>
          <w:rFonts w:ascii="Arial" w:hAnsi="Arial"/>
        </w:rPr>
      </w:pPr>
      <w:r w:rsidRPr="008415F6">
        <w:rPr>
          <w:rFonts w:ascii="Arial" w:hAnsi="Arial"/>
        </w:rPr>
        <w:t xml:space="preserve">This document provides guidance for registration applications on the content and qualification of impurities in new drug products produced from chemically synthesised new drug substances not previously registered in a region or member state. </w:t>
      </w:r>
    </w:p>
    <w:p w:rsidR="008415F6" w:rsidRDefault="008415F6" w:rsidP="008415F6">
      <w:pPr>
        <w:rPr>
          <w:rFonts w:ascii="Arial" w:hAnsi="Arial"/>
        </w:rPr>
      </w:pPr>
    </w:p>
    <w:p w:rsidR="008415F6" w:rsidRPr="008415F6" w:rsidRDefault="008415F6" w:rsidP="008415F6">
      <w:pPr>
        <w:rPr>
          <w:rFonts w:ascii="Arial" w:hAnsi="Arial"/>
        </w:rPr>
      </w:pPr>
      <w:r w:rsidRPr="008415F6">
        <w:rPr>
          <w:rFonts w:ascii="Arial" w:hAnsi="Arial"/>
        </w:rPr>
        <w:t xml:space="preserve">This guideline is complementary to the </w:t>
      </w:r>
      <w:r w:rsidR="0094469A" w:rsidRPr="008415F6">
        <w:rPr>
          <w:rFonts w:ascii="Arial" w:hAnsi="Arial"/>
        </w:rPr>
        <w:t xml:space="preserve">ICH </w:t>
      </w:r>
      <w:r w:rsidRPr="008415F6">
        <w:rPr>
          <w:rFonts w:ascii="Arial" w:hAnsi="Arial"/>
        </w:rPr>
        <w:t>Q3A(R</w:t>
      </w:r>
      <w:r w:rsidR="0094469A">
        <w:rPr>
          <w:rFonts w:ascii="Arial" w:hAnsi="Arial"/>
        </w:rPr>
        <w:t>2</w:t>
      </w:r>
      <w:r w:rsidRPr="008415F6">
        <w:rPr>
          <w:rFonts w:ascii="Arial" w:hAnsi="Arial"/>
        </w:rPr>
        <w:t xml:space="preserve">) which should be consulted for basic principles. </w:t>
      </w:r>
      <w:r w:rsidR="0094469A" w:rsidRPr="008415F6">
        <w:rPr>
          <w:rFonts w:ascii="Arial" w:hAnsi="Arial"/>
        </w:rPr>
        <w:t xml:space="preserve">ICH </w:t>
      </w:r>
      <w:r w:rsidRPr="008415F6">
        <w:rPr>
          <w:rFonts w:ascii="Arial" w:hAnsi="Arial"/>
        </w:rPr>
        <w:t>Q3C</w:t>
      </w:r>
      <w:r w:rsidR="0094469A">
        <w:rPr>
          <w:rFonts w:ascii="Arial" w:hAnsi="Arial"/>
        </w:rPr>
        <w:t>(R5)</w:t>
      </w:r>
      <w:r w:rsidRPr="008415F6">
        <w:rPr>
          <w:rFonts w:ascii="Arial" w:hAnsi="Arial"/>
        </w:rPr>
        <w:t xml:space="preserve"> should also be consulted, if appropriate. </w:t>
      </w:r>
    </w:p>
    <w:p w:rsidR="008415F6" w:rsidRDefault="008415F6" w:rsidP="008415F6">
      <w:pPr>
        <w:rPr>
          <w:rFonts w:ascii="Arial" w:hAnsi="Arial"/>
        </w:rPr>
      </w:pPr>
    </w:p>
    <w:p w:rsidR="008415F6" w:rsidRDefault="008415F6" w:rsidP="008415F6">
      <w:pPr>
        <w:rPr>
          <w:rFonts w:ascii="Arial" w:hAnsi="Arial"/>
        </w:rPr>
      </w:pPr>
      <w:r w:rsidRPr="008415F6">
        <w:rPr>
          <w:rFonts w:ascii="Arial" w:hAnsi="Arial"/>
        </w:rPr>
        <w:t>This guideline addresses only those impurities in new drug products classified as degradation products of the drug substance or reaction products of the drug substance with an excipient and/or immediate container closure system</w:t>
      </w:r>
      <w:r w:rsidR="0094469A">
        <w:rPr>
          <w:rFonts w:ascii="Arial" w:hAnsi="Arial"/>
        </w:rPr>
        <w:t>.</w:t>
      </w:r>
      <w:r w:rsidRPr="008415F6">
        <w:rPr>
          <w:rFonts w:ascii="Arial" w:hAnsi="Arial"/>
        </w:rPr>
        <w:t xml:space="preserve"> </w:t>
      </w:r>
    </w:p>
    <w:p w:rsidR="008415F6" w:rsidRPr="008415F6" w:rsidRDefault="008415F6" w:rsidP="008415F6">
      <w:pPr>
        <w:rPr>
          <w:rFonts w:ascii="Arial" w:hAnsi="Arial"/>
        </w:rPr>
      </w:pPr>
    </w:p>
    <w:p w:rsidR="008415F6" w:rsidRDefault="008415F6" w:rsidP="008415F6">
      <w:pPr>
        <w:rPr>
          <w:rFonts w:ascii="Arial" w:hAnsi="Arial"/>
        </w:rPr>
      </w:pPr>
      <w:r w:rsidRPr="008415F6">
        <w:rPr>
          <w:rFonts w:ascii="Arial" w:hAnsi="Arial"/>
        </w:rPr>
        <w:t xml:space="preserve">Impurities arising from excipients present in the new drug product or extracted or leached from the container closure system are not covered by this guideline. </w:t>
      </w:r>
    </w:p>
    <w:p w:rsidR="0094469A" w:rsidRDefault="0094469A" w:rsidP="0094469A">
      <w:pPr>
        <w:rPr>
          <w:rStyle w:val="Arial"/>
          <w:b/>
          <w:bCs/>
        </w:rPr>
      </w:pPr>
    </w:p>
    <w:p w:rsidR="00082B60" w:rsidRPr="0094469A" w:rsidRDefault="0094469A" w:rsidP="0094469A">
      <w:pPr>
        <w:rPr>
          <w:rStyle w:val="Arial"/>
          <w:b/>
          <w:bCs/>
        </w:rPr>
      </w:pPr>
      <w:r w:rsidRPr="0094469A">
        <w:rPr>
          <w:rStyle w:val="Arial"/>
          <w:b/>
          <w:bCs/>
        </w:rPr>
        <w:t xml:space="preserve">ICH </w:t>
      </w:r>
      <w:r w:rsidR="00082B60" w:rsidRPr="0094469A">
        <w:rPr>
          <w:rStyle w:val="Arial"/>
          <w:b/>
          <w:bCs/>
        </w:rPr>
        <w:t>Q3CR5 I</w:t>
      </w:r>
      <w:r w:rsidR="008415F6" w:rsidRPr="0094469A">
        <w:rPr>
          <w:rStyle w:val="Arial"/>
          <w:b/>
          <w:bCs/>
        </w:rPr>
        <w:t xml:space="preserve">mpurities: Guideline for residual solvents </w:t>
      </w:r>
    </w:p>
    <w:p w:rsidR="0094469A" w:rsidRDefault="0094469A" w:rsidP="00082B60">
      <w:pPr>
        <w:rPr>
          <w:rFonts w:ascii="Arial" w:hAnsi="Arial"/>
        </w:rPr>
      </w:pPr>
    </w:p>
    <w:p w:rsidR="00082B60" w:rsidRPr="008415F6" w:rsidRDefault="00082B60" w:rsidP="00082B60">
      <w:pPr>
        <w:rPr>
          <w:rFonts w:ascii="Arial" w:hAnsi="Arial"/>
        </w:rPr>
      </w:pPr>
      <w:r w:rsidRPr="008415F6">
        <w:rPr>
          <w:rFonts w:ascii="Arial" w:hAnsi="Arial"/>
        </w:rPr>
        <w:t>The objective of this guideline is to recommend acceptable amounts for residual solvents in pharmaceuticals for the safety of the patient. The guideline recommends use of less toxic solvents and describes levels considered to be toxicologically acceptable for some residual solvents.</w:t>
      </w:r>
    </w:p>
    <w:p w:rsidR="008415F6" w:rsidRPr="008415F6" w:rsidRDefault="008415F6" w:rsidP="00082B60">
      <w:pPr>
        <w:rPr>
          <w:rFonts w:ascii="Arial" w:hAnsi="Arial"/>
        </w:rPr>
      </w:pPr>
    </w:p>
    <w:p w:rsidR="00082B60" w:rsidRPr="008415F6" w:rsidRDefault="00082B60" w:rsidP="00082B60">
      <w:pPr>
        <w:rPr>
          <w:rFonts w:ascii="Arial" w:hAnsi="Arial"/>
        </w:rPr>
      </w:pPr>
      <w:r w:rsidRPr="008415F6">
        <w:rPr>
          <w:rFonts w:ascii="Arial" w:hAnsi="Arial"/>
        </w:rPr>
        <w:t>Residual solvents in pharmaceuticals are defined here as organic volatile chemicals that are used or produced in the manufacture of drug substances or excipients, or in the preparation of drug products</w:t>
      </w:r>
      <w:r w:rsidR="0094469A">
        <w:rPr>
          <w:rFonts w:ascii="Arial" w:hAnsi="Arial"/>
        </w:rPr>
        <w:t>, and that</w:t>
      </w:r>
      <w:r w:rsidRPr="008415F6">
        <w:rPr>
          <w:rFonts w:ascii="Arial" w:hAnsi="Arial"/>
        </w:rPr>
        <w:t xml:space="preserve"> are not completely removed by practical manufacturing techniques. Appropriate selection of the solvent for the synthesis of drug substance may enhance the yield, or determine characteristics such as crystal form, purity, and solubility. Therefore, the solvent may sometimes be a critical parameter in the synthetic process. This guideline does not address solvents deliberately used as excipients nor does it address solvates. However, the content of solvents in such products should be evaluated and justified.</w:t>
      </w:r>
    </w:p>
    <w:p w:rsidR="0094469A" w:rsidRDefault="0094469A" w:rsidP="0094469A">
      <w:pPr>
        <w:rPr>
          <w:rStyle w:val="Arial"/>
          <w:b/>
          <w:bCs/>
        </w:rPr>
      </w:pPr>
    </w:p>
    <w:p w:rsidR="008415F6" w:rsidRPr="0094469A" w:rsidRDefault="0094469A" w:rsidP="0094469A">
      <w:pPr>
        <w:rPr>
          <w:rStyle w:val="Arial"/>
          <w:b/>
          <w:bCs/>
        </w:rPr>
      </w:pPr>
      <w:r w:rsidRPr="0094469A">
        <w:rPr>
          <w:rStyle w:val="Arial"/>
          <w:b/>
          <w:bCs/>
        </w:rPr>
        <w:t xml:space="preserve">ICH </w:t>
      </w:r>
      <w:r w:rsidR="008415F6" w:rsidRPr="0094469A">
        <w:rPr>
          <w:rStyle w:val="Arial"/>
          <w:b/>
          <w:bCs/>
        </w:rPr>
        <w:t>Q3D Impurities: Guideline for elemental impurities</w:t>
      </w:r>
    </w:p>
    <w:p w:rsidR="0094469A" w:rsidRDefault="0094469A" w:rsidP="008415F6">
      <w:pPr>
        <w:rPr>
          <w:rFonts w:ascii="Arial" w:hAnsi="Arial"/>
        </w:rPr>
      </w:pPr>
    </w:p>
    <w:p w:rsidR="008415F6" w:rsidRPr="008415F6" w:rsidRDefault="008415F6" w:rsidP="008415F6">
      <w:pPr>
        <w:rPr>
          <w:rFonts w:ascii="Arial" w:hAnsi="Arial"/>
        </w:rPr>
      </w:pPr>
      <w:r w:rsidRPr="008415F6">
        <w:rPr>
          <w:rFonts w:ascii="Arial" w:hAnsi="Arial"/>
        </w:rPr>
        <w:t xml:space="preserve">This guideline is intended to provide recommendations on how element impurity levels should be controlled within acceptable limits in the drug product. There are three components of this guideline: the evaluation of the toxicity data for potential elemental impurities, the establishment of a Permitted Daily Exposure (PDE) for each element of toxicological concern, and development of controls designed to limit the inclusion of elemental impurities in drug products to levels at or below the PDE. </w:t>
      </w:r>
    </w:p>
    <w:p w:rsidR="008415F6" w:rsidRPr="008415F6" w:rsidRDefault="008415F6" w:rsidP="008415F6">
      <w:pPr>
        <w:rPr>
          <w:rFonts w:ascii="Arial" w:hAnsi="Arial"/>
        </w:rPr>
      </w:pPr>
    </w:p>
    <w:p w:rsidR="008415F6" w:rsidRPr="008415F6" w:rsidRDefault="008415F6" w:rsidP="008415F6">
      <w:pPr>
        <w:rPr>
          <w:rFonts w:ascii="Arial" w:hAnsi="Arial"/>
        </w:rPr>
      </w:pPr>
      <w:r w:rsidRPr="008415F6">
        <w:rPr>
          <w:rFonts w:ascii="Arial" w:hAnsi="Arial"/>
        </w:rPr>
        <w:t xml:space="preserve">Developing a strategy to limit elemental impurities in the drug product is consistent with risk management processes identified in ICH Q9. The process is described in this guideline as a four step process to assess and control elemental impurities in the drug product: identify, analyse, evaluate, and control. </w:t>
      </w:r>
    </w:p>
    <w:p w:rsidR="008415F6" w:rsidRPr="008415F6" w:rsidRDefault="008415F6" w:rsidP="008415F6">
      <w:pPr>
        <w:rPr>
          <w:rFonts w:ascii="Arial" w:hAnsi="Arial"/>
        </w:rPr>
      </w:pPr>
    </w:p>
    <w:p w:rsidR="008415F6" w:rsidRDefault="008415F6" w:rsidP="008415F6">
      <w:pPr>
        <w:rPr>
          <w:rFonts w:ascii="Arial" w:hAnsi="Arial"/>
        </w:rPr>
      </w:pPr>
      <w:r w:rsidRPr="008415F6">
        <w:rPr>
          <w:rFonts w:ascii="Arial" w:hAnsi="Arial"/>
        </w:rPr>
        <w:t xml:space="preserve">The PDEs in this guideline have been established based on acceptable safety limits of potentially toxic elemental impurities. </w:t>
      </w:r>
    </w:p>
    <w:p w:rsidR="008415F6" w:rsidRPr="008415F6" w:rsidRDefault="008415F6" w:rsidP="008415F6">
      <w:pPr>
        <w:rPr>
          <w:rFonts w:ascii="Arial" w:hAnsi="Arial"/>
        </w:rPr>
      </w:pPr>
    </w:p>
    <w:p w:rsidR="008415F6" w:rsidRDefault="008415F6" w:rsidP="008415F6">
      <w:pPr>
        <w:rPr>
          <w:rFonts w:ascii="Arial" w:hAnsi="Arial"/>
        </w:rPr>
      </w:pPr>
      <w:r w:rsidRPr="008415F6">
        <w:rPr>
          <w:rFonts w:ascii="Arial" w:hAnsi="Arial"/>
        </w:rPr>
        <w:t xml:space="preserve">Please note that while this is a draft guideline, the </w:t>
      </w:r>
      <w:r w:rsidR="00F004D6">
        <w:rPr>
          <w:rFonts w:ascii="Arial" w:hAnsi="Arial"/>
        </w:rPr>
        <w:t>OPSRA</w:t>
      </w:r>
      <w:r w:rsidRPr="008415F6">
        <w:rPr>
          <w:rFonts w:ascii="Arial" w:hAnsi="Arial"/>
        </w:rPr>
        <w:t xml:space="preserve"> still considers it to be best practice to follow this guideline.</w:t>
      </w:r>
    </w:p>
    <w:p w:rsidR="0094469A" w:rsidRDefault="0094469A" w:rsidP="0094469A">
      <w:pPr>
        <w:rPr>
          <w:rStyle w:val="Arial"/>
          <w:b/>
          <w:bCs/>
        </w:rPr>
      </w:pPr>
    </w:p>
    <w:p w:rsidR="008415F6" w:rsidRPr="0094469A" w:rsidRDefault="0094469A" w:rsidP="0094469A">
      <w:pPr>
        <w:rPr>
          <w:rStyle w:val="Arial"/>
          <w:b/>
          <w:bCs/>
        </w:rPr>
      </w:pPr>
      <w:r w:rsidRPr="0094469A">
        <w:rPr>
          <w:rStyle w:val="Arial"/>
          <w:b/>
          <w:bCs/>
        </w:rPr>
        <w:t xml:space="preserve">ICH </w:t>
      </w:r>
      <w:r w:rsidR="008415F6" w:rsidRPr="0094469A">
        <w:rPr>
          <w:rStyle w:val="Arial"/>
          <w:b/>
          <w:bCs/>
        </w:rPr>
        <w:t>Q5AR1 Viral safety evaluation of biotechnology products derived from cell lines of human or animal origin</w:t>
      </w:r>
    </w:p>
    <w:p w:rsidR="0094469A" w:rsidRDefault="0094469A" w:rsidP="008415F6">
      <w:pPr>
        <w:rPr>
          <w:rFonts w:ascii="Arial" w:hAnsi="Arial"/>
        </w:rPr>
      </w:pPr>
    </w:p>
    <w:p w:rsidR="008415F6" w:rsidRDefault="008415F6" w:rsidP="008415F6">
      <w:pPr>
        <w:rPr>
          <w:rFonts w:ascii="Arial" w:hAnsi="Arial"/>
        </w:rPr>
      </w:pPr>
      <w:r w:rsidRPr="008415F6">
        <w:rPr>
          <w:rFonts w:ascii="Arial" w:hAnsi="Arial"/>
        </w:rPr>
        <w:t xml:space="preserve">This document outlines the requirements for establishing and maintaining the safety of human or cell lines for production, and viral testing and inactivation. </w:t>
      </w:r>
    </w:p>
    <w:p w:rsidR="0094469A" w:rsidRDefault="0094469A" w:rsidP="0094469A">
      <w:pPr>
        <w:rPr>
          <w:rStyle w:val="Arial"/>
          <w:b/>
          <w:bCs/>
        </w:rPr>
      </w:pPr>
    </w:p>
    <w:p w:rsidR="008415F6" w:rsidRPr="0094469A" w:rsidRDefault="0094469A" w:rsidP="0094469A">
      <w:pPr>
        <w:rPr>
          <w:rStyle w:val="Arial"/>
          <w:b/>
          <w:bCs/>
        </w:rPr>
      </w:pPr>
      <w:r w:rsidRPr="0094469A">
        <w:rPr>
          <w:rStyle w:val="Arial"/>
          <w:b/>
          <w:bCs/>
        </w:rPr>
        <w:t xml:space="preserve">ICH </w:t>
      </w:r>
      <w:r w:rsidR="008415F6" w:rsidRPr="0094469A">
        <w:rPr>
          <w:rStyle w:val="Arial"/>
          <w:b/>
          <w:bCs/>
        </w:rPr>
        <w:t>Q5C Stability testing of biotechnological/biological products</w:t>
      </w:r>
    </w:p>
    <w:p w:rsidR="0094469A" w:rsidRDefault="0094469A" w:rsidP="008415F6">
      <w:pPr>
        <w:rPr>
          <w:rFonts w:ascii="Arial" w:hAnsi="Arial"/>
        </w:rPr>
      </w:pPr>
    </w:p>
    <w:p w:rsidR="008415F6" w:rsidRPr="008415F6" w:rsidRDefault="008415F6" w:rsidP="008415F6">
      <w:pPr>
        <w:rPr>
          <w:rFonts w:ascii="Arial" w:hAnsi="Arial"/>
        </w:rPr>
      </w:pPr>
      <w:r w:rsidRPr="008415F6">
        <w:rPr>
          <w:rFonts w:ascii="Arial" w:hAnsi="Arial"/>
        </w:rPr>
        <w:t xml:space="preserve">The guidance stated in </w:t>
      </w:r>
      <w:r w:rsidR="0094469A" w:rsidRPr="008415F6">
        <w:rPr>
          <w:rFonts w:ascii="Arial" w:hAnsi="Arial"/>
        </w:rPr>
        <w:t xml:space="preserve">ICH </w:t>
      </w:r>
      <w:r w:rsidRPr="008415F6">
        <w:rPr>
          <w:rFonts w:ascii="Arial" w:hAnsi="Arial"/>
        </w:rPr>
        <w:t xml:space="preserve">Q1A(R2) applies in general to biotechnological/biological products. However, biotechnological/biological products do have distinguishing characteristics to which consideration should be given in any well-defined testing program designed to confirm their stability during the intended storage period. </w:t>
      </w:r>
      <w:r w:rsidR="002048CE">
        <w:rPr>
          <w:rFonts w:ascii="Arial" w:hAnsi="Arial"/>
        </w:rPr>
        <w:t>Biotechnological/biological</w:t>
      </w:r>
      <w:r w:rsidRPr="008415F6">
        <w:rPr>
          <w:rFonts w:ascii="Arial" w:hAnsi="Arial"/>
        </w:rPr>
        <w:t xml:space="preserve"> products are particularly sensitive to environmental factors such as temperature changes, oxidation, light, ionic content, and shear. In order to ensure maintenance of biological activity and to avoid degradation, stringent conditions for their storage are usually necessary. The evaluation of stability may necessitate complex analytical methodologies. </w:t>
      </w:r>
    </w:p>
    <w:p w:rsidR="008415F6" w:rsidRPr="008415F6" w:rsidRDefault="008415F6" w:rsidP="008415F6">
      <w:pPr>
        <w:rPr>
          <w:rFonts w:ascii="Arial" w:hAnsi="Arial"/>
        </w:rPr>
      </w:pPr>
    </w:p>
    <w:p w:rsidR="008415F6" w:rsidRDefault="008415F6" w:rsidP="008415F6">
      <w:pPr>
        <w:rPr>
          <w:rFonts w:ascii="Arial" w:hAnsi="Arial"/>
        </w:rPr>
      </w:pPr>
      <w:r w:rsidRPr="008415F6">
        <w:rPr>
          <w:rFonts w:ascii="Arial" w:hAnsi="Arial"/>
        </w:rPr>
        <w:t xml:space="preserve">With the above concerns in mind, the applicant should develop the proper supporting stability data for a biotechnological/biological product and consider many external conditions which can affect the product’s potency, purity and quality. Primary data to support a requested storage period for either drug substance or drug product should be based on long-term, real-time, real-condition stability studies. Thus, the development of a proper long-term stability program becomes critical to the successful development of a commercial product. The purpose of this document is to give guidance to applicants regarding the type of stability studies that should be provided in support of marketing applications. </w:t>
      </w:r>
    </w:p>
    <w:p w:rsidR="00E84E05" w:rsidRPr="008415F6" w:rsidRDefault="00E84E05" w:rsidP="008415F6">
      <w:pPr>
        <w:rPr>
          <w:rFonts w:ascii="Arial" w:hAnsi="Arial"/>
        </w:rPr>
      </w:pPr>
    </w:p>
    <w:p w:rsidR="008415F6" w:rsidRDefault="0094469A" w:rsidP="0094469A">
      <w:pPr>
        <w:rPr>
          <w:rStyle w:val="Arial"/>
          <w:b/>
          <w:bCs/>
        </w:rPr>
      </w:pPr>
      <w:r w:rsidRPr="0094469A">
        <w:rPr>
          <w:rStyle w:val="Arial"/>
          <w:b/>
          <w:bCs/>
        </w:rPr>
        <w:t xml:space="preserve">ICH </w:t>
      </w:r>
      <w:r w:rsidR="00082B60" w:rsidRPr="0094469A">
        <w:rPr>
          <w:rStyle w:val="Arial"/>
          <w:b/>
          <w:bCs/>
        </w:rPr>
        <w:t>Q6A S</w:t>
      </w:r>
      <w:r w:rsidR="008415F6" w:rsidRPr="0094469A">
        <w:rPr>
          <w:rStyle w:val="Arial"/>
          <w:b/>
          <w:bCs/>
        </w:rPr>
        <w:t>pecifications: Test procedures and acceptance criteria for new drug substances and new drug products: Chemical substances</w:t>
      </w:r>
    </w:p>
    <w:p w:rsidR="0094469A" w:rsidRPr="0094469A" w:rsidRDefault="0094469A" w:rsidP="0094469A">
      <w:pPr>
        <w:rPr>
          <w:rStyle w:val="Arial"/>
          <w:b/>
          <w:bCs/>
        </w:rPr>
      </w:pPr>
    </w:p>
    <w:p w:rsidR="00082B60" w:rsidRPr="008415F6" w:rsidRDefault="00082B60" w:rsidP="00082B60">
      <w:pPr>
        <w:rPr>
          <w:rFonts w:ascii="Arial" w:hAnsi="Arial"/>
        </w:rPr>
      </w:pPr>
      <w:r w:rsidRPr="008415F6">
        <w:rPr>
          <w:rFonts w:ascii="Arial" w:hAnsi="Arial"/>
        </w:rPr>
        <w:t>This guideline is intended to assist to the extent possible, in the establishment of a single set of global specifications for new drug substances and new drug products. It provides guidance on the setting and justification of acceptance criteria and the selection of test procedures for new drug substances of synthetic chemical origin, and new drug products produced from them, which have not been registered</w:t>
      </w:r>
      <w:r w:rsidR="008415F6" w:rsidRPr="008415F6">
        <w:rPr>
          <w:rFonts w:ascii="Arial" w:hAnsi="Arial"/>
        </w:rPr>
        <w:t>.</w:t>
      </w:r>
    </w:p>
    <w:p w:rsidR="008415F6" w:rsidRPr="008415F6" w:rsidRDefault="008415F6" w:rsidP="00082B60">
      <w:pPr>
        <w:rPr>
          <w:rFonts w:ascii="Arial" w:hAnsi="Arial"/>
        </w:rPr>
      </w:pPr>
    </w:p>
    <w:p w:rsidR="00082B60" w:rsidRPr="008415F6" w:rsidRDefault="00082B60" w:rsidP="00082B60">
      <w:pPr>
        <w:rPr>
          <w:rFonts w:ascii="Arial" w:hAnsi="Arial"/>
        </w:rPr>
      </w:pPr>
      <w:r w:rsidRPr="008415F6">
        <w:rPr>
          <w:rFonts w:ascii="Arial" w:hAnsi="Arial"/>
        </w:rPr>
        <w:t xml:space="preserve">A specification is defined as a list of tests, references to analytical procedures, and appropriate acceptance criteria, which are numerical limits, ranges, or other criteria for the tests described. It establishes the set of criteria to which a drug substance or drug product should conform to be considered acceptable for its intended use. "Conformance to specifications" means that the drug substance and / or drug product, when tested according to the listed analytical procedures, will meet the listed acceptance criteria. Specifications are critical quality standards that are proposed and justified by the manufacturer and approved by regulatory authorities as conditions of approval. </w:t>
      </w:r>
    </w:p>
    <w:p w:rsidR="008415F6" w:rsidRPr="008415F6" w:rsidRDefault="008415F6" w:rsidP="00082B60">
      <w:pPr>
        <w:rPr>
          <w:rFonts w:ascii="Arial" w:hAnsi="Arial"/>
        </w:rPr>
      </w:pPr>
    </w:p>
    <w:p w:rsidR="00082B60" w:rsidRPr="008415F6" w:rsidRDefault="00082B60" w:rsidP="00082B60">
      <w:pPr>
        <w:rPr>
          <w:rFonts w:ascii="Arial" w:hAnsi="Arial"/>
        </w:rPr>
      </w:pPr>
      <w:r w:rsidRPr="008415F6">
        <w:rPr>
          <w:rFonts w:ascii="Arial" w:hAnsi="Arial"/>
        </w:rPr>
        <w:t xml:space="preserve">Specifications are one part of a total control strategy for the drug substance and drug product designed to ensure product quality and consistency. Other parts of this strategy include thorough product characterization during development, upon which specifications are based, and adherence to </w:t>
      </w:r>
      <w:r w:rsidR="0094469A">
        <w:rPr>
          <w:rFonts w:ascii="Arial" w:hAnsi="Arial"/>
        </w:rPr>
        <w:t>GMP</w:t>
      </w:r>
      <w:r w:rsidR="008415F6" w:rsidRPr="008415F6">
        <w:rPr>
          <w:rFonts w:ascii="Arial" w:hAnsi="Arial"/>
        </w:rPr>
        <w:t>; eg,</w:t>
      </w:r>
      <w:r w:rsidRPr="008415F6">
        <w:rPr>
          <w:rFonts w:ascii="Arial" w:hAnsi="Arial"/>
        </w:rPr>
        <w:t xml:space="preserve"> suitable facilities, a validated manufacturing process, validated test procedure, raw material testing, in-process testing, stability testing, etc. </w:t>
      </w:r>
    </w:p>
    <w:p w:rsidR="008415F6" w:rsidRPr="008415F6" w:rsidRDefault="008415F6" w:rsidP="00082B60">
      <w:pPr>
        <w:rPr>
          <w:rFonts w:ascii="Arial" w:hAnsi="Arial"/>
        </w:rPr>
      </w:pPr>
    </w:p>
    <w:p w:rsidR="00082B60" w:rsidRDefault="00082B60" w:rsidP="00082B60">
      <w:pPr>
        <w:rPr>
          <w:rFonts w:ascii="Arial" w:hAnsi="Arial"/>
        </w:rPr>
      </w:pPr>
      <w:r w:rsidRPr="008415F6">
        <w:rPr>
          <w:rFonts w:ascii="Arial" w:hAnsi="Arial"/>
        </w:rPr>
        <w:t xml:space="preserve">Specifications are chosen to confirm the quality of the drug substance and drug product rather than to establish full characterization, and should focus on those characteristics found to be useful in ensuring the safety and efficacy of the drug substance and drug product. </w:t>
      </w:r>
      <w:r w:rsidR="008415F6">
        <w:rPr>
          <w:rFonts w:ascii="Arial" w:hAnsi="Arial"/>
        </w:rPr>
        <w:t>There is no requirement for psychoactive products to meet efficacy criteria.</w:t>
      </w:r>
    </w:p>
    <w:p w:rsidR="0094469A" w:rsidRDefault="0094469A" w:rsidP="0094469A">
      <w:pPr>
        <w:rPr>
          <w:rStyle w:val="Arial"/>
          <w:b/>
          <w:bCs/>
        </w:rPr>
      </w:pPr>
    </w:p>
    <w:p w:rsidR="008415F6" w:rsidRDefault="0094469A" w:rsidP="0094469A">
      <w:pPr>
        <w:rPr>
          <w:rStyle w:val="Arial"/>
          <w:b/>
          <w:bCs/>
        </w:rPr>
      </w:pPr>
      <w:r w:rsidRPr="0094469A">
        <w:rPr>
          <w:rStyle w:val="Arial"/>
          <w:b/>
          <w:bCs/>
        </w:rPr>
        <w:t xml:space="preserve">ICH </w:t>
      </w:r>
      <w:r w:rsidR="008415F6" w:rsidRPr="0094469A">
        <w:rPr>
          <w:rStyle w:val="Arial"/>
          <w:b/>
          <w:bCs/>
        </w:rPr>
        <w:t>Q6B Specifications: Test procedure and acceptance criteria for biotechnological/biological products</w:t>
      </w:r>
    </w:p>
    <w:p w:rsidR="0094469A" w:rsidRPr="0094469A" w:rsidRDefault="0094469A" w:rsidP="0094469A">
      <w:pPr>
        <w:rPr>
          <w:rStyle w:val="Arial"/>
          <w:b/>
          <w:bCs/>
        </w:rPr>
      </w:pPr>
    </w:p>
    <w:p w:rsidR="008415F6" w:rsidRPr="008415F6" w:rsidRDefault="008415F6" w:rsidP="008415F6">
      <w:pPr>
        <w:rPr>
          <w:rFonts w:ascii="Arial" w:hAnsi="Arial"/>
        </w:rPr>
      </w:pPr>
      <w:r w:rsidRPr="008415F6">
        <w:rPr>
          <w:rFonts w:ascii="Arial" w:hAnsi="Arial"/>
        </w:rPr>
        <w:t>This guidance document provides general principles on the setting and justification, to the extent possible, of a uniform set of international specifications for biotechnological and biological products to support new marketing applications.</w:t>
      </w:r>
    </w:p>
    <w:p w:rsidR="008415F6" w:rsidRPr="008415F6" w:rsidRDefault="008415F6" w:rsidP="008415F6">
      <w:pPr>
        <w:rPr>
          <w:rFonts w:ascii="Arial" w:hAnsi="Arial"/>
        </w:rPr>
      </w:pPr>
    </w:p>
    <w:p w:rsidR="008415F6" w:rsidRDefault="008415F6" w:rsidP="008415F6">
      <w:pPr>
        <w:rPr>
          <w:rFonts w:ascii="Arial" w:hAnsi="Arial"/>
        </w:rPr>
      </w:pPr>
      <w:r w:rsidRPr="008415F6">
        <w:rPr>
          <w:rFonts w:ascii="Arial" w:hAnsi="Arial"/>
        </w:rPr>
        <w:t>Specifications are chosen to confirm the quality of the drug substance and drug product rather than to establish full characterization and should focus on those molecular and biological characteristics found to be useful in ensuring the safety and efficacy of the product.</w:t>
      </w:r>
    </w:p>
    <w:p w:rsidR="0094469A" w:rsidRDefault="0094469A" w:rsidP="0094469A">
      <w:pPr>
        <w:rPr>
          <w:rStyle w:val="Arial"/>
          <w:b/>
          <w:bCs/>
        </w:rPr>
      </w:pPr>
    </w:p>
    <w:p w:rsidR="00082B60" w:rsidRDefault="0094469A" w:rsidP="0094469A">
      <w:pPr>
        <w:rPr>
          <w:rStyle w:val="Arial"/>
          <w:b/>
          <w:bCs/>
        </w:rPr>
      </w:pPr>
      <w:r w:rsidRPr="0094469A">
        <w:rPr>
          <w:rStyle w:val="Arial"/>
          <w:b/>
          <w:bCs/>
        </w:rPr>
        <w:t xml:space="preserve">ICH </w:t>
      </w:r>
      <w:r w:rsidR="00082B60" w:rsidRPr="0094469A">
        <w:rPr>
          <w:rStyle w:val="Arial"/>
          <w:b/>
          <w:bCs/>
        </w:rPr>
        <w:t>Q7 G</w:t>
      </w:r>
      <w:r w:rsidR="008415F6" w:rsidRPr="0094469A">
        <w:rPr>
          <w:rStyle w:val="Arial"/>
          <w:b/>
          <w:bCs/>
        </w:rPr>
        <w:t xml:space="preserve">ood manufacturing practice guide for active pharmaceutical ingredients </w:t>
      </w:r>
    </w:p>
    <w:p w:rsidR="0094469A" w:rsidRPr="0094469A" w:rsidRDefault="0094469A" w:rsidP="0094469A">
      <w:pPr>
        <w:rPr>
          <w:rStyle w:val="Arial"/>
          <w:b/>
          <w:bCs/>
        </w:rPr>
      </w:pPr>
    </w:p>
    <w:p w:rsidR="00082B60" w:rsidRPr="008415F6" w:rsidRDefault="00082B60" w:rsidP="00082B60">
      <w:pPr>
        <w:rPr>
          <w:rFonts w:ascii="Arial" w:hAnsi="Arial"/>
        </w:rPr>
      </w:pPr>
      <w:r w:rsidRPr="008415F6">
        <w:rPr>
          <w:rFonts w:ascii="Arial" w:hAnsi="Arial"/>
        </w:rPr>
        <w:t xml:space="preserve">This document is intended to provide guidance regarding </w:t>
      </w:r>
      <w:r w:rsidR="0094469A">
        <w:rPr>
          <w:rFonts w:ascii="Arial" w:hAnsi="Arial"/>
        </w:rPr>
        <w:t>GMP</w:t>
      </w:r>
      <w:r w:rsidRPr="008415F6">
        <w:rPr>
          <w:rFonts w:ascii="Arial" w:hAnsi="Arial"/>
        </w:rPr>
        <w:t xml:space="preserve"> for the manufacturing of active pharmaceutical ingredients (APIs) under an appropriate system for managing quality. It is also intended to help ensure that APIs meet the requirements for quality and purity that they purport or are represented to possess. </w:t>
      </w:r>
    </w:p>
    <w:p w:rsidR="008415F6" w:rsidRPr="008415F6" w:rsidRDefault="008415F6" w:rsidP="00082B60">
      <w:pPr>
        <w:rPr>
          <w:rFonts w:ascii="Arial" w:hAnsi="Arial"/>
        </w:rPr>
      </w:pPr>
    </w:p>
    <w:p w:rsidR="00082B60" w:rsidRDefault="008415F6" w:rsidP="00082B60">
      <w:pPr>
        <w:rPr>
          <w:rFonts w:ascii="Arial" w:hAnsi="Arial"/>
        </w:rPr>
      </w:pPr>
      <w:r w:rsidRPr="008415F6">
        <w:rPr>
          <w:rFonts w:ascii="Arial" w:hAnsi="Arial"/>
        </w:rPr>
        <w:t>The g</w:t>
      </w:r>
      <w:r w:rsidR="00082B60" w:rsidRPr="008415F6">
        <w:rPr>
          <w:rFonts w:ascii="Arial" w:hAnsi="Arial"/>
        </w:rPr>
        <w:t xml:space="preserve">uide as a whole does not cover safety aspects for the personnel engaged in the manufacture, </w:t>
      </w:r>
      <w:r w:rsidR="0094469A" w:rsidRPr="008415F6">
        <w:rPr>
          <w:rFonts w:ascii="Arial" w:hAnsi="Arial"/>
        </w:rPr>
        <w:t>or</w:t>
      </w:r>
      <w:r w:rsidR="00082B60" w:rsidRPr="008415F6">
        <w:rPr>
          <w:rFonts w:ascii="Arial" w:hAnsi="Arial"/>
        </w:rPr>
        <w:t xml:space="preserve"> aspects of protection of the environment. These controls are inherent responsibilities of the manufacturer and are governed by national laws. </w:t>
      </w:r>
    </w:p>
    <w:p w:rsidR="0094469A" w:rsidRPr="008415F6" w:rsidRDefault="0094469A" w:rsidP="00082B60">
      <w:pPr>
        <w:rPr>
          <w:rFonts w:ascii="Arial" w:hAnsi="Arial"/>
        </w:rPr>
      </w:pPr>
    </w:p>
    <w:p w:rsidR="00082B60" w:rsidRDefault="0094469A" w:rsidP="0094469A">
      <w:pPr>
        <w:rPr>
          <w:rStyle w:val="Arial"/>
          <w:b/>
          <w:bCs/>
        </w:rPr>
      </w:pPr>
      <w:r w:rsidRPr="0094469A">
        <w:rPr>
          <w:rStyle w:val="Arial"/>
          <w:b/>
          <w:bCs/>
        </w:rPr>
        <w:t xml:space="preserve">ICH </w:t>
      </w:r>
      <w:r w:rsidR="00082B60" w:rsidRPr="0094469A">
        <w:rPr>
          <w:rStyle w:val="Arial"/>
          <w:b/>
          <w:bCs/>
        </w:rPr>
        <w:t>Q8R2 P</w:t>
      </w:r>
      <w:r w:rsidR="008415F6" w:rsidRPr="0094469A">
        <w:rPr>
          <w:rStyle w:val="Arial"/>
          <w:b/>
          <w:bCs/>
        </w:rPr>
        <w:t xml:space="preserve">harmaceutical development </w:t>
      </w:r>
    </w:p>
    <w:p w:rsidR="0094469A" w:rsidRPr="0094469A" w:rsidRDefault="0094469A" w:rsidP="0094469A">
      <w:pPr>
        <w:rPr>
          <w:rStyle w:val="Arial"/>
          <w:b/>
          <w:bCs/>
        </w:rPr>
      </w:pPr>
    </w:p>
    <w:p w:rsidR="00082B60" w:rsidRDefault="008415F6" w:rsidP="008415F6">
      <w:pPr>
        <w:rPr>
          <w:rFonts w:ascii="Arial" w:hAnsi="Arial"/>
        </w:rPr>
      </w:pPr>
      <w:r w:rsidRPr="008415F6">
        <w:rPr>
          <w:rFonts w:ascii="Arial" w:hAnsi="Arial"/>
        </w:rPr>
        <w:t>This guideline describes the suggested contents for the 3.2.P.2 (Pharmaceutical</w:t>
      </w:r>
      <w:r>
        <w:rPr>
          <w:rFonts w:ascii="Arial" w:hAnsi="Arial"/>
        </w:rPr>
        <w:t xml:space="preserve"> </w:t>
      </w:r>
      <w:r w:rsidRPr="008415F6">
        <w:rPr>
          <w:rFonts w:ascii="Arial" w:hAnsi="Arial"/>
        </w:rPr>
        <w:t xml:space="preserve">Development) section of a regulatory submission in the ICH M4 </w:t>
      </w:r>
      <w:r>
        <w:rPr>
          <w:rFonts w:ascii="Arial" w:hAnsi="Arial"/>
        </w:rPr>
        <w:t>CTD</w:t>
      </w:r>
      <w:r w:rsidRPr="008415F6">
        <w:rPr>
          <w:rFonts w:ascii="Arial" w:hAnsi="Arial"/>
        </w:rPr>
        <w:t xml:space="preserve"> </w:t>
      </w:r>
      <w:r w:rsidRPr="000B4BC9">
        <w:rPr>
          <w:rFonts w:ascii="Arial" w:hAnsi="Arial"/>
        </w:rPr>
        <w:t xml:space="preserve">format. </w:t>
      </w:r>
      <w:r w:rsidR="00082B60" w:rsidRPr="000B4BC9">
        <w:rPr>
          <w:rFonts w:ascii="Arial" w:hAnsi="Arial"/>
        </w:rPr>
        <w:t>The Pharmaceutical Development section provides an opportunity to present the knowledge gained through the application of scientific approaches and quality risk management to the development of a product and its manufacturing process. The Pharmaceutical Development section is intended to provide a comprehensive understanding of the product and manufacturing process for reviewers and inspectors. The guideline also indicates areas where the demonstration of greater understanding of pharmaceutical and manufacturing sciences can create a basis for flexible regulatory approaches. The degree of regulatory flexibility is predicated on the level of relevant scientific knowledge provided.</w:t>
      </w:r>
    </w:p>
    <w:p w:rsidR="0094469A" w:rsidRDefault="0094469A" w:rsidP="008415F6">
      <w:pPr>
        <w:rPr>
          <w:rFonts w:ascii="Arial" w:hAnsi="Arial"/>
        </w:rPr>
      </w:pPr>
    </w:p>
    <w:p w:rsidR="00082B60" w:rsidRDefault="0094469A" w:rsidP="0094469A">
      <w:pPr>
        <w:rPr>
          <w:rStyle w:val="Arial"/>
          <w:b/>
          <w:bCs/>
        </w:rPr>
      </w:pPr>
      <w:r w:rsidRPr="0094469A">
        <w:rPr>
          <w:rStyle w:val="Arial"/>
          <w:b/>
          <w:bCs/>
        </w:rPr>
        <w:t xml:space="preserve">ICH </w:t>
      </w:r>
      <w:r w:rsidR="00082B60" w:rsidRPr="0094469A">
        <w:rPr>
          <w:rStyle w:val="Arial"/>
          <w:b/>
          <w:bCs/>
        </w:rPr>
        <w:t>Q9 Q</w:t>
      </w:r>
      <w:r w:rsidR="000B4BC9" w:rsidRPr="0094469A">
        <w:rPr>
          <w:rStyle w:val="Arial"/>
          <w:b/>
          <w:bCs/>
        </w:rPr>
        <w:t xml:space="preserve">uality risk management </w:t>
      </w:r>
    </w:p>
    <w:p w:rsidR="0094469A" w:rsidRPr="0094469A" w:rsidRDefault="0094469A" w:rsidP="0094469A">
      <w:pPr>
        <w:rPr>
          <w:rStyle w:val="Arial"/>
          <w:b/>
          <w:bCs/>
        </w:rPr>
      </w:pPr>
    </w:p>
    <w:p w:rsidR="00082B60" w:rsidRDefault="000B4BC9" w:rsidP="00082B60">
      <w:pPr>
        <w:rPr>
          <w:rFonts w:ascii="Arial" w:hAnsi="Arial"/>
        </w:rPr>
      </w:pPr>
      <w:r w:rsidRPr="000B4BC9">
        <w:rPr>
          <w:rFonts w:ascii="Arial" w:hAnsi="Arial"/>
        </w:rPr>
        <w:t>T</w:t>
      </w:r>
      <w:r w:rsidR="00082B60" w:rsidRPr="000B4BC9">
        <w:rPr>
          <w:rFonts w:ascii="Arial" w:hAnsi="Arial"/>
        </w:rPr>
        <w:t xml:space="preserve">he importance of quality systems has been recognized in the pharmaceutical industry and it is becoming evident that quality risk management is a valuable component of an effective quality system. </w:t>
      </w:r>
    </w:p>
    <w:p w:rsidR="000B4BC9" w:rsidRPr="000B4BC9" w:rsidRDefault="000B4BC9" w:rsidP="00082B60">
      <w:pPr>
        <w:rPr>
          <w:rFonts w:ascii="Arial" w:hAnsi="Arial"/>
        </w:rPr>
      </w:pPr>
    </w:p>
    <w:p w:rsidR="00082B60" w:rsidRPr="000B4BC9" w:rsidRDefault="00082B60" w:rsidP="00082B60">
      <w:pPr>
        <w:rPr>
          <w:rFonts w:ascii="Arial" w:hAnsi="Arial"/>
        </w:rPr>
      </w:pPr>
      <w:r w:rsidRPr="000B4BC9">
        <w:rPr>
          <w:rFonts w:ascii="Arial" w:hAnsi="Arial"/>
        </w:rPr>
        <w:t xml:space="preserve">It is commonly understood that risk is defined as the combination of the probability of occurrence of harm and the severity of that harm. </w:t>
      </w:r>
    </w:p>
    <w:p w:rsidR="000B4BC9" w:rsidRPr="000B4BC9" w:rsidRDefault="000B4BC9" w:rsidP="00082B60">
      <w:pPr>
        <w:rPr>
          <w:rFonts w:ascii="Arial" w:hAnsi="Arial"/>
        </w:rPr>
      </w:pPr>
    </w:p>
    <w:p w:rsidR="00082B60" w:rsidRPr="000B4BC9" w:rsidRDefault="00082B60" w:rsidP="00082B60">
      <w:pPr>
        <w:rPr>
          <w:rFonts w:ascii="Arial" w:hAnsi="Arial"/>
        </w:rPr>
      </w:pPr>
      <w:r w:rsidRPr="000B4BC9">
        <w:rPr>
          <w:rFonts w:ascii="Arial" w:hAnsi="Arial"/>
        </w:rPr>
        <w:t xml:space="preserve">The manufacturing and use of a drug product, including its components, necessarily entail some degree of risk. The risk to its quality is just one component of the overall risk. It is important to understand that product quality should be maintained throughout the product lifecycle such that the attributes that are important to the quality of the drug product remain consistent with those used in the clinical studies. An effective quality risk management approach can further ensure the high quality of the drug product to the patient by providing a proactive means to identify and control potential quality issues during development and manufacturing. Additionally, use of quality risk management can improve the decision making if a quality problem arises. Effective quality risk management can facilitate better and more informed decisions, can provide regulators with greater assurance of a company’s ability to deal with potential risks and can beneficially affect the extent and level of direct regulatory oversight. </w:t>
      </w:r>
    </w:p>
    <w:p w:rsidR="000B4BC9" w:rsidRDefault="000B4BC9" w:rsidP="00082B60">
      <w:pPr>
        <w:rPr>
          <w:rFonts w:ascii="Arial" w:hAnsi="Arial"/>
          <w:highlight w:val="yellow"/>
        </w:rPr>
      </w:pPr>
    </w:p>
    <w:p w:rsidR="000B4BC9" w:rsidRPr="00A46454" w:rsidRDefault="00082B60" w:rsidP="000B4BC9">
      <w:pPr>
        <w:rPr>
          <w:rFonts w:ascii="Arial" w:hAnsi="Arial"/>
        </w:rPr>
      </w:pPr>
      <w:r w:rsidRPr="000B4BC9">
        <w:rPr>
          <w:rFonts w:ascii="Arial" w:hAnsi="Arial"/>
        </w:rPr>
        <w:t xml:space="preserve">The purpose of this document is to offer a systematic approach to quality risk management. It serves as a foundation or resource document that is independent of, yet supports, other ICH Quality documents and complements existing quality practices, requirements, standards, and guidelines within the pharmaceutical industry and regulatory environment. It specifically provides guidance on the principles and some of the tools of quality risk management that can enable more effective and consistent risk based decisions, both by regulators and industry, regarding the quality of drug substances and drug products across the product lifecycle. </w:t>
      </w:r>
    </w:p>
    <w:p w:rsidR="000B4BC9" w:rsidRDefault="000B4BC9" w:rsidP="00082B60">
      <w:pPr>
        <w:rPr>
          <w:rFonts w:ascii="Arial" w:hAnsi="Arial"/>
        </w:rPr>
      </w:pPr>
    </w:p>
    <w:p w:rsidR="00082B60" w:rsidRDefault="00082B60" w:rsidP="00082B60">
      <w:pPr>
        <w:rPr>
          <w:rFonts w:ascii="Arial" w:hAnsi="Arial"/>
        </w:rPr>
      </w:pPr>
      <w:r w:rsidRPr="000B4BC9">
        <w:rPr>
          <w:rFonts w:ascii="Arial" w:hAnsi="Arial"/>
        </w:rPr>
        <w:t>Appropriate use of quality risk management can facilitate but does not obviate industry’s obligation to comply with regulatory requirements and does not replace appropriate communications between industry and regulators.</w:t>
      </w:r>
    </w:p>
    <w:p w:rsidR="0094469A" w:rsidRPr="000B4BC9" w:rsidRDefault="0094469A" w:rsidP="00082B60">
      <w:pPr>
        <w:rPr>
          <w:rFonts w:ascii="Arial" w:hAnsi="Arial"/>
        </w:rPr>
      </w:pPr>
    </w:p>
    <w:p w:rsidR="00082B60" w:rsidRDefault="0094469A" w:rsidP="0094469A">
      <w:pPr>
        <w:rPr>
          <w:rStyle w:val="Arial"/>
          <w:b/>
          <w:bCs/>
        </w:rPr>
      </w:pPr>
      <w:r w:rsidRPr="0094469A">
        <w:rPr>
          <w:rStyle w:val="Arial"/>
          <w:b/>
          <w:bCs/>
        </w:rPr>
        <w:t xml:space="preserve">ICH </w:t>
      </w:r>
      <w:r w:rsidR="00082B60" w:rsidRPr="0094469A">
        <w:rPr>
          <w:rStyle w:val="Arial"/>
          <w:b/>
          <w:bCs/>
        </w:rPr>
        <w:t>Q10 P</w:t>
      </w:r>
      <w:r w:rsidR="000B4BC9" w:rsidRPr="0094469A">
        <w:rPr>
          <w:rStyle w:val="Arial"/>
          <w:b/>
          <w:bCs/>
        </w:rPr>
        <w:t xml:space="preserve">harmaceutical quality system </w:t>
      </w:r>
    </w:p>
    <w:p w:rsidR="0094469A" w:rsidRPr="0094469A" w:rsidRDefault="0094469A" w:rsidP="0094469A">
      <w:pPr>
        <w:rPr>
          <w:rStyle w:val="Arial"/>
          <w:b/>
          <w:bCs/>
        </w:rPr>
      </w:pPr>
    </w:p>
    <w:p w:rsidR="00082B60" w:rsidRPr="000B4BC9" w:rsidRDefault="000B4BC9" w:rsidP="00082B60">
      <w:pPr>
        <w:rPr>
          <w:rFonts w:ascii="Arial" w:hAnsi="Arial"/>
        </w:rPr>
      </w:pPr>
      <w:r w:rsidRPr="000B4BC9">
        <w:rPr>
          <w:rFonts w:ascii="Arial" w:hAnsi="Arial"/>
        </w:rPr>
        <w:t>This document</w:t>
      </w:r>
      <w:r w:rsidR="00082B60" w:rsidRPr="000B4BC9">
        <w:rPr>
          <w:rFonts w:ascii="Arial" w:hAnsi="Arial"/>
        </w:rPr>
        <w:t xml:space="preserve"> describes </w:t>
      </w:r>
      <w:r w:rsidRPr="000B4BC9">
        <w:rPr>
          <w:rFonts w:ascii="Arial" w:hAnsi="Arial"/>
        </w:rPr>
        <w:t>a</w:t>
      </w:r>
      <w:r w:rsidR="00082B60" w:rsidRPr="000B4BC9">
        <w:rPr>
          <w:rFonts w:ascii="Arial" w:hAnsi="Arial"/>
        </w:rPr>
        <w:t xml:space="preserve"> comprehensive model for an effective pharmaceutical quality system that is based on </w:t>
      </w:r>
      <w:r w:rsidR="0094469A">
        <w:rPr>
          <w:rFonts w:ascii="Arial" w:hAnsi="Arial"/>
        </w:rPr>
        <w:t>ISO</w:t>
      </w:r>
      <w:r w:rsidR="00082B60" w:rsidRPr="000B4BC9">
        <w:rPr>
          <w:rFonts w:ascii="Arial" w:hAnsi="Arial"/>
        </w:rPr>
        <w:t xml:space="preserve"> quality concepts, includes applicable </w:t>
      </w:r>
      <w:r w:rsidR="0094469A">
        <w:rPr>
          <w:rFonts w:ascii="Arial" w:hAnsi="Arial"/>
        </w:rPr>
        <w:t>GMP</w:t>
      </w:r>
      <w:r w:rsidR="00082B60" w:rsidRPr="000B4BC9">
        <w:rPr>
          <w:rFonts w:ascii="Arial" w:hAnsi="Arial"/>
        </w:rPr>
        <w:t xml:space="preserve"> regulations and complements ICH Q8</w:t>
      </w:r>
      <w:r w:rsidR="0094469A">
        <w:rPr>
          <w:rFonts w:ascii="Arial" w:hAnsi="Arial"/>
        </w:rPr>
        <w:t xml:space="preserve"> </w:t>
      </w:r>
      <w:r w:rsidR="00082B60" w:rsidRPr="000B4BC9">
        <w:rPr>
          <w:rFonts w:ascii="Arial" w:hAnsi="Arial"/>
        </w:rPr>
        <w:t>and ICH Q9</w:t>
      </w:r>
      <w:r w:rsidR="0094469A">
        <w:rPr>
          <w:rFonts w:ascii="Arial" w:hAnsi="Arial"/>
        </w:rPr>
        <w:t>.</w:t>
      </w:r>
      <w:r w:rsidR="00082B60" w:rsidRPr="000B4BC9">
        <w:rPr>
          <w:rFonts w:ascii="Arial" w:hAnsi="Arial"/>
        </w:rPr>
        <w:t xml:space="preserve"> ICH Q10 is a model for a pharmaceutical quality system that can be implemented throughout the different stages of a product lifecycle. Much of the content of ICH Q10 </w:t>
      </w:r>
      <w:r w:rsidR="0094469A">
        <w:rPr>
          <w:rFonts w:ascii="Arial" w:hAnsi="Arial"/>
        </w:rPr>
        <w:t xml:space="preserve">that is </w:t>
      </w:r>
      <w:r w:rsidR="00082B60" w:rsidRPr="000B4BC9">
        <w:rPr>
          <w:rFonts w:ascii="Arial" w:hAnsi="Arial"/>
        </w:rPr>
        <w:t xml:space="preserve">applicable to manufacturing sites is currently specified by regional GMP requirements. ICH Q10 is not intended to create any new expectations beyond current regulatory requirements. Consequently, the content of ICH Q10 that is additional to current regional GMP requirements is optional. </w:t>
      </w:r>
    </w:p>
    <w:p w:rsidR="000B4BC9" w:rsidRPr="000B4BC9" w:rsidRDefault="000B4BC9" w:rsidP="00082B60">
      <w:pPr>
        <w:rPr>
          <w:rFonts w:ascii="Arial" w:hAnsi="Arial"/>
        </w:rPr>
      </w:pPr>
    </w:p>
    <w:p w:rsidR="00082B60" w:rsidRPr="000B4BC9" w:rsidRDefault="00082B60" w:rsidP="00082B60">
      <w:pPr>
        <w:rPr>
          <w:rFonts w:ascii="Arial" w:hAnsi="Arial"/>
        </w:rPr>
      </w:pPr>
      <w:r w:rsidRPr="000B4BC9">
        <w:rPr>
          <w:rFonts w:ascii="Arial" w:hAnsi="Arial"/>
        </w:rPr>
        <w:t>This guideline applies to the systems supporting the development and manufacture of ph</w:t>
      </w:r>
      <w:r w:rsidR="000B4BC9">
        <w:rPr>
          <w:rFonts w:ascii="Arial" w:hAnsi="Arial"/>
        </w:rPr>
        <w:t xml:space="preserve">armaceutical drug substances </w:t>
      </w:r>
      <w:r w:rsidRPr="000B4BC9">
        <w:rPr>
          <w:rFonts w:ascii="Arial" w:hAnsi="Arial"/>
        </w:rPr>
        <w:t xml:space="preserve">and drug products, including biotechnology and biological products, throughout the product lifecycle. </w:t>
      </w:r>
    </w:p>
    <w:p w:rsidR="0094469A" w:rsidRDefault="0094469A" w:rsidP="0094469A">
      <w:pPr>
        <w:rPr>
          <w:rStyle w:val="Arial"/>
          <w:b/>
          <w:bCs/>
        </w:rPr>
      </w:pPr>
    </w:p>
    <w:p w:rsidR="00082B60" w:rsidRDefault="0094469A" w:rsidP="0094469A">
      <w:pPr>
        <w:rPr>
          <w:rStyle w:val="Arial"/>
          <w:b/>
          <w:bCs/>
        </w:rPr>
      </w:pPr>
      <w:r w:rsidRPr="0094469A">
        <w:rPr>
          <w:rStyle w:val="Arial"/>
          <w:b/>
          <w:bCs/>
        </w:rPr>
        <w:t xml:space="preserve">ICH </w:t>
      </w:r>
      <w:r w:rsidR="00082B60" w:rsidRPr="0094469A">
        <w:rPr>
          <w:rStyle w:val="Arial"/>
          <w:b/>
          <w:bCs/>
        </w:rPr>
        <w:t>Q11 D</w:t>
      </w:r>
      <w:r w:rsidR="000B4BC9" w:rsidRPr="0094469A">
        <w:rPr>
          <w:rStyle w:val="Arial"/>
          <w:b/>
          <w:bCs/>
        </w:rPr>
        <w:t xml:space="preserve">evelopment and manufacture of drug substances </w:t>
      </w:r>
    </w:p>
    <w:p w:rsidR="0094469A" w:rsidRPr="0094469A" w:rsidRDefault="0094469A" w:rsidP="0094469A">
      <w:pPr>
        <w:rPr>
          <w:rStyle w:val="Arial"/>
          <w:b/>
          <w:bCs/>
        </w:rPr>
      </w:pPr>
    </w:p>
    <w:p w:rsidR="00082B60" w:rsidRPr="000B4BC9" w:rsidRDefault="00082B60" w:rsidP="00082B60">
      <w:pPr>
        <w:rPr>
          <w:rFonts w:ascii="Arial" w:hAnsi="Arial"/>
        </w:rPr>
      </w:pPr>
      <w:r w:rsidRPr="000B4BC9">
        <w:rPr>
          <w:rFonts w:ascii="Arial" w:hAnsi="Arial"/>
        </w:rPr>
        <w:t xml:space="preserve">This guideline describes approaches to developing and understanding the manufacturing process of the drug substance, and also provides guidance on what information should be provided in Module 3 of the Common Technical Document (CTD) Sections 3.2.S.2.2 – 3.2.S.2.6 (ICH M4Q). It addresses aspects of development and manufacture that pertain to drug substance, including the presence of steps designed to reduce impurities. In addition, ICH Q11 provides further clarification on the principles and concepts described in ICH </w:t>
      </w:r>
      <w:r w:rsidR="0094469A">
        <w:rPr>
          <w:rFonts w:ascii="Arial" w:hAnsi="Arial"/>
        </w:rPr>
        <w:t>Q8</w:t>
      </w:r>
      <w:r w:rsidRPr="000B4BC9">
        <w:rPr>
          <w:rFonts w:ascii="Arial" w:hAnsi="Arial"/>
        </w:rPr>
        <w:t xml:space="preserve">, </w:t>
      </w:r>
      <w:r w:rsidR="0094469A">
        <w:rPr>
          <w:rFonts w:ascii="Arial" w:hAnsi="Arial"/>
        </w:rPr>
        <w:t>Q9</w:t>
      </w:r>
      <w:r w:rsidRPr="000B4BC9">
        <w:rPr>
          <w:rFonts w:ascii="Arial" w:hAnsi="Arial"/>
        </w:rPr>
        <w:t xml:space="preserve"> and </w:t>
      </w:r>
      <w:r w:rsidR="0094469A">
        <w:rPr>
          <w:rFonts w:ascii="Arial" w:hAnsi="Arial"/>
        </w:rPr>
        <w:t>Q10</w:t>
      </w:r>
      <w:r w:rsidRPr="000B4BC9">
        <w:rPr>
          <w:rFonts w:ascii="Arial" w:hAnsi="Arial"/>
        </w:rPr>
        <w:t xml:space="preserve"> as they pertain to the development and manufacture of drug substance. </w:t>
      </w:r>
    </w:p>
    <w:p w:rsidR="000B4BC9" w:rsidRDefault="000B4BC9" w:rsidP="00082B60">
      <w:pPr>
        <w:rPr>
          <w:rFonts w:ascii="Arial" w:hAnsi="Arial"/>
          <w:highlight w:val="yellow"/>
        </w:rPr>
      </w:pPr>
    </w:p>
    <w:p w:rsidR="00082B60" w:rsidRPr="000B4BC9" w:rsidRDefault="00082B60" w:rsidP="00082B60">
      <w:pPr>
        <w:rPr>
          <w:rFonts w:ascii="Arial" w:hAnsi="Arial"/>
        </w:rPr>
      </w:pPr>
      <w:r w:rsidRPr="000B4BC9">
        <w:rPr>
          <w:rFonts w:ascii="Arial" w:hAnsi="Arial"/>
        </w:rPr>
        <w:t xml:space="preserve">As discussed in ICH Q8 for drug product, a greater understanding of the drug substance and its manufacturing process can create the basis for more flexible regulatory approaches. The degree of regulatory flexibility is generally predicated on the level of relevant scientific knowledge provided in the application for marketing authorisation. </w:t>
      </w:r>
    </w:p>
    <w:p w:rsidR="000B4BC9" w:rsidRPr="00A46454" w:rsidRDefault="000B4BC9" w:rsidP="00082B60">
      <w:pPr>
        <w:rPr>
          <w:rFonts w:ascii="Arial" w:hAnsi="Arial"/>
          <w:highlight w:val="yellow"/>
        </w:rPr>
      </w:pPr>
    </w:p>
    <w:p w:rsidR="00082B60" w:rsidRPr="00A46454" w:rsidRDefault="00082B60" w:rsidP="00082B60">
      <w:pPr>
        <w:rPr>
          <w:rFonts w:ascii="Arial" w:hAnsi="Arial"/>
          <w:highlight w:val="yellow"/>
        </w:rPr>
      </w:pPr>
      <w:r w:rsidRPr="00A46454">
        <w:rPr>
          <w:rFonts w:ascii="Arial" w:hAnsi="Arial"/>
          <w:highlight w:val="yellow"/>
        </w:rPr>
        <w:br w:type="page"/>
      </w:r>
    </w:p>
    <w:p w:rsidR="000B4BC9" w:rsidRPr="000B4BC9" w:rsidRDefault="002048CE" w:rsidP="000B4BC9">
      <w:pPr>
        <w:pStyle w:val="Heading1"/>
        <w:rPr>
          <w:bCs w:val="0"/>
          <w:sz w:val="36"/>
        </w:rPr>
      </w:pPr>
      <w:bookmarkStart w:id="344" w:name="_Toc409508725"/>
      <w:r>
        <w:rPr>
          <w:bCs w:val="0"/>
          <w:sz w:val="36"/>
        </w:rPr>
        <w:t>ICH Product Safety S</w:t>
      </w:r>
      <w:r w:rsidR="000B4BC9" w:rsidRPr="000B4BC9">
        <w:rPr>
          <w:bCs w:val="0"/>
          <w:sz w:val="36"/>
        </w:rPr>
        <w:t>tandards</w:t>
      </w:r>
      <w:bookmarkEnd w:id="344"/>
    </w:p>
    <w:p w:rsidR="00082B60" w:rsidRPr="0094469A" w:rsidRDefault="0094469A" w:rsidP="0094469A">
      <w:pPr>
        <w:rPr>
          <w:rStyle w:val="Arial"/>
          <w:b/>
          <w:bCs/>
        </w:rPr>
      </w:pPr>
      <w:r>
        <w:rPr>
          <w:rStyle w:val="Arial"/>
          <w:b/>
          <w:bCs/>
        </w:rPr>
        <w:t xml:space="preserve">ICH </w:t>
      </w:r>
      <w:r w:rsidR="00082B60" w:rsidRPr="0094469A">
        <w:rPr>
          <w:rStyle w:val="Arial"/>
          <w:b/>
          <w:bCs/>
        </w:rPr>
        <w:t>S1A G</w:t>
      </w:r>
      <w:r w:rsidR="000B4BC9" w:rsidRPr="0094469A">
        <w:rPr>
          <w:rStyle w:val="Arial"/>
          <w:b/>
          <w:bCs/>
        </w:rPr>
        <w:t xml:space="preserve">uideline on the need for carcinogenicity studies of pharmaceuticals </w:t>
      </w:r>
    </w:p>
    <w:p w:rsidR="0094469A" w:rsidRDefault="0094469A" w:rsidP="00082B60">
      <w:pPr>
        <w:rPr>
          <w:rFonts w:ascii="Arial" w:hAnsi="Arial"/>
        </w:rPr>
      </w:pPr>
    </w:p>
    <w:p w:rsidR="00082B60" w:rsidRPr="002C7CC5" w:rsidRDefault="00082B60" w:rsidP="00082B60">
      <w:pPr>
        <w:rPr>
          <w:rFonts w:ascii="Arial" w:hAnsi="Arial"/>
        </w:rPr>
      </w:pPr>
      <w:r w:rsidRPr="000B4BC9">
        <w:rPr>
          <w:rFonts w:ascii="Arial" w:hAnsi="Arial"/>
        </w:rPr>
        <w:t xml:space="preserve">The objectives of carcinogenicity studies are to identify </w:t>
      </w:r>
      <w:r w:rsidR="000B4BC9" w:rsidRPr="000B4BC9">
        <w:rPr>
          <w:rFonts w:ascii="Arial" w:hAnsi="Arial"/>
        </w:rPr>
        <w:t>the</w:t>
      </w:r>
      <w:r w:rsidRPr="000B4BC9">
        <w:rPr>
          <w:rFonts w:ascii="Arial" w:hAnsi="Arial"/>
        </w:rPr>
        <w:t xml:space="preserve"> </w:t>
      </w:r>
      <w:r w:rsidR="0094469A" w:rsidRPr="000B4BC9">
        <w:rPr>
          <w:rFonts w:ascii="Arial" w:hAnsi="Arial"/>
        </w:rPr>
        <w:t>tumo</w:t>
      </w:r>
      <w:r w:rsidR="0094469A">
        <w:rPr>
          <w:rFonts w:ascii="Arial" w:hAnsi="Arial"/>
        </w:rPr>
        <w:t>r</w:t>
      </w:r>
      <w:r w:rsidR="0094469A" w:rsidRPr="000B4BC9">
        <w:rPr>
          <w:rFonts w:ascii="Arial" w:hAnsi="Arial"/>
        </w:rPr>
        <w:t>igenic</w:t>
      </w:r>
      <w:r w:rsidRPr="000B4BC9">
        <w:rPr>
          <w:rFonts w:ascii="Arial" w:hAnsi="Arial"/>
          <w:strike/>
        </w:rPr>
        <w:t xml:space="preserve"> </w:t>
      </w:r>
      <w:r w:rsidRPr="000B4BC9">
        <w:rPr>
          <w:rFonts w:ascii="Arial" w:hAnsi="Arial"/>
        </w:rPr>
        <w:t>potential</w:t>
      </w:r>
      <w:r w:rsidR="000B4BC9" w:rsidRPr="000B4BC9">
        <w:rPr>
          <w:rFonts w:ascii="Arial" w:hAnsi="Arial"/>
        </w:rPr>
        <w:t>.</w:t>
      </w:r>
      <w:r w:rsidR="000B4BC9">
        <w:rPr>
          <w:rFonts w:ascii="Arial" w:hAnsi="Arial"/>
        </w:rPr>
        <w:t xml:space="preserve"> </w:t>
      </w:r>
      <w:r w:rsidRPr="000B4BC9">
        <w:rPr>
          <w:rFonts w:ascii="Arial" w:hAnsi="Arial"/>
        </w:rPr>
        <w:t>Any ca</w:t>
      </w:r>
      <w:r w:rsidR="000B4BC9" w:rsidRPr="000B4BC9">
        <w:rPr>
          <w:rFonts w:ascii="Arial" w:hAnsi="Arial"/>
        </w:rPr>
        <w:t xml:space="preserve">use for concern derived from </w:t>
      </w:r>
      <w:r w:rsidR="000B4BC9" w:rsidRPr="000B4BC9">
        <w:rPr>
          <w:rFonts w:ascii="Arial" w:hAnsi="Arial"/>
          <w:i/>
        </w:rPr>
        <w:t xml:space="preserve">in </w:t>
      </w:r>
      <w:r w:rsidRPr="000B4BC9">
        <w:rPr>
          <w:rFonts w:ascii="Arial" w:hAnsi="Arial"/>
          <w:i/>
        </w:rPr>
        <w:t>vitro</w:t>
      </w:r>
      <w:r w:rsidRPr="000B4BC9">
        <w:rPr>
          <w:rFonts w:ascii="Arial" w:hAnsi="Arial"/>
        </w:rPr>
        <w:t xml:space="preserve"> laboratory investigations</w:t>
      </w:r>
      <w:r w:rsidR="000B4BC9" w:rsidRPr="000B4BC9">
        <w:rPr>
          <w:rFonts w:ascii="Arial" w:hAnsi="Arial"/>
        </w:rPr>
        <w:t xml:space="preserve"> </w:t>
      </w:r>
      <w:r w:rsidRPr="000B4BC9">
        <w:rPr>
          <w:rFonts w:ascii="Arial" w:hAnsi="Arial"/>
        </w:rPr>
        <w:t xml:space="preserve">and data in humans may lead to a need for carcinogenicity studies. </w:t>
      </w:r>
    </w:p>
    <w:p w:rsidR="000B4BC9" w:rsidRPr="00A46454" w:rsidRDefault="000B4BC9" w:rsidP="00082B60">
      <w:pPr>
        <w:rPr>
          <w:rFonts w:ascii="Arial" w:hAnsi="Arial"/>
          <w:highlight w:val="yellow"/>
        </w:rPr>
      </w:pPr>
    </w:p>
    <w:p w:rsidR="00082B60" w:rsidRPr="000B4BC9" w:rsidRDefault="00082B60" w:rsidP="00082B60">
      <w:pPr>
        <w:rPr>
          <w:rFonts w:ascii="Arial" w:hAnsi="Arial"/>
        </w:rPr>
      </w:pPr>
      <w:r w:rsidRPr="000B4BC9">
        <w:rPr>
          <w:rFonts w:ascii="Arial" w:hAnsi="Arial"/>
        </w:rPr>
        <w:t>Results from genotoxicity studies, toxicokinetics, and mechanistic studies are routinely applied in preclinical safety assessment</w:t>
      </w:r>
      <w:r w:rsidR="000B4BC9" w:rsidRPr="000B4BC9">
        <w:rPr>
          <w:rFonts w:ascii="Arial" w:hAnsi="Arial"/>
        </w:rPr>
        <w:t xml:space="preserve">. </w:t>
      </w:r>
      <w:r w:rsidRPr="000B4BC9">
        <w:rPr>
          <w:rFonts w:ascii="Arial" w:hAnsi="Arial"/>
        </w:rPr>
        <w:t xml:space="preserve">These additional data are important not only in considering whether to perform carcinogenicity studies but for interpreting study outcomes with respect to relevance for human safety. </w:t>
      </w:r>
    </w:p>
    <w:p w:rsidR="000B4BC9" w:rsidRPr="00A46454" w:rsidRDefault="000B4BC9" w:rsidP="00082B60">
      <w:pPr>
        <w:rPr>
          <w:rFonts w:ascii="Arial" w:hAnsi="Arial"/>
          <w:highlight w:val="yellow"/>
        </w:rPr>
      </w:pPr>
    </w:p>
    <w:p w:rsidR="00082B60" w:rsidRDefault="00082B60" w:rsidP="00082B60">
      <w:pPr>
        <w:rPr>
          <w:rFonts w:ascii="Arial" w:hAnsi="Arial"/>
        </w:rPr>
      </w:pPr>
      <w:r w:rsidRPr="000B4BC9">
        <w:rPr>
          <w:rFonts w:ascii="Arial" w:hAnsi="Arial"/>
        </w:rPr>
        <w:t>The objective of this guideline is to define the conditions under which carcinogenicity studies, should be conducted to avoid the unnecessary use of animals in testing, and to provide consistency in worldwide regulatory assessments of applications. The fundamental considerations in assessing the need for carcinogenicity studies are the maximum duration of patient treatment and any perceived cause for concern arising from other investigations. Other factors may also be considered such as prior assessment of carcinogenic potential, the extent of systemic exposure, the (dis)similarity to endogenous substances, the appropriate study design, or the timing of study performance relative to clinical development.</w:t>
      </w:r>
    </w:p>
    <w:p w:rsidR="000B4BC9" w:rsidRDefault="000B4BC9" w:rsidP="00082B60">
      <w:pPr>
        <w:rPr>
          <w:rFonts w:ascii="Arial" w:hAnsi="Arial"/>
        </w:rPr>
      </w:pPr>
    </w:p>
    <w:p w:rsidR="000B4BC9" w:rsidRDefault="000B4BC9" w:rsidP="000B4BC9">
      <w:pPr>
        <w:rPr>
          <w:rFonts w:ascii="Arial" w:hAnsi="Arial"/>
        </w:rPr>
      </w:pPr>
      <w:r>
        <w:rPr>
          <w:rFonts w:ascii="Arial" w:hAnsi="Arial"/>
        </w:rPr>
        <w:t>Any human clinical trial investigating the carcinogenicity of a psychoactive substance would not be considered ethical</w:t>
      </w:r>
      <w:r w:rsidR="002048CE">
        <w:rPr>
          <w:rFonts w:ascii="Arial" w:hAnsi="Arial"/>
        </w:rPr>
        <w:t>.</w:t>
      </w:r>
    </w:p>
    <w:p w:rsidR="0094469A" w:rsidRDefault="0094469A" w:rsidP="0094469A">
      <w:pPr>
        <w:rPr>
          <w:rStyle w:val="Arial"/>
          <w:b/>
          <w:bCs/>
        </w:rPr>
      </w:pPr>
    </w:p>
    <w:p w:rsidR="00082B60" w:rsidRPr="0094469A" w:rsidRDefault="0094469A" w:rsidP="0094469A">
      <w:pPr>
        <w:rPr>
          <w:rStyle w:val="Arial"/>
          <w:b/>
          <w:bCs/>
        </w:rPr>
      </w:pPr>
      <w:r>
        <w:rPr>
          <w:rStyle w:val="Arial"/>
          <w:b/>
          <w:bCs/>
        </w:rPr>
        <w:t xml:space="preserve">ICH </w:t>
      </w:r>
      <w:r w:rsidR="00082B60" w:rsidRPr="0094469A">
        <w:rPr>
          <w:rStyle w:val="Arial"/>
          <w:b/>
          <w:bCs/>
        </w:rPr>
        <w:t>S1B T</w:t>
      </w:r>
      <w:r w:rsidR="000B4BC9" w:rsidRPr="0094469A">
        <w:rPr>
          <w:rStyle w:val="Arial"/>
          <w:b/>
          <w:bCs/>
        </w:rPr>
        <w:t xml:space="preserve">esting for carcinogenicity of pharmaceuticals </w:t>
      </w:r>
    </w:p>
    <w:p w:rsidR="0094469A" w:rsidRDefault="0094469A" w:rsidP="00082B60">
      <w:pPr>
        <w:rPr>
          <w:rFonts w:ascii="Arial" w:hAnsi="Arial"/>
        </w:rPr>
      </w:pPr>
    </w:p>
    <w:p w:rsidR="00082B60" w:rsidRDefault="00082B60" w:rsidP="00082B60">
      <w:pPr>
        <w:rPr>
          <w:rFonts w:ascii="Arial" w:hAnsi="Arial"/>
        </w:rPr>
      </w:pPr>
      <w:r w:rsidRPr="000B4BC9">
        <w:rPr>
          <w:rFonts w:ascii="Arial" w:hAnsi="Arial"/>
        </w:rPr>
        <w:t xml:space="preserve">This guideline outlines experimental approaches to the evaluation of carcinogenic potential that may obviate the necessity for the routine conduct of two long-term rodent carcinogenicity studies for those pharmaceuticals that need such evaluation. </w:t>
      </w:r>
    </w:p>
    <w:p w:rsidR="000B4BC9" w:rsidRDefault="000B4BC9" w:rsidP="00082B60">
      <w:pPr>
        <w:rPr>
          <w:rFonts w:ascii="Arial" w:hAnsi="Arial"/>
        </w:rPr>
      </w:pPr>
    </w:p>
    <w:p w:rsidR="00082B60" w:rsidRPr="0094469A" w:rsidRDefault="0094469A" w:rsidP="0094469A">
      <w:pPr>
        <w:rPr>
          <w:rStyle w:val="Arial"/>
          <w:b/>
          <w:bCs/>
        </w:rPr>
      </w:pPr>
      <w:r>
        <w:rPr>
          <w:rStyle w:val="Arial"/>
          <w:b/>
          <w:bCs/>
        </w:rPr>
        <w:t xml:space="preserve">ICH </w:t>
      </w:r>
      <w:r w:rsidR="00082B60" w:rsidRPr="0094469A">
        <w:rPr>
          <w:rStyle w:val="Arial"/>
          <w:b/>
          <w:bCs/>
        </w:rPr>
        <w:t>S1CR2 D</w:t>
      </w:r>
      <w:r w:rsidR="000B4BC9" w:rsidRPr="0094469A">
        <w:rPr>
          <w:rStyle w:val="Arial"/>
          <w:b/>
          <w:bCs/>
        </w:rPr>
        <w:t xml:space="preserve">ose selection for carcinogenicity studies of pharmaceuticals </w:t>
      </w:r>
    </w:p>
    <w:p w:rsidR="0094469A" w:rsidRDefault="0094469A" w:rsidP="000B4BC9">
      <w:pPr>
        <w:rPr>
          <w:rFonts w:ascii="Arial" w:hAnsi="Arial"/>
        </w:rPr>
      </w:pPr>
    </w:p>
    <w:p w:rsidR="000B4BC9" w:rsidRDefault="000B4BC9" w:rsidP="000B4BC9">
      <w:pPr>
        <w:rPr>
          <w:rFonts w:ascii="Arial" w:hAnsi="Arial"/>
        </w:rPr>
      </w:pPr>
      <w:r w:rsidRPr="000B4BC9">
        <w:rPr>
          <w:rFonts w:ascii="Arial" w:hAnsi="Arial"/>
        </w:rPr>
        <w:t>This document aims to provide guidance on selecting t</w:t>
      </w:r>
      <w:r w:rsidR="00082B60" w:rsidRPr="000B4BC9">
        <w:rPr>
          <w:rFonts w:ascii="Arial" w:hAnsi="Arial"/>
        </w:rPr>
        <w:t>he</w:t>
      </w:r>
      <w:r w:rsidRPr="000B4BC9">
        <w:rPr>
          <w:rFonts w:ascii="Arial" w:hAnsi="Arial"/>
        </w:rPr>
        <w:t xml:space="preserve"> appropriate dosage for carcinogenicity studies in animals. </w:t>
      </w:r>
    </w:p>
    <w:p w:rsidR="0094469A" w:rsidRDefault="0094469A" w:rsidP="0094469A">
      <w:pPr>
        <w:rPr>
          <w:rStyle w:val="Arial"/>
          <w:b/>
          <w:bCs/>
        </w:rPr>
      </w:pPr>
    </w:p>
    <w:p w:rsidR="000B4BC9" w:rsidRPr="0094469A" w:rsidRDefault="0094469A" w:rsidP="0094469A">
      <w:pPr>
        <w:rPr>
          <w:rStyle w:val="Arial"/>
          <w:b/>
          <w:bCs/>
        </w:rPr>
      </w:pPr>
      <w:r>
        <w:rPr>
          <w:rStyle w:val="Arial"/>
          <w:b/>
          <w:bCs/>
        </w:rPr>
        <w:t xml:space="preserve">ICH </w:t>
      </w:r>
      <w:r w:rsidR="00082B60" w:rsidRPr="0094469A">
        <w:rPr>
          <w:rStyle w:val="Arial"/>
          <w:b/>
          <w:bCs/>
        </w:rPr>
        <w:t>S2R1 G</w:t>
      </w:r>
      <w:r w:rsidR="000B4BC9" w:rsidRPr="0094469A">
        <w:rPr>
          <w:rStyle w:val="Arial"/>
          <w:b/>
          <w:bCs/>
        </w:rPr>
        <w:t>uidance on genotoxicity testing and data interpretation for pharmaceuticals intended for human use</w:t>
      </w:r>
    </w:p>
    <w:p w:rsidR="0094469A" w:rsidRDefault="0094469A" w:rsidP="00082B60">
      <w:pPr>
        <w:rPr>
          <w:rFonts w:ascii="Arial" w:hAnsi="Arial"/>
        </w:rPr>
      </w:pPr>
    </w:p>
    <w:p w:rsidR="00082B60" w:rsidRPr="000B4BC9" w:rsidRDefault="00082B60" w:rsidP="00082B60">
      <w:pPr>
        <w:rPr>
          <w:rFonts w:ascii="Arial" w:hAnsi="Arial"/>
        </w:rPr>
      </w:pPr>
      <w:r w:rsidRPr="000B4BC9">
        <w:rPr>
          <w:rFonts w:ascii="Arial" w:hAnsi="Arial"/>
        </w:rPr>
        <w:t xml:space="preserve">This </w:t>
      </w:r>
      <w:r w:rsidR="000B4BC9" w:rsidRPr="000B4BC9">
        <w:rPr>
          <w:rFonts w:ascii="Arial" w:hAnsi="Arial"/>
        </w:rPr>
        <w:t>document details</w:t>
      </w:r>
      <w:r w:rsidRPr="000B4BC9">
        <w:rPr>
          <w:rFonts w:ascii="Arial" w:hAnsi="Arial"/>
        </w:rPr>
        <w:t xml:space="preserve"> the standard genetic toxicology battery for prediction of potential human risks, and provide</w:t>
      </w:r>
      <w:r w:rsidR="000B4BC9" w:rsidRPr="000B4BC9">
        <w:rPr>
          <w:rFonts w:ascii="Arial" w:hAnsi="Arial"/>
        </w:rPr>
        <w:t>s</w:t>
      </w:r>
      <w:r w:rsidRPr="000B4BC9">
        <w:rPr>
          <w:rFonts w:ascii="Arial" w:hAnsi="Arial"/>
        </w:rPr>
        <w:t xml:space="preserve"> guidance on interpretation of results, with the ultimate goal of improving risk characterization for carcinogenic effects that have their basis in changes in the genetic material. The revised guidance describes internationally agreed upon standards for follow-up testing and interpretation of positive results </w:t>
      </w:r>
      <w:r w:rsidRPr="000B4BC9">
        <w:rPr>
          <w:rFonts w:ascii="Arial" w:hAnsi="Arial"/>
          <w:i/>
        </w:rPr>
        <w:t>in vitro</w:t>
      </w:r>
      <w:r w:rsidRPr="000B4BC9">
        <w:rPr>
          <w:rFonts w:ascii="Arial" w:hAnsi="Arial"/>
        </w:rPr>
        <w:t xml:space="preserve"> and </w:t>
      </w:r>
      <w:r w:rsidRPr="000B4BC9">
        <w:rPr>
          <w:rFonts w:ascii="Arial" w:hAnsi="Arial"/>
          <w:i/>
        </w:rPr>
        <w:t>in vivo</w:t>
      </w:r>
      <w:r w:rsidRPr="000B4BC9">
        <w:rPr>
          <w:rFonts w:ascii="Arial" w:hAnsi="Arial"/>
        </w:rPr>
        <w:t xml:space="preserve"> in the standard genetic toxicology battery, including assessment of non-relevant findings. </w:t>
      </w:r>
    </w:p>
    <w:p w:rsidR="00082B60" w:rsidRPr="00A46454" w:rsidRDefault="00082B60" w:rsidP="00082B60">
      <w:pPr>
        <w:rPr>
          <w:rFonts w:ascii="Arial" w:hAnsi="Arial"/>
          <w:highlight w:val="yellow"/>
        </w:rPr>
      </w:pPr>
    </w:p>
    <w:p w:rsidR="00082B60" w:rsidRPr="000B4BC9" w:rsidRDefault="00082B60" w:rsidP="00082B60">
      <w:pPr>
        <w:rPr>
          <w:rFonts w:ascii="Arial" w:hAnsi="Arial"/>
        </w:rPr>
      </w:pPr>
      <w:r w:rsidRPr="000B4BC9">
        <w:rPr>
          <w:rFonts w:ascii="Arial" w:hAnsi="Arial"/>
        </w:rPr>
        <w:t xml:space="preserve">Genotoxicity tests can be defined as </w:t>
      </w:r>
      <w:r w:rsidRPr="0094469A">
        <w:rPr>
          <w:rFonts w:ascii="Arial" w:hAnsi="Arial"/>
          <w:i/>
        </w:rPr>
        <w:t>in vitro</w:t>
      </w:r>
      <w:r w:rsidRPr="000B4BC9">
        <w:rPr>
          <w:rFonts w:ascii="Arial" w:hAnsi="Arial"/>
        </w:rPr>
        <w:t xml:space="preserve"> and </w:t>
      </w:r>
      <w:r w:rsidRPr="0094469A">
        <w:rPr>
          <w:rFonts w:ascii="Arial" w:hAnsi="Arial"/>
          <w:i/>
        </w:rPr>
        <w:t>in vivo</w:t>
      </w:r>
      <w:r w:rsidRPr="000B4BC9">
        <w:rPr>
          <w:rFonts w:ascii="Arial" w:hAnsi="Arial"/>
        </w:rPr>
        <w:t xml:space="preserve"> tests designed to detect compounds that induce genetic damage by various mechanisms. These tests enable hazard identification with respect to damage to DNA and its fixation. Fixation of damage to DNA in the form of gene mutations, larger scale chromosomal damage or recombination is generally considered to be essential for heritable effects and in the multi-step process of malignancy, a complex process in which genetic changes might possibly play only a part. </w:t>
      </w:r>
    </w:p>
    <w:p w:rsidR="00082B60" w:rsidRPr="00A46454" w:rsidRDefault="00082B60" w:rsidP="00082B60">
      <w:pPr>
        <w:rPr>
          <w:rFonts w:ascii="Arial" w:hAnsi="Arial"/>
          <w:highlight w:val="yellow"/>
        </w:rPr>
      </w:pPr>
    </w:p>
    <w:p w:rsidR="00082B60" w:rsidRDefault="00082B60" w:rsidP="00082B60">
      <w:pPr>
        <w:rPr>
          <w:rFonts w:ascii="Arial" w:hAnsi="Arial"/>
        </w:rPr>
      </w:pPr>
      <w:r w:rsidRPr="000B4BC9">
        <w:rPr>
          <w:rFonts w:ascii="Arial" w:hAnsi="Arial"/>
        </w:rPr>
        <w:t xml:space="preserve">Numerical chromosome changes have also been associated with </w:t>
      </w:r>
      <w:r w:rsidR="0094469A" w:rsidRPr="000B4BC9">
        <w:rPr>
          <w:rFonts w:ascii="Arial" w:hAnsi="Arial"/>
        </w:rPr>
        <w:t>tumorigenesis</w:t>
      </w:r>
      <w:r w:rsidRPr="000B4BC9">
        <w:rPr>
          <w:rFonts w:ascii="Arial" w:hAnsi="Arial"/>
        </w:rPr>
        <w:t xml:space="preserve"> and can indicate a potential for aneuploidy in germ cells. Compounds that are positive in tests that detect such kinds of damage have the potential to be human carcinogens and/or mutagens. Because the relationship between exposure to particular chemicals and carcinogenesis is established for humans, whilst a similar relationship has been difficult to prove for heritable diseases, genotoxicity tests have been used mainly for the prediction of carcinogenicity. Nevertheless, because germ line mutations are clearly associated with human disease, the suspicion that a compound might induce heritable effects is considered to be just as serious as the suspicion that a compound might induce cancer. In addition, the outcome of genotoxicity tests can be valuable for the interpretation of carcinogenicity studies.</w:t>
      </w:r>
    </w:p>
    <w:p w:rsidR="000B4BC9" w:rsidRDefault="000B4BC9" w:rsidP="00082B60">
      <w:pPr>
        <w:rPr>
          <w:rFonts w:ascii="Arial" w:hAnsi="Arial"/>
        </w:rPr>
      </w:pPr>
    </w:p>
    <w:p w:rsidR="0094469A" w:rsidRDefault="0094469A" w:rsidP="0094469A">
      <w:pPr>
        <w:rPr>
          <w:rFonts w:ascii="Arial" w:hAnsi="Arial"/>
        </w:rPr>
      </w:pPr>
      <w:r>
        <w:rPr>
          <w:rFonts w:ascii="Arial" w:hAnsi="Arial"/>
        </w:rPr>
        <w:t>Any human clinical trial investigating the genotoxicity of a psychoactive substance would not be considered ethical.</w:t>
      </w:r>
    </w:p>
    <w:p w:rsidR="0094469A" w:rsidRDefault="0094469A" w:rsidP="0094469A">
      <w:pPr>
        <w:rPr>
          <w:rStyle w:val="Arial"/>
          <w:b/>
          <w:bCs/>
        </w:rPr>
      </w:pPr>
    </w:p>
    <w:p w:rsidR="000B4BC9" w:rsidRPr="0094469A" w:rsidRDefault="0094469A" w:rsidP="0094469A">
      <w:pPr>
        <w:rPr>
          <w:rStyle w:val="Arial"/>
          <w:b/>
          <w:bCs/>
        </w:rPr>
      </w:pPr>
      <w:r>
        <w:rPr>
          <w:rStyle w:val="Arial"/>
          <w:b/>
          <w:bCs/>
        </w:rPr>
        <w:t xml:space="preserve">ICH </w:t>
      </w:r>
      <w:r w:rsidR="00082B60" w:rsidRPr="0094469A">
        <w:rPr>
          <w:rStyle w:val="Arial"/>
          <w:b/>
          <w:bCs/>
        </w:rPr>
        <w:t>S3A N</w:t>
      </w:r>
      <w:r w:rsidR="000B4BC9" w:rsidRPr="0094469A">
        <w:rPr>
          <w:rStyle w:val="Arial"/>
          <w:b/>
          <w:bCs/>
        </w:rPr>
        <w:t>ote for guidance on toxicokinetics: The assessment of systemic exposure in toxicity studies</w:t>
      </w:r>
    </w:p>
    <w:p w:rsidR="0094469A" w:rsidRDefault="0094469A" w:rsidP="00082B60">
      <w:pPr>
        <w:rPr>
          <w:rFonts w:ascii="Arial" w:hAnsi="Arial"/>
        </w:rPr>
      </w:pPr>
    </w:p>
    <w:p w:rsidR="00082B60" w:rsidRPr="000B4BC9" w:rsidRDefault="00082B60" w:rsidP="00082B60">
      <w:pPr>
        <w:rPr>
          <w:rFonts w:ascii="Arial" w:hAnsi="Arial"/>
        </w:rPr>
      </w:pPr>
      <w:r w:rsidRPr="000B4BC9">
        <w:rPr>
          <w:rFonts w:ascii="Arial" w:hAnsi="Arial"/>
        </w:rPr>
        <w:t xml:space="preserve">This </w:t>
      </w:r>
      <w:r w:rsidR="000B4BC9" w:rsidRPr="000B4BC9">
        <w:rPr>
          <w:rFonts w:ascii="Arial" w:hAnsi="Arial"/>
        </w:rPr>
        <w:t xml:space="preserve">document </w:t>
      </w:r>
      <w:r w:rsidRPr="000B4BC9">
        <w:rPr>
          <w:rFonts w:ascii="Arial" w:hAnsi="Arial"/>
        </w:rPr>
        <w:t xml:space="preserve">concerns toxicokinetics only with respect to the development of pharmaceutical products intended for use in human subjects. </w:t>
      </w:r>
    </w:p>
    <w:p w:rsidR="00082B60" w:rsidRPr="000B4BC9" w:rsidRDefault="00082B60" w:rsidP="00082B60">
      <w:pPr>
        <w:rPr>
          <w:rFonts w:ascii="Arial" w:hAnsi="Arial"/>
        </w:rPr>
      </w:pPr>
    </w:p>
    <w:p w:rsidR="00082B60" w:rsidRPr="000B4BC9" w:rsidRDefault="00082B60" w:rsidP="00082B60">
      <w:pPr>
        <w:rPr>
          <w:rFonts w:ascii="Arial" w:hAnsi="Arial"/>
        </w:rPr>
      </w:pPr>
      <w:r w:rsidRPr="000B4BC9">
        <w:rPr>
          <w:rFonts w:ascii="Arial" w:hAnsi="Arial"/>
        </w:rPr>
        <w:t>In this context, toxicokinetics is defined as the generation of pharmacokinetic data, either as an integral component in the conduct of non-clinical toxicity studies or in specially designed supportive studies, in order to assess systemic exposure. These data may be used in the interpretation of toxicology findings and their relev</w:t>
      </w:r>
      <w:r w:rsidR="000B4BC9" w:rsidRPr="000B4BC9">
        <w:rPr>
          <w:rFonts w:ascii="Arial" w:hAnsi="Arial"/>
        </w:rPr>
        <w:t>ance to clinical safety issues.</w:t>
      </w:r>
      <w:r w:rsidRPr="000B4BC9">
        <w:rPr>
          <w:rFonts w:ascii="Arial" w:hAnsi="Arial"/>
        </w:rPr>
        <w:t xml:space="preserve"> </w:t>
      </w:r>
    </w:p>
    <w:p w:rsidR="00082B60" w:rsidRPr="000B4BC9" w:rsidRDefault="00082B60" w:rsidP="00082B60">
      <w:pPr>
        <w:rPr>
          <w:rFonts w:ascii="Arial" w:hAnsi="Arial"/>
        </w:rPr>
      </w:pPr>
    </w:p>
    <w:p w:rsidR="00082B60" w:rsidRPr="000B4BC9" w:rsidRDefault="000B4BC9" w:rsidP="00082B60">
      <w:pPr>
        <w:rPr>
          <w:rFonts w:ascii="Arial" w:hAnsi="Arial"/>
        </w:rPr>
      </w:pPr>
      <w:r w:rsidRPr="000B4BC9">
        <w:rPr>
          <w:rFonts w:ascii="Arial" w:hAnsi="Arial"/>
        </w:rPr>
        <w:t>This document</w:t>
      </w:r>
      <w:r w:rsidR="00082B60" w:rsidRPr="000B4BC9">
        <w:rPr>
          <w:rFonts w:ascii="Arial" w:hAnsi="Arial"/>
        </w:rPr>
        <w:t xml:space="preserve"> has been developed in order to provide an understanding of the meaning and application of toxicokinetics and to provide guidance on developing test strategies in toxicokinetics. The guidance highlights the need to integrate pharmacokinetics into toxicity testing, which should aid in the interpretation of the toxicology findings and promote rational study design development. </w:t>
      </w:r>
    </w:p>
    <w:p w:rsidR="00082B60" w:rsidRPr="00A46454" w:rsidRDefault="00082B60" w:rsidP="00082B60">
      <w:pPr>
        <w:rPr>
          <w:rFonts w:ascii="Arial" w:hAnsi="Arial"/>
          <w:highlight w:val="yellow"/>
        </w:rPr>
      </w:pPr>
    </w:p>
    <w:p w:rsidR="000B4BC9" w:rsidRDefault="000B4BC9" w:rsidP="000B4BC9">
      <w:pPr>
        <w:rPr>
          <w:rFonts w:ascii="Arial" w:hAnsi="Arial"/>
        </w:rPr>
      </w:pPr>
      <w:r>
        <w:rPr>
          <w:rFonts w:ascii="Arial" w:hAnsi="Arial"/>
        </w:rPr>
        <w:t>Any human clinical trial investigating the carcinogenicity of a psychoactive substance would not be considered ethical</w:t>
      </w:r>
      <w:r w:rsidR="002048CE">
        <w:rPr>
          <w:rFonts w:ascii="Arial" w:hAnsi="Arial"/>
        </w:rPr>
        <w:t>.</w:t>
      </w:r>
    </w:p>
    <w:p w:rsidR="0094469A" w:rsidRDefault="0094469A" w:rsidP="0094469A">
      <w:pPr>
        <w:rPr>
          <w:rStyle w:val="Arial"/>
          <w:b/>
          <w:bCs/>
        </w:rPr>
      </w:pPr>
    </w:p>
    <w:p w:rsidR="000B4BC9" w:rsidRPr="0094469A" w:rsidRDefault="0094469A" w:rsidP="0094469A">
      <w:pPr>
        <w:rPr>
          <w:rStyle w:val="Arial"/>
          <w:b/>
          <w:bCs/>
        </w:rPr>
      </w:pPr>
      <w:r>
        <w:rPr>
          <w:rStyle w:val="Arial"/>
          <w:b/>
          <w:bCs/>
        </w:rPr>
        <w:t xml:space="preserve">ICH </w:t>
      </w:r>
      <w:r w:rsidR="00082B60" w:rsidRPr="0094469A">
        <w:rPr>
          <w:rStyle w:val="Arial"/>
          <w:b/>
          <w:bCs/>
        </w:rPr>
        <w:t>S3B P</w:t>
      </w:r>
      <w:r w:rsidR="000B4BC9" w:rsidRPr="0094469A">
        <w:rPr>
          <w:rStyle w:val="Arial"/>
          <w:b/>
          <w:bCs/>
        </w:rPr>
        <w:t>harmacokinetics: Guidance for repeated dose tissue distribution studies</w:t>
      </w:r>
    </w:p>
    <w:p w:rsidR="0094469A" w:rsidRDefault="0094469A" w:rsidP="00082B60">
      <w:pPr>
        <w:rPr>
          <w:rFonts w:ascii="Arial" w:hAnsi="Arial"/>
        </w:rPr>
      </w:pPr>
    </w:p>
    <w:p w:rsidR="00082B60" w:rsidRPr="000B4BC9" w:rsidRDefault="00082B60" w:rsidP="00082B60">
      <w:pPr>
        <w:rPr>
          <w:rFonts w:ascii="Arial" w:hAnsi="Arial"/>
        </w:rPr>
      </w:pPr>
      <w:r w:rsidRPr="000B4BC9">
        <w:rPr>
          <w:rFonts w:ascii="Arial" w:hAnsi="Arial"/>
        </w:rPr>
        <w:t xml:space="preserve">A comprehensive knowledge of the absorption, distribution, metabolism and elimination of a compound is important for the interpretation of pharmacology and toxicology studies. Tissue distribution studies are essential in providing information on distribution and accumulation of the compound and/or metabolites, especially in relation to potential sites of action; this information may be useful for designing toxicology and pharmacology studies and for interpreting the results of these experiments. </w:t>
      </w:r>
    </w:p>
    <w:p w:rsidR="00082B60" w:rsidRPr="000B4BC9" w:rsidRDefault="00082B60" w:rsidP="00082B60">
      <w:pPr>
        <w:rPr>
          <w:rFonts w:ascii="Arial" w:hAnsi="Arial"/>
        </w:rPr>
      </w:pPr>
    </w:p>
    <w:p w:rsidR="00082B60" w:rsidRPr="000B4BC9" w:rsidRDefault="002048CE" w:rsidP="00082B60">
      <w:pPr>
        <w:rPr>
          <w:rFonts w:ascii="Arial" w:hAnsi="Arial"/>
        </w:rPr>
      </w:pPr>
      <w:r>
        <w:rPr>
          <w:rFonts w:ascii="Arial" w:hAnsi="Arial"/>
        </w:rPr>
        <w:t>S</w:t>
      </w:r>
      <w:r w:rsidR="00082B60" w:rsidRPr="000B4BC9">
        <w:rPr>
          <w:rFonts w:ascii="Arial" w:hAnsi="Arial"/>
        </w:rPr>
        <w:t xml:space="preserve">ingle dose tissue distribution studies </w:t>
      </w:r>
      <w:r>
        <w:rPr>
          <w:rFonts w:ascii="Arial" w:hAnsi="Arial"/>
        </w:rPr>
        <w:t xml:space="preserve">are required </w:t>
      </w:r>
      <w:r w:rsidR="00082B60" w:rsidRPr="000B4BC9">
        <w:rPr>
          <w:rFonts w:ascii="Arial" w:hAnsi="Arial"/>
        </w:rPr>
        <w:t xml:space="preserve">as part of the non-clinical programme. </w:t>
      </w:r>
    </w:p>
    <w:p w:rsidR="00082B60" w:rsidRPr="00A46454" w:rsidRDefault="00082B60" w:rsidP="00082B60">
      <w:pPr>
        <w:rPr>
          <w:rFonts w:ascii="Arial" w:hAnsi="Arial"/>
          <w:highlight w:val="yellow"/>
        </w:rPr>
      </w:pPr>
    </w:p>
    <w:p w:rsidR="00082B60" w:rsidRPr="000B4BC9" w:rsidRDefault="00082B60" w:rsidP="00082B60">
      <w:pPr>
        <w:rPr>
          <w:rFonts w:ascii="Arial" w:hAnsi="Arial"/>
        </w:rPr>
      </w:pPr>
      <w:r w:rsidRPr="000B4BC9">
        <w:rPr>
          <w:rFonts w:ascii="Arial" w:hAnsi="Arial"/>
        </w:rPr>
        <w:t xml:space="preserve">This paper provides guidance on circumstances when repeated dose tissue distribution studies should be considered and on the conduct of such studies. </w:t>
      </w:r>
    </w:p>
    <w:p w:rsidR="002048CE" w:rsidRDefault="002048CE" w:rsidP="000B4BC9">
      <w:pPr>
        <w:rPr>
          <w:rFonts w:ascii="Arial" w:hAnsi="Arial"/>
        </w:rPr>
      </w:pPr>
    </w:p>
    <w:p w:rsidR="000B4BC9" w:rsidRPr="00A66591" w:rsidRDefault="000B4BC9" w:rsidP="000B4BC9">
      <w:pPr>
        <w:rPr>
          <w:rFonts w:ascii="Arial" w:hAnsi="Arial"/>
        </w:rPr>
      </w:pPr>
      <w:r w:rsidRPr="00A66591">
        <w:rPr>
          <w:rStyle w:val="Arial"/>
        </w:rPr>
        <w:t xml:space="preserve">The </w:t>
      </w:r>
      <w:r w:rsidR="00F004D6">
        <w:rPr>
          <w:rStyle w:val="Arial"/>
        </w:rPr>
        <w:t>OPSRA</w:t>
      </w:r>
      <w:r w:rsidRPr="00A66591">
        <w:rPr>
          <w:rStyle w:val="Arial"/>
        </w:rPr>
        <w:t xml:space="preserve"> is willing to consider any information that the applicant can compile on </w:t>
      </w:r>
      <w:r>
        <w:rPr>
          <w:rStyle w:val="Arial"/>
        </w:rPr>
        <w:t>the tissue distribution of a psychoactive substance.</w:t>
      </w:r>
      <w:r w:rsidRPr="00A66591">
        <w:rPr>
          <w:rStyle w:val="Arial"/>
        </w:rPr>
        <w:t xml:space="preserve"> A combination of </w:t>
      </w:r>
      <w:r w:rsidRPr="00A66591">
        <w:rPr>
          <w:rStyle w:val="Arial"/>
          <w:i/>
          <w:iCs/>
        </w:rPr>
        <w:t>in vitro</w:t>
      </w:r>
      <w:r w:rsidRPr="00A66591">
        <w:rPr>
          <w:rStyle w:val="Arial"/>
        </w:rPr>
        <w:t xml:space="preserve"> pre-clinical testing and human clinical trials may be sufficient</w:t>
      </w:r>
      <w:r>
        <w:rPr>
          <w:rStyle w:val="Arial"/>
        </w:rPr>
        <w:t xml:space="preserve">. </w:t>
      </w:r>
    </w:p>
    <w:p w:rsidR="0094469A" w:rsidRDefault="0094469A" w:rsidP="0094469A">
      <w:pPr>
        <w:rPr>
          <w:rStyle w:val="Arial"/>
          <w:b/>
          <w:bCs/>
        </w:rPr>
      </w:pPr>
    </w:p>
    <w:p w:rsidR="000B4BC9" w:rsidRDefault="0094469A" w:rsidP="0094469A">
      <w:pPr>
        <w:rPr>
          <w:rStyle w:val="Arial"/>
          <w:b/>
          <w:bCs/>
        </w:rPr>
      </w:pPr>
      <w:r>
        <w:rPr>
          <w:rStyle w:val="Arial"/>
          <w:b/>
          <w:bCs/>
        </w:rPr>
        <w:t xml:space="preserve">ICH </w:t>
      </w:r>
      <w:r w:rsidR="00082B60" w:rsidRPr="0094469A">
        <w:rPr>
          <w:rStyle w:val="Arial"/>
          <w:b/>
          <w:bCs/>
        </w:rPr>
        <w:t>S5R2 D</w:t>
      </w:r>
      <w:r w:rsidR="000B4BC9" w:rsidRPr="0094469A">
        <w:rPr>
          <w:rStyle w:val="Arial"/>
          <w:b/>
          <w:bCs/>
        </w:rPr>
        <w:t>etection of toxicity to reproduction for medicinal products &amp; toxicity to male fertility</w:t>
      </w:r>
    </w:p>
    <w:p w:rsidR="00EB630A" w:rsidRPr="0094469A" w:rsidRDefault="00EB630A" w:rsidP="0094469A">
      <w:pPr>
        <w:rPr>
          <w:rStyle w:val="Arial"/>
          <w:b/>
          <w:bCs/>
        </w:rPr>
      </w:pPr>
    </w:p>
    <w:p w:rsidR="00EB630A" w:rsidRDefault="00EB630A" w:rsidP="00EB630A">
      <w:pPr>
        <w:pBdr>
          <w:top w:val="single" w:sz="18" w:space="1" w:color="auto"/>
          <w:left w:val="single" w:sz="18" w:space="4" w:color="auto"/>
          <w:bottom w:val="single" w:sz="18" w:space="1" w:color="auto"/>
          <w:right w:val="single" w:sz="18" w:space="4" w:color="auto"/>
        </w:pBdr>
        <w:rPr>
          <w:rFonts w:ascii="Arial" w:hAnsi="Arial"/>
        </w:rPr>
      </w:pPr>
    </w:p>
    <w:p w:rsidR="00EB630A" w:rsidRDefault="00EB630A" w:rsidP="00EB630A">
      <w:pPr>
        <w:pBdr>
          <w:top w:val="single" w:sz="18" w:space="1" w:color="auto"/>
          <w:left w:val="single" w:sz="18" w:space="4" w:color="auto"/>
          <w:bottom w:val="single" w:sz="18" w:space="1" w:color="auto"/>
          <w:right w:val="single" w:sz="18" w:space="4" w:color="auto"/>
        </w:pBdr>
        <w:rPr>
          <w:rFonts w:ascii="Arial" w:hAnsi="Arial"/>
        </w:rPr>
      </w:pPr>
      <w:r w:rsidRPr="002048CE">
        <w:rPr>
          <w:rFonts w:ascii="Arial" w:hAnsi="Arial"/>
        </w:rPr>
        <w:t>These systems cannot provide assurance of the absence of effect nor provide perspective in respect of risk/exposure. In short, there are no alternative test systems to whole animals currently available for reproduction tox</w:t>
      </w:r>
      <w:r>
        <w:rPr>
          <w:rFonts w:ascii="Arial" w:hAnsi="Arial"/>
        </w:rPr>
        <w:t>icity testing</w:t>
      </w:r>
      <w:r w:rsidRPr="002048CE">
        <w:rPr>
          <w:rFonts w:ascii="Arial" w:hAnsi="Arial"/>
        </w:rPr>
        <w:t>.</w:t>
      </w:r>
    </w:p>
    <w:p w:rsidR="00EB630A" w:rsidRDefault="00EB630A" w:rsidP="00EB630A">
      <w:pPr>
        <w:pBdr>
          <w:top w:val="single" w:sz="18" w:space="1" w:color="auto"/>
          <w:left w:val="single" w:sz="18" w:space="4" w:color="auto"/>
          <w:bottom w:val="single" w:sz="18" w:space="1" w:color="auto"/>
          <w:right w:val="single" w:sz="18" w:space="4" w:color="auto"/>
        </w:pBdr>
        <w:rPr>
          <w:rFonts w:ascii="Arial" w:hAnsi="Arial"/>
        </w:rPr>
      </w:pPr>
    </w:p>
    <w:p w:rsidR="0094469A" w:rsidRDefault="0094469A" w:rsidP="00082B60">
      <w:pPr>
        <w:rPr>
          <w:rFonts w:ascii="Arial" w:hAnsi="Arial"/>
        </w:rPr>
      </w:pPr>
    </w:p>
    <w:p w:rsidR="00082B60" w:rsidRPr="002048CE" w:rsidRDefault="00082B60" w:rsidP="00082B60">
      <w:pPr>
        <w:rPr>
          <w:rFonts w:ascii="Arial" w:hAnsi="Arial"/>
        </w:rPr>
      </w:pPr>
      <w:r w:rsidRPr="002048CE">
        <w:rPr>
          <w:rFonts w:ascii="Arial" w:hAnsi="Arial"/>
        </w:rPr>
        <w:t xml:space="preserve">The aim of reproduction toxicity studies is to reveal any effect of one or more active substance(s) on mammalian reproduction. For this purpose both the investigations and the interpretation of the results should be related to all other pharmacological and toxicological data available to determine whether potential reproductive risks to humans are greater, lesser or equal to those posed by other toxicological manifestations. Further, repeated dose toxicity studies can provide important information regarding potential effects on reproduction, particularly male fertility. To extrapolate the results </w:t>
      </w:r>
      <w:r w:rsidR="0094469A">
        <w:rPr>
          <w:rFonts w:ascii="Arial" w:hAnsi="Arial"/>
        </w:rPr>
        <w:t>to humans</w:t>
      </w:r>
      <w:r w:rsidRPr="002048CE">
        <w:rPr>
          <w:rFonts w:ascii="Arial" w:hAnsi="Arial"/>
        </w:rPr>
        <w:t>, data on likely human exposures, comparative kinetics, and mechanisms of reproductive toxicity may be helpful.</w:t>
      </w:r>
    </w:p>
    <w:p w:rsidR="00082B60" w:rsidRDefault="00082B60" w:rsidP="00082B60">
      <w:pPr>
        <w:rPr>
          <w:rFonts w:ascii="Arial" w:hAnsi="Arial"/>
          <w:highlight w:val="yellow"/>
        </w:rPr>
      </w:pPr>
      <w:r w:rsidRPr="00A46454">
        <w:rPr>
          <w:rFonts w:ascii="Arial" w:hAnsi="Arial"/>
          <w:highlight w:val="yellow"/>
        </w:rPr>
        <w:t xml:space="preserve"> </w:t>
      </w:r>
    </w:p>
    <w:p w:rsidR="002048CE" w:rsidRPr="000B4BC9" w:rsidRDefault="002048CE" w:rsidP="002048CE">
      <w:pPr>
        <w:rPr>
          <w:rFonts w:ascii="Arial" w:hAnsi="Arial"/>
        </w:rPr>
      </w:pPr>
      <w:r w:rsidRPr="002048CE">
        <w:rPr>
          <w:rFonts w:ascii="Arial" w:hAnsi="Arial"/>
        </w:rPr>
        <w:t>No guideline can provide sufficient information to cover all possible cases, all persons involved should be willing to discuss and consider variations in test strategy according to the state of the art and ethical standards in human and animal experimentation. Areas where more basic research would be useful for optimization of test designs are male fertility assessment, and kinetic and metabolism in pregnant/lactating animals.</w:t>
      </w:r>
      <w:r w:rsidRPr="000B4BC9">
        <w:rPr>
          <w:rFonts w:ascii="Arial" w:hAnsi="Arial"/>
        </w:rPr>
        <w:t xml:space="preserve"> </w:t>
      </w:r>
    </w:p>
    <w:p w:rsidR="002048CE" w:rsidRDefault="002048CE" w:rsidP="00082B60">
      <w:pPr>
        <w:rPr>
          <w:rFonts w:ascii="Arial" w:hAnsi="Arial"/>
          <w:highlight w:val="yellow"/>
        </w:rPr>
      </w:pPr>
    </w:p>
    <w:p w:rsidR="00EB630A" w:rsidRDefault="002048CE" w:rsidP="002048CE">
      <w:pPr>
        <w:rPr>
          <w:rFonts w:ascii="Arial" w:hAnsi="Arial"/>
        </w:rPr>
      </w:pPr>
      <w:r w:rsidRPr="002048CE">
        <w:rPr>
          <w:rFonts w:ascii="Arial" w:hAnsi="Arial"/>
        </w:rPr>
        <w:t xml:space="preserve">Other test systems are considered to be any developing mammalian and non-mammalian cell systems, tissues, organs, or organism cultures developing independently </w:t>
      </w:r>
      <w:r w:rsidRPr="0094469A">
        <w:rPr>
          <w:rFonts w:ascii="Arial" w:hAnsi="Arial"/>
          <w:i/>
        </w:rPr>
        <w:t>in vitro</w:t>
      </w:r>
      <w:r w:rsidRPr="002048CE">
        <w:rPr>
          <w:rFonts w:ascii="Arial" w:hAnsi="Arial"/>
        </w:rPr>
        <w:t xml:space="preserve"> or </w:t>
      </w:r>
      <w:r w:rsidRPr="0094469A">
        <w:rPr>
          <w:rFonts w:ascii="Arial" w:hAnsi="Arial"/>
          <w:i/>
        </w:rPr>
        <w:t>in vivo</w:t>
      </w:r>
      <w:r w:rsidRPr="002048CE">
        <w:rPr>
          <w:rFonts w:ascii="Arial" w:hAnsi="Arial"/>
        </w:rPr>
        <w:t xml:space="preserve">. Integrated with whole animal studies either for priority selection within homologous series or as secondary investigations to elucidate mechanisms of action, these systems can provide invaluable information and, indirectly, reduce the numbers of animals used in experimentation. However, they lack the complexity of the developmental processes and the dynamic interchange between the maternal and the developing organisms. </w:t>
      </w:r>
    </w:p>
    <w:p w:rsidR="002048CE" w:rsidRDefault="002048CE" w:rsidP="002048CE">
      <w:pPr>
        <w:rPr>
          <w:rFonts w:ascii="Arial" w:hAnsi="Arial"/>
        </w:rPr>
      </w:pPr>
    </w:p>
    <w:p w:rsidR="002048CE" w:rsidRDefault="002048CE" w:rsidP="002048CE">
      <w:pPr>
        <w:rPr>
          <w:rFonts w:ascii="Arial" w:hAnsi="Arial"/>
        </w:rPr>
      </w:pPr>
      <w:r>
        <w:rPr>
          <w:rFonts w:ascii="Arial" w:hAnsi="Arial"/>
        </w:rPr>
        <w:t>Any human clinical trial investigating the reproductive toxicity of a psychoactive substance would not be considered ethical.</w:t>
      </w:r>
    </w:p>
    <w:p w:rsidR="0094469A" w:rsidRDefault="0094469A" w:rsidP="002048CE">
      <w:pPr>
        <w:rPr>
          <w:rFonts w:ascii="Arial" w:hAnsi="Arial"/>
        </w:rPr>
      </w:pPr>
    </w:p>
    <w:p w:rsidR="002048CE" w:rsidRPr="0094469A" w:rsidRDefault="0094469A" w:rsidP="0094469A">
      <w:pPr>
        <w:rPr>
          <w:rStyle w:val="Arial"/>
          <w:b/>
          <w:bCs/>
        </w:rPr>
      </w:pPr>
      <w:r>
        <w:rPr>
          <w:rStyle w:val="Arial"/>
          <w:b/>
          <w:bCs/>
        </w:rPr>
        <w:t xml:space="preserve">ICH </w:t>
      </w:r>
      <w:r w:rsidR="002048CE" w:rsidRPr="0094469A">
        <w:rPr>
          <w:rStyle w:val="Arial"/>
          <w:b/>
          <w:bCs/>
        </w:rPr>
        <w:t>S6R1 Preclinical safety evaluation of biotechnology-derived pharmaceuticals</w:t>
      </w:r>
    </w:p>
    <w:p w:rsidR="0094469A" w:rsidRDefault="0094469A" w:rsidP="002048CE">
      <w:pPr>
        <w:rPr>
          <w:rFonts w:ascii="Arial" w:hAnsi="Arial"/>
        </w:rPr>
      </w:pPr>
    </w:p>
    <w:p w:rsidR="002048CE" w:rsidRDefault="002048CE" w:rsidP="002048CE">
      <w:pPr>
        <w:rPr>
          <w:rFonts w:ascii="Arial" w:hAnsi="Arial"/>
        </w:rPr>
      </w:pPr>
      <w:r w:rsidRPr="002048CE">
        <w:rPr>
          <w:rFonts w:ascii="Arial" w:hAnsi="Arial"/>
        </w:rPr>
        <w:t>This guidance is intended primarily to recommend a basic framework for the preclinical safety evaluation of biotechnology-derived pharmaceuticals. It applies to products derived from characterised cells through the use of a variety</w:t>
      </w:r>
      <w:r w:rsidR="0094469A" w:rsidRPr="0094469A">
        <w:t xml:space="preserve"> </w:t>
      </w:r>
      <w:r w:rsidR="0094469A" w:rsidRPr="0094469A">
        <w:rPr>
          <w:rFonts w:ascii="Arial" w:hAnsi="Arial"/>
        </w:rPr>
        <w:t xml:space="preserve">of expression systems including bacteria, yeast, insect, plant, and mammalian cells. </w:t>
      </w:r>
    </w:p>
    <w:p w:rsidR="002048CE" w:rsidRPr="0094469A" w:rsidRDefault="002048CE" w:rsidP="002048CE">
      <w:pPr>
        <w:rPr>
          <w:rFonts w:ascii="Arial" w:hAnsi="Arial"/>
        </w:rPr>
      </w:pPr>
    </w:p>
    <w:p w:rsidR="002048CE" w:rsidRDefault="002048CE" w:rsidP="002048CE">
      <w:pPr>
        <w:rPr>
          <w:rFonts w:ascii="Arial" w:hAnsi="Arial"/>
        </w:rPr>
      </w:pPr>
      <w:r w:rsidRPr="002048CE">
        <w:rPr>
          <w:rFonts w:ascii="Arial" w:hAnsi="Arial"/>
        </w:rPr>
        <w:t xml:space="preserve">Regulatory </w:t>
      </w:r>
      <w:r>
        <w:rPr>
          <w:rFonts w:ascii="Arial" w:hAnsi="Arial"/>
        </w:rPr>
        <w:t>authorities</w:t>
      </w:r>
      <w:r w:rsidRPr="002048CE">
        <w:rPr>
          <w:rFonts w:ascii="Arial" w:hAnsi="Arial"/>
        </w:rPr>
        <w:t xml:space="preserve"> have adopted a flexible, case-by-case, science-based approach to preclinical safety evaluation needed to support clinical development and marketing authorisation</w:t>
      </w:r>
      <w:r>
        <w:rPr>
          <w:rFonts w:ascii="Arial" w:hAnsi="Arial"/>
        </w:rPr>
        <w:t xml:space="preserve"> of biotechnology-derived pharmaceuticals</w:t>
      </w:r>
      <w:r w:rsidRPr="002048CE">
        <w:rPr>
          <w:rFonts w:ascii="Arial" w:hAnsi="Arial"/>
        </w:rPr>
        <w:t xml:space="preserve">. </w:t>
      </w:r>
    </w:p>
    <w:p w:rsidR="002048CE" w:rsidRDefault="002048CE" w:rsidP="002048CE">
      <w:pPr>
        <w:rPr>
          <w:rFonts w:ascii="Arial" w:hAnsi="Arial"/>
        </w:rPr>
      </w:pPr>
    </w:p>
    <w:p w:rsidR="002048CE" w:rsidRDefault="002048CE" w:rsidP="002048CE">
      <w:pPr>
        <w:rPr>
          <w:rFonts w:ascii="Arial" w:hAnsi="Arial"/>
        </w:rPr>
      </w:pPr>
      <w:r w:rsidRPr="008415F6">
        <w:rPr>
          <w:rFonts w:ascii="Arial" w:hAnsi="Arial"/>
        </w:rPr>
        <w:t>Many of the minimum requirements</w:t>
      </w:r>
      <w:r w:rsidR="0094469A">
        <w:rPr>
          <w:rFonts w:ascii="Arial" w:hAnsi="Arial"/>
        </w:rPr>
        <w:t>, however,</w:t>
      </w:r>
      <w:r w:rsidRPr="008415F6">
        <w:rPr>
          <w:rFonts w:ascii="Arial" w:hAnsi="Arial"/>
        </w:rPr>
        <w:t xml:space="preserve"> involve animal testing which is prohibited by the 2014 amendment to the </w:t>
      </w:r>
      <w:r w:rsidRPr="002048CE">
        <w:rPr>
          <w:rFonts w:ascii="Arial" w:hAnsi="Arial"/>
        </w:rPr>
        <w:t xml:space="preserve">Act. The </w:t>
      </w:r>
      <w:r w:rsidR="00F004D6">
        <w:rPr>
          <w:rFonts w:ascii="Arial" w:hAnsi="Arial"/>
        </w:rPr>
        <w:t>OPSRA</w:t>
      </w:r>
      <w:r w:rsidRPr="002048CE">
        <w:rPr>
          <w:rFonts w:ascii="Arial" w:hAnsi="Arial"/>
        </w:rPr>
        <w:t xml:space="preserve"> is unaware of any </w:t>
      </w:r>
      <w:r w:rsidRPr="002048CE">
        <w:rPr>
          <w:rFonts w:ascii="Arial" w:hAnsi="Arial"/>
          <w:i/>
        </w:rPr>
        <w:t>in-vitro</w:t>
      </w:r>
      <w:r w:rsidRPr="002048CE">
        <w:rPr>
          <w:rFonts w:ascii="Arial" w:hAnsi="Arial"/>
        </w:rPr>
        <w:t xml:space="preserve"> tests which are a comprehensive and suitable alternative to animal testing. </w:t>
      </w:r>
      <w:r w:rsidRPr="002048CE">
        <w:rPr>
          <w:rStyle w:val="Arial"/>
        </w:rPr>
        <w:t xml:space="preserve">The </w:t>
      </w:r>
      <w:r w:rsidR="00F004D6">
        <w:rPr>
          <w:rStyle w:val="Arial"/>
        </w:rPr>
        <w:t>OPSRA</w:t>
      </w:r>
      <w:r w:rsidRPr="002048CE">
        <w:rPr>
          <w:rStyle w:val="Arial"/>
        </w:rPr>
        <w:t xml:space="preserve"> is willing to consider any information that the applicant can compile on the pre-clinical safety of biotechnology-derived psychoactive products. However, a</w:t>
      </w:r>
      <w:r w:rsidRPr="002048CE">
        <w:rPr>
          <w:rFonts w:ascii="Arial" w:hAnsi="Arial"/>
        </w:rPr>
        <w:t>pplicants should keep these difficulties in mind when choosing</w:t>
      </w:r>
      <w:r w:rsidRPr="008415F6">
        <w:rPr>
          <w:rFonts w:ascii="Arial" w:hAnsi="Arial"/>
        </w:rPr>
        <w:t xml:space="preserve"> to develop or apply for approval of a </w:t>
      </w:r>
      <w:r>
        <w:rPr>
          <w:rFonts w:ascii="Arial" w:hAnsi="Arial"/>
        </w:rPr>
        <w:t xml:space="preserve">biotechnology-derived </w:t>
      </w:r>
      <w:r w:rsidRPr="008415F6">
        <w:rPr>
          <w:rFonts w:ascii="Arial" w:hAnsi="Arial"/>
        </w:rPr>
        <w:t>psychoactive product</w:t>
      </w:r>
      <w:r>
        <w:rPr>
          <w:rFonts w:ascii="Arial" w:hAnsi="Arial"/>
        </w:rPr>
        <w:t>.</w:t>
      </w:r>
    </w:p>
    <w:p w:rsidR="0094469A" w:rsidRDefault="0094469A" w:rsidP="0094469A">
      <w:pPr>
        <w:rPr>
          <w:rStyle w:val="Arial"/>
          <w:b/>
          <w:bCs/>
        </w:rPr>
      </w:pPr>
    </w:p>
    <w:p w:rsidR="002048CE" w:rsidRPr="0094469A" w:rsidRDefault="0094469A" w:rsidP="0094469A">
      <w:pPr>
        <w:rPr>
          <w:rStyle w:val="Arial"/>
          <w:b/>
          <w:bCs/>
        </w:rPr>
      </w:pPr>
      <w:r>
        <w:rPr>
          <w:rStyle w:val="Arial"/>
          <w:b/>
          <w:bCs/>
        </w:rPr>
        <w:t xml:space="preserve">ICH </w:t>
      </w:r>
      <w:r w:rsidR="00082B60" w:rsidRPr="0094469A">
        <w:rPr>
          <w:rStyle w:val="Arial"/>
          <w:b/>
          <w:bCs/>
        </w:rPr>
        <w:t>S7A S</w:t>
      </w:r>
      <w:r w:rsidR="002048CE" w:rsidRPr="0094469A">
        <w:rPr>
          <w:rStyle w:val="Arial"/>
          <w:b/>
          <w:bCs/>
        </w:rPr>
        <w:t xml:space="preserve">afety pharmacology studies for human pharmaceuticals </w:t>
      </w:r>
    </w:p>
    <w:p w:rsidR="0094469A" w:rsidRDefault="0094469A" w:rsidP="00082B60">
      <w:pPr>
        <w:rPr>
          <w:rFonts w:ascii="Arial" w:hAnsi="Arial"/>
        </w:rPr>
      </w:pPr>
    </w:p>
    <w:p w:rsidR="00082B60" w:rsidRPr="002048CE" w:rsidRDefault="00082B60" w:rsidP="00082B60">
      <w:pPr>
        <w:rPr>
          <w:rFonts w:ascii="Arial" w:hAnsi="Arial"/>
        </w:rPr>
      </w:pPr>
      <w:r w:rsidRPr="002048CE">
        <w:rPr>
          <w:rFonts w:ascii="Arial" w:hAnsi="Arial"/>
        </w:rPr>
        <w:t xml:space="preserve">This guideline was developed to help protect clinical trial participants and patients receiving marketed products from potential adverse effects of pharmaceuticals, while avoiding unnecessary use of animals and other resources. </w:t>
      </w:r>
    </w:p>
    <w:p w:rsidR="00082B60" w:rsidRDefault="00082B60" w:rsidP="00082B60">
      <w:pPr>
        <w:rPr>
          <w:rFonts w:ascii="Arial" w:hAnsi="Arial"/>
          <w:highlight w:val="yellow"/>
        </w:rPr>
      </w:pPr>
    </w:p>
    <w:p w:rsidR="002048CE" w:rsidRPr="002048CE" w:rsidRDefault="002048CE" w:rsidP="002048CE">
      <w:pPr>
        <w:rPr>
          <w:rFonts w:ascii="Arial" w:hAnsi="Arial"/>
        </w:rPr>
      </w:pPr>
      <w:r w:rsidRPr="002048CE">
        <w:rPr>
          <w:rFonts w:ascii="Arial" w:hAnsi="Arial"/>
        </w:rPr>
        <w:t>The objectives of safety pharmacology studies are: 1) to identify undesirable pharmacodynamic properties of a substance that may have relevance to its human safety; 2) to evaluate adverse pharmacodynamic and/or pathophysiological effects of a substance observed in toxicology and/or clinical studies; and 3) to investigate the mechanism of the adverse pharmacodynamic effects observed and/or suspected. The investigational plan to meet these objectives should be clearly identified and delineated.</w:t>
      </w:r>
    </w:p>
    <w:p w:rsidR="00082B60" w:rsidRPr="00A46454" w:rsidRDefault="00082B60" w:rsidP="00082B60">
      <w:pPr>
        <w:rPr>
          <w:rFonts w:ascii="Arial" w:hAnsi="Arial"/>
          <w:highlight w:val="yellow"/>
        </w:rPr>
      </w:pPr>
    </w:p>
    <w:p w:rsidR="00082B60" w:rsidRPr="002048CE" w:rsidRDefault="00082B60" w:rsidP="00082B60">
      <w:pPr>
        <w:rPr>
          <w:rFonts w:ascii="Arial" w:hAnsi="Arial"/>
        </w:rPr>
      </w:pPr>
      <w:r w:rsidRPr="002048CE">
        <w:rPr>
          <w:rFonts w:ascii="Arial" w:hAnsi="Arial"/>
        </w:rPr>
        <w:t xml:space="preserve">It is important to adopt a rational approach when selecting and conducting safety pharmacology studies. The specific studies that should be conducted and their design will vary based on the individual properties and intended uses of the pharmaceuticals. Scientifically valid methods should be used, and when there are internationally recognized methods that are applicable to pharmaceuticals, these are preferable. Moreover, the use of new technologies and methodologies in accordance with sound scientific principles is encouraged. </w:t>
      </w:r>
    </w:p>
    <w:p w:rsidR="002048CE" w:rsidRDefault="002048CE" w:rsidP="002048CE">
      <w:pPr>
        <w:rPr>
          <w:rFonts w:ascii="Arial" w:hAnsi="Arial"/>
        </w:rPr>
      </w:pPr>
    </w:p>
    <w:p w:rsidR="002048CE" w:rsidRPr="00A66591" w:rsidRDefault="002048CE" w:rsidP="002048CE">
      <w:pPr>
        <w:rPr>
          <w:rFonts w:ascii="Arial" w:hAnsi="Arial"/>
        </w:rPr>
      </w:pPr>
      <w:r w:rsidRPr="00A66591">
        <w:rPr>
          <w:rStyle w:val="Arial"/>
        </w:rPr>
        <w:t xml:space="preserve">The </w:t>
      </w:r>
      <w:r w:rsidR="00F004D6">
        <w:rPr>
          <w:rStyle w:val="Arial"/>
        </w:rPr>
        <w:t>OPSRA</w:t>
      </w:r>
      <w:r w:rsidRPr="00A66591">
        <w:rPr>
          <w:rStyle w:val="Arial"/>
        </w:rPr>
        <w:t xml:space="preserve"> is willing to consider any information that the applicant can compile on </w:t>
      </w:r>
      <w:r>
        <w:rPr>
          <w:rStyle w:val="Arial"/>
        </w:rPr>
        <w:t>the safety pharmacology of a psychoactive substance.</w:t>
      </w:r>
      <w:r w:rsidRPr="00A66591">
        <w:rPr>
          <w:rStyle w:val="Arial"/>
        </w:rPr>
        <w:t xml:space="preserve"> A combination of </w:t>
      </w:r>
      <w:r w:rsidRPr="00A66591">
        <w:rPr>
          <w:rStyle w:val="Arial"/>
          <w:i/>
          <w:iCs/>
        </w:rPr>
        <w:t>in vitro</w:t>
      </w:r>
      <w:r w:rsidRPr="00A66591">
        <w:rPr>
          <w:rStyle w:val="Arial"/>
        </w:rPr>
        <w:t xml:space="preserve"> pre-clinical testing and human clinical trials may be sufficient</w:t>
      </w:r>
      <w:r>
        <w:rPr>
          <w:rStyle w:val="Arial"/>
        </w:rPr>
        <w:t xml:space="preserve">. </w:t>
      </w:r>
    </w:p>
    <w:p w:rsidR="0094469A" w:rsidRDefault="0094469A" w:rsidP="0094469A">
      <w:pPr>
        <w:rPr>
          <w:rStyle w:val="Arial"/>
          <w:b/>
          <w:bCs/>
        </w:rPr>
      </w:pPr>
    </w:p>
    <w:p w:rsidR="002048CE" w:rsidRPr="0094469A" w:rsidRDefault="0094469A" w:rsidP="0094469A">
      <w:pPr>
        <w:rPr>
          <w:rStyle w:val="Arial"/>
          <w:b/>
          <w:bCs/>
        </w:rPr>
      </w:pPr>
      <w:r>
        <w:rPr>
          <w:rStyle w:val="Arial"/>
          <w:b/>
          <w:bCs/>
        </w:rPr>
        <w:t xml:space="preserve">ICH </w:t>
      </w:r>
      <w:r w:rsidR="00082B60" w:rsidRPr="0094469A">
        <w:rPr>
          <w:rStyle w:val="Arial"/>
          <w:b/>
          <w:bCs/>
        </w:rPr>
        <w:t>S7B T</w:t>
      </w:r>
      <w:r w:rsidR="002048CE" w:rsidRPr="0094469A">
        <w:rPr>
          <w:rStyle w:val="Arial"/>
          <w:b/>
          <w:bCs/>
        </w:rPr>
        <w:t>he non-clinical evaluation of the potential for delayed ventricular repolarization (QT interval prolongation) by human pharmaceuticals</w:t>
      </w:r>
    </w:p>
    <w:p w:rsidR="0094469A" w:rsidRDefault="0094469A" w:rsidP="00082B60">
      <w:pPr>
        <w:rPr>
          <w:rFonts w:ascii="Arial" w:hAnsi="Arial"/>
        </w:rPr>
      </w:pPr>
    </w:p>
    <w:p w:rsidR="00082B60" w:rsidRPr="002048CE" w:rsidRDefault="00082B60" w:rsidP="00082B60">
      <w:pPr>
        <w:rPr>
          <w:rFonts w:ascii="Arial" w:hAnsi="Arial"/>
        </w:rPr>
      </w:pPr>
      <w:r w:rsidRPr="002048CE">
        <w:rPr>
          <w:rFonts w:ascii="Arial" w:hAnsi="Arial"/>
        </w:rPr>
        <w:t xml:space="preserve">This guideline describes a non-clinical testing strategy for assessing the potential of a test substance to delay ventricular repolarization. This guideline includes information concerning non-clinical assays and integrated risk assessments. </w:t>
      </w:r>
    </w:p>
    <w:p w:rsidR="00082B60" w:rsidRPr="00A46454" w:rsidRDefault="00082B60" w:rsidP="00082B60">
      <w:pPr>
        <w:rPr>
          <w:rFonts w:ascii="Arial" w:hAnsi="Arial"/>
          <w:highlight w:val="yellow"/>
        </w:rPr>
      </w:pPr>
    </w:p>
    <w:p w:rsidR="00082B60" w:rsidRPr="002048CE" w:rsidRDefault="00082B60" w:rsidP="00082B60">
      <w:pPr>
        <w:rPr>
          <w:rFonts w:ascii="Arial" w:hAnsi="Arial"/>
        </w:rPr>
      </w:pPr>
      <w:r w:rsidRPr="002048CE">
        <w:rPr>
          <w:rFonts w:ascii="Arial" w:hAnsi="Arial"/>
        </w:rPr>
        <w:t>The QT interval (time from the beginning of the QRS complex to the end of the T wave) of the electrocardiogram (ECG) is a measure of the duration of ventricular depolarization and repolarization. QT interval prolongation can be congenital o</w:t>
      </w:r>
      <w:r w:rsidR="002048CE" w:rsidRPr="002048CE">
        <w:rPr>
          <w:rFonts w:ascii="Arial" w:hAnsi="Arial"/>
        </w:rPr>
        <w:t>r acquired (eg,</w:t>
      </w:r>
      <w:r w:rsidRPr="002048CE">
        <w:rPr>
          <w:rFonts w:ascii="Arial" w:hAnsi="Arial"/>
        </w:rPr>
        <w:t xml:space="preserve"> pharmaceutical-induced). When ventricular repolarization is delayed and the QT interval is prolonged, there is an increased risk of ventricular tachyarrhythmia, including torsade de pointes, particularly when combined with other risk facto</w:t>
      </w:r>
      <w:r w:rsidR="002048CE" w:rsidRPr="002048CE">
        <w:rPr>
          <w:rFonts w:ascii="Arial" w:hAnsi="Arial"/>
        </w:rPr>
        <w:t>rs (eg</w:t>
      </w:r>
      <w:r w:rsidRPr="002048CE">
        <w:rPr>
          <w:rFonts w:ascii="Arial" w:hAnsi="Arial"/>
        </w:rPr>
        <w:t xml:space="preserve">, </w:t>
      </w:r>
      <w:r w:rsidR="0094469A" w:rsidRPr="002048CE">
        <w:rPr>
          <w:rFonts w:ascii="Arial" w:hAnsi="Arial"/>
        </w:rPr>
        <w:t>hypokalaemia</w:t>
      </w:r>
      <w:r w:rsidRPr="002048CE">
        <w:rPr>
          <w:rFonts w:ascii="Arial" w:hAnsi="Arial"/>
        </w:rPr>
        <w:t xml:space="preserve">, structural heart disease, </w:t>
      </w:r>
      <w:r w:rsidR="0094469A" w:rsidRPr="002048CE">
        <w:rPr>
          <w:rFonts w:ascii="Arial" w:hAnsi="Arial"/>
        </w:rPr>
        <w:t>and bradycardia</w:t>
      </w:r>
      <w:r w:rsidRPr="002048CE">
        <w:rPr>
          <w:rFonts w:ascii="Arial" w:hAnsi="Arial"/>
        </w:rPr>
        <w:t xml:space="preserve">). Thus, much emphasis has been placed on the potential proarrhythmic effects of pharmaceuticals that are associated with QT interval prolongation. </w:t>
      </w:r>
    </w:p>
    <w:p w:rsidR="00082B60" w:rsidRPr="00A46454" w:rsidRDefault="00082B60" w:rsidP="00082B60">
      <w:pPr>
        <w:rPr>
          <w:rFonts w:ascii="Arial" w:hAnsi="Arial"/>
          <w:highlight w:val="yellow"/>
        </w:rPr>
      </w:pPr>
    </w:p>
    <w:p w:rsidR="00082B60" w:rsidRPr="002048CE" w:rsidRDefault="00082B60" w:rsidP="00082B60">
      <w:pPr>
        <w:rPr>
          <w:rFonts w:ascii="Arial" w:hAnsi="Arial"/>
        </w:rPr>
      </w:pPr>
      <w:r w:rsidRPr="002048CE">
        <w:rPr>
          <w:rFonts w:ascii="Arial" w:hAnsi="Arial"/>
        </w:rPr>
        <w:t xml:space="preserve">This guideline extends and complements </w:t>
      </w:r>
      <w:r w:rsidR="002048CE" w:rsidRPr="002048CE">
        <w:rPr>
          <w:rFonts w:ascii="Arial" w:hAnsi="Arial"/>
        </w:rPr>
        <w:t>ICH S7A</w:t>
      </w:r>
      <w:r w:rsidRPr="002048CE">
        <w:rPr>
          <w:rFonts w:ascii="Arial" w:hAnsi="Arial"/>
        </w:rPr>
        <w:t xml:space="preserve">. Conditions under which studies are not called for are described in ICH S7A. </w:t>
      </w:r>
    </w:p>
    <w:p w:rsidR="00082B60" w:rsidRPr="00A46454" w:rsidRDefault="00082B60" w:rsidP="00082B60">
      <w:pPr>
        <w:rPr>
          <w:rFonts w:ascii="Arial" w:hAnsi="Arial"/>
          <w:highlight w:val="yellow"/>
        </w:rPr>
      </w:pPr>
    </w:p>
    <w:p w:rsidR="00082B60" w:rsidRPr="002048CE" w:rsidRDefault="00082B60" w:rsidP="00082B60">
      <w:pPr>
        <w:rPr>
          <w:rFonts w:ascii="Arial" w:hAnsi="Arial"/>
        </w:rPr>
      </w:pPr>
      <w:r w:rsidRPr="002048CE">
        <w:rPr>
          <w:rFonts w:ascii="Arial" w:hAnsi="Arial"/>
        </w:rPr>
        <w:t xml:space="preserve">Principles and recommendations described in ICH S7A also apply to the studies conducted in accordance with the present guideline. </w:t>
      </w:r>
    </w:p>
    <w:p w:rsidR="0094469A" w:rsidRDefault="0094469A" w:rsidP="0094469A">
      <w:pPr>
        <w:rPr>
          <w:rStyle w:val="Arial"/>
          <w:b/>
          <w:bCs/>
        </w:rPr>
      </w:pPr>
    </w:p>
    <w:p w:rsidR="00082B60" w:rsidRPr="0094469A" w:rsidRDefault="0094469A" w:rsidP="0094469A">
      <w:pPr>
        <w:rPr>
          <w:rStyle w:val="Arial"/>
          <w:b/>
          <w:bCs/>
        </w:rPr>
      </w:pPr>
      <w:r>
        <w:rPr>
          <w:rStyle w:val="Arial"/>
          <w:b/>
          <w:bCs/>
        </w:rPr>
        <w:t xml:space="preserve">ICH </w:t>
      </w:r>
      <w:r w:rsidR="00082B60" w:rsidRPr="0094469A">
        <w:rPr>
          <w:rStyle w:val="Arial"/>
          <w:b/>
          <w:bCs/>
        </w:rPr>
        <w:t>S8 I</w:t>
      </w:r>
      <w:r w:rsidR="002048CE" w:rsidRPr="0094469A">
        <w:rPr>
          <w:rStyle w:val="Arial"/>
          <w:b/>
          <w:bCs/>
        </w:rPr>
        <w:t xml:space="preserve">mmunotoxicity studies for human pharmaceuticals </w:t>
      </w:r>
    </w:p>
    <w:p w:rsidR="0094469A" w:rsidRDefault="0094469A" w:rsidP="002048CE">
      <w:pPr>
        <w:rPr>
          <w:rFonts w:ascii="Arial" w:hAnsi="Arial"/>
        </w:rPr>
      </w:pPr>
    </w:p>
    <w:p w:rsidR="002048CE" w:rsidRPr="002048CE" w:rsidRDefault="002048CE" w:rsidP="002048CE">
      <w:pPr>
        <w:rPr>
          <w:rFonts w:ascii="Arial" w:hAnsi="Arial"/>
        </w:rPr>
      </w:pPr>
      <w:r w:rsidRPr="002048CE">
        <w:rPr>
          <w:rFonts w:ascii="Arial" w:hAnsi="Arial"/>
        </w:rPr>
        <w:t>This guideline is focused on providing recommendations on nonclinical testing for immunotoxicity induced by human pharmaceuticals. It is restricted to unintended immunosuppression and immunoenhancement, excluding allergenicity or drug specific autoimmunity.</w:t>
      </w:r>
    </w:p>
    <w:p w:rsidR="002048CE" w:rsidRPr="00A46454" w:rsidRDefault="002048CE" w:rsidP="002048CE">
      <w:pPr>
        <w:rPr>
          <w:rFonts w:ascii="Arial" w:hAnsi="Arial"/>
          <w:highlight w:val="yellow"/>
        </w:rPr>
      </w:pPr>
    </w:p>
    <w:p w:rsidR="00082B60" w:rsidRPr="002048CE" w:rsidRDefault="00082B60" w:rsidP="00082B60">
      <w:pPr>
        <w:rPr>
          <w:rFonts w:ascii="Arial" w:hAnsi="Arial"/>
        </w:rPr>
      </w:pPr>
      <w:r w:rsidRPr="002048CE">
        <w:rPr>
          <w:rFonts w:ascii="Arial" w:hAnsi="Arial"/>
        </w:rPr>
        <w:t xml:space="preserve">The objectives of this guideline are to provide (1) recommendations on nonclinical testing approaches to identify compounds which have the potential to be immunotoxic, and (2) guidance on a weight-of-evidence decision making approach for immunotoxicity testing. </w:t>
      </w:r>
    </w:p>
    <w:p w:rsidR="00082B60" w:rsidRPr="002048CE" w:rsidRDefault="00082B60" w:rsidP="00082B60">
      <w:pPr>
        <w:rPr>
          <w:rFonts w:ascii="Arial" w:hAnsi="Arial"/>
        </w:rPr>
      </w:pPr>
    </w:p>
    <w:p w:rsidR="00082B60" w:rsidRPr="002048CE" w:rsidRDefault="00082B60" w:rsidP="00082B60">
      <w:pPr>
        <w:rPr>
          <w:rFonts w:ascii="Arial" w:hAnsi="Arial"/>
        </w:rPr>
      </w:pPr>
      <w:r w:rsidRPr="002048CE">
        <w:rPr>
          <w:rFonts w:ascii="Arial" w:hAnsi="Arial"/>
        </w:rPr>
        <w:t xml:space="preserve">Evaluation of potential adverse effects of human pharmaceuticals on the immune system should be incorporated into standard drug development. Toxicity to the immune system encompasses a variety of adverse effects. These include suppression or enhancement of the immune response. </w:t>
      </w:r>
    </w:p>
    <w:p w:rsidR="00082B60" w:rsidRPr="002048CE" w:rsidRDefault="00082B60" w:rsidP="00082B60">
      <w:pPr>
        <w:rPr>
          <w:rFonts w:ascii="Arial" w:hAnsi="Arial"/>
        </w:rPr>
      </w:pPr>
    </w:p>
    <w:p w:rsidR="00082B60" w:rsidRPr="00A46454" w:rsidRDefault="00082B60" w:rsidP="002048CE">
      <w:pPr>
        <w:rPr>
          <w:rFonts w:ascii="Arial" w:hAnsi="Arial"/>
          <w:highlight w:val="yellow"/>
        </w:rPr>
      </w:pPr>
      <w:r w:rsidRPr="002048CE">
        <w:rPr>
          <w:rFonts w:ascii="Arial" w:hAnsi="Arial"/>
        </w:rPr>
        <w:t>Suppression of the immune response can lead to decreased host resistance to infectious agents or tumo</w:t>
      </w:r>
      <w:r w:rsidR="002048CE">
        <w:rPr>
          <w:rFonts w:ascii="Arial" w:hAnsi="Arial"/>
        </w:rPr>
        <w:t>u</w:t>
      </w:r>
      <w:r w:rsidRPr="002048CE">
        <w:rPr>
          <w:rFonts w:ascii="Arial" w:hAnsi="Arial"/>
        </w:rPr>
        <w:t>r cells. Enhancing the immune response can exaggerate autoimmune diseases or hypersensitivity. Drug or drug-protein adducts might also be recognized as foreign and stimulate an anti-drug response. Subsequent exposures to the drug can lead to hypersensitivit</w:t>
      </w:r>
      <w:r w:rsidR="002048CE">
        <w:rPr>
          <w:rFonts w:ascii="Arial" w:hAnsi="Arial"/>
        </w:rPr>
        <w:t xml:space="preserve">y (allergic) reactions. </w:t>
      </w:r>
    </w:p>
    <w:p w:rsidR="00082B60" w:rsidRPr="00A46454" w:rsidRDefault="00082B60" w:rsidP="00082B60">
      <w:pPr>
        <w:rPr>
          <w:rFonts w:ascii="Arial" w:hAnsi="Arial"/>
          <w:highlight w:val="yellow"/>
        </w:rPr>
      </w:pPr>
    </w:p>
    <w:p w:rsidR="00082B60" w:rsidRPr="002048CE" w:rsidRDefault="00082B60" w:rsidP="00082B60">
      <w:pPr>
        <w:rPr>
          <w:rFonts w:ascii="Arial" w:hAnsi="Arial"/>
        </w:rPr>
      </w:pPr>
      <w:r w:rsidRPr="002048CE">
        <w:rPr>
          <w:rFonts w:ascii="Arial" w:hAnsi="Arial"/>
        </w:rPr>
        <w:t xml:space="preserve">Existing guidance documents on sensitization or hypersensitivity remain in force and are not affected by this document. It is beyond the scope of this guideline to provide specific guidance on how each immunotoxicity study should be performed. </w:t>
      </w:r>
    </w:p>
    <w:p w:rsidR="0094469A" w:rsidRDefault="0094469A" w:rsidP="0094469A">
      <w:pPr>
        <w:rPr>
          <w:rStyle w:val="Arial"/>
          <w:b/>
          <w:bCs/>
        </w:rPr>
      </w:pPr>
    </w:p>
    <w:p w:rsidR="002048CE" w:rsidRPr="0094469A" w:rsidRDefault="0094469A" w:rsidP="0094469A">
      <w:pPr>
        <w:rPr>
          <w:rStyle w:val="Arial"/>
          <w:b/>
          <w:bCs/>
        </w:rPr>
      </w:pPr>
      <w:r>
        <w:rPr>
          <w:rStyle w:val="Arial"/>
          <w:b/>
          <w:bCs/>
        </w:rPr>
        <w:t xml:space="preserve">ICH </w:t>
      </w:r>
      <w:r w:rsidR="002048CE" w:rsidRPr="0094469A">
        <w:rPr>
          <w:rStyle w:val="Arial"/>
          <w:b/>
          <w:bCs/>
        </w:rPr>
        <w:t>S9 Nonclinical evaluation for anticancer pharmaceuticals</w:t>
      </w:r>
    </w:p>
    <w:p w:rsidR="0094469A" w:rsidRDefault="0094469A" w:rsidP="00082B60">
      <w:pPr>
        <w:rPr>
          <w:rFonts w:ascii="Arial" w:hAnsi="Arial"/>
        </w:rPr>
      </w:pPr>
    </w:p>
    <w:p w:rsidR="002048CE" w:rsidRDefault="002048CE" w:rsidP="00082B60">
      <w:pPr>
        <w:rPr>
          <w:rFonts w:ascii="Arial" w:hAnsi="Arial"/>
        </w:rPr>
      </w:pPr>
      <w:r w:rsidRPr="002048CE">
        <w:rPr>
          <w:rFonts w:ascii="Arial" w:hAnsi="Arial"/>
        </w:rPr>
        <w:t>This guideline is not applicable to psychoactive products.</w:t>
      </w:r>
    </w:p>
    <w:p w:rsidR="0094469A" w:rsidRDefault="0094469A" w:rsidP="0094469A">
      <w:pPr>
        <w:rPr>
          <w:rStyle w:val="Arial"/>
          <w:b/>
          <w:bCs/>
        </w:rPr>
      </w:pPr>
    </w:p>
    <w:p w:rsidR="002048CE" w:rsidRPr="0094469A" w:rsidRDefault="0094469A" w:rsidP="0094469A">
      <w:pPr>
        <w:rPr>
          <w:rStyle w:val="Arial"/>
          <w:b/>
          <w:bCs/>
        </w:rPr>
      </w:pPr>
      <w:r>
        <w:rPr>
          <w:rStyle w:val="Arial"/>
          <w:b/>
          <w:bCs/>
        </w:rPr>
        <w:t xml:space="preserve">ICH </w:t>
      </w:r>
      <w:r w:rsidR="002048CE" w:rsidRPr="0094469A">
        <w:rPr>
          <w:rStyle w:val="Arial"/>
          <w:b/>
          <w:bCs/>
        </w:rPr>
        <w:t>S10 Photosafety evaluation of pharmaceuticals</w:t>
      </w:r>
    </w:p>
    <w:p w:rsidR="0094469A" w:rsidRDefault="0094469A" w:rsidP="002048CE">
      <w:pPr>
        <w:rPr>
          <w:rFonts w:ascii="Arial" w:hAnsi="Arial"/>
        </w:rPr>
      </w:pPr>
    </w:p>
    <w:p w:rsidR="002048CE" w:rsidRPr="002048CE" w:rsidRDefault="002048CE" w:rsidP="002048CE">
      <w:pPr>
        <w:rPr>
          <w:rFonts w:ascii="Arial" w:hAnsi="Arial"/>
        </w:rPr>
      </w:pPr>
      <w:r w:rsidRPr="002048CE">
        <w:rPr>
          <w:rFonts w:ascii="Arial" w:hAnsi="Arial"/>
        </w:rPr>
        <w:t xml:space="preserve">The purpose of this document is to recommend international standards for </w:t>
      </w:r>
      <w:r w:rsidR="0094469A" w:rsidRPr="002048CE">
        <w:rPr>
          <w:rFonts w:ascii="Arial" w:hAnsi="Arial"/>
        </w:rPr>
        <w:t>photo safety</w:t>
      </w:r>
      <w:r w:rsidRPr="002048CE">
        <w:rPr>
          <w:rFonts w:ascii="Arial" w:hAnsi="Arial"/>
        </w:rPr>
        <w:t xml:space="preserve"> assessment, and to harmonise such assessments supporting human clinical trials and marketing authorizations for pharmaceuticals. It includes factors for initiation of and triggers for additional </w:t>
      </w:r>
      <w:r w:rsidR="0094469A" w:rsidRPr="002048CE">
        <w:rPr>
          <w:rFonts w:ascii="Arial" w:hAnsi="Arial"/>
        </w:rPr>
        <w:t>photo safety</w:t>
      </w:r>
      <w:r w:rsidRPr="002048CE">
        <w:rPr>
          <w:rFonts w:ascii="Arial" w:hAnsi="Arial"/>
        </w:rPr>
        <w:t xml:space="preserve"> assessment and should be read in conjunction with ICH M3(R2), Section 14 on Photosafety Testing. </w:t>
      </w:r>
    </w:p>
    <w:p w:rsidR="002048CE" w:rsidRPr="002048CE" w:rsidRDefault="002048CE" w:rsidP="002048CE">
      <w:pPr>
        <w:rPr>
          <w:rFonts w:ascii="Arial" w:hAnsi="Arial"/>
        </w:rPr>
      </w:pPr>
    </w:p>
    <w:p w:rsidR="0094469A" w:rsidRDefault="0094469A" w:rsidP="002048CE">
      <w:pPr>
        <w:rPr>
          <w:rFonts w:ascii="Arial" w:hAnsi="Arial"/>
        </w:rPr>
      </w:pPr>
      <w:r>
        <w:rPr>
          <w:rFonts w:ascii="Arial" w:hAnsi="Arial"/>
        </w:rPr>
        <w:br w:type="page"/>
      </w:r>
    </w:p>
    <w:p w:rsidR="00082B60" w:rsidRPr="002048CE" w:rsidRDefault="00082B60" w:rsidP="002048CE">
      <w:pPr>
        <w:pStyle w:val="Heading1"/>
        <w:rPr>
          <w:bCs w:val="0"/>
          <w:sz w:val="36"/>
        </w:rPr>
      </w:pPr>
      <w:bookmarkStart w:id="345" w:name="_Toc409508726"/>
      <w:r w:rsidRPr="002048CE">
        <w:rPr>
          <w:bCs w:val="0"/>
          <w:sz w:val="36"/>
        </w:rPr>
        <w:t>ICH Efficacy Guidelines</w:t>
      </w:r>
      <w:bookmarkEnd w:id="345"/>
    </w:p>
    <w:p w:rsidR="002048CE" w:rsidRDefault="002048CE" w:rsidP="00082B60">
      <w:pPr>
        <w:rPr>
          <w:rFonts w:ascii="Arial" w:hAnsi="Arial"/>
        </w:rPr>
      </w:pPr>
      <w:r w:rsidRPr="002048CE">
        <w:rPr>
          <w:rFonts w:ascii="Arial" w:hAnsi="Arial"/>
        </w:rPr>
        <w:t xml:space="preserve">As psychoactive products do not have a therapeutic purpose, many of the ICH efficacy guidelines are not applicable. </w:t>
      </w:r>
      <w:r>
        <w:rPr>
          <w:rFonts w:ascii="Arial" w:hAnsi="Arial"/>
        </w:rPr>
        <w:t>G</w:t>
      </w:r>
      <w:r w:rsidRPr="002048CE">
        <w:rPr>
          <w:rFonts w:ascii="Arial" w:hAnsi="Arial"/>
        </w:rPr>
        <w:t xml:space="preserve">uidelines that the </w:t>
      </w:r>
      <w:r w:rsidR="00F004D6">
        <w:rPr>
          <w:rFonts w:ascii="Arial" w:hAnsi="Arial"/>
        </w:rPr>
        <w:t>OPSRA</w:t>
      </w:r>
      <w:r w:rsidRPr="002048CE">
        <w:rPr>
          <w:rFonts w:ascii="Arial" w:hAnsi="Arial"/>
        </w:rPr>
        <w:t xml:space="preserve"> considers </w:t>
      </w:r>
      <w:r>
        <w:rPr>
          <w:rFonts w:ascii="Arial" w:hAnsi="Arial"/>
        </w:rPr>
        <w:t xml:space="preserve">to be of particular importance </w:t>
      </w:r>
      <w:r w:rsidRPr="002048CE">
        <w:rPr>
          <w:rFonts w:ascii="Arial" w:hAnsi="Arial"/>
        </w:rPr>
        <w:t>to psychoactive products are discussed below</w:t>
      </w:r>
      <w:r>
        <w:rPr>
          <w:rFonts w:ascii="Arial" w:hAnsi="Arial"/>
        </w:rPr>
        <w:t xml:space="preserve"> although applicants should consider whether additional guidelines may also be useful</w:t>
      </w:r>
      <w:r w:rsidRPr="002048CE">
        <w:rPr>
          <w:rFonts w:ascii="Arial" w:hAnsi="Arial"/>
        </w:rPr>
        <w:t>.</w:t>
      </w:r>
    </w:p>
    <w:p w:rsidR="0094469A" w:rsidRDefault="0094469A" w:rsidP="0094469A">
      <w:pPr>
        <w:rPr>
          <w:rStyle w:val="Arial"/>
          <w:b/>
          <w:bCs/>
        </w:rPr>
      </w:pPr>
    </w:p>
    <w:p w:rsidR="00082B60" w:rsidRPr="0094469A" w:rsidRDefault="0094469A" w:rsidP="0094469A">
      <w:pPr>
        <w:rPr>
          <w:rStyle w:val="Arial"/>
          <w:b/>
          <w:bCs/>
        </w:rPr>
      </w:pPr>
      <w:r>
        <w:rPr>
          <w:rStyle w:val="Arial"/>
          <w:b/>
          <w:bCs/>
        </w:rPr>
        <w:t xml:space="preserve">ICH </w:t>
      </w:r>
      <w:r w:rsidR="00082B60" w:rsidRPr="0094469A">
        <w:rPr>
          <w:rStyle w:val="Arial"/>
          <w:b/>
          <w:bCs/>
        </w:rPr>
        <w:t>E4 D</w:t>
      </w:r>
      <w:r w:rsidR="002048CE" w:rsidRPr="0094469A">
        <w:rPr>
          <w:rStyle w:val="Arial"/>
          <w:b/>
          <w:bCs/>
        </w:rPr>
        <w:t xml:space="preserve">ose-response information to support drug registration </w:t>
      </w:r>
    </w:p>
    <w:p w:rsidR="0094469A" w:rsidRDefault="0094469A" w:rsidP="00082B60">
      <w:pPr>
        <w:rPr>
          <w:rFonts w:ascii="Arial" w:hAnsi="Arial"/>
        </w:rPr>
      </w:pPr>
    </w:p>
    <w:p w:rsidR="002048CE" w:rsidRPr="002048CE" w:rsidRDefault="002048CE" w:rsidP="00082B60">
      <w:pPr>
        <w:rPr>
          <w:rFonts w:ascii="Arial" w:hAnsi="Arial"/>
        </w:rPr>
      </w:pPr>
      <w:r w:rsidRPr="002048CE">
        <w:rPr>
          <w:rFonts w:ascii="Arial" w:hAnsi="Arial"/>
        </w:rPr>
        <w:t>This document provides guidance on how to select the correct dose of a product.</w:t>
      </w:r>
    </w:p>
    <w:p w:rsidR="002048CE" w:rsidRPr="002048CE" w:rsidRDefault="002048CE" w:rsidP="00082B60">
      <w:pPr>
        <w:rPr>
          <w:rFonts w:ascii="Arial" w:hAnsi="Arial"/>
        </w:rPr>
      </w:pPr>
    </w:p>
    <w:p w:rsidR="00082B60" w:rsidRPr="002048CE" w:rsidRDefault="00082B60" w:rsidP="00082B60">
      <w:pPr>
        <w:rPr>
          <w:rFonts w:ascii="Arial" w:hAnsi="Arial"/>
        </w:rPr>
      </w:pPr>
      <w:r w:rsidRPr="002048CE">
        <w:rPr>
          <w:rFonts w:ascii="Arial" w:hAnsi="Arial"/>
        </w:rPr>
        <w:t>Knowledge of the relationships among dose, drug-concentration in blood, and clinical response (effectiveness and undesirable effects) is important for the safe and effective use of drugs in individual patients. This information can help identify an appropriate starting dose, the best way to adjust dosage to the needs of a particular patient, and a dose beyond which increases would be unlikely to provide added benefit or would produce unacceptable side effects. Dose-concentration, concentration- and/or dose-response information is used to prepare dosage and administration instructions in product label</w:t>
      </w:r>
      <w:r w:rsidR="002048CE">
        <w:rPr>
          <w:rFonts w:ascii="Arial" w:hAnsi="Arial"/>
        </w:rPr>
        <w:t>l</w:t>
      </w:r>
      <w:r w:rsidRPr="002048CE">
        <w:rPr>
          <w:rFonts w:ascii="Arial" w:hAnsi="Arial"/>
        </w:rPr>
        <w:t xml:space="preserve">ing. In addition, knowledge of dose-response may provide an economical approach to global drug development, by enabling multiple regulatory agencies to make approval decisions from a common database. </w:t>
      </w:r>
    </w:p>
    <w:p w:rsidR="00082B60" w:rsidRDefault="00082B60" w:rsidP="00082B60">
      <w:pPr>
        <w:rPr>
          <w:rFonts w:ascii="Arial" w:hAnsi="Arial"/>
          <w:highlight w:val="yellow"/>
        </w:rPr>
      </w:pPr>
    </w:p>
    <w:p w:rsidR="002048CE" w:rsidRDefault="002048CE" w:rsidP="002048CE">
      <w:pPr>
        <w:rPr>
          <w:rFonts w:ascii="Arial" w:hAnsi="Arial"/>
        </w:rPr>
      </w:pPr>
      <w:r>
        <w:rPr>
          <w:rFonts w:ascii="Arial" w:hAnsi="Arial"/>
        </w:rPr>
        <w:t>This guideline refers to effectiveness, which applicants should disregard. All other aspects of this guideline remain applicable to developing a new psychoactive product.</w:t>
      </w:r>
    </w:p>
    <w:p w:rsidR="002048CE" w:rsidRDefault="002048CE" w:rsidP="00082B60">
      <w:pPr>
        <w:rPr>
          <w:rFonts w:ascii="Arial" w:hAnsi="Arial"/>
          <w:highlight w:val="yellow"/>
        </w:rPr>
      </w:pPr>
    </w:p>
    <w:p w:rsidR="00082B60" w:rsidRDefault="00082B60" w:rsidP="00082B60">
      <w:pPr>
        <w:rPr>
          <w:rFonts w:ascii="Arial" w:hAnsi="Arial"/>
          <w:i/>
        </w:rPr>
      </w:pPr>
      <w:r w:rsidRPr="002048CE">
        <w:rPr>
          <w:rFonts w:ascii="Arial" w:hAnsi="Arial"/>
          <w:i/>
        </w:rPr>
        <w:t xml:space="preserve">Good clinical research practice </w:t>
      </w:r>
    </w:p>
    <w:p w:rsidR="0094469A" w:rsidRPr="002048CE" w:rsidRDefault="0094469A" w:rsidP="00082B60">
      <w:pPr>
        <w:rPr>
          <w:rFonts w:ascii="Arial" w:hAnsi="Arial"/>
          <w:i/>
        </w:rPr>
      </w:pPr>
    </w:p>
    <w:p w:rsidR="00082B60" w:rsidRPr="002048CE" w:rsidRDefault="00082B60" w:rsidP="00082B60">
      <w:pPr>
        <w:rPr>
          <w:rFonts w:ascii="Arial" w:hAnsi="Arial"/>
        </w:rPr>
      </w:pPr>
      <w:r w:rsidRPr="002048CE">
        <w:rPr>
          <w:rFonts w:ascii="Arial" w:hAnsi="Arial"/>
        </w:rPr>
        <w:t xml:space="preserve">The </w:t>
      </w:r>
      <w:r w:rsidR="00F004D6">
        <w:rPr>
          <w:rFonts w:ascii="Arial" w:hAnsi="Arial"/>
        </w:rPr>
        <w:t>OPSRA</w:t>
      </w:r>
      <w:r w:rsidRPr="002048CE">
        <w:rPr>
          <w:rFonts w:ascii="Arial" w:hAnsi="Arial"/>
        </w:rPr>
        <w:t xml:space="preserve"> expects all clinical trials involving humans to comply with the New Zealand Good Clinical Research Practice Guidelines found at </w:t>
      </w:r>
      <w:r w:rsidRPr="002C7CC5">
        <w:rPr>
          <w:rFonts w:ascii="Arial" w:hAnsi="Arial"/>
        </w:rPr>
        <w:t>Part 11 of the New Zealand Regulatory Guidel</w:t>
      </w:r>
      <w:r w:rsidR="002048CE" w:rsidRPr="002C7CC5">
        <w:rPr>
          <w:rFonts w:ascii="Arial" w:hAnsi="Arial"/>
        </w:rPr>
        <w:t>ine for Medicines (</w:t>
      </w:r>
      <w:hyperlink r:id="rId62" w:history="1">
        <w:r w:rsidR="0094469A" w:rsidRPr="002C7CC5">
          <w:rPr>
            <w:rStyle w:val="Hyperlink"/>
            <w:rFonts w:ascii="Arial" w:hAnsi="Arial"/>
          </w:rPr>
          <w:t>www.medsafe.govt.nz</w:t>
        </w:r>
      </w:hyperlink>
      <w:r w:rsidRPr="002C7CC5">
        <w:rPr>
          <w:rFonts w:ascii="Arial" w:hAnsi="Arial"/>
        </w:rPr>
        <w:t>).</w:t>
      </w:r>
      <w:r w:rsidR="0094469A">
        <w:rPr>
          <w:rFonts w:ascii="Arial" w:hAnsi="Arial"/>
        </w:rPr>
        <w:t xml:space="preserve"> </w:t>
      </w:r>
      <w:r w:rsidRPr="002048CE">
        <w:rPr>
          <w:rFonts w:ascii="Arial" w:hAnsi="Arial"/>
        </w:rPr>
        <w:t xml:space="preserve">For research in humans utilising psychoactive products covered by this legislation, the researcher is not required to seek the approval of the Authority before the study can proceed, however, the research licence holder is required to inform the </w:t>
      </w:r>
      <w:r w:rsidR="00F004D6">
        <w:rPr>
          <w:rFonts w:ascii="Arial" w:hAnsi="Arial"/>
        </w:rPr>
        <w:t>OPSRA</w:t>
      </w:r>
      <w:r w:rsidRPr="002048CE">
        <w:rPr>
          <w:rFonts w:ascii="Arial" w:hAnsi="Arial"/>
        </w:rPr>
        <w:t xml:space="preserve"> that the study is underway and has attained the relevant site and ethical approvals. Where a human clinical study is conducted outside New Zealand the </w:t>
      </w:r>
      <w:r w:rsidR="00F004D6">
        <w:rPr>
          <w:rFonts w:ascii="Arial" w:hAnsi="Arial"/>
        </w:rPr>
        <w:t>OPSRA</w:t>
      </w:r>
      <w:r w:rsidRPr="002048CE">
        <w:rPr>
          <w:rFonts w:ascii="Arial" w:hAnsi="Arial"/>
        </w:rPr>
        <w:t xml:space="preserve"> requires the study to comply with ICH E6R1 if it is to be acceptable. </w:t>
      </w:r>
    </w:p>
    <w:p w:rsidR="0094469A" w:rsidRDefault="0094469A" w:rsidP="0094469A">
      <w:pPr>
        <w:rPr>
          <w:rStyle w:val="Arial"/>
          <w:b/>
          <w:bCs/>
        </w:rPr>
      </w:pPr>
    </w:p>
    <w:p w:rsidR="002048CE" w:rsidRPr="0094469A" w:rsidRDefault="0094469A" w:rsidP="0094469A">
      <w:pPr>
        <w:rPr>
          <w:rStyle w:val="Arial"/>
          <w:b/>
          <w:bCs/>
        </w:rPr>
      </w:pPr>
      <w:r>
        <w:rPr>
          <w:rStyle w:val="Arial"/>
          <w:b/>
          <w:bCs/>
        </w:rPr>
        <w:t xml:space="preserve">ICH </w:t>
      </w:r>
      <w:r w:rsidR="00082B60" w:rsidRPr="0094469A">
        <w:rPr>
          <w:rStyle w:val="Arial"/>
          <w:b/>
          <w:bCs/>
        </w:rPr>
        <w:t>E6R1 G</w:t>
      </w:r>
      <w:r w:rsidR="002048CE" w:rsidRPr="0094469A">
        <w:rPr>
          <w:rStyle w:val="Arial"/>
          <w:b/>
          <w:bCs/>
        </w:rPr>
        <w:t>uideline for good clinical practice</w:t>
      </w:r>
    </w:p>
    <w:p w:rsidR="0094469A" w:rsidRDefault="0094469A" w:rsidP="00082B60">
      <w:pPr>
        <w:rPr>
          <w:rFonts w:ascii="Arial" w:hAnsi="Arial"/>
        </w:rPr>
      </w:pPr>
    </w:p>
    <w:p w:rsidR="00082B60" w:rsidRPr="002048CE" w:rsidRDefault="00082B60" w:rsidP="00082B60">
      <w:pPr>
        <w:rPr>
          <w:rFonts w:ascii="Arial" w:hAnsi="Arial"/>
        </w:rPr>
      </w:pPr>
      <w:r w:rsidRPr="002048CE">
        <w:rPr>
          <w:rFonts w:ascii="Arial" w:hAnsi="Arial"/>
        </w:rPr>
        <w:t xml:space="preserve">Good Clinical Practice (GCP) is an international ethical and scientific quality standard for designing, conducting, recording and reporting trials that involve the participation of human subjects. Compliance with this standard provides public assurance that the rights, safety and well-being of trial subjects are protected, consistent with the principles that have their origin in the Declaration of Helsinki, and that the clinical trial data are credible. </w:t>
      </w:r>
    </w:p>
    <w:p w:rsidR="00082B60" w:rsidRPr="002048CE" w:rsidRDefault="00082B60" w:rsidP="00082B60">
      <w:pPr>
        <w:rPr>
          <w:rFonts w:ascii="Arial" w:hAnsi="Arial"/>
        </w:rPr>
      </w:pPr>
    </w:p>
    <w:p w:rsidR="00082B60" w:rsidRPr="002048CE" w:rsidRDefault="00082B60" w:rsidP="00082B60">
      <w:pPr>
        <w:rPr>
          <w:rFonts w:ascii="Arial" w:hAnsi="Arial"/>
        </w:rPr>
      </w:pPr>
      <w:r w:rsidRPr="002048CE">
        <w:rPr>
          <w:rFonts w:ascii="Arial" w:hAnsi="Arial"/>
        </w:rPr>
        <w:t xml:space="preserve">This guideline should be followed when generating clinical trial data that are intended to be submitted to regulatory authorities. </w:t>
      </w:r>
    </w:p>
    <w:p w:rsidR="00082B60" w:rsidRPr="002048CE" w:rsidRDefault="00082B60" w:rsidP="00082B60">
      <w:pPr>
        <w:rPr>
          <w:rFonts w:ascii="Arial" w:hAnsi="Arial"/>
        </w:rPr>
      </w:pPr>
    </w:p>
    <w:p w:rsidR="00082B60" w:rsidRDefault="00082B60" w:rsidP="00082B60">
      <w:pPr>
        <w:rPr>
          <w:rFonts w:ascii="Arial" w:hAnsi="Arial"/>
        </w:rPr>
      </w:pPr>
      <w:r w:rsidRPr="002048CE">
        <w:rPr>
          <w:rFonts w:ascii="Arial" w:hAnsi="Arial"/>
        </w:rPr>
        <w:t>The principles established in this guideline may also be applied to other clinical investigations that may have an impact on the safety and well-being of human subjects.</w:t>
      </w:r>
    </w:p>
    <w:p w:rsidR="002048CE" w:rsidRPr="002048CE" w:rsidRDefault="002048CE" w:rsidP="00082B60">
      <w:pPr>
        <w:rPr>
          <w:rFonts w:ascii="Arial" w:hAnsi="Arial"/>
        </w:rPr>
      </w:pPr>
    </w:p>
    <w:p w:rsidR="00082B60" w:rsidRDefault="00082B60" w:rsidP="00082B60">
      <w:pPr>
        <w:rPr>
          <w:rFonts w:ascii="Arial" w:hAnsi="Arial"/>
          <w:i/>
        </w:rPr>
      </w:pPr>
      <w:r w:rsidRPr="002048CE">
        <w:rPr>
          <w:rFonts w:ascii="Arial" w:hAnsi="Arial"/>
          <w:i/>
        </w:rPr>
        <w:t>Post-market safety monitoring</w:t>
      </w:r>
    </w:p>
    <w:p w:rsidR="0094469A" w:rsidRPr="002048CE" w:rsidRDefault="0094469A" w:rsidP="00082B60">
      <w:pPr>
        <w:rPr>
          <w:rFonts w:ascii="Arial" w:hAnsi="Arial"/>
          <w:i/>
        </w:rPr>
      </w:pPr>
    </w:p>
    <w:p w:rsidR="00082B60" w:rsidRDefault="00082B60" w:rsidP="00082B60">
      <w:pPr>
        <w:rPr>
          <w:rFonts w:ascii="Arial" w:hAnsi="Arial"/>
        </w:rPr>
      </w:pPr>
      <w:r w:rsidRPr="002048CE">
        <w:rPr>
          <w:rFonts w:ascii="Arial" w:hAnsi="Arial"/>
        </w:rPr>
        <w:t>As indicated</w:t>
      </w:r>
      <w:r w:rsidR="002048CE">
        <w:rPr>
          <w:rFonts w:ascii="Arial" w:hAnsi="Arial"/>
        </w:rPr>
        <w:t xml:space="preserve">, the </w:t>
      </w:r>
      <w:r w:rsidR="00F004D6">
        <w:rPr>
          <w:rFonts w:ascii="Arial" w:hAnsi="Arial"/>
        </w:rPr>
        <w:t>OPSRA</w:t>
      </w:r>
      <w:r w:rsidR="002048CE">
        <w:rPr>
          <w:rFonts w:ascii="Arial" w:hAnsi="Arial"/>
        </w:rPr>
        <w:t xml:space="preserve"> may</w:t>
      </w:r>
      <w:r w:rsidRPr="002048CE">
        <w:rPr>
          <w:rFonts w:ascii="Arial" w:hAnsi="Arial"/>
        </w:rPr>
        <w:t xml:space="preserve"> require the manufacturer to undertake specific post-market safety monitoring of their approved products. Details of this approach can be found </w:t>
      </w:r>
      <w:r w:rsidRPr="002C7CC5">
        <w:rPr>
          <w:rFonts w:ascii="Arial" w:hAnsi="Arial"/>
        </w:rPr>
        <w:t>in Part 8 of the New Zealand Regulatory Guideline for Medicines (</w:t>
      </w:r>
      <w:hyperlink r:id="rId63" w:history="1">
        <w:r w:rsidR="002048CE" w:rsidRPr="002C7CC5">
          <w:rPr>
            <w:rStyle w:val="Hyperlink"/>
            <w:rFonts w:ascii="Arial" w:hAnsi="Arial"/>
          </w:rPr>
          <w:t>www.medsafe.govt.nz</w:t>
        </w:r>
      </w:hyperlink>
      <w:r w:rsidRPr="002C7CC5">
        <w:rPr>
          <w:rFonts w:ascii="Arial" w:hAnsi="Arial"/>
        </w:rPr>
        <w:t>), or</w:t>
      </w:r>
      <w:r w:rsidRPr="002048CE">
        <w:rPr>
          <w:rFonts w:ascii="Arial" w:hAnsi="Arial"/>
        </w:rPr>
        <w:t xml:space="preserve"> in the relevant ICH Guidelines.</w:t>
      </w:r>
      <w:r w:rsidR="0094469A">
        <w:rPr>
          <w:rFonts w:ascii="Arial" w:hAnsi="Arial"/>
        </w:rPr>
        <w:t xml:space="preserve"> </w:t>
      </w:r>
    </w:p>
    <w:p w:rsidR="0094469A" w:rsidRPr="002048CE" w:rsidRDefault="0094469A" w:rsidP="00082B60">
      <w:pPr>
        <w:rPr>
          <w:rFonts w:ascii="Arial" w:hAnsi="Arial"/>
        </w:rPr>
      </w:pPr>
    </w:p>
    <w:p w:rsidR="002048CE" w:rsidRPr="0094469A" w:rsidRDefault="0094469A" w:rsidP="0094469A">
      <w:pPr>
        <w:rPr>
          <w:rStyle w:val="Arial"/>
          <w:b/>
          <w:bCs/>
        </w:rPr>
      </w:pPr>
      <w:r>
        <w:rPr>
          <w:rStyle w:val="Arial"/>
          <w:b/>
          <w:bCs/>
        </w:rPr>
        <w:t xml:space="preserve">ICH </w:t>
      </w:r>
      <w:r w:rsidR="002048CE" w:rsidRPr="0094469A">
        <w:rPr>
          <w:rStyle w:val="Arial"/>
          <w:b/>
          <w:bCs/>
        </w:rPr>
        <w:t>E2A Clinical safety data management</w:t>
      </w:r>
    </w:p>
    <w:p w:rsidR="0094469A" w:rsidRDefault="0094469A" w:rsidP="002048CE">
      <w:pPr>
        <w:rPr>
          <w:rFonts w:ascii="Arial" w:hAnsi="Arial"/>
        </w:rPr>
      </w:pPr>
    </w:p>
    <w:p w:rsidR="002048CE" w:rsidRPr="002048CE" w:rsidRDefault="002048CE" w:rsidP="002048CE">
      <w:pPr>
        <w:rPr>
          <w:rFonts w:ascii="Arial" w:hAnsi="Arial"/>
        </w:rPr>
      </w:pPr>
      <w:r w:rsidRPr="002048CE">
        <w:rPr>
          <w:rFonts w:ascii="Arial" w:hAnsi="Arial"/>
        </w:rPr>
        <w:t xml:space="preserve">This document is designed to provide guidance on the way to gather and if necessary, to take action on important clinical safety information arising during clinical development. </w:t>
      </w:r>
    </w:p>
    <w:p w:rsidR="00082B60" w:rsidRPr="00A46454" w:rsidRDefault="00082B60" w:rsidP="00082B60">
      <w:pPr>
        <w:rPr>
          <w:rFonts w:ascii="Arial" w:hAnsi="Arial"/>
          <w:highlight w:val="yellow"/>
        </w:rPr>
      </w:pPr>
    </w:p>
    <w:p w:rsidR="002048CE" w:rsidRPr="0094469A" w:rsidRDefault="0094469A" w:rsidP="0094469A">
      <w:pPr>
        <w:rPr>
          <w:rStyle w:val="Arial"/>
          <w:b/>
          <w:bCs/>
        </w:rPr>
      </w:pPr>
      <w:r>
        <w:rPr>
          <w:rStyle w:val="Arial"/>
          <w:b/>
          <w:bCs/>
        </w:rPr>
        <w:t xml:space="preserve">ICH </w:t>
      </w:r>
      <w:r w:rsidR="002048CE" w:rsidRPr="0094469A">
        <w:rPr>
          <w:rStyle w:val="Arial"/>
          <w:b/>
          <w:bCs/>
        </w:rPr>
        <w:t>E2C Periodic benefit-risk evaluation report (PBRER)</w:t>
      </w:r>
    </w:p>
    <w:p w:rsidR="0094469A" w:rsidRDefault="0094469A" w:rsidP="002048CE">
      <w:pPr>
        <w:rPr>
          <w:rFonts w:ascii="Arial" w:hAnsi="Arial"/>
        </w:rPr>
      </w:pPr>
    </w:p>
    <w:p w:rsidR="002048CE" w:rsidRPr="002048CE" w:rsidRDefault="002048CE" w:rsidP="002048CE">
      <w:pPr>
        <w:rPr>
          <w:rFonts w:ascii="Arial" w:hAnsi="Arial"/>
        </w:rPr>
      </w:pPr>
      <w:r w:rsidRPr="002048CE">
        <w:rPr>
          <w:rFonts w:ascii="Arial" w:hAnsi="Arial"/>
        </w:rPr>
        <w:t xml:space="preserve">This </w:t>
      </w:r>
      <w:r w:rsidR="0094469A">
        <w:rPr>
          <w:rFonts w:ascii="Arial" w:hAnsi="Arial"/>
        </w:rPr>
        <w:t>document</w:t>
      </w:r>
      <w:r w:rsidRPr="002048CE">
        <w:rPr>
          <w:rFonts w:ascii="Arial" w:hAnsi="Arial"/>
        </w:rPr>
        <w:t xml:space="preserve"> defines the recommended format and content of a PBRER and provides an outline of points to be considered in its preparation and submission.</w:t>
      </w:r>
    </w:p>
    <w:p w:rsidR="002048CE" w:rsidRPr="002048CE" w:rsidRDefault="002048CE" w:rsidP="002048CE">
      <w:pPr>
        <w:rPr>
          <w:rFonts w:ascii="Arial" w:hAnsi="Arial"/>
        </w:rPr>
      </w:pPr>
    </w:p>
    <w:p w:rsidR="002048CE" w:rsidRPr="002048CE" w:rsidRDefault="002048CE" w:rsidP="002048CE">
      <w:pPr>
        <w:rPr>
          <w:rFonts w:ascii="Arial" w:hAnsi="Arial"/>
        </w:rPr>
      </w:pPr>
      <w:r w:rsidRPr="002048CE">
        <w:rPr>
          <w:rFonts w:ascii="Arial" w:hAnsi="Arial"/>
        </w:rPr>
        <w:t>When a new medicinal product is approved for marketing, demonstration of safety and efficacy are generally based on data from a limited number of patients, many studied under the controlled conditions of randomised trials. Patients in trials are closely monitored for evidence of adverse events. In clinical practice, however, monitoring is less intensive, a broader range of patients are treated (age, co-morbidities, drugs, genetic abnormalities), and events too rare to occur in clinical trials may be observed (eg, severe liver injury). These factors underlie the need for continuing analysis of relevant safety, efficacy, and effectiveness information throughout the lifecycle of a medicinal product – promptly, as important findings occur – and periodically – to allow an overall assessment of the accumulating data. Although the majority of new information will be safety-related, new information about effectiveness, limitations of use, alternative treatments, and many other aspects of the drug’s place in therapy may be pertinent to its benefit-risk assessment.</w:t>
      </w:r>
    </w:p>
    <w:p w:rsidR="002048CE" w:rsidRPr="002048CE" w:rsidRDefault="002048CE" w:rsidP="002048CE">
      <w:pPr>
        <w:rPr>
          <w:rFonts w:ascii="Arial" w:hAnsi="Arial"/>
        </w:rPr>
      </w:pPr>
    </w:p>
    <w:p w:rsidR="002048CE" w:rsidRDefault="002048CE" w:rsidP="002048CE">
      <w:pPr>
        <w:rPr>
          <w:rFonts w:ascii="Arial" w:hAnsi="Arial"/>
        </w:rPr>
      </w:pPr>
      <w:r>
        <w:rPr>
          <w:rFonts w:ascii="Arial" w:hAnsi="Arial"/>
        </w:rPr>
        <w:t>This guideline references the need to monitor efficacy and effectiveness, which applicant’s should disregard. All other aspects of this guideline remain applicable to developing a new psychoactive product.</w:t>
      </w:r>
    </w:p>
    <w:p w:rsidR="0094469A" w:rsidRDefault="0094469A" w:rsidP="0094469A">
      <w:pPr>
        <w:rPr>
          <w:rStyle w:val="Arial"/>
          <w:b/>
          <w:bCs/>
        </w:rPr>
      </w:pPr>
    </w:p>
    <w:p w:rsidR="002048CE" w:rsidRPr="0094469A" w:rsidRDefault="0094469A" w:rsidP="0094469A">
      <w:pPr>
        <w:rPr>
          <w:rStyle w:val="Arial"/>
          <w:b/>
          <w:bCs/>
        </w:rPr>
      </w:pPr>
      <w:r>
        <w:rPr>
          <w:rStyle w:val="Arial"/>
          <w:b/>
          <w:bCs/>
        </w:rPr>
        <w:t xml:space="preserve">ICH </w:t>
      </w:r>
      <w:r w:rsidR="00082B60" w:rsidRPr="0094469A">
        <w:rPr>
          <w:rStyle w:val="Arial"/>
          <w:b/>
          <w:bCs/>
        </w:rPr>
        <w:t>E2D P</w:t>
      </w:r>
      <w:r w:rsidR="002048CE" w:rsidRPr="0094469A">
        <w:rPr>
          <w:rStyle w:val="Arial"/>
          <w:b/>
          <w:bCs/>
        </w:rPr>
        <w:t>ost-approval safety data management: Definitions and standards for expedited reporting</w:t>
      </w:r>
    </w:p>
    <w:p w:rsidR="0094469A" w:rsidRDefault="0094469A" w:rsidP="00082B60">
      <w:pPr>
        <w:rPr>
          <w:rFonts w:ascii="Arial" w:hAnsi="Arial"/>
        </w:rPr>
      </w:pPr>
    </w:p>
    <w:p w:rsidR="00082B60" w:rsidRPr="002048CE" w:rsidRDefault="00082B60" w:rsidP="00082B60">
      <w:pPr>
        <w:rPr>
          <w:rFonts w:ascii="Arial" w:hAnsi="Arial"/>
        </w:rPr>
      </w:pPr>
      <w:r w:rsidRPr="002048CE">
        <w:rPr>
          <w:rFonts w:ascii="Arial" w:hAnsi="Arial"/>
        </w:rPr>
        <w:t xml:space="preserve">It is important to establish an internationally standardized procedure in order to improve the quality of post-approval safety information and to harmonise the way of gathering and reporting information. ICH E2A provides guidance on pre-approval safety data management. Although many stakeholders have applied ICH E2A concepts to the post-approval phase, there is a need to provide further guidance on definitions and standards for post-approval expedited reporting, as well as good case management practices. This guideline is based on the content of ICH E2A, with consideration as to how the terms and definitions can be applied in the post-approval phase of the product life cycle. </w:t>
      </w:r>
    </w:p>
    <w:p w:rsidR="0094469A" w:rsidRDefault="0094469A" w:rsidP="0094469A">
      <w:pPr>
        <w:rPr>
          <w:rStyle w:val="Arial"/>
          <w:b/>
          <w:bCs/>
        </w:rPr>
      </w:pPr>
    </w:p>
    <w:p w:rsidR="002048CE" w:rsidRPr="0094469A" w:rsidRDefault="0094469A" w:rsidP="0094469A">
      <w:pPr>
        <w:rPr>
          <w:rStyle w:val="Arial"/>
          <w:b/>
          <w:bCs/>
        </w:rPr>
      </w:pPr>
      <w:r>
        <w:rPr>
          <w:rStyle w:val="Arial"/>
          <w:b/>
          <w:bCs/>
        </w:rPr>
        <w:t xml:space="preserve">ICH </w:t>
      </w:r>
      <w:r w:rsidR="00082B60" w:rsidRPr="0094469A">
        <w:rPr>
          <w:rStyle w:val="Arial"/>
          <w:b/>
          <w:bCs/>
        </w:rPr>
        <w:t>E2E P</w:t>
      </w:r>
      <w:r w:rsidR="002048CE" w:rsidRPr="0094469A">
        <w:rPr>
          <w:rStyle w:val="Arial"/>
          <w:b/>
          <w:bCs/>
        </w:rPr>
        <w:t>harmacovigilance planning</w:t>
      </w:r>
    </w:p>
    <w:p w:rsidR="0094469A" w:rsidRDefault="0094469A" w:rsidP="00082B60">
      <w:pPr>
        <w:rPr>
          <w:rFonts w:ascii="Arial" w:hAnsi="Arial"/>
        </w:rPr>
      </w:pPr>
    </w:p>
    <w:p w:rsidR="00082B60" w:rsidRPr="002048CE" w:rsidRDefault="00082B60" w:rsidP="00082B60">
      <w:pPr>
        <w:rPr>
          <w:rFonts w:ascii="Arial" w:hAnsi="Arial"/>
        </w:rPr>
      </w:pPr>
      <w:r w:rsidRPr="002048CE">
        <w:rPr>
          <w:rFonts w:ascii="Arial" w:hAnsi="Arial"/>
        </w:rPr>
        <w:t xml:space="preserve">This guideline is intended to aid in planning pharmacovigilance activities, especially in preparation for the early postmarketing period of a new drug. The main focus of this guideline is on a Safety Specification and Pharmacovigilance Plan that might be submitted at the time of licence application. The guideline can be used by sponsors to develop a stand-alone document for regions that prefer this approach or to provide guidance on incorporation of elements of the Safety Specification and Pharmacovigilance Plan into the Common Technical Document (CTD). </w:t>
      </w:r>
    </w:p>
    <w:p w:rsidR="00082B60" w:rsidRPr="002048CE" w:rsidRDefault="00082B60" w:rsidP="00082B60">
      <w:pPr>
        <w:rPr>
          <w:rFonts w:ascii="Arial" w:hAnsi="Arial"/>
        </w:rPr>
      </w:pPr>
    </w:p>
    <w:p w:rsidR="00082B60" w:rsidRDefault="0094469A" w:rsidP="002048CE">
      <w:pPr>
        <w:rPr>
          <w:rFonts w:ascii="Arial" w:hAnsi="Arial"/>
        </w:rPr>
      </w:pPr>
      <w:r>
        <w:rPr>
          <w:rFonts w:ascii="Arial" w:hAnsi="Arial"/>
        </w:rPr>
        <w:t>This</w:t>
      </w:r>
      <w:r w:rsidR="00082B60" w:rsidRPr="002048CE">
        <w:rPr>
          <w:rFonts w:ascii="Arial" w:hAnsi="Arial"/>
        </w:rPr>
        <w:t xml:space="preserve"> guideline describes a method for summarising the important identified risks of a drug, important potential risks, and important missing information, including the potentially at-risk populations and situations where the product is likely to be used that have not been studied pre-approval. It proposes a structure for a Pharmacovigilance Plan and sets out principles of good practice for the design and conduct of observational studies. </w:t>
      </w:r>
    </w:p>
    <w:p w:rsidR="0094469A" w:rsidRDefault="0094469A" w:rsidP="0094469A">
      <w:pPr>
        <w:rPr>
          <w:rStyle w:val="Arial"/>
          <w:b/>
          <w:bCs/>
        </w:rPr>
      </w:pPr>
    </w:p>
    <w:p w:rsidR="002048CE" w:rsidRPr="0094469A" w:rsidRDefault="0094469A" w:rsidP="0094469A">
      <w:pPr>
        <w:rPr>
          <w:rStyle w:val="Arial"/>
          <w:b/>
          <w:bCs/>
        </w:rPr>
      </w:pPr>
      <w:r>
        <w:rPr>
          <w:rStyle w:val="Arial"/>
          <w:b/>
          <w:bCs/>
        </w:rPr>
        <w:t xml:space="preserve">ICH </w:t>
      </w:r>
      <w:r w:rsidR="002048CE" w:rsidRPr="0094469A">
        <w:rPr>
          <w:rStyle w:val="Arial"/>
          <w:b/>
          <w:bCs/>
        </w:rPr>
        <w:t>E8 General considerations for clinical trials</w:t>
      </w:r>
    </w:p>
    <w:p w:rsidR="0094469A" w:rsidRDefault="0094469A" w:rsidP="00082B60">
      <w:pPr>
        <w:rPr>
          <w:rFonts w:ascii="Arial" w:hAnsi="Arial"/>
        </w:rPr>
      </w:pPr>
    </w:p>
    <w:p w:rsidR="002048CE" w:rsidRDefault="002048CE" w:rsidP="00082B60">
      <w:pPr>
        <w:rPr>
          <w:rFonts w:ascii="Arial" w:hAnsi="Arial"/>
        </w:rPr>
      </w:pPr>
      <w:r>
        <w:rPr>
          <w:rFonts w:ascii="Arial" w:hAnsi="Arial"/>
        </w:rPr>
        <w:t>This document provides a harmonised guideline on general consideration for clinical trials and the process of clinical development of pharmaceuticals for human use.</w:t>
      </w:r>
    </w:p>
    <w:p w:rsidR="002048CE" w:rsidRPr="002048CE" w:rsidRDefault="002048CE" w:rsidP="002048CE">
      <w:pPr>
        <w:rPr>
          <w:rFonts w:ascii="Arial" w:hAnsi="Arial"/>
        </w:rPr>
      </w:pPr>
    </w:p>
    <w:p w:rsidR="002048CE" w:rsidRPr="002048CE" w:rsidRDefault="002048CE" w:rsidP="002048CE">
      <w:pPr>
        <w:rPr>
          <w:rFonts w:ascii="Arial" w:hAnsi="Arial"/>
        </w:rPr>
      </w:pPr>
      <w:r>
        <w:rPr>
          <w:rFonts w:ascii="Arial" w:hAnsi="Arial"/>
        </w:rPr>
        <w:t xml:space="preserve">This document </w:t>
      </w:r>
      <w:r w:rsidRPr="002048CE">
        <w:rPr>
          <w:rFonts w:ascii="Arial" w:hAnsi="Arial"/>
        </w:rPr>
        <w:t xml:space="preserve">is intended to: </w:t>
      </w:r>
    </w:p>
    <w:p w:rsidR="002048CE" w:rsidRPr="002048CE" w:rsidRDefault="002048CE" w:rsidP="002048CE">
      <w:pPr>
        <w:rPr>
          <w:rFonts w:ascii="Arial" w:hAnsi="Arial"/>
        </w:rPr>
      </w:pPr>
      <w:r w:rsidRPr="002048CE">
        <w:rPr>
          <w:rFonts w:ascii="Arial" w:hAnsi="Arial"/>
        </w:rPr>
        <w:t>(a) describe internationally accepted principles and practices in the conduct of both individual clinical trials and overall development stra</w:t>
      </w:r>
      <w:r w:rsidR="0094469A">
        <w:rPr>
          <w:rFonts w:ascii="Arial" w:hAnsi="Arial"/>
        </w:rPr>
        <w:t>tegy for new medicinal products</w:t>
      </w:r>
      <w:r w:rsidRPr="002048CE">
        <w:rPr>
          <w:rFonts w:ascii="Arial" w:hAnsi="Arial"/>
        </w:rPr>
        <w:t xml:space="preserve"> </w:t>
      </w:r>
    </w:p>
    <w:p w:rsidR="002048CE" w:rsidRPr="002048CE" w:rsidRDefault="002048CE" w:rsidP="002048CE">
      <w:pPr>
        <w:rPr>
          <w:rFonts w:ascii="Arial" w:hAnsi="Arial"/>
        </w:rPr>
      </w:pPr>
      <w:r w:rsidRPr="002048CE">
        <w:rPr>
          <w:rFonts w:ascii="Arial" w:hAnsi="Arial"/>
        </w:rPr>
        <w:t>(b) facilitate the evaluation and acceptance of foreign clinical trial data by promoting common understanding of general principles, general approaches and t</w:t>
      </w:r>
      <w:r w:rsidR="0094469A">
        <w:rPr>
          <w:rFonts w:ascii="Arial" w:hAnsi="Arial"/>
        </w:rPr>
        <w:t>he definition of relevant terms</w:t>
      </w:r>
      <w:r w:rsidRPr="002048CE">
        <w:rPr>
          <w:rFonts w:ascii="Arial" w:hAnsi="Arial"/>
        </w:rPr>
        <w:t xml:space="preserve"> </w:t>
      </w:r>
    </w:p>
    <w:p w:rsidR="002048CE" w:rsidRPr="002048CE" w:rsidRDefault="002048CE" w:rsidP="002048CE">
      <w:pPr>
        <w:rPr>
          <w:rFonts w:ascii="Arial" w:hAnsi="Arial"/>
        </w:rPr>
      </w:pPr>
      <w:r w:rsidRPr="002048CE">
        <w:rPr>
          <w:rFonts w:ascii="Arial" w:hAnsi="Arial"/>
        </w:rPr>
        <w:t>c) present an overview of the ICH clinical safety and efficacy documents and facilitate the user's access to guidance pertinent to clinica</w:t>
      </w:r>
      <w:r w:rsidR="0094469A">
        <w:rPr>
          <w:rFonts w:ascii="Arial" w:hAnsi="Arial"/>
        </w:rPr>
        <w:t>l trials within these documents</w:t>
      </w:r>
      <w:r w:rsidRPr="002048CE">
        <w:rPr>
          <w:rFonts w:ascii="Arial" w:hAnsi="Arial"/>
        </w:rPr>
        <w:t xml:space="preserve"> </w:t>
      </w:r>
    </w:p>
    <w:p w:rsidR="002048CE" w:rsidRDefault="002048CE" w:rsidP="002048CE">
      <w:pPr>
        <w:rPr>
          <w:rFonts w:ascii="Arial" w:hAnsi="Arial"/>
        </w:rPr>
      </w:pPr>
      <w:r w:rsidRPr="002048CE">
        <w:rPr>
          <w:rFonts w:ascii="Arial" w:hAnsi="Arial"/>
        </w:rPr>
        <w:t>(d) provide a separate glossary of terms used in the ICH clinical safety and efficacy related documents that pertain to clinical trials and indicate which documents contain them.</w:t>
      </w:r>
    </w:p>
    <w:p w:rsidR="002048CE" w:rsidRDefault="002048CE" w:rsidP="002048CE">
      <w:pPr>
        <w:rPr>
          <w:rFonts w:ascii="Arial" w:hAnsi="Arial"/>
        </w:rPr>
      </w:pPr>
    </w:p>
    <w:p w:rsidR="002048CE" w:rsidRPr="002048CE" w:rsidRDefault="002048CE" w:rsidP="002048CE">
      <w:pPr>
        <w:rPr>
          <w:rFonts w:ascii="Arial" w:hAnsi="Arial"/>
        </w:rPr>
      </w:pPr>
      <w:r>
        <w:rPr>
          <w:rFonts w:ascii="Arial" w:hAnsi="Arial"/>
        </w:rPr>
        <w:t>In order to protect human trial subjects, and before any clinical trial is carried out, results of non-clinical investigations or previous human studies should be sufficient to indi</w:t>
      </w:r>
      <w:r w:rsidR="0094469A">
        <w:rPr>
          <w:rFonts w:ascii="Arial" w:hAnsi="Arial"/>
        </w:rPr>
        <w:t>cate that the drug is</w:t>
      </w:r>
      <w:r>
        <w:rPr>
          <w:rFonts w:ascii="Arial" w:hAnsi="Arial"/>
        </w:rPr>
        <w:t xml:space="preserve"> safe for investigation in humans, before any clinical trial is</w:t>
      </w:r>
      <w:r w:rsidR="0094469A">
        <w:rPr>
          <w:rFonts w:ascii="Arial" w:hAnsi="Arial"/>
        </w:rPr>
        <w:t xml:space="preserve"> undertaken</w:t>
      </w:r>
      <w:r>
        <w:rPr>
          <w:rFonts w:ascii="Arial" w:hAnsi="Arial"/>
        </w:rPr>
        <w:t xml:space="preserve">. This may be difficult to achieve without pre-clinical studies in animals. Applicants are reminded that the </w:t>
      </w:r>
      <w:r w:rsidR="00F004D6">
        <w:rPr>
          <w:rFonts w:ascii="Arial" w:hAnsi="Arial"/>
        </w:rPr>
        <w:t>OPSRA</w:t>
      </w:r>
      <w:r>
        <w:rPr>
          <w:rFonts w:ascii="Arial" w:hAnsi="Arial"/>
        </w:rPr>
        <w:t xml:space="preserve"> will not consider the results of human clinical trials that are performed without suitable ethics approval.</w:t>
      </w:r>
    </w:p>
    <w:p w:rsidR="0094469A" w:rsidRDefault="0094469A" w:rsidP="002048CE">
      <w:pPr>
        <w:pStyle w:val="Heading1"/>
        <w:rPr>
          <w:bCs w:val="0"/>
          <w:sz w:val="36"/>
        </w:rPr>
      </w:pPr>
      <w:r>
        <w:rPr>
          <w:bCs w:val="0"/>
          <w:sz w:val="36"/>
        </w:rPr>
        <w:br w:type="page"/>
      </w:r>
    </w:p>
    <w:p w:rsidR="002048CE" w:rsidRPr="002048CE" w:rsidRDefault="002048CE" w:rsidP="002048CE">
      <w:pPr>
        <w:pStyle w:val="Heading1"/>
        <w:rPr>
          <w:bCs w:val="0"/>
          <w:sz w:val="36"/>
        </w:rPr>
      </w:pPr>
      <w:bookmarkStart w:id="346" w:name="_Toc409508727"/>
      <w:r w:rsidRPr="002048CE">
        <w:rPr>
          <w:bCs w:val="0"/>
          <w:sz w:val="36"/>
        </w:rPr>
        <w:t>ICH Multidisciplinary Standards</w:t>
      </w:r>
      <w:bookmarkEnd w:id="346"/>
    </w:p>
    <w:p w:rsidR="002048CE" w:rsidRDefault="002048CE" w:rsidP="002048CE">
      <w:pPr>
        <w:rPr>
          <w:rFonts w:ascii="Arial" w:hAnsi="Arial"/>
        </w:rPr>
      </w:pPr>
      <w:r>
        <w:rPr>
          <w:rFonts w:ascii="Arial" w:hAnsi="Arial"/>
        </w:rPr>
        <w:t>The multidisciplinary</w:t>
      </w:r>
      <w:r w:rsidRPr="002048CE">
        <w:rPr>
          <w:rFonts w:ascii="Arial" w:hAnsi="Arial"/>
        </w:rPr>
        <w:t xml:space="preserve"> </w:t>
      </w:r>
      <w:r>
        <w:rPr>
          <w:rFonts w:ascii="Arial" w:hAnsi="Arial"/>
        </w:rPr>
        <w:t>g</w:t>
      </w:r>
      <w:r w:rsidRPr="002048CE">
        <w:rPr>
          <w:rFonts w:ascii="Arial" w:hAnsi="Arial"/>
        </w:rPr>
        <w:t xml:space="preserve">uidelines that the </w:t>
      </w:r>
      <w:r w:rsidR="00F004D6">
        <w:rPr>
          <w:rFonts w:ascii="Arial" w:hAnsi="Arial"/>
        </w:rPr>
        <w:t>OPSRA</w:t>
      </w:r>
      <w:r w:rsidRPr="002048CE">
        <w:rPr>
          <w:rFonts w:ascii="Arial" w:hAnsi="Arial"/>
        </w:rPr>
        <w:t xml:space="preserve"> considers </w:t>
      </w:r>
      <w:r>
        <w:rPr>
          <w:rFonts w:ascii="Arial" w:hAnsi="Arial"/>
        </w:rPr>
        <w:t xml:space="preserve">to be of particular importance </w:t>
      </w:r>
      <w:r w:rsidRPr="002048CE">
        <w:rPr>
          <w:rFonts w:ascii="Arial" w:hAnsi="Arial"/>
        </w:rPr>
        <w:t>to psychoactive products are discussed below</w:t>
      </w:r>
      <w:r>
        <w:rPr>
          <w:rFonts w:ascii="Arial" w:hAnsi="Arial"/>
        </w:rPr>
        <w:t xml:space="preserve"> although applicants should consider whether additional guidelines may also be useful</w:t>
      </w:r>
      <w:r w:rsidRPr="002048CE">
        <w:rPr>
          <w:rFonts w:ascii="Arial" w:hAnsi="Arial"/>
        </w:rPr>
        <w:t>.</w:t>
      </w:r>
    </w:p>
    <w:p w:rsidR="0094469A" w:rsidRDefault="0094469A" w:rsidP="0094469A">
      <w:pPr>
        <w:rPr>
          <w:rStyle w:val="Arial"/>
          <w:b/>
          <w:bCs/>
        </w:rPr>
      </w:pPr>
    </w:p>
    <w:p w:rsidR="002048CE" w:rsidRPr="0094469A" w:rsidRDefault="0094469A" w:rsidP="0094469A">
      <w:pPr>
        <w:rPr>
          <w:rStyle w:val="Arial"/>
          <w:b/>
          <w:bCs/>
        </w:rPr>
      </w:pPr>
      <w:r>
        <w:rPr>
          <w:rStyle w:val="Arial"/>
          <w:b/>
          <w:bCs/>
        </w:rPr>
        <w:t xml:space="preserve">ICH </w:t>
      </w:r>
      <w:r w:rsidR="002048CE" w:rsidRPr="0094469A">
        <w:rPr>
          <w:rStyle w:val="Arial"/>
          <w:b/>
          <w:bCs/>
        </w:rPr>
        <w:t>M3R2 Guidance on nonclinical safety studies for the conduct of human clinical trials and marketing authorisation for pharmaceuticals</w:t>
      </w:r>
    </w:p>
    <w:p w:rsidR="0094469A" w:rsidRDefault="0094469A" w:rsidP="002048CE">
      <w:pPr>
        <w:rPr>
          <w:rFonts w:ascii="Arial" w:hAnsi="Arial"/>
        </w:rPr>
      </w:pPr>
    </w:p>
    <w:p w:rsidR="002048CE" w:rsidRPr="002048CE" w:rsidRDefault="002048CE" w:rsidP="002048CE">
      <w:pPr>
        <w:rPr>
          <w:rFonts w:ascii="Arial" w:hAnsi="Arial"/>
        </w:rPr>
      </w:pPr>
      <w:r w:rsidRPr="002048CE">
        <w:rPr>
          <w:rFonts w:ascii="Arial" w:hAnsi="Arial"/>
        </w:rPr>
        <w:t>The purpose of this document is to recommend international standards for, and promote harmonisation of, the nonclinical safety studies recommended to support human clinical trials of a given scope and duration as well as marketing authorization for pharmaceuticals.</w:t>
      </w:r>
    </w:p>
    <w:p w:rsidR="002048CE" w:rsidRPr="00A46454" w:rsidRDefault="002048CE" w:rsidP="002048CE">
      <w:pPr>
        <w:rPr>
          <w:rFonts w:ascii="Arial" w:hAnsi="Arial"/>
          <w:highlight w:val="yellow"/>
        </w:rPr>
      </w:pPr>
    </w:p>
    <w:p w:rsidR="002048CE" w:rsidRPr="002048CE" w:rsidRDefault="002048CE" w:rsidP="002048CE">
      <w:pPr>
        <w:rPr>
          <w:rFonts w:ascii="Arial" w:hAnsi="Arial"/>
        </w:rPr>
      </w:pPr>
      <w:r w:rsidRPr="002048CE">
        <w:rPr>
          <w:rFonts w:ascii="Arial" w:hAnsi="Arial"/>
        </w:rPr>
        <w:t xml:space="preserve">The nonclinical safety assessment for marketing approval of a pharmaceutical usually includes pharmacology studies, general toxicity studies, toxicokinetic and nonclinical pharmacokinetic studies, reproduction toxicity studies, genotoxicity studies and, for drugs that have special cause for concern or are intended for a long duration of use, an assessment of carcinogenic potential. </w:t>
      </w:r>
    </w:p>
    <w:p w:rsidR="002048CE" w:rsidRPr="00A46454" w:rsidRDefault="002048CE" w:rsidP="002048CE">
      <w:pPr>
        <w:rPr>
          <w:rFonts w:ascii="Arial" w:hAnsi="Arial"/>
          <w:highlight w:val="yellow"/>
        </w:rPr>
      </w:pPr>
    </w:p>
    <w:p w:rsidR="002048CE" w:rsidRPr="002048CE" w:rsidRDefault="002048CE" w:rsidP="002048CE">
      <w:pPr>
        <w:rPr>
          <w:rFonts w:ascii="Arial" w:hAnsi="Arial"/>
        </w:rPr>
      </w:pPr>
      <w:r w:rsidRPr="002048CE">
        <w:rPr>
          <w:rFonts w:ascii="Arial" w:hAnsi="Arial"/>
        </w:rPr>
        <w:t>Other nonclinical studies to assess phototoxicity, immunotoxicity, juvenile animal toxicity and abuse liability should be conducted on a case-by-case basis. The need for nonclinical safety studies and their relation to the conduct of human clinical trials is delineated in this guidance.</w:t>
      </w:r>
    </w:p>
    <w:p w:rsidR="002048CE" w:rsidRPr="00A46454" w:rsidRDefault="002048CE" w:rsidP="002048CE">
      <w:pPr>
        <w:rPr>
          <w:rFonts w:ascii="Arial" w:hAnsi="Arial"/>
          <w:highlight w:val="yellow"/>
        </w:rPr>
      </w:pPr>
    </w:p>
    <w:p w:rsidR="002048CE" w:rsidRPr="002048CE" w:rsidRDefault="002048CE" w:rsidP="002048CE">
      <w:pPr>
        <w:rPr>
          <w:rFonts w:ascii="Arial" w:hAnsi="Arial"/>
        </w:rPr>
      </w:pPr>
      <w:r w:rsidRPr="002048CE">
        <w:rPr>
          <w:rFonts w:ascii="Arial" w:hAnsi="Arial"/>
        </w:rPr>
        <w:t>The development of a pharmaceutical is a stepwise process involving an evaluation of both animal and human efficacy and safety information. The goals of the nonclinical safety evaluation generally include a characterisation of toxic effects with respect to target organs, dose dependence, relationship to exposure, and, when appropriate, potential reversibility. This information is used to estimate an initial safe starting dose and dose range for the human trials and to identify parameters for clinical monitoring for potential adverse effects. The nonclinical safety studies, although usually limited at the beginning of clinical development, should be adequate to characterise potential adverse effects that might occur under the conditions of the clinical trial to be supported.</w:t>
      </w:r>
    </w:p>
    <w:p w:rsidR="002048CE" w:rsidRPr="002048CE" w:rsidRDefault="002048CE" w:rsidP="002048CE">
      <w:pPr>
        <w:rPr>
          <w:rFonts w:ascii="Arial" w:hAnsi="Arial"/>
        </w:rPr>
      </w:pPr>
    </w:p>
    <w:p w:rsidR="002048CE" w:rsidRPr="002048CE" w:rsidRDefault="002048CE" w:rsidP="002048CE">
      <w:pPr>
        <w:rPr>
          <w:rFonts w:ascii="Arial" w:hAnsi="Arial"/>
        </w:rPr>
      </w:pPr>
      <w:r w:rsidRPr="002048CE">
        <w:rPr>
          <w:rFonts w:ascii="Arial" w:hAnsi="Arial"/>
        </w:rPr>
        <w:t>Human clinical trials are conducted to investigate the efficacy and safety of a</w:t>
      </w:r>
    </w:p>
    <w:p w:rsidR="002048CE" w:rsidRPr="00A46454" w:rsidRDefault="002048CE" w:rsidP="002048CE">
      <w:pPr>
        <w:rPr>
          <w:rFonts w:ascii="Arial" w:hAnsi="Arial"/>
          <w:highlight w:val="yellow"/>
        </w:rPr>
      </w:pPr>
      <w:r w:rsidRPr="002048CE">
        <w:rPr>
          <w:rFonts w:ascii="Arial" w:hAnsi="Arial"/>
        </w:rPr>
        <w:t>pharmaceutical, starting with a relatively low systemic exposure in a small number of subjects. This is followed by clinical trials in which exposure to the pharmaceutical usually increases by duration and/or size of the exposed patient population. Clinical trials should be extended based on the demonstration of adequate safety in the previous clinical trial(s), as well as on additional nonclinical safety information that becomes available as clinical development proceeds.</w:t>
      </w:r>
    </w:p>
    <w:p w:rsidR="00EB630A" w:rsidRDefault="00EB630A" w:rsidP="0094469A">
      <w:pPr>
        <w:rPr>
          <w:rStyle w:val="Arial"/>
          <w:b/>
          <w:bCs/>
        </w:rPr>
      </w:pPr>
    </w:p>
    <w:p w:rsidR="002048CE" w:rsidRPr="0094469A" w:rsidRDefault="0094469A" w:rsidP="0094469A">
      <w:pPr>
        <w:rPr>
          <w:rStyle w:val="Arial"/>
          <w:b/>
          <w:bCs/>
        </w:rPr>
      </w:pPr>
      <w:r>
        <w:rPr>
          <w:rStyle w:val="Arial"/>
          <w:b/>
          <w:bCs/>
        </w:rPr>
        <w:t xml:space="preserve">ICH </w:t>
      </w:r>
      <w:r w:rsidR="002048CE" w:rsidRPr="0094469A">
        <w:rPr>
          <w:rStyle w:val="Arial"/>
          <w:b/>
          <w:bCs/>
        </w:rPr>
        <w:t xml:space="preserve">M4R3 Organisation including the granularity document that provides guidance on document location and paginations </w:t>
      </w:r>
    </w:p>
    <w:p w:rsidR="0094469A" w:rsidRDefault="0094469A" w:rsidP="002048CE">
      <w:pPr>
        <w:rPr>
          <w:rFonts w:ascii="Arial" w:hAnsi="Arial"/>
        </w:rPr>
      </w:pPr>
    </w:p>
    <w:p w:rsidR="002048CE" w:rsidRDefault="002048CE" w:rsidP="002048CE">
      <w:pPr>
        <w:rPr>
          <w:rFonts w:ascii="Arial" w:hAnsi="Arial"/>
        </w:rPr>
      </w:pPr>
      <w:r w:rsidRPr="002048CE">
        <w:rPr>
          <w:rFonts w:ascii="Arial" w:hAnsi="Arial"/>
        </w:rPr>
        <w:t xml:space="preserve">This guideline presents the </w:t>
      </w:r>
      <w:r>
        <w:rPr>
          <w:rFonts w:ascii="Arial" w:hAnsi="Arial"/>
        </w:rPr>
        <w:t>accepted</w:t>
      </w:r>
      <w:r w:rsidRPr="002048CE">
        <w:rPr>
          <w:rFonts w:ascii="Arial" w:hAnsi="Arial"/>
        </w:rPr>
        <w:t xml:space="preserve"> common format for the preparation of a well-structured </w:t>
      </w:r>
      <w:r w:rsidR="0094469A">
        <w:rPr>
          <w:rFonts w:ascii="Arial" w:hAnsi="Arial"/>
        </w:rPr>
        <w:t>CTD</w:t>
      </w:r>
      <w:r w:rsidRPr="002048CE">
        <w:rPr>
          <w:rFonts w:ascii="Arial" w:hAnsi="Arial"/>
        </w:rPr>
        <w:t xml:space="preserve"> for applications that will be submitted to regulatory authorities. A common format for the technical documentation will significantly reduce the time and resources needed to compile </w:t>
      </w:r>
      <w:r>
        <w:rPr>
          <w:rFonts w:ascii="Arial" w:hAnsi="Arial"/>
        </w:rPr>
        <w:t xml:space="preserve">and assess </w:t>
      </w:r>
      <w:r w:rsidRPr="002048CE">
        <w:rPr>
          <w:rFonts w:ascii="Arial" w:hAnsi="Arial"/>
        </w:rPr>
        <w:t xml:space="preserve">applications for registration of </w:t>
      </w:r>
      <w:r w:rsidR="0094469A">
        <w:rPr>
          <w:rFonts w:ascii="Arial" w:hAnsi="Arial"/>
        </w:rPr>
        <w:t>psychoactive products</w:t>
      </w:r>
      <w:r>
        <w:rPr>
          <w:rFonts w:ascii="Arial" w:hAnsi="Arial"/>
        </w:rPr>
        <w:t>.</w:t>
      </w:r>
    </w:p>
    <w:p w:rsidR="0094469A" w:rsidRDefault="0094469A" w:rsidP="0094469A">
      <w:pPr>
        <w:rPr>
          <w:rStyle w:val="Arial"/>
          <w:b/>
          <w:bCs/>
        </w:rPr>
      </w:pPr>
    </w:p>
    <w:p w:rsidR="002048CE" w:rsidRPr="0094469A" w:rsidRDefault="0094469A" w:rsidP="0094469A">
      <w:pPr>
        <w:rPr>
          <w:rStyle w:val="Arial"/>
          <w:b/>
          <w:bCs/>
        </w:rPr>
      </w:pPr>
      <w:r>
        <w:rPr>
          <w:rStyle w:val="Arial"/>
          <w:b/>
          <w:bCs/>
        </w:rPr>
        <w:t xml:space="preserve">ICH </w:t>
      </w:r>
      <w:r w:rsidR="002048CE" w:rsidRPr="0094469A">
        <w:rPr>
          <w:rStyle w:val="Arial"/>
          <w:b/>
          <w:bCs/>
        </w:rPr>
        <w:t xml:space="preserve">M4QR1 The common technical document for the registration of pharmaceuticals for human use </w:t>
      </w:r>
    </w:p>
    <w:p w:rsidR="0094469A" w:rsidRDefault="0094469A" w:rsidP="002048CE">
      <w:pPr>
        <w:rPr>
          <w:rFonts w:ascii="Arial" w:hAnsi="Arial"/>
          <w:i/>
        </w:rPr>
      </w:pPr>
    </w:p>
    <w:p w:rsidR="002048CE" w:rsidRDefault="002048CE" w:rsidP="002048CE">
      <w:pPr>
        <w:rPr>
          <w:rFonts w:ascii="Arial" w:hAnsi="Arial"/>
          <w:i/>
        </w:rPr>
      </w:pPr>
      <w:r>
        <w:rPr>
          <w:rFonts w:ascii="Arial" w:hAnsi="Arial"/>
          <w:i/>
        </w:rPr>
        <w:t>M</w:t>
      </w:r>
      <w:r w:rsidRPr="002048CE">
        <w:rPr>
          <w:rFonts w:ascii="Arial" w:hAnsi="Arial"/>
          <w:i/>
        </w:rPr>
        <w:t>odule 2</w:t>
      </w:r>
      <w:r>
        <w:rPr>
          <w:rFonts w:ascii="Arial" w:hAnsi="Arial"/>
          <w:i/>
        </w:rPr>
        <w:t>: Quality overall summary</w:t>
      </w:r>
      <w:r w:rsidRPr="002048CE">
        <w:rPr>
          <w:rFonts w:ascii="Arial" w:hAnsi="Arial"/>
          <w:i/>
        </w:rPr>
        <w:t xml:space="preserve"> </w:t>
      </w:r>
    </w:p>
    <w:p w:rsidR="0094469A" w:rsidRPr="002048CE" w:rsidRDefault="0094469A" w:rsidP="002048CE">
      <w:pPr>
        <w:rPr>
          <w:rFonts w:ascii="Arial" w:hAnsi="Arial"/>
          <w:i/>
        </w:rPr>
      </w:pPr>
    </w:p>
    <w:p w:rsidR="002048CE" w:rsidRPr="002048CE" w:rsidRDefault="002048CE" w:rsidP="002048CE">
      <w:pPr>
        <w:rPr>
          <w:rFonts w:ascii="Arial" w:hAnsi="Arial"/>
        </w:rPr>
      </w:pPr>
      <w:r w:rsidRPr="002048CE">
        <w:rPr>
          <w:rFonts w:ascii="Arial" w:hAnsi="Arial"/>
        </w:rPr>
        <w:t>The Quality Overall Summary (QOS) is a summary that follows the scope and the outline of the Body of Data in Module 3. The QOS should not include information, data or justification that was not already included in Module 3 or in other parts of the CTD.</w:t>
      </w:r>
    </w:p>
    <w:p w:rsidR="00696A92" w:rsidRPr="002048CE" w:rsidRDefault="00696A92" w:rsidP="002048CE">
      <w:pPr>
        <w:rPr>
          <w:rFonts w:ascii="Arial" w:hAnsi="Arial"/>
        </w:rPr>
      </w:pPr>
    </w:p>
    <w:p w:rsidR="00696A92" w:rsidRDefault="002048CE" w:rsidP="002048CE">
      <w:pPr>
        <w:rPr>
          <w:rFonts w:ascii="Arial" w:hAnsi="Arial"/>
          <w:i/>
        </w:rPr>
      </w:pPr>
      <w:r w:rsidRPr="002048CE">
        <w:rPr>
          <w:rFonts w:ascii="Arial" w:hAnsi="Arial"/>
          <w:i/>
        </w:rPr>
        <w:t>Module 3: Quality</w:t>
      </w:r>
    </w:p>
    <w:p w:rsidR="0094469A" w:rsidRDefault="0094469A" w:rsidP="002048CE">
      <w:pPr>
        <w:rPr>
          <w:rFonts w:ascii="Arial" w:hAnsi="Arial"/>
          <w:i/>
        </w:rPr>
      </w:pPr>
    </w:p>
    <w:p w:rsidR="002048CE" w:rsidRDefault="002048CE" w:rsidP="002048CE">
      <w:pPr>
        <w:rPr>
          <w:rFonts w:ascii="Arial" w:hAnsi="Arial"/>
        </w:rPr>
      </w:pPr>
      <w:r w:rsidRPr="002048CE">
        <w:rPr>
          <w:rFonts w:ascii="Arial" w:hAnsi="Arial"/>
        </w:rPr>
        <w:t>This document is intended to provide guidance on the format of a registration application for drug substances and their corresponding drug products as defined in th</w:t>
      </w:r>
      <w:r w:rsidR="0094469A">
        <w:rPr>
          <w:rFonts w:ascii="Arial" w:hAnsi="Arial"/>
        </w:rPr>
        <w:t>e scope of ICH Q6A and</w:t>
      </w:r>
      <w:r>
        <w:rPr>
          <w:rFonts w:ascii="Arial" w:hAnsi="Arial"/>
        </w:rPr>
        <w:t xml:space="preserve"> Q6</w:t>
      </w:r>
      <w:r w:rsidRPr="002048CE">
        <w:rPr>
          <w:rFonts w:ascii="Arial" w:hAnsi="Arial"/>
        </w:rPr>
        <w:t>B</w:t>
      </w:r>
      <w:r>
        <w:rPr>
          <w:rFonts w:ascii="Arial" w:hAnsi="Arial"/>
        </w:rPr>
        <w:t>.</w:t>
      </w:r>
      <w:r w:rsidRPr="002048CE">
        <w:rPr>
          <w:rFonts w:ascii="Arial" w:hAnsi="Arial"/>
        </w:rPr>
        <w:t xml:space="preserve"> </w:t>
      </w:r>
    </w:p>
    <w:p w:rsidR="0094469A" w:rsidRDefault="0094469A" w:rsidP="0094469A">
      <w:pPr>
        <w:rPr>
          <w:rStyle w:val="Arial"/>
          <w:b/>
          <w:bCs/>
        </w:rPr>
      </w:pPr>
    </w:p>
    <w:p w:rsidR="002048CE" w:rsidRDefault="0094469A" w:rsidP="0094469A">
      <w:pPr>
        <w:rPr>
          <w:rStyle w:val="Arial"/>
          <w:b/>
          <w:bCs/>
        </w:rPr>
      </w:pPr>
      <w:r>
        <w:rPr>
          <w:rStyle w:val="Arial"/>
          <w:b/>
          <w:bCs/>
        </w:rPr>
        <w:t xml:space="preserve">ICH </w:t>
      </w:r>
      <w:r w:rsidR="002048CE" w:rsidRPr="0094469A">
        <w:rPr>
          <w:rStyle w:val="Arial"/>
          <w:b/>
          <w:bCs/>
        </w:rPr>
        <w:t>M4ER1 The common technical document for the registration of pharmaceuticals for human use</w:t>
      </w:r>
    </w:p>
    <w:p w:rsidR="0094469A" w:rsidRPr="0094469A" w:rsidRDefault="0094469A" w:rsidP="0094469A">
      <w:pPr>
        <w:rPr>
          <w:rStyle w:val="Arial"/>
          <w:b/>
          <w:bCs/>
        </w:rPr>
      </w:pPr>
    </w:p>
    <w:p w:rsidR="002048CE" w:rsidRDefault="002048CE" w:rsidP="002048CE">
      <w:pPr>
        <w:rPr>
          <w:rFonts w:ascii="Arial" w:hAnsi="Arial"/>
          <w:i/>
        </w:rPr>
      </w:pPr>
      <w:r>
        <w:rPr>
          <w:rFonts w:ascii="Arial" w:hAnsi="Arial"/>
          <w:i/>
        </w:rPr>
        <w:t>Clinical overview of module 2</w:t>
      </w:r>
    </w:p>
    <w:p w:rsidR="0094469A" w:rsidRPr="002048CE" w:rsidRDefault="0094469A" w:rsidP="002048CE">
      <w:pPr>
        <w:rPr>
          <w:rFonts w:ascii="Arial" w:hAnsi="Arial"/>
          <w:i/>
        </w:rPr>
      </w:pPr>
    </w:p>
    <w:p w:rsidR="002048CE" w:rsidRPr="002048CE" w:rsidRDefault="002048CE" w:rsidP="002048CE">
      <w:pPr>
        <w:rPr>
          <w:rFonts w:ascii="Arial" w:hAnsi="Arial"/>
        </w:rPr>
      </w:pPr>
      <w:r w:rsidRPr="002048CE">
        <w:rPr>
          <w:rFonts w:ascii="Arial" w:hAnsi="Arial"/>
        </w:rPr>
        <w:t xml:space="preserve">The Clinical Overview is intended to provide a critical analysis of the clinical data in the </w:t>
      </w:r>
      <w:r w:rsidR="0094469A">
        <w:rPr>
          <w:rFonts w:ascii="Arial" w:hAnsi="Arial"/>
        </w:rPr>
        <w:t>CTD</w:t>
      </w:r>
      <w:r w:rsidRPr="002048CE">
        <w:rPr>
          <w:rFonts w:ascii="Arial" w:hAnsi="Arial"/>
        </w:rPr>
        <w:t>. The Clinical Overview will necessarily refer to application data provided in the comprehensive Clinical Summary, the individual clinical study reports (ICH E3), and other relevant reports; but it should primarily present the conclusions and implications of those data, and should not recapitulate them. Specifically, the Clinical Summary should provide a detailed factual summarisation of the clinical information in the CTD, and the Clinical Overview should provide a succinct discussion and interpretation of these findings together with an</w:t>
      </w:r>
      <w:r>
        <w:rPr>
          <w:rFonts w:ascii="Arial" w:hAnsi="Arial"/>
        </w:rPr>
        <w:t>y other relevant information</w:t>
      </w:r>
      <w:r w:rsidR="0094469A">
        <w:rPr>
          <w:rFonts w:ascii="Arial" w:hAnsi="Arial"/>
        </w:rPr>
        <w:t>.</w:t>
      </w:r>
      <w:r>
        <w:rPr>
          <w:rFonts w:ascii="Arial" w:hAnsi="Arial"/>
        </w:rPr>
        <w:t xml:space="preserve"> </w:t>
      </w:r>
    </w:p>
    <w:p w:rsidR="002048CE" w:rsidRDefault="002048CE" w:rsidP="002048CE">
      <w:pPr>
        <w:rPr>
          <w:rFonts w:ascii="Arial" w:hAnsi="Arial"/>
        </w:rPr>
      </w:pPr>
    </w:p>
    <w:p w:rsidR="002048CE" w:rsidRDefault="002048CE" w:rsidP="002048CE">
      <w:pPr>
        <w:rPr>
          <w:rFonts w:ascii="Arial" w:hAnsi="Arial"/>
        </w:rPr>
      </w:pPr>
      <w:r w:rsidRPr="002048CE">
        <w:rPr>
          <w:rFonts w:ascii="Arial" w:hAnsi="Arial"/>
        </w:rPr>
        <w:t>The Clinical Overview is primarily intended for use by regulatory agencies in the review of the clinical section of a marketing application. It should also be a useful reference to the overall clinical findings for regulatory agency staff involved in the review of other sections of the marketing application. The Clinical Overview should present the strengths and limitations of the development program and study results, analyse the benefits and risks of the medicinal product in its intended use, and describe how the study results support critical parts of the prescribing information.</w:t>
      </w:r>
    </w:p>
    <w:p w:rsidR="002048CE" w:rsidRDefault="002048CE" w:rsidP="002048CE">
      <w:pPr>
        <w:rPr>
          <w:rFonts w:ascii="Arial" w:hAnsi="Arial"/>
        </w:rPr>
      </w:pPr>
    </w:p>
    <w:p w:rsidR="002048CE" w:rsidRDefault="002048CE" w:rsidP="002048CE">
      <w:pPr>
        <w:rPr>
          <w:rFonts w:ascii="Arial" w:hAnsi="Arial"/>
          <w:i/>
        </w:rPr>
      </w:pPr>
      <w:r w:rsidRPr="002048CE">
        <w:rPr>
          <w:rFonts w:ascii="Arial" w:hAnsi="Arial"/>
          <w:i/>
        </w:rPr>
        <w:t>Clinical summary of module 2</w:t>
      </w:r>
    </w:p>
    <w:p w:rsidR="0094469A" w:rsidRPr="002048CE" w:rsidRDefault="0094469A" w:rsidP="002048CE">
      <w:pPr>
        <w:rPr>
          <w:rFonts w:ascii="Arial" w:hAnsi="Arial"/>
          <w:i/>
        </w:rPr>
      </w:pPr>
    </w:p>
    <w:p w:rsidR="002048CE" w:rsidRDefault="002048CE" w:rsidP="002048CE">
      <w:pPr>
        <w:rPr>
          <w:rFonts w:ascii="Arial" w:hAnsi="Arial"/>
        </w:rPr>
      </w:pPr>
      <w:r w:rsidRPr="002048CE">
        <w:rPr>
          <w:rFonts w:ascii="Arial" w:hAnsi="Arial"/>
        </w:rPr>
        <w:t xml:space="preserve">The Clinical Summary is intended to provide a detailed, factual summarisation of all of the clinical information in the </w:t>
      </w:r>
      <w:r w:rsidR="0094469A">
        <w:rPr>
          <w:rFonts w:ascii="Arial" w:hAnsi="Arial"/>
        </w:rPr>
        <w:t>CTD.</w:t>
      </w:r>
      <w:r w:rsidRPr="002048CE">
        <w:rPr>
          <w:rFonts w:ascii="Arial" w:hAnsi="Arial"/>
        </w:rPr>
        <w:t xml:space="preserve"> This includes information provided in ICH E3 clinical study reports; information obtained from any meta-analyses or other cross-study analyses for which full reports have been included in Module 5; and post-marketing data for products that have been marketed in other regions. The comparisons and analyses of results across studies provided in this document should focus on factual observations. In contrast, the CTD Clinical Overview document should provide critical analysis of the clinical study program and its results, including discussion and interpretation of the clinical findings and discussion of the place of the test drug in the armamentarium.</w:t>
      </w:r>
    </w:p>
    <w:p w:rsidR="002048CE" w:rsidRDefault="002048CE" w:rsidP="002048CE">
      <w:pPr>
        <w:rPr>
          <w:rFonts w:ascii="Arial" w:hAnsi="Arial"/>
        </w:rPr>
      </w:pPr>
    </w:p>
    <w:p w:rsidR="002C7CC5" w:rsidRDefault="002C7CC5" w:rsidP="002048CE">
      <w:pPr>
        <w:rPr>
          <w:rFonts w:ascii="Arial" w:hAnsi="Arial"/>
        </w:rPr>
      </w:pPr>
      <w:r>
        <w:rPr>
          <w:rFonts w:ascii="Arial" w:hAnsi="Arial"/>
        </w:rPr>
        <w:br w:type="page"/>
      </w:r>
    </w:p>
    <w:p w:rsidR="002C7CC5" w:rsidRPr="002C7CC5" w:rsidRDefault="002C7CC5" w:rsidP="002C7CC5">
      <w:pPr>
        <w:pStyle w:val="Heading1"/>
        <w:rPr>
          <w:bCs w:val="0"/>
          <w:sz w:val="36"/>
        </w:rPr>
      </w:pPr>
      <w:bookmarkStart w:id="347" w:name="_Toc409508728"/>
      <w:r w:rsidRPr="002C7CC5">
        <w:rPr>
          <w:bCs w:val="0"/>
          <w:sz w:val="36"/>
        </w:rPr>
        <w:t>Appendix 2: Recognised Authorities</w:t>
      </w:r>
      <w:bookmarkEnd w:id="347"/>
      <w:r w:rsidRPr="002C7CC5">
        <w:rPr>
          <w:bCs w:val="0"/>
          <w:sz w:val="36"/>
        </w:rPr>
        <w:t xml:space="preserve"> </w:t>
      </w:r>
    </w:p>
    <w:p w:rsidR="002C7CC5" w:rsidRPr="00EE1F26" w:rsidRDefault="002C7CC5" w:rsidP="002C7CC5">
      <w:pPr>
        <w:rPr>
          <w:rFonts w:ascii="Arial" w:hAnsi="Arial"/>
        </w:rPr>
      </w:pPr>
      <w:r w:rsidRPr="00EE1F26">
        <w:rPr>
          <w:rFonts w:ascii="Arial" w:hAnsi="Arial"/>
        </w:rPr>
        <w:t xml:space="preserve">GMP certification issued by </w:t>
      </w:r>
      <w:r>
        <w:rPr>
          <w:rFonts w:ascii="Arial" w:hAnsi="Arial"/>
        </w:rPr>
        <w:t xml:space="preserve">the authorities listed below is </w:t>
      </w:r>
      <w:r w:rsidRPr="00EE1F26">
        <w:rPr>
          <w:rFonts w:ascii="Arial" w:hAnsi="Arial"/>
        </w:rPr>
        <w:t xml:space="preserve">recognised by the </w:t>
      </w:r>
      <w:r>
        <w:rPr>
          <w:rFonts w:ascii="Arial" w:hAnsi="Arial"/>
        </w:rPr>
        <w:t>OPSRA</w:t>
      </w:r>
      <w:r w:rsidRPr="00EE1F26">
        <w:rPr>
          <w:rFonts w:ascii="Arial" w:hAnsi="Arial"/>
        </w:rPr>
        <w:t xml:space="preserve">. The authorities listed include the competent authorities in the European Community, member authorities of the PIC and/or PIC/S organisations, and other authorities where </w:t>
      </w:r>
      <w:r>
        <w:rPr>
          <w:rFonts w:ascii="Arial" w:hAnsi="Arial"/>
        </w:rPr>
        <w:t>the OPSRA</w:t>
      </w:r>
      <w:r w:rsidRPr="00EE1F26">
        <w:rPr>
          <w:rFonts w:ascii="Arial" w:hAnsi="Arial"/>
        </w:rPr>
        <w:t xml:space="preserve"> has information that the GMP assessment systems are compatible with New Zealand expectations. </w:t>
      </w:r>
    </w:p>
    <w:p w:rsidR="002C7CC5" w:rsidRPr="00EE1F26" w:rsidRDefault="002C7CC5" w:rsidP="002C7CC5">
      <w:pPr>
        <w:rPr>
          <w:rFonts w:ascii="Arial" w:hAnsi="Arial"/>
        </w:rPr>
      </w:pPr>
    </w:p>
    <w:p w:rsidR="002C7CC5" w:rsidRDefault="002C7CC5" w:rsidP="002C7CC5">
      <w:pPr>
        <w:rPr>
          <w:rFonts w:ascii="Arial" w:hAnsi="Arial"/>
        </w:rPr>
      </w:pPr>
      <w:r w:rsidRPr="00EE1F26">
        <w:rPr>
          <w:rFonts w:ascii="Arial" w:hAnsi="Arial"/>
        </w:rPr>
        <w:t xml:space="preserve">Omission of an authority from the list generally indicates that </w:t>
      </w:r>
      <w:r>
        <w:rPr>
          <w:rFonts w:ascii="Arial" w:hAnsi="Arial"/>
        </w:rPr>
        <w:t xml:space="preserve">the </w:t>
      </w:r>
      <w:r w:rsidRPr="00EE1F26">
        <w:rPr>
          <w:rFonts w:ascii="Arial" w:hAnsi="Arial"/>
        </w:rPr>
        <w:t>authority’s systems</w:t>
      </w:r>
      <w:r>
        <w:rPr>
          <w:rFonts w:ascii="Arial" w:hAnsi="Arial"/>
        </w:rPr>
        <w:t xml:space="preserve"> have not been assessed for suitability</w:t>
      </w:r>
      <w:r w:rsidRPr="00EE1F26">
        <w:rPr>
          <w:rFonts w:ascii="Arial" w:hAnsi="Arial"/>
        </w:rPr>
        <w:t xml:space="preserve">, and should not be construed in any way as an adverse reflection on the competence of </w:t>
      </w:r>
      <w:r w:rsidRPr="00DA5905">
        <w:rPr>
          <w:rFonts w:ascii="Arial" w:hAnsi="Arial"/>
        </w:rPr>
        <w:t xml:space="preserve">the authority itself. The inspectorates recognised by the </w:t>
      </w:r>
      <w:r>
        <w:rPr>
          <w:rFonts w:ascii="Arial" w:hAnsi="Arial"/>
        </w:rPr>
        <w:t>OPSRA</w:t>
      </w:r>
      <w:r w:rsidRPr="00DA5905">
        <w:rPr>
          <w:rFonts w:ascii="Arial" w:hAnsi="Arial"/>
        </w:rPr>
        <w:t xml:space="preserve"> are listed below</w:t>
      </w:r>
      <w:r>
        <w:rPr>
          <w:rFonts w:ascii="Arial" w:hAnsi="Arial"/>
        </w:rPr>
        <w:t>:</w:t>
      </w:r>
    </w:p>
    <w:p w:rsidR="002C7CC5" w:rsidRDefault="002C7CC5" w:rsidP="002C7CC5">
      <w:pPr>
        <w:rPr>
          <w:rFonts w:ascii="Arial" w:hAnsi="Arial"/>
        </w:rPr>
      </w:pPr>
    </w:p>
    <w:p w:rsidR="002C7CC5" w:rsidRPr="0094469A" w:rsidRDefault="002C7CC5" w:rsidP="002C7CC5">
      <w:pPr>
        <w:rPr>
          <w:rStyle w:val="Arial"/>
          <w:b/>
        </w:rPr>
      </w:pPr>
      <w:r w:rsidRPr="0094469A">
        <w:rPr>
          <w:rStyle w:val="Arial"/>
          <w:b/>
        </w:rPr>
        <w:t xml:space="preserve">Australia </w:t>
      </w:r>
      <w:r>
        <w:rPr>
          <w:rStyle w:val="Arial"/>
          <w:b/>
        </w:rPr>
        <w:t>(TGA)</w:t>
      </w:r>
    </w:p>
    <w:p w:rsidR="002C7CC5" w:rsidRPr="0094469A" w:rsidRDefault="002C7CC5" w:rsidP="002C7CC5">
      <w:pPr>
        <w:rPr>
          <w:rStyle w:val="Arial"/>
        </w:rPr>
      </w:pPr>
      <w:r w:rsidRPr="0094469A">
        <w:rPr>
          <w:rStyle w:val="Arial"/>
        </w:rPr>
        <w:t xml:space="preserve">Therapeutic Goods Administration, Commonwealth Department of Health and Family Services </w:t>
      </w:r>
    </w:p>
    <w:p w:rsidR="002C7CC5" w:rsidRPr="0094469A" w:rsidRDefault="002C7CC5" w:rsidP="002C7CC5">
      <w:pPr>
        <w:rPr>
          <w:rStyle w:val="Arial"/>
        </w:rPr>
      </w:pPr>
    </w:p>
    <w:p w:rsidR="002C7CC5" w:rsidRPr="0094469A" w:rsidRDefault="002C7CC5" w:rsidP="002C7CC5">
      <w:pPr>
        <w:rPr>
          <w:rStyle w:val="Arial"/>
          <w:b/>
        </w:rPr>
      </w:pPr>
      <w:r w:rsidRPr="0094469A">
        <w:rPr>
          <w:rStyle w:val="Arial"/>
          <w:b/>
        </w:rPr>
        <w:t xml:space="preserve">Austria </w:t>
      </w:r>
      <w:r>
        <w:rPr>
          <w:rStyle w:val="Arial"/>
          <w:b/>
        </w:rPr>
        <w:t>(AGES)</w:t>
      </w:r>
    </w:p>
    <w:p w:rsidR="002C7CC5" w:rsidRPr="0094469A" w:rsidRDefault="002C7CC5" w:rsidP="002C7CC5">
      <w:pPr>
        <w:rPr>
          <w:rStyle w:val="Arial"/>
        </w:rPr>
      </w:pPr>
      <w:r w:rsidRPr="0094469A">
        <w:rPr>
          <w:rStyle w:val="Arial"/>
        </w:rPr>
        <w:t xml:space="preserve">Pharmaceutical Division, Federal Ministry of Health, Sports and Consumer Protection (Bundesministerium fur Gesundheit und Konsumentenshutz) </w:t>
      </w:r>
    </w:p>
    <w:p w:rsidR="002C7CC5" w:rsidRPr="00DA5905" w:rsidRDefault="002C7CC5" w:rsidP="002C7CC5">
      <w:pPr>
        <w:rPr>
          <w:rStyle w:val="Arial"/>
          <w:highlight w:val="yellow"/>
        </w:rPr>
      </w:pPr>
    </w:p>
    <w:p w:rsidR="002C7CC5" w:rsidRPr="0094469A" w:rsidRDefault="002C7CC5" w:rsidP="002C7CC5">
      <w:pPr>
        <w:rPr>
          <w:rStyle w:val="Arial"/>
          <w:b/>
        </w:rPr>
      </w:pPr>
      <w:r w:rsidRPr="0094469A">
        <w:rPr>
          <w:rStyle w:val="Arial"/>
          <w:b/>
        </w:rPr>
        <w:t xml:space="preserve">Belgium (FAGG/AGMPS) </w:t>
      </w:r>
    </w:p>
    <w:p w:rsidR="002C7CC5" w:rsidRPr="0094469A" w:rsidRDefault="002C7CC5" w:rsidP="002C7CC5">
      <w:pPr>
        <w:rPr>
          <w:rStyle w:val="Arial"/>
        </w:rPr>
      </w:pPr>
      <w:r w:rsidRPr="0094469A">
        <w:rPr>
          <w:rStyle w:val="Arial"/>
        </w:rPr>
        <w:t xml:space="preserve">Inspection general de la Pharmacie, Ministere de la Sante Publique et de la Famille </w:t>
      </w:r>
    </w:p>
    <w:p w:rsidR="002C7CC5" w:rsidRPr="00DA5905" w:rsidRDefault="002C7CC5" w:rsidP="002C7CC5">
      <w:pPr>
        <w:rPr>
          <w:rStyle w:val="Arial"/>
          <w:highlight w:val="yellow"/>
        </w:rPr>
      </w:pPr>
    </w:p>
    <w:p w:rsidR="002C7CC5" w:rsidRPr="0094469A" w:rsidRDefault="002C7CC5" w:rsidP="002C7CC5">
      <w:pPr>
        <w:rPr>
          <w:rStyle w:val="Arial"/>
          <w:b/>
        </w:rPr>
      </w:pPr>
      <w:r w:rsidRPr="0094469A">
        <w:rPr>
          <w:rStyle w:val="Arial"/>
          <w:b/>
        </w:rPr>
        <w:t xml:space="preserve">Canada </w:t>
      </w:r>
      <w:r>
        <w:rPr>
          <w:rStyle w:val="Arial"/>
          <w:b/>
        </w:rPr>
        <w:t>(Health Canada)</w:t>
      </w:r>
    </w:p>
    <w:p w:rsidR="002C7CC5" w:rsidRPr="0094469A" w:rsidRDefault="002C7CC5" w:rsidP="002C7CC5">
      <w:pPr>
        <w:rPr>
          <w:rStyle w:val="Arial"/>
        </w:rPr>
      </w:pPr>
      <w:r w:rsidRPr="0094469A">
        <w:rPr>
          <w:rStyle w:val="Arial"/>
        </w:rPr>
        <w:t xml:space="preserve">Therapeutic Products Directorate, Health Product and Food Branch, Health Canada </w:t>
      </w:r>
    </w:p>
    <w:p w:rsidR="002C7CC5" w:rsidRPr="00DA5905" w:rsidRDefault="002C7CC5" w:rsidP="002C7CC5">
      <w:pPr>
        <w:rPr>
          <w:rStyle w:val="Arial"/>
          <w:highlight w:val="yellow"/>
        </w:rPr>
      </w:pPr>
    </w:p>
    <w:p w:rsidR="002C7CC5" w:rsidRPr="0094469A" w:rsidRDefault="002C7CC5" w:rsidP="002C7CC5">
      <w:pPr>
        <w:rPr>
          <w:rStyle w:val="Arial"/>
          <w:b/>
        </w:rPr>
      </w:pPr>
      <w:r w:rsidRPr="0094469A">
        <w:rPr>
          <w:rStyle w:val="Arial"/>
          <w:b/>
        </w:rPr>
        <w:t xml:space="preserve">Czech Republic </w:t>
      </w:r>
      <w:r>
        <w:rPr>
          <w:rStyle w:val="Arial"/>
          <w:b/>
        </w:rPr>
        <w:t>(SUKL)</w:t>
      </w:r>
    </w:p>
    <w:p w:rsidR="002C7CC5" w:rsidRPr="0094469A" w:rsidRDefault="002C7CC5" w:rsidP="002C7CC5">
      <w:pPr>
        <w:rPr>
          <w:rStyle w:val="Arial"/>
        </w:rPr>
      </w:pPr>
      <w:r w:rsidRPr="0094469A">
        <w:rPr>
          <w:rStyle w:val="Arial"/>
        </w:rPr>
        <w:t xml:space="preserve">State Institute for Drug Control </w:t>
      </w:r>
    </w:p>
    <w:p w:rsidR="002C7CC5" w:rsidRPr="00DA5905" w:rsidRDefault="002C7CC5" w:rsidP="002C7CC5">
      <w:pPr>
        <w:rPr>
          <w:rStyle w:val="Arial"/>
          <w:b/>
          <w:highlight w:val="yellow"/>
        </w:rPr>
      </w:pPr>
    </w:p>
    <w:p w:rsidR="002C7CC5" w:rsidRPr="0094469A" w:rsidRDefault="002C7CC5" w:rsidP="002C7CC5">
      <w:pPr>
        <w:rPr>
          <w:rStyle w:val="Arial"/>
          <w:b/>
        </w:rPr>
      </w:pPr>
      <w:r w:rsidRPr="0094469A">
        <w:rPr>
          <w:rStyle w:val="Arial"/>
          <w:b/>
        </w:rPr>
        <w:t xml:space="preserve">Denmark </w:t>
      </w:r>
      <w:r>
        <w:rPr>
          <w:rStyle w:val="Arial"/>
          <w:b/>
        </w:rPr>
        <w:t>(DHMA)</w:t>
      </w:r>
    </w:p>
    <w:p w:rsidR="002C7CC5" w:rsidRPr="0094469A" w:rsidRDefault="002C7CC5" w:rsidP="002C7CC5">
      <w:pPr>
        <w:rPr>
          <w:rStyle w:val="Arial"/>
        </w:rPr>
      </w:pPr>
      <w:r w:rsidRPr="0094469A">
        <w:rPr>
          <w:rStyle w:val="Arial"/>
        </w:rPr>
        <w:t xml:space="preserve">Medicines Division, Danish Medicines Agency (Sundhedsstyrelsen) </w:t>
      </w:r>
    </w:p>
    <w:p w:rsidR="002C7CC5" w:rsidRPr="00DA5905" w:rsidRDefault="002C7CC5" w:rsidP="002C7CC5">
      <w:pPr>
        <w:rPr>
          <w:rStyle w:val="Arial"/>
          <w:highlight w:val="yellow"/>
        </w:rPr>
      </w:pPr>
    </w:p>
    <w:p w:rsidR="002C7CC5" w:rsidRPr="0094469A" w:rsidRDefault="002C7CC5" w:rsidP="002C7CC5">
      <w:pPr>
        <w:rPr>
          <w:rStyle w:val="Arial"/>
          <w:b/>
        </w:rPr>
      </w:pPr>
      <w:r w:rsidRPr="0094469A">
        <w:rPr>
          <w:rStyle w:val="Arial"/>
          <w:b/>
        </w:rPr>
        <w:t>Finland (fimea)</w:t>
      </w:r>
    </w:p>
    <w:p w:rsidR="002C7CC5" w:rsidRPr="0094469A" w:rsidRDefault="002C7CC5" w:rsidP="002C7CC5">
      <w:pPr>
        <w:rPr>
          <w:rStyle w:val="Arial"/>
        </w:rPr>
      </w:pPr>
      <w:r w:rsidRPr="0094469A">
        <w:rPr>
          <w:rStyle w:val="Arial"/>
        </w:rPr>
        <w:t>Finnish Medicines Agency</w:t>
      </w:r>
    </w:p>
    <w:p w:rsidR="002C7CC5" w:rsidRPr="00DA5905" w:rsidRDefault="002C7CC5" w:rsidP="002C7CC5">
      <w:pPr>
        <w:rPr>
          <w:rStyle w:val="Arial"/>
          <w:b/>
          <w:highlight w:val="yellow"/>
        </w:rPr>
      </w:pPr>
    </w:p>
    <w:p w:rsidR="002C7CC5" w:rsidRPr="0094469A" w:rsidRDefault="002C7CC5" w:rsidP="002C7CC5">
      <w:pPr>
        <w:rPr>
          <w:rStyle w:val="Arial"/>
          <w:b/>
        </w:rPr>
      </w:pPr>
      <w:r w:rsidRPr="0094469A">
        <w:rPr>
          <w:rStyle w:val="Arial"/>
          <w:b/>
        </w:rPr>
        <w:t xml:space="preserve">France (ansm) </w:t>
      </w:r>
    </w:p>
    <w:p w:rsidR="002C7CC5" w:rsidRPr="0094469A" w:rsidRDefault="002C7CC5" w:rsidP="002C7CC5">
      <w:pPr>
        <w:rPr>
          <w:rStyle w:val="Arial"/>
        </w:rPr>
      </w:pPr>
      <w:r w:rsidRPr="0094469A">
        <w:rPr>
          <w:rStyle w:val="Arial"/>
        </w:rPr>
        <w:t>National Drug and Health Products Safety Agency (Agence nationale de sécurité du médicament et des produits de santé)</w:t>
      </w:r>
    </w:p>
    <w:p w:rsidR="002C7CC5" w:rsidRPr="00DA5905" w:rsidRDefault="002C7CC5" w:rsidP="002C7CC5">
      <w:pPr>
        <w:rPr>
          <w:rStyle w:val="Arial"/>
          <w:b/>
          <w:highlight w:val="yellow"/>
        </w:rPr>
      </w:pPr>
    </w:p>
    <w:p w:rsidR="002C7CC5" w:rsidRPr="0094469A" w:rsidRDefault="002C7CC5" w:rsidP="002C7CC5">
      <w:pPr>
        <w:rPr>
          <w:rStyle w:val="Arial"/>
          <w:b/>
        </w:rPr>
      </w:pPr>
      <w:r w:rsidRPr="0094469A">
        <w:rPr>
          <w:rStyle w:val="Arial"/>
          <w:b/>
        </w:rPr>
        <w:t xml:space="preserve">Germany </w:t>
      </w:r>
      <w:r>
        <w:rPr>
          <w:rStyle w:val="Arial"/>
          <w:b/>
        </w:rPr>
        <w:t>(ZLG)</w:t>
      </w:r>
    </w:p>
    <w:p w:rsidR="002C7CC5" w:rsidRDefault="002916A6" w:rsidP="002C7CC5">
      <w:pPr>
        <w:spacing w:before="105" w:after="105"/>
        <w:ind w:right="210"/>
        <w:rPr>
          <w:rStyle w:val="Arial"/>
        </w:rPr>
      </w:pPr>
      <w:hyperlink r:id="rId64" w:tgtFrame="_blank" w:history="1">
        <w:r w:rsidR="002C7CC5" w:rsidRPr="0094469A">
          <w:rPr>
            <w:rStyle w:val="Arial"/>
          </w:rPr>
          <w:t>Central Authority of the Laender for Health Protection regarding Medicinal Products and Medical Devices</w:t>
        </w:r>
      </w:hyperlink>
      <w:r w:rsidR="002C7CC5">
        <w:rPr>
          <w:rStyle w:val="Arial"/>
        </w:rPr>
        <w:t xml:space="preserve"> (</w:t>
      </w:r>
      <w:r w:rsidR="002C7CC5" w:rsidRPr="0094469A">
        <w:rPr>
          <w:rStyle w:val="Arial"/>
        </w:rPr>
        <w:t>Zentralstelle der Länder für Gesundheitsschutz bei Arzneimitteln und Medizinprodukten</w:t>
      </w:r>
      <w:r w:rsidR="002C7CC5">
        <w:rPr>
          <w:rStyle w:val="Arial"/>
        </w:rPr>
        <w:t>)</w:t>
      </w:r>
      <w:r w:rsidR="002C7CC5" w:rsidRPr="0094469A">
        <w:rPr>
          <w:rStyle w:val="Arial"/>
        </w:rPr>
        <w:t xml:space="preserve"> </w:t>
      </w:r>
    </w:p>
    <w:p w:rsidR="002C7CC5" w:rsidRDefault="002C7CC5" w:rsidP="002C7CC5">
      <w:pPr>
        <w:spacing w:before="105" w:after="105"/>
        <w:ind w:right="210"/>
        <w:rPr>
          <w:rStyle w:val="Arial"/>
        </w:rPr>
      </w:pPr>
    </w:p>
    <w:p w:rsidR="002C7CC5" w:rsidRDefault="002C7CC5" w:rsidP="002C7CC5">
      <w:pPr>
        <w:spacing w:before="105" w:after="105"/>
        <w:ind w:right="210"/>
        <w:rPr>
          <w:rStyle w:val="Arial"/>
        </w:rPr>
      </w:pPr>
      <w:r>
        <w:rPr>
          <w:rStyle w:val="Arial"/>
        </w:rPr>
        <w:t xml:space="preserve">For immunologicals: </w:t>
      </w:r>
    </w:p>
    <w:p w:rsidR="002C7CC5" w:rsidRPr="0094469A" w:rsidRDefault="002C7CC5" w:rsidP="002C7CC5">
      <w:pPr>
        <w:spacing w:before="105" w:after="105"/>
        <w:ind w:right="210"/>
        <w:rPr>
          <w:rStyle w:val="Arial"/>
        </w:rPr>
      </w:pPr>
      <w:r w:rsidRPr="0094469A">
        <w:rPr>
          <w:rStyle w:val="Arial"/>
        </w:rPr>
        <w:t>Paul-Ehrlich-Institut  - Federal Institute for Vaccines and Biomedicines</w:t>
      </w:r>
    </w:p>
    <w:p w:rsidR="002C7CC5" w:rsidRDefault="002C7CC5" w:rsidP="002C7CC5">
      <w:pPr>
        <w:rPr>
          <w:rStyle w:val="Arial"/>
        </w:rPr>
      </w:pPr>
    </w:p>
    <w:p w:rsidR="002C7CC5" w:rsidRDefault="002C7CC5" w:rsidP="002C7CC5">
      <w:pPr>
        <w:rPr>
          <w:rStyle w:val="Arial"/>
        </w:rPr>
      </w:pPr>
      <w:r w:rsidRPr="0094469A">
        <w:rPr>
          <w:rStyle w:val="Arial"/>
        </w:rPr>
        <w:t xml:space="preserve">The individual medicine inspectorates for the different German states and cities, as listed in the Pharmaceutical Inspection Convention List of Inspectors Employed by the PIC/S Competent Authorities, [State, Name of Authority (City)] are as follows: </w:t>
      </w:r>
    </w:p>
    <w:p w:rsidR="002C7CC5" w:rsidRDefault="002C7CC5" w:rsidP="002C7CC5">
      <w:pPr>
        <w:rPr>
          <w:rStyle w:val="Arial"/>
        </w:rPr>
      </w:pPr>
      <w:r>
        <w:rPr>
          <w:rStyle w:val="Arial"/>
        </w:rPr>
        <w:tab/>
      </w:r>
    </w:p>
    <w:p w:rsidR="002C7CC5" w:rsidRPr="0094469A" w:rsidRDefault="002C7CC5" w:rsidP="002C7CC5">
      <w:pPr>
        <w:spacing w:before="105"/>
        <w:ind w:right="210"/>
        <w:rPr>
          <w:rStyle w:val="Arial"/>
          <w:b/>
        </w:rPr>
      </w:pPr>
      <w:r>
        <w:rPr>
          <w:rStyle w:val="Arial"/>
        </w:rPr>
        <w:tab/>
      </w:r>
      <w:r w:rsidRPr="0094469A">
        <w:rPr>
          <w:rStyle w:val="Arial"/>
          <w:b/>
        </w:rPr>
        <w:t>Baden-Württemberg</w:t>
      </w:r>
    </w:p>
    <w:p w:rsidR="002C7CC5" w:rsidRPr="0094469A" w:rsidRDefault="002C7CC5" w:rsidP="002C7CC5">
      <w:pPr>
        <w:spacing w:after="105"/>
        <w:ind w:right="210" w:firstLine="720"/>
        <w:rPr>
          <w:rStyle w:val="Arial"/>
        </w:rPr>
      </w:pPr>
      <w:r w:rsidRPr="0094469A">
        <w:rPr>
          <w:rStyle w:val="Arial"/>
        </w:rPr>
        <w:t>Regierungspräsidium Tübingen (Stuttgart, Tübingen &amp; Karlsruhe)</w:t>
      </w:r>
    </w:p>
    <w:p w:rsidR="002C7CC5" w:rsidRDefault="002C7CC5" w:rsidP="002C7CC5">
      <w:pPr>
        <w:spacing w:before="105"/>
        <w:ind w:right="210"/>
        <w:rPr>
          <w:rStyle w:val="Arial"/>
        </w:rPr>
      </w:pPr>
    </w:p>
    <w:p w:rsidR="002C7CC5" w:rsidRPr="0094469A" w:rsidRDefault="002C7CC5" w:rsidP="002C7CC5">
      <w:pPr>
        <w:spacing w:before="105"/>
        <w:ind w:right="210" w:firstLine="720"/>
        <w:rPr>
          <w:rStyle w:val="Arial"/>
          <w:b/>
        </w:rPr>
      </w:pPr>
      <w:r w:rsidRPr="0094469A">
        <w:rPr>
          <w:rStyle w:val="Arial"/>
          <w:b/>
        </w:rPr>
        <w:t>Bayern</w:t>
      </w:r>
      <w:r>
        <w:rPr>
          <w:rStyle w:val="Arial"/>
          <w:b/>
        </w:rPr>
        <w:t xml:space="preserve"> (ZAB)</w:t>
      </w:r>
    </w:p>
    <w:p w:rsidR="002C7CC5" w:rsidRPr="0094469A" w:rsidRDefault="002C7CC5" w:rsidP="002C7CC5">
      <w:pPr>
        <w:ind w:left="720" w:right="210"/>
        <w:rPr>
          <w:rStyle w:val="Arial"/>
        </w:rPr>
      </w:pPr>
      <w:r w:rsidRPr="0094469A">
        <w:rPr>
          <w:rStyle w:val="Arial"/>
        </w:rPr>
        <w:t>Regierung von Oberbayern Zentrale Arzneimittelüberwachung (Munchen, Regensburg, Bayreuth, Ausburg &amp; Ansbach)</w:t>
      </w:r>
    </w:p>
    <w:p w:rsidR="002C7CC5" w:rsidRDefault="002C7CC5" w:rsidP="002C7CC5">
      <w:pPr>
        <w:spacing w:before="105"/>
        <w:ind w:right="210" w:firstLine="720"/>
        <w:rPr>
          <w:rStyle w:val="Arial"/>
        </w:rPr>
      </w:pPr>
    </w:p>
    <w:p w:rsidR="002C7CC5" w:rsidRPr="0094469A" w:rsidRDefault="002C7CC5" w:rsidP="002C7CC5">
      <w:pPr>
        <w:spacing w:before="105"/>
        <w:ind w:right="210" w:firstLine="720"/>
        <w:rPr>
          <w:rStyle w:val="Arial"/>
          <w:b/>
        </w:rPr>
      </w:pPr>
      <w:r w:rsidRPr="0094469A">
        <w:rPr>
          <w:rStyle w:val="Arial"/>
          <w:b/>
        </w:rPr>
        <w:t>Berlin</w:t>
      </w:r>
    </w:p>
    <w:p w:rsidR="002C7CC5" w:rsidRPr="0094469A" w:rsidRDefault="002C7CC5" w:rsidP="002C7CC5">
      <w:pPr>
        <w:ind w:right="210" w:firstLine="720"/>
        <w:rPr>
          <w:rStyle w:val="Arial"/>
        </w:rPr>
      </w:pPr>
      <w:r w:rsidRPr="0094469A">
        <w:rPr>
          <w:rStyle w:val="Arial"/>
        </w:rPr>
        <w:t>Landesamt für Gesundheit und Soziales (Berlin)</w:t>
      </w:r>
    </w:p>
    <w:p w:rsidR="002C7CC5" w:rsidRDefault="002C7CC5" w:rsidP="002C7CC5">
      <w:pPr>
        <w:spacing w:before="105"/>
        <w:ind w:right="210" w:firstLine="720"/>
        <w:rPr>
          <w:rStyle w:val="Arial"/>
        </w:rPr>
      </w:pPr>
    </w:p>
    <w:p w:rsidR="002C7CC5" w:rsidRPr="0094469A" w:rsidRDefault="002C7CC5" w:rsidP="002C7CC5">
      <w:pPr>
        <w:spacing w:before="105"/>
        <w:ind w:right="210" w:firstLine="720"/>
        <w:rPr>
          <w:rStyle w:val="Arial"/>
          <w:b/>
        </w:rPr>
      </w:pPr>
      <w:r w:rsidRPr="0094469A">
        <w:rPr>
          <w:rStyle w:val="Arial"/>
          <w:b/>
        </w:rPr>
        <w:t>Brandenburg</w:t>
      </w:r>
    </w:p>
    <w:p w:rsidR="002C7CC5" w:rsidRPr="0094469A" w:rsidRDefault="002C7CC5" w:rsidP="002C7CC5">
      <w:pPr>
        <w:ind w:left="720" w:right="210"/>
        <w:rPr>
          <w:rStyle w:val="Arial"/>
        </w:rPr>
      </w:pPr>
      <w:r w:rsidRPr="0094469A">
        <w:rPr>
          <w:rStyle w:val="Arial"/>
        </w:rPr>
        <w:t>Landesamt für Umwelt, Gesundheit und Verbraucherschutz (Zossen, Potsdam)</w:t>
      </w:r>
    </w:p>
    <w:p w:rsidR="002C7CC5" w:rsidRDefault="002C7CC5" w:rsidP="002C7CC5">
      <w:pPr>
        <w:rPr>
          <w:rStyle w:val="Arial"/>
        </w:rPr>
      </w:pPr>
    </w:p>
    <w:p w:rsidR="002C7CC5" w:rsidRPr="0094469A" w:rsidRDefault="002C7CC5" w:rsidP="002C7CC5">
      <w:pPr>
        <w:spacing w:before="105"/>
        <w:ind w:right="210"/>
        <w:rPr>
          <w:rStyle w:val="Arial"/>
          <w:b/>
        </w:rPr>
      </w:pPr>
      <w:r>
        <w:rPr>
          <w:rStyle w:val="Arial"/>
        </w:rPr>
        <w:tab/>
      </w:r>
      <w:r w:rsidRPr="0094469A">
        <w:rPr>
          <w:rStyle w:val="Arial"/>
          <w:b/>
        </w:rPr>
        <w:t>Bremen</w:t>
      </w:r>
    </w:p>
    <w:p w:rsidR="002C7CC5" w:rsidRPr="0094469A" w:rsidRDefault="002C7CC5" w:rsidP="002C7CC5">
      <w:pPr>
        <w:ind w:left="720" w:right="210"/>
        <w:rPr>
          <w:rStyle w:val="Arial"/>
        </w:rPr>
      </w:pPr>
      <w:r w:rsidRPr="0094469A">
        <w:rPr>
          <w:rStyle w:val="Arial"/>
        </w:rPr>
        <w:t>Die Senatorin für Arbeit, Frauen, Gesundheit, Jugend und Soziales der Freien Hansestadt (Bremen)</w:t>
      </w:r>
    </w:p>
    <w:p w:rsidR="002C7CC5" w:rsidRDefault="002C7CC5" w:rsidP="002C7CC5">
      <w:pPr>
        <w:spacing w:before="105"/>
        <w:ind w:right="210"/>
        <w:rPr>
          <w:rStyle w:val="Arial"/>
        </w:rPr>
      </w:pPr>
    </w:p>
    <w:p w:rsidR="002C7CC5" w:rsidRPr="0094469A" w:rsidRDefault="002C7CC5" w:rsidP="002C7CC5">
      <w:pPr>
        <w:spacing w:before="105"/>
        <w:ind w:right="210"/>
        <w:rPr>
          <w:rStyle w:val="Arial"/>
          <w:b/>
        </w:rPr>
      </w:pPr>
      <w:r>
        <w:rPr>
          <w:rStyle w:val="Arial"/>
        </w:rPr>
        <w:tab/>
      </w:r>
      <w:r w:rsidRPr="0094469A">
        <w:rPr>
          <w:rStyle w:val="Arial"/>
          <w:b/>
        </w:rPr>
        <w:t>Hamburg</w:t>
      </w:r>
    </w:p>
    <w:p w:rsidR="002C7CC5" w:rsidRPr="0094469A" w:rsidRDefault="002C7CC5" w:rsidP="002C7CC5">
      <w:pPr>
        <w:spacing w:after="105"/>
        <w:ind w:left="720" w:right="210"/>
        <w:rPr>
          <w:rStyle w:val="Arial"/>
        </w:rPr>
      </w:pPr>
      <w:r w:rsidRPr="0094469A">
        <w:rPr>
          <w:rStyle w:val="Arial"/>
        </w:rPr>
        <w:t>Behörde für Gesundheit und Verbraucherschutz der Freien und Hansestadt (Hamburg)</w:t>
      </w:r>
    </w:p>
    <w:p w:rsidR="002C7CC5" w:rsidRDefault="002C7CC5" w:rsidP="002C7CC5">
      <w:pPr>
        <w:spacing w:before="105"/>
        <w:ind w:right="210"/>
        <w:rPr>
          <w:rStyle w:val="Arial"/>
        </w:rPr>
      </w:pPr>
    </w:p>
    <w:p w:rsidR="002C7CC5" w:rsidRPr="0094469A" w:rsidRDefault="002C7CC5" w:rsidP="002C7CC5">
      <w:pPr>
        <w:spacing w:before="105"/>
        <w:ind w:right="210" w:firstLine="720"/>
        <w:rPr>
          <w:rStyle w:val="Arial"/>
          <w:b/>
        </w:rPr>
      </w:pPr>
      <w:r w:rsidRPr="0094469A">
        <w:rPr>
          <w:rStyle w:val="Arial"/>
          <w:b/>
        </w:rPr>
        <w:t>Hessen</w:t>
      </w:r>
    </w:p>
    <w:p w:rsidR="002C7CC5" w:rsidRPr="0094469A" w:rsidRDefault="002C7CC5" w:rsidP="002C7CC5">
      <w:pPr>
        <w:ind w:right="210" w:firstLine="720"/>
        <w:rPr>
          <w:rStyle w:val="Arial"/>
        </w:rPr>
      </w:pPr>
      <w:r w:rsidRPr="0094469A">
        <w:rPr>
          <w:rStyle w:val="Arial"/>
        </w:rPr>
        <w:t>Regierungspräsidium (Darmstadt &amp; Gießen)</w:t>
      </w:r>
    </w:p>
    <w:p w:rsidR="002C7CC5" w:rsidRDefault="002C7CC5" w:rsidP="002C7CC5">
      <w:pPr>
        <w:spacing w:before="105"/>
        <w:ind w:right="210"/>
        <w:rPr>
          <w:rStyle w:val="Arial"/>
        </w:rPr>
      </w:pPr>
    </w:p>
    <w:p w:rsidR="002C7CC5" w:rsidRPr="0094469A" w:rsidRDefault="002C7CC5" w:rsidP="002C7CC5">
      <w:pPr>
        <w:spacing w:before="105"/>
        <w:ind w:right="210" w:firstLine="720"/>
        <w:rPr>
          <w:rStyle w:val="Arial"/>
          <w:b/>
        </w:rPr>
      </w:pPr>
      <w:r w:rsidRPr="0094469A">
        <w:rPr>
          <w:rStyle w:val="Arial"/>
          <w:b/>
        </w:rPr>
        <w:t>Mecklenburg-Vorpommern</w:t>
      </w:r>
    </w:p>
    <w:p w:rsidR="002C7CC5" w:rsidRPr="0094469A" w:rsidRDefault="002C7CC5" w:rsidP="002C7CC5">
      <w:pPr>
        <w:spacing w:after="105"/>
        <w:ind w:left="720" w:right="210"/>
        <w:rPr>
          <w:rStyle w:val="Arial"/>
        </w:rPr>
      </w:pPr>
      <w:r w:rsidRPr="0094469A">
        <w:rPr>
          <w:rStyle w:val="Arial"/>
        </w:rPr>
        <w:t>Landesamt für Gesundheit und Soziales Mecklenburg-Vorpommern (Schwerin)</w:t>
      </w:r>
    </w:p>
    <w:p w:rsidR="002C7CC5" w:rsidRDefault="002C7CC5" w:rsidP="002C7CC5">
      <w:pPr>
        <w:spacing w:before="105"/>
        <w:ind w:right="210"/>
        <w:rPr>
          <w:rStyle w:val="Arial"/>
        </w:rPr>
      </w:pPr>
    </w:p>
    <w:p w:rsidR="002C7CC5" w:rsidRPr="0094469A" w:rsidRDefault="002C7CC5" w:rsidP="002C7CC5">
      <w:pPr>
        <w:spacing w:before="105"/>
        <w:ind w:right="210" w:firstLine="720"/>
        <w:rPr>
          <w:rStyle w:val="Arial"/>
          <w:b/>
        </w:rPr>
      </w:pPr>
      <w:r w:rsidRPr="0094469A">
        <w:rPr>
          <w:rStyle w:val="Arial"/>
          <w:b/>
        </w:rPr>
        <w:t>Niedersachsen</w:t>
      </w:r>
    </w:p>
    <w:p w:rsidR="002C7CC5" w:rsidRPr="0094469A" w:rsidRDefault="002C7CC5" w:rsidP="002C7CC5">
      <w:pPr>
        <w:ind w:left="720" w:right="210"/>
        <w:rPr>
          <w:rStyle w:val="Arial"/>
        </w:rPr>
      </w:pPr>
      <w:r w:rsidRPr="0094469A">
        <w:rPr>
          <w:rStyle w:val="Arial"/>
        </w:rPr>
        <w:t>Niedersächsisches Landesamt für Verbraucherschutz und Lebensmittelsicherheit (Oldenburg)</w:t>
      </w:r>
    </w:p>
    <w:p w:rsidR="002C7CC5" w:rsidRPr="0094469A" w:rsidRDefault="002C7CC5" w:rsidP="002C7CC5">
      <w:pPr>
        <w:ind w:left="720" w:right="210"/>
        <w:rPr>
          <w:rStyle w:val="Arial"/>
        </w:rPr>
      </w:pPr>
      <w:r w:rsidRPr="0094469A">
        <w:rPr>
          <w:rStyle w:val="Arial"/>
        </w:rPr>
        <w:t>Staatliches Gewerbeaufsichtsamt (Braunschweig, Hannover, Lüneburg, Oldenburg)</w:t>
      </w:r>
    </w:p>
    <w:p w:rsidR="002C7CC5" w:rsidRDefault="002C7CC5" w:rsidP="002C7CC5">
      <w:pPr>
        <w:spacing w:before="105"/>
        <w:ind w:right="210"/>
        <w:rPr>
          <w:rStyle w:val="Arial"/>
        </w:rPr>
      </w:pPr>
    </w:p>
    <w:p w:rsidR="002C7CC5" w:rsidRPr="0094469A" w:rsidRDefault="002C7CC5" w:rsidP="002C7CC5">
      <w:pPr>
        <w:spacing w:before="105"/>
        <w:ind w:right="210" w:firstLine="720"/>
        <w:rPr>
          <w:rStyle w:val="Arial"/>
          <w:b/>
        </w:rPr>
      </w:pPr>
      <w:r w:rsidRPr="0094469A">
        <w:rPr>
          <w:rStyle w:val="Arial"/>
          <w:b/>
        </w:rPr>
        <w:t>Nordrhein-Westfalen</w:t>
      </w:r>
    </w:p>
    <w:p w:rsidR="002C7CC5" w:rsidRPr="0094469A" w:rsidRDefault="002C7CC5" w:rsidP="002C7CC5">
      <w:pPr>
        <w:ind w:right="210" w:firstLine="720"/>
        <w:rPr>
          <w:rStyle w:val="Arial"/>
        </w:rPr>
      </w:pPr>
      <w:r w:rsidRPr="0094469A">
        <w:rPr>
          <w:rStyle w:val="Arial"/>
        </w:rPr>
        <w:t>Bezirksregierung (Arnsberg, Düsseldorf, Detmold,  Köln &amp; Münster)</w:t>
      </w:r>
    </w:p>
    <w:p w:rsidR="002C7CC5" w:rsidRPr="0094469A" w:rsidRDefault="002C7CC5" w:rsidP="002C7CC5">
      <w:pPr>
        <w:ind w:left="720" w:right="210"/>
        <w:rPr>
          <w:rStyle w:val="Arial"/>
        </w:rPr>
      </w:pPr>
      <w:r w:rsidRPr="0094469A">
        <w:rPr>
          <w:rStyle w:val="Arial"/>
        </w:rPr>
        <w:t>Landesamt für Natur, Umwelt und Verbraucherschutz Nordrhein-Westfalen (Recklinghausen)</w:t>
      </w:r>
    </w:p>
    <w:p w:rsidR="002C7CC5" w:rsidRDefault="002C7CC5" w:rsidP="002C7CC5">
      <w:pPr>
        <w:spacing w:before="105"/>
        <w:ind w:right="210"/>
        <w:rPr>
          <w:rStyle w:val="Arial"/>
        </w:rPr>
      </w:pPr>
    </w:p>
    <w:p w:rsidR="002C7CC5" w:rsidRPr="0094469A" w:rsidRDefault="002C7CC5" w:rsidP="002C7CC5">
      <w:pPr>
        <w:spacing w:before="105"/>
        <w:ind w:right="210" w:firstLine="720"/>
        <w:rPr>
          <w:rStyle w:val="Arial"/>
          <w:b/>
        </w:rPr>
      </w:pPr>
      <w:r w:rsidRPr="0094469A">
        <w:rPr>
          <w:rStyle w:val="Arial"/>
          <w:b/>
        </w:rPr>
        <w:t>Rheinland-Pfalz</w:t>
      </w:r>
    </w:p>
    <w:p w:rsidR="002C7CC5" w:rsidRPr="0094469A" w:rsidRDefault="002C7CC5" w:rsidP="002C7CC5">
      <w:pPr>
        <w:ind w:left="720" w:right="210"/>
        <w:rPr>
          <w:rStyle w:val="Arial"/>
        </w:rPr>
      </w:pPr>
      <w:r w:rsidRPr="0094469A">
        <w:rPr>
          <w:rStyle w:val="Arial"/>
        </w:rPr>
        <w:t>Landesamt für Soziales, Jugend und Versorgung Rheinland-Pfalz Beim Amt für soziale Angelegenheiten (Mainz &amp; Landau)</w:t>
      </w:r>
    </w:p>
    <w:p w:rsidR="002C7CC5" w:rsidRPr="0094469A" w:rsidRDefault="002C7CC5" w:rsidP="002C7CC5">
      <w:pPr>
        <w:ind w:left="720" w:right="210"/>
        <w:rPr>
          <w:rStyle w:val="Arial"/>
        </w:rPr>
      </w:pPr>
      <w:r w:rsidRPr="0094469A">
        <w:rPr>
          <w:rStyle w:val="Arial"/>
        </w:rPr>
        <w:t>Landesamt für Soziales, Jugend und Versorgung Rheinland-Pfalz (Koblenz)</w:t>
      </w:r>
    </w:p>
    <w:p w:rsidR="002C7CC5" w:rsidRDefault="002C7CC5" w:rsidP="002C7CC5">
      <w:pPr>
        <w:spacing w:before="105"/>
        <w:ind w:right="210"/>
        <w:rPr>
          <w:rStyle w:val="Arial"/>
        </w:rPr>
      </w:pPr>
    </w:p>
    <w:p w:rsidR="002C7CC5" w:rsidRPr="0094469A" w:rsidRDefault="002C7CC5" w:rsidP="002C7CC5">
      <w:pPr>
        <w:spacing w:before="105"/>
        <w:ind w:right="210" w:firstLine="720"/>
        <w:rPr>
          <w:rStyle w:val="Arial"/>
          <w:b/>
        </w:rPr>
      </w:pPr>
      <w:r w:rsidRPr="0094469A">
        <w:rPr>
          <w:rStyle w:val="Arial"/>
          <w:b/>
        </w:rPr>
        <w:t>Saarland</w:t>
      </w:r>
    </w:p>
    <w:p w:rsidR="002C7CC5" w:rsidRPr="0094469A" w:rsidRDefault="002C7CC5" w:rsidP="002C7CC5">
      <w:pPr>
        <w:spacing w:after="105"/>
        <w:ind w:left="720" w:right="210"/>
        <w:rPr>
          <w:rStyle w:val="Arial"/>
        </w:rPr>
      </w:pPr>
      <w:r w:rsidRPr="0094469A">
        <w:rPr>
          <w:rStyle w:val="Arial"/>
        </w:rPr>
        <w:t>Ministerium für Gesundheit und Verbraucherschutz des Saarlandes (Saarbucken)</w:t>
      </w:r>
    </w:p>
    <w:p w:rsidR="002C7CC5" w:rsidRDefault="002C7CC5" w:rsidP="002C7CC5">
      <w:pPr>
        <w:spacing w:before="105"/>
        <w:ind w:right="210"/>
        <w:rPr>
          <w:rStyle w:val="Arial"/>
        </w:rPr>
      </w:pPr>
    </w:p>
    <w:p w:rsidR="002C7CC5" w:rsidRPr="0094469A" w:rsidRDefault="002C7CC5" w:rsidP="002C7CC5">
      <w:pPr>
        <w:spacing w:before="105"/>
        <w:ind w:right="210" w:firstLine="720"/>
        <w:rPr>
          <w:rStyle w:val="Arial"/>
          <w:b/>
        </w:rPr>
      </w:pPr>
      <w:r w:rsidRPr="0094469A">
        <w:rPr>
          <w:rStyle w:val="Arial"/>
          <w:b/>
        </w:rPr>
        <w:t>Sachsen</w:t>
      </w:r>
    </w:p>
    <w:p w:rsidR="002C7CC5" w:rsidRPr="0094469A" w:rsidRDefault="002C7CC5" w:rsidP="002C7CC5">
      <w:pPr>
        <w:ind w:right="210" w:firstLine="720"/>
        <w:rPr>
          <w:rStyle w:val="Arial"/>
        </w:rPr>
      </w:pPr>
      <w:r w:rsidRPr="0094469A">
        <w:rPr>
          <w:rStyle w:val="Arial"/>
        </w:rPr>
        <w:t>Landesdirektion (Dresden &amp; Leipzig)</w:t>
      </w:r>
    </w:p>
    <w:p w:rsidR="002C7CC5" w:rsidRPr="0094469A" w:rsidRDefault="002C7CC5" w:rsidP="002C7CC5">
      <w:pPr>
        <w:ind w:right="210" w:firstLine="720"/>
        <w:rPr>
          <w:rStyle w:val="Arial"/>
        </w:rPr>
      </w:pPr>
      <w:r w:rsidRPr="0094469A">
        <w:rPr>
          <w:rStyle w:val="Arial"/>
        </w:rPr>
        <w:t>Landesverwaltungsamt Sachsen-Anhalt (Halle/ Salle)</w:t>
      </w:r>
    </w:p>
    <w:p w:rsidR="002C7CC5" w:rsidRDefault="002C7CC5" w:rsidP="002C7CC5">
      <w:pPr>
        <w:spacing w:before="105"/>
        <w:ind w:right="210"/>
        <w:rPr>
          <w:rStyle w:val="Arial"/>
        </w:rPr>
      </w:pPr>
    </w:p>
    <w:p w:rsidR="002C7CC5" w:rsidRPr="0094469A" w:rsidRDefault="002C7CC5" w:rsidP="002C7CC5">
      <w:pPr>
        <w:spacing w:before="105"/>
        <w:ind w:right="210" w:firstLine="720"/>
        <w:rPr>
          <w:rStyle w:val="Arial"/>
          <w:b/>
        </w:rPr>
      </w:pPr>
      <w:r w:rsidRPr="0094469A">
        <w:rPr>
          <w:rStyle w:val="Arial"/>
          <w:b/>
        </w:rPr>
        <w:t>Schleswig-Holstein</w:t>
      </w:r>
    </w:p>
    <w:p w:rsidR="002C7CC5" w:rsidRPr="0094469A" w:rsidRDefault="002C7CC5" w:rsidP="002C7CC5">
      <w:pPr>
        <w:spacing w:after="105"/>
        <w:ind w:right="210" w:firstLine="720"/>
        <w:rPr>
          <w:rStyle w:val="Arial"/>
        </w:rPr>
      </w:pPr>
      <w:r w:rsidRPr="0094469A">
        <w:rPr>
          <w:rStyle w:val="Arial"/>
        </w:rPr>
        <w:t>Landesamt für soziale Dienste Schleswig-Holstein (Kiel)</w:t>
      </w:r>
    </w:p>
    <w:p w:rsidR="002C7CC5" w:rsidRDefault="002C7CC5" w:rsidP="002C7CC5">
      <w:pPr>
        <w:spacing w:before="105"/>
        <w:ind w:right="210"/>
        <w:rPr>
          <w:rStyle w:val="Arial"/>
        </w:rPr>
      </w:pPr>
    </w:p>
    <w:p w:rsidR="002C7CC5" w:rsidRPr="0094469A" w:rsidRDefault="002C7CC5" w:rsidP="002C7CC5">
      <w:pPr>
        <w:spacing w:before="105"/>
        <w:ind w:right="210" w:firstLine="720"/>
        <w:rPr>
          <w:rStyle w:val="Arial"/>
          <w:b/>
        </w:rPr>
      </w:pPr>
      <w:r w:rsidRPr="0094469A">
        <w:rPr>
          <w:rStyle w:val="Arial"/>
          <w:b/>
        </w:rPr>
        <w:t>Thüringen</w:t>
      </w:r>
    </w:p>
    <w:p w:rsidR="002C7CC5" w:rsidRPr="0094469A" w:rsidRDefault="002C7CC5" w:rsidP="002C7CC5">
      <w:pPr>
        <w:ind w:left="720"/>
        <w:rPr>
          <w:rStyle w:val="Arial"/>
        </w:rPr>
      </w:pPr>
      <w:r w:rsidRPr="0094469A">
        <w:rPr>
          <w:rStyle w:val="Arial"/>
        </w:rPr>
        <w:t>Thüringer Landesamt für Lebensmittelsicherheit und Verbraucherschutz (Bad Langensalza)</w:t>
      </w:r>
    </w:p>
    <w:p w:rsidR="002C7CC5" w:rsidRPr="00DA5905" w:rsidRDefault="002C7CC5" w:rsidP="002C7CC5">
      <w:pPr>
        <w:rPr>
          <w:rStyle w:val="Arial"/>
          <w:highlight w:val="yellow"/>
        </w:rPr>
      </w:pPr>
    </w:p>
    <w:p w:rsidR="002C7CC5" w:rsidRPr="00DA5905" w:rsidRDefault="002C7CC5" w:rsidP="002C7CC5">
      <w:pPr>
        <w:rPr>
          <w:rStyle w:val="Arial"/>
          <w:highlight w:val="yellow"/>
        </w:rPr>
      </w:pPr>
    </w:p>
    <w:p w:rsidR="002C7CC5" w:rsidRPr="0094469A" w:rsidRDefault="002C7CC5" w:rsidP="002C7CC5">
      <w:pPr>
        <w:rPr>
          <w:rStyle w:val="Arial"/>
          <w:b/>
        </w:rPr>
      </w:pPr>
      <w:r w:rsidRPr="0094469A">
        <w:rPr>
          <w:rStyle w:val="Arial"/>
          <w:b/>
        </w:rPr>
        <w:t>Greece (EOF)</w:t>
      </w:r>
    </w:p>
    <w:p w:rsidR="002C7CC5" w:rsidRPr="0094469A" w:rsidRDefault="002C7CC5" w:rsidP="002C7CC5">
      <w:pPr>
        <w:rPr>
          <w:rStyle w:val="Arial"/>
        </w:rPr>
      </w:pPr>
      <w:r w:rsidRPr="0094469A">
        <w:rPr>
          <w:rStyle w:val="Arial"/>
        </w:rPr>
        <w:t>National Organisation for Medicines (</w:t>
      </w:r>
      <w:r w:rsidRPr="0094469A">
        <w:rPr>
          <w:rFonts w:ascii="Arial" w:hAnsi="Arial" w:cs="Arial"/>
          <w:b/>
          <w:bCs/>
          <w:i/>
          <w:iCs/>
          <w:lang w:val="en-NZ" w:eastAsia="en-NZ"/>
        </w:rPr>
        <w:t>Ε</w:t>
      </w:r>
      <w:r w:rsidRPr="0094469A">
        <w:rPr>
          <w:rFonts w:ascii="Arial" w:hAnsi="Arial" w:cs="Arial"/>
          <w:i/>
          <w:iCs/>
          <w:lang w:val="en-NZ" w:eastAsia="en-NZ"/>
        </w:rPr>
        <w:t xml:space="preserve">θνικός </w:t>
      </w:r>
      <w:r w:rsidRPr="0094469A">
        <w:rPr>
          <w:rFonts w:ascii="Arial" w:hAnsi="Arial" w:cs="Arial"/>
          <w:b/>
          <w:bCs/>
          <w:i/>
          <w:iCs/>
          <w:lang w:val="en-NZ" w:eastAsia="en-NZ"/>
        </w:rPr>
        <w:t>Ο</w:t>
      </w:r>
      <w:r w:rsidRPr="0094469A">
        <w:rPr>
          <w:rFonts w:ascii="Arial" w:hAnsi="Arial" w:cs="Arial"/>
          <w:i/>
          <w:iCs/>
          <w:lang w:val="en-NZ" w:eastAsia="en-NZ"/>
        </w:rPr>
        <w:t xml:space="preserve">ργανισμός </w:t>
      </w:r>
      <w:r w:rsidRPr="0094469A">
        <w:rPr>
          <w:rFonts w:ascii="Arial" w:hAnsi="Arial" w:cs="Arial"/>
          <w:b/>
          <w:bCs/>
          <w:i/>
          <w:iCs/>
          <w:lang w:val="en-NZ" w:eastAsia="en-NZ"/>
        </w:rPr>
        <w:t>Φ</w:t>
      </w:r>
      <w:r w:rsidRPr="0094469A">
        <w:rPr>
          <w:rFonts w:ascii="Arial" w:hAnsi="Arial" w:cs="Arial"/>
          <w:i/>
          <w:iCs/>
          <w:lang w:val="en-NZ" w:eastAsia="en-NZ"/>
        </w:rPr>
        <w:t>αρμάκων</w:t>
      </w:r>
      <w:r w:rsidRPr="0094469A">
        <w:rPr>
          <w:rStyle w:val="Arial"/>
        </w:rPr>
        <w:t xml:space="preserve">) </w:t>
      </w:r>
    </w:p>
    <w:p w:rsidR="002C7CC5" w:rsidRPr="00DA5905" w:rsidRDefault="002C7CC5" w:rsidP="002C7CC5">
      <w:pPr>
        <w:rPr>
          <w:rStyle w:val="Arial"/>
          <w:highlight w:val="yellow"/>
        </w:rPr>
      </w:pPr>
    </w:p>
    <w:p w:rsidR="002C7CC5" w:rsidRPr="0094469A" w:rsidRDefault="002C7CC5" w:rsidP="002C7CC5">
      <w:pPr>
        <w:rPr>
          <w:rStyle w:val="Arial"/>
          <w:b/>
        </w:rPr>
      </w:pPr>
      <w:r w:rsidRPr="0094469A">
        <w:rPr>
          <w:rStyle w:val="Arial"/>
          <w:b/>
        </w:rPr>
        <w:t>Hungary (NIP)</w:t>
      </w:r>
    </w:p>
    <w:p w:rsidR="002C7CC5" w:rsidRPr="0094469A" w:rsidRDefault="002916A6" w:rsidP="002C7CC5">
      <w:pPr>
        <w:ind w:right="210"/>
        <w:rPr>
          <w:rStyle w:val="Arial"/>
        </w:rPr>
      </w:pPr>
      <w:hyperlink r:id="rId65" w:tgtFrame="_blank" w:history="1">
        <w:r w:rsidR="002C7CC5" w:rsidRPr="0094469A">
          <w:rPr>
            <w:rStyle w:val="Arial"/>
          </w:rPr>
          <w:t>National Institute for Quality- and Organizational Development in Healthcare and Medicines</w:t>
        </w:r>
      </w:hyperlink>
      <w:r w:rsidR="002C7CC5">
        <w:rPr>
          <w:rStyle w:val="Arial"/>
        </w:rPr>
        <w:t xml:space="preserve">. </w:t>
      </w:r>
      <w:hyperlink r:id="rId66" w:history="1">
        <w:r w:rsidR="002C7CC5" w:rsidRPr="0094469A">
          <w:rPr>
            <w:rStyle w:val="Arial"/>
          </w:rPr>
          <w:t>National Institute of Pharmacy</w:t>
        </w:r>
        <w:r w:rsidR="002C7CC5">
          <w:rPr>
            <w:rStyle w:val="Arial"/>
          </w:rPr>
          <w:t>.</w:t>
        </w:r>
        <w:r w:rsidR="002C7CC5" w:rsidRPr="0094469A">
          <w:rPr>
            <w:rStyle w:val="Arial"/>
          </w:rPr>
          <w:t xml:space="preserve"> </w:t>
        </w:r>
      </w:hyperlink>
    </w:p>
    <w:p w:rsidR="002C7CC5" w:rsidRPr="00DA5905" w:rsidRDefault="002C7CC5" w:rsidP="002C7CC5">
      <w:pPr>
        <w:rPr>
          <w:rStyle w:val="Arial"/>
          <w:highlight w:val="yellow"/>
        </w:rPr>
      </w:pPr>
    </w:p>
    <w:p w:rsidR="002C7CC5" w:rsidRPr="0094469A" w:rsidRDefault="002C7CC5" w:rsidP="002C7CC5">
      <w:pPr>
        <w:rPr>
          <w:rStyle w:val="Arial"/>
          <w:b/>
        </w:rPr>
      </w:pPr>
      <w:r w:rsidRPr="0094469A">
        <w:rPr>
          <w:rStyle w:val="Arial"/>
          <w:b/>
        </w:rPr>
        <w:t>Iceland (IMA)</w:t>
      </w:r>
    </w:p>
    <w:p w:rsidR="002C7CC5" w:rsidRPr="0094469A" w:rsidRDefault="002C7CC5" w:rsidP="002C7CC5">
      <w:pPr>
        <w:rPr>
          <w:rStyle w:val="Arial"/>
        </w:rPr>
      </w:pPr>
      <w:r w:rsidRPr="0094469A">
        <w:rPr>
          <w:rStyle w:val="Arial"/>
        </w:rPr>
        <w:t>Icelandic Medicines Agency</w:t>
      </w:r>
    </w:p>
    <w:p w:rsidR="002C7CC5" w:rsidRPr="00DA5905" w:rsidRDefault="002C7CC5" w:rsidP="002C7CC5">
      <w:pPr>
        <w:rPr>
          <w:rStyle w:val="Arial"/>
          <w:highlight w:val="yellow"/>
        </w:rPr>
      </w:pPr>
    </w:p>
    <w:p w:rsidR="002C7CC5" w:rsidRPr="0094469A" w:rsidRDefault="002C7CC5" w:rsidP="002C7CC5">
      <w:pPr>
        <w:rPr>
          <w:rStyle w:val="Arial"/>
          <w:b/>
        </w:rPr>
      </w:pPr>
      <w:r w:rsidRPr="0094469A">
        <w:rPr>
          <w:rStyle w:val="Arial"/>
          <w:b/>
        </w:rPr>
        <w:t>Ireland (HPRA)</w:t>
      </w:r>
    </w:p>
    <w:p w:rsidR="002C7CC5" w:rsidRPr="0094469A" w:rsidRDefault="002C7CC5" w:rsidP="002C7CC5">
      <w:pPr>
        <w:rPr>
          <w:rStyle w:val="Arial"/>
        </w:rPr>
      </w:pPr>
      <w:r w:rsidRPr="0094469A">
        <w:rPr>
          <w:rStyle w:val="Arial"/>
        </w:rPr>
        <w:t>Health Products Regulatory Authority</w:t>
      </w:r>
    </w:p>
    <w:p w:rsidR="002C7CC5" w:rsidRPr="00DA5905" w:rsidRDefault="002C7CC5" w:rsidP="002C7CC5">
      <w:pPr>
        <w:rPr>
          <w:rStyle w:val="Arial"/>
          <w:highlight w:val="yellow"/>
        </w:rPr>
      </w:pPr>
    </w:p>
    <w:p w:rsidR="002C7CC5" w:rsidRPr="0094469A" w:rsidRDefault="002C7CC5" w:rsidP="002C7CC5">
      <w:pPr>
        <w:rPr>
          <w:rStyle w:val="Arial"/>
          <w:b/>
        </w:rPr>
      </w:pPr>
      <w:r w:rsidRPr="0094469A">
        <w:rPr>
          <w:rStyle w:val="Arial"/>
          <w:b/>
        </w:rPr>
        <w:t>Italy (AIFA)</w:t>
      </w:r>
    </w:p>
    <w:p w:rsidR="002C7CC5" w:rsidRPr="0094469A" w:rsidRDefault="002916A6" w:rsidP="002C7CC5">
      <w:pPr>
        <w:ind w:right="210"/>
        <w:rPr>
          <w:rStyle w:val="Arial"/>
        </w:rPr>
      </w:pPr>
      <w:hyperlink r:id="rId67" w:tgtFrame="_blank" w:history="1">
        <w:r w:rsidR="002C7CC5" w:rsidRPr="0094469A">
          <w:rPr>
            <w:rStyle w:val="Arial"/>
          </w:rPr>
          <w:t>Italian Medicines Agency</w:t>
        </w:r>
      </w:hyperlink>
      <w:r w:rsidR="002C7CC5">
        <w:rPr>
          <w:rStyle w:val="Arial"/>
        </w:rPr>
        <w:t xml:space="preserve"> (</w:t>
      </w:r>
      <w:r w:rsidR="002C7CC5" w:rsidRPr="0094469A">
        <w:rPr>
          <w:rStyle w:val="Arial"/>
        </w:rPr>
        <w:t>Agenzia Italiana del Farmaco)</w:t>
      </w:r>
    </w:p>
    <w:p w:rsidR="002C7CC5" w:rsidRPr="00DA5905" w:rsidRDefault="002C7CC5" w:rsidP="002C7CC5">
      <w:pPr>
        <w:rPr>
          <w:rStyle w:val="Arial"/>
          <w:highlight w:val="yellow"/>
        </w:rPr>
      </w:pPr>
    </w:p>
    <w:p w:rsidR="002C7CC5" w:rsidRPr="0094469A" w:rsidRDefault="002C7CC5" w:rsidP="002C7CC5">
      <w:pPr>
        <w:rPr>
          <w:rStyle w:val="Arial"/>
          <w:b/>
        </w:rPr>
      </w:pPr>
      <w:r w:rsidRPr="0094469A">
        <w:rPr>
          <w:rStyle w:val="Arial"/>
          <w:b/>
        </w:rPr>
        <w:t xml:space="preserve">Japan </w:t>
      </w:r>
    </w:p>
    <w:p w:rsidR="002C7CC5" w:rsidRPr="0094469A" w:rsidRDefault="002C7CC5" w:rsidP="002C7CC5">
      <w:pPr>
        <w:ind w:right="210"/>
        <w:rPr>
          <w:rStyle w:val="Arial"/>
        </w:rPr>
      </w:pPr>
      <w:r w:rsidRPr="0094469A">
        <w:rPr>
          <w:rStyle w:val="Arial"/>
        </w:rPr>
        <w:t>Pharmaceutical and Food Safety Bureau, Ministry of Health, Labour and Welfare</w:t>
      </w:r>
    </w:p>
    <w:p w:rsidR="002C7CC5" w:rsidRPr="00DA5905" w:rsidRDefault="002C7CC5" w:rsidP="002C7CC5">
      <w:pPr>
        <w:rPr>
          <w:rStyle w:val="Arial"/>
          <w:highlight w:val="yellow"/>
        </w:rPr>
      </w:pPr>
    </w:p>
    <w:p w:rsidR="002C7CC5" w:rsidRPr="0094469A" w:rsidRDefault="002C7CC5" w:rsidP="002C7CC5">
      <w:pPr>
        <w:rPr>
          <w:rStyle w:val="Arial"/>
          <w:b/>
        </w:rPr>
      </w:pPr>
      <w:r w:rsidRPr="0094469A">
        <w:rPr>
          <w:rStyle w:val="Arial"/>
          <w:b/>
        </w:rPr>
        <w:t>Liechtenstein (AG)</w:t>
      </w:r>
    </w:p>
    <w:p w:rsidR="002C7CC5" w:rsidRPr="0094469A" w:rsidRDefault="002916A6" w:rsidP="002C7CC5">
      <w:pPr>
        <w:ind w:right="210"/>
        <w:rPr>
          <w:rStyle w:val="Arial"/>
        </w:rPr>
      </w:pPr>
      <w:hyperlink r:id="rId68" w:tgtFrame="_blank" w:history="1">
        <w:r w:rsidR="002C7CC5" w:rsidRPr="0094469A">
          <w:rPr>
            <w:rStyle w:val="Arial"/>
          </w:rPr>
          <w:t xml:space="preserve">Office of Healthcare </w:t>
        </w:r>
      </w:hyperlink>
      <w:r w:rsidR="002C7CC5">
        <w:rPr>
          <w:rStyle w:val="Arial"/>
        </w:rPr>
        <w:t>(</w:t>
      </w:r>
      <w:r w:rsidR="002C7CC5" w:rsidRPr="0094469A">
        <w:rPr>
          <w:rStyle w:val="Arial"/>
        </w:rPr>
        <w:t>Amt für Gesundheit)</w:t>
      </w:r>
    </w:p>
    <w:p w:rsidR="002C7CC5" w:rsidRPr="00DA5905" w:rsidRDefault="002C7CC5" w:rsidP="002C7CC5">
      <w:pPr>
        <w:rPr>
          <w:rStyle w:val="Arial"/>
          <w:highlight w:val="yellow"/>
        </w:rPr>
      </w:pPr>
    </w:p>
    <w:p w:rsidR="002C7CC5" w:rsidRPr="0094469A" w:rsidRDefault="002C7CC5" w:rsidP="002C7CC5">
      <w:pPr>
        <w:rPr>
          <w:rStyle w:val="Arial"/>
          <w:b/>
        </w:rPr>
      </w:pPr>
      <w:r w:rsidRPr="0094469A">
        <w:rPr>
          <w:rStyle w:val="Arial"/>
          <w:b/>
        </w:rPr>
        <w:t xml:space="preserve">Luxembourg </w:t>
      </w:r>
    </w:p>
    <w:p w:rsidR="002C7CC5" w:rsidRDefault="002C7CC5" w:rsidP="002C7CC5">
      <w:pPr>
        <w:ind w:right="210"/>
        <w:rPr>
          <w:rStyle w:val="Arial"/>
        </w:rPr>
      </w:pPr>
      <w:r w:rsidRPr="0094469A">
        <w:rPr>
          <w:rStyle w:val="Arial"/>
        </w:rPr>
        <w:t>Direction de la Santé Villa Louvigny Division de la Pharmacie et des Medicaments</w:t>
      </w:r>
    </w:p>
    <w:p w:rsidR="002C7CC5" w:rsidRDefault="002C7CC5" w:rsidP="002C7CC5">
      <w:pPr>
        <w:ind w:right="210"/>
        <w:rPr>
          <w:rStyle w:val="Arial"/>
        </w:rPr>
      </w:pPr>
    </w:p>
    <w:p w:rsidR="002C7CC5" w:rsidRPr="0094469A" w:rsidRDefault="002C7CC5" w:rsidP="002C7CC5">
      <w:pPr>
        <w:ind w:right="210"/>
        <w:rPr>
          <w:rStyle w:val="Arial"/>
          <w:b/>
        </w:rPr>
      </w:pPr>
      <w:r w:rsidRPr="0094469A">
        <w:rPr>
          <w:rStyle w:val="Arial"/>
          <w:b/>
        </w:rPr>
        <w:t>Malta (MAM)</w:t>
      </w:r>
    </w:p>
    <w:p w:rsidR="002C7CC5" w:rsidRPr="0094469A" w:rsidRDefault="002916A6" w:rsidP="002C7CC5">
      <w:pPr>
        <w:ind w:right="210"/>
        <w:rPr>
          <w:rStyle w:val="Arial"/>
        </w:rPr>
      </w:pPr>
      <w:hyperlink r:id="rId69" w:tgtFrame="_blank" w:history="1">
        <w:r w:rsidR="002C7CC5" w:rsidRPr="0094469A">
          <w:rPr>
            <w:rStyle w:val="Arial"/>
          </w:rPr>
          <w:t>Maltese Medicines Authority</w:t>
        </w:r>
      </w:hyperlink>
      <w:r w:rsidR="002C7CC5" w:rsidRPr="0094469A">
        <w:rPr>
          <w:rStyle w:val="Arial"/>
        </w:rPr>
        <w:t xml:space="preserve"> </w:t>
      </w:r>
    </w:p>
    <w:p w:rsidR="002C7CC5" w:rsidRPr="0094469A" w:rsidRDefault="002C7CC5" w:rsidP="002C7CC5">
      <w:pPr>
        <w:ind w:right="210"/>
        <w:rPr>
          <w:rStyle w:val="Arial"/>
        </w:rPr>
      </w:pPr>
    </w:p>
    <w:p w:rsidR="002C7CC5" w:rsidRPr="0094469A" w:rsidRDefault="002C7CC5" w:rsidP="002C7CC5">
      <w:pPr>
        <w:rPr>
          <w:rStyle w:val="Arial"/>
          <w:b/>
        </w:rPr>
      </w:pPr>
      <w:r w:rsidRPr="0094469A">
        <w:rPr>
          <w:rStyle w:val="Arial"/>
          <w:b/>
        </w:rPr>
        <w:t xml:space="preserve">Netherlands </w:t>
      </w:r>
      <w:r>
        <w:rPr>
          <w:rStyle w:val="Arial"/>
          <w:b/>
        </w:rPr>
        <w:t>(IGZ)</w:t>
      </w:r>
    </w:p>
    <w:p w:rsidR="002C7CC5" w:rsidRPr="0094469A" w:rsidRDefault="002916A6" w:rsidP="002C7CC5">
      <w:pPr>
        <w:ind w:right="210"/>
        <w:rPr>
          <w:rStyle w:val="Arial"/>
        </w:rPr>
      </w:pPr>
      <w:hyperlink r:id="rId70" w:tgtFrame="_blank" w:history="1">
        <w:r w:rsidR="002C7CC5" w:rsidRPr="0094469A">
          <w:rPr>
            <w:rStyle w:val="Arial"/>
          </w:rPr>
          <w:t xml:space="preserve">Inspectorate of Health Care </w:t>
        </w:r>
      </w:hyperlink>
      <w:r w:rsidR="002C7CC5">
        <w:rPr>
          <w:rStyle w:val="Arial"/>
        </w:rPr>
        <w:t>(</w:t>
      </w:r>
      <w:r w:rsidR="002C7CC5" w:rsidRPr="0094469A">
        <w:rPr>
          <w:rStyle w:val="Arial"/>
        </w:rPr>
        <w:t>Inspectie voor de Gezondheidszorg)</w:t>
      </w:r>
    </w:p>
    <w:p w:rsidR="002C7CC5" w:rsidRPr="00DA5905" w:rsidRDefault="002C7CC5" w:rsidP="002C7CC5">
      <w:pPr>
        <w:rPr>
          <w:rStyle w:val="Arial"/>
          <w:highlight w:val="yellow"/>
        </w:rPr>
      </w:pPr>
    </w:p>
    <w:p w:rsidR="002C7CC5" w:rsidRPr="0094469A" w:rsidRDefault="002C7CC5" w:rsidP="002C7CC5">
      <w:pPr>
        <w:rPr>
          <w:rStyle w:val="Arial"/>
          <w:b/>
        </w:rPr>
      </w:pPr>
      <w:r w:rsidRPr="0094469A">
        <w:rPr>
          <w:rStyle w:val="Arial"/>
          <w:b/>
        </w:rPr>
        <w:t>Norway  (NOMA)</w:t>
      </w:r>
    </w:p>
    <w:p w:rsidR="002C7CC5" w:rsidRPr="0094469A" w:rsidRDefault="002C7CC5" w:rsidP="002C7CC5">
      <w:pPr>
        <w:rPr>
          <w:rStyle w:val="Arial"/>
        </w:rPr>
      </w:pPr>
      <w:r w:rsidRPr="0094469A">
        <w:rPr>
          <w:rStyle w:val="Arial"/>
        </w:rPr>
        <w:t>Norwegian Medicines Agency</w:t>
      </w:r>
    </w:p>
    <w:p w:rsidR="002C7CC5" w:rsidRPr="00DA5905" w:rsidRDefault="002C7CC5" w:rsidP="002C7CC5">
      <w:pPr>
        <w:rPr>
          <w:rStyle w:val="Arial"/>
          <w:highlight w:val="yellow"/>
        </w:rPr>
      </w:pPr>
    </w:p>
    <w:p w:rsidR="002C7CC5" w:rsidRPr="0094469A" w:rsidRDefault="002C7CC5" w:rsidP="002C7CC5">
      <w:pPr>
        <w:rPr>
          <w:rStyle w:val="Arial"/>
          <w:b/>
        </w:rPr>
      </w:pPr>
      <w:r w:rsidRPr="0094469A">
        <w:rPr>
          <w:rStyle w:val="Arial"/>
          <w:b/>
        </w:rPr>
        <w:t>Portugal (INFARMED)</w:t>
      </w:r>
    </w:p>
    <w:p w:rsidR="002C7CC5" w:rsidRPr="0094469A" w:rsidRDefault="002916A6" w:rsidP="002C7CC5">
      <w:pPr>
        <w:spacing w:before="105" w:after="105"/>
        <w:ind w:right="210"/>
        <w:rPr>
          <w:rStyle w:val="Arial"/>
        </w:rPr>
      </w:pPr>
      <w:hyperlink r:id="rId71" w:history="1">
        <w:r w:rsidR="002C7CC5" w:rsidRPr="0094469A">
          <w:rPr>
            <w:rStyle w:val="Arial"/>
          </w:rPr>
          <w:t xml:space="preserve">National Authority of Medicines and Health Products, IP </w:t>
        </w:r>
      </w:hyperlink>
      <w:r w:rsidR="002C7CC5">
        <w:rPr>
          <w:rStyle w:val="Arial"/>
        </w:rPr>
        <w:t>(</w:t>
      </w:r>
      <w:r w:rsidR="002C7CC5" w:rsidRPr="0094469A">
        <w:rPr>
          <w:rStyle w:val="Arial"/>
        </w:rPr>
        <w:t>Autoridade Nacional do Medicamento e Produtos de Saúde IP</w:t>
      </w:r>
      <w:r w:rsidR="002C7CC5">
        <w:rPr>
          <w:rStyle w:val="Arial"/>
        </w:rPr>
        <w:t>)</w:t>
      </w:r>
      <w:r w:rsidR="002C7CC5" w:rsidRPr="0094469A">
        <w:rPr>
          <w:rStyle w:val="Arial"/>
        </w:rPr>
        <w:t xml:space="preserve"> </w:t>
      </w:r>
    </w:p>
    <w:p w:rsidR="002C7CC5" w:rsidRPr="00DA5905" w:rsidRDefault="002C7CC5" w:rsidP="002C7CC5">
      <w:pPr>
        <w:rPr>
          <w:rStyle w:val="Arial"/>
          <w:highlight w:val="yellow"/>
        </w:rPr>
      </w:pPr>
    </w:p>
    <w:p w:rsidR="002C7CC5" w:rsidRPr="0094469A" w:rsidRDefault="002C7CC5" w:rsidP="002C7CC5">
      <w:pPr>
        <w:rPr>
          <w:rStyle w:val="Arial"/>
          <w:b/>
        </w:rPr>
      </w:pPr>
      <w:r w:rsidRPr="0094469A">
        <w:rPr>
          <w:rStyle w:val="Arial"/>
          <w:b/>
        </w:rPr>
        <w:t xml:space="preserve">Romania </w:t>
      </w:r>
    </w:p>
    <w:p w:rsidR="002C7CC5" w:rsidRPr="0094469A" w:rsidRDefault="002C7CC5" w:rsidP="002C7CC5">
      <w:pPr>
        <w:rPr>
          <w:rStyle w:val="Arial"/>
        </w:rPr>
      </w:pPr>
      <w:r w:rsidRPr="0094469A">
        <w:rPr>
          <w:rStyle w:val="Arial"/>
        </w:rPr>
        <w:t>National Agency for Medicines Devices (NAMMD)</w:t>
      </w:r>
    </w:p>
    <w:p w:rsidR="002C7CC5" w:rsidRPr="00DA5905" w:rsidRDefault="002C7CC5" w:rsidP="002C7CC5">
      <w:pPr>
        <w:rPr>
          <w:rStyle w:val="Arial"/>
          <w:highlight w:val="yellow"/>
        </w:rPr>
      </w:pPr>
    </w:p>
    <w:p w:rsidR="002C7CC5" w:rsidRPr="0094469A" w:rsidRDefault="002C7CC5" w:rsidP="002C7CC5">
      <w:pPr>
        <w:rPr>
          <w:rStyle w:val="Arial"/>
          <w:b/>
        </w:rPr>
      </w:pPr>
      <w:r w:rsidRPr="0094469A">
        <w:rPr>
          <w:rStyle w:val="Arial"/>
          <w:b/>
        </w:rPr>
        <w:t>Singapore (HAS)</w:t>
      </w:r>
    </w:p>
    <w:p w:rsidR="002C7CC5" w:rsidRPr="0094469A" w:rsidRDefault="002C7CC5" w:rsidP="002C7CC5">
      <w:pPr>
        <w:rPr>
          <w:rStyle w:val="Arial"/>
        </w:rPr>
      </w:pPr>
      <w:r w:rsidRPr="0094469A">
        <w:rPr>
          <w:rStyle w:val="Arial"/>
        </w:rPr>
        <w:t>Health Sciences Authority</w:t>
      </w:r>
    </w:p>
    <w:p w:rsidR="002C7CC5" w:rsidRPr="0094469A" w:rsidRDefault="002C7CC5" w:rsidP="002C7CC5">
      <w:pPr>
        <w:rPr>
          <w:rStyle w:val="Arial"/>
        </w:rPr>
      </w:pPr>
    </w:p>
    <w:p w:rsidR="002C7CC5" w:rsidRPr="0094469A" w:rsidRDefault="002C7CC5" w:rsidP="002C7CC5">
      <w:pPr>
        <w:rPr>
          <w:rStyle w:val="Arial"/>
          <w:b/>
        </w:rPr>
      </w:pPr>
      <w:r w:rsidRPr="0094469A">
        <w:rPr>
          <w:rStyle w:val="Arial"/>
          <w:b/>
        </w:rPr>
        <w:t>Slovak Republic (SIDC)</w:t>
      </w:r>
    </w:p>
    <w:p w:rsidR="002C7CC5" w:rsidRPr="0094469A" w:rsidRDefault="002C7CC5" w:rsidP="002C7CC5">
      <w:pPr>
        <w:rPr>
          <w:rStyle w:val="Arial"/>
        </w:rPr>
      </w:pPr>
      <w:r w:rsidRPr="0094469A">
        <w:rPr>
          <w:rStyle w:val="Arial"/>
        </w:rPr>
        <w:t xml:space="preserve">State Institute for Drug Control </w:t>
      </w:r>
    </w:p>
    <w:p w:rsidR="002C7CC5" w:rsidRPr="00DA5905" w:rsidRDefault="002C7CC5" w:rsidP="002C7CC5">
      <w:pPr>
        <w:rPr>
          <w:rStyle w:val="Arial"/>
          <w:highlight w:val="yellow"/>
        </w:rPr>
      </w:pPr>
    </w:p>
    <w:p w:rsidR="002C7CC5" w:rsidRPr="0094469A" w:rsidRDefault="002C7CC5" w:rsidP="002C7CC5">
      <w:pPr>
        <w:rPr>
          <w:rStyle w:val="Arial"/>
          <w:b/>
        </w:rPr>
      </w:pPr>
      <w:r w:rsidRPr="0094469A">
        <w:rPr>
          <w:rStyle w:val="Arial"/>
          <w:b/>
        </w:rPr>
        <w:t>Spain (AEMPS)</w:t>
      </w:r>
    </w:p>
    <w:p w:rsidR="002C7CC5" w:rsidRPr="0094469A" w:rsidRDefault="002916A6" w:rsidP="002C7CC5">
      <w:pPr>
        <w:spacing w:before="105" w:after="105"/>
        <w:ind w:right="105"/>
        <w:rPr>
          <w:rStyle w:val="Arial"/>
        </w:rPr>
      </w:pPr>
      <w:hyperlink r:id="rId72" w:tgtFrame="_blank" w:history="1">
        <w:r w:rsidR="002C7CC5" w:rsidRPr="0094469A">
          <w:rPr>
            <w:rStyle w:val="Arial"/>
          </w:rPr>
          <w:t>Agency of Drugs and Health Products</w:t>
        </w:r>
      </w:hyperlink>
      <w:r w:rsidR="002C7CC5">
        <w:rPr>
          <w:rStyle w:val="Arial"/>
        </w:rPr>
        <w:t xml:space="preserve"> (A</w:t>
      </w:r>
      <w:r w:rsidR="002C7CC5" w:rsidRPr="0094469A">
        <w:rPr>
          <w:rStyle w:val="Arial"/>
        </w:rPr>
        <w:t>gencia Española del Medicamento y Productos S</w:t>
      </w:r>
      <w:r w:rsidR="002C7CC5">
        <w:rPr>
          <w:rStyle w:val="Arial"/>
        </w:rPr>
        <w:t>anitarios</w:t>
      </w:r>
      <w:r w:rsidR="002C7CC5" w:rsidRPr="0094469A">
        <w:rPr>
          <w:rStyle w:val="Arial"/>
        </w:rPr>
        <w:t xml:space="preserve">) </w:t>
      </w:r>
    </w:p>
    <w:p w:rsidR="002C7CC5" w:rsidRPr="0094469A" w:rsidRDefault="002C7CC5" w:rsidP="002C7CC5">
      <w:pPr>
        <w:rPr>
          <w:rStyle w:val="Arial"/>
        </w:rPr>
      </w:pPr>
      <w:r w:rsidRPr="0094469A">
        <w:rPr>
          <w:rStyle w:val="Arial"/>
        </w:rPr>
        <w:t>Subdirección General de Inspección y Controlo de Medicamentos</w:t>
      </w:r>
      <w:r w:rsidRPr="0094469A">
        <w:rPr>
          <w:rStyle w:val="Arial"/>
        </w:rPr>
        <w:br/>
        <w:t>Division de Inspección y Control Farmaceútico</w:t>
      </w:r>
    </w:p>
    <w:p w:rsidR="002C7CC5" w:rsidRPr="00DA5905" w:rsidRDefault="002C7CC5" w:rsidP="002C7CC5">
      <w:pPr>
        <w:rPr>
          <w:rStyle w:val="Arial"/>
          <w:highlight w:val="yellow"/>
        </w:rPr>
      </w:pPr>
    </w:p>
    <w:p w:rsidR="002C7CC5" w:rsidRPr="0094469A" w:rsidRDefault="002C7CC5" w:rsidP="002C7CC5">
      <w:pPr>
        <w:rPr>
          <w:rStyle w:val="Arial"/>
          <w:b/>
        </w:rPr>
      </w:pPr>
      <w:r w:rsidRPr="0094469A">
        <w:rPr>
          <w:rStyle w:val="Arial"/>
          <w:b/>
        </w:rPr>
        <w:t>Sweden (MPA)</w:t>
      </w:r>
    </w:p>
    <w:p w:rsidR="002C7CC5" w:rsidRPr="0094469A" w:rsidRDefault="002C7CC5" w:rsidP="002C7CC5">
      <w:pPr>
        <w:rPr>
          <w:rStyle w:val="Arial"/>
        </w:rPr>
      </w:pPr>
      <w:r w:rsidRPr="0094469A">
        <w:rPr>
          <w:rStyle w:val="Arial"/>
        </w:rPr>
        <w:t>Medical Products Agency</w:t>
      </w:r>
    </w:p>
    <w:p w:rsidR="002C7CC5" w:rsidRPr="00DA5905" w:rsidRDefault="002C7CC5" w:rsidP="002C7CC5">
      <w:pPr>
        <w:rPr>
          <w:rStyle w:val="Arial"/>
          <w:highlight w:val="yellow"/>
        </w:rPr>
      </w:pPr>
    </w:p>
    <w:p w:rsidR="002C7CC5" w:rsidRPr="0094469A" w:rsidRDefault="002C7CC5" w:rsidP="002C7CC5">
      <w:pPr>
        <w:rPr>
          <w:rStyle w:val="Arial"/>
          <w:b/>
        </w:rPr>
      </w:pPr>
      <w:r w:rsidRPr="0094469A">
        <w:rPr>
          <w:rStyle w:val="Arial"/>
          <w:b/>
        </w:rPr>
        <w:t>Switzerland (Swissmedic)</w:t>
      </w:r>
    </w:p>
    <w:p w:rsidR="002C7CC5" w:rsidRPr="0094469A" w:rsidRDefault="002C7CC5" w:rsidP="002C7CC5">
      <w:pPr>
        <w:rPr>
          <w:rStyle w:val="Arial"/>
        </w:rPr>
      </w:pPr>
      <w:r w:rsidRPr="0094469A">
        <w:rPr>
          <w:rStyle w:val="Arial"/>
        </w:rPr>
        <w:t>Swiss Agency for Therapeutic Products</w:t>
      </w:r>
    </w:p>
    <w:p w:rsidR="002C7CC5" w:rsidRPr="0094469A" w:rsidRDefault="002C7CC5" w:rsidP="002C7CC5">
      <w:pPr>
        <w:rPr>
          <w:rStyle w:val="Arial"/>
          <w:b/>
        </w:rPr>
      </w:pPr>
    </w:p>
    <w:p w:rsidR="002C7CC5" w:rsidRPr="0094469A" w:rsidRDefault="002C7CC5" w:rsidP="002C7CC5">
      <w:pPr>
        <w:rPr>
          <w:rStyle w:val="Arial"/>
          <w:b/>
        </w:rPr>
      </w:pPr>
      <w:r w:rsidRPr="0094469A">
        <w:rPr>
          <w:rStyle w:val="Arial"/>
          <w:b/>
        </w:rPr>
        <w:t>United Kingdom (MHRA)</w:t>
      </w:r>
    </w:p>
    <w:p w:rsidR="002C7CC5" w:rsidRPr="0094469A" w:rsidRDefault="002C7CC5" w:rsidP="002C7CC5">
      <w:pPr>
        <w:rPr>
          <w:rStyle w:val="Arial"/>
        </w:rPr>
      </w:pPr>
      <w:r w:rsidRPr="0094469A">
        <w:rPr>
          <w:rStyle w:val="Arial"/>
        </w:rPr>
        <w:t xml:space="preserve">Medicines and Healthcare Products Regulatory Agency </w:t>
      </w:r>
    </w:p>
    <w:p w:rsidR="002C7CC5" w:rsidRPr="0094469A" w:rsidRDefault="002C7CC5" w:rsidP="002C7CC5">
      <w:pPr>
        <w:rPr>
          <w:rStyle w:val="Arial"/>
        </w:rPr>
      </w:pPr>
    </w:p>
    <w:p w:rsidR="002C7CC5" w:rsidRPr="0094469A" w:rsidRDefault="002C7CC5" w:rsidP="002C7CC5">
      <w:pPr>
        <w:rPr>
          <w:rStyle w:val="Arial"/>
          <w:b/>
        </w:rPr>
      </w:pPr>
      <w:r w:rsidRPr="0094469A">
        <w:rPr>
          <w:rStyle w:val="Arial"/>
          <w:b/>
        </w:rPr>
        <w:t>USA  (US FDA)</w:t>
      </w:r>
    </w:p>
    <w:p w:rsidR="002C7CC5" w:rsidRPr="00DA5905" w:rsidRDefault="002C7CC5" w:rsidP="002C7CC5">
      <w:pPr>
        <w:rPr>
          <w:rStyle w:val="Arial"/>
        </w:rPr>
      </w:pPr>
      <w:r w:rsidRPr="0094469A">
        <w:rPr>
          <w:rStyle w:val="Arial"/>
        </w:rPr>
        <w:t>Food and Drug Administration</w:t>
      </w:r>
    </w:p>
    <w:p w:rsidR="00EB630A" w:rsidRDefault="00EB630A">
      <w:pPr>
        <w:rPr>
          <w:rFonts w:ascii="Arial" w:hAnsi="Arial"/>
        </w:rPr>
      </w:pPr>
      <w:r>
        <w:rPr>
          <w:rFonts w:ascii="Arial" w:hAnsi="Arial"/>
        </w:rPr>
        <w:br w:type="page"/>
      </w:r>
    </w:p>
    <w:p w:rsidR="00EB630A" w:rsidRPr="002C7CC5" w:rsidRDefault="00EB630A" w:rsidP="00EB630A">
      <w:pPr>
        <w:pStyle w:val="Heading1"/>
        <w:rPr>
          <w:bCs w:val="0"/>
          <w:sz w:val="36"/>
        </w:rPr>
      </w:pPr>
      <w:bookmarkStart w:id="348" w:name="_Toc409508729"/>
      <w:r w:rsidRPr="002C7CC5">
        <w:rPr>
          <w:bCs w:val="0"/>
          <w:sz w:val="36"/>
        </w:rPr>
        <w:t xml:space="preserve">Appendix </w:t>
      </w:r>
      <w:r>
        <w:rPr>
          <w:bCs w:val="0"/>
          <w:sz w:val="36"/>
        </w:rPr>
        <w:t>3</w:t>
      </w:r>
      <w:r w:rsidRPr="002C7CC5">
        <w:rPr>
          <w:bCs w:val="0"/>
          <w:sz w:val="36"/>
        </w:rPr>
        <w:t>:</w:t>
      </w:r>
      <w:bookmarkEnd w:id="348"/>
      <w:r w:rsidRPr="002C7CC5">
        <w:rPr>
          <w:bCs w:val="0"/>
          <w:sz w:val="36"/>
        </w:rPr>
        <w:t xml:space="preserve"> </w:t>
      </w:r>
    </w:p>
    <w:p w:rsidR="00EB630A" w:rsidRDefault="00EB630A" w:rsidP="00EB630A">
      <w:pPr>
        <w:jc w:val="center"/>
      </w:pPr>
      <w:r>
        <w:rPr>
          <w:noProof/>
          <w:color w:val="FFFFFF"/>
          <w:sz w:val="19"/>
          <w:szCs w:val="19"/>
          <w:lang w:val="en-NZ" w:eastAsia="en-NZ"/>
        </w:rPr>
        <w:drawing>
          <wp:inline distT="0" distB="0" distL="0" distR="0" wp14:anchorId="76D777F8" wp14:editId="432266A5">
            <wp:extent cx="1454785" cy="588645"/>
            <wp:effectExtent l="0" t="0" r="0" b="1905"/>
            <wp:docPr id="1" name="Picture 1" descr="Home">
              <a:hlinkClick xmlns:a="http://schemas.openxmlformats.org/drawingml/2006/main" r:id="rId73"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73" tooltip="&quot;Home&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54785" cy="588645"/>
                    </a:xfrm>
                    <a:prstGeom prst="rect">
                      <a:avLst/>
                    </a:prstGeom>
                    <a:noFill/>
                    <a:ln>
                      <a:noFill/>
                    </a:ln>
                  </pic:spPr>
                </pic:pic>
              </a:graphicData>
            </a:graphic>
          </wp:inline>
        </w:drawing>
      </w:r>
    </w:p>
    <w:p w:rsidR="00EB630A" w:rsidRPr="00EB630A" w:rsidRDefault="00EB630A" w:rsidP="00EB630A">
      <w:pPr>
        <w:jc w:val="center"/>
        <w:rPr>
          <w:rFonts w:ascii="Arial" w:hAnsi="Arial" w:cs="Arial"/>
          <w:sz w:val="22"/>
          <w:szCs w:val="22"/>
        </w:rPr>
      </w:pPr>
    </w:p>
    <w:p w:rsidR="00EB630A" w:rsidRPr="00EB630A" w:rsidRDefault="00EB630A" w:rsidP="00EB630A">
      <w:pPr>
        <w:jc w:val="center"/>
        <w:rPr>
          <w:rFonts w:ascii="Arial" w:hAnsi="Arial" w:cs="Arial"/>
          <w:b/>
          <w:sz w:val="22"/>
          <w:szCs w:val="22"/>
        </w:rPr>
      </w:pPr>
      <w:r w:rsidRPr="00EB630A">
        <w:rPr>
          <w:rFonts w:ascii="Arial" w:hAnsi="Arial" w:cs="Arial"/>
          <w:b/>
          <w:sz w:val="22"/>
          <w:szCs w:val="22"/>
        </w:rPr>
        <w:t>Office of the Psychoactive Substances Regulatory Authority</w:t>
      </w:r>
    </w:p>
    <w:p w:rsidR="00EB630A" w:rsidRPr="00EB630A" w:rsidRDefault="00EB630A" w:rsidP="00EB630A">
      <w:pPr>
        <w:jc w:val="center"/>
        <w:rPr>
          <w:rFonts w:ascii="Arial" w:hAnsi="Arial" w:cs="Arial"/>
          <w:sz w:val="22"/>
          <w:szCs w:val="22"/>
        </w:rPr>
      </w:pPr>
    </w:p>
    <w:p w:rsidR="00EB630A" w:rsidRPr="00EB630A" w:rsidRDefault="00EB630A" w:rsidP="00EB630A">
      <w:pPr>
        <w:jc w:val="center"/>
        <w:rPr>
          <w:rFonts w:ascii="Arial" w:hAnsi="Arial" w:cs="Arial"/>
          <w:b/>
          <w:sz w:val="22"/>
          <w:szCs w:val="22"/>
        </w:rPr>
      </w:pPr>
      <w:r w:rsidRPr="00EB630A">
        <w:rPr>
          <w:rFonts w:ascii="Arial" w:hAnsi="Arial" w:cs="Arial"/>
          <w:b/>
          <w:sz w:val="22"/>
          <w:szCs w:val="22"/>
        </w:rPr>
        <w:t>Position Statement on</w:t>
      </w:r>
    </w:p>
    <w:p w:rsidR="00EB630A" w:rsidRPr="00EB630A" w:rsidRDefault="00EB630A" w:rsidP="00EB630A">
      <w:pPr>
        <w:jc w:val="center"/>
        <w:rPr>
          <w:rFonts w:ascii="Arial" w:hAnsi="Arial" w:cs="Arial"/>
          <w:b/>
          <w:sz w:val="22"/>
          <w:szCs w:val="22"/>
        </w:rPr>
      </w:pPr>
      <w:r w:rsidRPr="00EB630A">
        <w:rPr>
          <w:rFonts w:ascii="Arial" w:hAnsi="Arial" w:cs="Arial"/>
          <w:b/>
          <w:sz w:val="22"/>
          <w:szCs w:val="22"/>
        </w:rPr>
        <w:t xml:space="preserve"> </w:t>
      </w:r>
    </w:p>
    <w:p w:rsidR="00EB630A" w:rsidRPr="00EB630A" w:rsidRDefault="00EB630A" w:rsidP="00EB630A">
      <w:pPr>
        <w:jc w:val="center"/>
        <w:rPr>
          <w:rFonts w:ascii="Arial" w:hAnsi="Arial" w:cs="Arial"/>
          <w:b/>
          <w:sz w:val="22"/>
          <w:szCs w:val="22"/>
        </w:rPr>
      </w:pPr>
      <w:r w:rsidRPr="00EB630A">
        <w:rPr>
          <w:rFonts w:ascii="Arial" w:hAnsi="Arial" w:cs="Arial"/>
          <w:b/>
          <w:sz w:val="22"/>
          <w:szCs w:val="22"/>
        </w:rPr>
        <w:t>Alternatives to Animal testing</w:t>
      </w:r>
    </w:p>
    <w:p w:rsidR="00EB630A" w:rsidRPr="00EB630A" w:rsidRDefault="00EB630A" w:rsidP="00EB630A">
      <w:pPr>
        <w:rPr>
          <w:rFonts w:ascii="Arial" w:hAnsi="Arial" w:cs="Arial"/>
          <w:b/>
          <w:sz w:val="22"/>
          <w:szCs w:val="22"/>
        </w:rPr>
      </w:pPr>
    </w:p>
    <w:p w:rsidR="00EB630A" w:rsidRPr="00EB630A" w:rsidRDefault="00EB630A" w:rsidP="00EB630A">
      <w:pPr>
        <w:jc w:val="both"/>
        <w:rPr>
          <w:rFonts w:ascii="Arial" w:hAnsi="Arial" w:cs="Arial"/>
          <w:b/>
          <w:sz w:val="22"/>
          <w:szCs w:val="22"/>
        </w:rPr>
      </w:pPr>
      <w:r w:rsidRPr="00EB630A">
        <w:rPr>
          <w:rFonts w:ascii="Arial" w:hAnsi="Arial" w:cs="Arial"/>
          <w:b/>
          <w:sz w:val="22"/>
          <w:szCs w:val="22"/>
        </w:rPr>
        <w:t>This position statement has been prepared by the Office of the Psychoactive Substances Regulator and is endorsed by the Psychoactive Substances Expert Advisory Committee.</w:t>
      </w:r>
    </w:p>
    <w:p w:rsidR="00EB630A" w:rsidRPr="00EB630A" w:rsidRDefault="00EB630A" w:rsidP="00EB630A">
      <w:pPr>
        <w:rPr>
          <w:rFonts w:ascii="Arial" w:hAnsi="Arial" w:cs="Arial"/>
          <w:b/>
          <w:sz w:val="22"/>
          <w:szCs w:val="22"/>
        </w:rPr>
      </w:pPr>
      <w:r w:rsidRPr="00EB630A">
        <w:rPr>
          <w:rFonts w:ascii="Arial" w:hAnsi="Arial" w:cs="Arial"/>
          <w:b/>
          <w:sz w:val="22"/>
          <w:szCs w:val="22"/>
        </w:rPr>
        <w:t xml:space="preserve"> </w:t>
      </w:r>
    </w:p>
    <w:p w:rsidR="00EB630A" w:rsidRPr="00EB630A" w:rsidRDefault="00EB630A" w:rsidP="00EB630A">
      <w:pPr>
        <w:rPr>
          <w:rFonts w:ascii="Arial" w:hAnsi="Arial" w:cs="Arial"/>
          <w:sz w:val="22"/>
          <w:szCs w:val="22"/>
        </w:rPr>
      </w:pPr>
      <w:r w:rsidRPr="00EB630A">
        <w:rPr>
          <w:rFonts w:ascii="Arial" w:hAnsi="Arial" w:cs="Arial"/>
          <w:sz w:val="22"/>
          <w:szCs w:val="22"/>
        </w:rPr>
        <w:t xml:space="preserve">The Amendment to the Psychoactive Substances Act on 8 May 2014 removed the ability of the Psychoactive Substances Expert Advisory Committee (the Committee) to have regard to the results of animal testing when considering whether a psychoactive product should be approved for use by individuals. </w:t>
      </w:r>
    </w:p>
    <w:p w:rsidR="00EB630A" w:rsidRPr="00EB630A" w:rsidRDefault="00EB630A" w:rsidP="00EB630A">
      <w:pPr>
        <w:rPr>
          <w:rFonts w:ascii="Arial" w:hAnsi="Arial" w:cs="Arial"/>
          <w:sz w:val="22"/>
          <w:szCs w:val="22"/>
        </w:rPr>
      </w:pPr>
    </w:p>
    <w:p w:rsidR="00EB630A" w:rsidRPr="00EB630A" w:rsidRDefault="00EB630A" w:rsidP="00EB630A">
      <w:pPr>
        <w:rPr>
          <w:rFonts w:ascii="Arial" w:hAnsi="Arial" w:cs="Arial"/>
          <w:sz w:val="22"/>
          <w:szCs w:val="22"/>
        </w:rPr>
      </w:pPr>
      <w:r w:rsidRPr="00EB630A">
        <w:rPr>
          <w:rFonts w:ascii="Arial" w:hAnsi="Arial" w:cs="Arial"/>
          <w:sz w:val="22"/>
          <w:szCs w:val="22"/>
        </w:rPr>
        <w:t xml:space="preserve">The Committee has therefore considered whether suitable alternatives to animal testing are available for all aspects of the assessment that is needed to determine whether a product poses no more than a low risk of harm to the individual using it.  </w:t>
      </w:r>
    </w:p>
    <w:p w:rsidR="00EB630A" w:rsidRPr="00EB630A" w:rsidRDefault="00EB630A" w:rsidP="00EB630A">
      <w:pPr>
        <w:rPr>
          <w:rFonts w:ascii="Arial" w:hAnsi="Arial" w:cs="Arial"/>
          <w:sz w:val="22"/>
          <w:szCs w:val="22"/>
        </w:rPr>
      </w:pPr>
    </w:p>
    <w:p w:rsidR="00EB630A" w:rsidRPr="00EB630A" w:rsidRDefault="00EB630A" w:rsidP="00EB630A">
      <w:pPr>
        <w:rPr>
          <w:rFonts w:ascii="Arial" w:hAnsi="Arial" w:cs="Arial"/>
          <w:sz w:val="22"/>
          <w:szCs w:val="22"/>
        </w:rPr>
      </w:pPr>
      <w:r w:rsidRPr="00EB630A">
        <w:rPr>
          <w:rFonts w:ascii="Arial" w:hAnsi="Arial" w:cs="Arial"/>
          <w:sz w:val="22"/>
          <w:szCs w:val="22"/>
        </w:rPr>
        <w:t>The Committee is required, under section 11(3) of the Psychoactive Substances Act 2013, to have regard to the following when evaluating psychoactive products to assess whether they should be approved for use by individuals:</w:t>
      </w:r>
    </w:p>
    <w:p w:rsidR="00EB630A" w:rsidRPr="00EB630A" w:rsidRDefault="00EB630A" w:rsidP="00EB630A">
      <w:pPr>
        <w:rPr>
          <w:rFonts w:ascii="Arial" w:hAnsi="Arial" w:cs="Arial"/>
          <w:sz w:val="22"/>
          <w:szCs w:val="22"/>
        </w:rPr>
      </w:pPr>
    </w:p>
    <w:p w:rsidR="00EB630A" w:rsidRPr="00EB630A" w:rsidRDefault="00EB630A" w:rsidP="00CF062F">
      <w:pPr>
        <w:pStyle w:val="ListParagraph"/>
        <w:numPr>
          <w:ilvl w:val="0"/>
          <w:numId w:val="59"/>
        </w:numPr>
        <w:spacing w:after="120"/>
        <w:ind w:left="714" w:hanging="357"/>
        <w:contextualSpacing w:val="0"/>
        <w:rPr>
          <w:rFonts w:ascii="Arial" w:hAnsi="Arial" w:cs="Arial"/>
          <w:sz w:val="22"/>
          <w:szCs w:val="22"/>
        </w:rPr>
      </w:pPr>
      <w:r w:rsidRPr="00EB630A">
        <w:rPr>
          <w:rFonts w:ascii="Arial" w:hAnsi="Arial" w:cs="Arial"/>
          <w:sz w:val="22"/>
          <w:szCs w:val="22"/>
        </w:rPr>
        <w:t>the specific effects of the product, including pharmacological, psychoactive, and toxicological effects; and</w:t>
      </w:r>
    </w:p>
    <w:p w:rsidR="00EB630A" w:rsidRPr="00EB630A" w:rsidRDefault="00EB630A" w:rsidP="00CF062F">
      <w:pPr>
        <w:pStyle w:val="ListParagraph"/>
        <w:numPr>
          <w:ilvl w:val="0"/>
          <w:numId w:val="59"/>
        </w:numPr>
        <w:spacing w:after="120"/>
        <w:ind w:left="714" w:hanging="357"/>
        <w:contextualSpacing w:val="0"/>
        <w:rPr>
          <w:rFonts w:ascii="Arial" w:hAnsi="Arial" w:cs="Arial"/>
          <w:sz w:val="22"/>
          <w:szCs w:val="22"/>
        </w:rPr>
      </w:pPr>
      <w:r w:rsidRPr="00EB630A">
        <w:rPr>
          <w:rFonts w:ascii="Arial" w:hAnsi="Arial" w:cs="Arial"/>
          <w:sz w:val="22"/>
          <w:szCs w:val="22"/>
        </w:rPr>
        <w:t>the risks, if any, to public health; and</w:t>
      </w:r>
    </w:p>
    <w:p w:rsidR="00EB630A" w:rsidRPr="00EB630A" w:rsidRDefault="00EB630A" w:rsidP="00CF062F">
      <w:pPr>
        <w:pStyle w:val="ListParagraph"/>
        <w:numPr>
          <w:ilvl w:val="0"/>
          <w:numId w:val="59"/>
        </w:numPr>
        <w:spacing w:after="120"/>
        <w:ind w:left="714" w:hanging="357"/>
        <w:contextualSpacing w:val="0"/>
        <w:rPr>
          <w:rFonts w:ascii="Arial" w:hAnsi="Arial" w:cs="Arial"/>
          <w:sz w:val="22"/>
          <w:szCs w:val="22"/>
        </w:rPr>
      </w:pPr>
      <w:r w:rsidRPr="00EB630A">
        <w:rPr>
          <w:rFonts w:ascii="Arial" w:hAnsi="Arial" w:cs="Arial"/>
          <w:sz w:val="22"/>
          <w:szCs w:val="22"/>
        </w:rPr>
        <w:t>the potential use of the product to cause death; and</w:t>
      </w:r>
    </w:p>
    <w:p w:rsidR="00EB630A" w:rsidRPr="00EB630A" w:rsidRDefault="00EB630A" w:rsidP="00CF062F">
      <w:pPr>
        <w:pStyle w:val="ListParagraph"/>
        <w:numPr>
          <w:ilvl w:val="0"/>
          <w:numId w:val="59"/>
        </w:numPr>
        <w:spacing w:after="120"/>
        <w:ind w:left="714" w:hanging="357"/>
        <w:contextualSpacing w:val="0"/>
        <w:rPr>
          <w:rFonts w:ascii="Arial" w:hAnsi="Arial" w:cs="Arial"/>
          <w:sz w:val="22"/>
          <w:szCs w:val="22"/>
        </w:rPr>
      </w:pPr>
      <w:r w:rsidRPr="00EB630A">
        <w:rPr>
          <w:rFonts w:ascii="Arial" w:hAnsi="Arial" w:cs="Arial"/>
          <w:sz w:val="22"/>
          <w:szCs w:val="22"/>
        </w:rPr>
        <w:t>the potential for the product to create physical or psychological dependence; and</w:t>
      </w:r>
    </w:p>
    <w:p w:rsidR="00EB630A" w:rsidRPr="00EB630A" w:rsidRDefault="00EB630A" w:rsidP="00CF062F">
      <w:pPr>
        <w:pStyle w:val="ListParagraph"/>
        <w:numPr>
          <w:ilvl w:val="0"/>
          <w:numId w:val="59"/>
        </w:numPr>
        <w:spacing w:after="120"/>
        <w:ind w:left="714" w:hanging="357"/>
        <w:contextualSpacing w:val="0"/>
        <w:rPr>
          <w:rFonts w:ascii="Arial" w:hAnsi="Arial" w:cs="Arial"/>
          <w:sz w:val="22"/>
          <w:szCs w:val="22"/>
        </w:rPr>
      </w:pPr>
      <w:r w:rsidRPr="00EB630A">
        <w:rPr>
          <w:rFonts w:ascii="Arial" w:hAnsi="Arial" w:cs="Arial"/>
          <w:sz w:val="22"/>
          <w:szCs w:val="22"/>
        </w:rPr>
        <w:t>the likelihood of misuse of the product; and</w:t>
      </w:r>
    </w:p>
    <w:p w:rsidR="00EB630A" w:rsidRPr="00EB630A" w:rsidRDefault="00EB630A" w:rsidP="00CF062F">
      <w:pPr>
        <w:pStyle w:val="ListParagraph"/>
        <w:numPr>
          <w:ilvl w:val="0"/>
          <w:numId w:val="59"/>
        </w:numPr>
        <w:spacing w:after="120"/>
        <w:ind w:left="714" w:hanging="357"/>
        <w:contextualSpacing w:val="0"/>
        <w:rPr>
          <w:rFonts w:ascii="Arial" w:hAnsi="Arial" w:cs="Arial"/>
          <w:sz w:val="22"/>
          <w:szCs w:val="22"/>
        </w:rPr>
      </w:pPr>
      <w:r w:rsidRPr="00EB630A">
        <w:rPr>
          <w:rFonts w:ascii="Arial" w:hAnsi="Arial" w:cs="Arial"/>
          <w:sz w:val="22"/>
          <w:szCs w:val="22"/>
        </w:rPr>
        <w:t>the potential appeal of the product to vulnerable populations; and</w:t>
      </w:r>
    </w:p>
    <w:p w:rsidR="00EB630A" w:rsidRPr="00EB630A" w:rsidRDefault="00EB630A" w:rsidP="00CF062F">
      <w:pPr>
        <w:pStyle w:val="ListParagraph"/>
        <w:numPr>
          <w:ilvl w:val="0"/>
          <w:numId w:val="59"/>
        </w:numPr>
        <w:spacing w:after="120"/>
        <w:ind w:left="714" w:hanging="357"/>
        <w:contextualSpacing w:val="0"/>
        <w:rPr>
          <w:rFonts w:ascii="Arial" w:hAnsi="Arial" w:cs="Arial"/>
          <w:sz w:val="22"/>
          <w:szCs w:val="22"/>
        </w:rPr>
      </w:pPr>
      <w:r w:rsidRPr="00EB630A">
        <w:rPr>
          <w:rFonts w:ascii="Arial" w:hAnsi="Arial" w:cs="Arial"/>
          <w:sz w:val="22"/>
          <w:szCs w:val="22"/>
        </w:rPr>
        <w:t>any other matters that the Authority considers relevant.</w:t>
      </w:r>
    </w:p>
    <w:p w:rsidR="00EB630A" w:rsidRPr="00EB630A" w:rsidRDefault="00EB630A" w:rsidP="00EB630A">
      <w:pPr>
        <w:rPr>
          <w:rFonts w:ascii="Arial" w:hAnsi="Arial" w:cs="Arial"/>
          <w:sz w:val="22"/>
          <w:szCs w:val="22"/>
        </w:rPr>
      </w:pPr>
    </w:p>
    <w:p w:rsidR="00EB630A" w:rsidRPr="00EB630A" w:rsidRDefault="00EB630A" w:rsidP="00EB630A">
      <w:pPr>
        <w:rPr>
          <w:rFonts w:ascii="Arial" w:hAnsi="Arial" w:cs="Arial"/>
          <w:sz w:val="22"/>
          <w:szCs w:val="22"/>
        </w:rPr>
      </w:pPr>
      <w:r w:rsidRPr="00EB630A">
        <w:rPr>
          <w:rFonts w:ascii="Arial" w:hAnsi="Arial" w:cs="Arial"/>
          <w:sz w:val="22"/>
          <w:szCs w:val="22"/>
        </w:rPr>
        <w:t xml:space="preserve">The “avoidance of doubt” provision in section 37(2) of the Act makes it clear that the Authority </w:t>
      </w:r>
      <w:r w:rsidRPr="00EB630A">
        <w:rPr>
          <w:rFonts w:ascii="Arial" w:hAnsi="Arial" w:cs="Arial"/>
          <w:b/>
          <w:sz w:val="22"/>
          <w:szCs w:val="22"/>
        </w:rPr>
        <w:t>must refuse</w:t>
      </w:r>
      <w:r w:rsidRPr="00EB630A">
        <w:rPr>
          <w:rFonts w:ascii="Arial" w:hAnsi="Arial" w:cs="Arial"/>
          <w:sz w:val="22"/>
          <w:szCs w:val="22"/>
        </w:rPr>
        <w:t xml:space="preserve"> to approve a psychoactive </w:t>
      </w:r>
      <w:r w:rsidRPr="00EB630A">
        <w:rPr>
          <w:rFonts w:ascii="Arial" w:hAnsi="Arial" w:cs="Arial"/>
          <w:b/>
          <w:sz w:val="22"/>
          <w:szCs w:val="22"/>
        </w:rPr>
        <w:t>product if it is unable to satisfy itself</w:t>
      </w:r>
      <w:r w:rsidRPr="00EB630A">
        <w:rPr>
          <w:rFonts w:ascii="Arial" w:hAnsi="Arial" w:cs="Arial"/>
          <w:sz w:val="22"/>
          <w:szCs w:val="22"/>
        </w:rPr>
        <w:t xml:space="preserve"> that the degree of harm that the product poses to individuals using the product is no more than a low risk of harm.</w:t>
      </w:r>
    </w:p>
    <w:p w:rsidR="00EB630A" w:rsidRPr="00EB630A" w:rsidRDefault="00EB630A" w:rsidP="00EB630A">
      <w:pPr>
        <w:rPr>
          <w:rFonts w:ascii="Arial" w:hAnsi="Arial" w:cs="Arial"/>
          <w:sz w:val="22"/>
          <w:szCs w:val="22"/>
        </w:rPr>
      </w:pPr>
    </w:p>
    <w:p w:rsidR="00EB630A" w:rsidRPr="00EB630A" w:rsidRDefault="00EB630A" w:rsidP="00EB630A">
      <w:pPr>
        <w:rPr>
          <w:rFonts w:ascii="Arial" w:hAnsi="Arial" w:cs="Arial"/>
          <w:sz w:val="22"/>
          <w:szCs w:val="22"/>
        </w:rPr>
      </w:pPr>
      <w:r w:rsidRPr="00EB630A">
        <w:rPr>
          <w:rFonts w:ascii="Arial" w:hAnsi="Arial" w:cs="Arial"/>
          <w:sz w:val="22"/>
          <w:szCs w:val="22"/>
        </w:rPr>
        <w:t xml:space="preserve">The Committee has considered the type of scientific evidence it would need to see in order to provide robust and evidence-based advice on whether a product posed no more than a low level of harm to the individuals who may use it.  It has agreed to refer to technical guidance developed in the context of global harmonisation of requirements for the approval of pharmaceuticals.  These guidance documents address the same elements that the Committee is required to consider for psychoactive substances and have been developed through a process of scientific consensus involving technical experts from a number of countries.  They are known as the </w:t>
      </w:r>
      <w:r w:rsidRPr="00EB630A">
        <w:rPr>
          <w:rFonts w:ascii="Arial" w:hAnsi="Arial" w:cs="Arial"/>
          <w:i/>
          <w:sz w:val="22"/>
          <w:szCs w:val="22"/>
        </w:rPr>
        <w:t>International Conference on Harmonisation of Technical Requirements for Registration of Pharmaceuticals for Human Use (ICH) guidelines</w:t>
      </w:r>
      <w:r w:rsidRPr="00EB630A">
        <w:rPr>
          <w:rFonts w:ascii="Arial" w:hAnsi="Arial" w:cs="Arial"/>
          <w:sz w:val="22"/>
          <w:szCs w:val="22"/>
        </w:rPr>
        <w:t xml:space="preserve">.  </w:t>
      </w:r>
    </w:p>
    <w:p w:rsidR="00EB630A" w:rsidRPr="00EB630A" w:rsidRDefault="00EB630A" w:rsidP="00EB630A">
      <w:pPr>
        <w:rPr>
          <w:rFonts w:ascii="Arial" w:hAnsi="Arial" w:cs="Arial"/>
          <w:sz w:val="22"/>
          <w:szCs w:val="22"/>
        </w:rPr>
      </w:pPr>
    </w:p>
    <w:p w:rsidR="00EB630A" w:rsidRPr="00EB630A" w:rsidRDefault="00EB630A" w:rsidP="00EB630A">
      <w:pPr>
        <w:rPr>
          <w:rFonts w:ascii="Arial" w:hAnsi="Arial" w:cs="Arial"/>
          <w:sz w:val="22"/>
          <w:szCs w:val="22"/>
        </w:rPr>
      </w:pPr>
      <w:r w:rsidRPr="00EB630A">
        <w:rPr>
          <w:rFonts w:ascii="Arial" w:hAnsi="Arial" w:cs="Arial"/>
          <w:sz w:val="22"/>
          <w:szCs w:val="22"/>
        </w:rPr>
        <w:t>After considering the ICH guidance and cognisant also of the  consensus views of international toxicology experts in relation to risk assessments of chemicals in food</w:t>
      </w:r>
      <w:r w:rsidRPr="00EB630A">
        <w:rPr>
          <w:rStyle w:val="FootnoteReference"/>
          <w:rFonts w:ascii="Arial" w:hAnsi="Arial" w:cs="Arial"/>
          <w:sz w:val="22"/>
          <w:szCs w:val="22"/>
        </w:rPr>
        <w:footnoteReference w:id="3"/>
      </w:r>
      <w:r w:rsidRPr="00EB630A">
        <w:rPr>
          <w:rFonts w:ascii="Arial" w:hAnsi="Arial" w:cs="Arial"/>
          <w:sz w:val="22"/>
          <w:szCs w:val="22"/>
        </w:rPr>
        <w:t xml:space="preserve"> the Committee has concluded that the tests required to address the following aspects of safety are currently only satisfactorily determined in animal models:</w:t>
      </w:r>
    </w:p>
    <w:p w:rsidR="00EB630A" w:rsidRPr="00EB630A" w:rsidRDefault="00EB630A" w:rsidP="00EB630A">
      <w:pPr>
        <w:rPr>
          <w:rFonts w:ascii="Arial" w:hAnsi="Arial" w:cs="Arial"/>
          <w:sz w:val="22"/>
          <w:szCs w:val="22"/>
        </w:rPr>
      </w:pPr>
    </w:p>
    <w:p w:rsidR="00EB630A" w:rsidRPr="00EB630A" w:rsidRDefault="00EB630A" w:rsidP="00CF062F">
      <w:pPr>
        <w:pStyle w:val="ListParagraph"/>
        <w:numPr>
          <w:ilvl w:val="0"/>
          <w:numId w:val="60"/>
        </w:numPr>
        <w:spacing w:after="120"/>
        <w:ind w:left="782" w:hanging="357"/>
        <w:contextualSpacing w:val="0"/>
        <w:rPr>
          <w:rFonts w:ascii="Arial" w:hAnsi="Arial" w:cs="Arial"/>
          <w:sz w:val="22"/>
          <w:szCs w:val="22"/>
        </w:rPr>
      </w:pPr>
      <w:r w:rsidRPr="00EB630A">
        <w:rPr>
          <w:rFonts w:ascii="Arial" w:hAnsi="Arial" w:cs="Arial"/>
          <w:sz w:val="22"/>
          <w:szCs w:val="22"/>
        </w:rPr>
        <w:t>Teratogenicity</w:t>
      </w:r>
    </w:p>
    <w:p w:rsidR="00EB630A" w:rsidRPr="00EB630A" w:rsidRDefault="00EB630A" w:rsidP="00CF062F">
      <w:pPr>
        <w:pStyle w:val="ListParagraph"/>
        <w:numPr>
          <w:ilvl w:val="0"/>
          <w:numId w:val="60"/>
        </w:numPr>
        <w:spacing w:after="120"/>
        <w:ind w:left="782" w:hanging="357"/>
        <w:contextualSpacing w:val="0"/>
        <w:rPr>
          <w:rFonts w:ascii="Arial" w:hAnsi="Arial" w:cs="Arial"/>
          <w:sz w:val="22"/>
          <w:szCs w:val="22"/>
        </w:rPr>
      </w:pPr>
      <w:r w:rsidRPr="00EB630A">
        <w:rPr>
          <w:rFonts w:ascii="Arial" w:hAnsi="Arial" w:cs="Arial"/>
          <w:sz w:val="22"/>
          <w:szCs w:val="22"/>
        </w:rPr>
        <w:t>Toxicokinetics</w:t>
      </w:r>
    </w:p>
    <w:p w:rsidR="00EB630A" w:rsidRPr="00EB630A" w:rsidRDefault="00EB630A" w:rsidP="00CF062F">
      <w:pPr>
        <w:pStyle w:val="ListParagraph"/>
        <w:numPr>
          <w:ilvl w:val="0"/>
          <w:numId w:val="60"/>
        </w:numPr>
        <w:spacing w:after="120"/>
        <w:ind w:left="782" w:hanging="357"/>
        <w:contextualSpacing w:val="0"/>
        <w:rPr>
          <w:rFonts w:ascii="Arial" w:hAnsi="Arial" w:cs="Arial"/>
          <w:sz w:val="22"/>
          <w:szCs w:val="22"/>
        </w:rPr>
      </w:pPr>
      <w:r w:rsidRPr="00EB630A">
        <w:rPr>
          <w:rFonts w:ascii="Arial" w:hAnsi="Arial" w:cs="Arial"/>
          <w:sz w:val="22"/>
          <w:szCs w:val="22"/>
        </w:rPr>
        <w:t>Immunotoxicity</w:t>
      </w:r>
    </w:p>
    <w:p w:rsidR="00EB630A" w:rsidRPr="00EB630A" w:rsidRDefault="00EB630A" w:rsidP="00CF062F">
      <w:pPr>
        <w:pStyle w:val="ListParagraph"/>
        <w:numPr>
          <w:ilvl w:val="0"/>
          <w:numId w:val="60"/>
        </w:numPr>
        <w:spacing w:after="120"/>
        <w:ind w:left="782" w:hanging="357"/>
        <w:contextualSpacing w:val="0"/>
        <w:rPr>
          <w:rFonts w:ascii="Arial" w:hAnsi="Arial" w:cs="Arial"/>
          <w:sz w:val="22"/>
          <w:szCs w:val="22"/>
        </w:rPr>
      </w:pPr>
      <w:r w:rsidRPr="00EB630A">
        <w:rPr>
          <w:rFonts w:ascii="Arial" w:hAnsi="Arial" w:cs="Arial"/>
          <w:sz w:val="22"/>
          <w:szCs w:val="22"/>
        </w:rPr>
        <w:t>Carcinogenicity</w:t>
      </w:r>
    </w:p>
    <w:p w:rsidR="00EB630A" w:rsidRPr="00EB630A" w:rsidRDefault="00EB630A" w:rsidP="00CF062F">
      <w:pPr>
        <w:pStyle w:val="ListParagraph"/>
        <w:numPr>
          <w:ilvl w:val="0"/>
          <w:numId w:val="60"/>
        </w:numPr>
        <w:spacing w:after="120"/>
        <w:ind w:left="782" w:hanging="357"/>
        <w:contextualSpacing w:val="0"/>
        <w:rPr>
          <w:rFonts w:ascii="Arial" w:hAnsi="Arial" w:cs="Arial"/>
          <w:sz w:val="22"/>
          <w:szCs w:val="22"/>
        </w:rPr>
      </w:pPr>
      <w:r w:rsidRPr="00EB630A">
        <w:rPr>
          <w:rFonts w:ascii="Arial" w:hAnsi="Arial" w:cs="Arial"/>
          <w:sz w:val="22"/>
          <w:szCs w:val="22"/>
        </w:rPr>
        <w:t>Addiction modelling</w:t>
      </w:r>
    </w:p>
    <w:p w:rsidR="00A36741" w:rsidRDefault="00A36741" w:rsidP="00EB630A">
      <w:pPr>
        <w:ind w:left="63"/>
        <w:rPr>
          <w:rFonts w:ascii="Arial" w:hAnsi="Arial" w:cs="Arial"/>
          <w:b/>
          <w:sz w:val="22"/>
          <w:szCs w:val="22"/>
        </w:rPr>
      </w:pPr>
    </w:p>
    <w:p w:rsidR="00EB630A" w:rsidRPr="00EB630A" w:rsidRDefault="00EB630A" w:rsidP="00EB630A">
      <w:pPr>
        <w:ind w:left="63"/>
        <w:rPr>
          <w:rFonts w:ascii="Arial" w:hAnsi="Arial" w:cs="Arial"/>
          <w:b/>
          <w:sz w:val="22"/>
          <w:szCs w:val="22"/>
        </w:rPr>
      </w:pPr>
      <w:r w:rsidRPr="00EB630A">
        <w:rPr>
          <w:rFonts w:ascii="Arial" w:hAnsi="Arial" w:cs="Arial"/>
          <w:b/>
          <w:sz w:val="22"/>
          <w:szCs w:val="22"/>
        </w:rPr>
        <w:t xml:space="preserve">The committee’s position is therefore that until suitable and internationally recognised non-animal study alternatives exist for assessing these aspects of product safety it </w:t>
      </w:r>
      <w:r w:rsidR="00A36741">
        <w:rPr>
          <w:rFonts w:ascii="Arial" w:hAnsi="Arial" w:cs="Arial"/>
          <w:b/>
          <w:sz w:val="22"/>
          <w:szCs w:val="22"/>
        </w:rPr>
        <w:t>may</w:t>
      </w:r>
      <w:r w:rsidRPr="00EB630A">
        <w:rPr>
          <w:rFonts w:ascii="Arial" w:hAnsi="Arial" w:cs="Arial"/>
          <w:b/>
          <w:sz w:val="22"/>
          <w:szCs w:val="22"/>
        </w:rPr>
        <w:t xml:space="preserve"> be unable to recommend approval of any psychoactive products. </w:t>
      </w:r>
    </w:p>
    <w:p w:rsidR="00EB630A" w:rsidRDefault="00EB630A" w:rsidP="00EB630A">
      <w:r>
        <w:t xml:space="preserve"> </w:t>
      </w:r>
    </w:p>
    <w:p w:rsidR="00EB630A" w:rsidRDefault="00EB630A" w:rsidP="00EB630A"/>
    <w:p w:rsidR="00EB630A" w:rsidRDefault="00EB630A" w:rsidP="00EB630A"/>
    <w:p w:rsidR="00EB630A" w:rsidRDefault="00EB630A" w:rsidP="00EB630A">
      <w:pPr>
        <w:rPr>
          <w:sz w:val="36"/>
        </w:rPr>
      </w:pPr>
    </w:p>
    <w:p w:rsidR="002C7CC5" w:rsidRPr="002048CE" w:rsidRDefault="002C7CC5" w:rsidP="002048CE">
      <w:pPr>
        <w:rPr>
          <w:rFonts w:ascii="Arial" w:hAnsi="Arial"/>
        </w:rPr>
      </w:pPr>
    </w:p>
    <w:sectPr w:rsidR="002C7CC5" w:rsidRPr="002048CE" w:rsidSect="00D80D78">
      <w:headerReference w:type="default" r:id="rId75"/>
      <w:footerReference w:type="default" r:id="rId7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6A6" w:rsidRDefault="002916A6" w:rsidP="002C5E2C">
      <w:r>
        <w:separator/>
      </w:r>
    </w:p>
  </w:endnote>
  <w:endnote w:type="continuationSeparator" w:id="0">
    <w:p w:rsidR="002916A6" w:rsidRDefault="002916A6" w:rsidP="002C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Mäo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886921"/>
      <w:docPartObj>
        <w:docPartGallery w:val="Page Numbers (Bottom of Page)"/>
        <w:docPartUnique/>
      </w:docPartObj>
    </w:sdtPr>
    <w:sdtEndPr>
      <w:rPr>
        <w:noProof/>
      </w:rPr>
    </w:sdtEndPr>
    <w:sdtContent>
      <w:p w:rsidR="00107361" w:rsidRDefault="00107361">
        <w:pPr>
          <w:pStyle w:val="Footer"/>
          <w:jc w:val="right"/>
        </w:pPr>
        <w:r>
          <w:fldChar w:fldCharType="begin"/>
        </w:r>
        <w:r>
          <w:instrText xml:space="preserve"> PAGE   \* MERGEFORMAT </w:instrText>
        </w:r>
        <w:r>
          <w:fldChar w:fldCharType="separate"/>
        </w:r>
        <w:r w:rsidR="00A249A1">
          <w:rPr>
            <w:noProof/>
          </w:rPr>
          <w:t>1</w:t>
        </w:r>
        <w:r>
          <w:rPr>
            <w:noProof/>
          </w:rPr>
          <w:fldChar w:fldCharType="end"/>
        </w:r>
      </w:p>
    </w:sdtContent>
  </w:sdt>
  <w:p w:rsidR="002B3317" w:rsidRDefault="00107361">
    <w:pPr>
      <w:pStyle w:val="Footer"/>
    </w:pPr>
    <w:r>
      <w:t>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6A6" w:rsidRDefault="002916A6" w:rsidP="002C5E2C">
      <w:r>
        <w:separator/>
      </w:r>
    </w:p>
  </w:footnote>
  <w:footnote w:type="continuationSeparator" w:id="0">
    <w:p w:rsidR="002916A6" w:rsidRDefault="002916A6" w:rsidP="002C5E2C">
      <w:r>
        <w:continuationSeparator/>
      </w:r>
    </w:p>
  </w:footnote>
  <w:footnote w:id="1">
    <w:p w:rsidR="002B3317" w:rsidRDefault="002B3317" w:rsidP="001A2E58">
      <w:pPr>
        <w:pStyle w:val="FootnoteText"/>
      </w:pPr>
      <w:r>
        <w:rPr>
          <w:rStyle w:val="FootnoteReference"/>
        </w:rPr>
        <w:footnoteRef/>
      </w:r>
      <w:r>
        <w:t xml:space="preserve"> On black and white print-outs dark blue boxes can be identified by their single solid boundary line </w:t>
      </w:r>
    </w:p>
  </w:footnote>
  <w:footnote w:id="2">
    <w:p w:rsidR="002B3317" w:rsidRDefault="002B3317" w:rsidP="001A2E58">
      <w:pPr>
        <w:pStyle w:val="FootnoteText"/>
      </w:pPr>
      <w:r>
        <w:rPr>
          <w:rStyle w:val="FootnoteReference"/>
        </w:rPr>
        <w:footnoteRef/>
      </w:r>
      <w:r>
        <w:t xml:space="preserve"> On black and white print-outs pink boxes can be identified by their dotted boundary line</w:t>
      </w:r>
    </w:p>
  </w:footnote>
  <w:footnote w:id="3">
    <w:p w:rsidR="00EB630A" w:rsidRPr="005A1286" w:rsidRDefault="00EB630A" w:rsidP="00EB630A">
      <w:pPr>
        <w:autoSpaceDE w:val="0"/>
        <w:autoSpaceDN w:val="0"/>
        <w:adjustRightInd w:val="0"/>
        <w:rPr>
          <w:rFonts w:ascii="Calibri" w:hAnsi="Calibri" w:cs="Calibri"/>
          <w:sz w:val="22"/>
        </w:rPr>
      </w:pPr>
      <w:r w:rsidRPr="005A1286">
        <w:rPr>
          <w:rStyle w:val="FootnoteReference"/>
        </w:rPr>
        <w:footnoteRef/>
      </w:r>
      <w:r w:rsidRPr="005A1286">
        <w:t xml:space="preserve"> </w:t>
      </w:r>
      <w:r w:rsidRPr="005A1286">
        <w:rPr>
          <w:rFonts w:ascii="Calibri" w:hAnsi="Calibri" w:cs="Calibri"/>
          <w:sz w:val="22"/>
        </w:rPr>
        <w:t xml:space="preserve">International Programme on Chemical Safety Environmental Health Criteria 240 “Principles and Methods for the Risk Assessment of Chemicals in Food”, WHO, 2009.  </w:t>
      </w:r>
    </w:p>
    <w:p w:rsidR="00EB630A" w:rsidRPr="005A1286" w:rsidRDefault="002916A6" w:rsidP="00EB630A">
      <w:pPr>
        <w:autoSpaceDE w:val="0"/>
        <w:autoSpaceDN w:val="0"/>
        <w:adjustRightInd w:val="0"/>
        <w:rPr>
          <w:rFonts w:ascii="Calibri" w:hAnsi="Calibri" w:cs="Calibri"/>
          <w:sz w:val="22"/>
        </w:rPr>
      </w:pPr>
      <w:hyperlink r:id="rId1" w:history="1">
        <w:r w:rsidR="00EB630A" w:rsidRPr="005A1286">
          <w:rPr>
            <w:rFonts w:ascii="Calibri" w:hAnsi="Calibri" w:cs="Calibri"/>
            <w:sz w:val="22"/>
            <w:u w:val="single"/>
          </w:rPr>
          <w:t>http://www.inchem.org/documents/ehc/ehc/ehc240_chapter4.pdf</w:t>
        </w:r>
      </w:hyperlink>
    </w:p>
    <w:p w:rsidR="00EB630A" w:rsidRDefault="00EB630A" w:rsidP="00EB630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BDB" w:rsidRDefault="006C7BDB">
    <w:pPr>
      <w:pStyle w:val="Header"/>
    </w:pPr>
    <w:r>
      <w:t xml:space="preserve">DRAFT </w:t>
    </w:r>
  </w:p>
  <w:sdt>
    <w:sdtPr>
      <w:id w:val="-450939547"/>
      <w:docPartObj>
        <w:docPartGallery w:val="Watermarks"/>
        <w:docPartUnique/>
      </w:docPartObj>
    </w:sdtPr>
    <w:sdtEndPr/>
    <w:sdtContent>
      <w:p w:rsidR="002B3317" w:rsidRDefault="002916A6">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2A0"/>
    <w:multiLevelType w:val="hybridMultilevel"/>
    <w:tmpl w:val="795639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4AD22D9"/>
    <w:multiLevelType w:val="hybridMultilevel"/>
    <w:tmpl w:val="6818D2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6E94B8E"/>
    <w:multiLevelType w:val="multilevel"/>
    <w:tmpl w:val="969410A0"/>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F71EE4"/>
    <w:multiLevelType w:val="multilevel"/>
    <w:tmpl w:val="79727160"/>
    <w:lvl w:ilvl="0">
      <w:start w:val="1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676DD1"/>
    <w:multiLevelType w:val="hybridMultilevel"/>
    <w:tmpl w:val="A9046A1E"/>
    <w:lvl w:ilvl="0" w:tplc="05889BA2">
      <w:start w:val="1"/>
      <w:numFmt w:val="decimal"/>
      <w:lvlText w:val="9.%1"/>
      <w:lvlJc w:val="left"/>
      <w:pPr>
        <w:ind w:left="714" w:hanging="714"/>
      </w:pPr>
      <w:rPr>
        <w:rFonts w:ascii="Arial" w:hAnsi="Arial"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CBC4939"/>
    <w:multiLevelType w:val="hybridMultilevel"/>
    <w:tmpl w:val="6B9A847E"/>
    <w:lvl w:ilvl="0" w:tplc="7D14EC4A">
      <w:start w:val="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0E686892"/>
    <w:multiLevelType w:val="hybridMultilevel"/>
    <w:tmpl w:val="FD22B8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1C72C2D"/>
    <w:multiLevelType w:val="hybridMultilevel"/>
    <w:tmpl w:val="E42ACA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84A05D1"/>
    <w:multiLevelType w:val="multilevel"/>
    <w:tmpl w:val="94343AF4"/>
    <w:lvl w:ilvl="0">
      <w:start w:val="10"/>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959268F"/>
    <w:multiLevelType w:val="hybridMultilevel"/>
    <w:tmpl w:val="6BCE1A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B262E3F"/>
    <w:multiLevelType w:val="hybridMultilevel"/>
    <w:tmpl w:val="270C3B7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nsid w:val="1D394279"/>
    <w:multiLevelType w:val="multilevel"/>
    <w:tmpl w:val="B6AC67AE"/>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E9D2C0C"/>
    <w:multiLevelType w:val="multilevel"/>
    <w:tmpl w:val="F3F2276A"/>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FEA7FC8"/>
    <w:multiLevelType w:val="multilevel"/>
    <w:tmpl w:val="C42C3F7A"/>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39A0603"/>
    <w:multiLevelType w:val="multilevel"/>
    <w:tmpl w:val="64A46ACE"/>
    <w:lvl w:ilvl="0">
      <w:start w:val="11"/>
      <w:numFmt w:val="decimal"/>
      <w:lvlText w:val="%1"/>
      <w:lvlJc w:val="left"/>
      <w:pPr>
        <w:ind w:left="465" w:hanging="465"/>
      </w:pPr>
      <w:rPr>
        <w:rFonts w:hint="default"/>
        <w:i w:val="0"/>
      </w:rPr>
    </w:lvl>
    <w:lvl w:ilvl="1">
      <w:start w:val="5"/>
      <w:numFmt w:val="decimal"/>
      <w:lvlText w:val="%1.%2"/>
      <w:lvlJc w:val="left"/>
      <w:pPr>
        <w:ind w:left="465" w:hanging="46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5">
    <w:nsid w:val="267B69ED"/>
    <w:multiLevelType w:val="hybridMultilevel"/>
    <w:tmpl w:val="E5E2B2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79831D4"/>
    <w:multiLevelType w:val="hybridMultilevel"/>
    <w:tmpl w:val="3C306C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2AB468C8"/>
    <w:multiLevelType w:val="hybridMultilevel"/>
    <w:tmpl w:val="32E041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2E331D66"/>
    <w:multiLevelType w:val="hybridMultilevel"/>
    <w:tmpl w:val="ECF2A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2EF779EB"/>
    <w:multiLevelType w:val="hybridMultilevel"/>
    <w:tmpl w:val="1F6011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0597B8B"/>
    <w:multiLevelType w:val="hybridMultilevel"/>
    <w:tmpl w:val="CD1A0834"/>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21">
    <w:nsid w:val="31BB12D3"/>
    <w:multiLevelType w:val="hybridMultilevel"/>
    <w:tmpl w:val="337C8930"/>
    <w:lvl w:ilvl="0" w:tplc="D9787D8E">
      <w:start w:val="1"/>
      <w:numFmt w:val="decimal"/>
      <w:lvlText w:val="5.1.%1"/>
      <w:lvlJc w:val="left"/>
      <w:pPr>
        <w:ind w:left="1072" w:hanging="1072"/>
      </w:pPr>
      <w:rPr>
        <w:rFonts w:ascii="Arial" w:hAnsi="Arial" w:cs="Arial"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33EE7BBB"/>
    <w:multiLevelType w:val="hybridMultilevel"/>
    <w:tmpl w:val="628883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354968AC"/>
    <w:multiLevelType w:val="hybridMultilevel"/>
    <w:tmpl w:val="496C32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390A7ACA"/>
    <w:multiLevelType w:val="hybridMultilevel"/>
    <w:tmpl w:val="DC9E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3C344592"/>
    <w:multiLevelType w:val="hybridMultilevel"/>
    <w:tmpl w:val="6622C012"/>
    <w:lvl w:ilvl="0" w:tplc="EE34016C">
      <w:start w:val="1"/>
      <w:numFmt w:val="decimal"/>
      <w:lvlText w:val="10.%1"/>
      <w:lvlJc w:val="left"/>
      <w:pPr>
        <w:ind w:left="714" w:hanging="714"/>
      </w:pPr>
      <w:rPr>
        <w:rFonts w:ascii="Arial" w:hAnsi="Arial"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3F5436AB"/>
    <w:multiLevelType w:val="hybridMultilevel"/>
    <w:tmpl w:val="FC6EC4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3FC400BE"/>
    <w:multiLevelType w:val="hybridMultilevel"/>
    <w:tmpl w:val="5AC6BE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40AB11AC"/>
    <w:multiLevelType w:val="multilevel"/>
    <w:tmpl w:val="64FC9B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0AB3499"/>
    <w:multiLevelType w:val="hybridMultilevel"/>
    <w:tmpl w:val="3B382A3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42AB4BD8"/>
    <w:multiLevelType w:val="hybridMultilevel"/>
    <w:tmpl w:val="E4CC1F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44EB29AB"/>
    <w:multiLevelType w:val="hybridMultilevel"/>
    <w:tmpl w:val="A4D2BA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48343F11"/>
    <w:multiLevelType w:val="hybridMultilevel"/>
    <w:tmpl w:val="22E2C4EA"/>
    <w:lvl w:ilvl="0" w:tplc="D04EC820">
      <w:start w:val="1"/>
      <w:numFmt w:val="decimal"/>
      <w:lvlText w:val="4.%1"/>
      <w:lvlJc w:val="left"/>
      <w:pPr>
        <w:ind w:left="714" w:hanging="71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nsid w:val="484966FC"/>
    <w:multiLevelType w:val="hybridMultilevel"/>
    <w:tmpl w:val="424483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4B2F0067"/>
    <w:multiLevelType w:val="hybridMultilevel"/>
    <w:tmpl w:val="4A8E98F4"/>
    <w:lvl w:ilvl="0" w:tplc="6792C6C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4B86080A"/>
    <w:multiLevelType w:val="hybridMultilevel"/>
    <w:tmpl w:val="8C8EC540"/>
    <w:lvl w:ilvl="0" w:tplc="D694840A">
      <w:start w:val="1"/>
      <w:numFmt w:val="decimal"/>
      <w:lvlText w:val="8.%1"/>
      <w:lvlJc w:val="left"/>
      <w:pPr>
        <w:ind w:left="714" w:hanging="714"/>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nsid w:val="4BDD3470"/>
    <w:multiLevelType w:val="multilevel"/>
    <w:tmpl w:val="779031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DDB1C14"/>
    <w:multiLevelType w:val="hybridMultilevel"/>
    <w:tmpl w:val="D9FACC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510E4892"/>
    <w:multiLevelType w:val="hybridMultilevel"/>
    <w:tmpl w:val="AEDE24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53886092"/>
    <w:multiLevelType w:val="hybridMultilevel"/>
    <w:tmpl w:val="22CEA9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545F0EDE"/>
    <w:multiLevelType w:val="hybridMultilevel"/>
    <w:tmpl w:val="3D5AFDAE"/>
    <w:lvl w:ilvl="0" w:tplc="08FAA944">
      <w:start w:val="1"/>
      <w:numFmt w:val="bullet"/>
      <w:suff w:val="space"/>
      <w:lvlText w:val=""/>
      <w:lvlJc w:val="left"/>
      <w:pPr>
        <w:ind w:left="0" w:firstLine="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54895893"/>
    <w:multiLevelType w:val="hybridMultilevel"/>
    <w:tmpl w:val="7E5039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5649020C"/>
    <w:multiLevelType w:val="multilevel"/>
    <w:tmpl w:val="D80A7B9C"/>
    <w:lvl w:ilvl="0">
      <w:start w:val="1"/>
      <w:numFmt w:val="decimal"/>
      <w:lvlText w:val="%1"/>
      <w:lvlJc w:val="left"/>
      <w:pPr>
        <w:ind w:left="714" w:hanging="714"/>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nsid w:val="567627CC"/>
    <w:multiLevelType w:val="hybridMultilevel"/>
    <w:tmpl w:val="D3700D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5F9A7253"/>
    <w:multiLevelType w:val="multilevel"/>
    <w:tmpl w:val="53323A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61F70D22"/>
    <w:multiLevelType w:val="hybridMultilevel"/>
    <w:tmpl w:val="CDE68828"/>
    <w:lvl w:ilvl="0" w:tplc="DF321A60">
      <w:start w:val="1"/>
      <w:numFmt w:val="decimal"/>
      <w:lvlText w:val="2.%1"/>
      <w:lvlJc w:val="left"/>
      <w:pPr>
        <w:ind w:left="0" w:firstLine="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nsid w:val="620E7738"/>
    <w:multiLevelType w:val="hybridMultilevel"/>
    <w:tmpl w:val="BFA468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nsid w:val="62342D82"/>
    <w:multiLevelType w:val="hybridMultilevel"/>
    <w:tmpl w:val="0C44DD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nsid w:val="62D269D9"/>
    <w:multiLevelType w:val="hybridMultilevel"/>
    <w:tmpl w:val="DFB4A67E"/>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49">
    <w:nsid w:val="64387B23"/>
    <w:multiLevelType w:val="hybridMultilevel"/>
    <w:tmpl w:val="47609CBA"/>
    <w:lvl w:ilvl="0" w:tplc="73AE72CA">
      <w:start w:val="1"/>
      <w:numFmt w:val="decimal"/>
      <w:lvlText w:val="5.%1"/>
      <w:lvlJc w:val="left"/>
      <w:pPr>
        <w:ind w:left="720" w:hanging="720"/>
      </w:pPr>
      <w:rPr>
        <w:rFonts w:ascii="Arial" w:hAnsi="Arial"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nsid w:val="682817CD"/>
    <w:multiLevelType w:val="hybridMultilevel"/>
    <w:tmpl w:val="88FCA9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nsid w:val="69AD5C72"/>
    <w:multiLevelType w:val="multilevel"/>
    <w:tmpl w:val="81B69F12"/>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6A5C1DA5"/>
    <w:multiLevelType w:val="hybridMultilevel"/>
    <w:tmpl w:val="E1D8BF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nsid w:val="6A7B3C1E"/>
    <w:multiLevelType w:val="hybridMultilevel"/>
    <w:tmpl w:val="F18621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nsid w:val="6BCD6591"/>
    <w:multiLevelType w:val="hybridMultilevel"/>
    <w:tmpl w:val="6DDAC6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nsid w:val="6CF837E5"/>
    <w:multiLevelType w:val="hybridMultilevel"/>
    <w:tmpl w:val="47DC3868"/>
    <w:lvl w:ilvl="0" w:tplc="6E5C1DD4">
      <w:start w:val="1"/>
      <w:numFmt w:val="decimal"/>
      <w:lvlText w:val="2.3.%1."/>
      <w:lvlJc w:val="left"/>
      <w:pPr>
        <w:ind w:left="1072" w:hanging="1072"/>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nsid w:val="6CFD6C58"/>
    <w:multiLevelType w:val="hybridMultilevel"/>
    <w:tmpl w:val="640C9B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nsid w:val="6F5E4AD3"/>
    <w:multiLevelType w:val="multilevel"/>
    <w:tmpl w:val="918C44C2"/>
    <w:lvl w:ilvl="0">
      <w:start w:val="1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nsid w:val="715351FA"/>
    <w:multiLevelType w:val="hybridMultilevel"/>
    <w:tmpl w:val="4B569D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nsid w:val="71CA2376"/>
    <w:multiLevelType w:val="hybridMultilevel"/>
    <w:tmpl w:val="492438D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nsid w:val="720C0ABF"/>
    <w:multiLevelType w:val="hybridMultilevel"/>
    <w:tmpl w:val="5C767668"/>
    <w:lvl w:ilvl="0" w:tplc="14090001">
      <w:start w:val="1"/>
      <w:numFmt w:val="bullet"/>
      <w:pStyle w:val="List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12906DD0">
      <w:start w:val="4"/>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3E14A51"/>
    <w:multiLevelType w:val="hybridMultilevel"/>
    <w:tmpl w:val="813074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nsid w:val="776243F7"/>
    <w:multiLevelType w:val="multilevel"/>
    <w:tmpl w:val="5BC621E4"/>
    <w:lvl w:ilvl="0">
      <w:start w:val="10"/>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nsid w:val="77C87BE1"/>
    <w:multiLevelType w:val="hybridMultilevel"/>
    <w:tmpl w:val="709687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nsid w:val="791E5284"/>
    <w:multiLevelType w:val="multilevel"/>
    <w:tmpl w:val="B4AE1820"/>
    <w:lvl w:ilvl="0">
      <w:start w:val="1"/>
      <w:numFmt w:val="decimal"/>
      <w:pStyle w:val="NoHeading1"/>
      <w:lvlText w:val="Section %1:"/>
      <w:lvlJc w:val="left"/>
      <w:pPr>
        <w:tabs>
          <w:tab w:val="num" w:pos="0"/>
        </w:tabs>
        <w:ind w:left="2268" w:hanging="2268"/>
      </w:pPr>
      <w:rPr>
        <w:rFonts w:ascii="Arial" w:hAnsi="Arial" w:hint="default"/>
        <w:b/>
        <w:bCs w:val="0"/>
        <w:i w:val="0"/>
        <w:iCs w:val="0"/>
        <w:caps w:val="0"/>
        <w:smallCaps w:val="0"/>
        <w:strike w:val="0"/>
        <w:dstrike w:val="0"/>
        <w:outline w:val="0"/>
        <w:shadow w:val="0"/>
        <w:emboss w:val="0"/>
        <w:imprint w:val="0"/>
        <w:noProof w:val="0"/>
        <w:vanish w:val="0"/>
        <w:color w:val="008080"/>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Heading2"/>
      <w:lvlText w:val="%1.%2."/>
      <w:lvlJc w:val="left"/>
      <w:pPr>
        <w:tabs>
          <w:tab w:val="num" w:pos="0"/>
        </w:tabs>
        <w:ind w:left="1134" w:hanging="1134"/>
      </w:pPr>
      <w:rPr>
        <w:rFonts w:ascii="Arial" w:hAnsi="Arial" w:cs="Arial" w:hint="default"/>
        <w:b/>
        <w:bCs w:val="0"/>
        <w:i w:val="0"/>
        <w:iCs w:val="0"/>
        <w:caps w:val="0"/>
        <w:strike w:val="0"/>
        <w:dstrike w:val="0"/>
        <w:outline w:val="0"/>
        <w:shadow w:val="0"/>
        <w:emboss w:val="0"/>
        <w:imprint w:val="0"/>
        <w:vanish w:val="0"/>
        <w:spacing w:val="0"/>
        <w:kern w:val="0"/>
        <w:position w:val="0"/>
        <w:sz w:val="28"/>
        <w:szCs w:val="28"/>
        <w:u w:val="none"/>
        <w:vertAlign w:val="baseline"/>
        <w:em w:val="none"/>
      </w:rPr>
    </w:lvl>
    <w:lvl w:ilvl="2">
      <w:start w:val="1"/>
      <w:numFmt w:val="decimal"/>
      <w:pStyle w:val="NoHeading1"/>
      <w:lvlText w:val="%1.%2.%3."/>
      <w:lvlJc w:val="left"/>
      <w:pPr>
        <w:tabs>
          <w:tab w:val="num" w:pos="0"/>
        </w:tabs>
        <w:ind w:left="1134" w:hanging="1134"/>
      </w:pPr>
      <w:rPr>
        <w:rFonts w:ascii="Arial" w:hAnsi="Arial" w:cs="Arial" w:hint="default"/>
        <w:b/>
        <w:i w:val="0"/>
        <w:color w:val="008080"/>
        <w:sz w:val="24"/>
        <w:szCs w:val="24"/>
      </w:rPr>
    </w:lvl>
    <w:lvl w:ilvl="3">
      <w:start w:val="1"/>
      <w:numFmt w:val="decimal"/>
      <w:pStyle w:val="NoHeading2"/>
      <w:lvlText w:val="%1.%2.%3.%4."/>
      <w:lvlJc w:val="left"/>
      <w:pPr>
        <w:tabs>
          <w:tab w:val="num" w:pos="0"/>
        </w:tabs>
        <w:ind w:left="1985" w:hanging="1985"/>
      </w:pPr>
      <w:rPr>
        <w:rFonts w:ascii="Arial" w:hAnsi="Arial" w:hint="default"/>
        <w:b/>
        <w:bCs w:val="0"/>
        <w:i w:val="0"/>
        <w:iCs w:val="0"/>
        <w:caps w:val="0"/>
        <w:smallCaps w:val="0"/>
        <w:strike w:val="0"/>
        <w:dstrike w:val="0"/>
        <w:outline w:val="0"/>
        <w:shadow w:val="0"/>
        <w:emboss w:val="0"/>
        <w:imprint w:val="0"/>
        <w:noProof w:val="0"/>
        <w:vanish w:val="0"/>
        <w:color w:val="00808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oHeading3"/>
      <w:lvlText w:val="%1.%2.%3.%4.%5."/>
      <w:lvlJc w:val="left"/>
      <w:pPr>
        <w:tabs>
          <w:tab w:val="num" w:pos="0"/>
        </w:tabs>
        <w:ind w:left="1985" w:hanging="1985"/>
      </w:pPr>
      <w:rPr>
        <w:rFonts w:ascii="Arial" w:hAnsi="Arial" w:cs="Arial" w:hint="default"/>
        <w:b/>
        <w:bCs w:val="0"/>
        <w:i w:val="0"/>
        <w:iCs w:val="0"/>
        <w:caps w:val="0"/>
        <w:smallCaps w:val="0"/>
        <w:strike w:val="0"/>
        <w:dstrike w:val="0"/>
        <w:outline w:val="0"/>
        <w:shadow w:val="0"/>
        <w:emboss w:val="0"/>
        <w:imprint w:val="0"/>
        <w:vanish w:val="0"/>
        <w:color w:val="008080"/>
        <w:spacing w:val="0"/>
        <w:kern w:val="0"/>
        <w:position w:val="0"/>
        <w:sz w:val="24"/>
        <w:szCs w:val="24"/>
        <w:u w:val="none"/>
        <w:vertAlign w:val="baseline"/>
        <w:em w:val="none"/>
      </w:rPr>
    </w:lvl>
    <w:lvl w:ilvl="5">
      <w:start w:val="1"/>
      <w:numFmt w:val="decimal"/>
      <w:lvlText w:val="%1.%2.%3.%4.%5.%6."/>
      <w:lvlJc w:val="left"/>
      <w:pPr>
        <w:tabs>
          <w:tab w:val="num" w:pos="0"/>
        </w:tabs>
        <w:ind w:left="1985" w:hanging="1985"/>
      </w:pPr>
      <w:rPr>
        <w:rFonts w:hint="default"/>
      </w:rPr>
    </w:lvl>
    <w:lvl w:ilvl="6">
      <w:start w:val="1"/>
      <w:numFmt w:val="decimal"/>
      <w:lvlText w:val="%1.%2.%3.%4.%5.%6.%7."/>
      <w:lvlJc w:val="left"/>
      <w:pPr>
        <w:tabs>
          <w:tab w:val="num" w:pos="0"/>
        </w:tabs>
        <w:ind w:left="1985" w:hanging="1985"/>
      </w:pPr>
      <w:rPr>
        <w:rFonts w:hint="default"/>
      </w:rPr>
    </w:lvl>
    <w:lvl w:ilvl="7">
      <w:start w:val="1"/>
      <w:numFmt w:val="decimal"/>
      <w:lvlText w:val="%1.%2.%3.%4.%5.%6.%7.%8."/>
      <w:lvlJc w:val="left"/>
      <w:pPr>
        <w:tabs>
          <w:tab w:val="num" w:pos="0"/>
        </w:tabs>
        <w:ind w:left="1985" w:hanging="1985"/>
      </w:pPr>
      <w:rPr>
        <w:rFonts w:hint="default"/>
      </w:rPr>
    </w:lvl>
    <w:lvl w:ilvl="8">
      <w:start w:val="1"/>
      <w:numFmt w:val="decimal"/>
      <w:lvlText w:val="%1.%2.%3.%4.%5.%6.%7.%8.%9."/>
      <w:lvlJc w:val="left"/>
      <w:pPr>
        <w:tabs>
          <w:tab w:val="num" w:pos="0"/>
        </w:tabs>
        <w:ind w:left="1985" w:hanging="1985"/>
      </w:pPr>
      <w:rPr>
        <w:rFonts w:hint="default"/>
      </w:rPr>
    </w:lvl>
  </w:abstractNum>
  <w:abstractNum w:abstractNumId="65">
    <w:nsid w:val="7A5B37E6"/>
    <w:multiLevelType w:val="hybridMultilevel"/>
    <w:tmpl w:val="87AEB8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nsid w:val="7BC20CDF"/>
    <w:multiLevelType w:val="hybridMultilevel"/>
    <w:tmpl w:val="FC96BD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nsid w:val="7C47026A"/>
    <w:multiLevelType w:val="hybridMultilevel"/>
    <w:tmpl w:val="7F8CC5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nsid w:val="7CCB5850"/>
    <w:multiLevelType w:val="multilevel"/>
    <w:tmpl w:val="8EFE53F4"/>
    <w:lvl w:ilvl="0">
      <w:start w:val="10"/>
      <w:numFmt w:val="decimal"/>
      <w:lvlText w:val="%1"/>
      <w:lvlJc w:val="left"/>
      <w:pPr>
        <w:ind w:left="795" w:hanging="795"/>
      </w:pPr>
      <w:rPr>
        <w:rFonts w:hint="default"/>
      </w:rPr>
    </w:lvl>
    <w:lvl w:ilvl="1">
      <w:start w:val="6"/>
      <w:numFmt w:val="decimal"/>
      <w:lvlText w:val="%1.%2"/>
      <w:lvlJc w:val="left"/>
      <w:pPr>
        <w:ind w:left="795" w:hanging="795"/>
      </w:pPr>
      <w:rPr>
        <w:rFonts w:hint="default"/>
      </w:rPr>
    </w:lvl>
    <w:lvl w:ilvl="2">
      <w:start w:val="10"/>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nsid w:val="7D7E0FC6"/>
    <w:multiLevelType w:val="hybridMultilevel"/>
    <w:tmpl w:val="B85E83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nsid w:val="7EB65611"/>
    <w:multiLevelType w:val="hybridMultilevel"/>
    <w:tmpl w:val="3D789B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8"/>
  </w:num>
  <w:num w:numId="2">
    <w:abstractNumId w:val="67"/>
  </w:num>
  <w:num w:numId="3">
    <w:abstractNumId w:val="22"/>
  </w:num>
  <w:num w:numId="4">
    <w:abstractNumId w:val="0"/>
  </w:num>
  <w:num w:numId="5">
    <w:abstractNumId w:val="64"/>
  </w:num>
  <w:num w:numId="6">
    <w:abstractNumId w:val="60"/>
  </w:num>
  <w:num w:numId="7">
    <w:abstractNumId w:val="56"/>
  </w:num>
  <w:num w:numId="8">
    <w:abstractNumId w:val="10"/>
  </w:num>
  <w:num w:numId="9">
    <w:abstractNumId w:val="9"/>
  </w:num>
  <w:num w:numId="10">
    <w:abstractNumId w:val="30"/>
  </w:num>
  <w:num w:numId="11">
    <w:abstractNumId w:val="16"/>
  </w:num>
  <w:num w:numId="12">
    <w:abstractNumId w:val="52"/>
  </w:num>
  <w:num w:numId="13">
    <w:abstractNumId w:val="18"/>
  </w:num>
  <w:num w:numId="14">
    <w:abstractNumId w:val="42"/>
  </w:num>
  <w:num w:numId="15">
    <w:abstractNumId w:val="6"/>
  </w:num>
  <w:num w:numId="16">
    <w:abstractNumId w:val="45"/>
  </w:num>
  <w:num w:numId="17">
    <w:abstractNumId w:val="66"/>
  </w:num>
  <w:num w:numId="18">
    <w:abstractNumId w:val="36"/>
  </w:num>
  <w:num w:numId="19">
    <w:abstractNumId w:val="53"/>
  </w:num>
  <w:num w:numId="20">
    <w:abstractNumId w:val="15"/>
  </w:num>
  <w:num w:numId="21">
    <w:abstractNumId w:val="40"/>
  </w:num>
  <w:num w:numId="22">
    <w:abstractNumId w:val="31"/>
  </w:num>
  <w:num w:numId="23">
    <w:abstractNumId w:val="23"/>
  </w:num>
  <w:num w:numId="24">
    <w:abstractNumId w:val="47"/>
  </w:num>
  <w:num w:numId="25">
    <w:abstractNumId w:val="59"/>
  </w:num>
  <w:num w:numId="26">
    <w:abstractNumId w:val="63"/>
  </w:num>
  <w:num w:numId="27">
    <w:abstractNumId w:val="26"/>
  </w:num>
  <w:num w:numId="28">
    <w:abstractNumId w:val="33"/>
  </w:num>
  <w:num w:numId="29">
    <w:abstractNumId w:val="19"/>
  </w:num>
  <w:num w:numId="30">
    <w:abstractNumId w:val="69"/>
  </w:num>
  <w:num w:numId="31">
    <w:abstractNumId w:val="17"/>
  </w:num>
  <w:num w:numId="32">
    <w:abstractNumId w:val="37"/>
  </w:num>
  <w:num w:numId="33">
    <w:abstractNumId w:val="41"/>
  </w:num>
  <w:num w:numId="34">
    <w:abstractNumId w:val="70"/>
  </w:num>
  <w:num w:numId="35">
    <w:abstractNumId w:val="49"/>
  </w:num>
  <w:num w:numId="36">
    <w:abstractNumId w:val="35"/>
  </w:num>
  <w:num w:numId="37">
    <w:abstractNumId w:val="25"/>
  </w:num>
  <w:num w:numId="38">
    <w:abstractNumId w:val="39"/>
  </w:num>
  <w:num w:numId="39">
    <w:abstractNumId w:val="32"/>
  </w:num>
  <w:num w:numId="40">
    <w:abstractNumId w:val="29"/>
  </w:num>
  <w:num w:numId="41">
    <w:abstractNumId w:val="44"/>
  </w:num>
  <w:num w:numId="42">
    <w:abstractNumId w:val="28"/>
  </w:num>
  <w:num w:numId="43">
    <w:abstractNumId w:val="27"/>
  </w:num>
  <w:num w:numId="44">
    <w:abstractNumId w:val="65"/>
  </w:num>
  <w:num w:numId="45">
    <w:abstractNumId w:val="38"/>
  </w:num>
  <w:num w:numId="46">
    <w:abstractNumId w:val="50"/>
  </w:num>
  <w:num w:numId="47">
    <w:abstractNumId w:val="5"/>
  </w:num>
  <w:num w:numId="48">
    <w:abstractNumId w:val="43"/>
  </w:num>
  <w:num w:numId="49">
    <w:abstractNumId w:val="55"/>
  </w:num>
  <w:num w:numId="50">
    <w:abstractNumId w:val="21"/>
  </w:num>
  <w:num w:numId="51">
    <w:abstractNumId w:val="4"/>
  </w:num>
  <w:num w:numId="52">
    <w:abstractNumId w:val="1"/>
  </w:num>
  <w:num w:numId="53">
    <w:abstractNumId w:val="34"/>
  </w:num>
  <w:num w:numId="54">
    <w:abstractNumId w:val="24"/>
  </w:num>
  <w:num w:numId="55">
    <w:abstractNumId w:val="61"/>
  </w:num>
  <w:num w:numId="56">
    <w:abstractNumId w:val="46"/>
  </w:num>
  <w:num w:numId="57">
    <w:abstractNumId w:val="48"/>
  </w:num>
  <w:num w:numId="58">
    <w:abstractNumId w:val="7"/>
  </w:num>
  <w:num w:numId="59">
    <w:abstractNumId w:val="54"/>
  </w:num>
  <w:num w:numId="60">
    <w:abstractNumId w:val="20"/>
  </w:num>
  <w:num w:numId="61">
    <w:abstractNumId w:val="51"/>
  </w:num>
  <w:num w:numId="62">
    <w:abstractNumId w:val="11"/>
  </w:num>
  <w:num w:numId="63">
    <w:abstractNumId w:val="14"/>
  </w:num>
  <w:num w:numId="64">
    <w:abstractNumId w:val="3"/>
  </w:num>
  <w:num w:numId="65">
    <w:abstractNumId w:val="2"/>
  </w:num>
  <w:num w:numId="66">
    <w:abstractNumId w:val="68"/>
  </w:num>
  <w:num w:numId="67">
    <w:abstractNumId w:val="13"/>
  </w:num>
  <w:num w:numId="68">
    <w:abstractNumId w:val="57"/>
  </w:num>
  <w:num w:numId="69">
    <w:abstractNumId w:val="8"/>
  </w:num>
  <w:num w:numId="70">
    <w:abstractNumId w:val="62"/>
  </w:num>
  <w:num w:numId="71">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E2C"/>
    <w:rsid w:val="000008F7"/>
    <w:rsid w:val="00001267"/>
    <w:rsid w:val="000074A9"/>
    <w:rsid w:val="00013171"/>
    <w:rsid w:val="00030D8B"/>
    <w:rsid w:val="000348BA"/>
    <w:rsid w:val="000429C4"/>
    <w:rsid w:val="000433D4"/>
    <w:rsid w:val="00056E8C"/>
    <w:rsid w:val="0005763D"/>
    <w:rsid w:val="00066DEA"/>
    <w:rsid w:val="00082B60"/>
    <w:rsid w:val="000A14DE"/>
    <w:rsid w:val="000A68E7"/>
    <w:rsid w:val="000A7537"/>
    <w:rsid w:val="000B4BC9"/>
    <w:rsid w:val="000B4BEB"/>
    <w:rsid w:val="000B7735"/>
    <w:rsid w:val="000C23F8"/>
    <w:rsid w:val="000C47AF"/>
    <w:rsid w:val="000D2F36"/>
    <w:rsid w:val="000D5EB4"/>
    <w:rsid w:val="000E1915"/>
    <w:rsid w:val="000F1FF2"/>
    <w:rsid w:val="00105984"/>
    <w:rsid w:val="00107361"/>
    <w:rsid w:val="00124CEF"/>
    <w:rsid w:val="00136D33"/>
    <w:rsid w:val="001504C8"/>
    <w:rsid w:val="00150E11"/>
    <w:rsid w:val="001524DF"/>
    <w:rsid w:val="00162880"/>
    <w:rsid w:val="00165E34"/>
    <w:rsid w:val="00167583"/>
    <w:rsid w:val="001732F2"/>
    <w:rsid w:val="001A0A85"/>
    <w:rsid w:val="001A2E58"/>
    <w:rsid w:val="001A39CF"/>
    <w:rsid w:val="001B347B"/>
    <w:rsid w:val="001B6016"/>
    <w:rsid w:val="001C0FBF"/>
    <w:rsid w:val="001D1066"/>
    <w:rsid w:val="001D1EE3"/>
    <w:rsid w:val="001D37A7"/>
    <w:rsid w:val="001D7595"/>
    <w:rsid w:val="001D7711"/>
    <w:rsid w:val="001E5B81"/>
    <w:rsid w:val="001F1A10"/>
    <w:rsid w:val="001F5E27"/>
    <w:rsid w:val="002048CE"/>
    <w:rsid w:val="00204A40"/>
    <w:rsid w:val="00242078"/>
    <w:rsid w:val="00242DE2"/>
    <w:rsid w:val="00251CC5"/>
    <w:rsid w:val="0026232E"/>
    <w:rsid w:val="00286DE2"/>
    <w:rsid w:val="00287691"/>
    <w:rsid w:val="002916A6"/>
    <w:rsid w:val="002A09D9"/>
    <w:rsid w:val="002A3CC0"/>
    <w:rsid w:val="002A4664"/>
    <w:rsid w:val="002B0718"/>
    <w:rsid w:val="002B3317"/>
    <w:rsid w:val="002B4FD9"/>
    <w:rsid w:val="002C5E2C"/>
    <w:rsid w:val="002C7157"/>
    <w:rsid w:val="002C7CC5"/>
    <w:rsid w:val="002E07C2"/>
    <w:rsid w:val="0030238B"/>
    <w:rsid w:val="00310366"/>
    <w:rsid w:val="00310735"/>
    <w:rsid w:val="003208FA"/>
    <w:rsid w:val="00326560"/>
    <w:rsid w:val="00372909"/>
    <w:rsid w:val="003749B7"/>
    <w:rsid w:val="00377BFA"/>
    <w:rsid w:val="00385F56"/>
    <w:rsid w:val="0039598A"/>
    <w:rsid w:val="00397114"/>
    <w:rsid w:val="003B35A6"/>
    <w:rsid w:val="003C09A0"/>
    <w:rsid w:val="003E03D9"/>
    <w:rsid w:val="003F0BDA"/>
    <w:rsid w:val="003F7B69"/>
    <w:rsid w:val="00407BF0"/>
    <w:rsid w:val="00411A8F"/>
    <w:rsid w:val="0043458C"/>
    <w:rsid w:val="00451E26"/>
    <w:rsid w:val="00452260"/>
    <w:rsid w:val="004938FB"/>
    <w:rsid w:val="004B0CB2"/>
    <w:rsid w:val="004C4769"/>
    <w:rsid w:val="004D0BF2"/>
    <w:rsid w:val="0050258A"/>
    <w:rsid w:val="0051007C"/>
    <w:rsid w:val="00515606"/>
    <w:rsid w:val="0051768A"/>
    <w:rsid w:val="005329DE"/>
    <w:rsid w:val="00541F1E"/>
    <w:rsid w:val="0055193B"/>
    <w:rsid w:val="00557062"/>
    <w:rsid w:val="00567F6C"/>
    <w:rsid w:val="005857F6"/>
    <w:rsid w:val="00593C9E"/>
    <w:rsid w:val="00596186"/>
    <w:rsid w:val="005A24D1"/>
    <w:rsid w:val="005B3224"/>
    <w:rsid w:val="005B34B4"/>
    <w:rsid w:val="005D110C"/>
    <w:rsid w:val="005D186C"/>
    <w:rsid w:val="005D2BF1"/>
    <w:rsid w:val="005F12C1"/>
    <w:rsid w:val="005F48BE"/>
    <w:rsid w:val="00600682"/>
    <w:rsid w:val="00611106"/>
    <w:rsid w:val="0061342C"/>
    <w:rsid w:val="00613E95"/>
    <w:rsid w:val="0063333D"/>
    <w:rsid w:val="006338B2"/>
    <w:rsid w:val="00633E55"/>
    <w:rsid w:val="0063676D"/>
    <w:rsid w:val="00641925"/>
    <w:rsid w:val="00644019"/>
    <w:rsid w:val="00667C9A"/>
    <w:rsid w:val="006766F1"/>
    <w:rsid w:val="0068496D"/>
    <w:rsid w:val="006877D3"/>
    <w:rsid w:val="00692718"/>
    <w:rsid w:val="00693C0B"/>
    <w:rsid w:val="00696A92"/>
    <w:rsid w:val="006A0F91"/>
    <w:rsid w:val="006B0A3C"/>
    <w:rsid w:val="006B40F0"/>
    <w:rsid w:val="006C7BDB"/>
    <w:rsid w:val="006D1F99"/>
    <w:rsid w:val="006D5A80"/>
    <w:rsid w:val="006F0234"/>
    <w:rsid w:val="006F2441"/>
    <w:rsid w:val="006F2E70"/>
    <w:rsid w:val="006F6DA3"/>
    <w:rsid w:val="00700E90"/>
    <w:rsid w:val="007056D8"/>
    <w:rsid w:val="0072525A"/>
    <w:rsid w:val="0073504F"/>
    <w:rsid w:val="00751187"/>
    <w:rsid w:val="0076224E"/>
    <w:rsid w:val="00776199"/>
    <w:rsid w:val="007815B1"/>
    <w:rsid w:val="007A7B34"/>
    <w:rsid w:val="007C0724"/>
    <w:rsid w:val="007C78F2"/>
    <w:rsid w:val="007D1F02"/>
    <w:rsid w:val="007E5D53"/>
    <w:rsid w:val="007E6965"/>
    <w:rsid w:val="0081586F"/>
    <w:rsid w:val="00830F2F"/>
    <w:rsid w:val="00831328"/>
    <w:rsid w:val="008415F6"/>
    <w:rsid w:val="00841662"/>
    <w:rsid w:val="008460EA"/>
    <w:rsid w:val="00846BBC"/>
    <w:rsid w:val="00857379"/>
    <w:rsid w:val="008619D5"/>
    <w:rsid w:val="00871D12"/>
    <w:rsid w:val="00876C7A"/>
    <w:rsid w:val="008C0773"/>
    <w:rsid w:val="008C1198"/>
    <w:rsid w:val="008C3B61"/>
    <w:rsid w:val="008E1F5E"/>
    <w:rsid w:val="008F2257"/>
    <w:rsid w:val="008F340B"/>
    <w:rsid w:val="008F5887"/>
    <w:rsid w:val="008F6D7B"/>
    <w:rsid w:val="00900E14"/>
    <w:rsid w:val="00903256"/>
    <w:rsid w:val="00906784"/>
    <w:rsid w:val="009435A8"/>
    <w:rsid w:val="0094469A"/>
    <w:rsid w:val="00947CCB"/>
    <w:rsid w:val="00951ED4"/>
    <w:rsid w:val="009521D9"/>
    <w:rsid w:val="00952D86"/>
    <w:rsid w:val="009534DB"/>
    <w:rsid w:val="009636E3"/>
    <w:rsid w:val="00965D62"/>
    <w:rsid w:val="0097692E"/>
    <w:rsid w:val="0098214F"/>
    <w:rsid w:val="00986663"/>
    <w:rsid w:val="00994607"/>
    <w:rsid w:val="009B4EDA"/>
    <w:rsid w:val="009B6408"/>
    <w:rsid w:val="009B6E6B"/>
    <w:rsid w:val="009C066A"/>
    <w:rsid w:val="009C1424"/>
    <w:rsid w:val="009E27E7"/>
    <w:rsid w:val="009E5155"/>
    <w:rsid w:val="009F5910"/>
    <w:rsid w:val="00A05338"/>
    <w:rsid w:val="00A249A1"/>
    <w:rsid w:val="00A31F02"/>
    <w:rsid w:val="00A36741"/>
    <w:rsid w:val="00A40867"/>
    <w:rsid w:val="00A46454"/>
    <w:rsid w:val="00A57F8B"/>
    <w:rsid w:val="00A6479A"/>
    <w:rsid w:val="00A66591"/>
    <w:rsid w:val="00A86EEF"/>
    <w:rsid w:val="00A875BD"/>
    <w:rsid w:val="00A96B81"/>
    <w:rsid w:val="00AA744C"/>
    <w:rsid w:val="00AC08FD"/>
    <w:rsid w:val="00AC0A28"/>
    <w:rsid w:val="00AD73A0"/>
    <w:rsid w:val="00AD7684"/>
    <w:rsid w:val="00AD7A28"/>
    <w:rsid w:val="00AE0F57"/>
    <w:rsid w:val="00AE114E"/>
    <w:rsid w:val="00AE61D7"/>
    <w:rsid w:val="00AE7C51"/>
    <w:rsid w:val="00AF061F"/>
    <w:rsid w:val="00AF3967"/>
    <w:rsid w:val="00B005B5"/>
    <w:rsid w:val="00B150C4"/>
    <w:rsid w:val="00B171EA"/>
    <w:rsid w:val="00B2362E"/>
    <w:rsid w:val="00B30F2A"/>
    <w:rsid w:val="00B3180F"/>
    <w:rsid w:val="00B34E69"/>
    <w:rsid w:val="00B46E16"/>
    <w:rsid w:val="00B60CB0"/>
    <w:rsid w:val="00B81697"/>
    <w:rsid w:val="00B81C43"/>
    <w:rsid w:val="00B81CD7"/>
    <w:rsid w:val="00B830D7"/>
    <w:rsid w:val="00B9544B"/>
    <w:rsid w:val="00B96D98"/>
    <w:rsid w:val="00BA1C47"/>
    <w:rsid w:val="00BA5005"/>
    <w:rsid w:val="00BB2C10"/>
    <w:rsid w:val="00BC5EF2"/>
    <w:rsid w:val="00BC6862"/>
    <w:rsid w:val="00BD04B6"/>
    <w:rsid w:val="00BD0AA2"/>
    <w:rsid w:val="00BE017D"/>
    <w:rsid w:val="00BE39F3"/>
    <w:rsid w:val="00BF721E"/>
    <w:rsid w:val="00C07EF3"/>
    <w:rsid w:val="00C2143B"/>
    <w:rsid w:val="00C27157"/>
    <w:rsid w:val="00C324D9"/>
    <w:rsid w:val="00C528E9"/>
    <w:rsid w:val="00C54993"/>
    <w:rsid w:val="00C63A1F"/>
    <w:rsid w:val="00C77B54"/>
    <w:rsid w:val="00C82A94"/>
    <w:rsid w:val="00C86428"/>
    <w:rsid w:val="00C93653"/>
    <w:rsid w:val="00C94B85"/>
    <w:rsid w:val="00C97243"/>
    <w:rsid w:val="00CA3450"/>
    <w:rsid w:val="00CB1CF8"/>
    <w:rsid w:val="00CB3D71"/>
    <w:rsid w:val="00CC1EA5"/>
    <w:rsid w:val="00CD0609"/>
    <w:rsid w:val="00CD3C12"/>
    <w:rsid w:val="00CD5574"/>
    <w:rsid w:val="00CE6F6A"/>
    <w:rsid w:val="00CF062F"/>
    <w:rsid w:val="00CF253D"/>
    <w:rsid w:val="00D04838"/>
    <w:rsid w:val="00D06DA0"/>
    <w:rsid w:val="00D07BE4"/>
    <w:rsid w:val="00D21A0C"/>
    <w:rsid w:val="00D229CE"/>
    <w:rsid w:val="00D22C3A"/>
    <w:rsid w:val="00D24535"/>
    <w:rsid w:val="00D26477"/>
    <w:rsid w:val="00D44E74"/>
    <w:rsid w:val="00D66EF9"/>
    <w:rsid w:val="00D80D78"/>
    <w:rsid w:val="00D86426"/>
    <w:rsid w:val="00DA5905"/>
    <w:rsid w:val="00DB20EF"/>
    <w:rsid w:val="00DB34DC"/>
    <w:rsid w:val="00DB4CBF"/>
    <w:rsid w:val="00DB6B9E"/>
    <w:rsid w:val="00DD4680"/>
    <w:rsid w:val="00DD782D"/>
    <w:rsid w:val="00DE3984"/>
    <w:rsid w:val="00DE7F30"/>
    <w:rsid w:val="00DF7985"/>
    <w:rsid w:val="00E11C63"/>
    <w:rsid w:val="00E15EFA"/>
    <w:rsid w:val="00E3004C"/>
    <w:rsid w:val="00E32637"/>
    <w:rsid w:val="00E33A13"/>
    <w:rsid w:val="00E34931"/>
    <w:rsid w:val="00E35816"/>
    <w:rsid w:val="00E37B97"/>
    <w:rsid w:val="00E436FC"/>
    <w:rsid w:val="00E5281D"/>
    <w:rsid w:val="00E703BD"/>
    <w:rsid w:val="00E70BBD"/>
    <w:rsid w:val="00E750E3"/>
    <w:rsid w:val="00E756C3"/>
    <w:rsid w:val="00E76B5D"/>
    <w:rsid w:val="00E81C7A"/>
    <w:rsid w:val="00E84E05"/>
    <w:rsid w:val="00E92AB5"/>
    <w:rsid w:val="00E95DBF"/>
    <w:rsid w:val="00E95F01"/>
    <w:rsid w:val="00EA3525"/>
    <w:rsid w:val="00EA3743"/>
    <w:rsid w:val="00EB630A"/>
    <w:rsid w:val="00EC593E"/>
    <w:rsid w:val="00EE1F26"/>
    <w:rsid w:val="00EF5A46"/>
    <w:rsid w:val="00F004D6"/>
    <w:rsid w:val="00F15340"/>
    <w:rsid w:val="00F20F8E"/>
    <w:rsid w:val="00F25410"/>
    <w:rsid w:val="00F328FD"/>
    <w:rsid w:val="00F570A6"/>
    <w:rsid w:val="00F66AB0"/>
    <w:rsid w:val="00F7760A"/>
    <w:rsid w:val="00F82B29"/>
    <w:rsid w:val="00F83C3B"/>
    <w:rsid w:val="00F84E5B"/>
    <w:rsid w:val="00F87DAF"/>
    <w:rsid w:val="00FA09B3"/>
    <w:rsid w:val="00FA7C4F"/>
    <w:rsid w:val="00FB00D8"/>
    <w:rsid w:val="00FB6562"/>
    <w:rsid w:val="00FC02BC"/>
    <w:rsid w:val="00FC17E1"/>
    <w:rsid w:val="00FD2AE6"/>
    <w:rsid w:val="00FE02C1"/>
    <w:rsid w:val="00FF3E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FF2"/>
    <w:rPr>
      <w:sz w:val="24"/>
      <w:szCs w:val="24"/>
      <w:lang w:val="en-GB" w:eastAsia="en-GB"/>
    </w:rPr>
  </w:style>
  <w:style w:type="paragraph" w:styleId="Heading1">
    <w:name w:val="heading 1"/>
    <w:basedOn w:val="Normal"/>
    <w:link w:val="Heading1Char"/>
    <w:uiPriority w:val="9"/>
    <w:qFormat/>
    <w:rsid w:val="00900E14"/>
    <w:pPr>
      <w:spacing w:before="100" w:beforeAutospacing="1" w:after="100" w:afterAutospacing="1"/>
      <w:outlineLvl w:val="0"/>
    </w:pPr>
    <w:rPr>
      <w:rFonts w:ascii="Arial" w:hAnsi="Arial"/>
      <w:bCs/>
      <w:kern w:val="36"/>
      <w:sz w:val="52"/>
      <w:szCs w:val="48"/>
      <w:lang w:val="en-NZ" w:eastAsia="en-NZ"/>
    </w:rPr>
  </w:style>
  <w:style w:type="paragraph" w:styleId="Heading2">
    <w:name w:val="heading 2"/>
    <w:basedOn w:val="Normal"/>
    <w:next w:val="Normal"/>
    <w:link w:val="Heading2Char"/>
    <w:semiHidden/>
    <w:unhideWhenUsed/>
    <w:qFormat/>
    <w:rsid w:val="00C214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00E14"/>
    <w:pPr>
      <w:spacing w:before="100" w:beforeAutospacing="1" w:after="100" w:afterAutospacing="1"/>
      <w:outlineLvl w:val="2"/>
    </w:pPr>
    <w:rPr>
      <w:rFonts w:ascii="Arial" w:hAnsi="Arial"/>
      <w:b/>
      <w:bCs/>
      <w:szCs w:val="27"/>
      <w:lang w:val="en-NZ" w:eastAsia="en-NZ"/>
    </w:rPr>
  </w:style>
  <w:style w:type="paragraph" w:styleId="Heading4">
    <w:name w:val="heading 4"/>
    <w:basedOn w:val="Normal"/>
    <w:link w:val="Heading4Char"/>
    <w:uiPriority w:val="9"/>
    <w:qFormat/>
    <w:rsid w:val="00242DE2"/>
    <w:pPr>
      <w:spacing w:before="100" w:beforeAutospacing="1" w:after="100" w:afterAutospacing="1"/>
      <w:outlineLvl w:val="3"/>
    </w:pPr>
    <w:rPr>
      <w:b/>
      <w:bCs/>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5E2C"/>
    <w:pPr>
      <w:tabs>
        <w:tab w:val="center" w:pos="4513"/>
        <w:tab w:val="right" w:pos="9026"/>
      </w:tabs>
    </w:pPr>
  </w:style>
  <w:style w:type="character" w:customStyle="1" w:styleId="HeaderChar">
    <w:name w:val="Header Char"/>
    <w:basedOn w:val="DefaultParagraphFont"/>
    <w:link w:val="Header"/>
    <w:uiPriority w:val="99"/>
    <w:rsid w:val="002C5E2C"/>
    <w:rPr>
      <w:sz w:val="24"/>
      <w:szCs w:val="24"/>
      <w:lang w:val="en-GB" w:eastAsia="en-GB"/>
    </w:rPr>
  </w:style>
  <w:style w:type="paragraph" w:styleId="Footer">
    <w:name w:val="footer"/>
    <w:basedOn w:val="Normal"/>
    <w:link w:val="FooterChar"/>
    <w:uiPriority w:val="99"/>
    <w:rsid w:val="002C5E2C"/>
    <w:pPr>
      <w:tabs>
        <w:tab w:val="center" w:pos="4513"/>
        <w:tab w:val="right" w:pos="9026"/>
      </w:tabs>
    </w:pPr>
  </w:style>
  <w:style w:type="character" w:customStyle="1" w:styleId="FooterChar">
    <w:name w:val="Footer Char"/>
    <w:basedOn w:val="DefaultParagraphFont"/>
    <w:link w:val="Footer"/>
    <w:uiPriority w:val="99"/>
    <w:rsid w:val="002C5E2C"/>
    <w:rPr>
      <w:sz w:val="24"/>
      <w:szCs w:val="24"/>
      <w:lang w:val="en-GB" w:eastAsia="en-GB"/>
    </w:rPr>
  </w:style>
  <w:style w:type="paragraph" w:styleId="ListParagraph">
    <w:name w:val="List Paragraph"/>
    <w:basedOn w:val="Normal"/>
    <w:uiPriority w:val="34"/>
    <w:qFormat/>
    <w:rsid w:val="00567F6C"/>
    <w:pPr>
      <w:ind w:left="720"/>
      <w:contextualSpacing/>
    </w:pPr>
  </w:style>
  <w:style w:type="character" w:styleId="Hyperlink">
    <w:name w:val="Hyperlink"/>
    <w:basedOn w:val="DefaultParagraphFont"/>
    <w:uiPriority w:val="99"/>
    <w:unhideWhenUsed/>
    <w:rsid w:val="00DE3984"/>
    <w:rPr>
      <w:color w:val="0000FF" w:themeColor="hyperlink"/>
      <w:u w:val="single"/>
    </w:rPr>
  </w:style>
  <w:style w:type="character" w:customStyle="1" w:styleId="st">
    <w:name w:val="st"/>
    <w:basedOn w:val="DefaultParagraphFont"/>
    <w:rsid w:val="007D1F02"/>
  </w:style>
  <w:style w:type="character" w:customStyle="1" w:styleId="Heading1Char">
    <w:name w:val="Heading 1 Char"/>
    <w:basedOn w:val="DefaultParagraphFont"/>
    <w:link w:val="Heading1"/>
    <w:uiPriority w:val="9"/>
    <w:rsid w:val="00900E14"/>
    <w:rPr>
      <w:rFonts w:ascii="Arial" w:hAnsi="Arial"/>
      <w:bCs/>
      <w:kern w:val="36"/>
      <w:sz w:val="52"/>
      <w:szCs w:val="48"/>
    </w:rPr>
  </w:style>
  <w:style w:type="character" w:customStyle="1" w:styleId="Heading3Char">
    <w:name w:val="Heading 3 Char"/>
    <w:basedOn w:val="DefaultParagraphFont"/>
    <w:link w:val="Heading3"/>
    <w:uiPriority w:val="9"/>
    <w:rsid w:val="00900E14"/>
    <w:rPr>
      <w:rFonts w:ascii="Arial" w:hAnsi="Arial"/>
      <w:b/>
      <w:bCs/>
      <w:sz w:val="24"/>
      <w:szCs w:val="27"/>
    </w:rPr>
  </w:style>
  <w:style w:type="character" w:customStyle="1" w:styleId="Heading4Char">
    <w:name w:val="Heading 4 Char"/>
    <w:basedOn w:val="DefaultParagraphFont"/>
    <w:link w:val="Heading4"/>
    <w:uiPriority w:val="9"/>
    <w:rsid w:val="00242DE2"/>
    <w:rPr>
      <w:b/>
      <w:bCs/>
      <w:sz w:val="24"/>
      <w:szCs w:val="24"/>
    </w:rPr>
  </w:style>
  <w:style w:type="paragraph" w:customStyle="1" w:styleId="updated">
    <w:name w:val="updated"/>
    <w:basedOn w:val="Normal"/>
    <w:rsid w:val="00242DE2"/>
    <w:pPr>
      <w:spacing w:before="100" w:beforeAutospacing="1" w:after="100" w:afterAutospacing="1"/>
    </w:pPr>
    <w:rPr>
      <w:lang w:val="en-NZ" w:eastAsia="en-NZ"/>
    </w:rPr>
  </w:style>
  <w:style w:type="paragraph" w:styleId="NormalWeb">
    <w:name w:val="Normal (Web)"/>
    <w:basedOn w:val="Normal"/>
    <w:uiPriority w:val="99"/>
    <w:unhideWhenUsed/>
    <w:rsid w:val="00242DE2"/>
    <w:pPr>
      <w:spacing w:before="100" w:beforeAutospacing="1" w:after="100" w:afterAutospacing="1"/>
    </w:pPr>
    <w:rPr>
      <w:lang w:val="en-NZ" w:eastAsia="en-NZ"/>
    </w:rPr>
  </w:style>
  <w:style w:type="character" w:customStyle="1" w:styleId="apple-converted-space">
    <w:name w:val="apple-converted-space"/>
    <w:basedOn w:val="DefaultParagraphFont"/>
    <w:rsid w:val="00242DE2"/>
  </w:style>
  <w:style w:type="character" w:styleId="Emphasis">
    <w:name w:val="Emphasis"/>
    <w:basedOn w:val="DefaultParagraphFont"/>
    <w:uiPriority w:val="20"/>
    <w:qFormat/>
    <w:rsid w:val="00B81697"/>
    <w:rPr>
      <w:i/>
      <w:iCs/>
    </w:rPr>
  </w:style>
  <w:style w:type="character" w:customStyle="1" w:styleId="Arial">
    <w:name w:val="Arial"/>
    <w:basedOn w:val="DefaultParagraphFont"/>
    <w:rsid w:val="000F1FF2"/>
    <w:rPr>
      <w:rFonts w:ascii="Arial" w:hAnsi="Arial"/>
      <w:b w:val="0"/>
      <w:sz w:val="24"/>
    </w:rPr>
  </w:style>
  <w:style w:type="character" w:customStyle="1" w:styleId="NormalBoldTeal">
    <w:name w:val="Normal Bold Teal"/>
    <w:rsid w:val="00FA7C4F"/>
    <w:rPr>
      <w:rFonts w:ascii="Arial" w:hAnsi="Arial"/>
      <w:b/>
      <w:bCs/>
      <w:color w:val="008080"/>
      <w:sz w:val="22"/>
    </w:rPr>
  </w:style>
  <w:style w:type="paragraph" w:customStyle="1" w:styleId="NoHeading1">
    <w:name w:val="No. Heading 1"/>
    <w:basedOn w:val="Normal"/>
    <w:next w:val="Normal"/>
    <w:rsid w:val="00FA7C4F"/>
    <w:pPr>
      <w:numPr>
        <w:ilvl w:val="2"/>
        <w:numId w:val="5"/>
      </w:numPr>
      <w:pBdr>
        <w:bottom w:val="single" w:sz="18" w:space="1" w:color="660066"/>
      </w:pBdr>
      <w:tabs>
        <w:tab w:val="left" w:pos="2268"/>
      </w:tabs>
      <w:spacing w:after="360"/>
      <w:outlineLvl w:val="0"/>
    </w:pPr>
    <w:rPr>
      <w:rFonts w:ascii="Arial" w:hAnsi="Arial" w:cs="Arial"/>
      <w:b/>
      <w:color w:val="008080"/>
      <w:sz w:val="36"/>
      <w:szCs w:val="19"/>
      <w:lang w:val="en-NZ" w:eastAsia="en-US"/>
    </w:rPr>
  </w:style>
  <w:style w:type="paragraph" w:customStyle="1" w:styleId="NoHeading2">
    <w:name w:val="No. Heading 2"/>
    <w:basedOn w:val="NoHeading1"/>
    <w:next w:val="Normal"/>
    <w:rsid w:val="00FA7C4F"/>
    <w:pPr>
      <w:numPr>
        <w:ilvl w:val="3"/>
      </w:numPr>
      <w:pBdr>
        <w:bottom w:val="none" w:sz="0" w:space="0" w:color="auto"/>
      </w:pBdr>
      <w:tabs>
        <w:tab w:val="clear" w:pos="2268"/>
        <w:tab w:val="left" w:pos="1134"/>
      </w:tabs>
      <w:spacing w:before="480" w:after="120"/>
      <w:outlineLvl w:val="1"/>
    </w:pPr>
    <w:rPr>
      <w:sz w:val="28"/>
      <w:szCs w:val="32"/>
    </w:rPr>
  </w:style>
  <w:style w:type="paragraph" w:customStyle="1" w:styleId="NoHeading3">
    <w:name w:val="No. Heading 3"/>
    <w:basedOn w:val="NoHeading1"/>
    <w:next w:val="Normal"/>
    <w:rsid w:val="00FA7C4F"/>
    <w:pPr>
      <w:keepNext/>
      <w:numPr>
        <w:ilvl w:val="4"/>
      </w:numPr>
      <w:pBdr>
        <w:bottom w:val="none" w:sz="0" w:space="0" w:color="auto"/>
      </w:pBdr>
      <w:tabs>
        <w:tab w:val="clear" w:pos="2268"/>
        <w:tab w:val="left" w:pos="1134"/>
      </w:tabs>
      <w:spacing w:before="480" w:after="120"/>
      <w:outlineLvl w:val="1"/>
    </w:pPr>
    <w:rPr>
      <w:sz w:val="24"/>
      <w:szCs w:val="32"/>
    </w:rPr>
  </w:style>
  <w:style w:type="character" w:customStyle="1" w:styleId="SummaryText">
    <w:name w:val="Summary Text"/>
    <w:rsid w:val="00FA7C4F"/>
    <w:rPr>
      <w:rFonts w:ascii="Arial" w:hAnsi="Arial"/>
      <w:i/>
      <w:iCs/>
      <w:sz w:val="20"/>
    </w:rPr>
  </w:style>
  <w:style w:type="paragraph" w:styleId="ListBullet">
    <w:name w:val="List Bullet"/>
    <w:basedOn w:val="Normal"/>
    <w:link w:val="ListBulletChar"/>
    <w:rsid w:val="00FA7C4F"/>
    <w:pPr>
      <w:numPr>
        <w:numId w:val="6"/>
      </w:numPr>
      <w:tabs>
        <w:tab w:val="left" w:pos="426"/>
      </w:tabs>
      <w:spacing w:before="180" w:after="180" w:line="260" w:lineRule="exact"/>
    </w:pPr>
    <w:rPr>
      <w:rFonts w:ascii="Arial" w:hAnsi="Arial"/>
      <w:sz w:val="21"/>
      <w:lang w:val="en-NZ" w:eastAsia="en-US"/>
    </w:rPr>
  </w:style>
  <w:style w:type="character" w:customStyle="1" w:styleId="ListBulletChar">
    <w:name w:val="List Bullet Char"/>
    <w:link w:val="ListBullet"/>
    <w:rsid w:val="00FA7C4F"/>
    <w:rPr>
      <w:rFonts w:ascii="Arial" w:hAnsi="Arial"/>
      <w:sz w:val="21"/>
      <w:szCs w:val="24"/>
      <w:lang w:eastAsia="en-US"/>
    </w:rPr>
  </w:style>
  <w:style w:type="paragraph" w:customStyle="1" w:styleId="CharChar3CharCharCharCharCharChar">
    <w:name w:val="Char Char3 Char Char Char Char Char Char"/>
    <w:basedOn w:val="Normal"/>
    <w:rsid w:val="00FA7C4F"/>
    <w:pPr>
      <w:spacing w:after="160" w:line="240" w:lineRule="exact"/>
    </w:pPr>
    <w:rPr>
      <w:rFonts w:ascii="Arial" w:hAnsi="Arial"/>
      <w:sz w:val="20"/>
      <w:szCs w:val="20"/>
      <w:lang w:val="en-US" w:eastAsia="en-US"/>
    </w:rPr>
  </w:style>
  <w:style w:type="paragraph" w:styleId="FootnoteText">
    <w:name w:val="footnote text"/>
    <w:basedOn w:val="Normal"/>
    <w:link w:val="FootnoteTextChar"/>
    <w:uiPriority w:val="99"/>
    <w:rsid w:val="00FA7C4F"/>
    <w:rPr>
      <w:rFonts w:ascii="Arial" w:hAnsi="Arial"/>
      <w:sz w:val="20"/>
      <w:szCs w:val="20"/>
      <w:lang w:val="en-NZ" w:eastAsia="en-US"/>
    </w:rPr>
  </w:style>
  <w:style w:type="character" w:customStyle="1" w:styleId="FootnoteTextChar">
    <w:name w:val="Footnote Text Char"/>
    <w:basedOn w:val="DefaultParagraphFont"/>
    <w:link w:val="FootnoteText"/>
    <w:uiPriority w:val="99"/>
    <w:rsid w:val="00FA7C4F"/>
    <w:rPr>
      <w:rFonts w:ascii="Arial" w:hAnsi="Arial"/>
      <w:lang w:eastAsia="en-US"/>
    </w:rPr>
  </w:style>
  <w:style w:type="character" w:styleId="FootnoteReference">
    <w:name w:val="footnote reference"/>
    <w:uiPriority w:val="99"/>
    <w:rsid w:val="00FA7C4F"/>
    <w:rPr>
      <w:vertAlign w:val="superscript"/>
    </w:rPr>
  </w:style>
  <w:style w:type="paragraph" w:customStyle="1" w:styleId="BodytextARGOM">
    <w:name w:val="Body text ARGOM"/>
    <w:basedOn w:val="Normal"/>
    <w:rsid w:val="00FA7C4F"/>
    <w:pPr>
      <w:jc w:val="both"/>
    </w:pPr>
    <w:rPr>
      <w:szCs w:val="20"/>
      <w:lang w:val="en-AU" w:eastAsia="en-AU"/>
    </w:rPr>
  </w:style>
  <w:style w:type="paragraph" w:styleId="BalloonText">
    <w:name w:val="Balloon Text"/>
    <w:basedOn w:val="Normal"/>
    <w:link w:val="BalloonTextChar"/>
    <w:rsid w:val="00903256"/>
    <w:rPr>
      <w:rFonts w:ascii="Tahoma" w:hAnsi="Tahoma" w:cs="Tahoma"/>
      <w:sz w:val="16"/>
      <w:szCs w:val="16"/>
    </w:rPr>
  </w:style>
  <w:style w:type="character" w:customStyle="1" w:styleId="BalloonTextChar">
    <w:name w:val="Balloon Text Char"/>
    <w:basedOn w:val="DefaultParagraphFont"/>
    <w:link w:val="BalloonText"/>
    <w:rsid w:val="00903256"/>
    <w:rPr>
      <w:rFonts w:ascii="Tahoma" w:hAnsi="Tahoma" w:cs="Tahoma"/>
      <w:sz w:val="16"/>
      <w:szCs w:val="16"/>
      <w:lang w:val="en-GB" w:eastAsia="en-GB"/>
    </w:rPr>
  </w:style>
  <w:style w:type="paragraph" w:styleId="TOCHeading">
    <w:name w:val="TOC Heading"/>
    <w:basedOn w:val="Heading1"/>
    <w:next w:val="Normal"/>
    <w:uiPriority w:val="39"/>
    <w:semiHidden/>
    <w:unhideWhenUsed/>
    <w:qFormat/>
    <w:rsid w:val="0090325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rsid w:val="00107361"/>
    <w:pPr>
      <w:tabs>
        <w:tab w:val="right" w:leader="dot" w:pos="8296"/>
      </w:tabs>
      <w:spacing w:after="100"/>
      <w:ind w:left="480"/>
    </w:pPr>
    <w:rPr>
      <w:rFonts w:ascii="Arial" w:hAnsi="Arial" w:cs="Arial"/>
      <w:noProof/>
    </w:rPr>
  </w:style>
  <w:style w:type="paragraph" w:styleId="TOC1">
    <w:name w:val="toc 1"/>
    <w:basedOn w:val="Normal"/>
    <w:next w:val="Normal"/>
    <w:autoRedefine/>
    <w:uiPriority w:val="39"/>
    <w:rsid w:val="00A46454"/>
    <w:pPr>
      <w:tabs>
        <w:tab w:val="right" w:leader="dot" w:pos="8296"/>
      </w:tabs>
      <w:spacing w:after="100"/>
    </w:pPr>
  </w:style>
  <w:style w:type="paragraph" w:styleId="TOC2">
    <w:name w:val="toc 2"/>
    <w:basedOn w:val="Normal"/>
    <w:next w:val="Normal"/>
    <w:autoRedefine/>
    <w:uiPriority w:val="39"/>
    <w:rsid w:val="00903256"/>
    <w:pPr>
      <w:spacing w:after="100"/>
      <w:ind w:left="240"/>
    </w:pPr>
  </w:style>
  <w:style w:type="paragraph" w:styleId="TOC4">
    <w:name w:val="toc 4"/>
    <w:basedOn w:val="Normal"/>
    <w:next w:val="Normal"/>
    <w:autoRedefine/>
    <w:uiPriority w:val="39"/>
    <w:unhideWhenUsed/>
    <w:rsid w:val="00903256"/>
    <w:pPr>
      <w:spacing w:after="100" w:line="276" w:lineRule="auto"/>
      <w:ind w:left="660"/>
    </w:pPr>
    <w:rPr>
      <w:rFonts w:asciiTheme="minorHAnsi" w:eastAsiaTheme="minorEastAsia" w:hAnsiTheme="minorHAnsi" w:cstheme="minorBidi"/>
      <w:sz w:val="22"/>
      <w:szCs w:val="22"/>
      <w:lang w:val="en-NZ" w:eastAsia="en-NZ"/>
    </w:rPr>
  </w:style>
  <w:style w:type="paragraph" w:styleId="TOC5">
    <w:name w:val="toc 5"/>
    <w:basedOn w:val="Normal"/>
    <w:next w:val="Normal"/>
    <w:autoRedefine/>
    <w:uiPriority w:val="39"/>
    <w:unhideWhenUsed/>
    <w:rsid w:val="00903256"/>
    <w:pPr>
      <w:spacing w:after="100" w:line="276" w:lineRule="auto"/>
      <w:ind w:left="880"/>
    </w:pPr>
    <w:rPr>
      <w:rFonts w:asciiTheme="minorHAnsi" w:eastAsiaTheme="minorEastAsia" w:hAnsiTheme="minorHAnsi" w:cstheme="minorBidi"/>
      <w:sz w:val="22"/>
      <w:szCs w:val="22"/>
      <w:lang w:val="en-NZ" w:eastAsia="en-NZ"/>
    </w:rPr>
  </w:style>
  <w:style w:type="paragraph" w:styleId="TOC6">
    <w:name w:val="toc 6"/>
    <w:basedOn w:val="Normal"/>
    <w:next w:val="Normal"/>
    <w:autoRedefine/>
    <w:uiPriority w:val="39"/>
    <w:unhideWhenUsed/>
    <w:rsid w:val="00903256"/>
    <w:pPr>
      <w:spacing w:after="100" w:line="276" w:lineRule="auto"/>
      <w:ind w:left="1100"/>
    </w:pPr>
    <w:rPr>
      <w:rFonts w:asciiTheme="minorHAnsi" w:eastAsiaTheme="minorEastAsia" w:hAnsiTheme="minorHAnsi" w:cstheme="minorBidi"/>
      <w:sz w:val="22"/>
      <w:szCs w:val="22"/>
      <w:lang w:val="en-NZ" w:eastAsia="en-NZ"/>
    </w:rPr>
  </w:style>
  <w:style w:type="paragraph" w:styleId="TOC7">
    <w:name w:val="toc 7"/>
    <w:basedOn w:val="Normal"/>
    <w:next w:val="Normal"/>
    <w:autoRedefine/>
    <w:uiPriority w:val="39"/>
    <w:unhideWhenUsed/>
    <w:rsid w:val="00903256"/>
    <w:pPr>
      <w:spacing w:after="100" w:line="276" w:lineRule="auto"/>
      <w:ind w:left="1320"/>
    </w:pPr>
    <w:rPr>
      <w:rFonts w:asciiTheme="minorHAnsi" w:eastAsiaTheme="minorEastAsia" w:hAnsiTheme="minorHAnsi" w:cstheme="minorBidi"/>
      <w:sz w:val="22"/>
      <w:szCs w:val="22"/>
      <w:lang w:val="en-NZ" w:eastAsia="en-NZ"/>
    </w:rPr>
  </w:style>
  <w:style w:type="paragraph" w:styleId="TOC8">
    <w:name w:val="toc 8"/>
    <w:basedOn w:val="Normal"/>
    <w:next w:val="Normal"/>
    <w:autoRedefine/>
    <w:uiPriority w:val="39"/>
    <w:unhideWhenUsed/>
    <w:rsid w:val="00903256"/>
    <w:pPr>
      <w:spacing w:after="100" w:line="276" w:lineRule="auto"/>
      <w:ind w:left="1540"/>
    </w:pPr>
    <w:rPr>
      <w:rFonts w:asciiTheme="minorHAnsi" w:eastAsiaTheme="minorEastAsia" w:hAnsiTheme="minorHAnsi" w:cstheme="minorBidi"/>
      <w:sz w:val="22"/>
      <w:szCs w:val="22"/>
      <w:lang w:val="en-NZ" w:eastAsia="en-NZ"/>
    </w:rPr>
  </w:style>
  <w:style w:type="paragraph" w:styleId="TOC9">
    <w:name w:val="toc 9"/>
    <w:basedOn w:val="Normal"/>
    <w:next w:val="Normal"/>
    <w:autoRedefine/>
    <w:uiPriority w:val="39"/>
    <w:unhideWhenUsed/>
    <w:rsid w:val="00903256"/>
    <w:pPr>
      <w:spacing w:after="100" w:line="276" w:lineRule="auto"/>
      <w:ind w:left="1760"/>
    </w:pPr>
    <w:rPr>
      <w:rFonts w:asciiTheme="minorHAnsi" w:eastAsiaTheme="minorEastAsia" w:hAnsiTheme="minorHAnsi" w:cstheme="minorBidi"/>
      <w:sz w:val="22"/>
      <w:szCs w:val="22"/>
      <w:lang w:val="en-NZ" w:eastAsia="en-NZ"/>
    </w:rPr>
  </w:style>
  <w:style w:type="character" w:styleId="CommentReference">
    <w:name w:val="annotation reference"/>
    <w:basedOn w:val="DefaultParagraphFont"/>
    <w:rsid w:val="002A3CC0"/>
    <w:rPr>
      <w:sz w:val="16"/>
      <w:szCs w:val="16"/>
    </w:rPr>
  </w:style>
  <w:style w:type="paragraph" w:styleId="CommentText">
    <w:name w:val="annotation text"/>
    <w:basedOn w:val="Normal"/>
    <w:link w:val="CommentTextChar"/>
    <w:rsid w:val="002A3CC0"/>
    <w:rPr>
      <w:sz w:val="20"/>
      <w:szCs w:val="20"/>
    </w:rPr>
  </w:style>
  <w:style w:type="character" w:customStyle="1" w:styleId="CommentTextChar">
    <w:name w:val="Comment Text Char"/>
    <w:basedOn w:val="DefaultParagraphFont"/>
    <w:link w:val="CommentText"/>
    <w:rsid w:val="002A3CC0"/>
    <w:rPr>
      <w:lang w:val="en-GB" w:eastAsia="en-GB"/>
    </w:rPr>
  </w:style>
  <w:style w:type="paragraph" w:styleId="CommentSubject">
    <w:name w:val="annotation subject"/>
    <w:basedOn w:val="CommentText"/>
    <w:next w:val="CommentText"/>
    <w:link w:val="CommentSubjectChar"/>
    <w:rsid w:val="002A3CC0"/>
    <w:rPr>
      <w:b/>
      <w:bCs/>
    </w:rPr>
  </w:style>
  <w:style w:type="character" w:customStyle="1" w:styleId="CommentSubjectChar">
    <w:name w:val="Comment Subject Char"/>
    <w:basedOn w:val="CommentTextChar"/>
    <w:link w:val="CommentSubject"/>
    <w:rsid w:val="002A3CC0"/>
    <w:rPr>
      <w:b/>
      <w:bCs/>
      <w:lang w:val="en-GB" w:eastAsia="en-GB"/>
    </w:rPr>
  </w:style>
  <w:style w:type="character" w:customStyle="1" w:styleId="label">
    <w:name w:val="label"/>
    <w:basedOn w:val="DefaultParagraphFont"/>
    <w:rsid w:val="00D22C3A"/>
  </w:style>
  <w:style w:type="character" w:customStyle="1" w:styleId="spc1">
    <w:name w:val="spc1"/>
    <w:basedOn w:val="DefaultParagraphFont"/>
    <w:rsid w:val="00D22C3A"/>
    <w:rPr>
      <w:strike w:val="0"/>
      <w:dstrike w:val="0"/>
      <w:u w:val="none"/>
      <w:effect w:val="none"/>
    </w:rPr>
  </w:style>
  <w:style w:type="paragraph" w:customStyle="1" w:styleId="labelled4">
    <w:name w:val="labelled4"/>
    <w:basedOn w:val="Normal"/>
    <w:rsid w:val="00D22C3A"/>
    <w:pPr>
      <w:spacing w:line="288" w:lineRule="atLeast"/>
      <w:ind w:right="240"/>
    </w:pPr>
    <w:rPr>
      <w:color w:val="000000"/>
      <w:lang w:val="en-NZ" w:eastAsia="en-NZ"/>
    </w:rPr>
  </w:style>
  <w:style w:type="paragraph" w:customStyle="1" w:styleId="cf2">
    <w:name w:val="cf2"/>
    <w:basedOn w:val="Normal"/>
    <w:rsid w:val="008C0773"/>
    <w:pPr>
      <w:spacing w:line="288" w:lineRule="atLeast"/>
    </w:pPr>
    <w:rPr>
      <w:color w:val="000000"/>
      <w:sz w:val="19"/>
      <w:szCs w:val="19"/>
      <w:lang w:val="en-NZ" w:eastAsia="en-NZ"/>
    </w:rPr>
  </w:style>
  <w:style w:type="paragraph" w:customStyle="1" w:styleId="Style1">
    <w:name w:val="Style1"/>
    <w:basedOn w:val="Heading1"/>
    <w:qFormat/>
    <w:rsid w:val="00900E14"/>
    <w:rPr>
      <w:sz w:val="36"/>
      <w:szCs w:val="36"/>
    </w:rPr>
  </w:style>
  <w:style w:type="paragraph" w:customStyle="1" w:styleId="Heading3subheading">
    <w:name w:val="Heading 3 + subheading"/>
    <w:basedOn w:val="Normal"/>
    <w:qFormat/>
    <w:rsid w:val="00900E14"/>
    <w:rPr>
      <w:rFonts w:ascii="Arial" w:hAnsi="Arial" w:cs="Arial"/>
      <w:b/>
    </w:rPr>
  </w:style>
  <w:style w:type="character" w:styleId="FollowedHyperlink">
    <w:name w:val="FollowedHyperlink"/>
    <w:basedOn w:val="DefaultParagraphFont"/>
    <w:rsid w:val="00E92AB5"/>
    <w:rPr>
      <w:color w:val="800080" w:themeColor="followedHyperlink"/>
      <w:u w:val="single"/>
    </w:rPr>
  </w:style>
  <w:style w:type="paragraph" w:customStyle="1" w:styleId="TOCI3">
    <w:name w:val="TOCI+3"/>
    <w:basedOn w:val="Normal"/>
    <w:uiPriority w:val="99"/>
    <w:rsid w:val="000F1FF2"/>
    <w:pPr>
      <w:autoSpaceDE w:val="0"/>
      <w:autoSpaceDN w:val="0"/>
      <w:adjustRightInd w:val="0"/>
    </w:pPr>
    <w:rPr>
      <w:rFonts w:ascii="Arial" w:hAnsi="Arial" w:cs="Arial"/>
      <w:lang w:val="en-NZ" w:eastAsia="en-NZ"/>
    </w:rPr>
  </w:style>
  <w:style w:type="paragraph" w:customStyle="1" w:styleId="CharChar3CharCharCharChar">
    <w:name w:val="Char Char3 Char Char Char Char"/>
    <w:basedOn w:val="Normal"/>
    <w:rsid w:val="00A875BD"/>
    <w:pPr>
      <w:spacing w:after="160" w:line="240" w:lineRule="exact"/>
    </w:pPr>
    <w:rPr>
      <w:rFonts w:ascii="Arial" w:hAnsi="Arial"/>
      <w:sz w:val="20"/>
      <w:szCs w:val="20"/>
      <w:lang w:val="en-US" w:eastAsia="en-US"/>
    </w:rPr>
  </w:style>
  <w:style w:type="paragraph" w:customStyle="1" w:styleId="CharChar3CharCharCharChar0">
    <w:name w:val="Char Char3 Char Char Char Char"/>
    <w:basedOn w:val="Normal"/>
    <w:rsid w:val="006F6DA3"/>
    <w:pPr>
      <w:spacing w:after="160" w:line="240" w:lineRule="exact"/>
    </w:pPr>
    <w:rPr>
      <w:rFonts w:ascii="Arial" w:hAnsi="Arial"/>
      <w:sz w:val="20"/>
      <w:szCs w:val="20"/>
      <w:lang w:val="en-US" w:eastAsia="en-US"/>
    </w:rPr>
  </w:style>
  <w:style w:type="paragraph" w:customStyle="1" w:styleId="Partheading">
    <w:name w:val="Part heading"/>
    <w:basedOn w:val="Heading1"/>
    <w:qFormat/>
    <w:rsid w:val="00831328"/>
    <w:rPr>
      <w:b/>
    </w:rPr>
  </w:style>
  <w:style w:type="paragraph" w:customStyle="1" w:styleId="Subheadingitalics">
    <w:name w:val="Subheading italics"/>
    <w:basedOn w:val="Normal"/>
    <w:qFormat/>
    <w:rsid w:val="00831328"/>
    <w:rPr>
      <w:rFonts w:ascii="Arial" w:hAnsi="Arial" w:cs="Arial"/>
      <w:i/>
    </w:rPr>
  </w:style>
  <w:style w:type="character" w:customStyle="1" w:styleId="Arial12ptBold">
    <w:name w:val="Arial 12 pt Bold"/>
    <w:basedOn w:val="DefaultParagraphFont"/>
    <w:rsid w:val="000F1FF2"/>
    <w:rPr>
      <w:rFonts w:ascii="Arial" w:hAnsi="Arial"/>
      <w:b/>
      <w:bCs/>
      <w:sz w:val="24"/>
    </w:rPr>
  </w:style>
  <w:style w:type="paragraph" w:customStyle="1" w:styleId="Default">
    <w:name w:val="Default"/>
    <w:rsid w:val="004B0CB2"/>
    <w:pPr>
      <w:autoSpaceDE w:val="0"/>
      <w:autoSpaceDN w:val="0"/>
      <w:adjustRightInd w:val="0"/>
    </w:pPr>
    <w:rPr>
      <w:rFonts w:ascii="Arial" w:hAnsi="Arial" w:cs="Arial"/>
      <w:color w:val="000000"/>
      <w:sz w:val="24"/>
      <w:szCs w:val="24"/>
    </w:rPr>
  </w:style>
  <w:style w:type="character" w:customStyle="1" w:styleId="StyleArialUnderline">
    <w:name w:val="Style Arial Underline"/>
    <w:basedOn w:val="Arial"/>
    <w:rsid w:val="004B0CB2"/>
    <w:rPr>
      <w:rFonts w:ascii="Arial" w:hAnsi="Arial"/>
      <w:b w:val="0"/>
      <w:color w:val="000000"/>
      <w:sz w:val="24"/>
      <w:u w:val="single"/>
    </w:rPr>
  </w:style>
  <w:style w:type="paragraph" w:customStyle="1" w:styleId="Normal3">
    <w:name w:val="Normal+3"/>
    <w:basedOn w:val="Default"/>
    <w:next w:val="Default"/>
    <w:uiPriority w:val="99"/>
    <w:rsid w:val="00082B60"/>
    <w:rPr>
      <w:color w:val="auto"/>
    </w:rPr>
  </w:style>
  <w:style w:type="character" w:styleId="Strong">
    <w:name w:val="Strong"/>
    <w:basedOn w:val="DefaultParagraphFont"/>
    <w:uiPriority w:val="22"/>
    <w:qFormat/>
    <w:rsid w:val="00BB2C10"/>
    <w:rPr>
      <w:b/>
      <w:bCs/>
    </w:rPr>
  </w:style>
  <w:style w:type="table" w:styleId="TableGrid">
    <w:name w:val="Table Grid"/>
    <w:basedOn w:val="TableNormal"/>
    <w:rsid w:val="00A46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italic">
    <w:name w:val="Style Heading 3 + italic"/>
    <w:basedOn w:val="Heading3"/>
    <w:rsid w:val="00A46454"/>
    <w:rPr>
      <w:b w:val="0"/>
      <w:i/>
      <w:iCs/>
    </w:rPr>
  </w:style>
  <w:style w:type="paragraph" w:customStyle="1" w:styleId="CharChar3CharCharCharChar1">
    <w:name w:val="Char Char3 Char Char Char Char"/>
    <w:basedOn w:val="Normal"/>
    <w:rsid w:val="000C47AF"/>
    <w:pPr>
      <w:spacing w:after="160" w:line="240" w:lineRule="exact"/>
    </w:pPr>
    <w:rPr>
      <w:rFonts w:ascii="Arial" w:hAnsi="Arial"/>
      <w:sz w:val="20"/>
      <w:szCs w:val="20"/>
      <w:lang w:val="en-US" w:eastAsia="en-US"/>
    </w:rPr>
  </w:style>
  <w:style w:type="paragraph" w:styleId="Title">
    <w:name w:val="Title"/>
    <w:basedOn w:val="Normal"/>
    <w:next w:val="Normal"/>
    <w:link w:val="TitleChar"/>
    <w:qFormat/>
    <w:rsid w:val="001D1066"/>
    <w:pPr>
      <w:spacing w:line="264" w:lineRule="auto"/>
      <w:ind w:right="1701"/>
    </w:pPr>
    <w:rPr>
      <w:rFonts w:ascii="Georgia" w:hAnsi="Georgia"/>
      <w:b/>
      <w:sz w:val="80"/>
      <w:szCs w:val="20"/>
      <w:lang w:val="en-NZ"/>
    </w:rPr>
  </w:style>
  <w:style w:type="character" w:customStyle="1" w:styleId="TitleChar">
    <w:name w:val="Title Char"/>
    <w:basedOn w:val="DefaultParagraphFont"/>
    <w:link w:val="Title"/>
    <w:rsid w:val="001D1066"/>
    <w:rPr>
      <w:rFonts w:ascii="Georgia" w:hAnsi="Georgia"/>
      <w:b/>
      <w:sz w:val="80"/>
      <w:lang w:eastAsia="en-GB"/>
    </w:rPr>
  </w:style>
  <w:style w:type="paragraph" w:customStyle="1" w:styleId="Subhead">
    <w:name w:val="Subhead"/>
    <w:basedOn w:val="Normal"/>
    <w:next w:val="Normal"/>
    <w:qFormat/>
    <w:rsid w:val="001D1066"/>
    <w:pPr>
      <w:spacing w:before="180" w:line="264" w:lineRule="auto"/>
      <w:ind w:right="1701"/>
    </w:pPr>
    <w:rPr>
      <w:rFonts w:ascii="Georgia" w:hAnsi="Georgia"/>
      <w:sz w:val="48"/>
      <w:szCs w:val="20"/>
      <w:lang w:val="en-NZ"/>
    </w:rPr>
  </w:style>
  <w:style w:type="paragraph" w:customStyle="1" w:styleId="Year">
    <w:name w:val="Year"/>
    <w:basedOn w:val="Subhead"/>
    <w:next w:val="Subhead"/>
    <w:qFormat/>
    <w:rsid w:val="001D1066"/>
    <w:pPr>
      <w:pBdr>
        <w:bottom w:val="single" w:sz="48" w:space="6" w:color="auto"/>
      </w:pBdr>
    </w:pPr>
    <w:rPr>
      <w:sz w:val="56"/>
    </w:rPr>
  </w:style>
  <w:style w:type="character" w:customStyle="1" w:styleId="Heading2Char">
    <w:name w:val="Heading 2 Char"/>
    <w:basedOn w:val="DefaultParagraphFont"/>
    <w:link w:val="Heading2"/>
    <w:semiHidden/>
    <w:rsid w:val="00C2143B"/>
    <w:rPr>
      <w:rFonts w:asciiTheme="majorHAnsi" w:eastAsiaTheme="majorEastAsia" w:hAnsiTheme="majorHAnsi" w:cstheme="majorBidi"/>
      <w:b/>
      <w:bCs/>
      <w:color w:val="4F81BD" w:themeColor="accent1"/>
      <w:sz w:val="26"/>
      <w:szCs w:val="2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FF2"/>
    <w:rPr>
      <w:sz w:val="24"/>
      <w:szCs w:val="24"/>
      <w:lang w:val="en-GB" w:eastAsia="en-GB"/>
    </w:rPr>
  </w:style>
  <w:style w:type="paragraph" w:styleId="Heading1">
    <w:name w:val="heading 1"/>
    <w:basedOn w:val="Normal"/>
    <w:link w:val="Heading1Char"/>
    <w:uiPriority w:val="9"/>
    <w:qFormat/>
    <w:rsid w:val="00900E14"/>
    <w:pPr>
      <w:spacing w:before="100" w:beforeAutospacing="1" w:after="100" w:afterAutospacing="1"/>
      <w:outlineLvl w:val="0"/>
    </w:pPr>
    <w:rPr>
      <w:rFonts w:ascii="Arial" w:hAnsi="Arial"/>
      <w:bCs/>
      <w:kern w:val="36"/>
      <w:sz w:val="52"/>
      <w:szCs w:val="48"/>
      <w:lang w:val="en-NZ" w:eastAsia="en-NZ"/>
    </w:rPr>
  </w:style>
  <w:style w:type="paragraph" w:styleId="Heading2">
    <w:name w:val="heading 2"/>
    <w:basedOn w:val="Normal"/>
    <w:next w:val="Normal"/>
    <w:link w:val="Heading2Char"/>
    <w:semiHidden/>
    <w:unhideWhenUsed/>
    <w:qFormat/>
    <w:rsid w:val="00C214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00E14"/>
    <w:pPr>
      <w:spacing w:before="100" w:beforeAutospacing="1" w:after="100" w:afterAutospacing="1"/>
      <w:outlineLvl w:val="2"/>
    </w:pPr>
    <w:rPr>
      <w:rFonts w:ascii="Arial" w:hAnsi="Arial"/>
      <w:b/>
      <w:bCs/>
      <w:szCs w:val="27"/>
      <w:lang w:val="en-NZ" w:eastAsia="en-NZ"/>
    </w:rPr>
  </w:style>
  <w:style w:type="paragraph" w:styleId="Heading4">
    <w:name w:val="heading 4"/>
    <w:basedOn w:val="Normal"/>
    <w:link w:val="Heading4Char"/>
    <w:uiPriority w:val="9"/>
    <w:qFormat/>
    <w:rsid w:val="00242DE2"/>
    <w:pPr>
      <w:spacing w:before="100" w:beforeAutospacing="1" w:after="100" w:afterAutospacing="1"/>
      <w:outlineLvl w:val="3"/>
    </w:pPr>
    <w:rPr>
      <w:b/>
      <w:bCs/>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5E2C"/>
    <w:pPr>
      <w:tabs>
        <w:tab w:val="center" w:pos="4513"/>
        <w:tab w:val="right" w:pos="9026"/>
      </w:tabs>
    </w:pPr>
  </w:style>
  <w:style w:type="character" w:customStyle="1" w:styleId="HeaderChar">
    <w:name w:val="Header Char"/>
    <w:basedOn w:val="DefaultParagraphFont"/>
    <w:link w:val="Header"/>
    <w:uiPriority w:val="99"/>
    <w:rsid w:val="002C5E2C"/>
    <w:rPr>
      <w:sz w:val="24"/>
      <w:szCs w:val="24"/>
      <w:lang w:val="en-GB" w:eastAsia="en-GB"/>
    </w:rPr>
  </w:style>
  <w:style w:type="paragraph" w:styleId="Footer">
    <w:name w:val="footer"/>
    <w:basedOn w:val="Normal"/>
    <w:link w:val="FooterChar"/>
    <w:uiPriority w:val="99"/>
    <w:rsid w:val="002C5E2C"/>
    <w:pPr>
      <w:tabs>
        <w:tab w:val="center" w:pos="4513"/>
        <w:tab w:val="right" w:pos="9026"/>
      </w:tabs>
    </w:pPr>
  </w:style>
  <w:style w:type="character" w:customStyle="1" w:styleId="FooterChar">
    <w:name w:val="Footer Char"/>
    <w:basedOn w:val="DefaultParagraphFont"/>
    <w:link w:val="Footer"/>
    <w:uiPriority w:val="99"/>
    <w:rsid w:val="002C5E2C"/>
    <w:rPr>
      <w:sz w:val="24"/>
      <w:szCs w:val="24"/>
      <w:lang w:val="en-GB" w:eastAsia="en-GB"/>
    </w:rPr>
  </w:style>
  <w:style w:type="paragraph" w:styleId="ListParagraph">
    <w:name w:val="List Paragraph"/>
    <w:basedOn w:val="Normal"/>
    <w:uiPriority w:val="34"/>
    <w:qFormat/>
    <w:rsid w:val="00567F6C"/>
    <w:pPr>
      <w:ind w:left="720"/>
      <w:contextualSpacing/>
    </w:pPr>
  </w:style>
  <w:style w:type="character" w:styleId="Hyperlink">
    <w:name w:val="Hyperlink"/>
    <w:basedOn w:val="DefaultParagraphFont"/>
    <w:uiPriority w:val="99"/>
    <w:unhideWhenUsed/>
    <w:rsid w:val="00DE3984"/>
    <w:rPr>
      <w:color w:val="0000FF" w:themeColor="hyperlink"/>
      <w:u w:val="single"/>
    </w:rPr>
  </w:style>
  <w:style w:type="character" w:customStyle="1" w:styleId="st">
    <w:name w:val="st"/>
    <w:basedOn w:val="DefaultParagraphFont"/>
    <w:rsid w:val="007D1F02"/>
  </w:style>
  <w:style w:type="character" w:customStyle="1" w:styleId="Heading1Char">
    <w:name w:val="Heading 1 Char"/>
    <w:basedOn w:val="DefaultParagraphFont"/>
    <w:link w:val="Heading1"/>
    <w:uiPriority w:val="9"/>
    <w:rsid w:val="00900E14"/>
    <w:rPr>
      <w:rFonts w:ascii="Arial" w:hAnsi="Arial"/>
      <w:bCs/>
      <w:kern w:val="36"/>
      <w:sz w:val="52"/>
      <w:szCs w:val="48"/>
    </w:rPr>
  </w:style>
  <w:style w:type="character" w:customStyle="1" w:styleId="Heading3Char">
    <w:name w:val="Heading 3 Char"/>
    <w:basedOn w:val="DefaultParagraphFont"/>
    <w:link w:val="Heading3"/>
    <w:uiPriority w:val="9"/>
    <w:rsid w:val="00900E14"/>
    <w:rPr>
      <w:rFonts w:ascii="Arial" w:hAnsi="Arial"/>
      <w:b/>
      <w:bCs/>
      <w:sz w:val="24"/>
      <w:szCs w:val="27"/>
    </w:rPr>
  </w:style>
  <w:style w:type="character" w:customStyle="1" w:styleId="Heading4Char">
    <w:name w:val="Heading 4 Char"/>
    <w:basedOn w:val="DefaultParagraphFont"/>
    <w:link w:val="Heading4"/>
    <w:uiPriority w:val="9"/>
    <w:rsid w:val="00242DE2"/>
    <w:rPr>
      <w:b/>
      <w:bCs/>
      <w:sz w:val="24"/>
      <w:szCs w:val="24"/>
    </w:rPr>
  </w:style>
  <w:style w:type="paragraph" w:customStyle="1" w:styleId="updated">
    <w:name w:val="updated"/>
    <w:basedOn w:val="Normal"/>
    <w:rsid w:val="00242DE2"/>
    <w:pPr>
      <w:spacing w:before="100" w:beforeAutospacing="1" w:after="100" w:afterAutospacing="1"/>
    </w:pPr>
    <w:rPr>
      <w:lang w:val="en-NZ" w:eastAsia="en-NZ"/>
    </w:rPr>
  </w:style>
  <w:style w:type="paragraph" w:styleId="NormalWeb">
    <w:name w:val="Normal (Web)"/>
    <w:basedOn w:val="Normal"/>
    <w:uiPriority w:val="99"/>
    <w:unhideWhenUsed/>
    <w:rsid w:val="00242DE2"/>
    <w:pPr>
      <w:spacing w:before="100" w:beforeAutospacing="1" w:after="100" w:afterAutospacing="1"/>
    </w:pPr>
    <w:rPr>
      <w:lang w:val="en-NZ" w:eastAsia="en-NZ"/>
    </w:rPr>
  </w:style>
  <w:style w:type="character" w:customStyle="1" w:styleId="apple-converted-space">
    <w:name w:val="apple-converted-space"/>
    <w:basedOn w:val="DefaultParagraphFont"/>
    <w:rsid w:val="00242DE2"/>
  </w:style>
  <w:style w:type="character" w:styleId="Emphasis">
    <w:name w:val="Emphasis"/>
    <w:basedOn w:val="DefaultParagraphFont"/>
    <w:uiPriority w:val="20"/>
    <w:qFormat/>
    <w:rsid w:val="00B81697"/>
    <w:rPr>
      <w:i/>
      <w:iCs/>
    </w:rPr>
  </w:style>
  <w:style w:type="character" w:customStyle="1" w:styleId="Arial">
    <w:name w:val="Arial"/>
    <w:basedOn w:val="DefaultParagraphFont"/>
    <w:rsid w:val="000F1FF2"/>
    <w:rPr>
      <w:rFonts w:ascii="Arial" w:hAnsi="Arial"/>
      <w:b w:val="0"/>
      <w:sz w:val="24"/>
    </w:rPr>
  </w:style>
  <w:style w:type="character" w:customStyle="1" w:styleId="NormalBoldTeal">
    <w:name w:val="Normal Bold Teal"/>
    <w:rsid w:val="00FA7C4F"/>
    <w:rPr>
      <w:rFonts w:ascii="Arial" w:hAnsi="Arial"/>
      <w:b/>
      <w:bCs/>
      <w:color w:val="008080"/>
      <w:sz w:val="22"/>
    </w:rPr>
  </w:style>
  <w:style w:type="paragraph" w:customStyle="1" w:styleId="NoHeading1">
    <w:name w:val="No. Heading 1"/>
    <w:basedOn w:val="Normal"/>
    <w:next w:val="Normal"/>
    <w:rsid w:val="00FA7C4F"/>
    <w:pPr>
      <w:numPr>
        <w:ilvl w:val="2"/>
        <w:numId w:val="5"/>
      </w:numPr>
      <w:pBdr>
        <w:bottom w:val="single" w:sz="18" w:space="1" w:color="660066"/>
      </w:pBdr>
      <w:tabs>
        <w:tab w:val="left" w:pos="2268"/>
      </w:tabs>
      <w:spacing w:after="360"/>
      <w:outlineLvl w:val="0"/>
    </w:pPr>
    <w:rPr>
      <w:rFonts w:ascii="Arial" w:hAnsi="Arial" w:cs="Arial"/>
      <w:b/>
      <w:color w:val="008080"/>
      <w:sz w:val="36"/>
      <w:szCs w:val="19"/>
      <w:lang w:val="en-NZ" w:eastAsia="en-US"/>
    </w:rPr>
  </w:style>
  <w:style w:type="paragraph" w:customStyle="1" w:styleId="NoHeading2">
    <w:name w:val="No. Heading 2"/>
    <w:basedOn w:val="NoHeading1"/>
    <w:next w:val="Normal"/>
    <w:rsid w:val="00FA7C4F"/>
    <w:pPr>
      <w:numPr>
        <w:ilvl w:val="3"/>
      </w:numPr>
      <w:pBdr>
        <w:bottom w:val="none" w:sz="0" w:space="0" w:color="auto"/>
      </w:pBdr>
      <w:tabs>
        <w:tab w:val="clear" w:pos="2268"/>
        <w:tab w:val="left" w:pos="1134"/>
      </w:tabs>
      <w:spacing w:before="480" w:after="120"/>
      <w:outlineLvl w:val="1"/>
    </w:pPr>
    <w:rPr>
      <w:sz w:val="28"/>
      <w:szCs w:val="32"/>
    </w:rPr>
  </w:style>
  <w:style w:type="paragraph" w:customStyle="1" w:styleId="NoHeading3">
    <w:name w:val="No. Heading 3"/>
    <w:basedOn w:val="NoHeading1"/>
    <w:next w:val="Normal"/>
    <w:rsid w:val="00FA7C4F"/>
    <w:pPr>
      <w:keepNext/>
      <w:numPr>
        <w:ilvl w:val="4"/>
      </w:numPr>
      <w:pBdr>
        <w:bottom w:val="none" w:sz="0" w:space="0" w:color="auto"/>
      </w:pBdr>
      <w:tabs>
        <w:tab w:val="clear" w:pos="2268"/>
        <w:tab w:val="left" w:pos="1134"/>
      </w:tabs>
      <w:spacing w:before="480" w:after="120"/>
      <w:outlineLvl w:val="1"/>
    </w:pPr>
    <w:rPr>
      <w:sz w:val="24"/>
      <w:szCs w:val="32"/>
    </w:rPr>
  </w:style>
  <w:style w:type="character" w:customStyle="1" w:styleId="SummaryText">
    <w:name w:val="Summary Text"/>
    <w:rsid w:val="00FA7C4F"/>
    <w:rPr>
      <w:rFonts w:ascii="Arial" w:hAnsi="Arial"/>
      <w:i/>
      <w:iCs/>
      <w:sz w:val="20"/>
    </w:rPr>
  </w:style>
  <w:style w:type="paragraph" w:styleId="ListBullet">
    <w:name w:val="List Bullet"/>
    <w:basedOn w:val="Normal"/>
    <w:link w:val="ListBulletChar"/>
    <w:rsid w:val="00FA7C4F"/>
    <w:pPr>
      <w:numPr>
        <w:numId w:val="6"/>
      </w:numPr>
      <w:tabs>
        <w:tab w:val="left" w:pos="426"/>
      </w:tabs>
      <w:spacing w:before="180" w:after="180" w:line="260" w:lineRule="exact"/>
    </w:pPr>
    <w:rPr>
      <w:rFonts w:ascii="Arial" w:hAnsi="Arial"/>
      <w:sz w:val="21"/>
      <w:lang w:val="en-NZ" w:eastAsia="en-US"/>
    </w:rPr>
  </w:style>
  <w:style w:type="character" w:customStyle="1" w:styleId="ListBulletChar">
    <w:name w:val="List Bullet Char"/>
    <w:link w:val="ListBullet"/>
    <w:rsid w:val="00FA7C4F"/>
    <w:rPr>
      <w:rFonts w:ascii="Arial" w:hAnsi="Arial"/>
      <w:sz w:val="21"/>
      <w:szCs w:val="24"/>
      <w:lang w:eastAsia="en-US"/>
    </w:rPr>
  </w:style>
  <w:style w:type="paragraph" w:customStyle="1" w:styleId="CharChar3CharCharCharCharCharChar">
    <w:name w:val="Char Char3 Char Char Char Char Char Char"/>
    <w:basedOn w:val="Normal"/>
    <w:rsid w:val="00FA7C4F"/>
    <w:pPr>
      <w:spacing w:after="160" w:line="240" w:lineRule="exact"/>
    </w:pPr>
    <w:rPr>
      <w:rFonts w:ascii="Arial" w:hAnsi="Arial"/>
      <w:sz w:val="20"/>
      <w:szCs w:val="20"/>
      <w:lang w:val="en-US" w:eastAsia="en-US"/>
    </w:rPr>
  </w:style>
  <w:style w:type="paragraph" w:styleId="FootnoteText">
    <w:name w:val="footnote text"/>
    <w:basedOn w:val="Normal"/>
    <w:link w:val="FootnoteTextChar"/>
    <w:uiPriority w:val="99"/>
    <w:rsid w:val="00FA7C4F"/>
    <w:rPr>
      <w:rFonts w:ascii="Arial" w:hAnsi="Arial"/>
      <w:sz w:val="20"/>
      <w:szCs w:val="20"/>
      <w:lang w:val="en-NZ" w:eastAsia="en-US"/>
    </w:rPr>
  </w:style>
  <w:style w:type="character" w:customStyle="1" w:styleId="FootnoteTextChar">
    <w:name w:val="Footnote Text Char"/>
    <w:basedOn w:val="DefaultParagraphFont"/>
    <w:link w:val="FootnoteText"/>
    <w:uiPriority w:val="99"/>
    <w:rsid w:val="00FA7C4F"/>
    <w:rPr>
      <w:rFonts w:ascii="Arial" w:hAnsi="Arial"/>
      <w:lang w:eastAsia="en-US"/>
    </w:rPr>
  </w:style>
  <w:style w:type="character" w:styleId="FootnoteReference">
    <w:name w:val="footnote reference"/>
    <w:uiPriority w:val="99"/>
    <w:rsid w:val="00FA7C4F"/>
    <w:rPr>
      <w:vertAlign w:val="superscript"/>
    </w:rPr>
  </w:style>
  <w:style w:type="paragraph" w:customStyle="1" w:styleId="BodytextARGOM">
    <w:name w:val="Body text ARGOM"/>
    <w:basedOn w:val="Normal"/>
    <w:rsid w:val="00FA7C4F"/>
    <w:pPr>
      <w:jc w:val="both"/>
    </w:pPr>
    <w:rPr>
      <w:szCs w:val="20"/>
      <w:lang w:val="en-AU" w:eastAsia="en-AU"/>
    </w:rPr>
  </w:style>
  <w:style w:type="paragraph" w:styleId="BalloonText">
    <w:name w:val="Balloon Text"/>
    <w:basedOn w:val="Normal"/>
    <w:link w:val="BalloonTextChar"/>
    <w:rsid w:val="00903256"/>
    <w:rPr>
      <w:rFonts w:ascii="Tahoma" w:hAnsi="Tahoma" w:cs="Tahoma"/>
      <w:sz w:val="16"/>
      <w:szCs w:val="16"/>
    </w:rPr>
  </w:style>
  <w:style w:type="character" w:customStyle="1" w:styleId="BalloonTextChar">
    <w:name w:val="Balloon Text Char"/>
    <w:basedOn w:val="DefaultParagraphFont"/>
    <w:link w:val="BalloonText"/>
    <w:rsid w:val="00903256"/>
    <w:rPr>
      <w:rFonts w:ascii="Tahoma" w:hAnsi="Tahoma" w:cs="Tahoma"/>
      <w:sz w:val="16"/>
      <w:szCs w:val="16"/>
      <w:lang w:val="en-GB" w:eastAsia="en-GB"/>
    </w:rPr>
  </w:style>
  <w:style w:type="paragraph" w:styleId="TOCHeading">
    <w:name w:val="TOC Heading"/>
    <w:basedOn w:val="Heading1"/>
    <w:next w:val="Normal"/>
    <w:uiPriority w:val="39"/>
    <w:semiHidden/>
    <w:unhideWhenUsed/>
    <w:qFormat/>
    <w:rsid w:val="0090325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rsid w:val="00107361"/>
    <w:pPr>
      <w:tabs>
        <w:tab w:val="right" w:leader="dot" w:pos="8296"/>
      </w:tabs>
      <w:spacing w:after="100"/>
      <w:ind w:left="480"/>
    </w:pPr>
    <w:rPr>
      <w:rFonts w:ascii="Arial" w:hAnsi="Arial" w:cs="Arial"/>
      <w:noProof/>
    </w:rPr>
  </w:style>
  <w:style w:type="paragraph" w:styleId="TOC1">
    <w:name w:val="toc 1"/>
    <w:basedOn w:val="Normal"/>
    <w:next w:val="Normal"/>
    <w:autoRedefine/>
    <w:uiPriority w:val="39"/>
    <w:rsid w:val="00A46454"/>
    <w:pPr>
      <w:tabs>
        <w:tab w:val="right" w:leader="dot" w:pos="8296"/>
      </w:tabs>
      <w:spacing w:after="100"/>
    </w:pPr>
  </w:style>
  <w:style w:type="paragraph" w:styleId="TOC2">
    <w:name w:val="toc 2"/>
    <w:basedOn w:val="Normal"/>
    <w:next w:val="Normal"/>
    <w:autoRedefine/>
    <w:uiPriority w:val="39"/>
    <w:rsid w:val="00903256"/>
    <w:pPr>
      <w:spacing w:after="100"/>
      <w:ind w:left="240"/>
    </w:pPr>
  </w:style>
  <w:style w:type="paragraph" w:styleId="TOC4">
    <w:name w:val="toc 4"/>
    <w:basedOn w:val="Normal"/>
    <w:next w:val="Normal"/>
    <w:autoRedefine/>
    <w:uiPriority w:val="39"/>
    <w:unhideWhenUsed/>
    <w:rsid w:val="00903256"/>
    <w:pPr>
      <w:spacing w:after="100" w:line="276" w:lineRule="auto"/>
      <w:ind w:left="660"/>
    </w:pPr>
    <w:rPr>
      <w:rFonts w:asciiTheme="minorHAnsi" w:eastAsiaTheme="minorEastAsia" w:hAnsiTheme="minorHAnsi" w:cstheme="minorBidi"/>
      <w:sz w:val="22"/>
      <w:szCs w:val="22"/>
      <w:lang w:val="en-NZ" w:eastAsia="en-NZ"/>
    </w:rPr>
  </w:style>
  <w:style w:type="paragraph" w:styleId="TOC5">
    <w:name w:val="toc 5"/>
    <w:basedOn w:val="Normal"/>
    <w:next w:val="Normal"/>
    <w:autoRedefine/>
    <w:uiPriority w:val="39"/>
    <w:unhideWhenUsed/>
    <w:rsid w:val="00903256"/>
    <w:pPr>
      <w:spacing w:after="100" w:line="276" w:lineRule="auto"/>
      <w:ind w:left="880"/>
    </w:pPr>
    <w:rPr>
      <w:rFonts w:asciiTheme="minorHAnsi" w:eastAsiaTheme="minorEastAsia" w:hAnsiTheme="minorHAnsi" w:cstheme="minorBidi"/>
      <w:sz w:val="22"/>
      <w:szCs w:val="22"/>
      <w:lang w:val="en-NZ" w:eastAsia="en-NZ"/>
    </w:rPr>
  </w:style>
  <w:style w:type="paragraph" w:styleId="TOC6">
    <w:name w:val="toc 6"/>
    <w:basedOn w:val="Normal"/>
    <w:next w:val="Normal"/>
    <w:autoRedefine/>
    <w:uiPriority w:val="39"/>
    <w:unhideWhenUsed/>
    <w:rsid w:val="00903256"/>
    <w:pPr>
      <w:spacing w:after="100" w:line="276" w:lineRule="auto"/>
      <w:ind w:left="1100"/>
    </w:pPr>
    <w:rPr>
      <w:rFonts w:asciiTheme="minorHAnsi" w:eastAsiaTheme="minorEastAsia" w:hAnsiTheme="minorHAnsi" w:cstheme="minorBidi"/>
      <w:sz w:val="22"/>
      <w:szCs w:val="22"/>
      <w:lang w:val="en-NZ" w:eastAsia="en-NZ"/>
    </w:rPr>
  </w:style>
  <w:style w:type="paragraph" w:styleId="TOC7">
    <w:name w:val="toc 7"/>
    <w:basedOn w:val="Normal"/>
    <w:next w:val="Normal"/>
    <w:autoRedefine/>
    <w:uiPriority w:val="39"/>
    <w:unhideWhenUsed/>
    <w:rsid w:val="00903256"/>
    <w:pPr>
      <w:spacing w:after="100" w:line="276" w:lineRule="auto"/>
      <w:ind w:left="1320"/>
    </w:pPr>
    <w:rPr>
      <w:rFonts w:asciiTheme="minorHAnsi" w:eastAsiaTheme="minorEastAsia" w:hAnsiTheme="minorHAnsi" w:cstheme="minorBidi"/>
      <w:sz w:val="22"/>
      <w:szCs w:val="22"/>
      <w:lang w:val="en-NZ" w:eastAsia="en-NZ"/>
    </w:rPr>
  </w:style>
  <w:style w:type="paragraph" w:styleId="TOC8">
    <w:name w:val="toc 8"/>
    <w:basedOn w:val="Normal"/>
    <w:next w:val="Normal"/>
    <w:autoRedefine/>
    <w:uiPriority w:val="39"/>
    <w:unhideWhenUsed/>
    <w:rsid w:val="00903256"/>
    <w:pPr>
      <w:spacing w:after="100" w:line="276" w:lineRule="auto"/>
      <w:ind w:left="1540"/>
    </w:pPr>
    <w:rPr>
      <w:rFonts w:asciiTheme="minorHAnsi" w:eastAsiaTheme="minorEastAsia" w:hAnsiTheme="minorHAnsi" w:cstheme="minorBidi"/>
      <w:sz w:val="22"/>
      <w:szCs w:val="22"/>
      <w:lang w:val="en-NZ" w:eastAsia="en-NZ"/>
    </w:rPr>
  </w:style>
  <w:style w:type="paragraph" w:styleId="TOC9">
    <w:name w:val="toc 9"/>
    <w:basedOn w:val="Normal"/>
    <w:next w:val="Normal"/>
    <w:autoRedefine/>
    <w:uiPriority w:val="39"/>
    <w:unhideWhenUsed/>
    <w:rsid w:val="00903256"/>
    <w:pPr>
      <w:spacing w:after="100" w:line="276" w:lineRule="auto"/>
      <w:ind w:left="1760"/>
    </w:pPr>
    <w:rPr>
      <w:rFonts w:asciiTheme="minorHAnsi" w:eastAsiaTheme="minorEastAsia" w:hAnsiTheme="minorHAnsi" w:cstheme="minorBidi"/>
      <w:sz w:val="22"/>
      <w:szCs w:val="22"/>
      <w:lang w:val="en-NZ" w:eastAsia="en-NZ"/>
    </w:rPr>
  </w:style>
  <w:style w:type="character" w:styleId="CommentReference">
    <w:name w:val="annotation reference"/>
    <w:basedOn w:val="DefaultParagraphFont"/>
    <w:rsid w:val="002A3CC0"/>
    <w:rPr>
      <w:sz w:val="16"/>
      <w:szCs w:val="16"/>
    </w:rPr>
  </w:style>
  <w:style w:type="paragraph" w:styleId="CommentText">
    <w:name w:val="annotation text"/>
    <w:basedOn w:val="Normal"/>
    <w:link w:val="CommentTextChar"/>
    <w:rsid w:val="002A3CC0"/>
    <w:rPr>
      <w:sz w:val="20"/>
      <w:szCs w:val="20"/>
    </w:rPr>
  </w:style>
  <w:style w:type="character" w:customStyle="1" w:styleId="CommentTextChar">
    <w:name w:val="Comment Text Char"/>
    <w:basedOn w:val="DefaultParagraphFont"/>
    <w:link w:val="CommentText"/>
    <w:rsid w:val="002A3CC0"/>
    <w:rPr>
      <w:lang w:val="en-GB" w:eastAsia="en-GB"/>
    </w:rPr>
  </w:style>
  <w:style w:type="paragraph" w:styleId="CommentSubject">
    <w:name w:val="annotation subject"/>
    <w:basedOn w:val="CommentText"/>
    <w:next w:val="CommentText"/>
    <w:link w:val="CommentSubjectChar"/>
    <w:rsid w:val="002A3CC0"/>
    <w:rPr>
      <w:b/>
      <w:bCs/>
    </w:rPr>
  </w:style>
  <w:style w:type="character" w:customStyle="1" w:styleId="CommentSubjectChar">
    <w:name w:val="Comment Subject Char"/>
    <w:basedOn w:val="CommentTextChar"/>
    <w:link w:val="CommentSubject"/>
    <w:rsid w:val="002A3CC0"/>
    <w:rPr>
      <w:b/>
      <w:bCs/>
      <w:lang w:val="en-GB" w:eastAsia="en-GB"/>
    </w:rPr>
  </w:style>
  <w:style w:type="character" w:customStyle="1" w:styleId="label">
    <w:name w:val="label"/>
    <w:basedOn w:val="DefaultParagraphFont"/>
    <w:rsid w:val="00D22C3A"/>
  </w:style>
  <w:style w:type="character" w:customStyle="1" w:styleId="spc1">
    <w:name w:val="spc1"/>
    <w:basedOn w:val="DefaultParagraphFont"/>
    <w:rsid w:val="00D22C3A"/>
    <w:rPr>
      <w:strike w:val="0"/>
      <w:dstrike w:val="0"/>
      <w:u w:val="none"/>
      <w:effect w:val="none"/>
    </w:rPr>
  </w:style>
  <w:style w:type="paragraph" w:customStyle="1" w:styleId="labelled4">
    <w:name w:val="labelled4"/>
    <w:basedOn w:val="Normal"/>
    <w:rsid w:val="00D22C3A"/>
    <w:pPr>
      <w:spacing w:line="288" w:lineRule="atLeast"/>
      <w:ind w:right="240"/>
    </w:pPr>
    <w:rPr>
      <w:color w:val="000000"/>
      <w:lang w:val="en-NZ" w:eastAsia="en-NZ"/>
    </w:rPr>
  </w:style>
  <w:style w:type="paragraph" w:customStyle="1" w:styleId="cf2">
    <w:name w:val="cf2"/>
    <w:basedOn w:val="Normal"/>
    <w:rsid w:val="008C0773"/>
    <w:pPr>
      <w:spacing w:line="288" w:lineRule="atLeast"/>
    </w:pPr>
    <w:rPr>
      <w:color w:val="000000"/>
      <w:sz w:val="19"/>
      <w:szCs w:val="19"/>
      <w:lang w:val="en-NZ" w:eastAsia="en-NZ"/>
    </w:rPr>
  </w:style>
  <w:style w:type="paragraph" w:customStyle="1" w:styleId="Style1">
    <w:name w:val="Style1"/>
    <w:basedOn w:val="Heading1"/>
    <w:qFormat/>
    <w:rsid w:val="00900E14"/>
    <w:rPr>
      <w:sz w:val="36"/>
      <w:szCs w:val="36"/>
    </w:rPr>
  </w:style>
  <w:style w:type="paragraph" w:customStyle="1" w:styleId="Heading3subheading">
    <w:name w:val="Heading 3 + subheading"/>
    <w:basedOn w:val="Normal"/>
    <w:qFormat/>
    <w:rsid w:val="00900E14"/>
    <w:rPr>
      <w:rFonts w:ascii="Arial" w:hAnsi="Arial" w:cs="Arial"/>
      <w:b/>
    </w:rPr>
  </w:style>
  <w:style w:type="character" w:styleId="FollowedHyperlink">
    <w:name w:val="FollowedHyperlink"/>
    <w:basedOn w:val="DefaultParagraphFont"/>
    <w:rsid w:val="00E92AB5"/>
    <w:rPr>
      <w:color w:val="800080" w:themeColor="followedHyperlink"/>
      <w:u w:val="single"/>
    </w:rPr>
  </w:style>
  <w:style w:type="paragraph" w:customStyle="1" w:styleId="TOCI3">
    <w:name w:val="TOCI+3"/>
    <w:basedOn w:val="Normal"/>
    <w:uiPriority w:val="99"/>
    <w:rsid w:val="000F1FF2"/>
    <w:pPr>
      <w:autoSpaceDE w:val="0"/>
      <w:autoSpaceDN w:val="0"/>
      <w:adjustRightInd w:val="0"/>
    </w:pPr>
    <w:rPr>
      <w:rFonts w:ascii="Arial" w:hAnsi="Arial" w:cs="Arial"/>
      <w:lang w:val="en-NZ" w:eastAsia="en-NZ"/>
    </w:rPr>
  </w:style>
  <w:style w:type="paragraph" w:customStyle="1" w:styleId="CharChar3CharCharCharChar">
    <w:name w:val="Char Char3 Char Char Char Char"/>
    <w:basedOn w:val="Normal"/>
    <w:rsid w:val="00A875BD"/>
    <w:pPr>
      <w:spacing w:after="160" w:line="240" w:lineRule="exact"/>
    </w:pPr>
    <w:rPr>
      <w:rFonts w:ascii="Arial" w:hAnsi="Arial"/>
      <w:sz w:val="20"/>
      <w:szCs w:val="20"/>
      <w:lang w:val="en-US" w:eastAsia="en-US"/>
    </w:rPr>
  </w:style>
  <w:style w:type="paragraph" w:customStyle="1" w:styleId="CharChar3CharCharCharChar0">
    <w:name w:val="Char Char3 Char Char Char Char"/>
    <w:basedOn w:val="Normal"/>
    <w:rsid w:val="006F6DA3"/>
    <w:pPr>
      <w:spacing w:after="160" w:line="240" w:lineRule="exact"/>
    </w:pPr>
    <w:rPr>
      <w:rFonts w:ascii="Arial" w:hAnsi="Arial"/>
      <w:sz w:val="20"/>
      <w:szCs w:val="20"/>
      <w:lang w:val="en-US" w:eastAsia="en-US"/>
    </w:rPr>
  </w:style>
  <w:style w:type="paragraph" w:customStyle="1" w:styleId="Partheading">
    <w:name w:val="Part heading"/>
    <w:basedOn w:val="Heading1"/>
    <w:qFormat/>
    <w:rsid w:val="00831328"/>
    <w:rPr>
      <w:b/>
    </w:rPr>
  </w:style>
  <w:style w:type="paragraph" w:customStyle="1" w:styleId="Subheadingitalics">
    <w:name w:val="Subheading italics"/>
    <w:basedOn w:val="Normal"/>
    <w:qFormat/>
    <w:rsid w:val="00831328"/>
    <w:rPr>
      <w:rFonts w:ascii="Arial" w:hAnsi="Arial" w:cs="Arial"/>
      <w:i/>
    </w:rPr>
  </w:style>
  <w:style w:type="character" w:customStyle="1" w:styleId="Arial12ptBold">
    <w:name w:val="Arial 12 pt Bold"/>
    <w:basedOn w:val="DefaultParagraphFont"/>
    <w:rsid w:val="000F1FF2"/>
    <w:rPr>
      <w:rFonts w:ascii="Arial" w:hAnsi="Arial"/>
      <w:b/>
      <w:bCs/>
      <w:sz w:val="24"/>
    </w:rPr>
  </w:style>
  <w:style w:type="paragraph" w:customStyle="1" w:styleId="Default">
    <w:name w:val="Default"/>
    <w:rsid w:val="004B0CB2"/>
    <w:pPr>
      <w:autoSpaceDE w:val="0"/>
      <w:autoSpaceDN w:val="0"/>
      <w:adjustRightInd w:val="0"/>
    </w:pPr>
    <w:rPr>
      <w:rFonts w:ascii="Arial" w:hAnsi="Arial" w:cs="Arial"/>
      <w:color w:val="000000"/>
      <w:sz w:val="24"/>
      <w:szCs w:val="24"/>
    </w:rPr>
  </w:style>
  <w:style w:type="character" w:customStyle="1" w:styleId="StyleArialUnderline">
    <w:name w:val="Style Arial Underline"/>
    <w:basedOn w:val="Arial"/>
    <w:rsid w:val="004B0CB2"/>
    <w:rPr>
      <w:rFonts w:ascii="Arial" w:hAnsi="Arial"/>
      <w:b w:val="0"/>
      <w:color w:val="000000"/>
      <w:sz w:val="24"/>
      <w:u w:val="single"/>
    </w:rPr>
  </w:style>
  <w:style w:type="paragraph" w:customStyle="1" w:styleId="Normal3">
    <w:name w:val="Normal+3"/>
    <w:basedOn w:val="Default"/>
    <w:next w:val="Default"/>
    <w:uiPriority w:val="99"/>
    <w:rsid w:val="00082B60"/>
    <w:rPr>
      <w:color w:val="auto"/>
    </w:rPr>
  </w:style>
  <w:style w:type="character" w:styleId="Strong">
    <w:name w:val="Strong"/>
    <w:basedOn w:val="DefaultParagraphFont"/>
    <w:uiPriority w:val="22"/>
    <w:qFormat/>
    <w:rsid w:val="00BB2C10"/>
    <w:rPr>
      <w:b/>
      <w:bCs/>
    </w:rPr>
  </w:style>
  <w:style w:type="table" w:styleId="TableGrid">
    <w:name w:val="Table Grid"/>
    <w:basedOn w:val="TableNormal"/>
    <w:rsid w:val="00A46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italic">
    <w:name w:val="Style Heading 3 + italic"/>
    <w:basedOn w:val="Heading3"/>
    <w:rsid w:val="00A46454"/>
    <w:rPr>
      <w:b w:val="0"/>
      <w:i/>
      <w:iCs/>
    </w:rPr>
  </w:style>
  <w:style w:type="paragraph" w:customStyle="1" w:styleId="CharChar3CharCharCharChar1">
    <w:name w:val="Char Char3 Char Char Char Char"/>
    <w:basedOn w:val="Normal"/>
    <w:rsid w:val="000C47AF"/>
    <w:pPr>
      <w:spacing w:after="160" w:line="240" w:lineRule="exact"/>
    </w:pPr>
    <w:rPr>
      <w:rFonts w:ascii="Arial" w:hAnsi="Arial"/>
      <w:sz w:val="20"/>
      <w:szCs w:val="20"/>
      <w:lang w:val="en-US" w:eastAsia="en-US"/>
    </w:rPr>
  </w:style>
  <w:style w:type="paragraph" w:styleId="Title">
    <w:name w:val="Title"/>
    <w:basedOn w:val="Normal"/>
    <w:next w:val="Normal"/>
    <w:link w:val="TitleChar"/>
    <w:qFormat/>
    <w:rsid w:val="001D1066"/>
    <w:pPr>
      <w:spacing w:line="264" w:lineRule="auto"/>
      <w:ind w:right="1701"/>
    </w:pPr>
    <w:rPr>
      <w:rFonts w:ascii="Georgia" w:hAnsi="Georgia"/>
      <w:b/>
      <w:sz w:val="80"/>
      <w:szCs w:val="20"/>
      <w:lang w:val="en-NZ"/>
    </w:rPr>
  </w:style>
  <w:style w:type="character" w:customStyle="1" w:styleId="TitleChar">
    <w:name w:val="Title Char"/>
    <w:basedOn w:val="DefaultParagraphFont"/>
    <w:link w:val="Title"/>
    <w:rsid w:val="001D1066"/>
    <w:rPr>
      <w:rFonts w:ascii="Georgia" w:hAnsi="Georgia"/>
      <w:b/>
      <w:sz w:val="80"/>
      <w:lang w:eastAsia="en-GB"/>
    </w:rPr>
  </w:style>
  <w:style w:type="paragraph" w:customStyle="1" w:styleId="Subhead">
    <w:name w:val="Subhead"/>
    <w:basedOn w:val="Normal"/>
    <w:next w:val="Normal"/>
    <w:qFormat/>
    <w:rsid w:val="001D1066"/>
    <w:pPr>
      <w:spacing w:before="180" w:line="264" w:lineRule="auto"/>
      <w:ind w:right="1701"/>
    </w:pPr>
    <w:rPr>
      <w:rFonts w:ascii="Georgia" w:hAnsi="Georgia"/>
      <w:sz w:val="48"/>
      <w:szCs w:val="20"/>
      <w:lang w:val="en-NZ"/>
    </w:rPr>
  </w:style>
  <w:style w:type="paragraph" w:customStyle="1" w:styleId="Year">
    <w:name w:val="Year"/>
    <w:basedOn w:val="Subhead"/>
    <w:next w:val="Subhead"/>
    <w:qFormat/>
    <w:rsid w:val="001D1066"/>
    <w:pPr>
      <w:pBdr>
        <w:bottom w:val="single" w:sz="48" w:space="6" w:color="auto"/>
      </w:pBdr>
    </w:pPr>
    <w:rPr>
      <w:sz w:val="56"/>
    </w:rPr>
  </w:style>
  <w:style w:type="character" w:customStyle="1" w:styleId="Heading2Char">
    <w:name w:val="Heading 2 Char"/>
    <w:basedOn w:val="DefaultParagraphFont"/>
    <w:link w:val="Heading2"/>
    <w:semiHidden/>
    <w:rsid w:val="00C2143B"/>
    <w:rPr>
      <w:rFonts w:asciiTheme="majorHAnsi" w:eastAsiaTheme="majorEastAsia" w:hAnsiTheme="majorHAnsi" w:cstheme="majorBidi"/>
      <w:b/>
      <w:bCs/>
      <w:color w:val="4F81BD" w:themeColor="accent1"/>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1036">
      <w:bodyDiv w:val="1"/>
      <w:marLeft w:val="0"/>
      <w:marRight w:val="0"/>
      <w:marTop w:val="0"/>
      <w:marBottom w:val="0"/>
      <w:divBdr>
        <w:top w:val="none" w:sz="0" w:space="0" w:color="auto"/>
        <w:left w:val="none" w:sz="0" w:space="0" w:color="auto"/>
        <w:bottom w:val="none" w:sz="0" w:space="0" w:color="auto"/>
        <w:right w:val="none" w:sz="0" w:space="0" w:color="auto"/>
      </w:divBdr>
    </w:div>
    <w:div w:id="103427267">
      <w:bodyDiv w:val="1"/>
      <w:marLeft w:val="0"/>
      <w:marRight w:val="0"/>
      <w:marTop w:val="0"/>
      <w:marBottom w:val="0"/>
      <w:divBdr>
        <w:top w:val="none" w:sz="0" w:space="0" w:color="auto"/>
        <w:left w:val="none" w:sz="0" w:space="0" w:color="auto"/>
        <w:bottom w:val="none" w:sz="0" w:space="0" w:color="auto"/>
        <w:right w:val="none" w:sz="0" w:space="0" w:color="auto"/>
      </w:divBdr>
    </w:div>
    <w:div w:id="127014736">
      <w:bodyDiv w:val="1"/>
      <w:marLeft w:val="0"/>
      <w:marRight w:val="0"/>
      <w:marTop w:val="0"/>
      <w:marBottom w:val="0"/>
      <w:divBdr>
        <w:top w:val="none" w:sz="0" w:space="0" w:color="auto"/>
        <w:left w:val="none" w:sz="0" w:space="0" w:color="auto"/>
        <w:bottom w:val="none" w:sz="0" w:space="0" w:color="auto"/>
        <w:right w:val="none" w:sz="0" w:space="0" w:color="auto"/>
      </w:divBdr>
      <w:divsChild>
        <w:div w:id="1422213842">
          <w:marLeft w:val="0"/>
          <w:marRight w:val="0"/>
          <w:marTop w:val="0"/>
          <w:marBottom w:val="0"/>
          <w:divBdr>
            <w:top w:val="none" w:sz="0" w:space="0" w:color="auto"/>
            <w:left w:val="none" w:sz="0" w:space="0" w:color="auto"/>
            <w:bottom w:val="none" w:sz="0" w:space="0" w:color="auto"/>
            <w:right w:val="none" w:sz="0" w:space="0" w:color="auto"/>
          </w:divBdr>
        </w:div>
        <w:div w:id="549616707">
          <w:marLeft w:val="0"/>
          <w:marRight w:val="0"/>
          <w:marTop w:val="0"/>
          <w:marBottom w:val="0"/>
          <w:divBdr>
            <w:top w:val="none" w:sz="0" w:space="0" w:color="auto"/>
            <w:left w:val="none" w:sz="0" w:space="0" w:color="auto"/>
            <w:bottom w:val="none" w:sz="0" w:space="0" w:color="auto"/>
            <w:right w:val="none" w:sz="0" w:space="0" w:color="auto"/>
          </w:divBdr>
        </w:div>
        <w:div w:id="1206680091">
          <w:marLeft w:val="0"/>
          <w:marRight w:val="0"/>
          <w:marTop w:val="0"/>
          <w:marBottom w:val="0"/>
          <w:divBdr>
            <w:top w:val="none" w:sz="0" w:space="0" w:color="auto"/>
            <w:left w:val="none" w:sz="0" w:space="0" w:color="auto"/>
            <w:bottom w:val="none" w:sz="0" w:space="0" w:color="auto"/>
            <w:right w:val="none" w:sz="0" w:space="0" w:color="auto"/>
          </w:divBdr>
        </w:div>
        <w:div w:id="123621406">
          <w:marLeft w:val="0"/>
          <w:marRight w:val="0"/>
          <w:marTop w:val="0"/>
          <w:marBottom w:val="0"/>
          <w:divBdr>
            <w:top w:val="none" w:sz="0" w:space="0" w:color="auto"/>
            <w:left w:val="none" w:sz="0" w:space="0" w:color="auto"/>
            <w:bottom w:val="none" w:sz="0" w:space="0" w:color="auto"/>
            <w:right w:val="none" w:sz="0" w:space="0" w:color="auto"/>
          </w:divBdr>
        </w:div>
        <w:div w:id="861481927">
          <w:marLeft w:val="0"/>
          <w:marRight w:val="0"/>
          <w:marTop w:val="0"/>
          <w:marBottom w:val="0"/>
          <w:divBdr>
            <w:top w:val="none" w:sz="0" w:space="0" w:color="auto"/>
            <w:left w:val="none" w:sz="0" w:space="0" w:color="auto"/>
            <w:bottom w:val="none" w:sz="0" w:space="0" w:color="auto"/>
            <w:right w:val="none" w:sz="0" w:space="0" w:color="auto"/>
          </w:divBdr>
        </w:div>
        <w:div w:id="323440949">
          <w:marLeft w:val="0"/>
          <w:marRight w:val="0"/>
          <w:marTop w:val="0"/>
          <w:marBottom w:val="0"/>
          <w:divBdr>
            <w:top w:val="none" w:sz="0" w:space="0" w:color="auto"/>
            <w:left w:val="none" w:sz="0" w:space="0" w:color="auto"/>
            <w:bottom w:val="none" w:sz="0" w:space="0" w:color="auto"/>
            <w:right w:val="none" w:sz="0" w:space="0" w:color="auto"/>
          </w:divBdr>
        </w:div>
        <w:div w:id="142040652">
          <w:marLeft w:val="0"/>
          <w:marRight w:val="0"/>
          <w:marTop w:val="0"/>
          <w:marBottom w:val="0"/>
          <w:divBdr>
            <w:top w:val="none" w:sz="0" w:space="0" w:color="auto"/>
            <w:left w:val="none" w:sz="0" w:space="0" w:color="auto"/>
            <w:bottom w:val="none" w:sz="0" w:space="0" w:color="auto"/>
            <w:right w:val="none" w:sz="0" w:space="0" w:color="auto"/>
          </w:divBdr>
        </w:div>
        <w:div w:id="537400777">
          <w:marLeft w:val="0"/>
          <w:marRight w:val="0"/>
          <w:marTop w:val="0"/>
          <w:marBottom w:val="0"/>
          <w:divBdr>
            <w:top w:val="none" w:sz="0" w:space="0" w:color="auto"/>
            <w:left w:val="none" w:sz="0" w:space="0" w:color="auto"/>
            <w:bottom w:val="none" w:sz="0" w:space="0" w:color="auto"/>
            <w:right w:val="none" w:sz="0" w:space="0" w:color="auto"/>
          </w:divBdr>
        </w:div>
        <w:div w:id="1528103937">
          <w:marLeft w:val="0"/>
          <w:marRight w:val="0"/>
          <w:marTop w:val="0"/>
          <w:marBottom w:val="0"/>
          <w:divBdr>
            <w:top w:val="none" w:sz="0" w:space="0" w:color="auto"/>
            <w:left w:val="none" w:sz="0" w:space="0" w:color="auto"/>
            <w:bottom w:val="none" w:sz="0" w:space="0" w:color="auto"/>
            <w:right w:val="none" w:sz="0" w:space="0" w:color="auto"/>
          </w:divBdr>
        </w:div>
        <w:div w:id="706762062">
          <w:marLeft w:val="0"/>
          <w:marRight w:val="0"/>
          <w:marTop w:val="0"/>
          <w:marBottom w:val="0"/>
          <w:divBdr>
            <w:top w:val="none" w:sz="0" w:space="0" w:color="auto"/>
            <w:left w:val="none" w:sz="0" w:space="0" w:color="auto"/>
            <w:bottom w:val="none" w:sz="0" w:space="0" w:color="auto"/>
            <w:right w:val="none" w:sz="0" w:space="0" w:color="auto"/>
          </w:divBdr>
        </w:div>
        <w:div w:id="813176639">
          <w:marLeft w:val="0"/>
          <w:marRight w:val="0"/>
          <w:marTop w:val="0"/>
          <w:marBottom w:val="0"/>
          <w:divBdr>
            <w:top w:val="none" w:sz="0" w:space="0" w:color="auto"/>
            <w:left w:val="none" w:sz="0" w:space="0" w:color="auto"/>
            <w:bottom w:val="none" w:sz="0" w:space="0" w:color="auto"/>
            <w:right w:val="none" w:sz="0" w:space="0" w:color="auto"/>
          </w:divBdr>
        </w:div>
        <w:div w:id="1293101125">
          <w:marLeft w:val="0"/>
          <w:marRight w:val="0"/>
          <w:marTop w:val="0"/>
          <w:marBottom w:val="0"/>
          <w:divBdr>
            <w:top w:val="none" w:sz="0" w:space="0" w:color="auto"/>
            <w:left w:val="none" w:sz="0" w:space="0" w:color="auto"/>
            <w:bottom w:val="none" w:sz="0" w:space="0" w:color="auto"/>
            <w:right w:val="none" w:sz="0" w:space="0" w:color="auto"/>
          </w:divBdr>
        </w:div>
        <w:div w:id="1813324607">
          <w:marLeft w:val="0"/>
          <w:marRight w:val="0"/>
          <w:marTop w:val="0"/>
          <w:marBottom w:val="0"/>
          <w:divBdr>
            <w:top w:val="none" w:sz="0" w:space="0" w:color="auto"/>
            <w:left w:val="none" w:sz="0" w:space="0" w:color="auto"/>
            <w:bottom w:val="none" w:sz="0" w:space="0" w:color="auto"/>
            <w:right w:val="none" w:sz="0" w:space="0" w:color="auto"/>
          </w:divBdr>
        </w:div>
        <w:div w:id="1125537085">
          <w:marLeft w:val="0"/>
          <w:marRight w:val="0"/>
          <w:marTop w:val="0"/>
          <w:marBottom w:val="0"/>
          <w:divBdr>
            <w:top w:val="none" w:sz="0" w:space="0" w:color="auto"/>
            <w:left w:val="none" w:sz="0" w:space="0" w:color="auto"/>
            <w:bottom w:val="none" w:sz="0" w:space="0" w:color="auto"/>
            <w:right w:val="none" w:sz="0" w:space="0" w:color="auto"/>
          </w:divBdr>
        </w:div>
        <w:div w:id="689338195">
          <w:marLeft w:val="0"/>
          <w:marRight w:val="0"/>
          <w:marTop w:val="0"/>
          <w:marBottom w:val="0"/>
          <w:divBdr>
            <w:top w:val="none" w:sz="0" w:space="0" w:color="auto"/>
            <w:left w:val="none" w:sz="0" w:space="0" w:color="auto"/>
            <w:bottom w:val="none" w:sz="0" w:space="0" w:color="auto"/>
            <w:right w:val="none" w:sz="0" w:space="0" w:color="auto"/>
          </w:divBdr>
        </w:div>
        <w:div w:id="1309240117">
          <w:marLeft w:val="0"/>
          <w:marRight w:val="0"/>
          <w:marTop w:val="0"/>
          <w:marBottom w:val="0"/>
          <w:divBdr>
            <w:top w:val="none" w:sz="0" w:space="0" w:color="auto"/>
            <w:left w:val="none" w:sz="0" w:space="0" w:color="auto"/>
            <w:bottom w:val="none" w:sz="0" w:space="0" w:color="auto"/>
            <w:right w:val="none" w:sz="0" w:space="0" w:color="auto"/>
          </w:divBdr>
        </w:div>
        <w:div w:id="1969431077">
          <w:marLeft w:val="0"/>
          <w:marRight w:val="0"/>
          <w:marTop w:val="0"/>
          <w:marBottom w:val="0"/>
          <w:divBdr>
            <w:top w:val="none" w:sz="0" w:space="0" w:color="auto"/>
            <w:left w:val="none" w:sz="0" w:space="0" w:color="auto"/>
            <w:bottom w:val="none" w:sz="0" w:space="0" w:color="auto"/>
            <w:right w:val="none" w:sz="0" w:space="0" w:color="auto"/>
          </w:divBdr>
        </w:div>
        <w:div w:id="1852333571">
          <w:marLeft w:val="0"/>
          <w:marRight w:val="0"/>
          <w:marTop w:val="0"/>
          <w:marBottom w:val="0"/>
          <w:divBdr>
            <w:top w:val="none" w:sz="0" w:space="0" w:color="auto"/>
            <w:left w:val="none" w:sz="0" w:space="0" w:color="auto"/>
            <w:bottom w:val="none" w:sz="0" w:space="0" w:color="auto"/>
            <w:right w:val="none" w:sz="0" w:space="0" w:color="auto"/>
          </w:divBdr>
        </w:div>
        <w:div w:id="867379406">
          <w:marLeft w:val="0"/>
          <w:marRight w:val="0"/>
          <w:marTop w:val="0"/>
          <w:marBottom w:val="0"/>
          <w:divBdr>
            <w:top w:val="none" w:sz="0" w:space="0" w:color="auto"/>
            <w:left w:val="none" w:sz="0" w:space="0" w:color="auto"/>
            <w:bottom w:val="none" w:sz="0" w:space="0" w:color="auto"/>
            <w:right w:val="none" w:sz="0" w:space="0" w:color="auto"/>
          </w:divBdr>
        </w:div>
        <w:div w:id="1743454606">
          <w:marLeft w:val="0"/>
          <w:marRight w:val="0"/>
          <w:marTop w:val="0"/>
          <w:marBottom w:val="0"/>
          <w:divBdr>
            <w:top w:val="none" w:sz="0" w:space="0" w:color="auto"/>
            <w:left w:val="none" w:sz="0" w:space="0" w:color="auto"/>
            <w:bottom w:val="none" w:sz="0" w:space="0" w:color="auto"/>
            <w:right w:val="none" w:sz="0" w:space="0" w:color="auto"/>
          </w:divBdr>
        </w:div>
        <w:div w:id="883829756">
          <w:marLeft w:val="0"/>
          <w:marRight w:val="0"/>
          <w:marTop w:val="0"/>
          <w:marBottom w:val="0"/>
          <w:divBdr>
            <w:top w:val="none" w:sz="0" w:space="0" w:color="auto"/>
            <w:left w:val="none" w:sz="0" w:space="0" w:color="auto"/>
            <w:bottom w:val="none" w:sz="0" w:space="0" w:color="auto"/>
            <w:right w:val="none" w:sz="0" w:space="0" w:color="auto"/>
          </w:divBdr>
        </w:div>
        <w:div w:id="1703284289">
          <w:marLeft w:val="0"/>
          <w:marRight w:val="0"/>
          <w:marTop w:val="0"/>
          <w:marBottom w:val="0"/>
          <w:divBdr>
            <w:top w:val="none" w:sz="0" w:space="0" w:color="auto"/>
            <w:left w:val="none" w:sz="0" w:space="0" w:color="auto"/>
            <w:bottom w:val="none" w:sz="0" w:space="0" w:color="auto"/>
            <w:right w:val="none" w:sz="0" w:space="0" w:color="auto"/>
          </w:divBdr>
        </w:div>
        <w:div w:id="1493906360">
          <w:marLeft w:val="0"/>
          <w:marRight w:val="0"/>
          <w:marTop w:val="0"/>
          <w:marBottom w:val="0"/>
          <w:divBdr>
            <w:top w:val="none" w:sz="0" w:space="0" w:color="auto"/>
            <w:left w:val="none" w:sz="0" w:space="0" w:color="auto"/>
            <w:bottom w:val="none" w:sz="0" w:space="0" w:color="auto"/>
            <w:right w:val="none" w:sz="0" w:space="0" w:color="auto"/>
          </w:divBdr>
        </w:div>
        <w:div w:id="911164677">
          <w:marLeft w:val="0"/>
          <w:marRight w:val="0"/>
          <w:marTop w:val="0"/>
          <w:marBottom w:val="0"/>
          <w:divBdr>
            <w:top w:val="none" w:sz="0" w:space="0" w:color="auto"/>
            <w:left w:val="none" w:sz="0" w:space="0" w:color="auto"/>
            <w:bottom w:val="none" w:sz="0" w:space="0" w:color="auto"/>
            <w:right w:val="none" w:sz="0" w:space="0" w:color="auto"/>
          </w:divBdr>
        </w:div>
        <w:div w:id="3868551">
          <w:marLeft w:val="0"/>
          <w:marRight w:val="0"/>
          <w:marTop w:val="0"/>
          <w:marBottom w:val="0"/>
          <w:divBdr>
            <w:top w:val="none" w:sz="0" w:space="0" w:color="auto"/>
            <w:left w:val="none" w:sz="0" w:space="0" w:color="auto"/>
            <w:bottom w:val="none" w:sz="0" w:space="0" w:color="auto"/>
            <w:right w:val="none" w:sz="0" w:space="0" w:color="auto"/>
          </w:divBdr>
        </w:div>
        <w:div w:id="1582324953">
          <w:marLeft w:val="0"/>
          <w:marRight w:val="0"/>
          <w:marTop w:val="0"/>
          <w:marBottom w:val="0"/>
          <w:divBdr>
            <w:top w:val="none" w:sz="0" w:space="0" w:color="auto"/>
            <w:left w:val="none" w:sz="0" w:space="0" w:color="auto"/>
            <w:bottom w:val="none" w:sz="0" w:space="0" w:color="auto"/>
            <w:right w:val="none" w:sz="0" w:space="0" w:color="auto"/>
          </w:divBdr>
        </w:div>
        <w:div w:id="83496164">
          <w:marLeft w:val="0"/>
          <w:marRight w:val="0"/>
          <w:marTop w:val="0"/>
          <w:marBottom w:val="0"/>
          <w:divBdr>
            <w:top w:val="none" w:sz="0" w:space="0" w:color="auto"/>
            <w:left w:val="none" w:sz="0" w:space="0" w:color="auto"/>
            <w:bottom w:val="none" w:sz="0" w:space="0" w:color="auto"/>
            <w:right w:val="none" w:sz="0" w:space="0" w:color="auto"/>
          </w:divBdr>
        </w:div>
        <w:div w:id="395782307">
          <w:marLeft w:val="0"/>
          <w:marRight w:val="0"/>
          <w:marTop w:val="0"/>
          <w:marBottom w:val="0"/>
          <w:divBdr>
            <w:top w:val="none" w:sz="0" w:space="0" w:color="auto"/>
            <w:left w:val="none" w:sz="0" w:space="0" w:color="auto"/>
            <w:bottom w:val="none" w:sz="0" w:space="0" w:color="auto"/>
            <w:right w:val="none" w:sz="0" w:space="0" w:color="auto"/>
          </w:divBdr>
        </w:div>
        <w:div w:id="87431536">
          <w:marLeft w:val="0"/>
          <w:marRight w:val="0"/>
          <w:marTop w:val="0"/>
          <w:marBottom w:val="0"/>
          <w:divBdr>
            <w:top w:val="none" w:sz="0" w:space="0" w:color="auto"/>
            <w:left w:val="none" w:sz="0" w:space="0" w:color="auto"/>
            <w:bottom w:val="none" w:sz="0" w:space="0" w:color="auto"/>
            <w:right w:val="none" w:sz="0" w:space="0" w:color="auto"/>
          </w:divBdr>
        </w:div>
        <w:div w:id="1752265634">
          <w:marLeft w:val="0"/>
          <w:marRight w:val="0"/>
          <w:marTop w:val="0"/>
          <w:marBottom w:val="0"/>
          <w:divBdr>
            <w:top w:val="none" w:sz="0" w:space="0" w:color="auto"/>
            <w:left w:val="none" w:sz="0" w:space="0" w:color="auto"/>
            <w:bottom w:val="none" w:sz="0" w:space="0" w:color="auto"/>
            <w:right w:val="none" w:sz="0" w:space="0" w:color="auto"/>
          </w:divBdr>
        </w:div>
        <w:div w:id="738790955">
          <w:marLeft w:val="0"/>
          <w:marRight w:val="0"/>
          <w:marTop w:val="0"/>
          <w:marBottom w:val="0"/>
          <w:divBdr>
            <w:top w:val="none" w:sz="0" w:space="0" w:color="auto"/>
            <w:left w:val="none" w:sz="0" w:space="0" w:color="auto"/>
            <w:bottom w:val="none" w:sz="0" w:space="0" w:color="auto"/>
            <w:right w:val="none" w:sz="0" w:space="0" w:color="auto"/>
          </w:divBdr>
        </w:div>
        <w:div w:id="515266776">
          <w:marLeft w:val="0"/>
          <w:marRight w:val="0"/>
          <w:marTop w:val="0"/>
          <w:marBottom w:val="0"/>
          <w:divBdr>
            <w:top w:val="none" w:sz="0" w:space="0" w:color="auto"/>
            <w:left w:val="none" w:sz="0" w:space="0" w:color="auto"/>
            <w:bottom w:val="none" w:sz="0" w:space="0" w:color="auto"/>
            <w:right w:val="none" w:sz="0" w:space="0" w:color="auto"/>
          </w:divBdr>
        </w:div>
        <w:div w:id="144393435">
          <w:marLeft w:val="0"/>
          <w:marRight w:val="0"/>
          <w:marTop w:val="0"/>
          <w:marBottom w:val="0"/>
          <w:divBdr>
            <w:top w:val="none" w:sz="0" w:space="0" w:color="auto"/>
            <w:left w:val="none" w:sz="0" w:space="0" w:color="auto"/>
            <w:bottom w:val="none" w:sz="0" w:space="0" w:color="auto"/>
            <w:right w:val="none" w:sz="0" w:space="0" w:color="auto"/>
          </w:divBdr>
        </w:div>
        <w:div w:id="558829859">
          <w:marLeft w:val="0"/>
          <w:marRight w:val="0"/>
          <w:marTop w:val="0"/>
          <w:marBottom w:val="0"/>
          <w:divBdr>
            <w:top w:val="none" w:sz="0" w:space="0" w:color="auto"/>
            <w:left w:val="none" w:sz="0" w:space="0" w:color="auto"/>
            <w:bottom w:val="none" w:sz="0" w:space="0" w:color="auto"/>
            <w:right w:val="none" w:sz="0" w:space="0" w:color="auto"/>
          </w:divBdr>
        </w:div>
        <w:div w:id="1770348033">
          <w:marLeft w:val="0"/>
          <w:marRight w:val="0"/>
          <w:marTop w:val="0"/>
          <w:marBottom w:val="0"/>
          <w:divBdr>
            <w:top w:val="none" w:sz="0" w:space="0" w:color="auto"/>
            <w:left w:val="none" w:sz="0" w:space="0" w:color="auto"/>
            <w:bottom w:val="none" w:sz="0" w:space="0" w:color="auto"/>
            <w:right w:val="none" w:sz="0" w:space="0" w:color="auto"/>
          </w:divBdr>
        </w:div>
        <w:div w:id="1652325580">
          <w:marLeft w:val="0"/>
          <w:marRight w:val="0"/>
          <w:marTop w:val="0"/>
          <w:marBottom w:val="0"/>
          <w:divBdr>
            <w:top w:val="none" w:sz="0" w:space="0" w:color="auto"/>
            <w:left w:val="none" w:sz="0" w:space="0" w:color="auto"/>
            <w:bottom w:val="none" w:sz="0" w:space="0" w:color="auto"/>
            <w:right w:val="none" w:sz="0" w:space="0" w:color="auto"/>
          </w:divBdr>
        </w:div>
        <w:div w:id="1063799065">
          <w:marLeft w:val="0"/>
          <w:marRight w:val="0"/>
          <w:marTop w:val="0"/>
          <w:marBottom w:val="0"/>
          <w:divBdr>
            <w:top w:val="none" w:sz="0" w:space="0" w:color="auto"/>
            <w:left w:val="none" w:sz="0" w:space="0" w:color="auto"/>
            <w:bottom w:val="none" w:sz="0" w:space="0" w:color="auto"/>
            <w:right w:val="none" w:sz="0" w:space="0" w:color="auto"/>
          </w:divBdr>
        </w:div>
        <w:div w:id="1419014127">
          <w:marLeft w:val="0"/>
          <w:marRight w:val="0"/>
          <w:marTop w:val="0"/>
          <w:marBottom w:val="0"/>
          <w:divBdr>
            <w:top w:val="none" w:sz="0" w:space="0" w:color="auto"/>
            <w:left w:val="none" w:sz="0" w:space="0" w:color="auto"/>
            <w:bottom w:val="none" w:sz="0" w:space="0" w:color="auto"/>
            <w:right w:val="none" w:sz="0" w:space="0" w:color="auto"/>
          </w:divBdr>
        </w:div>
        <w:div w:id="1567908983">
          <w:marLeft w:val="0"/>
          <w:marRight w:val="0"/>
          <w:marTop w:val="0"/>
          <w:marBottom w:val="0"/>
          <w:divBdr>
            <w:top w:val="none" w:sz="0" w:space="0" w:color="auto"/>
            <w:left w:val="none" w:sz="0" w:space="0" w:color="auto"/>
            <w:bottom w:val="none" w:sz="0" w:space="0" w:color="auto"/>
            <w:right w:val="none" w:sz="0" w:space="0" w:color="auto"/>
          </w:divBdr>
        </w:div>
        <w:div w:id="1167747532">
          <w:marLeft w:val="0"/>
          <w:marRight w:val="0"/>
          <w:marTop w:val="0"/>
          <w:marBottom w:val="0"/>
          <w:divBdr>
            <w:top w:val="none" w:sz="0" w:space="0" w:color="auto"/>
            <w:left w:val="none" w:sz="0" w:space="0" w:color="auto"/>
            <w:bottom w:val="none" w:sz="0" w:space="0" w:color="auto"/>
            <w:right w:val="none" w:sz="0" w:space="0" w:color="auto"/>
          </w:divBdr>
        </w:div>
        <w:div w:id="1359551565">
          <w:marLeft w:val="0"/>
          <w:marRight w:val="0"/>
          <w:marTop w:val="0"/>
          <w:marBottom w:val="0"/>
          <w:divBdr>
            <w:top w:val="none" w:sz="0" w:space="0" w:color="auto"/>
            <w:left w:val="none" w:sz="0" w:space="0" w:color="auto"/>
            <w:bottom w:val="none" w:sz="0" w:space="0" w:color="auto"/>
            <w:right w:val="none" w:sz="0" w:space="0" w:color="auto"/>
          </w:divBdr>
        </w:div>
        <w:div w:id="986670198">
          <w:marLeft w:val="0"/>
          <w:marRight w:val="0"/>
          <w:marTop w:val="0"/>
          <w:marBottom w:val="0"/>
          <w:divBdr>
            <w:top w:val="none" w:sz="0" w:space="0" w:color="auto"/>
            <w:left w:val="none" w:sz="0" w:space="0" w:color="auto"/>
            <w:bottom w:val="none" w:sz="0" w:space="0" w:color="auto"/>
            <w:right w:val="none" w:sz="0" w:space="0" w:color="auto"/>
          </w:divBdr>
        </w:div>
        <w:div w:id="639768187">
          <w:marLeft w:val="0"/>
          <w:marRight w:val="0"/>
          <w:marTop w:val="0"/>
          <w:marBottom w:val="0"/>
          <w:divBdr>
            <w:top w:val="none" w:sz="0" w:space="0" w:color="auto"/>
            <w:left w:val="none" w:sz="0" w:space="0" w:color="auto"/>
            <w:bottom w:val="none" w:sz="0" w:space="0" w:color="auto"/>
            <w:right w:val="none" w:sz="0" w:space="0" w:color="auto"/>
          </w:divBdr>
        </w:div>
        <w:div w:id="2130082142">
          <w:marLeft w:val="0"/>
          <w:marRight w:val="0"/>
          <w:marTop w:val="0"/>
          <w:marBottom w:val="0"/>
          <w:divBdr>
            <w:top w:val="none" w:sz="0" w:space="0" w:color="auto"/>
            <w:left w:val="none" w:sz="0" w:space="0" w:color="auto"/>
            <w:bottom w:val="none" w:sz="0" w:space="0" w:color="auto"/>
            <w:right w:val="none" w:sz="0" w:space="0" w:color="auto"/>
          </w:divBdr>
        </w:div>
        <w:div w:id="751008008">
          <w:marLeft w:val="0"/>
          <w:marRight w:val="0"/>
          <w:marTop w:val="0"/>
          <w:marBottom w:val="0"/>
          <w:divBdr>
            <w:top w:val="none" w:sz="0" w:space="0" w:color="auto"/>
            <w:left w:val="none" w:sz="0" w:space="0" w:color="auto"/>
            <w:bottom w:val="none" w:sz="0" w:space="0" w:color="auto"/>
            <w:right w:val="none" w:sz="0" w:space="0" w:color="auto"/>
          </w:divBdr>
        </w:div>
        <w:div w:id="1342128592">
          <w:marLeft w:val="0"/>
          <w:marRight w:val="0"/>
          <w:marTop w:val="0"/>
          <w:marBottom w:val="0"/>
          <w:divBdr>
            <w:top w:val="none" w:sz="0" w:space="0" w:color="auto"/>
            <w:left w:val="none" w:sz="0" w:space="0" w:color="auto"/>
            <w:bottom w:val="none" w:sz="0" w:space="0" w:color="auto"/>
            <w:right w:val="none" w:sz="0" w:space="0" w:color="auto"/>
          </w:divBdr>
        </w:div>
        <w:div w:id="1584603662">
          <w:marLeft w:val="0"/>
          <w:marRight w:val="0"/>
          <w:marTop w:val="0"/>
          <w:marBottom w:val="0"/>
          <w:divBdr>
            <w:top w:val="none" w:sz="0" w:space="0" w:color="auto"/>
            <w:left w:val="none" w:sz="0" w:space="0" w:color="auto"/>
            <w:bottom w:val="none" w:sz="0" w:space="0" w:color="auto"/>
            <w:right w:val="none" w:sz="0" w:space="0" w:color="auto"/>
          </w:divBdr>
        </w:div>
      </w:divsChild>
    </w:div>
    <w:div w:id="263341202">
      <w:bodyDiv w:val="1"/>
      <w:marLeft w:val="0"/>
      <w:marRight w:val="0"/>
      <w:marTop w:val="0"/>
      <w:marBottom w:val="0"/>
      <w:divBdr>
        <w:top w:val="none" w:sz="0" w:space="0" w:color="auto"/>
        <w:left w:val="none" w:sz="0" w:space="0" w:color="auto"/>
        <w:bottom w:val="none" w:sz="0" w:space="0" w:color="auto"/>
        <w:right w:val="none" w:sz="0" w:space="0" w:color="auto"/>
      </w:divBdr>
      <w:divsChild>
        <w:div w:id="1392994595">
          <w:marLeft w:val="0"/>
          <w:marRight w:val="0"/>
          <w:marTop w:val="0"/>
          <w:marBottom w:val="0"/>
          <w:divBdr>
            <w:top w:val="none" w:sz="0" w:space="0" w:color="auto"/>
            <w:left w:val="none" w:sz="0" w:space="0" w:color="auto"/>
            <w:bottom w:val="none" w:sz="0" w:space="0" w:color="auto"/>
            <w:right w:val="none" w:sz="0" w:space="0" w:color="auto"/>
          </w:divBdr>
          <w:divsChild>
            <w:div w:id="226840964">
              <w:marLeft w:val="0"/>
              <w:marRight w:val="0"/>
              <w:marTop w:val="0"/>
              <w:marBottom w:val="0"/>
              <w:divBdr>
                <w:top w:val="none" w:sz="0" w:space="0" w:color="auto"/>
                <w:left w:val="none" w:sz="0" w:space="0" w:color="auto"/>
                <w:bottom w:val="none" w:sz="0" w:space="0" w:color="auto"/>
                <w:right w:val="none" w:sz="0" w:space="0" w:color="auto"/>
              </w:divBdr>
              <w:divsChild>
                <w:div w:id="1099250458">
                  <w:marLeft w:val="0"/>
                  <w:marRight w:val="0"/>
                  <w:marTop w:val="0"/>
                  <w:marBottom w:val="0"/>
                  <w:divBdr>
                    <w:top w:val="none" w:sz="0" w:space="0" w:color="auto"/>
                    <w:left w:val="none" w:sz="0" w:space="0" w:color="auto"/>
                    <w:bottom w:val="none" w:sz="0" w:space="0" w:color="auto"/>
                    <w:right w:val="none" w:sz="0" w:space="0" w:color="auto"/>
                  </w:divBdr>
                </w:div>
                <w:div w:id="1616404040">
                  <w:marLeft w:val="0"/>
                  <w:marRight w:val="0"/>
                  <w:marTop w:val="0"/>
                  <w:marBottom w:val="0"/>
                  <w:divBdr>
                    <w:top w:val="none" w:sz="0" w:space="0" w:color="auto"/>
                    <w:left w:val="none" w:sz="0" w:space="0" w:color="auto"/>
                    <w:bottom w:val="none" w:sz="0" w:space="0" w:color="auto"/>
                    <w:right w:val="none" w:sz="0" w:space="0" w:color="auto"/>
                  </w:divBdr>
                </w:div>
                <w:div w:id="311832481">
                  <w:marLeft w:val="0"/>
                  <w:marRight w:val="0"/>
                  <w:marTop w:val="0"/>
                  <w:marBottom w:val="0"/>
                  <w:divBdr>
                    <w:top w:val="none" w:sz="0" w:space="0" w:color="auto"/>
                    <w:left w:val="none" w:sz="0" w:space="0" w:color="auto"/>
                    <w:bottom w:val="none" w:sz="0" w:space="0" w:color="auto"/>
                    <w:right w:val="none" w:sz="0" w:space="0" w:color="auto"/>
                  </w:divBdr>
                </w:div>
                <w:div w:id="1307319457">
                  <w:marLeft w:val="0"/>
                  <w:marRight w:val="0"/>
                  <w:marTop w:val="0"/>
                  <w:marBottom w:val="0"/>
                  <w:divBdr>
                    <w:top w:val="none" w:sz="0" w:space="0" w:color="auto"/>
                    <w:left w:val="none" w:sz="0" w:space="0" w:color="auto"/>
                    <w:bottom w:val="none" w:sz="0" w:space="0" w:color="auto"/>
                    <w:right w:val="none" w:sz="0" w:space="0" w:color="auto"/>
                  </w:divBdr>
                </w:div>
                <w:div w:id="1507017716">
                  <w:marLeft w:val="0"/>
                  <w:marRight w:val="0"/>
                  <w:marTop w:val="0"/>
                  <w:marBottom w:val="0"/>
                  <w:divBdr>
                    <w:top w:val="none" w:sz="0" w:space="0" w:color="auto"/>
                    <w:left w:val="none" w:sz="0" w:space="0" w:color="auto"/>
                    <w:bottom w:val="none" w:sz="0" w:space="0" w:color="auto"/>
                    <w:right w:val="none" w:sz="0" w:space="0" w:color="auto"/>
                  </w:divBdr>
                </w:div>
                <w:div w:id="165286121">
                  <w:marLeft w:val="0"/>
                  <w:marRight w:val="0"/>
                  <w:marTop w:val="0"/>
                  <w:marBottom w:val="0"/>
                  <w:divBdr>
                    <w:top w:val="none" w:sz="0" w:space="0" w:color="auto"/>
                    <w:left w:val="none" w:sz="0" w:space="0" w:color="auto"/>
                    <w:bottom w:val="none" w:sz="0" w:space="0" w:color="auto"/>
                    <w:right w:val="none" w:sz="0" w:space="0" w:color="auto"/>
                  </w:divBdr>
                </w:div>
                <w:div w:id="1024945195">
                  <w:marLeft w:val="0"/>
                  <w:marRight w:val="0"/>
                  <w:marTop w:val="0"/>
                  <w:marBottom w:val="0"/>
                  <w:divBdr>
                    <w:top w:val="none" w:sz="0" w:space="0" w:color="auto"/>
                    <w:left w:val="none" w:sz="0" w:space="0" w:color="auto"/>
                    <w:bottom w:val="none" w:sz="0" w:space="0" w:color="auto"/>
                    <w:right w:val="none" w:sz="0" w:space="0" w:color="auto"/>
                  </w:divBdr>
                </w:div>
                <w:div w:id="1694458541">
                  <w:marLeft w:val="0"/>
                  <w:marRight w:val="0"/>
                  <w:marTop w:val="0"/>
                  <w:marBottom w:val="0"/>
                  <w:divBdr>
                    <w:top w:val="none" w:sz="0" w:space="0" w:color="auto"/>
                    <w:left w:val="none" w:sz="0" w:space="0" w:color="auto"/>
                    <w:bottom w:val="none" w:sz="0" w:space="0" w:color="auto"/>
                    <w:right w:val="none" w:sz="0" w:space="0" w:color="auto"/>
                  </w:divBdr>
                </w:div>
                <w:div w:id="521895410">
                  <w:marLeft w:val="0"/>
                  <w:marRight w:val="0"/>
                  <w:marTop w:val="0"/>
                  <w:marBottom w:val="0"/>
                  <w:divBdr>
                    <w:top w:val="none" w:sz="0" w:space="0" w:color="auto"/>
                    <w:left w:val="none" w:sz="0" w:space="0" w:color="auto"/>
                    <w:bottom w:val="none" w:sz="0" w:space="0" w:color="auto"/>
                    <w:right w:val="none" w:sz="0" w:space="0" w:color="auto"/>
                  </w:divBdr>
                </w:div>
                <w:div w:id="1317295560">
                  <w:marLeft w:val="0"/>
                  <w:marRight w:val="0"/>
                  <w:marTop w:val="0"/>
                  <w:marBottom w:val="0"/>
                  <w:divBdr>
                    <w:top w:val="none" w:sz="0" w:space="0" w:color="auto"/>
                    <w:left w:val="none" w:sz="0" w:space="0" w:color="auto"/>
                    <w:bottom w:val="none" w:sz="0" w:space="0" w:color="auto"/>
                    <w:right w:val="none" w:sz="0" w:space="0" w:color="auto"/>
                  </w:divBdr>
                </w:div>
                <w:div w:id="1925528626">
                  <w:marLeft w:val="0"/>
                  <w:marRight w:val="0"/>
                  <w:marTop w:val="0"/>
                  <w:marBottom w:val="0"/>
                  <w:divBdr>
                    <w:top w:val="none" w:sz="0" w:space="0" w:color="auto"/>
                    <w:left w:val="none" w:sz="0" w:space="0" w:color="auto"/>
                    <w:bottom w:val="none" w:sz="0" w:space="0" w:color="auto"/>
                    <w:right w:val="none" w:sz="0" w:space="0" w:color="auto"/>
                  </w:divBdr>
                </w:div>
                <w:div w:id="1763060965">
                  <w:marLeft w:val="0"/>
                  <w:marRight w:val="0"/>
                  <w:marTop w:val="0"/>
                  <w:marBottom w:val="0"/>
                  <w:divBdr>
                    <w:top w:val="none" w:sz="0" w:space="0" w:color="auto"/>
                    <w:left w:val="none" w:sz="0" w:space="0" w:color="auto"/>
                    <w:bottom w:val="none" w:sz="0" w:space="0" w:color="auto"/>
                    <w:right w:val="none" w:sz="0" w:space="0" w:color="auto"/>
                  </w:divBdr>
                </w:div>
                <w:div w:id="1699619513">
                  <w:marLeft w:val="0"/>
                  <w:marRight w:val="0"/>
                  <w:marTop w:val="0"/>
                  <w:marBottom w:val="0"/>
                  <w:divBdr>
                    <w:top w:val="none" w:sz="0" w:space="0" w:color="auto"/>
                    <w:left w:val="none" w:sz="0" w:space="0" w:color="auto"/>
                    <w:bottom w:val="none" w:sz="0" w:space="0" w:color="auto"/>
                    <w:right w:val="none" w:sz="0" w:space="0" w:color="auto"/>
                  </w:divBdr>
                </w:div>
                <w:div w:id="670910220">
                  <w:marLeft w:val="0"/>
                  <w:marRight w:val="0"/>
                  <w:marTop w:val="0"/>
                  <w:marBottom w:val="0"/>
                  <w:divBdr>
                    <w:top w:val="none" w:sz="0" w:space="0" w:color="auto"/>
                    <w:left w:val="none" w:sz="0" w:space="0" w:color="auto"/>
                    <w:bottom w:val="none" w:sz="0" w:space="0" w:color="auto"/>
                    <w:right w:val="none" w:sz="0" w:space="0" w:color="auto"/>
                  </w:divBdr>
                </w:div>
                <w:div w:id="1197506329">
                  <w:marLeft w:val="0"/>
                  <w:marRight w:val="0"/>
                  <w:marTop w:val="0"/>
                  <w:marBottom w:val="0"/>
                  <w:divBdr>
                    <w:top w:val="none" w:sz="0" w:space="0" w:color="auto"/>
                    <w:left w:val="none" w:sz="0" w:space="0" w:color="auto"/>
                    <w:bottom w:val="none" w:sz="0" w:space="0" w:color="auto"/>
                    <w:right w:val="none" w:sz="0" w:space="0" w:color="auto"/>
                  </w:divBdr>
                </w:div>
                <w:div w:id="118451384">
                  <w:marLeft w:val="0"/>
                  <w:marRight w:val="0"/>
                  <w:marTop w:val="0"/>
                  <w:marBottom w:val="0"/>
                  <w:divBdr>
                    <w:top w:val="none" w:sz="0" w:space="0" w:color="auto"/>
                    <w:left w:val="none" w:sz="0" w:space="0" w:color="auto"/>
                    <w:bottom w:val="none" w:sz="0" w:space="0" w:color="auto"/>
                    <w:right w:val="none" w:sz="0" w:space="0" w:color="auto"/>
                  </w:divBdr>
                </w:div>
                <w:div w:id="133835538">
                  <w:marLeft w:val="0"/>
                  <w:marRight w:val="0"/>
                  <w:marTop w:val="0"/>
                  <w:marBottom w:val="0"/>
                  <w:divBdr>
                    <w:top w:val="none" w:sz="0" w:space="0" w:color="auto"/>
                    <w:left w:val="none" w:sz="0" w:space="0" w:color="auto"/>
                    <w:bottom w:val="none" w:sz="0" w:space="0" w:color="auto"/>
                    <w:right w:val="none" w:sz="0" w:space="0" w:color="auto"/>
                  </w:divBdr>
                </w:div>
                <w:div w:id="1473713809">
                  <w:marLeft w:val="0"/>
                  <w:marRight w:val="0"/>
                  <w:marTop w:val="0"/>
                  <w:marBottom w:val="0"/>
                  <w:divBdr>
                    <w:top w:val="none" w:sz="0" w:space="0" w:color="auto"/>
                    <w:left w:val="none" w:sz="0" w:space="0" w:color="auto"/>
                    <w:bottom w:val="none" w:sz="0" w:space="0" w:color="auto"/>
                    <w:right w:val="none" w:sz="0" w:space="0" w:color="auto"/>
                  </w:divBdr>
                </w:div>
                <w:div w:id="1022980020">
                  <w:marLeft w:val="0"/>
                  <w:marRight w:val="0"/>
                  <w:marTop w:val="0"/>
                  <w:marBottom w:val="0"/>
                  <w:divBdr>
                    <w:top w:val="none" w:sz="0" w:space="0" w:color="auto"/>
                    <w:left w:val="none" w:sz="0" w:space="0" w:color="auto"/>
                    <w:bottom w:val="none" w:sz="0" w:space="0" w:color="auto"/>
                    <w:right w:val="none" w:sz="0" w:space="0" w:color="auto"/>
                  </w:divBdr>
                </w:div>
                <w:div w:id="1659654651">
                  <w:marLeft w:val="0"/>
                  <w:marRight w:val="0"/>
                  <w:marTop w:val="0"/>
                  <w:marBottom w:val="0"/>
                  <w:divBdr>
                    <w:top w:val="none" w:sz="0" w:space="0" w:color="auto"/>
                    <w:left w:val="none" w:sz="0" w:space="0" w:color="auto"/>
                    <w:bottom w:val="none" w:sz="0" w:space="0" w:color="auto"/>
                    <w:right w:val="none" w:sz="0" w:space="0" w:color="auto"/>
                  </w:divBdr>
                </w:div>
                <w:div w:id="863909485">
                  <w:marLeft w:val="0"/>
                  <w:marRight w:val="0"/>
                  <w:marTop w:val="0"/>
                  <w:marBottom w:val="0"/>
                  <w:divBdr>
                    <w:top w:val="none" w:sz="0" w:space="0" w:color="auto"/>
                    <w:left w:val="none" w:sz="0" w:space="0" w:color="auto"/>
                    <w:bottom w:val="none" w:sz="0" w:space="0" w:color="auto"/>
                    <w:right w:val="none" w:sz="0" w:space="0" w:color="auto"/>
                  </w:divBdr>
                </w:div>
                <w:div w:id="2121870126">
                  <w:marLeft w:val="0"/>
                  <w:marRight w:val="0"/>
                  <w:marTop w:val="0"/>
                  <w:marBottom w:val="0"/>
                  <w:divBdr>
                    <w:top w:val="none" w:sz="0" w:space="0" w:color="auto"/>
                    <w:left w:val="none" w:sz="0" w:space="0" w:color="auto"/>
                    <w:bottom w:val="none" w:sz="0" w:space="0" w:color="auto"/>
                    <w:right w:val="none" w:sz="0" w:space="0" w:color="auto"/>
                  </w:divBdr>
                </w:div>
                <w:div w:id="533538570">
                  <w:marLeft w:val="0"/>
                  <w:marRight w:val="0"/>
                  <w:marTop w:val="0"/>
                  <w:marBottom w:val="0"/>
                  <w:divBdr>
                    <w:top w:val="none" w:sz="0" w:space="0" w:color="auto"/>
                    <w:left w:val="none" w:sz="0" w:space="0" w:color="auto"/>
                    <w:bottom w:val="none" w:sz="0" w:space="0" w:color="auto"/>
                    <w:right w:val="none" w:sz="0" w:space="0" w:color="auto"/>
                  </w:divBdr>
                </w:div>
                <w:div w:id="1333215634">
                  <w:marLeft w:val="0"/>
                  <w:marRight w:val="0"/>
                  <w:marTop w:val="0"/>
                  <w:marBottom w:val="0"/>
                  <w:divBdr>
                    <w:top w:val="none" w:sz="0" w:space="0" w:color="auto"/>
                    <w:left w:val="none" w:sz="0" w:space="0" w:color="auto"/>
                    <w:bottom w:val="none" w:sz="0" w:space="0" w:color="auto"/>
                    <w:right w:val="none" w:sz="0" w:space="0" w:color="auto"/>
                  </w:divBdr>
                </w:div>
                <w:div w:id="168568827">
                  <w:marLeft w:val="0"/>
                  <w:marRight w:val="0"/>
                  <w:marTop w:val="0"/>
                  <w:marBottom w:val="0"/>
                  <w:divBdr>
                    <w:top w:val="none" w:sz="0" w:space="0" w:color="auto"/>
                    <w:left w:val="none" w:sz="0" w:space="0" w:color="auto"/>
                    <w:bottom w:val="none" w:sz="0" w:space="0" w:color="auto"/>
                    <w:right w:val="none" w:sz="0" w:space="0" w:color="auto"/>
                  </w:divBdr>
                </w:div>
                <w:div w:id="1694071250">
                  <w:marLeft w:val="0"/>
                  <w:marRight w:val="0"/>
                  <w:marTop w:val="0"/>
                  <w:marBottom w:val="0"/>
                  <w:divBdr>
                    <w:top w:val="none" w:sz="0" w:space="0" w:color="auto"/>
                    <w:left w:val="none" w:sz="0" w:space="0" w:color="auto"/>
                    <w:bottom w:val="none" w:sz="0" w:space="0" w:color="auto"/>
                    <w:right w:val="none" w:sz="0" w:space="0" w:color="auto"/>
                  </w:divBdr>
                </w:div>
                <w:div w:id="571937878">
                  <w:marLeft w:val="0"/>
                  <w:marRight w:val="0"/>
                  <w:marTop w:val="0"/>
                  <w:marBottom w:val="0"/>
                  <w:divBdr>
                    <w:top w:val="none" w:sz="0" w:space="0" w:color="auto"/>
                    <w:left w:val="none" w:sz="0" w:space="0" w:color="auto"/>
                    <w:bottom w:val="none" w:sz="0" w:space="0" w:color="auto"/>
                    <w:right w:val="none" w:sz="0" w:space="0" w:color="auto"/>
                  </w:divBdr>
                </w:div>
                <w:div w:id="681467555">
                  <w:marLeft w:val="0"/>
                  <w:marRight w:val="0"/>
                  <w:marTop w:val="0"/>
                  <w:marBottom w:val="0"/>
                  <w:divBdr>
                    <w:top w:val="none" w:sz="0" w:space="0" w:color="auto"/>
                    <w:left w:val="none" w:sz="0" w:space="0" w:color="auto"/>
                    <w:bottom w:val="none" w:sz="0" w:space="0" w:color="auto"/>
                    <w:right w:val="none" w:sz="0" w:space="0" w:color="auto"/>
                  </w:divBdr>
                </w:div>
                <w:div w:id="1140919110">
                  <w:marLeft w:val="0"/>
                  <w:marRight w:val="0"/>
                  <w:marTop w:val="0"/>
                  <w:marBottom w:val="0"/>
                  <w:divBdr>
                    <w:top w:val="none" w:sz="0" w:space="0" w:color="auto"/>
                    <w:left w:val="none" w:sz="0" w:space="0" w:color="auto"/>
                    <w:bottom w:val="none" w:sz="0" w:space="0" w:color="auto"/>
                    <w:right w:val="none" w:sz="0" w:space="0" w:color="auto"/>
                  </w:divBdr>
                </w:div>
                <w:div w:id="291253512">
                  <w:marLeft w:val="0"/>
                  <w:marRight w:val="0"/>
                  <w:marTop w:val="0"/>
                  <w:marBottom w:val="0"/>
                  <w:divBdr>
                    <w:top w:val="none" w:sz="0" w:space="0" w:color="auto"/>
                    <w:left w:val="none" w:sz="0" w:space="0" w:color="auto"/>
                    <w:bottom w:val="none" w:sz="0" w:space="0" w:color="auto"/>
                    <w:right w:val="none" w:sz="0" w:space="0" w:color="auto"/>
                  </w:divBdr>
                </w:div>
                <w:div w:id="738941266">
                  <w:marLeft w:val="0"/>
                  <w:marRight w:val="0"/>
                  <w:marTop w:val="0"/>
                  <w:marBottom w:val="0"/>
                  <w:divBdr>
                    <w:top w:val="none" w:sz="0" w:space="0" w:color="auto"/>
                    <w:left w:val="none" w:sz="0" w:space="0" w:color="auto"/>
                    <w:bottom w:val="none" w:sz="0" w:space="0" w:color="auto"/>
                    <w:right w:val="none" w:sz="0" w:space="0" w:color="auto"/>
                  </w:divBdr>
                </w:div>
                <w:div w:id="951013263">
                  <w:marLeft w:val="0"/>
                  <w:marRight w:val="0"/>
                  <w:marTop w:val="0"/>
                  <w:marBottom w:val="0"/>
                  <w:divBdr>
                    <w:top w:val="none" w:sz="0" w:space="0" w:color="auto"/>
                    <w:left w:val="none" w:sz="0" w:space="0" w:color="auto"/>
                    <w:bottom w:val="none" w:sz="0" w:space="0" w:color="auto"/>
                    <w:right w:val="none" w:sz="0" w:space="0" w:color="auto"/>
                  </w:divBdr>
                </w:div>
                <w:div w:id="1367483058">
                  <w:marLeft w:val="0"/>
                  <w:marRight w:val="0"/>
                  <w:marTop w:val="0"/>
                  <w:marBottom w:val="0"/>
                  <w:divBdr>
                    <w:top w:val="none" w:sz="0" w:space="0" w:color="auto"/>
                    <w:left w:val="none" w:sz="0" w:space="0" w:color="auto"/>
                    <w:bottom w:val="none" w:sz="0" w:space="0" w:color="auto"/>
                    <w:right w:val="none" w:sz="0" w:space="0" w:color="auto"/>
                  </w:divBdr>
                </w:div>
                <w:div w:id="722750702">
                  <w:marLeft w:val="0"/>
                  <w:marRight w:val="0"/>
                  <w:marTop w:val="0"/>
                  <w:marBottom w:val="0"/>
                  <w:divBdr>
                    <w:top w:val="none" w:sz="0" w:space="0" w:color="auto"/>
                    <w:left w:val="none" w:sz="0" w:space="0" w:color="auto"/>
                    <w:bottom w:val="none" w:sz="0" w:space="0" w:color="auto"/>
                    <w:right w:val="none" w:sz="0" w:space="0" w:color="auto"/>
                  </w:divBdr>
                </w:div>
                <w:div w:id="1407265249">
                  <w:marLeft w:val="0"/>
                  <w:marRight w:val="0"/>
                  <w:marTop w:val="0"/>
                  <w:marBottom w:val="0"/>
                  <w:divBdr>
                    <w:top w:val="none" w:sz="0" w:space="0" w:color="auto"/>
                    <w:left w:val="none" w:sz="0" w:space="0" w:color="auto"/>
                    <w:bottom w:val="none" w:sz="0" w:space="0" w:color="auto"/>
                    <w:right w:val="none" w:sz="0" w:space="0" w:color="auto"/>
                  </w:divBdr>
                </w:div>
                <w:div w:id="966813935">
                  <w:marLeft w:val="0"/>
                  <w:marRight w:val="0"/>
                  <w:marTop w:val="0"/>
                  <w:marBottom w:val="0"/>
                  <w:divBdr>
                    <w:top w:val="none" w:sz="0" w:space="0" w:color="auto"/>
                    <w:left w:val="none" w:sz="0" w:space="0" w:color="auto"/>
                    <w:bottom w:val="none" w:sz="0" w:space="0" w:color="auto"/>
                    <w:right w:val="none" w:sz="0" w:space="0" w:color="auto"/>
                  </w:divBdr>
                </w:div>
                <w:div w:id="1279752366">
                  <w:marLeft w:val="0"/>
                  <w:marRight w:val="0"/>
                  <w:marTop w:val="0"/>
                  <w:marBottom w:val="0"/>
                  <w:divBdr>
                    <w:top w:val="none" w:sz="0" w:space="0" w:color="auto"/>
                    <w:left w:val="none" w:sz="0" w:space="0" w:color="auto"/>
                    <w:bottom w:val="none" w:sz="0" w:space="0" w:color="auto"/>
                    <w:right w:val="none" w:sz="0" w:space="0" w:color="auto"/>
                  </w:divBdr>
                </w:div>
                <w:div w:id="1405762379">
                  <w:marLeft w:val="0"/>
                  <w:marRight w:val="0"/>
                  <w:marTop w:val="0"/>
                  <w:marBottom w:val="0"/>
                  <w:divBdr>
                    <w:top w:val="none" w:sz="0" w:space="0" w:color="auto"/>
                    <w:left w:val="none" w:sz="0" w:space="0" w:color="auto"/>
                    <w:bottom w:val="none" w:sz="0" w:space="0" w:color="auto"/>
                    <w:right w:val="none" w:sz="0" w:space="0" w:color="auto"/>
                  </w:divBdr>
                </w:div>
                <w:div w:id="1378579901">
                  <w:marLeft w:val="0"/>
                  <w:marRight w:val="0"/>
                  <w:marTop w:val="0"/>
                  <w:marBottom w:val="0"/>
                  <w:divBdr>
                    <w:top w:val="none" w:sz="0" w:space="0" w:color="auto"/>
                    <w:left w:val="none" w:sz="0" w:space="0" w:color="auto"/>
                    <w:bottom w:val="none" w:sz="0" w:space="0" w:color="auto"/>
                    <w:right w:val="none" w:sz="0" w:space="0" w:color="auto"/>
                  </w:divBdr>
                </w:div>
                <w:div w:id="2111662317">
                  <w:marLeft w:val="0"/>
                  <w:marRight w:val="0"/>
                  <w:marTop w:val="0"/>
                  <w:marBottom w:val="0"/>
                  <w:divBdr>
                    <w:top w:val="none" w:sz="0" w:space="0" w:color="auto"/>
                    <w:left w:val="none" w:sz="0" w:space="0" w:color="auto"/>
                    <w:bottom w:val="none" w:sz="0" w:space="0" w:color="auto"/>
                    <w:right w:val="none" w:sz="0" w:space="0" w:color="auto"/>
                  </w:divBdr>
                </w:div>
                <w:div w:id="18165833">
                  <w:marLeft w:val="0"/>
                  <w:marRight w:val="0"/>
                  <w:marTop w:val="0"/>
                  <w:marBottom w:val="0"/>
                  <w:divBdr>
                    <w:top w:val="none" w:sz="0" w:space="0" w:color="auto"/>
                    <w:left w:val="none" w:sz="0" w:space="0" w:color="auto"/>
                    <w:bottom w:val="none" w:sz="0" w:space="0" w:color="auto"/>
                    <w:right w:val="none" w:sz="0" w:space="0" w:color="auto"/>
                  </w:divBdr>
                </w:div>
                <w:div w:id="2004162655">
                  <w:marLeft w:val="0"/>
                  <w:marRight w:val="0"/>
                  <w:marTop w:val="0"/>
                  <w:marBottom w:val="0"/>
                  <w:divBdr>
                    <w:top w:val="none" w:sz="0" w:space="0" w:color="auto"/>
                    <w:left w:val="none" w:sz="0" w:space="0" w:color="auto"/>
                    <w:bottom w:val="none" w:sz="0" w:space="0" w:color="auto"/>
                    <w:right w:val="none" w:sz="0" w:space="0" w:color="auto"/>
                  </w:divBdr>
                </w:div>
                <w:div w:id="1944991286">
                  <w:marLeft w:val="0"/>
                  <w:marRight w:val="0"/>
                  <w:marTop w:val="0"/>
                  <w:marBottom w:val="0"/>
                  <w:divBdr>
                    <w:top w:val="none" w:sz="0" w:space="0" w:color="auto"/>
                    <w:left w:val="none" w:sz="0" w:space="0" w:color="auto"/>
                    <w:bottom w:val="none" w:sz="0" w:space="0" w:color="auto"/>
                    <w:right w:val="none" w:sz="0" w:space="0" w:color="auto"/>
                  </w:divBdr>
                </w:div>
                <w:div w:id="985014837">
                  <w:marLeft w:val="0"/>
                  <w:marRight w:val="0"/>
                  <w:marTop w:val="0"/>
                  <w:marBottom w:val="0"/>
                  <w:divBdr>
                    <w:top w:val="none" w:sz="0" w:space="0" w:color="auto"/>
                    <w:left w:val="none" w:sz="0" w:space="0" w:color="auto"/>
                    <w:bottom w:val="none" w:sz="0" w:space="0" w:color="auto"/>
                    <w:right w:val="none" w:sz="0" w:space="0" w:color="auto"/>
                  </w:divBdr>
                </w:div>
                <w:div w:id="1598059373">
                  <w:marLeft w:val="0"/>
                  <w:marRight w:val="0"/>
                  <w:marTop w:val="0"/>
                  <w:marBottom w:val="0"/>
                  <w:divBdr>
                    <w:top w:val="none" w:sz="0" w:space="0" w:color="auto"/>
                    <w:left w:val="none" w:sz="0" w:space="0" w:color="auto"/>
                    <w:bottom w:val="none" w:sz="0" w:space="0" w:color="auto"/>
                    <w:right w:val="none" w:sz="0" w:space="0" w:color="auto"/>
                  </w:divBdr>
                </w:div>
                <w:div w:id="1072194649">
                  <w:marLeft w:val="0"/>
                  <w:marRight w:val="0"/>
                  <w:marTop w:val="0"/>
                  <w:marBottom w:val="0"/>
                  <w:divBdr>
                    <w:top w:val="none" w:sz="0" w:space="0" w:color="auto"/>
                    <w:left w:val="none" w:sz="0" w:space="0" w:color="auto"/>
                    <w:bottom w:val="none" w:sz="0" w:space="0" w:color="auto"/>
                    <w:right w:val="none" w:sz="0" w:space="0" w:color="auto"/>
                  </w:divBdr>
                </w:div>
                <w:div w:id="1375471655">
                  <w:marLeft w:val="0"/>
                  <w:marRight w:val="0"/>
                  <w:marTop w:val="0"/>
                  <w:marBottom w:val="0"/>
                  <w:divBdr>
                    <w:top w:val="none" w:sz="0" w:space="0" w:color="auto"/>
                    <w:left w:val="none" w:sz="0" w:space="0" w:color="auto"/>
                    <w:bottom w:val="none" w:sz="0" w:space="0" w:color="auto"/>
                    <w:right w:val="none" w:sz="0" w:space="0" w:color="auto"/>
                  </w:divBdr>
                </w:div>
                <w:div w:id="1499811531">
                  <w:marLeft w:val="0"/>
                  <w:marRight w:val="0"/>
                  <w:marTop w:val="0"/>
                  <w:marBottom w:val="0"/>
                  <w:divBdr>
                    <w:top w:val="none" w:sz="0" w:space="0" w:color="auto"/>
                    <w:left w:val="none" w:sz="0" w:space="0" w:color="auto"/>
                    <w:bottom w:val="none" w:sz="0" w:space="0" w:color="auto"/>
                    <w:right w:val="none" w:sz="0" w:space="0" w:color="auto"/>
                  </w:divBdr>
                </w:div>
                <w:div w:id="1444808063">
                  <w:marLeft w:val="0"/>
                  <w:marRight w:val="0"/>
                  <w:marTop w:val="0"/>
                  <w:marBottom w:val="0"/>
                  <w:divBdr>
                    <w:top w:val="none" w:sz="0" w:space="0" w:color="auto"/>
                    <w:left w:val="none" w:sz="0" w:space="0" w:color="auto"/>
                    <w:bottom w:val="none" w:sz="0" w:space="0" w:color="auto"/>
                    <w:right w:val="none" w:sz="0" w:space="0" w:color="auto"/>
                  </w:divBdr>
                </w:div>
                <w:div w:id="1718041123">
                  <w:marLeft w:val="0"/>
                  <w:marRight w:val="0"/>
                  <w:marTop w:val="0"/>
                  <w:marBottom w:val="0"/>
                  <w:divBdr>
                    <w:top w:val="none" w:sz="0" w:space="0" w:color="auto"/>
                    <w:left w:val="none" w:sz="0" w:space="0" w:color="auto"/>
                    <w:bottom w:val="none" w:sz="0" w:space="0" w:color="auto"/>
                    <w:right w:val="none" w:sz="0" w:space="0" w:color="auto"/>
                  </w:divBdr>
                </w:div>
                <w:div w:id="1492990589">
                  <w:marLeft w:val="0"/>
                  <w:marRight w:val="0"/>
                  <w:marTop w:val="0"/>
                  <w:marBottom w:val="0"/>
                  <w:divBdr>
                    <w:top w:val="none" w:sz="0" w:space="0" w:color="auto"/>
                    <w:left w:val="none" w:sz="0" w:space="0" w:color="auto"/>
                    <w:bottom w:val="none" w:sz="0" w:space="0" w:color="auto"/>
                    <w:right w:val="none" w:sz="0" w:space="0" w:color="auto"/>
                  </w:divBdr>
                </w:div>
                <w:div w:id="1642611431">
                  <w:marLeft w:val="0"/>
                  <w:marRight w:val="0"/>
                  <w:marTop w:val="0"/>
                  <w:marBottom w:val="0"/>
                  <w:divBdr>
                    <w:top w:val="none" w:sz="0" w:space="0" w:color="auto"/>
                    <w:left w:val="none" w:sz="0" w:space="0" w:color="auto"/>
                    <w:bottom w:val="none" w:sz="0" w:space="0" w:color="auto"/>
                    <w:right w:val="none" w:sz="0" w:space="0" w:color="auto"/>
                  </w:divBdr>
                </w:div>
                <w:div w:id="837504198">
                  <w:marLeft w:val="0"/>
                  <w:marRight w:val="0"/>
                  <w:marTop w:val="0"/>
                  <w:marBottom w:val="0"/>
                  <w:divBdr>
                    <w:top w:val="none" w:sz="0" w:space="0" w:color="auto"/>
                    <w:left w:val="none" w:sz="0" w:space="0" w:color="auto"/>
                    <w:bottom w:val="none" w:sz="0" w:space="0" w:color="auto"/>
                    <w:right w:val="none" w:sz="0" w:space="0" w:color="auto"/>
                  </w:divBdr>
                </w:div>
                <w:div w:id="1975988223">
                  <w:marLeft w:val="0"/>
                  <w:marRight w:val="0"/>
                  <w:marTop w:val="0"/>
                  <w:marBottom w:val="0"/>
                  <w:divBdr>
                    <w:top w:val="none" w:sz="0" w:space="0" w:color="auto"/>
                    <w:left w:val="none" w:sz="0" w:space="0" w:color="auto"/>
                    <w:bottom w:val="none" w:sz="0" w:space="0" w:color="auto"/>
                    <w:right w:val="none" w:sz="0" w:space="0" w:color="auto"/>
                  </w:divBdr>
                </w:div>
                <w:div w:id="1396199533">
                  <w:marLeft w:val="0"/>
                  <w:marRight w:val="0"/>
                  <w:marTop w:val="0"/>
                  <w:marBottom w:val="0"/>
                  <w:divBdr>
                    <w:top w:val="none" w:sz="0" w:space="0" w:color="auto"/>
                    <w:left w:val="none" w:sz="0" w:space="0" w:color="auto"/>
                    <w:bottom w:val="none" w:sz="0" w:space="0" w:color="auto"/>
                    <w:right w:val="none" w:sz="0" w:space="0" w:color="auto"/>
                  </w:divBdr>
                </w:div>
                <w:div w:id="250821957">
                  <w:marLeft w:val="0"/>
                  <w:marRight w:val="0"/>
                  <w:marTop w:val="0"/>
                  <w:marBottom w:val="0"/>
                  <w:divBdr>
                    <w:top w:val="none" w:sz="0" w:space="0" w:color="auto"/>
                    <w:left w:val="none" w:sz="0" w:space="0" w:color="auto"/>
                    <w:bottom w:val="none" w:sz="0" w:space="0" w:color="auto"/>
                    <w:right w:val="none" w:sz="0" w:space="0" w:color="auto"/>
                  </w:divBdr>
                </w:div>
                <w:div w:id="433673809">
                  <w:marLeft w:val="0"/>
                  <w:marRight w:val="0"/>
                  <w:marTop w:val="0"/>
                  <w:marBottom w:val="0"/>
                  <w:divBdr>
                    <w:top w:val="none" w:sz="0" w:space="0" w:color="auto"/>
                    <w:left w:val="none" w:sz="0" w:space="0" w:color="auto"/>
                    <w:bottom w:val="none" w:sz="0" w:space="0" w:color="auto"/>
                    <w:right w:val="none" w:sz="0" w:space="0" w:color="auto"/>
                  </w:divBdr>
                </w:div>
                <w:div w:id="299387958">
                  <w:marLeft w:val="0"/>
                  <w:marRight w:val="0"/>
                  <w:marTop w:val="0"/>
                  <w:marBottom w:val="0"/>
                  <w:divBdr>
                    <w:top w:val="none" w:sz="0" w:space="0" w:color="auto"/>
                    <w:left w:val="none" w:sz="0" w:space="0" w:color="auto"/>
                    <w:bottom w:val="none" w:sz="0" w:space="0" w:color="auto"/>
                    <w:right w:val="none" w:sz="0" w:space="0" w:color="auto"/>
                  </w:divBdr>
                </w:div>
                <w:div w:id="1302230884">
                  <w:marLeft w:val="0"/>
                  <w:marRight w:val="0"/>
                  <w:marTop w:val="0"/>
                  <w:marBottom w:val="0"/>
                  <w:divBdr>
                    <w:top w:val="none" w:sz="0" w:space="0" w:color="auto"/>
                    <w:left w:val="none" w:sz="0" w:space="0" w:color="auto"/>
                    <w:bottom w:val="none" w:sz="0" w:space="0" w:color="auto"/>
                    <w:right w:val="none" w:sz="0" w:space="0" w:color="auto"/>
                  </w:divBdr>
                </w:div>
                <w:div w:id="1690135945">
                  <w:marLeft w:val="0"/>
                  <w:marRight w:val="0"/>
                  <w:marTop w:val="0"/>
                  <w:marBottom w:val="0"/>
                  <w:divBdr>
                    <w:top w:val="none" w:sz="0" w:space="0" w:color="auto"/>
                    <w:left w:val="none" w:sz="0" w:space="0" w:color="auto"/>
                    <w:bottom w:val="none" w:sz="0" w:space="0" w:color="auto"/>
                    <w:right w:val="none" w:sz="0" w:space="0" w:color="auto"/>
                  </w:divBdr>
                </w:div>
                <w:div w:id="1140994302">
                  <w:marLeft w:val="0"/>
                  <w:marRight w:val="0"/>
                  <w:marTop w:val="0"/>
                  <w:marBottom w:val="0"/>
                  <w:divBdr>
                    <w:top w:val="none" w:sz="0" w:space="0" w:color="auto"/>
                    <w:left w:val="none" w:sz="0" w:space="0" w:color="auto"/>
                    <w:bottom w:val="none" w:sz="0" w:space="0" w:color="auto"/>
                    <w:right w:val="none" w:sz="0" w:space="0" w:color="auto"/>
                  </w:divBdr>
                </w:div>
                <w:div w:id="360059169">
                  <w:marLeft w:val="0"/>
                  <w:marRight w:val="0"/>
                  <w:marTop w:val="0"/>
                  <w:marBottom w:val="0"/>
                  <w:divBdr>
                    <w:top w:val="none" w:sz="0" w:space="0" w:color="auto"/>
                    <w:left w:val="none" w:sz="0" w:space="0" w:color="auto"/>
                    <w:bottom w:val="none" w:sz="0" w:space="0" w:color="auto"/>
                    <w:right w:val="none" w:sz="0" w:space="0" w:color="auto"/>
                  </w:divBdr>
                </w:div>
                <w:div w:id="483163961">
                  <w:marLeft w:val="0"/>
                  <w:marRight w:val="0"/>
                  <w:marTop w:val="0"/>
                  <w:marBottom w:val="0"/>
                  <w:divBdr>
                    <w:top w:val="none" w:sz="0" w:space="0" w:color="auto"/>
                    <w:left w:val="none" w:sz="0" w:space="0" w:color="auto"/>
                    <w:bottom w:val="none" w:sz="0" w:space="0" w:color="auto"/>
                    <w:right w:val="none" w:sz="0" w:space="0" w:color="auto"/>
                  </w:divBdr>
                </w:div>
                <w:div w:id="1269773694">
                  <w:marLeft w:val="0"/>
                  <w:marRight w:val="0"/>
                  <w:marTop w:val="0"/>
                  <w:marBottom w:val="0"/>
                  <w:divBdr>
                    <w:top w:val="none" w:sz="0" w:space="0" w:color="auto"/>
                    <w:left w:val="none" w:sz="0" w:space="0" w:color="auto"/>
                    <w:bottom w:val="none" w:sz="0" w:space="0" w:color="auto"/>
                    <w:right w:val="none" w:sz="0" w:space="0" w:color="auto"/>
                  </w:divBdr>
                </w:div>
                <w:div w:id="679552426">
                  <w:marLeft w:val="0"/>
                  <w:marRight w:val="0"/>
                  <w:marTop w:val="0"/>
                  <w:marBottom w:val="0"/>
                  <w:divBdr>
                    <w:top w:val="none" w:sz="0" w:space="0" w:color="auto"/>
                    <w:left w:val="none" w:sz="0" w:space="0" w:color="auto"/>
                    <w:bottom w:val="none" w:sz="0" w:space="0" w:color="auto"/>
                    <w:right w:val="none" w:sz="0" w:space="0" w:color="auto"/>
                  </w:divBdr>
                </w:div>
                <w:div w:id="2027361520">
                  <w:marLeft w:val="0"/>
                  <w:marRight w:val="0"/>
                  <w:marTop w:val="0"/>
                  <w:marBottom w:val="0"/>
                  <w:divBdr>
                    <w:top w:val="none" w:sz="0" w:space="0" w:color="auto"/>
                    <w:left w:val="none" w:sz="0" w:space="0" w:color="auto"/>
                    <w:bottom w:val="none" w:sz="0" w:space="0" w:color="auto"/>
                    <w:right w:val="none" w:sz="0" w:space="0" w:color="auto"/>
                  </w:divBdr>
                </w:div>
                <w:div w:id="1068767550">
                  <w:marLeft w:val="0"/>
                  <w:marRight w:val="0"/>
                  <w:marTop w:val="0"/>
                  <w:marBottom w:val="0"/>
                  <w:divBdr>
                    <w:top w:val="none" w:sz="0" w:space="0" w:color="auto"/>
                    <w:left w:val="none" w:sz="0" w:space="0" w:color="auto"/>
                    <w:bottom w:val="none" w:sz="0" w:space="0" w:color="auto"/>
                    <w:right w:val="none" w:sz="0" w:space="0" w:color="auto"/>
                  </w:divBdr>
                </w:div>
                <w:div w:id="1644000275">
                  <w:marLeft w:val="0"/>
                  <w:marRight w:val="0"/>
                  <w:marTop w:val="0"/>
                  <w:marBottom w:val="0"/>
                  <w:divBdr>
                    <w:top w:val="none" w:sz="0" w:space="0" w:color="auto"/>
                    <w:left w:val="none" w:sz="0" w:space="0" w:color="auto"/>
                    <w:bottom w:val="none" w:sz="0" w:space="0" w:color="auto"/>
                    <w:right w:val="none" w:sz="0" w:space="0" w:color="auto"/>
                  </w:divBdr>
                </w:div>
                <w:div w:id="738216092">
                  <w:marLeft w:val="0"/>
                  <w:marRight w:val="0"/>
                  <w:marTop w:val="0"/>
                  <w:marBottom w:val="0"/>
                  <w:divBdr>
                    <w:top w:val="none" w:sz="0" w:space="0" w:color="auto"/>
                    <w:left w:val="none" w:sz="0" w:space="0" w:color="auto"/>
                    <w:bottom w:val="none" w:sz="0" w:space="0" w:color="auto"/>
                    <w:right w:val="none" w:sz="0" w:space="0" w:color="auto"/>
                  </w:divBdr>
                </w:div>
                <w:div w:id="647902303">
                  <w:marLeft w:val="0"/>
                  <w:marRight w:val="0"/>
                  <w:marTop w:val="0"/>
                  <w:marBottom w:val="0"/>
                  <w:divBdr>
                    <w:top w:val="none" w:sz="0" w:space="0" w:color="auto"/>
                    <w:left w:val="none" w:sz="0" w:space="0" w:color="auto"/>
                    <w:bottom w:val="none" w:sz="0" w:space="0" w:color="auto"/>
                    <w:right w:val="none" w:sz="0" w:space="0" w:color="auto"/>
                  </w:divBdr>
                </w:div>
                <w:div w:id="953638750">
                  <w:marLeft w:val="0"/>
                  <w:marRight w:val="0"/>
                  <w:marTop w:val="0"/>
                  <w:marBottom w:val="0"/>
                  <w:divBdr>
                    <w:top w:val="none" w:sz="0" w:space="0" w:color="auto"/>
                    <w:left w:val="none" w:sz="0" w:space="0" w:color="auto"/>
                    <w:bottom w:val="none" w:sz="0" w:space="0" w:color="auto"/>
                    <w:right w:val="none" w:sz="0" w:space="0" w:color="auto"/>
                  </w:divBdr>
                </w:div>
                <w:div w:id="1298878397">
                  <w:marLeft w:val="0"/>
                  <w:marRight w:val="0"/>
                  <w:marTop w:val="0"/>
                  <w:marBottom w:val="0"/>
                  <w:divBdr>
                    <w:top w:val="none" w:sz="0" w:space="0" w:color="auto"/>
                    <w:left w:val="none" w:sz="0" w:space="0" w:color="auto"/>
                    <w:bottom w:val="none" w:sz="0" w:space="0" w:color="auto"/>
                    <w:right w:val="none" w:sz="0" w:space="0" w:color="auto"/>
                  </w:divBdr>
                </w:div>
                <w:div w:id="822814508">
                  <w:marLeft w:val="0"/>
                  <w:marRight w:val="0"/>
                  <w:marTop w:val="0"/>
                  <w:marBottom w:val="0"/>
                  <w:divBdr>
                    <w:top w:val="none" w:sz="0" w:space="0" w:color="auto"/>
                    <w:left w:val="none" w:sz="0" w:space="0" w:color="auto"/>
                    <w:bottom w:val="none" w:sz="0" w:space="0" w:color="auto"/>
                    <w:right w:val="none" w:sz="0" w:space="0" w:color="auto"/>
                  </w:divBdr>
                </w:div>
                <w:div w:id="1558973821">
                  <w:marLeft w:val="0"/>
                  <w:marRight w:val="0"/>
                  <w:marTop w:val="0"/>
                  <w:marBottom w:val="0"/>
                  <w:divBdr>
                    <w:top w:val="none" w:sz="0" w:space="0" w:color="auto"/>
                    <w:left w:val="none" w:sz="0" w:space="0" w:color="auto"/>
                    <w:bottom w:val="none" w:sz="0" w:space="0" w:color="auto"/>
                    <w:right w:val="none" w:sz="0" w:space="0" w:color="auto"/>
                  </w:divBdr>
                </w:div>
                <w:div w:id="1966158860">
                  <w:marLeft w:val="0"/>
                  <w:marRight w:val="0"/>
                  <w:marTop w:val="0"/>
                  <w:marBottom w:val="0"/>
                  <w:divBdr>
                    <w:top w:val="none" w:sz="0" w:space="0" w:color="auto"/>
                    <w:left w:val="none" w:sz="0" w:space="0" w:color="auto"/>
                    <w:bottom w:val="none" w:sz="0" w:space="0" w:color="auto"/>
                    <w:right w:val="none" w:sz="0" w:space="0" w:color="auto"/>
                  </w:divBdr>
                </w:div>
                <w:div w:id="890730751">
                  <w:marLeft w:val="0"/>
                  <w:marRight w:val="0"/>
                  <w:marTop w:val="0"/>
                  <w:marBottom w:val="0"/>
                  <w:divBdr>
                    <w:top w:val="none" w:sz="0" w:space="0" w:color="auto"/>
                    <w:left w:val="none" w:sz="0" w:space="0" w:color="auto"/>
                    <w:bottom w:val="none" w:sz="0" w:space="0" w:color="auto"/>
                    <w:right w:val="none" w:sz="0" w:space="0" w:color="auto"/>
                  </w:divBdr>
                </w:div>
                <w:div w:id="1794908157">
                  <w:marLeft w:val="0"/>
                  <w:marRight w:val="0"/>
                  <w:marTop w:val="0"/>
                  <w:marBottom w:val="0"/>
                  <w:divBdr>
                    <w:top w:val="none" w:sz="0" w:space="0" w:color="auto"/>
                    <w:left w:val="none" w:sz="0" w:space="0" w:color="auto"/>
                    <w:bottom w:val="none" w:sz="0" w:space="0" w:color="auto"/>
                    <w:right w:val="none" w:sz="0" w:space="0" w:color="auto"/>
                  </w:divBdr>
                </w:div>
                <w:div w:id="873083094">
                  <w:marLeft w:val="0"/>
                  <w:marRight w:val="0"/>
                  <w:marTop w:val="0"/>
                  <w:marBottom w:val="0"/>
                  <w:divBdr>
                    <w:top w:val="none" w:sz="0" w:space="0" w:color="auto"/>
                    <w:left w:val="none" w:sz="0" w:space="0" w:color="auto"/>
                    <w:bottom w:val="none" w:sz="0" w:space="0" w:color="auto"/>
                    <w:right w:val="none" w:sz="0" w:space="0" w:color="auto"/>
                  </w:divBdr>
                </w:div>
                <w:div w:id="278801134">
                  <w:marLeft w:val="0"/>
                  <w:marRight w:val="0"/>
                  <w:marTop w:val="0"/>
                  <w:marBottom w:val="0"/>
                  <w:divBdr>
                    <w:top w:val="none" w:sz="0" w:space="0" w:color="auto"/>
                    <w:left w:val="none" w:sz="0" w:space="0" w:color="auto"/>
                    <w:bottom w:val="none" w:sz="0" w:space="0" w:color="auto"/>
                    <w:right w:val="none" w:sz="0" w:space="0" w:color="auto"/>
                  </w:divBdr>
                </w:div>
                <w:div w:id="260380411">
                  <w:marLeft w:val="0"/>
                  <w:marRight w:val="0"/>
                  <w:marTop w:val="0"/>
                  <w:marBottom w:val="0"/>
                  <w:divBdr>
                    <w:top w:val="none" w:sz="0" w:space="0" w:color="auto"/>
                    <w:left w:val="none" w:sz="0" w:space="0" w:color="auto"/>
                    <w:bottom w:val="none" w:sz="0" w:space="0" w:color="auto"/>
                    <w:right w:val="none" w:sz="0" w:space="0" w:color="auto"/>
                  </w:divBdr>
                </w:div>
                <w:div w:id="507789202">
                  <w:marLeft w:val="0"/>
                  <w:marRight w:val="0"/>
                  <w:marTop w:val="0"/>
                  <w:marBottom w:val="0"/>
                  <w:divBdr>
                    <w:top w:val="none" w:sz="0" w:space="0" w:color="auto"/>
                    <w:left w:val="none" w:sz="0" w:space="0" w:color="auto"/>
                    <w:bottom w:val="none" w:sz="0" w:space="0" w:color="auto"/>
                    <w:right w:val="none" w:sz="0" w:space="0" w:color="auto"/>
                  </w:divBdr>
                </w:div>
                <w:div w:id="1401321918">
                  <w:marLeft w:val="0"/>
                  <w:marRight w:val="0"/>
                  <w:marTop w:val="0"/>
                  <w:marBottom w:val="0"/>
                  <w:divBdr>
                    <w:top w:val="none" w:sz="0" w:space="0" w:color="auto"/>
                    <w:left w:val="none" w:sz="0" w:space="0" w:color="auto"/>
                    <w:bottom w:val="none" w:sz="0" w:space="0" w:color="auto"/>
                    <w:right w:val="none" w:sz="0" w:space="0" w:color="auto"/>
                  </w:divBdr>
                </w:div>
                <w:div w:id="448091889">
                  <w:marLeft w:val="0"/>
                  <w:marRight w:val="0"/>
                  <w:marTop w:val="0"/>
                  <w:marBottom w:val="0"/>
                  <w:divBdr>
                    <w:top w:val="none" w:sz="0" w:space="0" w:color="auto"/>
                    <w:left w:val="none" w:sz="0" w:space="0" w:color="auto"/>
                    <w:bottom w:val="none" w:sz="0" w:space="0" w:color="auto"/>
                    <w:right w:val="none" w:sz="0" w:space="0" w:color="auto"/>
                  </w:divBdr>
                </w:div>
                <w:div w:id="2037728651">
                  <w:marLeft w:val="0"/>
                  <w:marRight w:val="0"/>
                  <w:marTop w:val="0"/>
                  <w:marBottom w:val="0"/>
                  <w:divBdr>
                    <w:top w:val="none" w:sz="0" w:space="0" w:color="auto"/>
                    <w:left w:val="none" w:sz="0" w:space="0" w:color="auto"/>
                    <w:bottom w:val="none" w:sz="0" w:space="0" w:color="auto"/>
                    <w:right w:val="none" w:sz="0" w:space="0" w:color="auto"/>
                  </w:divBdr>
                </w:div>
                <w:div w:id="3381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5990">
          <w:marLeft w:val="0"/>
          <w:marRight w:val="0"/>
          <w:marTop w:val="0"/>
          <w:marBottom w:val="0"/>
          <w:divBdr>
            <w:top w:val="none" w:sz="0" w:space="0" w:color="auto"/>
            <w:left w:val="none" w:sz="0" w:space="0" w:color="auto"/>
            <w:bottom w:val="none" w:sz="0" w:space="0" w:color="auto"/>
            <w:right w:val="none" w:sz="0" w:space="0" w:color="auto"/>
          </w:divBdr>
          <w:divsChild>
            <w:div w:id="150368639">
              <w:marLeft w:val="0"/>
              <w:marRight w:val="0"/>
              <w:marTop w:val="0"/>
              <w:marBottom w:val="0"/>
              <w:divBdr>
                <w:top w:val="none" w:sz="0" w:space="0" w:color="auto"/>
                <w:left w:val="none" w:sz="0" w:space="0" w:color="auto"/>
                <w:bottom w:val="none" w:sz="0" w:space="0" w:color="auto"/>
                <w:right w:val="none" w:sz="0" w:space="0" w:color="auto"/>
              </w:divBdr>
              <w:divsChild>
                <w:div w:id="139078168">
                  <w:marLeft w:val="0"/>
                  <w:marRight w:val="0"/>
                  <w:marTop w:val="0"/>
                  <w:marBottom w:val="0"/>
                  <w:divBdr>
                    <w:top w:val="none" w:sz="0" w:space="0" w:color="auto"/>
                    <w:left w:val="none" w:sz="0" w:space="0" w:color="auto"/>
                    <w:bottom w:val="none" w:sz="0" w:space="0" w:color="auto"/>
                    <w:right w:val="none" w:sz="0" w:space="0" w:color="auto"/>
                  </w:divBdr>
                </w:div>
                <w:div w:id="1595628620">
                  <w:marLeft w:val="0"/>
                  <w:marRight w:val="0"/>
                  <w:marTop w:val="0"/>
                  <w:marBottom w:val="0"/>
                  <w:divBdr>
                    <w:top w:val="none" w:sz="0" w:space="0" w:color="auto"/>
                    <w:left w:val="none" w:sz="0" w:space="0" w:color="auto"/>
                    <w:bottom w:val="none" w:sz="0" w:space="0" w:color="auto"/>
                    <w:right w:val="none" w:sz="0" w:space="0" w:color="auto"/>
                  </w:divBdr>
                </w:div>
                <w:div w:id="1672567673">
                  <w:marLeft w:val="0"/>
                  <w:marRight w:val="0"/>
                  <w:marTop w:val="0"/>
                  <w:marBottom w:val="0"/>
                  <w:divBdr>
                    <w:top w:val="none" w:sz="0" w:space="0" w:color="auto"/>
                    <w:left w:val="none" w:sz="0" w:space="0" w:color="auto"/>
                    <w:bottom w:val="none" w:sz="0" w:space="0" w:color="auto"/>
                    <w:right w:val="none" w:sz="0" w:space="0" w:color="auto"/>
                  </w:divBdr>
                </w:div>
                <w:div w:id="1126312801">
                  <w:marLeft w:val="0"/>
                  <w:marRight w:val="0"/>
                  <w:marTop w:val="0"/>
                  <w:marBottom w:val="0"/>
                  <w:divBdr>
                    <w:top w:val="none" w:sz="0" w:space="0" w:color="auto"/>
                    <w:left w:val="none" w:sz="0" w:space="0" w:color="auto"/>
                    <w:bottom w:val="none" w:sz="0" w:space="0" w:color="auto"/>
                    <w:right w:val="none" w:sz="0" w:space="0" w:color="auto"/>
                  </w:divBdr>
                </w:div>
                <w:div w:id="704528684">
                  <w:marLeft w:val="0"/>
                  <w:marRight w:val="0"/>
                  <w:marTop w:val="0"/>
                  <w:marBottom w:val="0"/>
                  <w:divBdr>
                    <w:top w:val="none" w:sz="0" w:space="0" w:color="auto"/>
                    <w:left w:val="none" w:sz="0" w:space="0" w:color="auto"/>
                    <w:bottom w:val="none" w:sz="0" w:space="0" w:color="auto"/>
                    <w:right w:val="none" w:sz="0" w:space="0" w:color="auto"/>
                  </w:divBdr>
                </w:div>
                <w:div w:id="1639263336">
                  <w:marLeft w:val="0"/>
                  <w:marRight w:val="0"/>
                  <w:marTop w:val="0"/>
                  <w:marBottom w:val="0"/>
                  <w:divBdr>
                    <w:top w:val="none" w:sz="0" w:space="0" w:color="auto"/>
                    <w:left w:val="none" w:sz="0" w:space="0" w:color="auto"/>
                    <w:bottom w:val="none" w:sz="0" w:space="0" w:color="auto"/>
                    <w:right w:val="none" w:sz="0" w:space="0" w:color="auto"/>
                  </w:divBdr>
                </w:div>
                <w:div w:id="812259007">
                  <w:marLeft w:val="0"/>
                  <w:marRight w:val="0"/>
                  <w:marTop w:val="0"/>
                  <w:marBottom w:val="0"/>
                  <w:divBdr>
                    <w:top w:val="none" w:sz="0" w:space="0" w:color="auto"/>
                    <w:left w:val="none" w:sz="0" w:space="0" w:color="auto"/>
                    <w:bottom w:val="none" w:sz="0" w:space="0" w:color="auto"/>
                    <w:right w:val="none" w:sz="0" w:space="0" w:color="auto"/>
                  </w:divBdr>
                </w:div>
                <w:div w:id="961039430">
                  <w:marLeft w:val="0"/>
                  <w:marRight w:val="0"/>
                  <w:marTop w:val="0"/>
                  <w:marBottom w:val="0"/>
                  <w:divBdr>
                    <w:top w:val="none" w:sz="0" w:space="0" w:color="auto"/>
                    <w:left w:val="none" w:sz="0" w:space="0" w:color="auto"/>
                    <w:bottom w:val="none" w:sz="0" w:space="0" w:color="auto"/>
                    <w:right w:val="none" w:sz="0" w:space="0" w:color="auto"/>
                  </w:divBdr>
                </w:div>
                <w:div w:id="1070469747">
                  <w:marLeft w:val="0"/>
                  <w:marRight w:val="0"/>
                  <w:marTop w:val="0"/>
                  <w:marBottom w:val="0"/>
                  <w:divBdr>
                    <w:top w:val="none" w:sz="0" w:space="0" w:color="auto"/>
                    <w:left w:val="none" w:sz="0" w:space="0" w:color="auto"/>
                    <w:bottom w:val="none" w:sz="0" w:space="0" w:color="auto"/>
                    <w:right w:val="none" w:sz="0" w:space="0" w:color="auto"/>
                  </w:divBdr>
                </w:div>
                <w:div w:id="1651901246">
                  <w:marLeft w:val="0"/>
                  <w:marRight w:val="0"/>
                  <w:marTop w:val="0"/>
                  <w:marBottom w:val="0"/>
                  <w:divBdr>
                    <w:top w:val="none" w:sz="0" w:space="0" w:color="auto"/>
                    <w:left w:val="none" w:sz="0" w:space="0" w:color="auto"/>
                    <w:bottom w:val="none" w:sz="0" w:space="0" w:color="auto"/>
                    <w:right w:val="none" w:sz="0" w:space="0" w:color="auto"/>
                  </w:divBdr>
                </w:div>
                <w:div w:id="2081905831">
                  <w:marLeft w:val="0"/>
                  <w:marRight w:val="0"/>
                  <w:marTop w:val="0"/>
                  <w:marBottom w:val="0"/>
                  <w:divBdr>
                    <w:top w:val="none" w:sz="0" w:space="0" w:color="auto"/>
                    <w:left w:val="none" w:sz="0" w:space="0" w:color="auto"/>
                    <w:bottom w:val="none" w:sz="0" w:space="0" w:color="auto"/>
                    <w:right w:val="none" w:sz="0" w:space="0" w:color="auto"/>
                  </w:divBdr>
                </w:div>
                <w:div w:id="623200257">
                  <w:marLeft w:val="0"/>
                  <w:marRight w:val="0"/>
                  <w:marTop w:val="0"/>
                  <w:marBottom w:val="0"/>
                  <w:divBdr>
                    <w:top w:val="none" w:sz="0" w:space="0" w:color="auto"/>
                    <w:left w:val="none" w:sz="0" w:space="0" w:color="auto"/>
                    <w:bottom w:val="none" w:sz="0" w:space="0" w:color="auto"/>
                    <w:right w:val="none" w:sz="0" w:space="0" w:color="auto"/>
                  </w:divBdr>
                </w:div>
                <w:div w:id="1695382057">
                  <w:marLeft w:val="0"/>
                  <w:marRight w:val="0"/>
                  <w:marTop w:val="0"/>
                  <w:marBottom w:val="0"/>
                  <w:divBdr>
                    <w:top w:val="none" w:sz="0" w:space="0" w:color="auto"/>
                    <w:left w:val="none" w:sz="0" w:space="0" w:color="auto"/>
                    <w:bottom w:val="none" w:sz="0" w:space="0" w:color="auto"/>
                    <w:right w:val="none" w:sz="0" w:space="0" w:color="auto"/>
                  </w:divBdr>
                </w:div>
                <w:div w:id="865941774">
                  <w:marLeft w:val="0"/>
                  <w:marRight w:val="0"/>
                  <w:marTop w:val="0"/>
                  <w:marBottom w:val="0"/>
                  <w:divBdr>
                    <w:top w:val="none" w:sz="0" w:space="0" w:color="auto"/>
                    <w:left w:val="none" w:sz="0" w:space="0" w:color="auto"/>
                    <w:bottom w:val="none" w:sz="0" w:space="0" w:color="auto"/>
                    <w:right w:val="none" w:sz="0" w:space="0" w:color="auto"/>
                  </w:divBdr>
                </w:div>
                <w:div w:id="1951161315">
                  <w:marLeft w:val="0"/>
                  <w:marRight w:val="0"/>
                  <w:marTop w:val="0"/>
                  <w:marBottom w:val="0"/>
                  <w:divBdr>
                    <w:top w:val="none" w:sz="0" w:space="0" w:color="auto"/>
                    <w:left w:val="none" w:sz="0" w:space="0" w:color="auto"/>
                    <w:bottom w:val="none" w:sz="0" w:space="0" w:color="auto"/>
                    <w:right w:val="none" w:sz="0" w:space="0" w:color="auto"/>
                  </w:divBdr>
                </w:div>
                <w:div w:id="615991918">
                  <w:marLeft w:val="0"/>
                  <w:marRight w:val="0"/>
                  <w:marTop w:val="0"/>
                  <w:marBottom w:val="0"/>
                  <w:divBdr>
                    <w:top w:val="none" w:sz="0" w:space="0" w:color="auto"/>
                    <w:left w:val="none" w:sz="0" w:space="0" w:color="auto"/>
                    <w:bottom w:val="none" w:sz="0" w:space="0" w:color="auto"/>
                    <w:right w:val="none" w:sz="0" w:space="0" w:color="auto"/>
                  </w:divBdr>
                </w:div>
                <w:div w:id="220676256">
                  <w:marLeft w:val="0"/>
                  <w:marRight w:val="0"/>
                  <w:marTop w:val="0"/>
                  <w:marBottom w:val="0"/>
                  <w:divBdr>
                    <w:top w:val="none" w:sz="0" w:space="0" w:color="auto"/>
                    <w:left w:val="none" w:sz="0" w:space="0" w:color="auto"/>
                    <w:bottom w:val="none" w:sz="0" w:space="0" w:color="auto"/>
                    <w:right w:val="none" w:sz="0" w:space="0" w:color="auto"/>
                  </w:divBdr>
                </w:div>
                <w:div w:id="1244223239">
                  <w:marLeft w:val="0"/>
                  <w:marRight w:val="0"/>
                  <w:marTop w:val="0"/>
                  <w:marBottom w:val="0"/>
                  <w:divBdr>
                    <w:top w:val="none" w:sz="0" w:space="0" w:color="auto"/>
                    <w:left w:val="none" w:sz="0" w:space="0" w:color="auto"/>
                    <w:bottom w:val="none" w:sz="0" w:space="0" w:color="auto"/>
                    <w:right w:val="none" w:sz="0" w:space="0" w:color="auto"/>
                  </w:divBdr>
                </w:div>
                <w:div w:id="1459252588">
                  <w:marLeft w:val="0"/>
                  <w:marRight w:val="0"/>
                  <w:marTop w:val="0"/>
                  <w:marBottom w:val="0"/>
                  <w:divBdr>
                    <w:top w:val="none" w:sz="0" w:space="0" w:color="auto"/>
                    <w:left w:val="none" w:sz="0" w:space="0" w:color="auto"/>
                    <w:bottom w:val="none" w:sz="0" w:space="0" w:color="auto"/>
                    <w:right w:val="none" w:sz="0" w:space="0" w:color="auto"/>
                  </w:divBdr>
                </w:div>
                <w:div w:id="26490844">
                  <w:marLeft w:val="0"/>
                  <w:marRight w:val="0"/>
                  <w:marTop w:val="0"/>
                  <w:marBottom w:val="0"/>
                  <w:divBdr>
                    <w:top w:val="none" w:sz="0" w:space="0" w:color="auto"/>
                    <w:left w:val="none" w:sz="0" w:space="0" w:color="auto"/>
                    <w:bottom w:val="none" w:sz="0" w:space="0" w:color="auto"/>
                    <w:right w:val="none" w:sz="0" w:space="0" w:color="auto"/>
                  </w:divBdr>
                </w:div>
                <w:div w:id="368071955">
                  <w:marLeft w:val="0"/>
                  <w:marRight w:val="0"/>
                  <w:marTop w:val="0"/>
                  <w:marBottom w:val="0"/>
                  <w:divBdr>
                    <w:top w:val="none" w:sz="0" w:space="0" w:color="auto"/>
                    <w:left w:val="none" w:sz="0" w:space="0" w:color="auto"/>
                    <w:bottom w:val="none" w:sz="0" w:space="0" w:color="auto"/>
                    <w:right w:val="none" w:sz="0" w:space="0" w:color="auto"/>
                  </w:divBdr>
                </w:div>
                <w:div w:id="1718621053">
                  <w:marLeft w:val="0"/>
                  <w:marRight w:val="0"/>
                  <w:marTop w:val="0"/>
                  <w:marBottom w:val="0"/>
                  <w:divBdr>
                    <w:top w:val="none" w:sz="0" w:space="0" w:color="auto"/>
                    <w:left w:val="none" w:sz="0" w:space="0" w:color="auto"/>
                    <w:bottom w:val="none" w:sz="0" w:space="0" w:color="auto"/>
                    <w:right w:val="none" w:sz="0" w:space="0" w:color="auto"/>
                  </w:divBdr>
                </w:div>
                <w:div w:id="573855621">
                  <w:marLeft w:val="0"/>
                  <w:marRight w:val="0"/>
                  <w:marTop w:val="0"/>
                  <w:marBottom w:val="0"/>
                  <w:divBdr>
                    <w:top w:val="none" w:sz="0" w:space="0" w:color="auto"/>
                    <w:left w:val="none" w:sz="0" w:space="0" w:color="auto"/>
                    <w:bottom w:val="none" w:sz="0" w:space="0" w:color="auto"/>
                    <w:right w:val="none" w:sz="0" w:space="0" w:color="auto"/>
                  </w:divBdr>
                </w:div>
                <w:div w:id="640616746">
                  <w:marLeft w:val="0"/>
                  <w:marRight w:val="0"/>
                  <w:marTop w:val="0"/>
                  <w:marBottom w:val="0"/>
                  <w:divBdr>
                    <w:top w:val="none" w:sz="0" w:space="0" w:color="auto"/>
                    <w:left w:val="none" w:sz="0" w:space="0" w:color="auto"/>
                    <w:bottom w:val="none" w:sz="0" w:space="0" w:color="auto"/>
                    <w:right w:val="none" w:sz="0" w:space="0" w:color="auto"/>
                  </w:divBdr>
                </w:div>
                <w:div w:id="294484479">
                  <w:marLeft w:val="0"/>
                  <w:marRight w:val="0"/>
                  <w:marTop w:val="0"/>
                  <w:marBottom w:val="0"/>
                  <w:divBdr>
                    <w:top w:val="none" w:sz="0" w:space="0" w:color="auto"/>
                    <w:left w:val="none" w:sz="0" w:space="0" w:color="auto"/>
                    <w:bottom w:val="none" w:sz="0" w:space="0" w:color="auto"/>
                    <w:right w:val="none" w:sz="0" w:space="0" w:color="auto"/>
                  </w:divBdr>
                </w:div>
                <w:div w:id="1233274478">
                  <w:marLeft w:val="0"/>
                  <w:marRight w:val="0"/>
                  <w:marTop w:val="0"/>
                  <w:marBottom w:val="0"/>
                  <w:divBdr>
                    <w:top w:val="none" w:sz="0" w:space="0" w:color="auto"/>
                    <w:left w:val="none" w:sz="0" w:space="0" w:color="auto"/>
                    <w:bottom w:val="none" w:sz="0" w:space="0" w:color="auto"/>
                    <w:right w:val="none" w:sz="0" w:space="0" w:color="auto"/>
                  </w:divBdr>
                </w:div>
                <w:div w:id="246960524">
                  <w:marLeft w:val="0"/>
                  <w:marRight w:val="0"/>
                  <w:marTop w:val="0"/>
                  <w:marBottom w:val="0"/>
                  <w:divBdr>
                    <w:top w:val="none" w:sz="0" w:space="0" w:color="auto"/>
                    <w:left w:val="none" w:sz="0" w:space="0" w:color="auto"/>
                    <w:bottom w:val="none" w:sz="0" w:space="0" w:color="auto"/>
                    <w:right w:val="none" w:sz="0" w:space="0" w:color="auto"/>
                  </w:divBdr>
                </w:div>
                <w:div w:id="2051611842">
                  <w:marLeft w:val="0"/>
                  <w:marRight w:val="0"/>
                  <w:marTop w:val="0"/>
                  <w:marBottom w:val="0"/>
                  <w:divBdr>
                    <w:top w:val="none" w:sz="0" w:space="0" w:color="auto"/>
                    <w:left w:val="none" w:sz="0" w:space="0" w:color="auto"/>
                    <w:bottom w:val="none" w:sz="0" w:space="0" w:color="auto"/>
                    <w:right w:val="none" w:sz="0" w:space="0" w:color="auto"/>
                  </w:divBdr>
                </w:div>
                <w:div w:id="1111164867">
                  <w:marLeft w:val="0"/>
                  <w:marRight w:val="0"/>
                  <w:marTop w:val="0"/>
                  <w:marBottom w:val="0"/>
                  <w:divBdr>
                    <w:top w:val="none" w:sz="0" w:space="0" w:color="auto"/>
                    <w:left w:val="none" w:sz="0" w:space="0" w:color="auto"/>
                    <w:bottom w:val="none" w:sz="0" w:space="0" w:color="auto"/>
                    <w:right w:val="none" w:sz="0" w:space="0" w:color="auto"/>
                  </w:divBdr>
                </w:div>
                <w:div w:id="1252005089">
                  <w:marLeft w:val="0"/>
                  <w:marRight w:val="0"/>
                  <w:marTop w:val="0"/>
                  <w:marBottom w:val="0"/>
                  <w:divBdr>
                    <w:top w:val="none" w:sz="0" w:space="0" w:color="auto"/>
                    <w:left w:val="none" w:sz="0" w:space="0" w:color="auto"/>
                    <w:bottom w:val="none" w:sz="0" w:space="0" w:color="auto"/>
                    <w:right w:val="none" w:sz="0" w:space="0" w:color="auto"/>
                  </w:divBdr>
                </w:div>
                <w:div w:id="215162383">
                  <w:marLeft w:val="0"/>
                  <w:marRight w:val="0"/>
                  <w:marTop w:val="0"/>
                  <w:marBottom w:val="0"/>
                  <w:divBdr>
                    <w:top w:val="none" w:sz="0" w:space="0" w:color="auto"/>
                    <w:left w:val="none" w:sz="0" w:space="0" w:color="auto"/>
                    <w:bottom w:val="none" w:sz="0" w:space="0" w:color="auto"/>
                    <w:right w:val="none" w:sz="0" w:space="0" w:color="auto"/>
                  </w:divBdr>
                </w:div>
                <w:div w:id="1082723414">
                  <w:marLeft w:val="0"/>
                  <w:marRight w:val="0"/>
                  <w:marTop w:val="0"/>
                  <w:marBottom w:val="0"/>
                  <w:divBdr>
                    <w:top w:val="none" w:sz="0" w:space="0" w:color="auto"/>
                    <w:left w:val="none" w:sz="0" w:space="0" w:color="auto"/>
                    <w:bottom w:val="none" w:sz="0" w:space="0" w:color="auto"/>
                    <w:right w:val="none" w:sz="0" w:space="0" w:color="auto"/>
                  </w:divBdr>
                </w:div>
                <w:div w:id="1328903016">
                  <w:marLeft w:val="0"/>
                  <w:marRight w:val="0"/>
                  <w:marTop w:val="0"/>
                  <w:marBottom w:val="0"/>
                  <w:divBdr>
                    <w:top w:val="none" w:sz="0" w:space="0" w:color="auto"/>
                    <w:left w:val="none" w:sz="0" w:space="0" w:color="auto"/>
                    <w:bottom w:val="none" w:sz="0" w:space="0" w:color="auto"/>
                    <w:right w:val="none" w:sz="0" w:space="0" w:color="auto"/>
                  </w:divBdr>
                </w:div>
                <w:div w:id="437914189">
                  <w:marLeft w:val="0"/>
                  <w:marRight w:val="0"/>
                  <w:marTop w:val="0"/>
                  <w:marBottom w:val="0"/>
                  <w:divBdr>
                    <w:top w:val="none" w:sz="0" w:space="0" w:color="auto"/>
                    <w:left w:val="none" w:sz="0" w:space="0" w:color="auto"/>
                    <w:bottom w:val="none" w:sz="0" w:space="0" w:color="auto"/>
                    <w:right w:val="none" w:sz="0" w:space="0" w:color="auto"/>
                  </w:divBdr>
                </w:div>
                <w:div w:id="795951581">
                  <w:marLeft w:val="0"/>
                  <w:marRight w:val="0"/>
                  <w:marTop w:val="0"/>
                  <w:marBottom w:val="0"/>
                  <w:divBdr>
                    <w:top w:val="none" w:sz="0" w:space="0" w:color="auto"/>
                    <w:left w:val="none" w:sz="0" w:space="0" w:color="auto"/>
                    <w:bottom w:val="none" w:sz="0" w:space="0" w:color="auto"/>
                    <w:right w:val="none" w:sz="0" w:space="0" w:color="auto"/>
                  </w:divBdr>
                </w:div>
                <w:div w:id="1395464662">
                  <w:marLeft w:val="0"/>
                  <w:marRight w:val="0"/>
                  <w:marTop w:val="0"/>
                  <w:marBottom w:val="0"/>
                  <w:divBdr>
                    <w:top w:val="none" w:sz="0" w:space="0" w:color="auto"/>
                    <w:left w:val="none" w:sz="0" w:space="0" w:color="auto"/>
                    <w:bottom w:val="none" w:sz="0" w:space="0" w:color="auto"/>
                    <w:right w:val="none" w:sz="0" w:space="0" w:color="auto"/>
                  </w:divBdr>
                </w:div>
                <w:div w:id="893807732">
                  <w:marLeft w:val="0"/>
                  <w:marRight w:val="0"/>
                  <w:marTop w:val="0"/>
                  <w:marBottom w:val="0"/>
                  <w:divBdr>
                    <w:top w:val="none" w:sz="0" w:space="0" w:color="auto"/>
                    <w:left w:val="none" w:sz="0" w:space="0" w:color="auto"/>
                    <w:bottom w:val="none" w:sz="0" w:space="0" w:color="auto"/>
                    <w:right w:val="none" w:sz="0" w:space="0" w:color="auto"/>
                  </w:divBdr>
                </w:div>
                <w:div w:id="1087727465">
                  <w:marLeft w:val="0"/>
                  <w:marRight w:val="0"/>
                  <w:marTop w:val="0"/>
                  <w:marBottom w:val="0"/>
                  <w:divBdr>
                    <w:top w:val="none" w:sz="0" w:space="0" w:color="auto"/>
                    <w:left w:val="none" w:sz="0" w:space="0" w:color="auto"/>
                    <w:bottom w:val="none" w:sz="0" w:space="0" w:color="auto"/>
                    <w:right w:val="none" w:sz="0" w:space="0" w:color="auto"/>
                  </w:divBdr>
                </w:div>
                <w:div w:id="1404789908">
                  <w:marLeft w:val="0"/>
                  <w:marRight w:val="0"/>
                  <w:marTop w:val="0"/>
                  <w:marBottom w:val="0"/>
                  <w:divBdr>
                    <w:top w:val="none" w:sz="0" w:space="0" w:color="auto"/>
                    <w:left w:val="none" w:sz="0" w:space="0" w:color="auto"/>
                    <w:bottom w:val="none" w:sz="0" w:space="0" w:color="auto"/>
                    <w:right w:val="none" w:sz="0" w:space="0" w:color="auto"/>
                  </w:divBdr>
                </w:div>
                <w:div w:id="778451010">
                  <w:marLeft w:val="0"/>
                  <w:marRight w:val="0"/>
                  <w:marTop w:val="0"/>
                  <w:marBottom w:val="0"/>
                  <w:divBdr>
                    <w:top w:val="none" w:sz="0" w:space="0" w:color="auto"/>
                    <w:left w:val="none" w:sz="0" w:space="0" w:color="auto"/>
                    <w:bottom w:val="none" w:sz="0" w:space="0" w:color="auto"/>
                    <w:right w:val="none" w:sz="0" w:space="0" w:color="auto"/>
                  </w:divBdr>
                </w:div>
                <w:div w:id="1734423182">
                  <w:marLeft w:val="0"/>
                  <w:marRight w:val="0"/>
                  <w:marTop w:val="0"/>
                  <w:marBottom w:val="0"/>
                  <w:divBdr>
                    <w:top w:val="none" w:sz="0" w:space="0" w:color="auto"/>
                    <w:left w:val="none" w:sz="0" w:space="0" w:color="auto"/>
                    <w:bottom w:val="none" w:sz="0" w:space="0" w:color="auto"/>
                    <w:right w:val="none" w:sz="0" w:space="0" w:color="auto"/>
                  </w:divBdr>
                </w:div>
                <w:div w:id="2124422316">
                  <w:marLeft w:val="0"/>
                  <w:marRight w:val="0"/>
                  <w:marTop w:val="0"/>
                  <w:marBottom w:val="0"/>
                  <w:divBdr>
                    <w:top w:val="none" w:sz="0" w:space="0" w:color="auto"/>
                    <w:left w:val="none" w:sz="0" w:space="0" w:color="auto"/>
                    <w:bottom w:val="none" w:sz="0" w:space="0" w:color="auto"/>
                    <w:right w:val="none" w:sz="0" w:space="0" w:color="auto"/>
                  </w:divBdr>
                </w:div>
                <w:div w:id="346954164">
                  <w:marLeft w:val="0"/>
                  <w:marRight w:val="0"/>
                  <w:marTop w:val="0"/>
                  <w:marBottom w:val="0"/>
                  <w:divBdr>
                    <w:top w:val="none" w:sz="0" w:space="0" w:color="auto"/>
                    <w:left w:val="none" w:sz="0" w:space="0" w:color="auto"/>
                    <w:bottom w:val="none" w:sz="0" w:space="0" w:color="auto"/>
                    <w:right w:val="none" w:sz="0" w:space="0" w:color="auto"/>
                  </w:divBdr>
                </w:div>
                <w:div w:id="690688833">
                  <w:marLeft w:val="0"/>
                  <w:marRight w:val="0"/>
                  <w:marTop w:val="0"/>
                  <w:marBottom w:val="0"/>
                  <w:divBdr>
                    <w:top w:val="none" w:sz="0" w:space="0" w:color="auto"/>
                    <w:left w:val="none" w:sz="0" w:space="0" w:color="auto"/>
                    <w:bottom w:val="none" w:sz="0" w:space="0" w:color="auto"/>
                    <w:right w:val="none" w:sz="0" w:space="0" w:color="auto"/>
                  </w:divBdr>
                </w:div>
                <w:div w:id="856775479">
                  <w:marLeft w:val="0"/>
                  <w:marRight w:val="0"/>
                  <w:marTop w:val="0"/>
                  <w:marBottom w:val="0"/>
                  <w:divBdr>
                    <w:top w:val="none" w:sz="0" w:space="0" w:color="auto"/>
                    <w:left w:val="none" w:sz="0" w:space="0" w:color="auto"/>
                    <w:bottom w:val="none" w:sz="0" w:space="0" w:color="auto"/>
                    <w:right w:val="none" w:sz="0" w:space="0" w:color="auto"/>
                  </w:divBdr>
                </w:div>
                <w:div w:id="2017925319">
                  <w:marLeft w:val="0"/>
                  <w:marRight w:val="0"/>
                  <w:marTop w:val="0"/>
                  <w:marBottom w:val="0"/>
                  <w:divBdr>
                    <w:top w:val="none" w:sz="0" w:space="0" w:color="auto"/>
                    <w:left w:val="none" w:sz="0" w:space="0" w:color="auto"/>
                    <w:bottom w:val="none" w:sz="0" w:space="0" w:color="auto"/>
                    <w:right w:val="none" w:sz="0" w:space="0" w:color="auto"/>
                  </w:divBdr>
                </w:div>
                <w:div w:id="293172680">
                  <w:marLeft w:val="0"/>
                  <w:marRight w:val="0"/>
                  <w:marTop w:val="0"/>
                  <w:marBottom w:val="0"/>
                  <w:divBdr>
                    <w:top w:val="none" w:sz="0" w:space="0" w:color="auto"/>
                    <w:left w:val="none" w:sz="0" w:space="0" w:color="auto"/>
                    <w:bottom w:val="none" w:sz="0" w:space="0" w:color="auto"/>
                    <w:right w:val="none" w:sz="0" w:space="0" w:color="auto"/>
                  </w:divBdr>
                </w:div>
                <w:div w:id="489831757">
                  <w:marLeft w:val="0"/>
                  <w:marRight w:val="0"/>
                  <w:marTop w:val="0"/>
                  <w:marBottom w:val="0"/>
                  <w:divBdr>
                    <w:top w:val="none" w:sz="0" w:space="0" w:color="auto"/>
                    <w:left w:val="none" w:sz="0" w:space="0" w:color="auto"/>
                    <w:bottom w:val="none" w:sz="0" w:space="0" w:color="auto"/>
                    <w:right w:val="none" w:sz="0" w:space="0" w:color="auto"/>
                  </w:divBdr>
                </w:div>
                <w:div w:id="1023744506">
                  <w:marLeft w:val="0"/>
                  <w:marRight w:val="0"/>
                  <w:marTop w:val="0"/>
                  <w:marBottom w:val="0"/>
                  <w:divBdr>
                    <w:top w:val="none" w:sz="0" w:space="0" w:color="auto"/>
                    <w:left w:val="none" w:sz="0" w:space="0" w:color="auto"/>
                    <w:bottom w:val="none" w:sz="0" w:space="0" w:color="auto"/>
                    <w:right w:val="none" w:sz="0" w:space="0" w:color="auto"/>
                  </w:divBdr>
                </w:div>
                <w:div w:id="491724196">
                  <w:marLeft w:val="0"/>
                  <w:marRight w:val="0"/>
                  <w:marTop w:val="0"/>
                  <w:marBottom w:val="0"/>
                  <w:divBdr>
                    <w:top w:val="none" w:sz="0" w:space="0" w:color="auto"/>
                    <w:left w:val="none" w:sz="0" w:space="0" w:color="auto"/>
                    <w:bottom w:val="none" w:sz="0" w:space="0" w:color="auto"/>
                    <w:right w:val="none" w:sz="0" w:space="0" w:color="auto"/>
                  </w:divBdr>
                </w:div>
                <w:div w:id="871919641">
                  <w:marLeft w:val="0"/>
                  <w:marRight w:val="0"/>
                  <w:marTop w:val="0"/>
                  <w:marBottom w:val="0"/>
                  <w:divBdr>
                    <w:top w:val="none" w:sz="0" w:space="0" w:color="auto"/>
                    <w:left w:val="none" w:sz="0" w:space="0" w:color="auto"/>
                    <w:bottom w:val="none" w:sz="0" w:space="0" w:color="auto"/>
                    <w:right w:val="none" w:sz="0" w:space="0" w:color="auto"/>
                  </w:divBdr>
                </w:div>
                <w:div w:id="574052398">
                  <w:marLeft w:val="0"/>
                  <w:marRight w:val="0"/>
                  <w:marTop w:val="0"/>
                  <w:marBottom w:val="0"/>
                  <w:divBdr>
                    <w:top w:val="none" w:sz="0" w:space="0" w:color="auto"/>
                    <w:left w:val="none" w:sz="0" w:space="0" w:color="auto"/>
                    <w:bottom w:val="none" w:sz="0" w:space="0" w:color="auto"/>
                    <w:right w:val="none" w:sz="0" w:space="0" w:color="auto"/>
                  </w:divBdr>
                </w:div>
                <w:div w:id="58678154">
                  <w:marLeft w:val="0"/>
                  <w:marRight w:val="0"/>
                  <w:marTop w:val="0"/>
                  <w:marBottom w:val="0"/>
                  <w:divBdr>
                    <w:top w:val="none" w:sz="0" w:space="0" w:color="auto"/>
                    <w:left w:val="none" w:sz="0" w:space="0" w:color="auto"/>
                    <w:bottom w:val="none" w:sz="0" w:space="0" w:color="auto"/>
                    <w:right w:val="none" w:sz="0" w:space="0" w:color="auto"/>
                  </w:divBdr>
                </w:div>
                <w:div w:id="1381246190">
                  <w:marLeft w:val="0"/>
                  <w:marRight w:val="0"/>
                  <w:marTop w:val="0"/>
                  <w:marBottom w:val="0"/>
                  <w:divBdr>
                    <w:top w:val="none" w:sz="0" w:space="0" w:color="auto"/>
                    <w:left w:val="none" w:sz="0" w:space="0" w:color="auto"/>
                    <w:bottom w:val="none" w:sz="0" w:space="0" w:color="auto"/>
                    <w:right w:val="none" w:sz="0" w:space="0" w:color="auto"/>
                  </w:divBdr>
                </w:div>
                <w:div w:id="1111701042">
                  <w:marLeft w:val="0"/>
                  <w:marRight w:val="0"/>
                  <w:marTop w:val="0"/>
                  <w:marBottom w:val="0"/>
                  <w:divBdr>
                    <w:top w:val="none" w:sz="0" w:space="0" w:color="auto"/>
                    <w:left w:val="none" w:sz="0" w:space="0" w:color="auto"/>
                    <w:bottom w:val="none" w:sz="0" w:space="0" w:color="auto"/>
                    <w:right w:val="none" w:sz="0" w:space="0" w:color="auto"/>
                  </w:divBdr>
                </w:div>
                <w:div w:id="820774633">
                  <w:marLeft w:val="0"/>
                  <w:marRight w:val="0"/>
                  <w:marTop w:val="0"/>
                  <w:marBottom w:val="0"/>
                  <w:divBdr>
                    <w:top w:val="none" w:sz="0" w:space="0" w:color="auto"/>
                    <w:left w:val="none" w:sz="0" w:space="0" w:color="auto"/>
                    <w:bottom w:val="none" w:sz="0" w:space="0" w:color="auto"/>
                    <w:right w:val="none" w:sz="0" w:space="0" w:color="auto"/>
                  </w:divBdr>
                </w:div>
                <w:div w:id="681249989">
                  <w:marLeft w:val="0"/>
                  <w:marRight w:val="0"/>
                  <w:marTop w:val="0"/>
                  <w:marBottom w:val="0"/>
                  <w:divBdr>
                    <w:top w:val="none" w:sz="0" w:space="0" w:color="auto"/>
                    <w:left w:val="none" w:sz="0" w:space="0" w:color="auto"/>
                    <w:bottom w:val="none" w:sz="0" w:space="0" w:color="auto"/>
                    <w:right w:val="none" w:sz="0" w:space="0" w:color="auto"/>
                  </w:divBdr>
                </w:div>
                <w:div w:id="1579440410">
                  <w:marLeft w:val="0"/>
                  <w:marRight w:val="0"/>
                  <w:marTop w:val="0"/>
                  <w:marBottom w:val="0"/>
                  <w:divBdr>
                    <w:top w:val="none" w:sz="0" w:space="0" w:color="auto"/>
                    <w:left w:val="none" w:sz="0" w:space="0" w:color="auto"/>
                    <w:bottom w:val="none" w:sz="0" w:space="0" w:color="auto"/>
                    <w:right w:val="none" w:sz="0" w:space="0" w:color="auto"/>
                  </w:divBdr>
                </w:div>
                <w:div w:id="1376462853">
                  <w:marLeft w:val="0"/>
                  <w:marRight w:val="0"/>
                  <w:marTop w:val="0"/>
                  <w:marBottom w:val="0"/>
                  <w:divBdr>
                    <w:top w:val="none" w:sz="0" w:space="0" w:color="auto"/>
                    <w:left w:val="none" w:sz="0" w:space="0" w:color="auto"/>
                    <w:bottom w:val="none" w:sz="0" w:space="0" w:color="auto"/>
                    <w:right w:val="none" w:sz="0" w:space="0" w:color="auto"/>
                  </w:divBdr>
                </w:div>
                <w:div w:id="1796488660">
                  <w:marLeft w:val="0"/>
                  <w:marRight w:val="0"/>
                  <w:marTop w:val="0"/>
                  <w:marBottom w:val="0"/>
                  <w:divBdr>
                    <w:top w:val="none" w:sz="0" w:space="0" w:color="auto"/>
                    <w:left w:val="none" w:sz="0" w:space="0" w:color="auto"/>
                    <w:bottom w:val="none" w:sz="0" w:space="0" w:color="auto"/>
                    <w:right w:val="none" w:sz="0" w:space="0" w:color="auto"/>
                  </w:divBdr>
                </w:div>
                <w:div w:id="385880830">
                  <w:marLeft w:val="0"/>
                  <w:marRight w:val="0"/>
                  <w:marTop w:val="0"/>
                  <w:marBottom w:val="0"/>
                  <w:divBdr>
                    <w:top w:val="none" w:sz="0" w:space="0" w:color="auto"/>
                    <w:left w:val="none" w:sz="0" w:space="0" w:color="auto"/>
                    <w:bottom w:val="none" w:sz="0" w:space="0" w:color="auto"/>
                    <w:right w:val="none" w:sz="0" w:space="0" w:color="auto"/>
                  </w:divBdr>
                </w:div>
                <w:div w:id="370493452">
                  <w:marLeft w:val="0"/>
                  <w:marRight w:val="0"/>
                  <w:marTop w:val="0"/>
                  <w:marBottom w:val="0"/>
                  <w:divBdr>
                    <w:top w:val="none" w:sz="0" w:space="0" w:color="auto"/>
                    <w:left w:val="none" w:sz="0" w:space="0" w:color="auto"/>
                    <w:bottom w:val="none" w:sz="0" w:space="0" w:color="auto"/>
                    <w:right w:val="none" w:sz="0" w:space="0" w:color="auto"/>
                  </w:divBdr>
                </w:div>
                <w:div w:id="227616524">
                  <w:marLeft w:val="0"/>
                  <w:marRight w:val="0"/>
                  <w:marTop w:val="0"/>
                  <w:marBottom w:val="0"/>
                  <w:divBdr>
                    <w:top w:val="none" w:sz="0" w:space="0" w:color="auto"/>
                    <w:left w:val="none" w:sz="0" w:space="0" w:color="auto"/>
                    <w:bottom w:val="none" w:sz="0" w:space="0" w:color="auto"/>
                    <w:right w:val="none" w:sz="0" w:space="0" w:color="auto"/>
                  </w:divBdr>
                </w:div>
                <w:div w:id="430128763">
                  <w:marLeft w:val="0"/>
                  <w:marRight w:val="0"/>
                  <w:marTop w:val="0"/>
                  <w:marBottom w:val="0"/>
                  <w:divBdr>
                    <w:top w:val="none" w:sz="0" w:space="0" w:color="auto"/>
                    <w:left w:val="none" w:sz="0" w:space="0" w:color="auto"/>
                    <w:bottom w:val="none" w:sz="0" w:space="0" w:color="auto"/>
                    <w:right w:val="none" w:sz="0" w:space="0" w:color="auto"/>
                  </w:divBdr>
                </w:div>
                <w:div w:id="120610937">
                  <w:marLeft w:val="0"/>
                  <w:marRight w:val="0"/>
                  <w:marTop w:val="0"/>
                  <w:marBottom w:val="0"/>
                  <w:divBdr>
                    <w:top w:val="none" w:sz="0" w:space="0" w:color="auto"/>
                    <w:left w:val="none" w:sz="0" w:space="0" w:color="auto"/>
                    <w:bottom w:val="none" w:sz="0" w:space="0" w:color="auto"/>
                    <w:right w:val="none" w:sz="0" w:space="0" w:color="auto"/>
                  </w:divBdr>
                </w:div>
                <w:div w:id="606619042">
                  <w:marLeft w:val="0"/>
                  <w:marRight w:val="0"/>
                  <w:marTop w:val="0"/>
                  <w:marBottom w:val="0"/>
                  <w:divBdr>
                    <w:top w:val="none" w:sz="0" w:space="0" w:color="auto"/>
                    <w:left w:val="none" w:sz="0" w:space="0" w:color="auto"/>
                    <w:bottom w:val="none" w:sz="0" w:space="0" w:color="auto"/>
                    <w:right w:val="none" w:sz="0" w:space="0" w:color="auto"/>
                  </w:divBdr>
                </w:div>
                <w:div w:id="2062435463">
                  <w:marLeft w:val="0"/>
                  <w:marRight w:val="0"/>
                  <w:marTop w:val="0"/>
                  <w:marBottom w:val="0"/>
                  <w:divBdr>
                    <w:top w:val="none" w:sz="0" w:space="0" w:color="auto"/>
                    <w:left w:val="none" w:sz="0" w:space="0" w:color="auto"/>
                    <w:bottom w:val="none" w:sz="0" w:space="0" w:color="auto"/>
                    <w:right w:val="none" w:sz="0" w:space="0" w:color="auto"/>
                  </w:divBdr>
                </w:div>
                <w:div w:id="2102602637">
                  <w:marLeft w:val="0"/>
                  <w:marRight w:val="0"/>
                  <w:marTop w:val="0"/>
                  <w:marBottom w:val="0"/>
                  <w:divBdr>
                    <w:top w:val="none" w:sz="0" w:space="0" w:color="auto"/>
                    <w:left w:val="none" w:sz="0" w:space="0" w:color="auto"/>
                    <w:bottom w:val="none" w:sz="0" w:space="0" w:color="auto"/>
                    <w:right w:val="none" w:sz="0" w:space="0" w:color="auto"/>
                  </w:divBdr>
                </w:div>
                <w:div w:id="1467818650">
                  <w:marLeft w:val="0"/>
                  <w:marRight w:val="0"/>
                  <w:marTop w:val="0"/>
                  <w:marBottom w:val="0"/>
                  <w:divBdr>
                    <w:top w:val="none" w:sz="0" w:space="0" w:color="auto"/>
                    <w:left w:val="none" w:sz="0" w:space="0" w:color="auto"/>
                    <w:bottom w:val="none" w:sz="0" w:space="0" w:color="auto"/>
                    <w:right w:val="none" w:sz="0" w:space="0" w:color="auto"/>
                  </w:divBdr>
                </w:div>
                <w:div w:id="81070575">
                  <w:marLeft w:val="0"/>
                  <w:marRight w:val="0"/>
                  <w:marTop w:val="0"/>
                  <w:marBottom w:val="0"/>
                  <w:divBdr>
                    <w:top w:val="none" w:sz="0" w:space="0" w:color="auto"/>
                    <w:left w:val="none" w:sz="0" w:space="0" w:color="auto"/>
                    <w:bottom w:val="none" w:sz="0" w:space="0" w:color="auto"/>
                    <w:right w:val="none" w:sz="0" w:space="0" w:color="auto"/>
                  </w:divBdr>
                </w:div>
                <w:div w:id="5473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922770">
      <w:bodyDiv w:val="1"/>
      <w:marLeft w:val="0"/>
      <w:marRight w:val="0"/>
      <w:marTop w:val="0"/>
      <w:marBottom w:val="0"/>
      <w:divBdr>
        <w:top w:val="none" w:sz="0" w:space="0" w:color="auto"/>
        <w:left w:val="none" w:sz="0" w:space="0" w:color="auto"/>
        <w:bottom w:val="none" w:sz="0" w:space="0" w:color="auto"/>
        <w:right w:val="none" w:sz="0" w:space="0" w:color="auto"/>
      </w:divBdr>
      <w:divsChild>
        <w:div w:id="1263302726">
          <w:marLeft w:val="0"/>
          <w:marRight w:val="0"/>
          <w:marTop w:val="0"/>
          <w:marBottom w:val="0"/>
          <w:divBdr>
            <w:top w:val="none" w:sz="0" w:space="0" w:color="auto"/>
            <w:left w:val="none" w:sz="0" w:space="0" w:color="auto"/>
            <w:bottom w:val="none" w:sz="0" w:space="0" w:color="auto"/>
            <w:right w:val="none" w:sz="0" w:space="0" w:color="auto"/>
          </w:divBdr>
        </w:div>
        <w:div w:id="810755039">
          <w:marLeft w:val="0"/>
          <w:marRight w:val="0"/>
          <w:marTop w:val="0"/>
          <w:marBottom w:val="0"/>
          <w:divBdr>
            <w:top w:val="none" w:sz="0" w:space="0" w:color="auto"/>
            <w:left w:val="none" w:sz="0" w:space="0" w:color="auto"/>
            <w:bottom w:val="none" w:sz="0" w:space="0" w:color="auto"/>
            <w:right w:val="none" w:sz="0" w:space="0" w:color="auto"/>
          </w:divBdr>
        </w:div>
        <w:div w:id="669600920">
          <w:marLeft w:val="0"/>
          <w:marRight w:val="0"/>
          <w:marTop w:val="0"/>
          <w:marBottom w:val="0"/>
          <w:divBdr>
            <w:top w:val="none" w:sz="0" w:space="0" w:color="auto"/>
            <w:left w:val="none" w:sz="0" w:space="0" w:color="auto"/>
            <w:bottom w:val="none" w:sz="0" w:space="0" w:color="auto"/>
            <w:right w:val="none" w:sz="0" w:space="0" w:color="auto"/>
          </w:divBdr>
        </w:div>
        <w:div w:id="1955821065">
          <w:marLeft w:val="0"/>
          <w:marRight w:val="0"/>
          <w:marTop w:val="0"/>
          <w:marBottom w:val="0"/>
          <w:divBdr>
            <w:top w:val="none" w:sz="0" w:space="0" w:color="auto"/>
            <w:left w:val="none" w:sz="0" w:space="0" w:color="auto"/>
            <w:bottom w:val="none" w:sz="0" w:space="0" w:color="auto"/>
            <w:right w:val="none" w:sz="0" w:space="0" w:color="auto"/>
          </w:divBdr>
        </w:div>
        <w:div w:id="1553224603">
          <w:marLeft w:val="0"/>
          <w:marRight w:val="0"/>
          <w:marTop w:val="0"/>
          <w:marBottom w:val="0"/>
          <w:divBdr>
            <w:top w:val="none" w:sz="0" w:space="0" w:color="auto"/>
            <w:left w:val="none" w:sz="0" w:space="0" w:color="auto"/>
            <w:bottom w:val="none" w:sz="0" w:space="0" w:color="auto"/>
            <w:right w:val="none" w:sz="0" w:space="0" w:color="auto"/>
          </w:divBdr>
        </w:div>
        <w:div w:id="108940258">
          <w:marLeft w:val="0"/>
          <w:marRight w:val="0"/>
          <w:marTop w:val="0"/>
          <w:marBottom w:val="0"/>
          <w:divBdr>
            <w:top w:val="none" w:sz="0" w:space="0" w:color="auto"/>
            <w:left w:val="none" w:sz="0" w:space="0" w:color="auto"/>
            <w:bottom w:val="none" w:sz="0" w:space="0" w:color="auto"/>
            <w:right w:val="none" w:sz="0" w:space="0" w:color="auto"/>
          </w:divBdr>
        </w:div>
        <w:div w:id="1275793813">
          <w:marLeft w:val="0"/>
          <w:marRight w:val="0"/>
          <w:marTop w:val="0"/>
          <w:marBottom w:val="0"/>
          <w:divBdr>
            <w:top w:val="none" w:sz="0" w:space="0" w:color="auto"/>
            <w:left w:val="none" w:sz="0" w:space="0" w:color="auto"/>
            <w:bottom w:val="none" w:sz="0" w:space="0" w:color="auto"/>
            <w:right w:val="none" w:sz="0" w:space="0" w:color="auto"/>
          </w:divBdr>
        </w:div>
        <w:div w:id="380206518">
          <w:marLeft w:val="0"/>
          <w:marRight w:val="0"/>
          <w:marTop w:val="0"/>
          <w:marBottom w:val="0"/>
          <w:divBdr>
            <w:top w:val="none" w:sz="0" w:space="0" w:color="auto"/>
            <w:left w:val="none" w:sz="0" w:space="0" w:color="auto"/>
            <w:bottom w:val="none" w:sz="0" w:space="0" w:color="auto"/>
            <w:right w:val="none" w:sz="0" w:space="0" w:color="auto"/>
          </w:divBdr>
        </w:div>
        <w:div w:id="1754205755">
          <w:marLeft w:val="0"/>
          <w:marRight w:val="0"/>
          <w:marTop w:val="0"/>
          <w:marBottom w:val="0"/>
          <w:divBdr>
            <w:top w:val="none" w:sz="0" w:space="0" w:color="auto"/>
            <w:left w:val="none" w:sz="0" w:space="0" w:color="auto"/>
            <w:bottom w:val="none" w:sz="0" w:space="0" w:color="auto"/>
            <w:right w:val="none" w:sz="0" w:space="0" w:color="auto"/>
          </w:divBdr>
        </w:div>
        <w:div w:id="1961259215">
          <w:marLeft w:val="0"/>
          <w:marRight w:val="0"/>
          <w:marTop w:val="0"/>
          <w:marBottom w:val="0"/>
          <w:divBdr>
            <w:top w:val="none" w:sz="0" w:space="0" w:color="auto"/>
            <w:left w:val="none" w:sz="0" w:space="0" w:color="auto"/>
            <w:bottom w:val="none" w:sz="0" w:space="0" w:color="auto"/>
            <w:right w:val="none" w:sz="0" w:space="0" w:color="auto"/>
          </w:divBdr>
        </w:div>
        <w:div w:id="1835224082">
          <w:marLeft w:val="0"/>
          <w:marRight w:val="0"/>
          <w:marTop w:val="0"/>
          <w:marBottom w:val="0"/>
          <w:divBdr>
            <w:top w:val="none" w:sz="0" w:space="0" w:color="auto"/>
            <w:left w:val="none" w:sz="0" w:space="0" w:color="auto"/>
            <w:bottom w:val="none" w:sz="0" w:space="0" w:color="auto"/>
            <w:right w:val="none" w:sz="0" w:space="0" w:color="auto"/>
          </w:divBdr>
        </w:div>
        <w:div w:id="1573392153">
          <w:marLeft w:val="0"/>
          <w:marRight w:val="0"/>
          <w:marTop w:val="0"/>
          <w:marBottom w:val="0"/>
          <w:divBdr>
            <w:top w:val="none" w:sz="0" w:space="0" w:color="auto"/>
            <w:left w:val="none" w:sz="0" w:space="0" w:color="auto"/>
            <w:bottom w:val="none" w:sz="0" w:space="0" w:color="auto"/>
            <w:right w:val="none" w:sz="0" w:space="0" w:color="auto"/>
          </w:divBdr>
        </w:div>
        <w:div w:id="830481810">
          <w:marLeft w:val="0"/>
          <w:marRight w:val="0"/>
          <w:marTop w:val="0"/>
          <w:marBottom w:val="0"/>
          <w:divBdr>
            <w:top w:val="none" w:sz="0" w:space="0" w:color="auto"/>
            <w:left w:val="none" w:sz="0" w:space="0" w:color="auto"/>
            <w:bottom w:val="none" w:sz="0" w:space="0" w:color="auto"/>
            <w:right w:val="none" w:sz="0" w:space="0" w:color="auto"/>
          </w:divBdr>
        </w:div>
        <w:div w:id="1590774209">
          <w:marLeft w:val="0"/>
          <w:marRight w:val="0"/>
          <w:marTop w:val="0"/>
          <w:marBottom w:val="0"/>
          <w:divBdr>
            <w:top w:val="none" w:sz="0" w:space="0" w:color="auto"/>
            <w:left w:val="none" w:sz="0" w:space="0" w:color="auto"/>
            <w:bottom w:val="none" w:sz="0" w:space="0" w:color="auto"/>
            <w:right w:val="none" w:sz="0" w:space="0" w:color="auto"/>
          </w:divBdr>
        </w:div>
        <w:div w:id="1519586">
          <w:marLeft w:val="0"/>
          <w:marRight w:val="0"/>
          <w:marTop w:val="0"/>
          <w:marBottom w:val="0"/>
          <w:divBdr>
            <w:top w:val="none" w:sz="0" w:space="0" w:color="auto"/>
            <w:left w:val="none" w:sz="0" w:space="0" w:color="auto"/>
            <w:bottom w:val="none" w:sz="0" w:space="0" w:color="auto"/>
            <w:right w:val="none" w:sz="0" w:space="0" w:color="auto"/>
          </w:divBdr>
        </w:div>
        <w:div w:id="2102412554">
          <w:marLeft w:val="0"/>
          <w:marRight w:val="0"/>
          <w:marTop w:val="0"/>
          <w:marBottom w:val="0"/>
          <w:divBdr>
            <w:top w:val="none" w:sz="0" w:space="0" w:color="auto"/>
            <w:left w:val="none" w:sz="0" w:space="0" w:color="auto"/>
            <w:bottom w:val="none" w:sz="0" w:space="0" w:color="auto"/>
            <w:right w:val="none" w:sz="0" w:space="0" w:color="auto"/>
          </w:divBdr>
        </w:div>
        <w:div w:id="679041566">
          <w:marLeft w:val="0"/>
          <w:marRight w:val="0"/>
          <w:marTop w:val="0"/>
          <w:marBottom w:val="0"/>
          <w:divBdr>
            <w:top w:val="none" w:sz="0" w:space="0" w:color="auto"/>
            <w:left w:val="none" w:sz="0" w:space="0" w:color="auto"/>
            <w:bottom w:val="none" w:sz="0" w:space="0" w:color="auto"/>
            <w:right w:val="none" w:sz="0" w:space="0" w:color="auto"/>
          </w:divBdr>
        </w:div>
        <w:div w:id="1551724817">
          <w:marLeft w:val="0"/>
          <w:marRight w:val="0"/>
          <w:marTop w:val="0"/>
          <w:marBottom w:val="0"/>
          <w:divBdr>
            <w:top w:val="none" w:sz="0" w:space="0" w:color="auto"/>
            <w:left w:val="none" w:sz="0" w:space="0" w:color="auto"/>
            <w:bottom w:val="none" w:sz="0" w:space="0" w:color="auto"/>
            <w:right w:val="none" w:sz="0" w:space="0" w:color="auto"/>
          </w:divBdr>
        </w:div>
        <w:div w:id="1134761644">
          <w:marLeft w:val="0"/>
          <w:marRight w:val="0"/>
          <w:marTop w:val="0"/>
          <w:marBottom w:val="0"/>
          <w:divBdr>
            <w:top w:val="none" w:sz="0" w:space="0" w:color="auto"/>
            <w:left w:val="none" w:sz="0" w:space="0" w:color="auto"/>
            <w:bottom w:val="none" w:sz="0" w:space="0" w:color="auto"/>
            <w:right w:val="none" w:sz="0" w:space="0" w:color="auto"/>
          </w:divBdr>
        </w:div>
        <w:div w:id="1325352931">
          <w:marLeft w:val="0"/>
          <w:marRight w:val="0"/>
          <w:marTop w:val="0"/>
          <w:marBottom w:val="0"/>
          <w:divBdr>
            <w:top w:val="none" w:sz="0" w:space="0" w:color="auto"/>
            <w:left w:val="none" w:sz="0" w:space="0" w:color="auto"/>
            <w:bottom w:val="none" w:sz="0" w:space="0" w:color="auto"/>
            <w:right w:val="none" w:sz="0" w:space="0" w:color="auto"/>
          </w:divBdr>
        </w:div>
        <w:div w:id="1563909813">
          <w:marLeft w:val="0"/>
          <w:marRight w:val="0"/>
          <w:marTop w:val="0"/>
          <w:marBottom w:val="0"/>
          <w:divBdr>
            <w:top w:val="none" w:sz="0" w:space="0" w:color="auto"/>
            <w:left w:val="none" w:sz="0" w:space="0" w:color="auto"/>
            <w:bottom w:val="none" w:sz="0" w:space="0" w:color="auto"/>
            <w:right w:val="none" w:sz="0" w:space="0" w:color="auto"/>
          </w:divBdr>
        </w:div>
        <w:div w:id="1799109451">
          <w:marLeft w:val="0"/>
          <w:marRight w:val="0"/>
          <w:marTop w:val="0"/>
          <w:marBottom w:val="0"/>
          <w:divBdr>
            <w:top w:val="none" w:sz="0" w:space="0" w:color="auto"/>
            <w:left w:val="none" w:sz="0" w:space="0" w:color="auto"/>
            <w:bottom w:val="none" w:sz="0" w:space="0" w:color="auto"/>
            <w:right w:val="none" w:sz="0" w:space="0" w:color="auto"/>
          </w:divBdr>
        </w:div>
        <w:div w:id="1386566023">
          <w:marLeft w:val="0"/>
          <w:marRight w:val="0"/>
          <w:marTop w:val="0"/>
          <w:marBottom w:val="0"/>
          <w:divBdr>
            <w:top w:val="none" w:sz="0" w:space="0" w:color="auto"/>
            <w:left w:val="none" w:sz="0" w:space="0" w:color="auto"/>
            <w:bottom w:val="none" w:sz="0" w:space="0" w:color="auto"/>
            <w:right w:val="none" w:sz="0" w:space="0" w:color="auto"/>
          </w:divBdr>
        </w:div>
        <w:div w:id="1172523485">
          <w:marLeft w:val="0"/>
          <w:marRight w:val="0"/>
          <w:marTop w:val="0"/>
          <w:marBottom w:val="0"/>
          <w:divBdr>
            <w:top w:val="none" w:sz="0" w:space="0" w:color="auto"/>
            <w:left w:val="none" w:sz="0" w:space="0" w:color="auto"/>
            <w:bottom w:val="none" w:sz="0" w:space="0" w:color="auto"/>
            <w:right w:val="none" w:sz="0" w:space="0" w:color="auto"/>
          </w:divBdr>
        </w:div>
        <w:div w:id="972293424">
          <w:marLeft w:val="0"/>
          <w:marRight w:val="0"/>
          <w:marTop w:val="0"/>
          <w:marBottom w:val="0"/>
          <w:divBdr>
            <w:top w:val="none" w:sz="0" w:space="0" w:color="auto"/>
            <w:left w:val="none" w:sz="0" w:space="0" w:color="auto"/>
            <w:bottom w:val="none" w:sz="0" w:space="0" w:color="auto"/>
            <w:right w:val="none" w:sz="0" w:space="0" w:color="auto"/>
          </w:divBdr>
        </w:div>
        <w:div w:id="358049643">
          <w:marLeft w:val="0"/>
          <w:marRight w:val="0"/>
          <w:marTop w:val="0"/>
          <w:marBottom w:val="0"/>
          <w:divBdr>
            <w:top w:val="none" w:sz="0" w:space="0" w:color="auto"/>
            <w:left w:val="none" w:sz="0" w:space="0" w:color="auto"/>
            <w:bottom w:val="none" w:sz="0" w:space="0" w:color="auto"/>
            <w:right w:val="none" w:sz="0" w:space="0" w:color="auto"/>
          </w:divBdr>
        </w:div>
        <w:div w:id="585069990">
          <w:marLeft w:val="0"/>
          <w:marRight w:val="0"/>
          <w:marTop w:val="0"/>
          <w:marBottom w:val="0"/>
          <w:divBdr>
            <w:top w:val="none" w:sz="0" w:space="0" w:color="auto"/>
            <w:left w:val="none" w:sz="0" w:space="0" w:color="auto"/>
            <w:bottom w:val="none" w:sz="0" w:space="0" w:color="auto"/>
            <w:right w:val="none" w:sz="0" w:space="0" w:color="auto"/>
          </w:divBdr>
        </w:div>
        <w:div w:id="410932804">
          <w:marLeft w:val="0"/>
          <w:marRight w:val="0"/>
          <w:marTop w:val="0"/>
          <w:marBottom w:val="0"/>
          <w:divBdr>
            <w:top w:val="none" w:sz="0" w:space="0" w:color="auto"/>
            <w:left w:val="none" w:sz="0" w:space="0" w:color="auto"/>
            <w:bottom w:val="none" w:sz="0" w:space="0" w:color="auto"/>
            <w:right w:val="none" w:sz="0" w:space="0" w:color="auto"/>
          </w:divBdr>
        </w:div>
        <w:div w:id="333729746">
          <w:marLeft w:val="0"/>
          <w:marRight w:val="0"/>
          <w:marTop w:val="0"/>
          <w:marBottom w:val="0"/>
          <w:divBdr>
            <w:top w:val="none" w:sz="0" w:space="0" w:color="auto"/>
            <w:left w:val="none" w:sz="0" w:space="0" w:color="auto"/>
            <w:bottom w:val="none" w:sz="0" w:space="0" w:color="auto"/>
            <w:right w:val="none" w:sz="0" w:space="0" w:color="auto"/>
          </w:divBdr>
        </w:div>
        <w:div w:id="992176368">
          <w:marLeft w:val="0"/>
          <w:marRight w:val="0"/>
          <w:marTop w:val="0"/>
          <w:marBottom w:val="0"/>
          <w:divBdr>
            <w:top w:val="none" w:sz="0" w:space="0" w:color="auto"/>
            <w:left w:val="none" w:sz="0" w:space="0" w:color="auto"/>
            <w:bottom w:val="none" w:sz="0" w:space="0" w:color="auto"/>
            <w:right w:val="none" w:sz="0" w:space="0" w:color="auto"/>
          </w:divBdr>
        </w:div>
        <w:div w:id="1961109473">
          <w:marLeft w:val="0"/>
          <w:marRight w:val="0"/>
          <w:marTop w:val="0"/>
          <w:marBottom w:val="0"/>
          <w:divBdr>
            <w:top w:val="none" w:sz="0" w:space="0" w:color="auto"/>
            <w:left w:val="none" w:sz="0" w:space="0" w:color="auto"/>
            <w:bottom w:val="none" w:sz="0" w:space="0" w:color="auto"/>
            <w:right w:val="none" w:sz="0" w:space="0" w:color="auto"/>
          </w:divBdr>
        </w:div>
        <w:div w:id="1777217019">
          <w:marLeft w:val="0"/>
          <w:marRight w:val="0"/>
          <w:marTop w:val="0"/>
          <w:marBottom w:val="0"/>
          <w:divBdr>
            <w:top w:val="none" w:sz="0" w:space="0" w:color="auto"/>
            <w:left w:val="none" w:sz="0" w:space="0" w:color="auto"/>
            <w:bottom w:val="none" w:sz="0" w:space="0" w:color="auto"/>
            <w:right w:val="none" w:sz="0" w:space="0" w:color="auto"/>
          </w:divBdr>
        </w:div>
        <w:div w:id="474184603">
          <w:marLeft w:val="0"/>
          <w:marRight w:val="0"/>
          <w:marTop w:val="0"/>
          <w:marBottom w:val="0"/>
          <w:divBdr>
            <w:top w:val="none" w:sz="0" w:space="0" w:color="auto"/>
            <w:left w:val="none" w:sz="0" w:space="0" w:color="auto"/>
            <w:bottom w:val="none" w:sz="0" w:space="0" w:color="auto"/>
            <w:right w:val="none" w:sz="0" w:space="0" w:color="auto"/>
          </w:divBdr>
        </w:div>
        <w:div w:id="542134528">
          <w:marLeft w:val="0"/>
          <w:marRight w:val="0"/>
          <w:marTop w:val="0"/>
          <w:marBottom w:val="0"/>
          <w:divBdr>
            <w:top w:val="none" w:sz="0" w:space="0" w:color="auto"/>
            <w:left w:val="none" w:sz="0" w:space="0" w:color="auto"/>
            <w:bottom w:val="none" w:sz="0" w:space="0" w:color="auto"/>
            <w:right w:val="none" w:sz="0" w:space="0" w:color="auto"/>
          </w:divBdr>
        </w:div>
        <w:div w:id="470296060">
          <w:marLeft w:val="0"/>
          <w:marRight w:val="0"/>
          <w:marTop w:val="0"/>
          <w:marBottom w:val="0"/>
          <w:divBdr>
            <w:top w:val="none" w:sz="0" w:space="0" w:color="auto"/>
            <w:left w:val="none" w:sz="0" w:space="0" w:color="auto"/>
            <w:bottom w:val="none" w:sz="0" w:space="0" w:color="auto"/>
            <w:right w:val="none" w:sz="0" w:space="0" w:color="auto"/>
          </w:divBdr>
        </w:div>
        <w:div w:id="1040014450">
          <w:marLeft w:val="0"/>
          <w:marRight w:val="0"/>
          <w:marTop w:val="0"/>
          <w:marBottom w:val="0"/>
          <w:divBdr>
            <w:top w:val="none" w:sz="0" w:space="0" w:color="auto"/>
            <w:left w:val="none" w:sz="0" w:space="0" w:color="auto"/>
            <w:bottom w:val="none" w:sz="0" w:space="0" w:color="auto"/>
            <w:right w:val="none" w:sz="0" w:space="0" w:color="auto"/>
          </w:divBdr>
        </w:div>
        <w:div w:id="756440476">
          <w:marLeft w:val="0"/>
          <w:marRight w:val="0"/>
          <w:marTop w:val="0"/>
          <w:marBottom w:val="0"/>
          <w:divBdr>
            <w:top w:val="none" w:sz="0" w:space="0" w:color="auto"/>
            <w:left w:val="none" w:sz="0" w:space="0" w:color="auto"/>
            <w:bottom w:val="none" w:sz="0" w:space="0" w:color="auto"/>
            <w:right w:val="none" w:sz="0" w:space="0" w:color="auto"/>
          </w:divBdr>
        </w:div>
        <w:div w:id="1183520263">
          <w:marLeft w:val="0"/>
          <w:marRight w:val="0"/>
          <w:marTop w:val="0"/>
          <w:marBottom w:val="0"/>
          <w:divBdr>
            <w:top w:val="none" w:sz="0" w:space="0" w:color="auto"/>
            <w:left w:val="none" w:sz="0" w:space="0" w:color="auto"/>
            <w:bottom w:val="none" w:sz="0" w:space="0" w:color="auto"/>
            <w:right w:val="none" w:sz="0" w:space="0" w:color="auto"/>
          </w:divBdr>
        </w:div>
        <w:div w:id="233660973">
          <w:marLeft w:val="0"/>
          <w:marRight w:val="0"/>
          <w:marTop w:val="0"/>
          <w:marBottom w:val="0"/>
          <w:divBdr>
            <w:top w:val="none" w:sz="0" w:space="0" w:color="auto"/>
            <w:left w:val="none" w:sz="0" w:space="0" w:color="auto"/>
            <w:bottom w:val="none" w:sz="0" w:space="0" w:color="auto"/>
            <w:right w:val="none" w:sz="0" w:space="0" w:color="auto"/>
          </w:divBdr>
        </w:div>
        <w:div w:id="8878161">
          <w:marLeft w:val="0"/>
          <w:marRight w:val="0"/>
          <w:marTop w:val="0"/>
          <w:marBottom w:val="0"/>
          <w:divBdr>
            <w:top w:val="none" w:sz="0" w:space="0" w:color="auto"/>
            <w:left w:val="none" w:sz="0" w:space="0" w:color="auto"/>
            <w:bottom w:val="none" w:sz="0" w:space="0" w:color="auto"/>
            <w:right w:val="none" w:sz="0" w:space="0" w:color="auto"/>
          </w:divBdr>
        </w:div>
        <w:div w:id="1533108535">
          <w:marLeft w:val="0"/>
          <w:marRight w:val="0"/>
          <w:marTop w:val="0"/>
          <w:marBottom w:val="0"/>
          <w:divBdr>
            <w:top w:val="none" w:sz="0" w:space="0" w:color="auto"/>
            <w:left w:val="none" w:sz="0" w:space="0" w:color="auto"/>
            <w:bottom w:val="none" w:sz="0" w:space="0" w:color="auto"/>
            <w:right w:val="none" w:sz="0" w:space="0" w:color="auto"/>
          </w:divBdr>
        </w:div>
        <w:div w:id="590050156">
          <w:marLeft w:val="0"/>
          <w:marRight w:val="0"/>
          <w:marTop w:val="0"/>
          <w:marBottom w:val="0"/>
          <w:divBdr>
            <w:top w:val="none" w:sz="0" w:space="0" w:color="auto"/>
            <w:left w:val="none" w:sz="0" w:space="0" w:color="auto"/>
            <w:bottom w:val="none" w:sz="0" w:space="0" w:color="auto"/>
            <w:right w:val="none" w:sz="0" w:space="0" w:color="auto"/>
          </w:divBdr>
        </w:div>
        <w:div w:id="494152832">
          <w:marLeft w:val="0"/>
          <w:marRight w:val="0"/>
          <w:marTop w:val="0"/>
          <w:marBottom w:val="0"/>
          <w:divBdr>
            <w:top w:val="none" w:sz="0" w:space="0" w:color="auto"/>
            <w:left w:val="none" w:sz="0" w:space="0" w:color="auto"/>
            <w:bottom w:val="none" w:sz="0" w:space="0" w:color="auto"/>
            <w:right w:val="none" w:sz="0" w:space="0" w:color="auto"/>
          </w:divBdr>
        </w:div>
        <w:div w:id="870530160">
          <w:marLeft w:val="0"/>
          <w:marRight w:val="0"/>
          <w:marTop w:val="0"/>
          <w:marBottom w:val="0"/>
          <w:divBdr>
            <w:top w:val="none" w:sz="0" w:space="0" w:color="auto"/>
            <w:left w:val="none" w:sz="0" w:space="0" w:color="auto"/>
            <w:bottom w:val="none" w:sz="0" w:space="0" w:color="auto"/>
            <w:right w:val="none" w:sz="0" w:space="0" w:color="auto"/>
          </w:divBdr>
        </w:div>
        <w:div w:id="931160185">
          <w:marLeft w:val="0"/>
          <w:marRight w:val="0"/>
          <w:marTop w:val="0"/>
          <w:marBottom w:val="0"/>
          <w:divBdr>
            <w:top w:val="none" w:sz="0" w:space="0" w:color="auto"/>
            <w:left w:val="none" w:sz="0" w:space="0" w:color="auto"/>
            <w:bottom w:val="none" w:sz="0" w:space="0" w:color="auto"/>
            <w:right w:val="none" w:sz="0" w:space="0" w:color="auto"/>
          </w:divBdr>
        </w:div>
        <w:div w:id="601836545">
          <w:marLeft w:val="0"/>
          <w:marRight w:val="0"/>
          <w:marTop w:val="0"/>
          <w:marBottom w:val="0"/>
          <w:divBdr>
            <w:top w:val="none" w:sz="0" w:space="0" w:color="auto"/>
            <w:left w:val="none" w:sz="0" w:space="0" w:color="auto"/>
            <w:bottom w:val="none" w:sz="0" w:space="0" w:color="auto"/>
            <w:right w:val="none" w:sz="0" w:space="0" w:color="auto"/>
          </w:divBdr>
        </w:div>
        <w:div w:id="1883707482">
          <w:marLeft w:val="0"/>
          <w:marRight w:val="0"/>
          <w:marTop w:val="0"/>
          <w:marBottom w:val="0"/>
          <w:divBdr>
            <w:top w:val="none" w:sz="0" w:space="0" w:color="auto"/>
            <w:left w:val="none" w:sz="0" w:space="0" w:color="auto"/>
            <w:bottom w:val="none" w:sz="0" w:space="0" w:color="auto"/>
            <w:right w:val="none" w:sz="0" w:space="0" w:color="auto"/>
          </w:divBdr>
        </w:div>
        <w:div w:id="1202061788">
          <w:marLeft w:val="0"/>
          <w:marRight w:val="0"/>
          <w:marTop w:val="0"/>
          <w:marBottom w:val="0"/>
          <w:divBdr>
            <w:top w:val="none" w:sz="0" w:space="0" w:color="auto"/>
            <w:left w:val="none" w:sz="0" w:space="0" w:color="auto"/>
            <w:bottom w:val="none" w:sz="0" w:space="0" w:color="auto"/>
            <w:right w:val="none" w:sz="0" w:space="0" w:color="auto"/>
          </w:divBdr>
        </w:div>
        <w:div w:id="1507868810">
          <w:marLeft w:val="0"/>
          <w:marRight w:val="0"/>
          <w:marTop w:val="0"/>
          <w:marBottom w:val="0"/>
          <w:divBdr>
            <w:top w:val="none" w:sz="0" w:space="0" w:color="auto"/>
            <w:left w:val="none" w:sz="0" w:space="0" w:color="auto"/>
            <w:bottom w:val="none" w:sz="0" w:space="0" w:color="auto"/>
            <w:right w:val="none" w:sz="0" w:space="0" w:color="auto"/>
          </w:divBdr>
        </w:div>
        <w:div w:id="140466872">
          <w:marLeft w:val="0"/>
          <w:marRight w:val="0"/>
          <w:marTop w:val="0"/>
          <w:marBottom w:val="0"/>
          <w:divBdr>
            <w:top w:val="none" w:sz="0" w:space="0" w:color="auto"/>
            <w:left w:val="none" w:sz="0" w:space="0" w:color="auto"/>
            <w:bottom w:val="none" w:sz="0" w:space="0" w:color="auto"/>
            <w:right w:val="none" w:sz="0" w:space="0" w:color="auto"/>
          </w:divBdr>
        </w:div>
        <w:div w:id="1623686019">
          <w:marLeft w:val="0"/>
          <w:marRight w:val="0"/>
          <w:marTop w:val="0"/>
          <w:marBottom w:val="0"/>
          <w:divBdr>
            <w:top w:val="none" w:sz="0" w:space="0" w:color="auto"/>
            <w:left w:val="none" w:sz="0" w:space="0" w:color="auto"/>
            <w:bottom w:val="none" w:sz="0" w:space="0" w:color="auto"/>
            <w:right w:val="none" w:sz="0" w:space="0" w:color="auto"/>
          </w:divBdr>
        </w:div>
        <w:div w:id="196309539">
          <w:marLeft w:val="0"/>
          <w:marRight w:val="0"/>
          <w:marTop w:val="0"/>
          <w:marBottom w:val="0"/>
          <w:divBdr>
            <w:top w:val="none" w:sz="0" w:space="0" w:color="auto"/>
            <w:left w:val="none" w:sz="0" w:space="0" w:color="auto"/>
            <w:bottom w:val="none" w:sz="0" w:space="0" w:color="auto"/>
            <w:right w:val="none" w:sz="0" w:space="0" w:color="auto"/>
          </w:divBdr>
        </w:div>
        <w:div w:id="1308897381">
          <w:marLeft w:val="0"/>
          <w:marRight w:val="0"/>
          <w:marTop w:val="0"/>
          <w:marBottom w:val="0"/>
          <w:divBdr>
            <w:top w:val="none" w:sz="0" w:space="0" w:color="auto"/>
            <w:left w:val="none" w:sz="0" w:space="0" w:color="auto"/>
            <w:bottom w:val="none" w:sz="0" w:space="0" w:color="auto"/>
            <w:right w:val="none" w:sz="0" w:space="0" w:color="auto"/>
          </w:divBdr>
        </w:div>
        <w:div w:id="459808224">
          <w:marLeft w:val="0"/>
          <w:marRight w:val="0"/>
          <w:marTop w:val="0"/>
          <w:marBottom w:val="0"/>
          <w:divBdr>
            <w:top w:val="none" w:sz="0" w:space="0" w:color="auto"/>
            <w:left w:val="none" w:sz="0" w:space="0" w:color="auto"/>
            <w:bottom w:val="none" w:sz="0" w:space="0" w:color="auto"/>
            <w:right w:val="none" w:sz="0" w:space="0" w:color="auto"/>
          </w:divBdr>
        </w:div>
        <w:div w:id="1030300085">
          <w:marLeft w:val="0"/>
          <w:marRight w:val="0"/>
          <w:marTop w:val="0"/>
          <w:marBottom w:val="0"/>
          <w:divBdr>
            <w:top w:val="none" w:sz="0" w:space="0" w:color="auto"/>
            <w:left w:val="none" w:sz="0" w:space="0" w:color="auto"/>
            <w:bottom w:val="none" w:sz="0" w:space="0" w:color="auto"/>
            <w:right w:val="none" w:sz="0" w:space="0" w:color="auto"/>
          </w:divBdr>
        </w:div>
        <w:div w:id="965625458">
          <w:marLeft w:val="0"/>
          <w:marRight w:val="0"/>
          <w:marTop w:val="0"/>
          <w:marBottom w:val="0"/>
          <w:divBdr>
            <w:top w:val="none" w:sz="0" w:space="0" w:color="auto"/>
            <w:left w:val="none" w:sz="0" w:space="0" w:color="auto"/>
            <w:bottom w:val="none" w:sz="0" w:space="0" w:color="auto"/>
            <w:right w:val="none" w:sz="0" w:space="0" w:color="auto"/>
          </w:divBdr>
        </w:div>
        <w:div w:id="437724198">
          <w:marLeft w:val="0"/>
          <w:marRight w:val="0"/>
          <w:marTop w:val="0"/>
          <w:marBottom w:val="0"/>
          <w:divBdr>
            <w:top w:val="none" w:sz="0" w:space="0" w:color="auto"/>
            <w:left w:val="none" w:sz="0" w:space="0" w:color="auto"/>
            <w:bottom w:val="none" w:sz="0" w:space="0" w:color="auto"/>
            <w:right w:val="none" w:sz="0" w:space="0" w:color="auto"/>
          </w:divBdr>
        </w:div>
        <w:div w:id="1270702216">
          <w:marLeft w:val="0"/>
          <w:marRight w:val="0"/>
          <w:marTop w:val="0"/>
          <w:marBottom w:val="0"/>
          <w:divBdr>
            <w:top w:val="none" w:sz="0" w:space="0" w:color="auto"/>
            <w:left w:val="none" w:sz="0" w:space="0" w:color="auto"/>
            <w:bottom w:val="none" w:sz="0" w:space="0" w:color="auto"/>
            <w:right w:val="none" w:sz="0" w:space="0" w:color="auto"/>
          </w:divBdr>
        </w:div>
        <w:div w:id="1639340669">
          <w:marLeft w:val="0"/>
          <w:marRight w:val="0"/>
          <w:marTop w:val="0"/>
          <w:marBottom w:val="0"/>
          <w:divBdr>
            <w:top w:val="none" w:sz="0" w:space="0" w:color="auto"/>
            <w:left w:val="none" w:sz="0" w:space="0" w:color="auto"/>
            <w:bottom w:val="none" w:sz="0" w:space="0" w:color="auto"/>
            <w:right w:val="none" w:sz="0" w:space="0" w:color="auto"/>
          </w:divBdr>
        </w:div>
        <w:div w:id="341661880">
          <w:marLeft w:val="0"/>
          <w:marRight w:val="0"/>
          <w:marTop w:val="0"/>
          <w:marBottom w:val="0"/>
          <w:divBdr>
            <w:top w:val="none" w:sz="0" w:space="0" w:color="auto"/>
            <w:left w:val="none" w:sz="0" w:space="0" w:color="auto"/>
            <w:bottom w:val="none" w:sz="0" w:space="0" w:color="auto"/>
            <w:right w:val="none" w:sz="0" w:space="0" w:color="auto"/>
          </w:divBdr>
        </w:div>
        <w:div w:id="1076829257">
          <w:marLeft w:val="0"/>
          <w:marRight w:val="0"/>
          <w:marTop w:val="0"/>
          <w:marBottom w:val="0"/>
          <w:divBdr>
            <w:top w:val="none" w:sz="0" w:space="0" w:color="auto"/>
            <w:left w:val="none" w:sz="0" w:space="0" w:color="auto"/>
            <w:bottom w:val="none" w:sz="0" w:space="0" w:color="auto"/>
            <w:right w:val="none" w:sz="0" w:space="0" w:color="auto"/>
          </w:divBdr>
        </w:div>
        <w:div w:id="676616979">
          <w:marLeft w:val="0"/>
          <w:marRight w:val="0"/>
          <w:marTop w:val="0"/>
          <w:marBottom w:val="0"/>
          <w:divBdr>
            <w:top w:val="none" w:sz="0" w:space="0" w:color="auto"/>
            <w:left w:val="none" w:sz="0" w:space="0" w:color="auto"/>
            <w:bottom w:val="none" w:sz="0" w:space="0" w:color="auto"/>
            <w:right w:val="none" w:sz="0" w:space="0" w:color="auto"/>
          </w:divBdr>
        </w:div>
        <w:div w:id="90779266">
          <w:marLeft w:val="0"/>
          <w:marRight w:val="0"/>
          <w:marTop w:val="0"/>
          <w:marBottom w:val="0"/>
          <w:divBdr>
            <w:top w:val="none" w:sz="0" w:space="0" w:color="auto"/>
            <w:left w:val="none" w:sz="0" w:space="0" w:color="auto"/>
            <w:bottom w:val="none" w:sz="0" w:space="0" w:color="auto"/>
            <w:right w:val="none" w:sz="0" w:space="0" w:color="auto"/>
          </w:divBdr>
        </w:div>
        <w:div w:id="991911023">
          <w:marLeft w:val="0"/>
          <w:marRight w:val="0"/>
          <w:marTop w:val="0"/>
          <w:marBottom w:val="0"/>
          <w:divBdr>
            <w:top w:val="none" w:sz="0" w:space="0" w:color="auto"/>
            <w:left w:val="none" w:sz="0" w:space="0" w:color="auto"/>
            <w:bottom w:val="none" w:sz="0" w:space="0" w:color="auto"/>
            <w:right w:val="none" w:sz="0" w:space="0" w:color="auto"/>
          </w:divBdr>
        </w:div>
        <w:div w:id="552082674">
          <w:marLeft w:val="0"/>
          <w:marRight w:val="0"/>
          <w:marTop w:val="0"/>
          <w:marBottom w:val="0"/>
          <w:divBdr>
            <w:top w:val="none" w:sz="0" w:space="0" w:color="auto"/>
            <w:left w:val="none" w:sz="0" w:space="0" w:color="auto"/>
            <w:bottom w:val="none" w:sz="0" w:space="0" w:color="auto"/>
            <w:right w:val="none" w:sz="0" w:space="0" w:color="auto"/>
          </w:divBdr>
        </w:div>
        <w:div w:id="2082629153">
          <w:marLeft w:val="0"/>
          <w:marRight w:val="0"/>
          <w:marTop w:val="0"/>
          <w:marBottom w:val="0"/>
          <w:divBdr>
            <w:top w:val="none" w:sz="0" w:space="0" w:color="auto"/>
            <w:left w:val="none" w:sz="0" w:space="0" w:color="auto"/>
            <w:bottom w:val="none" w:sz="0" w:space="0" w:color="auto"/>
            <w:right w:val="none" w:sz="0" w:space="0" w:color="auto"/>
          </w:divBdr>
        </w:div>
        <w:div w:id="839546614">
          <w:marLeft w:val="0"/>
          <w:marRight w:val="0"/>
          <w:marTop w:val="0"/>
          <w:marBottom w:val="0"/>
          <w:divBdr>
            <w:top w:val="none" w:sz="0" w:space="0" w:color="auto"/>
            <w:left w:val="none" w:sz="0" w:space="0" w:color="auto"/>
            <w:bottom w:val="none" w:sz="0" w:space="0" w:color="auto"/>
            <w:right w:val="none" w:sz="0" w:space="0" w:color="auto"/>
          </w:divBdr>
        </w:div>
        <w:div w:id="1733230821">
          <w:marLeft w:val="0"/>
          <w:marRight w:val="0"/>
          <w:marTop w:val="0"/>
          <w:marBottom w:val="0"/>
          <w:divBdr>
            <w:top w:val="none" w:sz="0" w:space="0" w:color="auto"/>
            <w:left w:val="none" w:sz="0" w:space="0" w:color="auto"/>
            <w:bottom w:val="none" w:sz="0" w:space="0" w:color="auto"/>
            <w:right w:val="none" w:sz="0" w:space="0" w:color="auto"/>
          </w:divBdr>
        </w:div>
        <w:div w:id="1354725645">
          <w:marLeft w:val="0"/>
          <w:marRight w:val="0"/>
          <w:marTop w:val="0"/>
          <w:marBottom w:val="0"/>
          <w:divBdr>
            <w:top w:val="none" w:sz="0" w:space="0" w:color="auto"/>
            <w:left w:val="none" w:sz="0" w:space="0" w:color="auto"/>
            <w:bottom w:val="none" w:sz="0" w:space="0" w:color="auto"/>
            <w:right w:val="none" w:sz="0" w:space="0" w:color="auto"/>
          </w:divBdr>
        </w:div>
      </w:divsChild>
    </w:div>
    <w:div w:id="388118249">
      <w:bodyDiv w:val="1"/>
      <w:marLeft w:val="0"/>
      <w:marRight w:val="0"/>
      <w:marTop w:val="0"/>
      <w:marBottom w:val="0"/>
      <w:divBdr>
        <w:top w:val="none" w:sz="0" w:space="0" w:color="auto"/>
        <w:left w:val="none" w:sz="0" w:space="0" w:color="auto"/>
        <w:bottom w:val="none" w:sz="0" w:space="0" w:color="auto"/>
        <w:right w:val="none" w:sz="0" w:space="0" w:color="auto"/>
      </w:divBdr>
      <w:divsChild>
        <w:div w:id="1673222077">
          <w:marLeft w:val="0"/>
          <w:marRight w:val="0"/>
          <w:marTop w:val="0"/>
          <w:marBottom w:val="0"/>
          <w:divBdr>
            <w:top w:val="none" w:sz="0" w:space="0" w:color="auto"/>
            <w:left w:val="none" w:sz="0" w:space="0" w:color="auto"/>
            <w:bottom w:val="none" w:sz="0" w:space="0" w:color="auto"/>
            <w:right w:val="none" w:sz="0" w:space="0" w:color="auto"/>
          </w:divBdr>
          <w:divsChild>
            <w:div w:id="1044020112">
              <w:marLeft w:val="0"/>
              <w:marRight w:val="0"/>
              <w:marTop w:val="0"/>
              <w:marBottom w:val="0"/>
              <w:divBdr>
                <w:top w:val="none" w:sz="0" w:space="0" w:color="auto"/>
                <w:left w:val="none" w:sz="0" w:space="0" w:color="auto"/>
                <w:bottom w:val="none" w:sz="0" w:space="0" w:color="auto"/>
                <w:right w:val="none" w:sz="0" w:space="0" w:color="auto"/>
              </w:divBdr>
              <w:divsChild>
                <w:div w:id="1567639823">
                  <w:marLeft w:val="0"/>
                  <w:marRight w:val="0"/>
                  <w:marTop w:val="0"/>
                  <w:marBottom w:val="0"/>
                  <w:divBdr>
                    <w:top w:val="none" w:sz="0" w:space="0" w:color="auto"/>
                    <w:left w:val="none" w:sz="0" w:space="0" w:color="auto"/>
                    <w:bottom w:val="none" w:sz="0" w:space="0" w:color="auto"/>
                    <w:right w:val="none" w:sz="0" w:space="0" w:color="auto"/>
                  </w:divBdr>
                </w:div>
                <w:div w:id="1809588379">
                  <w:marLeft w:val="0"/>
                  <w:marRight w:val="0"/>
                  <w:marTop w:val="0"/>
                  <w:marBottom w:val="0"/>
                  <w:divBdr>
                    <w:top w:val="none" w:sz="0" w:space="0" w:color="auto"/>
                    <w:left w:val="none" w:sz="0" w:space="0" w:color="auto"/>
                    <w:bottom w:val="none" w:sz="0" w:space="0" w:color="auto"/>
                    <w:right w:val="none" w:sz="0" w:space="0" w:color="auto"/>
                  </w:divBdr>
                </w:div>
                <w:div w:id="2107653828">
                  <w:marLeft w:val="0"/>
                  <w:marRight w:val="0"/>
                  <w:marTop w:val="0"/>
                  <w:marBottom w:val="0"/>
                  <w:divBdr>
                    <w:top w:val="none" w:sz="0" w:space="0" w:color="auto"/>
                    <w:left w:val="none" w:sz="0" w:space="0" w:color="auto"/>
                    <w:bottom w:val="none" w:sz="0" w:space="0" w:color="auto"/>
                    <w:right w:val="none" w:sz="0" w:space="0" w:color="auto"/>
                  </w:divBdr>
                </w:div>
                <w:div w:id="4791062">
                  <w:marLeft w:val="0"/>
                  <w:marRight w:val="0"/>
                  <w:marTop w:val="0"/>
                  <w:marBottom w:val="0"/>
                  <w:divBdr>
                    <w:top w:val="none" w:sz="0" w:space="0" w:color="auto"/>
                    <w:left w:val="none" w:sz="0" w:space="0" w:color="auto"/>
                    <w:bottom w:val="none" w:sz="0" w:space="0" w:color="auto"/>
                    <w:right w:val="none" w:sz="0" w:space="0" w:color="auto"/>
                  </w:divBdr>
                </w:div>
                <w:div w:id="975380858">
                  <w:marLeft w:val="0"/>
                  <w:marRight w:val="0"/>
                  <w:marTop w:val="0"/>
                  <w:marBottom w:val="0"/>
                  <w:divBdr>
                    <w:top w:val="none" w:sz="0" w:space="0" w:color="auto"/>
                    <w:left w:val="none" w:sz="0" w:space="0" w:color="auto"/>
                    <w:bottom w:val="none" w:sz="0" w:space="0" w:color="auto"/>
                    <w:right w:val="none" w:sz="0" w:space="0" w:color="auto"/>
                  </w:divBdr>
                </w:div>
                <w:div w:id="1719430934">
                  <w:marLeft w:val="0"/>
                  <w:marRight w:val="0"/>
                  <w:marTop w:val="0"/>
                  <w:marBottom w:val="0"/>
                  <w:divBdr>
                    <w:top w:val="none" w:sz="0" w:space="0" w:color="auto"/>
                    <w:left w:val="none" w:sz="0" w:space="0" w:color="auto"/>
                    <w:bottom w:val="none" w:sz="0" w:space="0" w:color="auto"/>
                    <w:right w:val="none" w:sz="0" w:space="0" w:color="auto"/>
                  </w:divBdr>
                </w:div>
                <w:div w:id="1441098513">
                  <w:marLeft w:val="0"/>
                  <w:marRight w:val="0"/>
                  <w:marTop w:val="0"/>
                  <w:marBottom w:val="0"/>
                  <w:divBdr>
                    <w:top w:val="none" w:sz="0" w:space="0" w:color="auto"/>
                    <w:left w:val="none" w:sz="0" w:space="0" w:color="auto"/>
                    <w:bottom w:val="none" w:sz="0" w:space="0" w:color="auto"/>
                    <w:right w:val="none" w:sz="0" w:space="0" w:color="auto"/>
                  </w:divBdr>
                </w:div>
                <w:div w:id="216868058">
                  <w:marLeft w:val="0"/>
                  <w:marRight w:val="0"/>
                  <w:marTop w:val="0"/>
                  <w:marBottom w:val="0"/>
                  <w:divBdr>
                    <w:top w:val="none" w:sz="0" w:space="0" w:color="auto"/>
                    <w:left w:val="none" w:sz="0" w:space="0" w:color="auto"/>
                    <w:bottom w:val="none" w:sz="0" w:space="0" w:color="auto"/>
                    <w:right w:val="none" w:sz="0" w:space="0" w:color="auto"/>
                  </w:divBdr>
                </w:div>
                <w:div w:id="1533109896">
                  <w:marLeft w:val="0"/>
                  <w:marRight w:val="0"/>
                  <w:marTop w:val="0"/>
                  <w:marBottom w:val="0"/>
                  <w:divBdr>
                    <w:top w:val="none" w:sz="0" w:space="0" w:color="auto"/>
                    <w:left w:val="none" w:sz="0" w:space="0" w:color="auto"/>
                    <w:bottom w:val="none" w:sz="0" w:space="0" w:color="auto"/>
                    <w:right w:val="none" w:sz="0" w:space="0" w:color="auto"/>
                  </w:divBdr>
                </w:div>
                <w:div w:id="107088260">
                  <w:marLeft w:val="0"/>
                  <w:marRight w:val="0"/>
                  <w:marTop w:val="0"/>
                  <w:marBottom w:val="0"/>
                  <w:divBdr>
                    <w:top w:val="none" w:sz="0" w:space="0" w:color="auto"/>
                    <w:left w:val="none" w:sz="0" w:space="0" w:color="auto"/>
                    <w:bottom w:val="none" w:sz="0" w:space="0" w:color="auto"/>
                    <w:right w:val="none" w:sz="0" w:space="0" w:color="auto"/>
                  </w:divBdr>
                </w:div>
                <w:div w:id="634021912">
                  <w:marLeft w:val="0"/>
                  <w:marRight w:val="0"/>
                  <w:marTop w:val="0"/>
                  <w:marBottom w:val="0"/>
                  <w:divBdr>
                    <w:top w:val="none" w:sz="0" w:space="0" w:color="auto"/>
                    <w:left w:val="none" w:sz="0" w:space="0" w:color="auto"/>
                    <w:bottom w:val="none" w:sz="0" w:space="0" w:color="auto"/>
                    <w:right w:val="none" w:sz="0" w:space="0" w:color="auto"/>
                  </w:divBdr>
                </w:div>
                <w:div w:id="1984920145">
                  <w:marLeft w:val="0"/>
                  <w:marRight w:val="0"/>
                  <w:marTop w:val="0"/>
                  <w:marBottom w:val="0"/>
                  <w:divBdr>
                    <w:top w:val="none" w:sz="0" w:space="0" w:color="auto"/>
                    <w:left w:val="none" w:sz="0" w:space="0" w:color="auto"/>
                    <w:bottom w:val="none" w:sz="0" w:space="0" w:color="auto"/>
                    <w:right w:val="none" w:sz="0" w:space="0" w:color="auto"/>
                  </w:divBdr>
                </w:div>
                <w:div w:id="285551378">
                  <w:marLeft w:val="0"/>
                  <w:marRight w:val="0"/>
                  <w:marTop w:val="0"/>
                  <w:marBottom w:val="0"/>
                  <w:divBdr>
                    <w:top w:val="none" w:sz="0" w:space="0" w:color="auto"/>
                    <w:left w:val="none" w:sz="0" w:space="0" w:color="auto"/>
                    <w:bottom w:val="none" w:sz="0" w:space="0" w:color="auto"/>
                    <w:right w:val="none" w:sz="0" w:space="0" w:color="auto"/>
                  </w:divBdr>
                </w:div>
                <w:div w:id="1896427777">
                  <w:marLeft w:val="0"/>
                  <w:marRight w:val="0"/>
                  <w:marTop w:val="0"/>
                  <w:marBottom w:val="0"/>
                  <w:divBdr>
                    <w:top w:val="none" w:sz="0" w:space="0" w:color="auto"/>
                    <w:left w:val="none" w:sz="0" w:space="0" w:color="auto"/>
                    <w:bottom w:val="none" w:sz="0" w:space="0" w:color="auto"/>
                    <w:right w:val="none" w:sz="0" w:space="0" w:color="auto"/>
                  </w:divBdr>
                </w:div>
                <w:div w:id="2009481609">
                  <w:marLeft w:val="0"/>
                  <w:marRight w:val="0"/>
                  <w:marTop w:val="0"/>
                  <w:marBottom w:val="0"/>
                  <w:divBdr>
                    <w:top w:val="none" w:sz="0" w:space="0" w:color="auto"/>
                    <w:left w:val="none" w:sz="0" w:space="0" w:color="auto"/>
                    <w:bottom w:val="none" w:sz="0" w:space="0" w:color="auto"/>
                    <w:right w:val="none" w:sz="0" w:space="0" w:color="auto"/>
                  </w:divBdr>
                </w:div>
                <w:div w:id="1310287334">
                  <w:marLeft w:val="0"/>
                  <w:marRight w:val="0"/>
                  <w:marTop w:val="0"/>
                  <w:marBottom w:val="0"/>
                  <w:divBdr>
                    <w:top w:val="none" w:sz="0" w:space="0" w:color="auto"/>
                    <w:left w:val="none" w:sz="0" w:space="0" w:color="auto"/>
                    <w:bottom w:val="none" w:sz="0" w:space="0" w:color="auto"/>
                    <w:right w:val="none" w:sz="0" w:space="0" w:color="auto"/>
                  </w:divBdr>
                </w:div>
                <w:div w:id="1250695065">
                  <w:marLeft w:val="0"/>
                  <w:marRight w:val="0"/>
                  <w:marTop w:val="0"/>
                  <w:marBottom w:val="0"/>
                  <w:divBdr>
                    <w:top w:val="none" w:sz="0" w:space="0" w:color="auto"/>
                    <w:left w:val="none" w:sz="0" w:space="0" w:color="auto"/>
                    <w:bottom w:val="none" w:sz="0" w:space="0" w:color="auto"/>
                    <w:right w:val="none" w:sz="0" w:space="0" w:color="auto"/>
                  </w:divBdr>
                </w:div>
                <w:div w:id="1249078397">
                  <w:marLeft w:val="0"/>
                  <w:marRight w:val="0"/>
                  <w:marTop w:val="0"/>
                  <w:marBottom w:val="0"/>
                  <w:divBdr>
                    <w:top w:val="none" w:sz="0" w:space="0" w:color="auto"/>
                    <w:left w:val="none" w:sz="0" w:space="0" w:color="auto"/>
                    <w:bottom w:val="none" w:sz="0" w:space="0" w:color="auto"/>
                    <w:right w:val="none" w:sz="0" w:space="0" w:color="auto"/>
                  </w:divBdr>
                </w:div>
                <w:div w:id="811943136">
                  <w:marLeft w:val="0"/>
                  <w:marRight w:val="0"/>
                  <w:marTop w:val="0"/>
                  <w:marBottom w:val="0"/>
                  <w:divBdr>
                    <w:top w:val="none" w:sz="0" w:space="0" w:color="auto"/>
                    <w:left w:val="none" w:sz="0" w:space="0" w:color="auto"/>
                    <w:bottom w:val="none" w:sz="0" w:space="0" w:color="auto"/>
                    <w:right w:val="none" w:sz="0" w:space="0" w:color="auto"/>
                  </w:divBdr>
                </w:div>
                <w:div w:id="1630745982">
                  <w:marLeft w:val="0"/>
                  <w:marRight w:val="0"/>
                  <w:marTop w:val="0"/>
                  <w:marBottom w:val="0"/>
                  <w:divBdr>
                    <w:top w:val="none" w:sz="0" w:space="0" w:color="auto"/>
                    <w:left w:val="none" w:sz="0" w:space="0" w:color="auto"/>
                    <w:bottom w:val="none" w:sz="0" w:space="0" w:color="auto"/>
                    <w:right w:val="none" w:sz="0" w:space="0" w:color="auto"/>
                  </w:divBdr>
                </w:div>
                <w:div w:id="1153175668">
                  <w:marLeft w:val="0"/>
                  <w:marRight w:val="0"/>
                  <w:marTop w:val="0"/>
                  <w:marBottom w:val="0"/>
                  <w:divBdr>
                    <w:top w:val="none" w:sz="0" w:space="0" w:color="auto"/>
                    <w:left w:val="none" w:sz="0" w:space="0" w:color="auto"/>
                    <w:bottom w:val="none" w:sz="0" w:space="0" w:color="auto"/>
                    <w:right w:val="none" w:sz="0" w:space="0" w:color="auto"/>
                  </w:divBdr>
                </w:div>
                <w:div w:id="1296714199">
                  <w:marLeft w:val="0"/>
                  <w:marRight w:val="0"/>
                  <w:marTop w:val="0"/>
                  <w:marBottom w:val="0"/>
                  <w:divBdr>
                    <w:top w:val="none" w:sz="0" w:space="0" w:color="auto"/>
                    <w:left w:val="none" w:sz="0" w:space="0" w:color="auto"/>
                    <w:bottom w:val="none" w:sz="0" w:space="0" w:color="auto"/>
                    <w:right w:val="none" w:sz="0" w:space="0" w:color="auto"/>
                  </w:divBdr>
                </w:div>
                <w:div w:id="1766921225">
                  <w:marLeft w:val="0"/>
                  <w:marRight w:val="0"/>
                  <w:marTop w:val="0"/>
                  <w:marBottom w:val="0"/>
                  <w:divBdr>
                    <w:top w:val="none" w:sz="0" w:space="0" w:color="auto"/>
                    <w:left w:val="none" w:sz="0" w:space="0" w:color="auto"/>
                    <w:bottom w:val="none" w:sz="0" w:space="0" w:color="auto"/>
                    <w:right w:val="none" w:sz="0" w:space="0" w:color="auto"/>
                  </w:divBdr>
                </w:div>
                <w:div w:id="465969528">
                  <w:marLeft w:val="0"/>
                  <w:marRight w:val="0"/>
                  <w:marTop w:val="0"/>
                  <w:marBottom w:val="0"/>
                  <w:divBdr>
                    <w:top w:val="none" w:sz="0" w:space="0" w:color="auto"/>
                    <w:left w:val="none" w:sz="0" w:space="0" w:color="auto"/>
                    <w:bottom w:val="none" w:sz="0" w:space="0" w:color="auto"/>
                    <w:right w:val="none" w:sz="0" w:space="0" w:color="auto"/>
                  </w:divBdr>
                </w:div>
                <w:div w:id="36661650">
                  <w:marLeft w:val="0"/>
                  <w:marRight w:val="0"/>
                  <w:marTop w:val="0"/>
                  <w:marBottom w:val="0"/>
                  <w:divBdr>
                    <w:top w:val="none" w:sz="0" w:space="0" w:color="auto"/>
                    <w:left w:val="none" w:sz="0" w:space="0" w:color="auto"/>
                    <w:bottom w:val="none" w:sz="0" w:space="0" w:color="auto"/>
                    <w:right w:val="none" w:sz="0" w:space="0" w:color="auto"/>
                  </w:divBdr>
                </w:div>
                <w:div w:id="562836706">
                  <w:marLeft w:val="0"/>
                  <w:marRight w:val="0"/>
                  <w:marTop w:val="0"/>
                  <w:marBottom w:val="0"/>
                  <w:divBdr>
                    <w:top w:val="none" w:sz="0" w:space="0" w:color="auto"/>
                    <w:left w:val="none" w:sz="0" w:space="0" w:color="auto"/>
                    <w:bottom w:val="none" w:sz="0" w:space="0" w:color="auto"/>
                    <w:right w:val="none" w:sz="0" w:space="0" w:color="auto"/>
                  </w:divBdr>
                </w:div>
                <w:div w:id="1310405593">
                  <w:marLeft w:val="0"/>
                  <w:marRight w:val="0"/>
                  <w:marTop w:val="0"/>
                  <w:marBottom w:val="0"/>
                  <w:divBdr>
                    <w:top w:val="none" w:sz="0" w:space="0" w:color="auto"/>
                    <w:left w:val="none" w:sz="0" w:space="0" w:color="auto"/>
                    <w:bottom w:val="none" w:sz="0" w:space="0" w:color="auto"/>
                    <w:right w:val="none" w:sz="0" w:space="0" w:color="auto"/>
                  </w:divBdr>
                </w:div>
                <w:div w:id="602688997">
                  <w:marLeft w:val="0"/>
                  <w:marRight w:val="0"/>
                  <w:marTop w:val="0"/>
                  <w:marBottom w:val="0"/>
                  <w:divBdr>
                    <w:top w:val="none" w:sz="0" w:space="0" w:color="auto"/>
                    <w:left w:val="none" w:sz="0" w:space="0" w:color="auto"/>
                    <w:bottom w:val="none" w:sz="0" w:space="0" w:color="auto"/>
                    <w:right w:val="none" w:sz="0" w:space="0" w:color="auto"/>
                  </w:divBdr>
                </w:div>
                <w:div w:id="2060588805">
                  <w:marLeft w:val="0"/>
                  <w:marRight w:val="0"/>
                  <w:marTop w:val="0"/>
                  <w:marBottom w:val="0"/>
                  <w:divBdr>
                    <w:top w:val="none" w:sz="0" w:space="0" w:color="auto"/>
                    <w:left w:val="none" w:sz="0" w:space="0" w:color="auto"/>
                    <w:bottom w:val="none" w:sz="0" w:space="0" w:color="auto"/>
                    <w:right w:val="none" w:sz="0" w:space="0" w:color="auto"/>
                  </w:divBdr>
                </w:div>
                <w:div w:id="729697184">
                  <w:marLeft w:val="0"/>
                  <w:marRight w:val="0"/>
                  <w:marTop w:val="0"/>
                  <w:marBottom w:val="0"/>
                  <w:divBdr>
                    <w:top w:val="none" w:sz="0" w:space="0" w:color="auto"/>
                    <w:left w:val="none" w:sz="0" w:space="0" w:color="auto"/>
                    <w:bottom w:val="none" w:sz="0" w:space="0" w:color="auto"/>
                    <w:right w:val="none" w:sz="0" w:space="0" w:color="auto"/>
                  </w:divBdr>
                </w:div>
                <w:div w:id="1544636439">
                  <w:marLeft w:val="0"/>
                  <w:marRight w:val="0"/>
                  <w:marTop w:val="0"/>
                  <w:marBottom w:val="0"/>
                  <w:divBdr>
                    <w:top w:val="none" w:sz="0" w:space="0" w:color="auto"/>
                    <w:left w:val="none" w:sz="0" w:space="0" w:color="auto"/>
                    <w:bottom w:val="none" w:sz="0" w:space="0" w:color="auto"/>
                    <w:right w:val="none" w:sz="0" w:space="0" w:color="auto"/>
                  </w:divBdr>
                </w:div>
                <w:div w:id="879242577">
                  <w:marLeft w:val="0"/>
                  <w:marRight w:val="0"/>
                  <w:marTop w:val="0"/>
                  <w:marBottom w:val="0"/>
                  <w:divBdr>
                    <w:top w:val="none" w:sz="0" w:space="0" w:color="auto"/>
                    <w:left w:val="none" w:sz="0" w:space="0" w:color="auto"/>
                    <w:bottom w:val="none" w:sz="0" w:space="0" w:color="auto"/>
                    <w:right w:val="none" w:sz="0" w:space="0" w:color="auto"/>
                  </w:divBdr>
                </w:div>
                <w:div w:id="2133328224">
                  <w:marLeft w:val="0"/>
                  <w:marRight w:val="0"/>
                  <w:marTop w:val="0"/>
                  <w:marBottom w:val="0"/>
                  <w:divBdr>
                    <w:top w:val="none" w:sz="0" w:space="0" w:color="auto"/>
                    <w:left w:val="none" w:sz="0" w:space="0" w:color="auto"/>
                    <w:bottom w:val="none" w:sz="0" w:space="0" w:color="auto"/>
                    <w:right w:val="none" w:sz="0" w:space="0" w:color="auto"/>
                  </w:divBdr>
                </w:div>
                <w:div w:id="1084449243">
                  <w:marLeft w:val="0"/>
                  <w:marRight w:val="0"/>
                  <w:marTop w:val="0"/>
                  <w:marBottom w:val="0"/>
                  <w:divBdr>
                    <w:top w:val="none" w:sz="0" w:space="0" w:color="auto"/>
                    <w:left w:val="none" w:sz="0" w:space="0" w:color="auto"/>
                    <w:bottom w:val="none" w:sz="0" w:space="0" w:color="auto"/>
                    <w:right w:val="none" w:sz="0" w:space="0" w:color="auto"/>
                  </w:divBdr>
                </w:div>
                <w:div w:id="640158654">
                  <w:marLeft w:val="0"/>
                  <w:marRight w:val="0"/>
                  <w:marTop w:val="0"/>
                  <w:marBottom w:val="0"/>
                  <w:divBdr>
                    <w:top w:val="none" w:sz="0" w:space="0" w:color="auto"/>
                    <w:left w:val="none" w:sz="0" w:space="0" w:color="auto"/>
                    <w:bottom w:val="none" w:sz="0" w:space="0" w:color="auto"/>
                    <w:right w:val="none" w:sz="0" w:space="0" w:color="auto"/>
                  </w:divBdr>
                </w:div>
                <w:div w:id="249776430">
                  <w:marLeft w:val="0"/>
                  <w:marRight w:val="0"/>
                  <w:marTop w:val="0"/>
                  <w:marBottom w:val="0"/>
                  <w:divBdr>
                    <w:top w:val="none" w:sz="0" w:space="0" w:color="auto"/>
                    <w:left w:val="none" w:sz="0" w:space="0" w:color="auto"/>
                    <w:bottom w:val="none" w:sz="0" w:space="0" w:color="auto"/>
                    <w:right w:val="none" w:sz="0" w:space="0" w:color="auto"/>
                  </w:divBdr>
                </w:div>
                <w:div w:id="2143763835">
                  <w:marLeft w:val="0"/>
                  <w:marRight w:val="0"/>
                  <w:marTop w:val="0"/>
                  <w:marBottom w:val="0"/>
                  <w:divBdr>
                    <w:top w:val="none" w:sz="0" w:space="0" w:color="auto"/>
                    <w:left w:val="none" w:sz="0" w:space="0" w:color="auto"/>
                    <w:bottom w:val="none" w:sz="0" w:space="0" w:color="auto"/>
                    <w:right w:val="none" w:sz="0" w:space="0" w:color="auto"/>
                  </w:divBdr>
                </w:div>
                <w:div w:id="579028308">
                  <w:marLeft w:val="0"/>
                  <w:marRight w:val="0"/>
                  <w:marTop w:val="0"/>
                  <w:marBottom w:val="0"/>
                  <w:divBdr>
                    <w:top w:val="none" w:sz="0" w:space="0" w:color="auto"/>
                    <w:left w:val="none" w:sz="0" w:space="0" w:color="auto"/>
                    <w:bottom w:val="none" w:sz="0" w:space="0" w:color="auto"/>
                    <w:right w:val="none" w:sz="0" w:space="0" w:color="auto"/>
                  </w:divBdr>
                </w:div>
                <w:div w:id="1001542042">
                  <w:marLeft w:val="0"/>
                  <w:marRight w:val="0"/>
                  <w:marTop w:val="0"/>
                  <w:marBottom w:val="0"/>
                  <w:divBdr>
                    <w:top w:val="none" w:sz="0" w:space="0" w:color="auto"/>
                    <w:left w:val="none" w:sz="0" w:space="0" w:color="auto"/>
                    <w:bottom w:val="none" w:sz="0" w:space="0" w:color="auto"/>
                    <w:right w:val="none" w:sz="0" w:space="0" w:color="auto"/>
                  </w:divBdr>
                </w:div>
                <w:div w:id="745759981">
                  <w:marLeft w:val="0"/>
                  <w:marRight w:val="0"/>
                  <w:marTop w:val="0"/>
                  <w:marBottom w:val="0"/>
                  <w:divBdr>
                    <w:top w:val="none" w:sz="0" w:space="0" w:color="auto"/>
                    <w:left w:val="none" w:sz="0" w:space="0" w:color="auto"/>
                    <w:bottom w:val="none" w:sz="0" w:space="0" w:color="auto"/>
                    <w:right w:val="none" w:sz="0" w:space="0" w:color="auto"/>
                  </w:divBdr>
                </w:div>
                <w:div w:id="206795631">
                  <w:marLeft w:val="0"/>
                  <w:marRight w:val="0"/>
                  <w:marTop w:val="0"/>
                  <w:marBottom w:val="0"/>
                  <w:divBdr>
                    <w:top w:val="none" w:sz="0" w:space="0" w:color="auto"/>
                    <w:left w:val="none" w:sz="0" w:space="0" w:color="auto"/>
                    <w:bottom w:val="none" w:sz="0" w:space="0" w:color="auto"/>
                    <w:right w:val="none" w:sz="0" w:space="0" w:color="auto"/>
                  </w:divBdr>
                </w:div>
                <w:div w:id="409814324">
                  <w:marLeft w:val="0"/>
                  <w:marRight w:val="0"/>
                  <w:marTop w:val="0"/>
                  <w:marBottom w:val="0"/>
                  <w:divBdr>
                    <w:top w:val="none" w:sz="0" w:space="0" w:color="auto"/>
                    <w:left w:val="none" w:sz="0" w:space="0" w:color="auto"/>
                    <w:bottom w:val="none" w:sz="0" w:space="0" w:color="auto"/>
                    <w:right w:val="none" w:sz="0" w:space="0" w:color="auto"/>
                  </w:divBdr>
                </w:div>
                <w:div w:id="2024086872">
                  <w:marLeft w:val="0"/>
                  <w:marRight w:val="0"/>
                  <w:marTop w:val="0"/>
                  <w:marBottom w:val="0"/>
                  <w:divBdr>
                    <w:top w:val="none" w:sz="0" w:space="0" w:color="auto"/>
                    <w:left w:val="none" w:sz="0" w:space="0" w:color="auto"/>
                    <w:bottom w:val="none" w:sz="0" w:space="0" w:color="auto"/>
                    <w:right w:val="none" w:sz="0" w:space="0" w:color="auto"/>
                  </w:divBdr>
                </w:div>
                <w:div w:id="945309934">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
                <w:div w:id="681250223">
                  <w:marLeft w:val="0"/>
                  <w:marRight w:val="0"/>
                  <w:marTop w:val="0"/>
                  <w:marBottom w:val="0"/>
                  <w:divBdr>
                    <w:top w:val="none" w:sz="0" w:space="0" w:color="auto"/>
                    <w:left w:val="none" w:sz="0" w:space="0" w:color="auto"/>
                    <w:bottom w:val="none" w:sz="0" w:space="0" w:color="auto"/>
                    <w:right w:val="none" w:sz="0" w:space="0" w:color="auto"/>
                  </w:divBdr>
                </w:div>
                <w:div w:id="275061304">
                  <w:marLeft w:val="0"/>
                  <w:marRight w:val="0"/>
                  <w:marTop w:val="0"/>
                  <w:marBottom w:val="0"/>
                  <w:divBdr>
                    <w:top w:val="none" w:sz="0" w:space="0" w:color="auto"/>
                    <w:left w:val="none" w:sz="0" w:space="0" w:color="auto"/>
                    <w:bottom w:val="none" w:sz="0" w:space="0" w:color="auto"/>
                    <w:right w:val="none" w:sz="0" w:space="0" w:color="auto"/>
                  </w:divBdr>
                </w:div>
                <w:div w:id="1626233650">
                  <w:marLeft w:val="0"/>
                  <w:marRight w:val="0"/>
                  <w:marTop w:val="0"/>
                  <w:marBottom w:val="0"/>
                  <w:divBdr>
                    <w:top w:val="none" w:sz="0" w:space="0" w:color="auto"/>
                    <w:left w:val="none" w:sz="0" w:space="0" w:color="auto"/>
                    <w:bottom w:val="none" w:sz="0" w:space="0" w:color="auto"/>
                    <w:right w:val="none" w:sz="0" w:space="0" w:color="auto"/>
                  </w:divBdr>
                </w:div>
                <w:div w:id="847057063">
                  <w:marLeft w:val="0"/>
                  <w:marRight w:val="0"/>
                  <w:marTop w:val="0"/>
                  <w:marBottom w:val="0"/>
                  <w:divBdr>
                    <w:top w:val="none" w:sz="0" w:space="0" w:color="auto"/>
                    <w:left w:val="none" w:sz="0" w:space="0" w:color="auto"/>
                    <w:bottom w:val="none" w:sz="0" w:space="0" w:color="auto"/>
                    <w:right w:val="none" w:sz="0" w:space="0" w:color="auto"/>
                  </w:divBdr>
                </w:div>
                <w:div w:id="1435976543">
                  <w:marLeft w:val="0"/>
                  <w:marRight w:val="0"/>
                  <w:marTop w:val="0"/>
                  <w:marBottom w:val="0"/>
                  <w:divBdr>
                    <w:top w:val="none" w:sz="0" w:space="0" w:color="auto"/>
                    <w:left w:val="none" w:sz="0" w:space="0" w:color="auto"/>
                    <w:bottom w:val="none" w:sz="0" w:space="0" w:color="auto"/>
                    <w:right w:val="none" w:sz="0" w:space="0" w:color="auto"/>
                  </w:divBdr>
                </w:div>
                <w:div w:id="957839272">
                  <w:marLeft w:val="0"/>
                  <w:marRight w:val="0"/>
                  <w:marTop w:val="0"/>
                  <w:marBottom w:val="0"/>
                  <w:divBdr>
                    <w:top w:val="none" w:sz="0" w:space="0" w:color="auto"/>
                    <w:left w:val="none" w:sz="0" w:space="0" w:color="auto"/>
                    <w:bottom w:val="none" w:sz="0" w:space="0" w:color="auto"/>
                    <w:right w:val="none" w:sz="0" w:space="0" w:color="auto"/>
                  </w:divBdr>
                </w:div>
                <w:div w:id="637077662">
                  <w:marLeft w:val="0"/>
                  <w:marRight w:val="0"/>
                  <w:marTop w:val="0"/>
                  <w:marBottom w:val="0"/>
                  <w:divBdr>
                    <w:top w:val="none" w:sz="0" w:space="0" w:color="auto"/>
                    <w:left w:val="none" w:sz="0" w:space="0" w:color="auto"/>
                    <w:bottom w:val="none" w:sz="0" w:space="0" w:color="auto"/>
                    <w:right w:val="none" w:sz="0" w:space="0" w:color="auto"/>
                  </w:divBdr>
                </w:div>
                <w:div w:id="837578820">
                  <w:marLeft w:val="0"/>
                  <w:marRight w:val="0"/>
                  <w:marTop w:val="0"/>
                  <w:marBottom w:val="0"/>
                  <w:divBdr>
                    <w:top w:val="none" w:sz="0" w:space="0" w:color="auto"/>
                    <w:left w:val="none" w:sz="0" w:space="0" w:color="auto"/>
                    <w:bottom w:val="none" w:sz="0" w:space="0" w:color="auto"/>
                    <w:right w:val="none" w:sz="0" w:space="0" w:color="auto"/>
                  </w:divBdr>
                </w:div>
                <w:div w:id="10108952">
                  <w:marLeft w:val="0"/>
                  <w:marRight w:val="0"/>
                  <w:marTop w:val="0"/>
                  <w:marBottom w:val="0"/>
                  <w:divBdr>
                    <w:top w:val="none" w:sz="0" w:space="0" w:color="auto"/>
                    <w:left w:val="none" w:sz="0" w:space="0" w:color="auto"/>
                    <w:bottom w:val="none" w:sz="0" w:space="0" w:color="auto"/>
                    <w:right w:val="none" w:sz="0" w:space="0" w:color="auto"/>
                  </w:divBdr>
                </w:div>
                <w:div w:id="1786806085">
                  <w:marLeft w:val="0"/>
                  <w:marRight w:val="0"/>
                  <w:marTop w:val="0"/>
                  <w:marBottom w:val="0"/>
                  <w:divBdr>
                    <w:top w:val="none" w:sz="0" w:space="0" w:color="auto"/>
                    <w:left w:val="none" w:sz="0" w:space="0" w:color="auto"/>
                    <w:bottom w:val="none" w:sz="0" w:space="0" w:color="auto"/>
                    <w:right w:val="none" w:sz="0" w:space="0" w:color="auto"/>
                  </w:divBdr>
                </w:div>
                <w:div w:id="832182746">
                  <w:marLeft w:val="0"/>
                  <w:marRight w:val="0"/>
                  <w:marTop w:val="0"/>
                  <w:marBottom w:val="0"/>
                  <w:divBdr>
                    <w:top w:val="none" w:sz="0" w:space="0" w:color="auto"/>
                    <w:left w:val="none" w:sz="0" w:space="0" w:color="auto"/>
                    <w:bottom w:val="none" w:sz="0" w:space="0" w:color="auto"/>
                    <w:right w:val="none" w:sz="0" w:space="0" w:color="auto"/>
                  </w:divBdr>
                </w:div>
                <w:div w:id="1570767750">
                  <w:marLeft w:val="0"/>
                  <w:marRight w:val="0"/>
                  <w:marTop w:val="0"/>
                  <w:marBottom w:val="0"/>
                  <w:divBdr>
                    <w:top w:val="none" w:sz="0" w:space="0" w:color="auto"/>
                    <w:left w:val="none" w:sz="0" w:space="0" w:color="auto"/>
                    <w:bottom w:val="none" w:sz="0" w:space="0" w:color="auto"/>
                    <w:right w:val="none" w:sz="0" w:space="0" w:color="auto"/>
                  </w:divBdr>
                </w:div>
                <w:div w:id="978416679">
                  <w:marLeft w:val="0"/>
                  <w:marRight w:val="0"/>
                  <w:marTop w:val="0"/>
                  <w:marBottom w:val="0"/>
                  <w:divBdr>
                    <w:top w:val="none" w:sz="0" w:space="0" w:color="auto"/>
                    <w:left w:val="none" w:sz="0" w:space="0" w:color="auto"/>
                    <w:bottom w:val="none" w:sz="0" w:space="0" w:color="auto"/>
                    <w:right w:val="none" w:sz="0" w:space="0" w:color="auto"/>
                  </w:divBdr>
                </w:div>
                <w:div w:id="933830320">
                  <w:marLeft w:val="0"/>
                  <w:marRight w:val="0"/>
                  <w:marTop w:val="0"/>
                  <w:marBottom w:val="0"/>
                  <w:divBdr>
                    <w:top w:val="none" w:sz="0" w:space="0" w:color="auto"/>
                    <w:left w:val="none" w:sz="0" w:space="0" w:color="auto"/>
                    <w:bottom w:val="none" w:sz="0" w:space="0" w:color="auto"/>
                    <w:right w:val="none" w:sz="0" w:space="0" w:color="auto"/>
                  </w:divBdr>
                </w:div>
                <w:div w:id="1756707431">
                  <w:marLeft w:val="0"/>
                  <w:marRight w:val="0"/>
                  <w:marTop w:val="0"/>
                  <w:marBottom w:val="0"/>
                  <w:divBdr>
                    <w:top w:val="none" w:sz="0" w:space="0" w:color="auto"/>
                    <w:left w:val="none" w:sz="0" w:space="0" w:color="auto"/>
                    <w:bottom w:val="none" w:sz="0" w:space="0" w:color="auto"/>
                    <w:right w:val="none" w:sz="0" w:space="0" w:color="auto"/>
                  </w:divBdr>
                </w:div>
                <w:div w:id="265114527">
                  <w:marLeft w:val="0"/>
                  <w:marRight w:val="0"/>
                  <w:marTop w:val="0"/>
                  <w:marBottom w:val="0"/>
                  <w:divBdr>
                    <w:top w:val="none" w:sz="0" w:space="0" w:color="auto"/>
                    <w:left w:val="none" w:sz="0" w:space="0" w:color="auto"/>
                    <w:bottom w:val="none" w:sz="0" w:space="0" w:color="auto"/>
                    <w:right w:val="none" w:sz="0" w:space="0" w:color="auto"/>
                  </w:divBdr>
                </w:div>
                <w:div w:id="559903851">
                  <w:marLeft w:val="0"/>
                  <w:marRight w:val="0"/>
                  <w:marTop w:val="0"/>
                  <w:marBottom w:val="0"/>
                  <w:divBdr>
                    <w:top w:val="none" w:sz="0" w:space="0" w:color="auto"/>
                    <w:left w:val="none" w:sz="0" w:space="0" w:color="auto"/>
                    <w:bottom w:val="none" w:sz="0" w:space="0" w:color="auto"/>
                    <w:right w:val="none" w:sz="0" w:space="0" w:color="auto"/>
                  </w:divBdr>
                </w:div>
                <w:div w:id="1582787517">
                  <w:marLeft w:val="0"/>
                  <w:marRight w:val="0"/>
                  <w:marTop w:val="0"/>
                  <w:marBottom w:val="0"/>
                  <w:divBdr>
                    <w:top w:val="none" w:sz="0" w:space="0" w:color="auto"/>
                    <w:left w:val="none" w:sz="0" w:space="0" w:color="auto"/>
                    <w:bottom w:val="none" w:sz="0" w:space="0" w:color="auto"/>
                    <w:right w:val="none" w:sz="0" w:space="0" w:color="auto"/>
                  </w:divBdr>
                </w:div>
                <w:div w:id="1294940050">
                  <w:marLeft w:val="0"/>
                  <w:marRight w:val="0"/>
                  <w:marTop w:val="0"/>
                  <w:marBottom w:val="0"/>
                  <w:divBdr>
                    <w:top w:val="none" w:sz="0" w:space="0" w:color="auto"/>
                    <w:left w:val="none" w:sz="0" w:space="0" w:color="auto"/>
                    <w:bottom w:val="none" w:sz="0" w:space="0" w:color="auto"/>
                    <w:right w:val="none" w:sz="0" w:space="0" w:color="auto"/>
                  </w:divBdr>
                </w:div>
                <w:div w:id="1864828696">
                  <w:marLeft w:val="0"/>
                  <w:marRight w:val="0"/>
                  <w:marTop w:val="0"/>
                  <w:marBottom w:val="0"/>
                  <w:divBdr>
                    <w:top w:val="none" w:sz="0" w:space="0" w:color="auto"/>
                    <w:left w:val="none" w:sz="0" w:space="0" w:color="auto"/>
                    <w:bottom w:val="none" w:sz="0" w:space="0" w:color="auto"/>
                    <w:right w:val="none" w:sz="0" w:space="0" w:color="auto"/>
                  </w:divBdr>
                </w:div>
                <w:div w:id="758062781">
                  <w:marLeft w:val="0"/>
                  <w:marRight w:val="0"/>
                  <w:marTop w:val="0"/>
                  <w:marBottom w:val="0"/>
                  <w:divBdr>
                    <w:top w:val="none" w:sz="0" w:space="0" w:color="auto"/>
                    <w:left w:val="none" w:sz="0" w:space="0" w:color="auto"/>
                    <w:bottom w:val="none" w:sz="0" w:space="0" w:color="auto"/>
                    <w:right w:val="none" w:sz="0" w:space="0" w:color="auto"/>
                  </w:divBdr>
                </w:div>
                <w:div w:id="1321693827">
                  <w:marLeft w:val="0"/>
                  <w:marRight w:val="0"/>
                  <w:marTop w:val="0"/>
                  <w:marBottom w:val="0"/>
                  <w:divBdr>
                    <w:top w:val="none" w:sz="0" w:space="0" w:color="auto"/>
                    <w:left w:val="none" w:sz="0" w:space="0" w:color="auto"/>
                    <w:bottom w:val="none" w:sz="0" w:space="0" w:color="auto"/>
                    <w:right w:val="none" w:sz="0" w:space="0" w:color="auto"/>
                  </w:divBdr>
                </w:div>
                <w:div w:id="920335712">
                  <w:marLeft w:val="0"/>
                  <w:marRight w:val="0"/>
                  <w:marTop w:val="0"/>
                  <w:marBottom w:val="0"/>
                  <w:divBdr>
                    <w:top w:val="none" w:sz="0" w:space="0" w:color="auto"/>
                    <w:left w:val="none" w:sz="0" w:space="0" w:color="auto"/>
                    <w:bottom w:val="none" w:sz="0" w:space="0" w:color="auto"/>
                    <w:right w:val="none" w:sz="0" w:space="0" w:color="auto"/>
                  </w:divBdr>
                </w:div>
                <w:div w:id="947930673">
                  <w:marLeft w:val="0"/>
                  <w:marRight w:val="0"/>
                  <w:marTop w:val="0"/>
                  <w:marBottom w:val="0"/>
                  <w:divBdr>
                    <w:top w:val="none" w:sz="0" w:space="0" w:color="auto"/>
                    <w:left w:val="none" w:sz="0" w:space="0" w:color="auto"/>
                    <w:bottom w:val="none" w:sz="0" w:space="0" w:color="auto"/>
                    <w:right w:val="none" w:sz="0" w:space="0" w:color="auto"/>
                  </w:divBdr>
                </w:div>
                <w:div w:id="1690258399">
                  <w:marLeft w:val="0"/>
                  <w:marRight w:val="0"/>
                  <w:marTop w:val="0"/>
                  <w:marBottom w:val="0"/>
                  <w:divBdr>
                    <w:top w:val="none" w:sz="0" w:space="0" w:color="auto"/>
                    <w:left w:val="none" w:sz="0" w:space="0" w:color="auto"/>
                    <w:bottom w:val="none" w:sz="0" w:space="0" w:color="auto"/>
                    <w:right w:val="none" w:sz="0" w:space="0" w:color="auto"/>
                  </w:divBdr>
                </w:div>
                <w:div w:id="937642392">
                  <w:marLeft w:val="0"/>
                  <w:marRight w:val="0"/>
                  <w:marTop w:val="0"/>
                  <w:marBottom w:val="0"/>
                  <w:divBdr>
                    <w:top w:val="none" w:sz="0" w:space="0" w:color="auto"/>
                    <w:left w:val="none" w:sz="0" w:space="0" w:color="auto"/>
                    <w:bottom w:val="none" w:sz="0" w:space="0" w:color="auto"/>
                    <w:right w:val="none" w:sz="0" w:space="0" w:color="auto"/>
                  </w:divBdr>
                </w:div>
                <w:div w:id="1508593272">
                  <w:marLeft w:val="0"/>
                  <w:marRight w:val="0"/>
                  <w:marTop w:val="0"/>
                  <w:marBottom w:val="0"/>
                  <w:divBdr>
                    <w:top w:val="none" w:sz="0" w:space="0" w:color="auto"/>
                    <w:left w:val="none" w:sz="0" w:space="0" w:color="auto"/>
                    <w:bottom w:val="none" w:sz="0" w:space="0" w:color="auto"/>
                    <w:right w:val="none" w:sz="0" w:space="0" w:color="auto"/>
                  </w:divBdr>
                </w:div>
                <w:div w:id="2101439121">
                  <w:marLeft w:val="0"/>
                  <w:marRight w:val="0"/>
                  <w:marTop w:val="0"/>
                  <w:marBottom w:val="0"/>
                  <w:divBdr>
                    <w:top w:val="none" w:sz="0" w:space="0" w:color="auto"/>
                    <w:left w:val="none" w:sz="0" w:space="0" w:color="auto"/>
                    <w:bottom w:val="none" w:sz="0" w:space="0" w:color="auto"/>
                    <w:right w:val="none" w:sz="0" w:space="0" w:color="auto"/>
                  </w:divBdr>
                </w:div>
                <w:div w:id="1932201089">
                  <w:marLeft w:val="0"/>
                  <w:marRight w:val="0"/>
                  <w:marTop w:val="0"/>
                  <w:marBottom w:val="0"/>
                  <w:divBdr>
                    <w:top w:val="none" w:sz="0" w:space="0" w:color="auto"/>
                    <w:left w:val="none" w:sz="0" w:space="0" w:color="auto"/>
                    <w:bottom w:val="none" w:sz="0" w:space="0" w:color="auto"/>
                    <w:right w:val="none" w:sz="0" w:space="0" w:color="auto"/>
                  </w:divBdr>
                </w:div>
                <w:div w:id="912473367">
                  <w:marLeft w:val="0"/>
                  <w:marRight w:val="0"/>
                  <w:marTop w:val="0"/>
                  <w:marBottom w:val="0"/>
                  <w:divBdr>
                    <w:top w:val="none" w:sz="0" w:space="0" w:color="auto"/>
                    <w:left w:val="none" w:sz="0" w:space="0" w:color="auto"/>
                    <w:bottom w:val="none" w:sz="0" w:space="0" w:color="auto"/>
                    <w:right w:val="none" w:sz="0" w:space="0" w:color="auto"/>
                  </w:divBdr>
                </w:div>
                <w:div w:id="591089484">
                  <w:marLeft w:val="0"/>
                  <w:marRight w:val="0"/>
                  <w:marTop w:val="0"/>
                  <w:marBottom w:val="0"/>
                  <w:divBdr>
                    <w:top w:val="none" w:sz="0" w:space="0" w:color="auto"/>
                    <w:left w:val="none" w:sz="0" w:space="0" w:color="auto"/>
                    <w:bottom w:val="none" w:sz="0" w:space="0" w:color="auto"/>
                    <w:right w:val="none" w:sz="0" w:space="0" w:color="auto"/>
                  </w:divBdr>
                </w:div>
                <w:div w:id="1201630765">
                  <w:marLeft w:val="0"/>
                  <w:marRight w:val="0"/>
                  <w:marTop w:val="0"/>
                  <w:marBottom w:val="0"/>
                  <w:divBdr>
                    <w:top w:val="none" w:sz="0" w:space="0" w:color="auto"/>
                    <w:left w:val="none" w:sz="0" w:space="0" w:color="auto"/>
                    <w:bottom w:val="none" w:sz="0" w:space="0" w:color="auto"/>
                    <w:right w:val="none" w:sz="0" w:space="0" w:color="auto"/>
                  </w:divBdr>
                </w:div>
                <w:div w:id="1468013181">
                  <w:marLeft w:val="0"/>
                  <w:marRight w:val="0"/>
                  <w:marTop w:val="0"/>
                  <w:marBottom w:val="0"/>
                  <w:divBdr>
                    <w:top w:val="none" w:sz="0" w:space="0" w:color="auto"/>
                    <w:left w:val="none" w:sz="0" w:space="0" w:color="auto"/>
                    <w:bottom w:val="none" w:sz="0" w:space="0" w:color="auto"/>
                    <w:right w:val="none" w:sz="0" w:space="0" w:color="auto"/>
                  </w:divBdr>
                </w:div>
                <w:div w:id="1036856923">
                  <w:marLeft w:val="0"/>
                  <w:marRight w:val="0"/>
                  <w:marTop w:val="0"/>
                  <w:marBottom w:val="0"/>
                  <w:divBdr>
                    <w:top w:val="none" w:sz="0" w:space="0" w:color="auto"/>
                    <w:left w:val="none" w:sz="0" w:space="0" w:color="auto"/>
                    <w:bottom w:val="none" w:sz="0" w:space="0" w:color="auto"/>
                    <w:right w:val="none" w:sz="0" w:space="0" w:color="auto"/>
                  </w:divBdr>
                </w:div>
                <w:div w:id="1939603609">
                  <w:marLeft w:val="0"/>
                  <w:marRight w:val="0"/>
                  <w:marTop w:val="0"/>
                  <w:marBottom w:val="0"/>
                  <w:divBdr>
                    <w:top w:val="none" w:sz="0" w:space="0" w:color="auto"/>
                    <w:left w:val="none" w:sz="0" w:space="0" w:color="auto"/>
                    <w:bottom w:val="none" w:sz="0" w:space="0" w:color="auto"/>
                    <w:right w:val="none" w:sz="0" w:space="0" w:color="auto"/>
                  </w:divBdr>
                </w:div>
                <w:div w:id="68576928">
                  <w:marLeft w:val="0"/>
                  <w:marRight w:val="0"/>
                  <w:marTop w:val="0"/>
                  <w:marBottom w:val="0"/>
                  <w:divBdr>
                    <w:top w:val="none" w:sz="0" w:space="0" w:color="auto"/>
                    <w:left w:val="none" w:sz="0" w:space="0" w:color="auto"/>
                    <w:bottom w:val="none" w:sz="0" w:space="0" w:color="auto"/>
                    <w:right w:val="none" w:sz="0" w:space="0" w:color="auto"/>
                  </w:divBdr>
                </w:div>
                <w:div w:id="526021341">
                  <w:marLeft w:val="0"/>
                  <w:marRight w:val="0"/>
                  <w:marTop w:val="0"/>
                  <w:marBottom w:val="0"/>
                  <w:divBdr>
                    <w:top w:val="none" w:sz="0" w:space="0" w:color="auto"/>
                    <w:left w:val="none" w:sz="0" w:space="0" w:color="auto"/>
                    <w:bottom w:val="none" w:sz="0" w:space="0" w:color="auto"/>
                    <w:right w:val="none" w:sz="0" w:space="0" w:color="auto"/>
                  </w:divBdr>
                </w:div>
                <w:div w:id="534971147">
                  <w:marLeft w:val="0"/>
                  <w:marRight w:val="0"/>
                  <w:marTop w:val="0"/>
                  <w:marBottom w:val="0"/>
                  <w:divBdr>
                    <w:top w:val="none" w:sz="0" w:space="0" w:color="auto"/>
                    <w:left w:val="none" w:sz="0" w:space="0" w:color="auto"/>
                    <w:bottom w:val="none" w:sz="0" w:space="0" w:color="auto"/>
                    <w:right w:val="none" w:sz="0" w:space="0" w:color="auto"/>
                  </w:divBdr>
                </w:div>
                <w:div w:id="1286422811">
                  <w:marLeft w:val="0"/>
                  <w:marRight w:val="0"/>
                  <w:marTop w:val="0"/>
                  <w:marBottom w:val="0"/>
                  <w:divBdr>
                    <w:top w:val="none" w:sz="0" w:space="0" w:color="auto"/>
                    <w:left w:val="none" w:sz="0" w:space="0" w:color="auto"/>
                    <w:bottom w:val="none" w:sz="0" w:space="0" w:color="auto"/>
                    <w:right w:val="none" w:sz="0" w:space="0" w:color="auto"/>
                  </w:divBdr>
                </w:div>
                <w:div w:id="13290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22346">
          <w:marLeft w:val="0"/>
          <w:marRight w:val="0"/>
          <w:marTop w:val="0"/>
          <w:marBottom w:val="0"/>
          <w:divBdr>
            <w:top w:val="none" w:sz="0" w:space="0" w:color="auto"/>
            <w:left w:val="none" w:sz="0" w:space="0" w:color="auto"/>
            <w:bottom w:val="none" w:sz="0" w:space="0" w:color="auto"/>
            <w:right w:val="none" w:sz="0" w:space="0" w:color="auto"/>
          </w:divBdr>
          <w:divsChild>
            <w:div w:id="355889586">
              <w:marLeft w:val="0"/>
              <w:marRight w:val="0"/>
              <w:marTop w:val="0"/>
              <w:marBottom w:val="0"/>
              <w:divBdr>
                <w:top w:val="none" w:sz="0" w:space="0" w:color="auto"/>
                <w:left w:val="none" w:sz="0" w:space="0" w:color="auto"/>
                <w:bottom w:val="none" w:sz="0" w:space="0" w:color="auto"/>
                <w:right w:val="none" w:sz="0" w:space="0" w:color="auto"/>
              </w:divBdr>
              <w:divsChild>
                <w:div w:id="2118089900">
                  <w:marLeft w:val="0"/>
                  <w:marRight w:val="0"/>
                  <w:marTop w:val="0"/>
                  <w:marBottom w:val="0"/>
                  <w:divBdr>
                    <w:top w:val="none" w:sz="0" w:space="0" w:color="auto"/>
                    <w:left w:val="none" w:sz="0" w:space="0" w:color="auto"/>
                    <w:bottom w:val="none" w:sz="0" w:space="0" w:color="auto"/>
                    <w:right w:val="none" w:sz="0" w:space="0" w:color="auto"/>
                  </w:divBdr>
                </w:div>
                <w:div w:id="2002809773">
                  <w:marLeft w:val="0"/>
                  <w:marRight w:val="0"/>
                  <w:marTop w:val="0"/>
                  <w:marBottom w:val="0"/>
                  <w:divBdr>
                    <w:top w:val="none" w:sz="0" w:space="0" w:color="auto"/>
                    <w:left w:val="none" w:sz="0" w:space="0" w:color="auto"/>
                    <w:bottom w:val="none" w:sz="0" w:space="0" w:color="auto"/>
                    <w:right w:val="none" w:sz="0" w:space="0" w:color="auto"/>
                  </w:divBdr>
                </w:div>
                <w:div w:id="1605310073">
                  <w:marLeft w:val="0"/>
                  <w:marRight w:val="0"/>
                  <w:marTop w:val="0"/>
                  <w:marBottom w:val="0"/>
                  <w:divBdr>
                    <w:top w:val="none" w:sz="0" w:space="0" w:color="auto"/>
                    <w:left w:val="none" w:sz="0" w:space="0" w:color="auto"/>
                    <w:bottom w:val="none" w:sz="0" w:space="0" w:color="auto"/>
                    <w:right w:val="none" w:sz="0" w:space="0" w:color="auto"/>
                  </w:divBdr>
                </w:div>
                <w:div w:id="625548113">
                  <w:marLeft w:val="0"/>
                  <w:marRight w:val="0"/>
                  <w:marTop w:val="0"/>
                  <w:marBottom w:val="0"/>
                  <w:divBdr>
                    <w:top w:val="none" w:sz="0" w:space="0" w:color="auto"/>
                    <w:left w:val="none" w:sz="0" w:space="0" w:color="auto"/>
                    <w:bottom w:val="none" w:sz="0" w:space="0" w:color="auto"/>
                    <w:right w:val="none" w:sz="0" w:space="0" w:color="auto"/>
                  </w:divBdr>
                </w:div>
                <w:div w:id="138890917">
                  <w:marLeft w:val="0"/>
                  <w:marRight w:val="0"/>
                  <w:marTop w:val="0"/>
                  <w:marBottom w:val="0"/>
                  <w:divBdr>
                    <w:top w:val="none" w:sz="0" w:space="0" w:color="auto"/>
                    <w:left w:val="none" w:sz="0" w:space="0" w:color="auto"/>
                    <w:bottom w:val="none" w:sz="0" w:space="0" w:color="auto"/>
                    <w:right w:val="none" w:sz="0" w:space="0" w:color="auto"/>
                  </w:divBdr>
                </w:div>
                <w:div w:id="880172711">
                  <w:marLeft w:val="0"/>
                  <w:marRight w:val="0"/>
                  <w:marTop w:val="0"/>
                  <w:marBottom w:val="0"/>
                  <w:divBdr>
                    <w:top w:val="none" w:sz="0" w:space="0" w:color="auto"/>
                    <w:left w:val="none" w:sz="0" w:space="0" w:color="auto"/>
                    <w:bottom w:val="none" w:sz="0" w:space="0" w:color="auto"/>
                    <w:right w:val="none" w:sz="0" w:space="0" w:color="auto"/>
                  </w:divBdr>
                </w:div>
                <w:div w:id="1513762445">
                  <w:marLeft w:val="0"/>
                  <w:marRight w:val="0"/>
                  <w:marTop w:val="0"/>
                  <w:marBottom w:val="0"/>
                  <w:divBdr>
                    <w:top w:val="none" w:sz="0" w:space="0" w:color="auto"/>
                    <w:left w:val="none" w:sz="0" w:space="0" w:color="auto"/>
                    <w:bottom w:val="none" w:sz="0" w:space="0" w:color="auto"/>
                    <w:right w:val="none" w:sz="0" w:space="0" w:color="auto"/>
                  </w:divBdr>
                </w:div>
                <w:div w:id="2105766170">
                  <w:marLeft w:val="0"/>
                  <w:marRight w:val="0"/>
                  <w:marTop w:val="0"/>
                  <w:marBottom w:val="0"/>
                  <w:divBdr>
                    <w:top w:val="none" w:sz="0" w:space="0" w:color="auto"/>
                    <w:left w:val="none" w:sz="0" w:space="0" w:color="auto"/>
                    <w:bottom w:val="none" w:sz="0" w:space="0" w:color="auto"/>
                    <w:right w:val="none" w:sz="0" w:space="0" w:color="auto"/>
                  </w:divBdr>
                </w:div>
                <w:div w:id="164827627">
                  <w:marLeft w:val="0"/>
                  <w:marRight w:val="0"/>
                  <w:marTop w:val="0"/>
                  <w:marBottom w:val="0"/>
                  <w:divBdr>
                    <w:top w:val="none" w:sz="0" w:space="0" w:color="auto"/>
                    <w:left w:val="none" w:sz="0" w:space="0" w:color="auto"/>
                    <w:bottom w:val="none" w:sz="0" w:space="0" w:color="auto"/>
                    <w:right w:val="none" w:sz="0" w:space="0" w:color="auto"/>
                  </w:divBdr>
                </w:div>
                <w:div w:id="1612783825">
                  <w:marLeft w:val="0"/>
                  <w:marRight w:val="0"/>
                  <w:marTop w:val="0"/>
                  <w:marBottom w:val="0"/>
                  <w:divBdr>
                    <w:top w:val="none" w:sz="0" w:space="0" w:color="auto"/>
                    <w:left w:val="none" w:sz="0" w:space="0" w:color="auto"/>
                    <w:bottom w:val="none" w:sz="0" w:space="0" w:color="auto"/>
                    <w:right w:val="none" w:sz="0" w:space="0" w:color="auto"/>
                  </w:divBdr>
                </w:div>
                <w:div w:id="1951207962">
                  <w:marLeft w:val="0"/>
                  <w:marRight w:val="0"/>
                  <w:marTop w:val="0"/>
                  <w:marBottom w:val="0"/>
                  <w:divBdr>
                    <w:top w:val="none" w:sz="0" w:space="0" w:color="auto"/>
                    <w:left w:val="none" w:sz="0" w:space="0" w:color="auto"/>
                    <w:bottom w:val="none" w:sz="0" w:space="0" w:color="auto"/>
                    <w:right w:val="none" w:sz="0" w:space="0" w:color="auto"/>
                  </w:divBdr>
                </w:div>
                <w:div w:id="1881084428">
                  <w:marLeft w:val="0"/>
                  <w:marRight w:val="0"/>
                  <w:marTop w:val="0"/>
                  <w:marBottom w:val="0"/>
                  <w:divBdr>
                    <w:top w:val="none" w:sz="0" w:space="0" w:color="auto"/>
                    <w:left w:val="none" w:sz="0" w:space="0" w:color="auto"/>
                    <w:bottom w:val="none" w:sz="0" w:space="0" w:color="auto"/>
                    <w:right w:val="none" w:sz="0" w:space="0" w:color="auto"/>
                  </w:divBdr>
                </w:div>
                <w:div w:id="1590886765">
                  <w:marLeft w:val="0"/>
                  <w:marRight w:val="0"/>
                  <w:marTop w:val="0"/>
                  <w:marBottom w:val="0"/>
                  <w:divBdr>
                    <w:top w:val="none" w:sz="0" w:space="0" w:color="auto"/>
                    <w:left w:val="none" w:sz="0" w:space="0" w:color="auto"/>
                    <w:bottom w:val="none" w:sz="0" w:space="0" w:color="auto"/>
                    <w:right w:val="none" w:sz="0" w:space="0" w:color="auto"/>
                  </w:divBdr>
                </w:div>
                <w:div w:id="904606118">
                  <w:marLeft w:val="0"/>
                  <w:marRight w:val="0"/>
                  <w:marTop w:val="0"/>
                  <w:marBottom w:val="0"/>
                  <w:divBdr>
                    <w:top w:val="none" w:sz="0" w:space="0" w:color="auto"/>
                    <w:left w:val="none" w:sz="0" w:space="0" w:color="auto"/>
                    <w:bottom w:val="none" w:sz="0" w:space="0" w:color="auto"/>
                    <w:right w:val="none" w:sz="0" w:space="0" w:color="auto"/>
                  </w:divBdr>
                </w:div>
                <w:div w:id="843520440">
                  <w:marLeft w:val="0"/>
                  <w:marRight w:val="0"/>
                  <w:marTop w:val="0"/>
                  <w:marBottom w:val="0"/>
                  <w:divBdr>
                    <w:top w:val="none" w:sz="0" w:space="0" w:color="auto"/>
                    <w:left w:val="none" w:sz="0" w:space="0" w:color="auto"/>
                    <w:bottom w:val="none" w:sz="0" w:space="0" w:color="auto"/>
                    <w:right w:val="none" w:sz="0" w:space="0" w:color="auto"/>
                  </w:divBdr>
                </w:div>
                <w:div w:id="1195925662">
                  <w:marLeft w:val="0"/>
                  <w:marRight w:val="0"/>
                  <w:marTop w:val="0"/>
                  <w:marBottom w:val="0"/>
                  <w:divBdr>
                    <w:top w:val="none" w:sz="0" w:space="0" w:color="auto"/>
                    <w:left w:val="none" w:sz="0" w:space="0" w:color="auto"/>
                    <w:bottom w:val="none" w:sz="0" w:space="0" w:color="auto"/>
                    <w:right w:val="none" w:sz="0" w:space="0" w:color="auto"/>
                  </w:divBdr>
                </w:div>
                <w:div w:id="850491177">
                  <w:marLeft w:val="0"/>
                  <w:marRight w:val="0"/>
                  <w:marTop w:val="0"/>
                  <w:marBottom w:val="0"/>
                  <w:divBdr>
                    <w:top w:val="none" w:sz="0" w:space="0" w:color="auto"/>
                    <w:left w:val="none" w:sz="0" w:space="0" w:color="auto"/>
                    <w:bottom w:val="none" w:sz="0" w:space="0" w:color="auto"/>
                    <w:right w:val="none" w:sz="0" w:space="0" w:color="auto"/>
                  </w:divBdr>
                </w:div>
                <w:div w:id="2035036911">
                  <w:marLeft w:val="0"/>
                  <w:marRight w:val="0"/>
                  <w:marTop w:val="0"/>
                  <w:marBottom w:val="0"/>
                  <w:divBdr>
                    <w:top w:val="none" w:sz="0" w:space="0" w:color="auto"/>
                    <w:left w:val="none" w:sz="0" w:space="0" w:color="auto"/>
                    <w:bottom w:val="none" w:sz="0" w:space="0" w:color="auto"/>
                    <w:right w:val="none" w:sz="0" w:space="0" w:color="auto"/>
                  </w:divBdr>
                </w:div>
                <w:div w:id="213664778">
                  <w:marLeft w:val="0"/>
                  <w:marRight w:val="0"/>
                  <w:marTop w:val="0"/>
                  <w:marBottom w:val="0"/>
                  <w:divBdr>
                    <w:top w:val="none" w:sz="0" w:space="0" w:color="auto"/>
                    <w:left w:val="none" w:sz="0" w:space="0" w:color="auto"/>
                    <w:bottom w:val="none" w:sz="0" w:space="0" w:color="auto"/>
                    <w:right w:val="none" w:sz="0" w:space="0" w:color="auto"/>
                  </w:divBdr>
                </w:div>
                <w:div w:id="1301425168">
                  <w:marLeft w:val="0"/>
                  <w:marRight w:val="0"/>
                  <w:marTop w:val="0"/>
                  <w:marBottom w:val="0"/>
                  <w:divBdr>
                    <w:top w:val="none" w:sz="0" w:space="0" w:color="auto"/>
                    <w:left w:val="none" w:sz="0" w:space="0" w:color="auto"/>
                    <w:bottom w:val="none" w:sz="0" w:space="0" w:color="auto"/>
                    <w:right w:val="none" w:sz="0" w:space="0" w:color="auto"/>
                  </w:divBdr>
                </w:div>
                <w:div w:id="1964996395">
                  <w:marLeft w:val="0"/>
                  <w:marRight w:val="0"/>
                  <w:marTop w:val="0"/>
                  <w:marBottom w:val="0"/>
                  <w:divBdr>
                    <w:top w:val="none" w:sz="0" w:space="0" w:color="auto"/>
                    <w:left w:val="none" w:sz="0" w:space="0" w:color="auto"/>
                    <w:bottom w:val="none" w:sz="0" w:space="0" w:color="auto"/>
                    <w:right w:val="none" w:sz="0" w:space="0" w:color="auto"/>
                  </w:divBdr>
                </w:div>
                <w:div w:id="1596595814">
                  <w:marLeft w:val="0"/>
                  <w:marRight w:val="0"/>
                  <w:marTop w:val="0"/>
                  <w:marBottom w:val="0"/>
                  <w:divBdr>
                    <w:top w:val="none" w:sz="0" w:space="0" w:color="auto"/>
                    <w:left w:val="none" w:sz="0" w:space="0" w:color="auto"/>
                    <w:bottom w:val="none" w:sz="0" w:space="0" w:color="auto"/>
                    <w:right w:val="none" w:sz="0" w:space="0" w:color="auto"/>
                  </w:divBdr>
                </w:div>
                <w:div w:id="1300378625">
                  <w:marLeft w:val="0"/>
                  <w:marRight w:val="0"/>
                  <w:marTop w:val="0"/>
                  <w:marBottom w:val="0"/>
                  <w:divBdr>
                    <w:top w:val="none" w:sz="0" w:space="0" w:color="auto"/>
                    <w:left w:val="none" w:sz="0" w:space="0" w:color="auto"/>
                    <w:bottom w:val="none" w:sz="0" w:space="0" w:color="auto"/>
                    <w:right w:val="none" w:sz="0" w:space="0" w:color="auto"/>
                  </w:divBdr>
                </w:div>
                <w:div w:id="462695142">
                  <w:marLeft w:val="0"/>
                  <w:marRight w:val="0"/>
                  <w:marTop w:val="0"/>
                  <w:marBottom w:val="0"/>
                  <w:divBdr>
                    <w:top w:val="none" w:sz="0" w:space="0" w:color="auto"/>
                    <w:left w:val="none" w:sz="0" w:space="0" w:color="auto"/>
                    <w:bottom w:val="none" w:sz="0" w:space="0" w:color="auto"/>
                    <w:right w:val="none" w:sz="0" w:space="0" w:color="auto"/>
                  </w:divBdr>
                </w:div>
                <w:div w:id="1217081648">
                  <w:marLeft w:val="0"/>
                  <w:marRight w:val="0"/>
                  <w:marTop w:val="0"/>
                  <w:marBottom w:val="0"/>
                  <w:divBdr>
                    <w:top w:val="none" w:sz="0" w:space="0" w:color="auto"/>
                    <w:left w:val="none" w:sz="0" w:space="0" w:color="auto"/>
                    <w:bottom w:val="none" w:sz="0" w:space="0" w:color="auto"/>
                    <w:right w:val="none" w:sz="0" w:space="0" w:color="auto"/>
                  </w:divBdr>
                </w:div>
                <w:div w:id="400449831">
                  <w:marLeft w:val="0"/>
                  <w:marRight w:val="0"/>
                  <w:marTop w:val="0"/>
                  <w:marBottom w:val="0"/>
                  <w:divBdr>
                    <w:top w:val="none" w:sz="0" w:space="0" w:color="auto"/>
                    <w:left w:val="none" w:sz="0" w:space="0" w:color="auto"/>
                    <w:bottom w:val="none" w:sz="0" w:space="0" w:color="auto"/>
                    <w:right w:val="none" w:sz="0" w:space="0" w:color="auto"/>
                  </w:divBdr>
                </w:div>
                <w:div w:id="1160199354">
                  <w:marLeft w:val="0"/>
                  <w:marRight w:val="0"/>
                  <w:marTop w:val="0"/>
                  <w:marBottom w:val="0"/>
                  <w:divBdr>
                    <w:top w:val="none" w:sz="0" w:space="0" w:color="auto"/>
                    <w:left w:val="none" w:sz="0" w:space="0" w:color="auto"/>
                    <w:bottom w:val="none" w:sz="0" w:space="0" w:color="auto"/>
                    <w:right w:val="none" w:sz="0" w:space="0" w:color="auto"/>
                  </w:divBdr>
                </w:div>
                <w:div w:id="918758614">
                  <w:marLeft w:val="0"/>
                  <w:marRight w:val="0"/>
                  <w:marTop w:val="0"/>
                  <w:marBottom w:val="0"/>
                  <w:divBdr>
                    <w:top w:val="none" w:sz="0" w:space="0" w:color="auto"/>
                    <w:left w:val="none" w:sz="0" w:space="0" w:color="auto"/>
                    <w:bottom w:val="none" w:sz="0" w:space="0" w:color="auto"/>
                    <w:right w:val="none" w:sz="0" w:space="0" w:color="auto"/>
                  </w:divBdr>
                </w:div>
                <w:div w:id="917667358">
                  <w:marLeft w:val="0"/>
                  <w:marRight w:val="0"/>
                  <w:marTop w:val="0"/>
                  <w:marBottom w:val="0"/>
                  <w:divBdr>
                    <w:top w:val="none" w:sz="0" w:space="0" w:color="auto"/>
                    <w:left w:val="none" w:sz="0" w:space="0" w:color="auto"/>
                    <w:bottom w:val="none" w:sz="0" w:space="0" w:color="auto"/>
                    <w:right w:val="none" w:sz="0" w:space="0" w:color="auto"/>
                  </w:divBdr>
                </w:div>
                <w:div w:id="1474301">
                  <w:marLeft w:val="0"/>
                  <w:marRight w:val="0"/>
                  <w:marTop w:val="0"/>
                  <w:marBottom w:val="0"/>
                  <w:divBdr>
                    <w:top w:val="none" w:sz="0" w:space="0" w:color="auto"/>
                    <w:left w:val="none" w:sz="0" w:space="0" w:color="auto"/>
                    <w:bottom w:val="none" w:sz="0" w:space="0" w:color="auto"/>
                    <w:right w:val="none" w:sz="0" w:space="0" w:color="auto"/>
                  </w:divBdr>
                </w:div>
                <w:div w:id="1352225401">
                  <w:marLeft w:val="0"/>
                  <w:marRight w:val="0"/>
                  <w:marTop w:val="0"/>
                  <w:marBottom w:val="0"/>
                  <w:divBdr>
                    <w:top w:val="none" w:sz="0" w:space="0" w:color="auto"/>
                    <w:left w:val="none" w:sz="0" w:space="0" w:color="auto"/>
                    <w:bottom w:val="none" w:sz="0" w:space="0" w:color="auto"/>
                    <w:right w:val="none" w:sz="0" w:space="0" w:color="auto"/>
                  </w:divBdr>
                </w:div>
                <w:div w:id="489641855">
                  <w:marLeft w:val="0"/>
                  <w:marRight w:val="0"/>
                  <w:marTop w:val="0"/>
                  <w:marBottom w:val="0"/>
                  <w:divBdr>
                    <w:top w:val="none" w:sz="0" w:space="0" w:color="auto"/>
                    <w:left w:val="none" w:sz="0" w:space="0" w:color="auto"/>
                    <w:bottom w:val="none" w:sz="0" w:space="0" w:color="auto"/>
                    <w:right w:val="none" w:sz="0" w:space="0" w:color="auto"/>
                  </w:divBdr>
                </w:div>
                <w:div w:id="1169520254">
                  <w:marLeft w:val="0"/>
                  <w:marRight w:val="0"/>
                  <w:marTop w:val="0"/>
                  <w:marBottom w:val="0"/>
                  <w:divBdr>
                    <w:top w:val="none" w:sz="0" w:space="0" w:color="auto"/>
                    <w:left w:val="none" w:sz="0" w:space="0" w:color="auto"/>
                    <w:bottom w:val="none" w:sz="0" w:space="0" w:color="auto"/>
                    <w:right w:val="none" w:sz="0" w:space="0" w:color="auto"/>
                  </w:divBdr>
                </w:div>
                <w:div w:id="2023314504">
                  <w:marLeft w:val="0"/>
                  <w:marRight w:val="0"/>
                  <w:marTop w:val="0"/>
                  <w:marBottom w:val="0"/>
                  <w:divBdr>
                    <w:top w:val="none" w:sz="0" w:space="0" w:color="auto"/>
                    <w:left w:val="none" w:sz="0" w:space="0" w:color="auto"/>
                    <w:bottom w:val="none" w:sz="0" w:space="0" w:color="auto"/>
                    <w:right w:val="none" w:sz="0" w:space="0" w:color="auto"/>
                  </w:divBdr>
                </w:div>
                <w:div w:id="1847288125">
                  <w:marLeft w:val="0"/>
                  <w:marRight w:val="0"/>
                  <w:marTop w:val="0"/>
                  <w:marBottom w:val="0"/>
                  <w:divBdr>
                    <w:top w:val="none" w:sz="0" w:space="0" w:color="auto"/>
                    <w:left w:val="none" w:sz="0" w:space="0" w:color="auto"/>
                    <w:bottom w:val="none" w:sz="0" w:space="0" w:color="auto"/>
                    <w:right w:val="none" w:sz="0" w:space="0" w:color="auto"/>
                  </w:divBdr>
                </w:div>
                <w:div w:id="25448789">
                  <w:marLeft w:val="0"/>
                  <w:marRight w:val="0"/>
                  <w:marTop w:val="0"/>
                  <w:marBottom w:val="0"/>
                  <w:divBdr>
                    <w:top w:val="none" w:sz="0" w:space="0" w:color="auto"/>
                    <w:left w:val="none" w:sz="0" w:space="0" w:color="auto"/>
                    <w:bottom w:val="none" w:sz="0" w:space="0" w:color="auto"/>
                    <w:right w:val="none" w:sz="0" w:space="0" w:color="auto"/>
                  </w:divBdr>
                </w:div>
                <w:div w:id="1434133358">
                  <w:marLeft w:val="0"/>
                  <w:marRight w:val="0"/>
                  <w:marTop w:val="0"/>
                  <w:marBottom w:val="0"/>
                  <w:divBdr>
                    <w:top w:val="none" w:sz="0" w:space="0" w:color="auto"/>
                    <w:left w:val="none" w:sz="0" w:space="0" w:color="auto"/>
                    <w:bottom w:val="none" w:sz="0" w:space="0" w:color="auto"/>
                    <w:right w:val="none" w:sz="0" w:space="0" w:color="auto"/>
                  </w:divBdr>
                </w:div>
                <w:div w:id="867832541">
                  <w:marLeft w:val="0"/>
                  <w:marRight w:val="0"/>
                  <w:marTop w:val="0"/>
                  <w:marBottom w:val="0"/>
                  <w:divBdr>
                    <w:top w:val="none" w:sz="0" w:space="0" w:color="auto"/>
                    <w:left w:val="none" w:sz="0" w:space="0" w:color="auto"/>
                    <w:bottom w:val="none" w:sz="0" w:space="0" w:color="auto"/>
                    <w:right w:val="none" w:sz="0" w:space="0" w:color="auto"/>
                  </w:divBdr>
                </w:div>
                <w:div w:id="765880645">
                  <w:marLeft w:val="0"/>
                  <w:marRight w:val="0"/>
                  <w:marTop w:val="0"/>
                  <w:marBottom w:val="0"/>
                  <w:divBdr>
                    <w:top w:val="none" w:sz="0" w:space="0" w:color="auto"/>
                    <w:left w:val="none" w:sz="0" w:space="0" w:color="auto"/>
                    <w:bottom w:val="none" w:sz="0" w:space="0" w:color="auto"/>
                    <w:right w:val="none" w:sz="0" w:space="0" w:color="auto"/>
                  </w:divBdr>
                </w:div>
                <w:div w:id="724334512">
                  <w:marLeft w:val="0"/>
                  <w:marRight w:val="0"/>
                  <w:marTop w:val="0"/>
                  <w:marBottom w:val="0"/>
                  <w:divBdr>
                    <w:top w:val="none" w:sz="0" w:space="0" w:color="auto"/>
                    <w:left w:val="none" w:sz="0" w:space="0" w:color="auto"/>
                    <w:bottom w:val="none" w:sz="0" w:space="0" w:color="auto"/>
                    <w:right w:val="none" w:sz="0" w:space="0" w:color="auto"/>
                  </w:divBdr>
                </w:div>
                <w:div w:id="1249341911">
                  <w:marLeft w:val="0"/>
                  <w:marRight w:val="0"/>
                  <w:marTop w:val="0"/>
                  <w:marBottom w:val="0"/>
                  <w:divBdr>
                    <w:top w:val="none" w:sz="0" w:space="0" w:color="auto"/>
                    <w:left w:val="none" w:sz="0" w:space="0" w:color="auto"/>
                    <w:bottom w:val="none" w:sz="0" w:space="0" w:color="auto"/>
                    <w:right w:val="none" w:sz="0" w:space="0" w:color="auto"/>
                  </w:divBdr>
                </w:div>
                <w:div w:id="1710453055">
                  <w:marLeft w:val="0"/>
                  <w:marRight w:val="0"/>
                  <w:marTop w:val="0"/>
                  <w:marBottom w:val="0"/>
                  <w:divBdr>
                    <w:top w:val="none" w:sz="0" w:space="0" w:color="auto"/>
                    <w:left w:val="none" w:sz="0" w:space="0" w:color="auto"/>
                    <w:bottom w:val="none" w:sz="0" w:space="0" w:color="auto"/>
                    <w:right w:val="none" w:sz="0" w:space="0" w:color="auto"/>
                  </w:divBdr>
                </w:div>
                <w:div w:id="699356008">
                  <w:marLeft w:val="0"/>
                  <w:marRight w:val="0"/>
                  <w:marTop w:val="0"/>
                  <w:marBottom w:val="0"/>
                  <w:divBdr>
                    <w:top w:val="none" w:sz="0" w:space="0" w:color="auto"/>
                    <w:left w:val="none" w:sz="0" w:space="0" w:color="auto"/>
                    <w:bottom w:val="none" w:sz="0" w:space="0" w:color="auto"/>
                    <w:right w:val="none" w:sz="0" w:space="0" w:color="auto"/>
                  </w:divBdr>
                </w:div>
                <w:div w:id="1304041963">
                  <w:marLeft w:val="0"/>
                  <w:marRight w:val="0"/>
                  <w:marTop w:val="0"/>
                  <w:marBottom w:val="0"/>
                  <w:divBdr>
                    <w:top w:val="none" w:sz="0" w:space="0" w:color="auto"/>
                    <w:left w:val="none" w:sz="0" w:space="0" w:color="auto"/>
                    <w:bottom w:val="none" w:sz="0" w:space="0" w:color="auto"/>
                    <w:right w:val="none" w:sz="0" w:space="0" w:color="auto"/>
                  </w:divBdr>
                </w:div>
                <w:div w:id="1841113606">
                  <w:marLeft w:val="0"/>
                  <w:marRight w:val="0"/>
                  <w:marTop w:val="0"/>
                  <w:marBottom w:val="0"/>
                  <w:divBdr>
                    <w:top w:val="none" w:sz="0" w:space="0" w:color="auto"/>
                    <w:left w:val="none" w:sz="0" w:space="0" w:color="auto"/>
                    <w:bottom w:val="none" w:sz="0" w:space="0" w:color="auto"/>
                    <w:right w:val="none" w:sz="0" w:space="0" w:color="auto"/>
                  </w:divBdr>
                </w:div>
                <w:div w:id="1105224544">
                  <w:marLeft w:val="0"/>
                  <w:marRight w:val="0"/>
                  <w:marTop w:val="0"/>
                  <w:marBottom w:val="0"/>
                  <w:divBdr>
                    <w:top w:val="none" w:sz="0" w:space="0" w:color="auto"/>
                    <w:left w:val="none" w:sz="0" w:space="0" w:color="auto"/>
                    <w:bottom w:val="none" w:sz="0" w:space="0" w:color="auto"/>
                    <w:right w:val="none" w:sz="0" w:space="0" w:color="auto"/>
                  </w:divBdr>
                </w:div>
                <w:div w:id="1875265369">
                  <w:marLeft w:val="0"/>
                  <w:marRight w:val="0"/>
                  <w:marTop w:val="0"/>
                  <w:marBottom w:val="0"/>
                  <w:divBdr>
                    <w:top w:val="none" w:sz="0" w:space="0" w:color="auto"/>
                    <w:left w:val="none" w:sz="0" w:space="0" w:color="auto"/>
                    <w:bottom w:val="none" w:sz="0" w:space="0" w:color="auto"/>
                    <w:right w:val="none" w:sz="0" w:space="0" w:color="auto"/>
                  </w:divBdr>
                </w:div>
                <w:div w:id="1276596866">
                  <w:marLeft w:val="0"/>
                  <w:marRight w:val="0"/>
                  <w:marTop w:val="0"/>
                  <w:marBottom w:val="0"/>
                  <w:divBdr>
                    <w:top w:val="none" w:sz="0" w:space="0" w:color="auto"/>
                    <w:left w:val="none" w:sz="0" w:space="0" w:color="auto"/>
                    <w:bottom w:val="none" w:sz="0" w:space="0" w:color="auto"/>
                    <w:right w:val="none" w:sz="0" w:space="0" w:color="auto"/>
                  </w:divBdr>
                </w:div>
                <w:div w:id="1960451979">
                  <w:marLeft w:val="0"/>
                  <w:marRight w:val="0"/>
                  <w:marTop w:val="0"/>
                  <w:marBottom w:val="0"/>
                  <w:divBdr>
                    <w:top w:val="none" w:sz="0" w:space="0" w:color="auto"/>
                    <w:left w:val="none" w:sz="0" w:space="0" w:color="auto"/>
                    <w:bottom w:val="none" w:sz="0" w:space="0" w:color="auto"/>
                    <w:right w:val="none" w:sz="0" w:space="0" w:color="auto"/>
                  </w:divBdr>
                </w:div>
                <w:div w:id="943002719">
                  <w:marLeft w:val="0"/>
                  <w:marRight w:val="0"/>
                  <w:marTop w:val="0"/>
                  <w:marBottom w:val="0"/>
                  <w:divBdr>
                    <w:top w:val="none" w:sz="0" w:space="0" w:color="auto"/>
                    <w:left w:val="none" w:sz="0" w:space="0" w:color="auto"/>
                    <w:bottom w:val="none" w:sz="0" w:space="0" w:color="auto"/>
                    <w:right w:val="none" w:sz="0" w:space="0" w:color="auto"/>
                  </w:divBdr>
                </w:div>
                <w:div w:id="451554611">
                  <w:marLeft w:val="0"/>
                  <w:marRight w:val="0"/>
                  <w:marTop w:val="0"/>
                  <w:marBottom w:val="0"/>
                  <w:divBdr>
                    <w:top w:val="none" w:sz="0" w:space="0" w:color="auto"/>
                    <w:left w:val="none" w:sz="0" w:space="0" w:color="auto"/>
                    <w:bottom w:val="none" w:sz="0" w:space="0" w:color="auto"/>
                    <w:right w:val="none" w:sz="0" w:space="0" w:color="auto"/>
                  </w:divBdr>
                </w:div>
                <w:div w:id="217254331">
                  <w:marLeft w:val="0"/>
                  <w:marRight w:val="0"/>
                  <w:marTop w:val="0"/>
                  <w:marBottom w:val="0"/>
                  <w:divBdr>
                    <w:top w:val="none" w:sz="0" w:space="0" w:color="auto"/>
                    <w:left w:val="none" w:sz="0" w:space="0" w:color="auto"/>
                    <w:bottom w:val="none" w:sz="0" w:space="0" w:color="auto"/>
                    <w:right w:val="none" w:sz="0" w:space="0" w:color="auto"/>
                  </w:divBdr>
                </w:div>
                <w:div w:id="1120995226">
                  <w:marLeft w:val="0"/>
                  <w:marRight w:val="0"/>
                  <w:marTop w:val="0"/>
                  <w:marBottom w:val="0"/>
                  <w:divBdr>
                    <w:top w:val="none" w:sz="0" w:space="0" w:color="auto"/>
                    <w:left w:val="none" w:sz="0" w:space="0" w:color="auto"/>
                    <w:bottom w:val="none" w:sz="0" w:space="0" w:color="auto"/>
                    <w:right w:val="none" w:sz="0" w:space="0" w:color="auto"/>
                  </w:divBdr>
                </w:div>
                <w:div w:id="992837360">
                  <w:marLeft w:val="0"/>
                  <w:marRight w:val="0"/>
                  <w:marTop w:val="0"/>
                  <w:marBottom w:val="0"/>
                  <w:divBdr>
                    <w:top w:val="none" w:sz="0" w:space="0" w:color="auto"/>
                    <w:left w:val="none" w:sz="0" w:space="0" w:color="auto"/>
                    <w:bottom w:val="none" w:sz="0" w:space="0" w:color="auto"/>
                    <w:right w:val="none" w:sz="0" w:space="0" w:color="auto"/>
                  </w:divBdr>
                </w:div>
                <w:div w:id="1743217832">
                  <w:marLeft w:val="0"/>
                  <w:marRight w:val="0"/>
                  <w:marTop w:val="0"/>
                  <w:marBottom w:val="0"/>
                  <w:divBdr>
                    <w:top w:val="none" w:sz="0" w:space="0" w:color="auto"/>
                    <w:left w:val="none" w:sz="0" w:space="0" w:color="auto"/>
                    <w:bottom w:val="none" w:sz="0" w:space="0" w:color="auto"/>
                    <w:right w:val="none" w:sz="0" w:space="0" w:color="auto"/>
                  </w:divBdr>
                </w:div>
                <w:div w:id="929042933">
                  <w:marLeft w:val="0"/>
                  <w:marRight w:val="0"/>
                  <w:marTop w:val="0"/>
                  <w:marBottom w:val="0"/>
                  <w:divBdr>
                    <w:top w:val="none" w:sz="0" w:space="0" w:color="auto"/>
                    <w:left w:val="none" w:sz="0" w:space="0" w:color="auto"/>
                    <w:bottom w:val="none" w:sz="0" w:space="0" w:color="auto"/>
                    <w:right w:val="none" w:sz="0" w:space="0" w:color="auto"/>
                  </w:divBdr>
                </w:div>
                <w:div w:id="1701972778">
                  <w:marLeft w:val="0"/>
                  <w:marRight w:val="0"/>
                  <w:marTop w:val="0"/>
                  <w:marBottom w:val="0"/>
                  <w:divBdr>
                    <w:top w:val="none" w:sz="0" w:space="0" w:color="auto"/>
                    <w:left w:val="none" w:sz="0" w:space="0" w:color="auto"/>
                    <w:bottom w:val="none" w:sz="0" w:space="0" w:color="auto"/>
                    <w:right w:val="none" w:sz="0" w:space="0" w:color="auto"/>
                  </w:divBdr>
                </w:div>
                <w:div w:id="1369598873">
                  <w:marLeft w:val="0"/>
                  <w:marRight w:val="0"/>
                  <w:marTop w:val="0"/>
                  <w:marBottom w:val="0"/>
                  <w:divBdr>
                    <w:top w:val="none" w:sz="0" w:space="0" w:color="auto"/>
                    <w:left w:val="none" w:sz="0" w:space="0" w:color="auto"/>
                    <w:bottom w:val="none" w:sz="0" w:space="0" w:color="auto"/>
                    <w:right w:val="none" w:sz="0" w:space="0" w:color="auto"/>
                  </w:divBdr>
                </w:div>
                <w:div w:id="1761293715">
                  <w:marLeft w:val="0"/>
                  <w:marRight w:val="0"/>
                  <w:marTop w:val="0"/>
                  <w:marBottom w:val="0"/>
                  <w:divBdr>
                    <w:top w:val="none" w:sz="0" w:space="0" w:color="auto"/>
                    <w:left w:val="none" w:sz="0" w:space="0" w:color="auto"/>
                    <w:bottom w:val="none" w:sz="0" w:space="0" w:color="auto"/>
                    <w:right w:val="none" w:sz="0" w:space="0" w:color="auto"/>
                  </w:divBdr>
                </w:div>
                <w:div w:id="1906791778">
                  <w:marLeft w:val="0"/>
                  <w:marRight w:val="0"/>
                  <w:marTop w:val="0"/>
                  <w:marBottom w:val="0"/>
                  <w:divBdr>
                    <w:top w:val="none" w:sz="0" w:space="0" w:color="auto"/>
                    <w:left w:val="none" w:sz="0" w:space="0" w:color="auto"/>
                    <w:bottom w:val="none" w:sz="0" w:space="0" w:color="auto"/>
                    <w:right w:val="none" w:sz="0" w:space="0" w:color="auto"/>
                  </w:divBdr>
                </w:div>
                <w:div w:id="735784996">
                  <w:marLeft w:val="0"/>
                  <w:marRight w:val="0"/>
                  <w:marTop w:val="0"/>
                  <w:marBottom w:val="0"/>
                  <w:divBdr>
                    <w:top w:val="none" w:sz="0" w:space="0" w:color="auto"/>
                    <w:left w:val="none" w:sz="0" w:space="0" w:color="auto"/>
                    <w:bottom w:val="none" w:sz="0" w:space="0" w:color="auto"/>
                    <w:right w:val="none" w:sz="0" w:space="0" w:color="auto"/>
                  </w:divBdr>
                </w:div>
                <w:div w:id="1860240308">
                  <w:marLeft w:val="0"/>
                  <w:marRight w:val="0"/>
                  <w:marTop w:val="0"/>
                  <w:marBottom w:val="0"/>
                  <w:divBdr>
                    <w:top w:val="none" w:sz="0" w:space="0" w:color="auto"/>
                    <w:left w:val="none" w:sz="0" w:space="0" w:color="auto"/>
                    <w:bottom w:val="none" w:sz="0" w:space="0" w:color="auto"/>
                    <w:right w:val="none" w:sz="0" w:space="0" w:color="auto"/>
                  </w:divBdr>
                </w:div>
                <w:div w:id="587734554">
                  <w:marLeft w:val="0"/>
                  <w:marRight w:val="0"/>
                  <w:marTop w:val="0"/>
                  <w:marBottom w:val="0"/>
                  <w:divBdr>
                    <w:top w:val="none" w:sz="0" w:space="0" w:color="auto"/>
                    <w:left w:val="none" w:sz="0" w:space="0" w:color="auto"/>
                    <w:bottom w:val="none" w:sz="0" w:space="0" w:color="auto"/>
                    <w:right w:val="none" w:sz="0" w:space="0" w:color="auto"/>
                  </w:divBdr>
                </w:div>
                <w:div w:id="1429690390">
                  <w:marLeft w:val="0"/>
                  <w:marRight w:val="0"/>
                  <w:marTop w:val="0"/>
                  <w:marBottom w:val="0"/>
                  <w:divBdr>
                    <w:top w:val="none" w:sz="0" w:space="0" w:color="auto"/>
                    <w:left w:val="none" w:sz="0" w:space="0" w:color="auto"/>
                    <w:bottom w:val="none" w:sz="0" w:space="0" w:color="auto"/>
                    <w:right w:val="none" w:sz="0" w:space="0" w:color="auto"/>
                  </w:divBdr>
                </w:div>
                <w:div w:id="1474760077">
                  <w:marLeft w:val="0"/>
                  <w:marRight w:val="0"/>
                  <w:marTop w:val="0"/>
                  <w:marBottom w:val="0"/>
                  <w:divBdr>
                    <w:top w:val="none" w:sz="0" w:space="0" w:color="auto"/>
                    <w:left w:val="none" w:sz="0" w:space="0" w:color="auto"/>
                    <w:bottom w:val="none" w:sz="0" w:space="0" w:color="auto"/>
                    <w:right w:val="none" w:sz="0" w:space="0" w:color="auto"/>
                  </w:divBdr>
                </w:div>
                <w:div w:id="1736856247">
                  <w:marLeft w:val="0"/>
                  <w:marRight w:val="0"/>
                  <w:marTop w:val="0"/>
                  <w:marBottom w:val="0"/>
                  <w:divBdr>
                    <w:top w:val="none" w:sz="0" w:space="0" w:color="auto"/>
                    <w:left w:val="none" w:sz="0" w:space="0" w:color="auto"/>
                    <w:bottom w:val="none" w:sz="0" w:space="0" w:color="auto"/>
                    <w:right w:val="none" w:sz="0" w:space="0" w:color="auto"/>
                  </w:divBdr>
                </w:div>
                <w:div w:id="1269772743">
                  <w:marLeft w:val="0"/>
                  <w:marRight w:val="0"/>
                  <w:marTop w:val="0"/>
                  <w:marBottom w:val="0"/>
                  <w:divBdr>
                    <w:top w:val="none" w:sz="0" w:space="0" w:color="auto"/>
                    <w:left w:val="none" w:sz="0" w:space="0" w:color="auto"/>
                    <w:bottom w:val="none" w:sz="0" w:space="0" w:color="auto"/>
                    <w:right w:val="none" w:sz="0" w:space="0" w:color="auto"/>
                  </w:divBdr>
                </w:div>
                <w:div w:id="1024674135">
                  <w:marLeft w:val="0"/>
                  <w:marRight w:val="0"/>
                  <w:marTop w:val="0"/>
                  <w:marBottom w:val="0"/>
                  <w:divBdr>
                    <w:top w:val="none" w:sz="0" w:space="0" w:color="auto"/>
                    <w:left w:val="none" w:sz="0" w:space="0" w:color="auto"/>
                    <w:bottom w:val="none" w:sz="0" w:space="0" w:color="auto"/>
                    <w:right w:val="none" w:sz="0" w:space="0" w:color="auto"/>
                  </w:divBdr>
                </w:div>
                <w:div w:id="631401764">
                  <w:marLeft w:val="0"/>
                  <w:marRight w:val="0"/>
                  <w:marTop w:val="0"/>
                  <w:marBottom w:val="0"/>
                  <w:divBdr>
                    <w:top w:val="none" w:sz="0" w:space="0" w:color="auto"/>
                    <w:left w:val="none" w:sz="0" w:space="0" w:color="auto"/>
                    <w:bottom w:val="none" w:sz="0" w:space="0" w:color="auto"/>
                    <w:right w:val="none" w:sz="0" w:space="0" w:color="auto"/>
                  </w:divBdr>
                </w:div>
                <w:div w:id="876893787">
                  <w:marLeft w:val="0"/>
                  <w:marRight w:val="0"/>
                  <w:marTop w:val="0"/>
                  <w:marBottom w:val="0"/>
                  <w:divBdr>
                    <w:top w:val="none" w:sz="0" w:space="0" w:color="auto"/>
                    <w:left w:val="none" w:sz="0" w:space="0" w:color="auto"/>
                    <w:bottom w:val="none" w:sz="0" w:space="0" w:color="auto"/>
                    <w:right w:val="none" w:sz="0" w:space="0" w:color="auto"/>
                  </w:divBdr>
                </w:div>
                <w:div w:id="3446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91774">
      <w:bodyDiv w:val="1"/>
      <w:marLeft w:val="0"/>
      <w:marRight w:val="0"/>
      <w:marTop w:val="0"/>
      <w:marBottom w:val="0"/>
      <w:divBdr>
        <w:top w:val="none" w:sz="0" w:space="0" w:color="auto"/>
        <w:left w:val="none" w:sz="0" w:space="0" w:color="auto"/>
        <w:bottom w:val="none" w:sz="0" w:space="0" w:color="auto"/>
        <w:right w:val="none" w:sz="0" w:space="0" w:color="auto"/>
      </w:divBdr>
      <w:divsChild>
        <w:div w:id="942107399">
          <w:marLeft w:val="0"/>
          <w:marRight w:val="0"/>
          <w:marTop w:val="0"/>
          <w:marBottom w:val="0"/>
          <w:divBdr>
            <w:top w:val="none" w:sz="0" w:space="0" w:color="auto"/>
            <w:left w:val="none" w:sz="0" w:space="0" w:color="auto"/>
            <w:bottom w:val="none" w:sz="0" w:space="0" w:color="auto"/>
            <w:right w:val="none" w:sz="0" w:space="0" w:color="auto"/>
          </w:divBdr>
        </w:div>
        <w:div w:id="116677697">
          <w:marLeft w:val="0"/>
          <w:marRight w:val="0"/>
          <w:marTop w:val="0"/>
          <w:marBottom w:val="0"/>
          <w:divBdr>
            <w:top w:val="none" w:sz="0" w:space="0" w:color="auto"/>
            <w:left w:val="none" w:sz="0" w:space="0" w:color="auto"/>
            <w:bottom w:val="none" w:sz="0" w:space="0" w:color="auto"/>
            <w:right w:val="none" w:sz="0" w:space="0" w:color="auto"/>
          </w:divBdr>
        </w:div>
        <w:div w:id="1525826825">
          <w:marLeft w:val="0"/>
          <w:marRight w:val="0"/>
          <w:marTop w:val="0"/>
          <w:marBottom w:val="0"/>
          <w:divBdr>
            <w:top w:val="none" w:sz="0" w:space="0" w:color="auto"/>
            <w:left w:val="none" w:sz="0" w:space="0" w:color="auto"/>
            <w:bottom w:val="none" w:sz="0" w:space="0" w:color="auto"/>
            <w:right w:val="none" w:sz="0" w:space="0" w:color="auto"/>
          </w:divBdr>
        </w:div>
        <w:div w:id="2119518826">
          <w:marLeft w:val="0"/>
          <w:marRight w:val="0"/>
          <w:marTop w:val="0"/>
          <w:marBottom w:val="0"/>
          <w:divBdr>
            <w:top w:val="none" w:sz="0" w:space="0" w:color="auto"/>
            <w:left w:val="none" w:sz="0" w:space="0" w:color="auto"/>
            <w:bottom w:val="none" w:sz="0" w:space="0" w:color="auto"/>
            <w:right w:val="none" w:sz="0" w:space="0" w:color="auto"/>
          </w:divBdr>
        </w:div>
        <w:div w:id="1469393485">
          <w:marLeft w:val="0"/>
          <w:marRight w:val="0"/>
          <w:marTop w:val="0"/>
          <w:marBottom w:val="0"/>
          <w:divBdr>
            <w:top w:val="none" w:sz="0" w:space="0" w:color="auto"/>
            <w:left w:val="none" w:sz="0" w:space="0" w:color="auto"/>
            <w:bottom w:val="none" w:sz="0" w:space="0" w:color="auto"/>
            <w:right w:val="none" w:sz="0" w:space="0" w:color="auto"/>
          </w:divBdr>
        </w:div>
        <w:div w:id="1503275436">
          <w:marLeft w:val="0"/>
          <w:marRight w:val="0"/>
          <w:marTop w:val="0"/>
          <w:marBottom w:val="0"/>
          <w:divBdr>
            <w:top w:val="none" w:sz="0" w:space="0" w:color="auto"/>
            <w:left w:val="none" w:sz="0" w:space="0" w:color="auto"/>
            <w:bottom w:val="none" w:sz="0" w:space="0" w:color="auto"/>
            <w:right w:val="none" w:sz="0" w:space="0" w:color="auto"/>
          </w:divBdr>
        </w:div>
        <w:div w:id="1304121649">
          <w:marLeft w:val="0"/>
          <w:marRight w:val="0"/>
          <w:marTop w:val="0"/>
          <w:marBottom w:val="0"/>
          <w:divBdr>
            <w:top w:val="none" w:sz="0" w:space="0" w:color="auto"/>
            <w:left w:val="none" w:sz="0" w:space="0" w:color="auto"/>
            <w:bottom w:val="none" w:sz="0" w:space="0" w:color="auto"/>
            <w:right w:val="none" w:sz="0" w:space="0" w:color="auto"/>
          </w:divBdr>
        </w:div>
        <w:div w:id="1830518563">
          <w:marLeft w:val="0"/>
          <w:marRight w:val="0"/>
          <w:marTop w:val="0"/>
          <w:marBottom w:val="0"/>
          <w:divBdr>
            <w:top w:val="none" w:sz="0" w:space="0" w:color="auto"/>
            <w:left w:val="none" w:sz="0" w:space="0" w:color="auto"/>
            <w:bottom w:val="none" w:sz="0" w:space="0" w:color="auto"/>
            <w:right w:val="none" w:sz="0" w:space="0" w:color="auto"/>
          </w:divBdr>
        </w:div>
        <w:div w:id="405110630">
          <w:marLeft w:val="0"/>
          <w:marRight w:val="0"/>
          <w:marTop w:val="0"/>
          <w:marBottom w:val="0"/>
          <w:divBdr>
            <w:top w:val="none" w:sz="0" w:space="0" w:color="auto"/>
            <w:left w:val="none" w:sz="0" w:space="0" w:color="auto"/>
            <w:bottom w:val="none" w:sz="0" w:space="0" w:color="auto"/>
            <w:right w:val="none" w:sz="0" w:space="0" w:color="auto"/>
          </w:divBdr>
        </w:div>
        <w:div w:id="525565367">
          <w:marLeft w:val="0"/>
          <w:marRight w:val="0"/>
          <w:marTop w:val="0"/>
          <w:marBottom w:val="0"/>
          <w:divBdr>
            <w:top w:val="none" w:sz="0" w:space="0" w:color="auto"/>
            <w:left w:val="none" w:sz="0" w:space="0" w:color="auto"/>
            <w:bottom w:val="none" w:sz="0" w:space="0" w:color="auto"/>
            <w:right w:val="none" w:sz="0" w:space="0" w:color="auto"/>
          </w:divBdr>
        </w:div>
        <w:div w:id="17124992">
          <w:marLeft w:val="0"/>
          <w:marRight w:val="0"/>
          <w:marTop w:val="0"/>
          <w:marBottom w:val="0"/>
          <w:divBdr>
            <w:top w:val="none" w:sz="0" w:space="0" w:color="auto"/>
            <w:left w:val="none" w:sz="0" w:space="0" w:color="auto"/>
            <w:bottom w:val="none" w:sz="0" w:space="0" w:color="auto"/>
            <w:right w:val="none" w:sz="0" w:space="0" w:color="auto"/>
          </w:divBdr>
        </w:div>
        <w:div w:id="396712021">
          <w:marLeft w:val="0"/>
          <w:marRight w:val="0"/>
          <w:marTop w:val="0"/>
          <w:marBottom w:val="0"/>
          <w:divBdr>
            <w:top w:val="none" w:sz="0" w:space="0" w:color="auto"/>
            <w:left w:val="none" w:sz="0" w:space="0" w:color="auto"/>
            <w:bottom w:val="none" w:sz="0" w:space="0" w:color="auto"/>
            <w:right w:val="none" w:sz="0" w:space="0" w:color="auto"/>
          </w:divBdr>
        </w:div>
        <w:div w:id="1586920883">
          <w:marLeft w:val="0"/>
          <w:marRight w:val="0"/>
          <w:marTop w:val="0"/>
          <w:marBottom w:val="0"/>
          <w:divBdr>
            <w:top w:val="none" w:sz="0" w:space="0" w:color="auto"/>
            <w:left w:val="none" w:sz="0" w:space="0" w:color="auto"/>
            <w:bottom w:val="none" w:sz="0" w:space="0" w:color="auto"/>
            <w:right w:val="none" w:sz="0" w:space="0" w:color="auto"/>
          </w:divBdr>
        </w:div>
        <w:div w:id="2073501739">
          <w:marLeft w:val="0"/>
          <w:marRight w:val="0"/>
          <w:marTop w:val="0"/>
          <w:marBottom w:val="0"/>
          <w:divBdr>
            <w:top w:val="none" w:sz="0" w:space="0" w:color="auto"/>
            <w:left w:val="none" w:sz="0" w:space="0" w:color="auto"/>
            <w:bottom w:val="none" w:sz="0" w:space="0" w:color="auto"/>
            <w:right w:val="none" w:sz="0" w:space="0" w:color="auto"/>
          </w:divBdr>
        </w:div>
        <w:div w:id="323894839">
          <w:marLeft w:val="0"/>
          <w:marRight w:val="0"/>
          <w:marTop w:val="0"/>
          <w:marBottom w:val="0"/>
          <w:divBdr>
            <w:top w:val="none" w:sz="0" w:space="0" w:color="auto"/>
            <w:left w:val="none" w:sz="0" w:space="0" w:color="auto"/>
            <w:bottom w:val="none" w:sz="0" w:space="0" w:color="auto"/>
            <w:right w:val="none" w:sz="0" w:space="0" w:color="auto"/>
          </w:divBdr>
        </w:div>
        <w:div w:id="1397556150">
          <w:marLeft w:val="0"/>
          <w:marRight w:val="0"/>
          <w:marTop w:val="0"/>
          <w:marBottom w:val="0"/>
          <w:divBdr>
            <w:top w:val="none" w:sz="0" w:space="0" w:color="auto"/>
            <w:left w:val="none" w:sz="0" w:space="0" w:color="auto"/>
            <w:bottom w:val="none" w:sz="0" w:space="0" w:color="auto"/>
            <w:right w:val="none" w:sz="0" w:space="0" w:color="auto"/>
          </w:divBdr>
        </w:div>
        <w:div w:id="2029789995">
          <w:marLeft w:val="0"/>
          <w:marRight w:val="0"/>
          <w:marTop w:val="0"/>
          <w:marBottom w:val="0"/>
          <w:divBdr>
            <w:top w:val="none" w:sz="0" w:space="0" w:color="auto"/>
            <w:left w:val="none" w:sz="0" w:space="0" w:color="auto"/>
            <w:bottom w:val="none" w:sz="0" w:space="0" w:color="auto"/>
            <w:right w:val="none" w:sz="0" w:space="0" w:color="auto"/>
          </w:divBdr>
        </w:div>
        <w:div w:id="732855225">
          <w:marLeft w:val="0"/>
          <w:marRight w:val="0"/>
          <w:marTop w:val="0"/>
          <w:marBottom w:val="0"/>
          <w:divBdr>
            <w:top w:val="none" w:sz="0" w:space="0" w:color="auto"/>
            <w:left w:val="none" w:sz="0" w:space="0" w:color="auto"/>
            <w:bottom w:val="none" w:sz="0" w:space="0" w:color="auto"/>
            <w:right w:val="none" w:sz="0" w:space="0" w:color="auto"/>
          </w:divBdr>
        </w:div>
        <w:div w:id="431626439">
          <w:marLeft w:val="0"/>
          <w:marRight w:val="0"/>
          <w:marTop w:val="0"/>
          <w:marBottom w:val="0"/>
          <w:divBdr>
            <w:top w:val="none" w:sz="0" w:space="0" w:color="auto"/>
            <w:left w:val="none" w:sz="0" w:space="0" w:color="auto"/>
            <w:bottom w:val="none" w:sz="0" w:space="0" w:color="auto"/>
            <w:right w:val="none" w:sz="0" w:space="0" w:color="auto"/>
          </w:divBdr>
        </w:div>
        <w:div w:id="643318434">
          <w:marLeft w:val="0"/>
          <w:marRight w:val="0"/>
          <w:marTop w:val="0"/>
          <w:marBottom w:val="0"/>
          <w:divBdr>
            <w:top w:val="none" w:sz="0" w:space="0" w:color="auto"/>
            <w:left w:val="none" w:sz="0" w:space="0" w:color="auto"/>
            <w:bottom w:val="none" w:sz="0" w:space="0" w:color="auto"/>
            <w:right w:val="none" w:sz="0" w:space="0" w:color="auto"/>
          </w:divBdr>
        </w:div>
        <w:div w:id="1387948771">
          <w:marLeft w:val="0"/>
          <w:marRight w:val="0"/>
          <w:marTop w:val="0"/>
          <w:marBottom w:val="0"/>
          <w:divBdr>
            <w:top w:val="none" w:sz="0" w:space="0" w:color="auto"/>
            <w:left w:val="none" w:sz="0" w:space="0" w:color="auto"/>
            <w:bottom w:val="none" w:sz="0" w:space="0" w:color="auto"/>
            <w:right w:val="none" w:sz="0" w:space="0" w:color="auto"/>
          </w:divBdr>
        </w:div>
        <w:div w:id="484589777">
          <w:marLeft w:val="0"/>
          <w:marRight w:val="0"/>
          <w:marTop w:val="0"/>
          <w:marBottom w:val="0"/>
          <w:divBdr>
            <w:top w:val="none" w:sz="0" w:space="0" w:color="auto"/>
            <w:left w:val="none" w:sz="0" w:space="0" w:color="auto"/>
            <w:bottom w:val="none" w:sz="0" w:space="0" w:color="auto"/>
            <w:right w:val="none" w:sz="0" w:space="0" w:color="auto"/>
          </w:divBdr>
        </w:div>
        <w:div w:id="608899798">
          <w:marLeft w:val="0"/>
          <w:marRight w:val="0"/>
          <w:marTop w:val="0"/>
          <w:marBottom w:val="0"/>
          <w:divBdr>
            <w:top w:val="none" w:sz="0" w:space="0" w:color="auto"/>
            <w:left w:val="none" w:sz="0" w:space="0" w:color="auto"/>
            <w:bottom w:val="none" w:sz="0" w:space="0" w:color="auto"/>
            <w:right w:val="none" w:sz="0" w:space="0" w:color="auto"/>
          </w:divBdr>
        </w:div>
        <w:div w:id="849418877">
          <w:marLeft w:val="0"/>
          <w:marRight w:val="0"/>
          <w:marTop w:val="0"/>
          <w:marBottom w:val="0"/>
          <w:divBdr>
            <w:top w:val="none" w:sz="0" w:space="0" w:color="auto"/>
            <w:left w:val="none" w:sz="0" w:space="0" w:color="auto"/>
            <w:bottom w:val="none" w:sz="0" w:space="0" w:color="auto"/>
            <w:right w:val="none" w:sz="0" w:space="0" w:color="auto"/>
          </w:divBdr>
        </w:div>
        <w:div w:id="1226406569">
          <w:marLeft w:val="0"/>
          <w:marRight w:val="0"/>
          <w:marTop w:val="0"/>
          <w:marBottom w:val="0"/>
          <w:divBdr>
            <w:top w:val="none" w:sz="0" w:space="0" w:color="auto"/>
            <w:left w:val="none" w:sz="0" w:space="0" w:color="auto"/>
            <w:bottom w:val="none" w:sz="0" w:space="0" w:color="auto"/>
            <w:right w:val="none" w:sz="0" w:space="0" w:color="auto"/>
          </w:divBdr>
        </w:div>
        <w:div w:id="1507283853">
          <w:marLeft w:val="0"/>
          <w:marRight w:val="0"/>
          <w:marTop w:val="0"/>
          <w:marBottom w:val="0"/>
          <w:divBdr>
            <w:top w:val="none" w:sz="0" w:space="0" w:color="auto"/>
            <w:left w:val="none" w:sz="0" w:space="0" w:color="auto"/>
            <w:bottom w:val="none" w:sz="0" w:space="0" w:color="auto"/>
            <w:right w:val="none" w:sz="0" w:space="0" w:color="auto"/>
          </w:divBdr>
        </w:div>
        <w:div w:id="1884248359">
          <w:marLeft w:val="0"/>
          <w:marRight w:val="0"/>
          <w:marTop w:val="0"/>
          <w:marBottom w:val="0"/>
          <w:divBdr>
            <w:top w:val="none" w:sz="0" w:space="0" w:color="auto"/>
            <w:left w:val="none" w:sz="0" w:space="0" w:color="auto"/>
            <w:bottom w:val="none" w:sz="0" w:space="0" w:color="auto"/>
            <w:right w:val="none" w:sz="0" w:space="0" w:color="auto"/>
          </w:divBdr>
        </w:div>
        <w:div w:id="1597011791">
          <w:marLeft w:val="0"/>
          <w:marRight w:val="0"/>
          <w:marTop w:val="0"/>
          <w:marBottom w:val="0"/>
          <w:divBdr>
            <w:top w:val="none" w:sz="0" w:space="0" w:color="auto"/>
            <w:left w:val="none" w:sz="0" w:space="0" w:color="auto"/>
            <w:bottom w:val="none" w:sz="0" w:space="0" w:color="auto"/>
            <w:right w:val="none" w:sz="0" w:space="0" w:color="auto"/>
          </w:divBdr>
        </w:div>
        <w:div w:id="1213346132">
          <w:marLeft w:val="0"/>
          <w:marRight w:val="0"/>
          <w:marTop w:val="0"/>
          <w:marBottom w:val="0"/>
          <w:divBdr>
            <w:top w:val="none" w:sz="0" w:space="0" w:color="auto"/>
            <w:left w:val="none" w:sz="0" w:space="0" w:color="auto"/>
            <w:bottom w:val="none" w:sz="0" w:space="0" w:color="auto"/>
            <w:right w:val="none" w:sz="0" w:space="0" w:color="auto"/>
          </w:divBdr>
        </w:div>
        <w:div w:id="1735080537">
          <w:marLeft w:val="0"/>
          <w:marRight w:val="0"/>
          <w:marTop w:val="0"/>
          <w:marBottom w:val="0"/>
          <w:divBdr>
            <w:top w:val="none" w:sz="0" w:space="0" w:color="auto"/>
            <w:left w:val="none" w:sz="0" w:space="0" w:color="auto"/>
            <w:bottom w:val="none" w:sz="0" w:space="0" w:color="auto"/>
            <w:right w:val="none" w:sz="0" w:space="0" w:color="auto"/>
          </w:divBdr>
        </w:div>
        <w:div w:id="1903249460">
          <w:marLeft w:val="0"/>
          <w:marRight w:val="0"/>
          <w:marTop w:val="0"/>
          <w:marBottom w:val="0"/>
          <w:divBdr>
            <w:top w:val="none" w:sz="0" w:space="0" w:color="auto"/>
            <w:left w:val="none" w:sz="0" w:space="0" w:color="auto"/>
            <w:bottom w:val="none" w:sz="0" w:space="0" w:color="auto"/>
            <w:right w:val="none" w:sz="0" w:space="0" w:color="auto"/>
          </w:divBdr>
        </w:div>
        <w:div w:id="411008213">
          <w:marLeft w:val="0"/>
          <w:marRight w:val="0"/>
          <w:marTop w:val="0"/>
          <w:marBottom w:val="0"/>
          <w:divBdr>
            <w:top w:val="none" w:sz="0" w:space="0" w:color="auto"/>
            <w:left w:val="none" w:sz="0" w:space="0" w:color="auto"/>
            <w:bottom w:val="none" w:sz="0" w:space="0" w:color="auto"/>
            <w:right w:val="none" w:sz="0" w:space="0" w:color="auto"/>
          </w:divBdr>
        </w:div>
        <w:div w:id="605113437">
          <w:marLeft w:val="0"/>
          <w:marRight w:val="0"/>
          <w:marTop w:val="0"/>
          <w:marBottom w:val="0"/>
          <w:divBdr>
            <w:top w:val="none" w:sz="0" w:space="0" w:color="auto"/>
            <w:left w:val="none" w:sz="0" w:space="0" w:color="auto"/>
            <w:bottom w:val="none" w:sz="0" w:space="0" w:color="auto"/>
            <w:right w:val="none" w:sz="0" w:space="0" w:color="auto"/>
          </w:divBdr>
        </w:div>
        <w:div w:id="473522447">
          <w:marLeft w:val="0"/>
          <w:marRight w:val="0"/>
          <w:marTop w:val="0"/>
          <w:marBottom w:val="0"/>
          <w:divBdr>
            <w:top w:val="none" w:sz="0" w:space="0" w:color="auto"/>
            <w:left w:val="none" w:sz="0" w:space="0" w:color="auto"/>
            <w:bottom w:val="none" w:sz="0" w:space="0" w:color="auto"/>
            <w:right w:val="none" w:sz="0" w:space="0" w:color="auto"/>
          </w:divBdr>
        </w:div>
        <w:div w:id="605842834">
          <w:marLeft w:val="0"/>
          <w:marRight w:val="0"/>
          <w:marTop w:val="0"/>
          <w:marBottom w:val="0"/>
          <w:divBdr>
            <w:top w:val="none" w:sz="0" w:space="0" w:color="auto"/>
            <w:left w:val="none" w:sz="0" w:space="0" w:color="auto"/>
            <w:bottom w:val="none" w:sz="0" w:space="0" w:color="auto"/>
            <w:right w:val="none" w:sz="0" w:space="0" w:color="auto"/>
          </w:divBdr>
        </w:div>
        <w:div w:id="462819981">
          <w:marLeft w:val="0"/>
          <w:marRight w:val="0"/>
          <w:marTop w:val="0"/>
          <w:marBottom w:val="0"/>
          <w:divBdr>
            <w:top w:val="none" w:sz="0" w:space="0" w:color="auto"/>
            <w:left w:val="none" w:sz="0" w:space="0" w:color="auto"/>
            <w:bottom w:val="none" w:sz="0" w:space="0" w:color="auto"/>
            <w:right w:val="none" w:sz="0" w:space="0" w:color="auto"/>
          </w:divBdr>
        </w:div>
        <w:div w:id="913664484">
          <w:marLeft w:val="0"/>
          <w:marRight w:val="0"/>
          <w:marTop w:val="0"/>
          <w:marBottom w:val="0"/>
          <w:divBdr>
            <w:top w:val="none" w:sz="0" w:space="0" w:color="auto"/>
            <w:left w:val="none" w:sz="0" w:space="0" w:color="auto"/>
            <w:bottom w:val="none" w:sz="0" w:space="0" w:color="auto"/>
            <w:right w:val="none" w:sz="0" w:space="0" w:color="auto"/>
          </w:divBdr>
        </w:div>
        <w:div w:id="2100787232">
          <w:marLeft w:val="0"/>
          <w:marRight w:val="0"/>
          <w:marTop w:val="0"/>
          <w:marBottom w:val="0"/>
          <w:divBdr>
            <w:top w:val="none" w:sz="0" w:space="0" w:color="auto"/>
            <w:left w:val="none" w:sz="0" w:space="0" w:color="auto"/>
            <w:bottom w:val="none" w:sz="0" w:space="0" w:color="auto"/>
            <w:right w:val="none" w:sz="0" w:space="0" w:color="auto"/>
          </w:divBdr>
        </w:div>
        <w:div w:id="127167478">
          <w:marLeft w:val="0"/>
          <w:marRight w:val="0"/>
          <w:marTop w:val="0"/>
          <w:marBottom w:val="0"/>
          <w:divBdr>
            <w:top w:val="none" w:sz="0" w:space="0" w:color="auto"/>
            <w:left w:val="none" w:sz="0" w:space="0" w:color="auto"/>
            <w:bottom w:val="none" w:sz="0" w:space="0" w:color="auto"/>
            <w:right w:val="none" w:sz="0" w:space="0" w:color="auto"/>
          </w:divBdr>
        </w:div>
        <w:div w:id="1777750829">
          <w:marLeft w:val="0"/>
          <w:marRight w:val="0"/>
          <w:marTop w:val="0"/>
          <w:marBottom w:val="0"/>
          <w:divBdr>
            <w:top w:val="none" w:sz="0" w:space="0" w:color="auto"/>
            <w:left w:val="none" w:sz="0" w:space="0" w:color="auto"/>
            <w:bottom w:val="none" w:sz="0" w:space="0" w:color="auto"/>
            <w:right w:val="none" w:sz="0" w:space="0" w:color="auto"/>
          </w:divBdr>
        </w:div>
        <w:div w:id="341325820">
          <w:marLeft w:val="0"/>
          <w:marRight w:val="0"/>
          <w:marTop w:val="0"/>
          <w:marBottom w:val="0"/>
          <w:divBdr>
            <w:top w:val="none" w:sz="0" w:space="0" w:color="auto"/>
            <w:left w:val="none" w:sz="0" w:space="0" w:color="auto"/>
            <w:bottom w:val="none" w:sz="0" w:space="0" w:color="auto"/>
            <w:right w:val="none" w:sz="0" w:space="0" w:color="auto"/>
          </w:divBdr>
        </w:div>
        <w:div w:id="1479152785">
          <w:marLeft w:val="0"/>
          <w:marRight w:val="0"/>
          <w:marTop w:val="0"/>
          <w:marBottom w:val="0"/>
          <w:divBdr>
            <w:top w:val="none" w:sz="0" w:space="0" w:color="auto"/>
            <w:left w:val="none" w:sz="0" w:space="0" w:color="auto"/>
            <w:bottom w:val="none" w:sz="0" w:space="0" w:color="auto"/>
            <w:right w:val="none" w:sz="0" w:space="0" w:color="auto"/>
          </w:divBdr>
        </w:div>
        <w:div w:id="101534721">
          <w:marLeft w:val="0"/>
          <w:marRight w:val="0"/>
          <w:marTop w:val="0"/>
          <w:marBottom w:val="0"/>
          <w:divBdr>
            <w:top w:val="none" w:sz="0" w:space="0" w:color="auto"/>
            <w:left w:val="none" w:sz="0" w:space="0" w:color="auto"/>
            <w:bottom w:val="none" w:sz="0" w:space="0" w:color="auto"/>
            <w:right w:val="none" w:sz="0" w:space="0" w:color="auto"/>
          </w:divBdr>
        </w:div>
        <w:div w:id="1789855431">
          <w:marLeft w:val="0"/>
          <w:marRight w:val="0"/>
          <w:marTop w:val="0"/>
          <w:marBottom w:val="0"/>
          <w:divBdr>
            <w:top w:val="none" w:sz="0" w:space="0" w:color="auto"/>
            <w:left w:val="none" w:sz="0" w:space="0" w:color="auto"/>
            <w:bottom w:val="none" w:sz="0" w:space="0" w:color="auto"/>
            <w:right w:val="none" w:sz="0" w:space="0" w:color="auto"/>
          </w:divBdr>
        </w:div>
        <w:div w:id="211232894">
          <w:marLeft w:val="0"/>
          <w:marRight w:val="0"/>
          <w:marTop w:val="0"/>
          <w:marBottom w:val="0"/>
          <w:divBdr>
            <w:top w:val="none" w:sz="0" w:space="0" w:color="auto"/>
            <w:left w:val="none" w:sz="0" w:space="0" w:color="auto"/>
            <w:bottom w:val="none" w:sz="0" w:space="0" w:color="auto"/>
            <w:right w:val="none" w:sz="0" w:space="0" w:color="auto"/>
          </w:divBdr>
        </w:div>
        <w:div w:id="129859246">
          <w:marLeft w:val="0"/>
          <w:marRight w:val="0"/>
          <w:marTop w:val="0"/>
          <w:marBottom w:val="0"/>
          <w:divBdr>
            <w:top w:val="none" w:sz="0" w:space="0" w:color="auto"/>
            <w:left w:val="none" w:sz="0" w:space="0" w:color="auto"/>
            <w:bottom w:val="none" w:sz="0" w:space="0" w:color="auto"/>
            <w:right w:val="none" w:sz="0" w:space="0" w:color="auto"/>
          </w:divBdr>
        </w:div>
        <w:div w:id="206450549">
          <w:marLeft w:val="0"/>
          <w:marRight w:val="0"/>
          <w:marTop w:val="0"/>
          <w:marBottom w:val="0"/>
          <w:divBdr>
            <w:top w:val="none" w:sz="0" w:space="0" w:color="auto"/>
            <w:left w:val="none" w:sz="0" w:space="0" w:color="auto"/>
            <w:bottom w:val="none" w:sz="0" w:space="0" w:color="auto"/>
            <w:right w:val="none" w:sz="0" w:space="0" w:color="auto"/>
          </w:divBdr>
        </w:div>
        <w:div w:id="512568644">
          <w:marLeft w:val="0"/>
          <w:marRight w:val="0"/>
          <w:marTop w:val="0"/>
          <w:marBottom w:val="0"/>
          <w:divBdr>
            <w:top w:val="none" w:sz="0" w:space="0" w:color="auto"/>
            <w:left w:val="none" w:sz="0" w:space="0" w:color="auto"/>
            <w:bottom w:val="none" w:sz="0" w:space="0" w:color="auto"/>
            <w:right w:val="none" w:sz="0" w:space="0" w:color="auto"/>
          </w:divBdr>
        </w:div>
        <w:div w:id="284894972">
          <w:marLeft w:val="0"/>
          <w:marRight w:val="0"/>
          <w:marTop w:val="0"/>
          <w:marBottom w:val="0"/>
          <w:divBdr>
            <w:top w:val="none" w:sz="0" w:space="0" w:color="auto"/>
            <w:left w:val="none" w:sz="0" w:space="0" w:color="auto"/>
            <w:bottom w:val="none" w:sz="0" w:space="0" w:color="auto"/>
            <w:right w:val="none" w:sz="0" w:space="0" w:color="auto"/>
          </w:divBdr>
        </w:div>
      </w:divsChild>
    </w:div>
    <w:div w:id="861473794">
      <w:bodyDiv w:val="1"/>
      <w:marLeft w:val="0"/>
      <w:marRight w:val="0"/>
      <w:marTop w:val="0"/>
      <w:marBottom w:val="0"/>
      <w:divBdr>
        <w:top w:val="none" w:sz="0" w:space="0" w:color="auto"/>
        <w:left w:val="none" w:sz="0" w:space="0" w:color="auto"/>
        <w:bottom w:val="none" w:sz="0" w:space="0" w:color="auto"/>
        <w:right w:val="none" w:sz="0" w:space="0" w:color="auto"/>
      </w:divBdr>
      <w:divsChild>
        <w:div w:id="793912016">
          <w:marLeft w:val="0"/>
          <w:marRight w:val="0"/>
          <w:marTop w:val="0"/>
          <w:marBottom w:val="0"/>
          <w:divBdr>
            <w:top w:val="none" w:sz="0" w:space="0" w:color="auto"/>
            <w:left w:val="none" w:sz="0" w:space="0" w:color="auto"/>
            <w:bottom w:val="none" w:sz="0" w:space="0" w:color="auto"/>
            <w:right w:val="none" w:sz="0" w:space="0" w:color="auto"/>
          </w:divBdr>
        </w:div>
        <w:div w:id="568686553">
          <w:marLeft w:val="0"/>
          <w:marRight w:val="0"/>
          <w:marTop w:val="0"/>
          <w:marBottom w:val="0"/>
          <w:divBdr>
            <w:top w:val="none" w:sz="0" w:space="0" w:color="auto"/>
            <w:left w:val="none" w:sz="0" w:space="0" w:color="auto"/>
            <w:bottom w:val="none" w:sz="0" w:space="0" w:color="auto"/>
            <w:right w:val="none" w:sz="0" w:space="0" w:color="auto"/>
          </w:divBdr>
        </w:div>
        <w:div w:id="1495298846">
          <w:marLeft w:val="0"/>
          <w:marRight w:val="0"/>
          <w:marTop w:val="0"/>
          <w:marBottom w:val="0"/>
          <w:divBdr>
            <w:top w:val="none" w:sz="0" w:space="0" w:color="auto"/>
            <w:left w:val="none" w:sz="0" w:space="0" w:color="auto"/>
            <w:bottom w:val="none" w:sz="0" w:space="0" w:color="auto"/>
            <w:right w:val="none" w:sz="0" w:space="0" w:color="auto"/>
          </w:divBdr>
        </w:div>
        <w:div w:id="2071417797">
          <w:marLeft w:val="0"/>
          <w:marRight w:val="0"/>
          <w:marTop w:val="0"/>
          <w:marBottom w:val="0"/>
          <w:divBdr>
            <w:top w:val="none" w:sz="0" w:space="0" w:color="auto"/>
            <w:left w:val="none" w:sz="0" w:space="0" w:color="auto"/>
            <w:bottom w:val="none" w:sz="0" w:space="0" w:color="auto"/>
            <w:right w:val="none" w:sz="0" w:space="0" w:color="auto"/>
          </w:divBdr>
        </w:div>
        <w:div w:id="1086151845">
          <w:marLeft w:val="0"/>
          <w:marRight w:val="0"/>
          <w:marTop w:val="0"/>
          <w:marBottom w:val="0"/>
          <w:divBdr>
            <w:top w:val="none" w:sz="0" w:space="0" w:color="auto"/>
            <w:left w:val="none" w:sz="0" w:space="0" w:color="auto"/>
            <w:bottom w:val="none" w:sz="0" w:space="0" w:color="auto"/>
            <w:right w:val="none" w:sz="0" w:space="0" w:color="auto"/>
          </w:divBdr>
        </w:div>
        <w:div w:id="1076829537">
          <w:marLeft w:val="0"/>
          <w:marRight w:val="0"/>
          <w:marTop w:val="0"/>
          <w:marBottom w:val="0"/>
          <w:divBdr>
            <w:top w:val="none" w:sz="0" w:space="0" w:color="auto"/>
            <w:left w:val="none" w:sz="0" w:space="0" w:color="auto"/>
            <w:bottom w:val="none" w:sz="0" w:space="0" w:color="auto"/>
            <w:right w:val="none" w:sz="0" w:space="0" w:color="auto"/>
          </w:divBdr>
        </w:div>
      </w:divsChild>
    </w:div>
    <w:div w:id="933319972">
      <w:bodyDiv w:val="1"/>
      <w:marLeft w:val="0"/>
      <w:marRight w:val="0"/>
      <w:marTop w:val="0"/>
      <w:marBottom w:val="0"/>
      <w:divBdr>
        <w:top w:val="none" w:sz="0" w:space="0" w:color="auto"/>
        <w:left w:val="none" w:sz="0" w:space="0" w:color="auto"/>
        <w:bottom w:val="none" w:sz="0" w:space="0" w:color="auto"/>
        <w:right w:val="none" w:sz="0" w:space="0" w:color="auto"/>
      </w:divBdr>
      <w:divsChild>
        <w:div w:id="1045373259">
          <w:marLeft w:val="0"/>
          <w:marRight w:val="0"/>
          <w:marTop w:val="0"/>
          <w:marBottom w:val="0"/>
          <w:divBdr>
            <w:top w:val="none" w:sz="0" w:space="0" w:color="auto"/>
            <w:left w:val="none" w:sz="0" w:space="0" w:color="auto"/>
            <w:bottom w:val="none" w:sz="0" w:space="0" w:color="auto"/>
            <w:right w:val="none" w:sz="0" w:space="0" w:color="auto"/>
          </w:divBdr>
        </w:div>
        <w:div w:id="1406491692">
          <w:marLeft w:val="0"/>
          <w:marRight w:val="0"/>
          <w:marTop w:val="0"/>
          <w:marBottom w:val="0"/>
          <w:divBdr>
            <w:top w:val="none" w:sz="0" w:space="0" w:color="auto"/>
            <w:left w:val="none" w:sz="0" w:space="0" w:color="auto"/>
            <w:bottom w:val="none" w:sz="0" w:space="0" w:color="auto"/>
            <w:right w:val="none" w:sz="0" w:space="0" w:color="auto"/>
          </w:divBdr>
        </w:div>
        <w:div w:id="445467939">
          <w:marLeft w:val="0"/>
          <w:marRight w:val="0"/>
          <w:marTop w:val="0"/>
          <w:marBottom w:val="0"/>
          <w:divBdr>
            <w:top w:val="none" w:sz="0" w:space="0" w:color="auto"/>
            <w:left w:val="none" w:sz="0" w:space="0" w:color="auto"/>
            <w:bottom w:val="none" w:sz="0" w:space="0" w:color="auto"/>
            <w:right w:val="none" w:sz="0" w:space="0" w:color="auto"/>
          </w:divBdr>
        </w:div>
        <w:div w:id="1737244123">
          <w:marLeft w:val="0"/>
          <w:marRight w:val="0"/>
          <w:marTop w:val="0"/>
          <w:marBottom w:val="0"/>
          <w:divBdr>
            <w:top w:val="none" w:sz="0" w:space="0" w:color="auto"/>
            <w:left w:val="none" w:sz="0" w:space="0" w:color="auto"/>
            <w:bottom w:val="none" w:sz="0" w:space="0" w:color="auto"/>
            <w:right w:val="none" w:sz="0" w:space="0" w:color="auto"/>
          </w:divBdr>
        </w:div>
        <w:div w:id="491725452">
          <w:marLeft w:val="0"/>
          <w:marRight w:val="0"/>
          <w:marTop w:val="0"/>
          <w:marBottom w:val="0"/>
          <w:divBdr>
            <w:top w:val="none" w:sz="0" w:space="0" w:color="auto"/>
            <w:left w:val="none" w:sz="0" w:space="0" w:color="auto"/>
            <w:bottom w:val="none" w:sz="0" w:space="0" w:color="auto"/>
            <w:right w:val="none" w:sz="0" w:space="0" w:color="auto"/>
          </w:divBdr>
        </w:div>
        <w:div w:id="2045205729">
          <w:marLeft w:val="0"/>
          <w:marRight w:val="0"/>
          <w:marTop w:val="0"/>
          <w:marBottom w:val="0"/>
          <w:divBdr>
            <w:top w:val="none" w:sz="0" w:space="0" w:color="auto"/>
            <w:left w:val="none" w:sz="0" w:space="0" w:color="auto"/>
            <w:bottom w:val="none" w:sz="0" w:space="0" w:color="auto"/>
            <w:right w:val="none" w:sz="0" w:space="0" w:color="auto"/>
          </w:divBdr>
        </w:div>
        <w:div w:id="1395279269">
          <w:marLeft w:val="0"/>
          <w:marRight w:val="0"/>
          <w:marTop w:val="0"/>
          <w:marBottom w:val="0"/>
          <w:divBdr>
            <w:top w:val="none" w:sz="0" w:space="0" w:color="auto"/>
            <w:left w:val="none" w:sz="0" w:space="0" w:color="auto"/>
            <w:bottom w:val="none" w:sz="0" w:space="0" w:color="auto"/>
            <w:right w:val="none" w:sz="0" w:space="0" w:color="auto"/>
          </w:divBdr>
        </w:div>
        <w:div w:id="1734698724">
          <w:marLeft w:val="0"/>
          <w:marRight w:val="0"/>
          <w:marTop w:val="0"/>
          <w:marBottom w:val="0"/>
          <w:divBdr>
            <w:top w:val="none" w:sz="0" w:space="0" w:color="auto"/>
            <w:left w:val="none" w:sz="0" w:space="0" w:color="auto"/>
            <w:bottom w:val="none" w:sz="0" w:space="0" w:color="auto"/>
            <w:right w:val="none" w:sz="0" w:space="0" w:color="auto"/>
          </w:divBdr>
        </w:div>
        <w:div w:id="1847666765">
          <w:marLeft w:val="0"/>
          <w:marRight w:val="0"/>
          <w:marTop w:val="0"/>
          <w:marBottom w:val="0"/>
          <w:divBdr>
            <w:top w:val="none" w:sz="0" w:space="0" w:color="auto"/>
            <w:left w:val="none" w:sz="0" w:space="0" w:color="auto"/>
            <w:bottom w:val="none" w:sz="0" w:space="0" w:color="auto"/>
            <w:right w:val="none" w:sz="0" w:space="0" w:color="auto"/>
          </w:divBdr>
        </w:div>
        <w:div w:id="432214660">
          <w:marLeft w:val="0"/>
          <w:marRight w:val="0"/>
          <w:marTop w:val="0"/>
          <w:marBottom w:val="0"/>
          <w:divBdr>
            <w:top w:val="none" w:sz="0" w:space="0" w:color="auto"/>
            <w:left w:val="none" w:sz="0" w:space="0" w:color="auto"/>
            <w:bottom w:val="none" w:sz="0" w:space="0" w:color="auto"/>
            <w:right w:val="none" w:sz="0" w:space="0" w:color="auto"/>
          </w:divBdr>
        </w:div>
        <w:div w:id="1586114489">
          <w:marLeft w:val="0"/>
          <w:marRight w:val="0"/>
          <w:marTop w:val="0"/>
          <w:marBottom w:val="0"/>
          <w:divBdr>
            <w:top w:val="none" w:sz="0" w:space="0" w:color="auto"/>
            <w:left w:val="none" w:sz="0" w:space="0" w:color="auto"/>
            <w:bottom w:val="none" w:sz="0" w:space="0" w:color="auto"/>
            <w:right w:val="none" w:sz="0" w:space="0" w:color="auto"/>
          </w:divBdr>
        </w:div>
        <w:div w:id="1616404706">
          <w:marLeft w:val="0"/>
          <w:marRight w:val="0"/>
          <w:marTop w:val="0"/>
          <w:marBottom w:val="0"/>
          <w:divBdr>
            <w:top w:val="none" w:sz="0" w:space="0" w:color="auto"/>
            <w:left w:val="none" w:sz="0" w:space="0" w:color="auto"/>
            <w:bottom w:val="none" w:sz="0" w:space="0" w:color="auto"/>
            <w:right w:val="none" w:sz="0" w:space="0" w:color="auto"/>
          </w:divBdr>
        </w:div>
        <w:div w:id="1946888517">
          <w:marLeft w:val="0"/>
          <w:marRight w:val="0"/>
          <w:marTop w:val="0"/>
          <w:marBottom w:val="0"/>
          <w:divBdr>
            <w:top w:val="none" w:sz="0" w:space="0" w:color="auto"/>
            <w:left w:val="none" w:sz="0" w:space="0" w:color="auto"/>
            <w:bottom w:val="none" w:sz="0" w:space="0" w:color="auto"/>
            <w:right w:val="none" w:sz="0" w:space="0" w:color="auto"/>
          </w:divBdr>
        </w:div>
        <w:div w:id="1488396890">
          <w:marLeft w:val="0"/>
          <w:marRight w:val="0"/>
          <w:marTop w:val="0"/>
          <w:marBottom w:val="0"/>
          <w:divBdr>
            <w:top w:val="none" w:sz="0" w:space="0" w:color="auto"/>
            <w:left w:val="none" w:sz="0" w:space="0" w:color="auto"/>
            <w:bottom w:val="none" w:sz="0" w:space="0" w:color="auto"/>
            <w:right w:val="none" w:sz="0" w:space="0" w:color="auto"/>
          </w:divBdr>
        </w:div>
        <w:div w:id="1981765777">
          <w:marLeft w:val="0"/>
          <w:marRight w:val="0"/>
          <w:marTop w:val="0"/>
          <w:marBottom w:val="0"/>
          <w:divBdr>
            <w:top w:val="none" w:sz="0" w:space="0" w:color="auto"/>
            <w:left w:val="none" w:sz="0" w:space="0" w:color="auto"/>
            <w:bottom w:val="none" w:sz="0" w:space="0" w:color="auto"/>
            <w:right w:val="none" w:sz="0" w:space="0" w:color="auto"/>
          </w:divBdr>
        </w:div>
        <w:div w:id="1707634774">
          <w:marLeft w:val="0"/>
          <w:marRight w:val="0"/>
          <w:marTop w:val="0"/>
          <w:marBottom w:val="0"/>
          <w:divBdr>
            <w:top w:val="none" w:sz="0" w:space="0" w:color="auto"/>
            <w:left w:val="none" w:sz="0" w:space="0" w:color="auto"/>
            <w:bottom w:val="none" w:sz="0" w:space="0" w:color="auto"/>
            <w:right w:val="none" w:sz="0" w:space="0" w:color="auto"/>
          </w:divBdr>
        </w:div>
        <w:div w:id="1079599777">
          <w:marLeft w:val="0"/>
          <w:marRight w:val="0"/>
          <w:marTop w:val="0"/>
          <w:marBottom w:val="0"/>
          <w:divBdr>
            <w:top w:val="none" w:sz="0" w:space="0" w:color="auto"/>
            <w:left w:val="none" w:sz="0" w:space="0" w:color="auto"/>
            <w:bottom w:val="none" w:sz="0" w:space="0" w:color="auto"/>
            <w:right w:val="none" w:sz="0" w:space="0" w:color="auto"/>
          </w:divBdr>
        </w:div>
        <w:div w:id="1497577140">
          <w:marLeft w:val="0"/>
          <w:marRight w:val="0"/>
          <w:marTop w:val="0"/>
          <w:marBottom w:val="0"/>
          <w:divBdr>
            <w:top w:val="none" w:sz="0" w:space="0" w:color="auto"/>
            <w:left w:val="none" w:sz="0" w:space="0" w:color="auto"/>
            <w:bottom w:val="none" w:sz="0" w:space="0" w:color="auto"/>
            <w:right w:val="none" w:sz="0" w:space="0" w:color="auto"/>
          </w:divBdr>
        </w:div>
        <w:div w:id="1104153608">
          <w:marLeft w:val="0"/>
          <w:marRight w:val="0"/>
          <w:marTop w:val="0"/>
          <w:marBottom w:val="0"/>
          <w:divBdr>
            <w:top w:val="none" w:sz="0" w:space="0" w:color="auto"/>
            <w:left w:val="none" w:sz="0" w:space="0" w:color="auto"/>
            <w:bottom w:val="none" w:sz="0" w:space="0" w:color="auto"/>
            <w:right w:val="none" w:sz="0" w:space="0" w:color="auto"/>
          </w:divBdr>
        </w:div>
        <w:div w:id="142699233">
          <w:marLeft w:val="0"/>
          <w:marRight w:val="0"/>
          <w:marTop w:val="0"/>
          <w:marBottom w:val="0"/>
          <w:divBdr>
            <w:top w:val="none" w:sz="0" w:space="0" w:color="auto"/>
            <w:left w:val="none" w:sz="0" w:space="0" w:color="auto"/>
            <w:bottom w:val="none" w:sz="0" w:space="0" w:color="auto"/>
            <w:right w:val="none" w:sz="0" w:space="0" w:color="auto"/>
          </w:divBdr>
        </w:div>
        <w:div w:id="1460144084">
          <w:marLeft w:val="0"/>
          <w:marRight w:val="0"/>
          <w:marTop w:val="0"/>
          <w:marBottom w:val="0"/>
          <w:divBdr>
            <w:top w:val="none" w:sz="0" w:space="0" w:color="auto"/>
            <w:left w:val="none" w:sz="0" w:space="0" w:color="auto"/>
            <w:bottom w:val="none" w:sz="0" w:space="0" w:color="auto"/>
            <w:right w:val="none" w:sz="0" w:space="0" w:color="auto"/>
          </w:divBdr>
        </w:div>
        <w:div w:id="1235239799">
          <w:marLeft w:val="0"/>
          <w:marRight w:val="0"/>
          <w:marTop w:val="0"/>
          <w:marBottom w:val="0"/>
          <w:divBdr>
            <w:top w:val="none" w:sz="0" w:space="0" w:color="auto"/>
            <w:left w:val="none" w:sz="0" w:space="0" w:color="auto"/>
            <w:bottom w:val="none" w:sz="0" w:space="0" w:color="auto"/>
            <w:right w:val="none" w:sz="0" w:space="0" w:color="auto"/>
          </w:divBdr>
        </w:div>
        <w:div w:id="1277056897">
          <w:marLeft w:val="0"/>
          <w:marRight w:val="0"/>
          <w:marTop w:val="0"/>
          <w:marBottom w:val="0"/>
          <w:divBdr>
            <w:top w:val="none" w:sz="0" w:space="0" w:color="auto"/>
            <w:left w:val="none" w:sz="0" w:space="0" w:color="auto"/>
            <w:bottom w:val="none" w:sz="0" w:space="0" w:color="auto"/>
            <w:right w:val="none" w:sz="0" w:space="0" w:color="auto"/>
          </w:divBdr>
        </w:div>
        <w:div w:id="309216873">
          <w:marLeft w:val="0"/>
          <w:marRight w:val="0"/>
          <w:marTop w:val="0"/>
          <w:marBottom w:val="0"/>
          <w:divBdr>
            <w:top w:val="none" w:sz="0" w:space="0" w:color="auto"/>
            <w:left w:val="none" w:sz="0" w:space="0" w:color="auto"/>
            <w:bottom w:val="none" w:sz="0" w:space="0" w:color="auto"/>
            <w:right w:val="none" w:sz="0" w:space="0" w:color="auto"/>
          </w:divBdr>
        </w:div>
        <w:div w:id="993725672">
          <w:marLeft w:val="0"/>
          <w:marRight w:val="0"/>
          <w:marTop w:val="0"/>
          <w:marBottom w:val="0"/>
          <w:divBdr>
            <w:top w:val="none" w:sz="0" w:space="0" w:color="auto"/>
            <w:left w:val="none" w:sz="0" w:space="0" w:color="auto"/>
            <w:bottom w:val="none" w:sz="0" w:space="0" w:color="auto"/>
            <w:right w:val="none" w:sz="0" w:space="0" w:color="auto"/>
          </w:divBdr>
        </w:div>
        <w:div w:id="1026519124">
          <w:marLeft w:val="0"/>
          <w:marRight w:val="0"/>
          <w:marTop w:val="0"/>
          <w:marBottom w:val="0"/>
          <w:divBdr>
            <w:top w:val="none" w:sz="0" w:space="0" w:color="auto"/>
            <w:left w:val="none" w:sz="0" w:space="0" w:color="auto"/>
            <w:bottom w:val="none" w:sz="0" w:space="0" w:color="auto"/>
            <w:right w:val="none" w:sz="0" w:space="0" w:color="auto"/>
          </w:divBdr>
        </w:div>
        <w:div w:id="1715470644">
          <w:marLeft w:val="0"/>
          <w:marRight w:val="0"/>
          <w:marTop w:val="0"/>
          <w:marBottom w:val="0"/>
          <w:divBdr>
            <w:top w:val="none" w:sz="0" w:space="0" w:color="auto"/>
            <w:left w:val="none" w:sz="0" w:space="0" w:color="auto"/>
            <w:bottom w:val="none" w:sz="0" w:space="0" w:color="auto"/>
            <w:right w:val="none" w:sz="0" w:space="0" w:color="auto"/>
          </w:divBdr>
        </w:div>
        <w:div w:id="543564047">
          <w:marLeft w:val="0"/>
          <w:marRight w:val="0"/>
          <w:marTop w:val="0"/>
          <w:marBottom w:val="0"/>
          <w:divBdr>
            <w:top w:val="none" w:sz="0" w:space="0" w:color="auto"/>
            <w:left w:val="none" w:sz="0" w:space="0" w:color="auto"/>
            <w:bottom w:val="none" w:sz="0" w:space="0" w:color="auto"/>
            <w:right w:val="none" w:sz="0" w:space="0" w:color="auto"/>
          </w:divBdr>
        </w:div>
        <w:div w:id="1411199095">
          <w:marLeft w:val="0"/>
          <w:marRight w:val="0"/>
          <w:marTop w:val="0"/>
          <w:marBottom w:val="0"/>
          <w:divBdr>
            <w:top w:val="none" w:sz="0" w:space="0" w:color="auto"/>
            <w:left w:val="none" w:sz="0" w:space="0" w:color="auto"/>
            <w:bottom w:val="none" w:sz="0" w:space="0" w:color="auto"/>
            <w:right w:val="none" w:sz="0" w:space="0" w:color="auto"/>
          </w:divBdr>
        </w:div>
        <w:div w:id="1730616692">
          <w:marLeft w:val="0"/>
          <w:marRight w:val="0"/>
          <w:marTop w:val="0"/>
          <w:marBottom w:val="0"/>
          <w:divBdr>
            <w:top w:val="none" w:sz="0" w:space="0" w:color="auto"/>
            <w:left w:val="none" w:sz="0" w:space="0" w:color="auto"/>
            <w:bottom w:val="none" w:sz="0" w:space="0" w:color="auto"/>
            <w:right w:val="none" w:sz="0" w:space="0" w:color="auto"/>
          </w:divBdr>
        </w:div>
        <w:div w:id="179243456">
          <w:marLeft w:val="0"/>
          <w:marRight w:val="0"/>
          <w:marTop w:val="0"/>
          <w:marBottom w:val="0"/>
          <w:divBdr>
            <w:top w:val="none" w:sz="0" w:space="0" w:color="auto"/>
            <w:left w:val="none" w:sz="0" w:space="0" w:color="auto"/>
            <w:bottom w:val="none" w:sz="0" w:space="0" w:color="auto"/>
            <w:right w:val="none" w:sz="0" w:space="0" w:color="auto"/>
          </w:divBdr>
        </w:div>
        <w:div w:id="623116601">
          <w:marLeft w:val="0"/>
          <w:marRight w:val="0"/>
          <w:marTop w:val="0"/>
          <w:marBottom w:val="0"/>
          <w:divBdr>
            <w:top w:val="none" w:sz="0" w:space="0" w:color="auto"/>
            <w:left w:val="none" w:sz="0" w:space="0" w:color="auto"/>
            <w:bottom w:val="none" w:sz="0" w:space="0" w:color="auto"/>
            <w:right w:val="none" w:sz="0" w:space="0" w:color="auto"/>
          </w:divBdr>
        </w:div>
        <w:div w:id="1844277182">
          <w:marLeft w:val="0"/>
          <w:marRight w:val="0"/>
          <w:marTop w:val="0"/>
          <w:marBottom w:val="0"/>
          <w:divBdr>
            <w:top w:val="none" w:sz="0" w:space="0" w:color="auto"/>
            <w:left w:val="none" w:sz="0" w:space="0" w:color="auto"/>
            <w:bottom w:val="none" w:sz="0" w:space="0" w:color="auto"/>
            <w:right w:val="none" w:sz="0" w:space="0" w:color="auto"/>
          </w:divBdr>
        </w:div>
        <w:div w:id="2031487826">
          <w:marLeft w:val="0"/>
          <w:marRight w:val="0"/>
          <w:marTop w:val="0"/>
          <w:marBottom w:val="0"/>
          <w:divBdr>
            <w:top w:val="none" w:sz="0" w:space="0" w:color="auto"/>
            <w:left w:val="none" w:sz="0" w:space="0" w:color="auto"/>
            <w:bottom w:val="none" w:sz="0" w:space="0" w:color="auto"/>
            <w:right w:val="none" w:sz="0" w:space="0" w:color="auto"/>
          </w:divBdr>
        </w:div>
        <w:div w:id="1624580354">
          <w:marLeft w:val="0"/>
          <w:marRight w:val="0"/>
          <w:marTop w:val="0"/>
          <w:marBottom w:val="0"/>
          <w:divBdr>
            <w:top w:val="none" w:sz="0" w:space="0" w:color="auto"/>
            <w:left w:val="none" w:sz="0" w:space="0" w:color="auto"/>
            <w:bottom w:val="none" w:sz="0" w:space="0" w:color="auto"/>
            <w:right w:val="none" w:sz="0" w:space="0" w:color="auto"/>
          </w:divBdr>
        </w:div>
        <w:div w:id="1686709691">
          <w:marLeft w:val="0"/>
          <w:marRight w:val="0"/>
          <w:marTop w:val="0"/>
          <w:marBottom w:val="0"/>
          <w:divBdr>
            <w:top w:val="none" w:sz="0" w:space="0" w:color="auto"/>
            <w:left w:val="none" w:sz="0" w:space="0" w:color="auto"/>
            <w:bottom w:val="none" w:sz="0" w:space="0" w:color="auto"/>
            <w:right w:val="none" w:sz="0" w:space="0" w:color="auto"/>
          </w:divBdr>
        </w:div>
        <w:div w:id="471605677">
          <w:marLeft w:val="0"/>
          <w:marRight w:val="0"/>
          <w:marTop w:val="0"/>
          <w:marBottom w:val="0"/>
          <w:divBdr>
            <w:top w:val="none" w:sz="0" w:space="0" w:color="auto"/>
            <w:left w:val="none" w:sz="0" w:space="0" w:color="auto"/>
            <w:bottom w:val="none" w:sz="0" w:space="0" w:color="auto"/>
            <w:right w:val="none" w:sz="0" w:space="0" w:color="auto"/>
          </w:divBdr>
        </w:div>
        <w:div w:id="1916235762">
          <w:marLeft w:val="0"/>
          <w:marRight w:val="0"/>
          <w:marTop w:val="0"/>
          <w:marBottom w:val="0"/>
          <w:divBdr>
            <w:top w:val="none" w:sz="0" w:space="0" w:color="auto"/>
            <w:left w:val="none" w:sz="0" w:space="0" w:color="auto"/>
            <w:bottom w:val="none" w:sz="0" w:space="0" w:color="auto"/>
            <w:right w:val="none" w:sz="0" w:space="0" w:color="auto"/>
          </w:divBdr>
        </w:div>
        <w:div w:id="1016997935">
          <w:marLeft w:val="0"/>
          <w:marRight w:val="0"/>
          <w:marTop w:val="0"/>
          <w:marBottom w:val="0"/>
          <w:divBdr>
            <w:top w:val="none" w:sz="0" w:space="0" w:color="auto"/>
            <w:left w:val="none" w:sz="0" w:space="0" w:color="auto"/>
            <w:bottom w:val="none" w:sz="0" w:space="0" w:color="auto"/>
            <w:right w:val="none" w:sz="0" w:space="0" w:color="auto"/>
          </w:divBdr>
        </w:div>
        <w:div w:id="732697477">
          <w:marLeft w:val="0"/>
          <w:marRight w:val="0"/>
          <w:marTop w:val="0"/>
          <w:marBottom w:val="0"/>
          <w:divBdr>
            <w:top w:val="none" w:sz="0" w:space="0" w:color="auto"/>
            <w:left w:val="none" w:sz="0" w:space="0" w:color="auto"/>
            <w:bottom w:val="none" w:sz="0" w:space="0" w:color="auto"/>
            <w:right w:val="none" w:sz="0" w:space="0" w:color="auto"/>
          </w:divBdr>
        </w:div>
        <w:div w:id="1762137032">
          <w:marLeft w:val="0"/>
          <w:marRight w:val="0"/>
          <w:marTop w:val="0"/>
          <w:marBottom w:val="0"/>
          <w:divBdr>
            <w:top w:val="none" w:sz="0" w:space="0" w:color="auto"/>
            <w:left w:val="none" w:sz="0" w:space="0" w:color="auto"/>
            <w:bottom w:val="none" w:sz="0" w:space="0" w:color="auto"/>
            <w:right w:val="none" w:sz="0" w:space="0" w:color="auto"/>
          </w:divBdr>
        </w:div>
        <w:div w:id="1692025551">
          <w:marLeft w:val="0"/>
          <w:marRight w:val="0"/>
          <w:marTop w:val="0"/>
          <w:marBottom w:val="0"/>
          <w:divBdr>
            <w:top w:val="none" w:sz="0" w:space="0" w:color="auto"/>
            <w:left w:val="none" w:sz="0" w:space="0" w:color="auto"/>
            <w:bottom w:val="none" w:sz="0" w:space="0" w:color="auto"/>
            <w:right w:val="none" w:sz="0" w:space="0" w:color="auto"/>
          </w:divBdr>
        </w:div>
        <w:div w:id="669914965">
          <w:marLeft w:val="0"/>
          <w:marRight w:val="0"/>
          <w:marTop w:val="0"/>
          <w:marBottom w:val="0"/>
          <w:divBdr>
            <w:top w:val="none" w:sz="0" w:space="0" w:color="auto"/>
            <w:left w:val="none" w:sz="0" w:space="0" w:color="auto"/>
            <w:bottom w:val="none" w:sz="0" w:space="0" w:color="auto"/>
            <w:right w:val="none" w:sz="0" w:space="0" w:color="auto"/>
          </w:divBdr>
        </w:div>
        <w:div w:id="729421263">
          <w:marLeft w:val="0"/>
          <w:marRight w:val="0"/>
          <w:marTop w:val="0"/>
          <w:marBottom w:val="0"/>
          <w:divBdr>
            <w:top w:val="none" w:sz="0" w:space="0" w:color="auto"/>
            <w:left w:val="none" w:sz="0" w:space="0" w:color="auto"/>
            <w:bottom w:val="none" w:sz="0" w:space="0" w:color="auto"/>
            <w:right w:val="none" w:sz="0" w:space="0" w:color="auto"/>
          </w:divBdr>
        </w:div>
        <w:div w:id="1134834626">
          <w:marLeft w:val="0"/>
          <w:marRight w:val="0"/>
          <w:marTop w:val="0"/>
          <w:marBottom w:val="0"/>
          <w:divBdr>
            <w:top w:val="none" w:sz="0" w:space="0" w:color="auto"/>
            <w:left w:val="none" w:sz="0" w:space="0" w:color="auto"/>
            <w:bottom w:val="none" w:sz="0" w:space="0" w:color="auto"/>
            <w:right w:val="none" w:sz="0" w:space="0" w:color="auto"/>
          </w:divBdr>
        </w:div>
        <w:div w:id="947739341">
          <w:marLeft w:val="0"/>
          <w:marRight w:val="0"/>
          <w:marTop w:val="0"/>
          <w:marBottom w:val="0"/>
          <w:divBdr>
            <w:top w:val="none" w:sz="0" w:space="0" w:color="auto"/>
            <w:left w:val="none" w:sz="0" w:space="0" w:color="auto"/>
            <w:bottom w:val="none" w:sz="0" w:space="0" w:color="auto"/>
            <w:right w:val="none" w:sz="0" w:space="0" w:color="auto"/>
          </w:divBdr>
        </w:div>
        <w:div w:id="146554992">
          <w:marLeft w:val="0"/>
          <w:marRight w:val="0"/>
          <w:marTop w:val="0"/>
          <w:marBottom w:val="0"/>
          <w:divBdr>
            <w:top w:val="none" w:sz="0" w:space="0" w:color="auto"/>
            <w:left w:val="none" w:sz="0" w:space="0" w:color="auto"/>
            <w:bottom w:val="none" w:sz="0" w:space="0" w:color="auto"/>
            <w:right w:val="none" w:sz="0" w:space="0" w:color="auto"/>
          </w:divBdr>
        </w:div>
        <w:div w:id="889656064">
          <w:marLeft w:val="0"/>
          <w:marRight w:val="0"/>
          <w:marTop w:val="0"/>
          <w:marBottom w:val="0"/>
          <w:divBdr>
            <w:top w:val="none" w:sz="0" w:space="0" w:color="auto"/>
            <w:left w:val="none" w:sz="0" w:space="0" w:color="auto"/>
            <w:bottom w:val="none" w:sz="0" w:space="0" w:color="auto"/>
            <w:right w:val="none" w:sz="0" w:space="0" w:color="auto"/>
          </w:divBdr>
        </w:div>
        <w:div w:id="1908146704">
          <w:marLeft w:val="0"/>
          <w:marRight w:val="0"/>
          <w:marTop w:val="0"/>
          <w:marBottom w:val="0"/>
          <w:divBdr>
            <w:top w:val="none" w:sz="0" w:space="0" w:color="auto"/>
            <w:left w:val="none" w:sz="0" w:space="0" w:color="auto"/>
            <w:bottom w:val="none" w:sz="0" w:space="0" w:color="auto"/>
            <w:right w:val="none" w:sz="0" w:space="0" w:color="auto"/>
          </w:divBdr>
        </w:div>
        <w:div w:id="931930562">
          <w:marLeft w:val="0"/>
          <w:marRight w:val="0"/>
          <w:marTop w:val="0"/>
          <w:marBottom w:val="0"/>
          <w:divBdr>
            <w:top w:val="none" w:sz="0" w:space="0" w:color="auto"/>
            <w:left w:val="none" w:sz="0" w:space="0" w:color="auto"/>
            <w:bottom w:val="none" w:sz="0" w:space="0" w:color="auto"/>
            <w:right w:val="none" w:sz="0" w:space="0" w:color="auto"/>
          </w:divBdr>
        </w:div>
        <w:div w:id="536434718">
          <w:marLeft w:val="0"/>
          <w:marRight w:val="0"/>
          <w:marTop w:val="0"/>
          <w:marBottom w:val="0"/>
          <w:divBdr>
            <w:top w:val="none" w:sz="0" w:space="0" w:color="auto"/>
            <w:left w:val="none" w:sz="0" w:space="0" w:color="auto"/>
            <w:bottom w:val="none" w:sz="0" w:space="0" w:color="auto"/>
            <w:right w:val="none" w:sz="0" w:space="0" w:color="auto"/>
          </w:divBdr>
        </w:div>
        <w:div w:id="465319869">
          <w:marLeft w:val="0"/>
          <w:marRight w:val="0"/>
          <w:marTop w:val="0"/>
          <w:marBottom w:val="0"/>
          <w:divBdr>
            <w:top w:val="none" w:sz="0" w:space="0" w:color="auto"/>
            <w:left w:val="none" w:sz="0" w:space="0" w:color="auto"/>
            <w:bottom w:val="none" w:sz="0" w:space="0" w:color="auto"/>
            <w:right w:val="none" w:sz="0" w:space="0" w:color="auto"/>
          </w:divBdr>
        </w:div>
        <w:div w:id="1832212784">
          <w:marLeft w:val="0"/>
          <w:marRight w:val="0"/>
          <w:marTop w:val="0"/>
          <w:marBottom w:val="0"/>
          <w:divBdr>
            <w:top w:val="none" w:sz="0" w:space="0" w:color="auto"/>
            <w:left w:val="none" w:sz="0" w:space="0" w:color="auto"/>
            <w:bottom w:val="none" w:sz="0" w:space="0" w:color="auto"/>
            <w:right w:val="none" w:sz="0" w:space="0" w:color="auto"/>
          </w:divBdr>
        </w:div>
        <w:div w:id="583102460">
          <w:marLeft w:val="0"/>
          <w:marRight w:val="0"/>
          <w:marTop w:val="0"/>
          <w:marBottom w:val="0"/>
          <w:divBdr>
            <w:top w:val="none" w:sz="0" w:space="0" w:color="auto"/>
            <w:left w:val="none" w:sz="0" w:space="0" w:color="auto"/>
            <w:bottom w:val="none" w:sz="0" w:space="0" w:color="auto"/>
            <w:right w:val="none" w:sz="0" w:space="0" w:color="auto"/>
          </w:divBdr>
        </w:div>
        <w:div w:id="1297688151">
          <w:marLeft w:val="0"/>
          <w:marRight w:val="0"/>
          <w:marTop w:val="0"/>
          <w:marBottom w:val="0"/>
          <w:divBdr>
            <w:top w:val="none" w:sz="0" w:space="0" w:color="auto"/>
            <w:left w:val="none" w:sz="0" w:space="0" w:color="auto"/>
            <w:bottom w:val="none" w:sz="0" w:space="0" w:color="auto"/>
            <w:right w:val="none" w:sz="0" w:space="0" w:color="auto"/>
          </w:divBdr>
        </w:div>
        <w:div w:id="2048986627">
          <w:marLeft w:val="0"/>
          <w:marRight w:val="0"/>
          <w:marTop w:val="0"/>
          <w:marBottom w:val="0"/>
          <w:divBdr>
            <w:top w:val="none" w:sz="0" w:space="0" w:color="auto"/>
            <w:left w:val="none" w:sz="0" w:space="0" w:color="auto"/>
            <w:bottom w:val="none" w:sz="0" w:space="0" w:color="auto"/>
            <w:right w:val="none" w:sz="0" w:space="0" w:color="auto"/>
          </w:divBdr>
        </w:div>
        <w:div w:id="313872502">
          <w:marLeft w:val="0"/>
          <w:marRight w:val="0"/>
          <w:marTop w:val="0"/>
          <w:marBottom w:val="0"/>
          <w:divBdr>
            <w:top w:val="none" w:sz="0" w:space="0" w:color="auto"/>
            <w:left w:val="none" w:sz="0" w:space="0" w:color="auto"/>
            <w:bottom w:val="none" w:sz="0" w:space="0" w:color="auto"/>
            <w:right w:val="none" w:sz="0" w:space="0" w:color="auto"/>
          </w:divBdr>
        </w:div>
        <w:div w:id="1319069291">
          <w:marLeft w:val="0"/>
          <w:marRight w:val="0"/>
          <w:marTop w:val="0"/>
          <w:marBottom w:val="0"/>
          <w:divBdr>
            <w:top w:val="none" w:sz="0" w:space="0" w:color="auto"/>
            <w:left w:val="none" w:sz="0" w:space="0" w:color="auto"/>
            <w:bottom w:val="none" w:sz="0" w:space="0" w:color="auto"/>
            <w:right w:val="none" w:sz="0" w:space="0" w:color="auto"/>
          </w:divBdr>
        </w:div>
        <w:div w:id="792094495">
          <w:marLeft w:val="0"/>
          <w:marRight w:val="0"/>
          <w:marTop w:val="0"/>
          <w:marBottom w:val="0"/>
          <w:divBdr>
            <w:top w:val="none" w:sz="0" w:space="0" w:color="auto"/>
            <w:left w:val="none" w:sz="0" w:space="0" w:color="auto"/>
            <w:bottom w:val="none" w:sz="0" w:space="0" w:color="auto"/>
            <w:right w:val="none" w:sz="0" w:space="0" w:color="auto"/>
          </w:divBdr>
        </w:div>
        <w:div w:id="693503470">
          <w:marLeft w:val="0"/>
          <w:marRight w:val="0"/>
          <w:marTop w:val="0"/>
          <w:marBottom w:val="0"/>
          <w:divBdr>
            <w:top w:val="none" w:sz="0" w:space="0" w:color="auto"/>
            <w:left w:val="none" w:sz="0" w:space="0" w:color="auto"/>
            <w:bottom w:val="none" w:sz="0" w:space="0" w:color="auto"/>
            <w:right w:val="none" w:sz="0" w:space="0" w:color="auto"/>
          </w:divBdr>
        </w:div>
        <w:div w:id="1983382861">
          <w:marLeft w:val="0"/>
          <w:marRight w:val="0"/>
          <w:marTop w:val="0"/>
          <w:marBottom w:val="0"/>
          <w:divBdr>
            <w:top w:val="none" w:sz="0" w:space="0" w:color="auto"/>
            <w:left w:val="none" w:sz="0" w:space="0" w:color="auto"/>
            <w:bottom w:val="none" w:sz="0" w:space="0" w:color="auto"/>
            <w:right w:val="none" w:sz="0" w:space="0" w:color="auto"/>
          </w:divBdr>
        </w:div>
        <w:div w:id="1414206814">
          <w:marLeft w:val="0"/>
          <w:marRight w:val="0"/>
          <w:marTop w:val="0"/>
          <w:marBottom w:val="0"/>
          <w:divBdr>
            <w:top w:val="none" w:sz="0" w:space="0" w:color="auto"/>
            <w:left w:val="none" w:sz="0" w:space="0" w:color="auto"/>
            <w:bottom w:val="none" w:sz="0" w:space="0" w:color="auto"/>
            <w:right w:val="none" w:sz="0" w:space="0" w:color="auto"/>
          </w:divBdr>
        </w:div>
        <w:div w:id="1388532837">
          <w:marLeft w:val="0"/>
          <w:marRight w:val="0"/>
          <w:marTop w:val="0"/>
          <w:marBottom w:val="0"/>
          <w:divBdr>
            <w:top w:val="none" w:sz="0" w:space="0" w:color="auto"/>
            <w:left w:val="none" w:sz="0" w:space="0" w:color="auto"/>
            <w:bottom w:val="none" w:sz="0" w:space="0" w:color="auto"/>
            <w:right w:val="none" w:sz="0" w:space="0" w:color="auto"/>
          </w:divBdr>
        </w:div>
        <w:div w:id="1339313713">
          <w:marLeft w:val="0"/>
          <w:marRight w:val="0"/>
          <w:marTop w:val="0"/>
          <w:marBottom w:val="0"/>
          <w:divBdr>
            <w:top w:val="none" w:sz="0" w:space="0" w:color="auto"/>
            <w:left w:val="none" w:sz="0" w:space="0" w:color="auto"/>
            <w:bottom w:val="none" w:sz="0" w:space="0" w:color="auto"/>
            <w:right w:val="none" w:sz="0" w:space="0" w:color="auto"/>
          </w:divBdr>
        </w:div>
        <w:div w:id="1552766408">
          <w:marLeft w:val="0"/>
          <w:marRight w:val="0"/>
          <w:marTop w:val="0"/>
          <w:marBottom w:val="0"/>
          <w:divBdr>
            <w:top w:val="none" w:sz="0" w:space="0" w:color="auto"/>
            <w:left w:val="none" w:sz="0" w:space="0" w:color="auto"/>
            <w:bottom w:val="none" w:sz="0" w:space="0" w:color="auto"/>
            <w:right w:val="none" w:sz="0" w:space="0" w:color="auto"/>
          </w:divBdr>
        </w:div>
        <w:div w:id="210192380">
          <w:marLeft w:val="0"/>
          <w:marRight w:val="0"/>
          <w:marTop w:val="0"/>
          <w:marBottom w:val="0"/>
          <w:divBdr>
            <w:top w:val="none" w:sz="0" w:space="0" w:color="auto"/>
            <w:left w:val="none" w:sz="0" w:space="0" w:color="auto"/>
            <w:bottom w:val="none" w:sz="0" w:space="0" w:color="auto"/>
            <w:right w:val="none" w:sz="0" w:space="0" w:color="auto"/>
          </w:divBdr>
        </w:div>
        <w:div w:id="1025133402">
          <w:marLeft w:val="0"/>
          <w:marRight w:val="0"/>
          <w:marTop w:val="0"/>
          <w:marBottom w:val="0"/>
          <w:divBdr>
            <w:top w:val="none" w:sz="0" w:space="0" w:color="auto"/>
            <w:left w:val="none" w:sz="0" w:space="0" w:color="auto"/>
            <w:bottom w:val="none" w:sz="0" w:space="0" w:color="auto"/>
            <w:right w:val="none" w:sz="0" w:space="0" w:color="auto"/>
          </w:divBdr>
        </w:div>
        <w:div w:id="1419980307">
          <w:marLeft w:val="0"/>
          <w:marRight w:val="0"/>
          <w:marTop w:val="0"/>
          <w:marBottom w:val="0"/>
          <w:divBdr>
            <w:top w:val="none" w:sz="0" w:space="0" w:color="auto"/>
            <w:left w:val="none" w:sz="0" w:space="0" w:color="auto"/>
            <w:bottom w:val="none" w:sz="0" w:space="0" w:color="auto"/>
            <w:right w:val="none" w:sz="0" w:space="0" w:color="auto"/>
          </w:divBdr>
        </w:div>
        <w:div w:id="465244687">
          <w:marLeft w:val="0"/>
          <w:marRight w:val="0"/>
          <w:marTop w:val="0"/>
          <w:marBottom w:val="0"/>
          <w:divBdr>
            <w:top w:val="none" w:sz="0" w:space="0" w:color="auto"/>
            <w:left w:val="none" w:sz="0" w:space="0" w:color="auto"/>
            <w:bottom w:val="none" w:sz="0" w:space="0" w:color="auto"/>
            <w:right w:val="none" w:sz="0" w:space="0" w:color="auto"/>
          </w:divBdr>
        </w:div>
        <w:div w:id="1479376604">
          <w:marLeft w:val="0"/>
          <w:marRight w:val="0"/>
          <w:marTop w:val="0"/>
          <w:marBottom w:val="0"/>
          <w:divBdr>
            <w:top w:val="none" w:sz="0" w:space="0" w:color="auto"/>
            <w:left w:val="none" w:sz="0" w:space="0" w:color="auto"/>
            <w:bottom w:val="none" w:sz="0" w:space="0" w:color="auto"/>
            <w:right w:val="none" w:sz="0" w:space="0" w:color="auto"/>
          </w:divBdr>
        </w:div>
        <w:div w:id="1545942881">
          <w:marLeft w:val="0"/>
          <w:marRight w:val="0"/>
          <w:marTop w:val="0"/>
          <w:marBottom w:val="0"/>
          <w:divBdr>
            <w:top w:val="none" w:sz="0" w:space="0" w:color="auto"/>
            <w:left w:val="none" w:sz="0" w:space="0" w:color="auto"/>
            <w:bottom w:val="none" w:sz="0" w:space="0" w:color="auto"/>
            <w:right w:val="none" w:sz="0" w:space="0" w:color="auto"/>
          </w:divBdr>
        </w:div>
        <w:div w:id="650643002">
          <w:marLeft w:val="0"/>
          <w:marRight w:val="0"/>
          <w:marTop w:val="0"/>
          <w:marBottom w:val="0"/>
          <w:divBdr>
            <w:top w:val="none" w:sz="0" w:space="0" w:color="auto"/>
            <w:left w:val="none" w:sz="0" w:space="0" w:color="auto"/>
            <w:bottom w:val="none" w:sz="0" w:space="0" w:color="auto"/>
            <w:right w:val="none" w:sz="0" w:space="0" w:color="auto"/>
          </w:divBdr>
        </w:div>
        <w:div w:id="1653560961">
          <w:marLeft w:val="0"/>
          <w:marRight w:val="0"/>
          <w:marTop w:val="0"/>
          <w:marBottom w:val="0"/>
          <w:divBdr>
            <w:top w:val="none" w:sz="0" w:space="0" w:color="auto"/>
            <w:left w:val="none" w:sz="0" w:space="0" w:color="auto"/>
            <w:bottom w:val="none" w:sz="0" w:space="0" w:color="auto"/>
            <w:right w:val="none" w:sz="0" w:space="0" w:color="auto"/>
          </w:divBdr>
        </w:div>
        <w:div w:id="850338086">
          <w:marLeft w:val="0"/>
          <w:marRight w:val="0"/>
          <w:marTop w:val="0"/>
          <w:marBottom w:val="0"/>
          <w:divBdr>
            <w:top w:val="none" w:sz="0" w:space="0" w:color="auto"/>
            <w:left w:val="none" w:sz="0" w:space="0" w:color="auto"/>
            <w:bottom w:val="none" w:sz="0" w:space="0" w:color="auto"/>
            <w:right w:val="none" w:sz="0" w:space="0" w:color="auto"/>
          </w:divBdr>
        </w:div>
        <w:div w:id="1235430153">
          <w:marLeft w:val="0"/>
          <w:marRight w:val="0"/>
          <w:marTop w:val="0"/>
          <w:marBottom w:val="0"/>
          <w:divBdr>
            <w:top w:val="none" w:sz="0" w:space="0" w:color="auto"/>
            <w:left w:val="none" w:sz="0" w:space="0" w:color="auto"/>
            <w:bottom w:val="none" w:sz="0" w:space="0" w:color="auto"/>
            <w:right w:val="none" w:sz="0" w:space="0" w:color="auto"/>
          </w:divBdr>
        </w:div>
        <w:div w:id="359016933">
          <w:marLeft w:val="0"/>
          <w:marRight w:val="0"/>
          <w:marTop w:val="0"/>
          <w:marBottom w:val="0"/>
          <w:divBdr>
            <w:top w:val="none" w:sz="0" w:space="0" w:color="auto"/>
            <w:left w:val="none" w:sz="0" w:space="0" w:color="auto"/>
            <w:bottom w:val="none" w:sz="0" w:space="0" w:color="auto"/>
            <w:right w:val="none" w:sz="0" w:space="0" w:color="auto"/>
          </w:divBdr>
        </w:div>
        <w:div w:id="1107654243">
          <w:marLeft w:val="0"/>
          <w:marRight w:val="0"/>
          <w:marTop w:val="0"/>
          <w:marBottom w:val="0"/>
          <w:divBdr>
            <w:top w:val="none" w:sz="0" w:space="0" w:color="auto"/>
            <w:left w:val="none" w:sz="0" w:space="0" w:color="auto"/>
            <w:bottom w:val="none" w:sz="0" w:space="0" w:color="auto"/>
            <w:right w:val="none" w:sz="0" w:space="0" w:color="auto"/>
          </w:divBdr>
        </w:div>
        <w:div w:id="1282877334">
          <w:marLeft w:val="0"/>
          <w:marRight w:val="0"/>
          <w:marTop w:val="0"/>
          <w:marBottom w:val="0"/>
          <w:divBdr>
            <w:top w:val="none" w:sz="0" w:space="0" w:color="auto"/>
            <w:left w:val="none" w:sz="0" w:space="0" w:color="auto"/>
            <w:bottom w:val="none" w:sz="0" w:space="0" w:color="auto"/>
            <w:right w:val="none" w:sz="0" w:space="0" w:color="auto"/>
          </w:divBdr>
        </w:div>
        <w:div w:id="976255235">
          <w:marLeft w:val="0"/>
          <w:marRight w:val="0"/>
          <w:marTop w:val="0"/>
          <w:marBottom w:val="0"/>
          <w:divBdr>
            <w:top w:val="none" w:sz="0" w:space="0" w:color="auto"/>
            <w:left w:val="none" w:sz="0" w:space="0" w:color="auto"/>
            <w:bottom w:val="none" w:sz="0" w:space="0" w:color="auto"/>
            <w:right w:val="none" w:sz="0" w:space="0" w:color="auto"/>
          </w:divBdr>
        </w:div>
        <w:div w:id="528184869">
          <w:marLeft w:val="0"/>
          <w:marRight w:val="0"/>
          <w:marTop w:val="0"/>
          <w:marBottom w:val="0"/>
          <w:divBdr>
            <w:top w:val="none" w:sz="0" w:space="0" w:color="auto"/>
            <w:left w:val="none" w:sz="0" w:space="0" w:color="auto"/>
            <w:bottom w:val="none" w:sz="0" w:space="0" w:color="auto"/>
            <w:right w:val="none" w:sz="0" w:space="0" w:color="auto"/>
          </w:divBdr>
        </w:div>
        <w:div w:id="415633216">
          <w:marLeft w:val="0"/>
          <w:marRight w:val="0"/>
          <w:marTop w:val="0"/>
          <w:marBottom w:val="0"/>
          <w:divBdr>
            <w:top w:val="none" w:sz="0" w:space="0" w:color="auto"/>
            <w:left w:val="none" w:sz="0" w:space="0" w:color="auto"/>
            <w:bottom w:val="none" w:sz="0" w:space="0" w:color="auto"/>
            <w:right w:val="none" w:sz="0" w:space="0" w:color="auto"/>
          </w:divBdr>
        </w:div>
        <w:div w:id="71589770">
          <w:marLeft w:val="0"/>
          <w:marRight w:val="0"/>
          <w:marTop w:val="0"/>
          <w:marBottom w:val="0"/>
          <w:divBdr>
            <w:top w:val="none" w:sz="0" w:space="0" w:color="auto"/>
            <w:left w:val="none" w:sz="0" w:space="0" w:color="auto"/>
            <w:bottom w:val="none" w:sz="0" w:space="0" w:color="auto"/>
            <w:right w:val="none" w:sz="0" w:space="0" w:color="auto"/>
          </w:divBdr>
        </w:div>
        <w:div w:id="1310404797">
          <w:marLeft w:val="0"/>
          <w:marRight w:val="0"/>
          <w:marTop w:val="0"/>
          <w:marBottom w:val="0"/>
          <w:divBdr>
            <w:top w:val="none" w:sz="0" w:space="0" w:color="auto"/>
            <w:left w:val="none" w:sz="0" w:space="0" w:color="auto"/>
            <w:bottom w:val="none" w:sz="0" w:space="0" w:color="auto"/>
            <w:right w:val="none" w:sz="0" w:space="0" w:color="auto"/>
          </w:divBdr>
        </w:div>
        <w:div w:id="1549099001">
          <w:marLeft w:val="0"/>
          <w:marRight w:val="0"/>
          <w:marTop w:val="0"/>
          <w:marBottom w:val="0"/>
          <w:divBdr>
            <w:top w:val="none" w:sz="0" w:space="0" w:color="auto"/>
            <w:left w:val="none" w:sz="0" w:space="0" w:color="auto"/>
            <w:bottom w:val="none" w:sz="0" w:space="0" w:color="auto"/>
            <w:right w:val="none" w:sz="0" w:space="0" w:color="auto"/>
          </w:divBdr>
        </w:div>
        <w:div w:id="2016489849">
          <w:marLeft w:val="0"/>
          <w:marRight w:val="0"/>
          <w:marTop w:val="0"/>
          <w:marBottom w:val="0"/>
          <w:divBdr>
            <w:top w:val="none" w:sz="0" w:space="0" w:color="auto"/>
            <w:left w:val="none" w:sz="0" w:space="0" w:color="auto"/>
            <w:bottom w:val="none" w:sz="0" w:space="0" w:color="auto"/>
            <w:right w:val="none" w:sz="0" w:space="0" w:color="auto"/>
          </w:divBdr>
        </w:div>
        <w:div w:id="1998680113">
          <w:marLeft w:val="0"/>
          <w:marRight w:val="0"/>
          <w:marTop w:val="0"/>
          <w:marBottom w:val="0"/>
          <w:divBdr>
            <w:top w:val="none" w:sz="0" w:space="0" w:color="auto"/>
            <w:left w:val="none" w:sz="0" w:space="0" w:color="auto"/>
            <w:bottom w:val="none" w:sz="0" w:space="0" w:color="auto"/>
            <w:right w:val="none" w:sz="0" w:space="0" w:color="auto"/>
          </w:divBdr>
        </w:div>
      </w:divsChild>
    </w:div>
    <w:div w:id="1054544105">
      <w:bodyDiv w:val="1"/>
      <w:marLeft w:val="0"/>
      <w:marRight w:val="0"/>
      <w:marTop w:val="0"/>
      <w:marBottom w:val="0"/>
      <w:divBdr>
        <w:top w:val="none" w:sz="0" w:space="0" w:color="auto"/>
        <w:left w:val="none" w:sz="0" w:space="0" w:color="auto"/>
        <w:bottom w:val="none" w:sz="0" w:space="0" w:color="auto"/>
        <w:right w:val="none" w:sz="0" w:space="0" w:color="auto"/>
      </w:divBdr>
      <w:divsChild>
        <w:div w:id="683366165">
          <w:marLeft w:val="0"/>
          <w:marRight w:val="0"/>
          <w:marTop w:val="0"/>
          <w:marBottom w:val="0"/>
          <w:divBdr>
            <w:top w:val="none" w:sz="0" w:space="0" w:color="auto"/>
            <w:left w:val="none" w:sz="0" w:space="0" w:color="auto"/>
            <w:bottom w:val="none" w:sz="0" w:space="0" w:color="auto"/>
            <w:right w:val="none" w:sz="0" w:space="0" w:color="auto"/>
          </w:divBdr>
        </w:div>
        <w:div w:id="1593049457">
          <w:marLeft w:val="0"/>
          <w:marRight w:val="0"/>
          <w:marTop w:val="0"/>
          <w:marBottom w:val="0"/>
          <w:divBdr>
            <w:top w:val="none" w:sz="0" w:space="0" w:color="auto"/>
            <w:left w:val="none" w:sz="0" w:space="0" w:color="auto"/>
            <w:bottom w:val="none" w:sz="0" w:space="0" w:color="auto"/>
            <w:right w:val="none" w:sz="0" w:space="0" w:color="auto"/>
          </w:divBdr>
        </w:div>
        <w:div w:id="1701081973">
          <w:marLeft w:val="0"/>
          <w:marRight w:val="0"/>
          <w:marTop w:val="0"/>
          <w:marBottom w:val="0"/>
          <w:divBdr>
            <w:top w:val="none" w:sz="0" w:space="0" w:color="auto"/>
            <w:left w:val="none" w:sz="0" w:space="0" w:color="auto"/>
            <w:bottom w:val="none" w:sz="0" w:space="0" w:color="auto"/>
            <w:right w:val="none" w:sz="0" w:space="0" w:color="auto"/>
          </w:divBdr>
        </w:div>
        <w:div w:id="1971476000">
          <w:marLeft w:val="0"/>
          <w:marRight w:val="0"/>
          <w:marTop w:val="0"/>
          <w:marBottom w:val="0"/>
          <w:divBdr>
            <w:top w:val="none" w:sz="0" w:space="0" w:color="auto"/>
            <w:left w:val="none" w:sz="0" w:space="0" w:color="auto"/>
            <w:bottom w:val="none" w:sz="0" w:space="0" w:color="auto"/>
            <w:right w:val="none" w:sz="0" w:space="0" w:color="auto"/>
          </w:divBdr>
        </w:div>
        <w:div w:id="837118058">
          <w:marLeft w:val="0"/>
          <w:marRight w:val="0"/>
          <w:marTop w:val="0"/>
          <w:marBottom w:val="0"/>
          <w:divBdr>
            <w:top w:val="none" w:sz="0" w:space="0" w:color="auto"/>
            <w:left w:val="none" w:sz="0" w:space="0" w:color="auto"/>
            <w:bottom w:val="none" w:sz="0" w:space="0" w:color="auto"/>
            <w:right w:val="none" w:sz="0" w:space="0" w:color="auto"/>
          </w:divBdr>
        </w:div>
        <w:div w:id="1149177219">
          <w:marLeft w:val="0"/>
          <w:marRight w:val="0"/>
          <w:marTop w:val="0"/>
          <w:marBottom w:val="0"/>
          <w:divBdr>
            <w:top w:val="none" w:sz="0" w:space="0" w:color="auto"/>
            <w:left w:val="none" w:sz="0" w:space="0" w:color="auto"/>
            <w:bottom w:val="none" w:sz="0" w:space="0" w:color="auto"/>
            <w:right w:val="none" w:sz="0" w:space="0" w:color="auto"/>
          </w:divBdr>
        </w:div>
        <w:div w:id="1741636253">
          <w:marLeft w:val="0"/>
          <w:marRight w:val="0"/>
          <w:marTop w:val="0"/>
          <w:marBottom w:val="0"/>
          <w:divBdr>
            <w:top w:val="none" w:sz="0" w:space="0" w:color="auto"/>
            <w:left w:val="none" w:sz="0" w:space="0" w:color="auto"/>
            <w:bottom w:val="none" w:sz="0" w:space="0" w:color="auto"/>
            <w:right w:val="none" w:sz="0" w:space="0" w:color="auto"/>
          </w:divBdr>
        </w:div>
        <w:div w:id="227611374">
          <w:marLeft w:val="0"/>
          <w:marRight w:val="0"/>
          <w:marTop w:val="0"/>
          <w:marBottom w:val="0"/>
          <w:divBdr>
            <w:top w:val="none" w:sz="0" w:space="0" w:color="auto"/>
            <w:left w:val="none" w:sz="0" w:space="0" w:color="auto"/>
            <w:bottom w:val="none" w:sz="0" w:space="0" w:color="auto"/>
            <w:right w:val="none" w:sz="0" w:space="0" w:color="auto"/>
          </w:divBdr>
        </w:div>
        <w:div w:id="978992551">
          <w:marLeft w:val="0"/>
          <w:marRight w:val="0"/>
          <w:marTop w:val="0"/>
          <w:marBottom w:val="0"/>
          <w:divBdr>
            <w:top w:val="none" w:sz="0" w:space="0" w:color="auto"/>
            <w:left w:val="none" w:sz="0" w:space="0" w:color="auto"/>
            <w:bottom w:val="none" w:sz="0" w:space="0" w:color="auto"/>
            <w:right w:val="none" w:sz="0" w:space="0" w:color="auto"/>
          </w:divBdr>
        </w:div>
        <w:div w:id="1050113568">
          <w:marLeft w:val="0"/>
          <w:marRight w:val="0"/>
          <w:marTop w:val="0"/>
          <w:marBottom w:val="0"/>
          <w:divBdr>
            <w:top w:val="none" w:sz="0" w:space="0" w:color="auto"/>
            <w:left w:val="none" w:sz="0" w:space="0" w:color="auto"/>
            <w:bottom w:val="none" w:sz="0" w:space="0" w:color="auto"/>
            <w:right w:val="none" w:sz="0" w:space="0" w:color="auto"/>
          </w:divBdr>
        </w:div>
        <w:div w:id="1460342310">
          <w:marLeft w:val="0"/>
          <w:marRight w:val="0"/>
          <w:marTop w:val="0"/>
          <w:marBottom w:val="0"/>
          <w:divBdr>
            <w:top w:val="none" w:sz="0" w:space="0" w:color="auto"/>
            <w:left w:val="none" w:sz="0" w:space="0" w:color="auto"/>
            <w:bottom w:val="none" w:sz="0" w:space="0" w:color="auto"/>
            <w:right w:val="none" w:sz="0" w:space="0" w:color="auto"/>
          </w:divBdr>
        </w:div>
        <w:div w:id="1323239430">
          <w:marLeft w:val="0"/>
          <w:marRight w:val="0"/>
          <w:marTop w:val="0"/>
          <w:marBottom w:val="0"/>
          <w:divBdr>
            <w:top w:val="none" w:sz="0" w:space="0" w:color="auto"/>
            <w:left w:val="none" w:sz="0" w:space="0" w:color="auto"/>
            <w:bottom w:val="none" w:sz="0" w:space="0" w:color="auto"/>
            <w:right w:val="none" w:sz="0" w:space="0" w:color="auto"/>
          </w:divBdr>
        </w:div>
        <w:div w:id="1573730888">
          <w:marLeft w:val="0"/>
          <w:marRight w:val="0"/>
          <w:marTop w:val="0"/>
          <w:marBottom w:val="0"/>
          <w:divBdr>
            <w:top w:val="none" w:sz="0" w:space="0" w:color="auto"/>
            <w:left w:val="none" w:sz="0" w:space="0" w:color="auto"/>
            <w:bottom w:val="none" w:sz="0" w:space="0" w:color="auto"/>
            <w:right w:val="none" w:sz="0" w:space="0" w:color="auto"/>
          </w:divBdr>
        </w:div>
        <w:div w:id="2103719958">
          <w:marLeft w:val="0"/>
          <w:marRight w:val="0"/>
          <w:marTop w:val="0"/>
          <w:marBottom w:val="0"/>
          <w:divBdr>
            <w:top w:val="none" w:sz="0" w:space="0" w:color="auto"/>
            <w:left w:val="none" w:sz="0" w:space="0" w:color="auto"/>
            <w:bottom w:val="none" w:sz="0" w:space="0" w:color="auto"/>
            <w:right w:val="none" w:sz="0" w:space="0" w:color="auto"/>
          </w:divBdr>
        </w:div>
        <w:div w:id="1206259533">
          <w:marLeft w:val="0"/>
          <w:marRight w:val="0"/>
          <w:marTop w:val="0"/>
          <w:marBottom w:val="0"/>
          <w:divBdr>
            <w:top w:val="none" w:sz="0" w:space="0" w:color="auto"/>
            <w:left w:val="none" w:sz="0" w:space="0" w:color="auto"/>
            <w:bottom w:val="none" w:sz="0" w:space="0" w:color="auto"/>
            <w:right w:val="none" w:sz="0" w:space="0" w:color="auto"/>
          </w:divBdr>
        </w:div>
        <w:div w:id="110637865">
          <w:marLeft w:val="0"/>
          <w:marRight w:val="0"/>
          <w:marTop w:val="0"/>
          <w:marBottom w:val="0"/>
          <w:divBdr>
            <w:top w:val="none" w:sz="0" w:space="0" w:color="auto"/>
            <w:left w:val="none" w:sz="0" w:space="0" w:color="auto"/>
            <w:bottom w:val="none" w:sz="0" w:space="0" w:color="auto"/>
            <w:right w:val="none" w:sz="0" w:space="0" w:color="auto"/>
          </w:divBdr>
        </w:div>
        <w:div w:id="1308780339">
          <w:marLeft w:val="0"/>
          <w:marRight w:val="0"/>
          <w:marTop w:val="0"/>
          <w:marBottom w:val="0"/>
          <w:divBdr>
            <w:top w:val="none" w:sz="0" w:space="0" w:color="auto"/>
            <w:left w:val="none" w:sz="0" w:space="0" w:color="auto"/>
            <w:bottom w:val="none" w:sz="0" w:space="0" w:color="auto"/>
            <w:right w:val="none" w:sz="0" w:space="0" w:color="auto"/>
          </w:divBdr>
        </w:div>
        <w:div w:id="1132406471">
          <w:marLeft w:val="0"/>
          <w:marRight w:val="0"/>
          <w:marTop w:val="0"/>
          <w:marBottom w:val="0"/>
          <w:divBdr>
            <w:top w:val="none" w:sz="0" w:space="0" w:color="auto"/>
            <w:left w:val="none" w:sz="0" w:space="0" w:color="auto"/>
            <w:bottom w:val="none" w:sz="0" w:space="0" w:color="auto"/>
            <w:right w:val="none" w:sz="0" w:space="0" w:color="auto"/>
          </w:divBdr>
        </w:div>
        <w:div w:id="823545699">
          <w:marLeft w:val="0"/>
          <w:marRight w:val="0"/>
          <w:marTop w:val="0"/>
          <w:marBottom w:val="0"/>
          <w:divBdr>
            <w:top w:val="none" w:sz="0" w:space="0" w:color="auto"/>
            <w:left w:val="none" w:sz="0" w:space="0" w:color="auto"/>
            <w:bottom w:val="none" w:sz="0" w:space="0" w:color="auto"/>
            <w:right w:val="none" w:sz="0" w:space="0" w:color="auto"/>
          </w:divBdr>
        </w:div>
        <w:div w:id="505363166">
          <w:marLeft w:val="0"/>
          <w:marRight w:val="0"/>
          <w:marTop w:val="0"/>
          <w:marBottom w:val="0"/>
          <w:divBdr>
            <w:top w:val="none" w:sz="0" w:space="0" w:color="auto"/>
            <w:left w:val="none" w:sz="0" w:space="0" w:color="auto"/>
            <w:bottom w:val="none" w:sz="0" w:space="0" w:color="auto"/>
            <w:right w:val="none" w:sz="0" w:space="0" w:color="auto"/>
          </w:divBdr>
        </w:div>
        <w:div w:id="1884950307">
          <w:marLeft w:val="0"/>
          <w:marRight w:val="0"/>
          <w:marTop w:val="0"/>
          <w:marBottom w:val="0"/>
          <w:divBdr>
            <w:top w:val="none" w:sz="0" w:space="0" w:color="auto"/>
            <w:left w:val="none" w:sz="0" w:space="0" w:color="auto"/>
            <w:bottom w:val="none" w:sz="0" w:space="0" w:color="auto"/>
            <w:right w:val="none" w:sz="0" w:space="0" w:color="auto"/>
          </w:divBdr>
        </w:div>
        <w:div w:id="882055944">
          <w:marLeft w:val="0"/>
          <w:marRight w:val="0"/>
          <w:marTop w:val="0"/>
          <w:marBottom w:val="0"/>
          <w:divBdr>
            <w:top w:val="none" w:sz="0" w:space="0" w:color="auto"/>
            <w:left w:val="none" w:sz="0" w:space="0" w:color="auto"/>
            <w:bottom w:val="none" w:sz="0" w:space="0" w:color="auto"/>
            <w:right w:val="none" w:sz="0" w:space="0" w:color="auto"/>
          </w:divBdr>
        </w:div>
        <w:div w:id="341669966">
          <w:marLeft w:val="0"/>
          <w:marRight w:val="0"/>
          <w:marTop w:val="0"/>
          <w:marBottom w:val="0"/>
          <w:divBdr>
            <w:top w:val="none" w:sz="0" w:space="0" w:color="auto"/>
            <w:left w:val="none" w:sz="0" w:space="0" w:color="auto"/>
            <w:bottom w:val="none" w:sz="0" w:space="0" w:color="auto"/>
            <w:right w:val="none" w:sz="0" w:space="0" w:color="auto"/>
          </w:divBdr>
        </w:div>
        <w:div w:id="2109350501">
          <w:marLeft w:val="0"/>
          <w:marRight w:val="0"/>
          <w:marTop w:val="0"/>
          <w:marBottom w:val="0"/>
          <w:divBdr>
            <w:top w:val="none" w:sz="0" w:space="0" w:color="auto"/>
            <w:left w:val="none" w:sz="0" w:space="0" w:color="auto"/>
            <w:bottom w:val="none" w:sz="0" w:space="0" w:color="auto"/>
            <w:right w:val="none" w:sz="0" w:space="0" w:color="auto"/>
          </w:divBdr>
        </w:div>
        <w:div w:id="335546066">
          <w:marLeft w:val="0"/>
          <w:marRight w:val="0"/>
          <w:marTop w:val="0"/>
          <w:marBottom w:val="0"/>
          <w:divBdr>
            <w:top w:val="none" w:sz="0" w:space="0" w:color="auto"/>
            <w:left w:val="none" w:sz="0" w:space="0" w:color="auto"/>
            <w:bottom w:val="none" w:sz="0" w:space="0" w:color="auto"/>
            <w:right w:val="none" w:sz="0" w:space="0" w:color="auto"/>
          </w:divBdr>
        </w:div>
        <w:div w:id="984966863">
          <w:marLeft w:val="0"/>
          <w:marRight w:val="0"/>
          <w:marTop w:val="0"/>
          <w:marBottom w:val="0"/>
          <w:divBdr>
            <w:top w:val="none" w:sz="0" w:space="0" w:color="auto"/>
            <w:left w:val="none" w:sz="0" w:space="0" w:color="auto"/>
            <w:bottom w:val="none" w:sz="0" w:space="0" w:color="auto"/>
            <w:right w:val="none" w:sz="0" w:space="0" w:color="auto"/>
          </w:divBdr>
        </w:div>
      </w:divsChild>
    </w:div>
    <w:div w:id="1081607330">
      <w:bodyDiv w:val="1"/>
      <w:marLeft w:val="0"/>
      <w:marRight w:val="0"/>
      <w:marTop w:val="0"/>
      <w:marBottom w:val="0"/>
      <w:divBdr>
        <w:top w:val="none" w:sz="0" w:space="0" w:color="auto"/>
        <w:left w:val="none" w:sz="0" w:space="0" w:color="auto"/>
        <w:bottom w:val="none" w:sz="0" w:space="0" w:color="auto"/>
        <w:right w:val="none" w:sz="0" w:space="0" w:color="auto"/>
      </w:divBdr>
    </w:div>
    <w:div w:id="1139373727">
      <w:bodyDiv w:val="1"/>
      <w:marLeft w:val="0"/>
      <w:marRight w:val="0"/>
      <w:marTop w:val="0"/>
      <w:marBottom w:val="0"/>
      <w:divBdr>
        <w:top w:val="none" w:sz="0" w:space="0" w:color="auto"/>
        <w:left w:val="none" w:sz="0" w:space="0" w:color="auto"/>
        <w:bottom w:val="none" w:sz="0" w:space="0" w:color="auto"/>
        <w:right w:val="none" w:sz="0" w:space="0" w:color="auto"/>
      </w:divBdr>
    </w:div>
    <w:div w:id="1170873634">
      <w:bodyDiv w:val="1"/>
      <w:marLeft w:val="0"/>
      <w:marRight w:val="0"/>
      <w:marTop w:val="0"/>
      <w:marBottom w:val="0"/>
      <w:divBdr>
        <w:top w:val="none" w:sz="0" w:space="0" w:color="auto"/>
        <w:left w:val="none" w:sz="0" w:space="0" w:color="auto"/>
        <w:bottom w:val="none" w:sz="0" w:space="0" w:color="auto"/>
        <w:right w:val="none" w:sz="0" w:space="0" w:color="auto"/>
      </w:divBdr>
      <w:divsChild>
        <w:div w:id="1626736193">
          <w:marLeft w:val="0"/>
          <w:marRight w:val="0"/>
          <w:marTop w:val="0"/>
          <w:marBottom w:val="0"/>
          <w:divBdr>
            <w:top w:val="none" w:sz="0" w:space="0" w:color="auto"/>
            <w:left w:val="none" w:sz="0" w:space="0" w:color="auto"/>
            <w:bottom w:val="none" w:sz="0" w:space="0" w:color="auto"/>
            <w:right w:val="none" w:sz="0" w:space="0" w:color="auto"/>
          </w:divBdr>
        </w:div>
        <w:div w:id="126513341">
          <w:marLeft w:val="0"/>
          <w:marRight w:val="0"/>
          <w:marTop w:val="0"/>
          <w:marBottom w:val="0"/>
          <w:divBdr>
            <w:top w:val="none" w:sz="0" w:space="0" w:color="auto"/>
            <w:left w:val="none" w:sz="0" w:space="0" w:color="auto"/>
            <w:bottom w:val="none" w:sz="0" w:space="0" w:color="auto"/>
            <w:right w:val="none" w:sz="0" w:space="0" w:color="auto"/>
          </w:divBdr>
        </w:div>
        <w:div w:id="710958428">
          <w:marLeft w:val="0"/>
          <w:marRight w:val="0"/>
          <w:marTop w:val="0"/>
          <w:marBottom w:val="0"/>
          <w:divBdr>
            <w:top w:val="none" w:sz="0" w:space="0" w:color="auto"/>
            <w:left w:val="none" w:sz="0" w:space="0" w:color="auto"/>
            <w:bottom w:val="none" w:sz="0" w:space="0" w:color="auto"/>
            <w:right w:val="none" w:sz="0" w:space="0" w:color="auto"/>
          </w:divBdr>
        </w:div>
        <w:div w:id="754399225">
          <w:marLeft w:val="0"/>
          <w:marRight w:val="0"/>
          <w:marTop w:val="0"/>
          <w:marBottom w:val="0"/>
          <w:divBdr>
            <w:top w:val="none" w:sz="0" w:space="0" w:color="auto"/>
            <w:left w:val="none" w:sz="0" w:space="0" w:color="auto"/>
            <w:bottom w:val="none" w:sz="0" w:space="0" w:color="auto"/>
            <w:right w:val="none" w:sz="0" w:space="0" w:color="auto"/>
          </w:divBdr>
        </w:div>
        <w:div w:id="1593582786">
          <w:marLeft w:val="0"/>
          <w:marRight w:val="0"/>
          <w:marTop w:val="0"/>
          <w:marBottom w:val="0"/>
          <w:divBdr>
            <w:top w:val="none" w:sz="0" w:space="0" w:color="auto"/>
            <w:left w:val="none" w:sz="0" w:space="0" w:color="auto"/>
            <w:bottom w:val="none" w:sz="0" w:space="0" w:color="auto"/>
            <w:right w:val="none" w:sz="0" w:space="0" w:color="auto"/>
          </w:divBdr>
        </w:div>
        <w:div w:id="653992094">
          <w:marLeft w:val="0"/>
          <w:marRight w:val="0"/>
          <w:marTop w:val="0"/>
          <w:marBottom w:val="0"/>
          <w:divBdr>
            <w:top w:val="none" w:sz="0" w:space="0" w:color="auto"/>
            <w:left w:val="none" w:sz="0" w:space="0" w:color="auto"/>
            <w:bottom w:val="none" w:sz="0" w:space="0" w:color="auto"/>
            <w:right w:val="none" w:sz="0" w:space="0" w:color="auto"/>
          </w:divBdr>
        </w:div>
        <w:div w:id="1697655068">
          <w:marLeft w:val="0"/>
          <w:marRight w:val="0"/>
          <w:marTop w:val="0"/>
          <w:marBottom w:val="0"/>
          <w:divBdr>
            <w:top w:val="none" w:sz="0" w:space="0" w:color="auto"/>
            <w:left w:val="none" w:sz="0" w:space="0" w:color="auto"/>
            <w:bottom w:val="none" w:sz="0" w:space="0" w:color="auto"/>
            <w:right w:val="none" w:sz="0" w:space="0" w:color="auto"/>
          </w:divBdr>
        </w:div>
        <w:div w:id="991518010">
          <w:marLeft w:val="0"/>
          <w:marRight w:val="0"/>
          <w:marTop w:val="0"/>
          <w:marBottom w:val="0"/>
          <w:divBdr>
            <w:top w:val="none" w:sz="0" w:space="0" w:color="auto"/>
            <w:left w:val="none" w:sz="0" w:space="0" w:color="auto"/>
            <w:bottom w:val="none" w:sz="0" w:space="0" w:color="auto"/>
            <w:right w:val="none" w:sz="0" w:space="0" w:color="auto"/>
          </w:divBdr>
        </w:div>
        <w:div w:id="594018994">
          <w:marLeft w:val="0"/>
          <w:marRight w:val="0"/>
          <w:marTop w:val="0"/>
          <w:marBottom w:val="0"/>
          <w:divBdr>
            <w:top w:val="none" w:sz="0" w:space="0" w:color="auto"/>
            <w:left w:val="none" w:sz="0" w:space="0" w:color="auto"/>
            <w:bottom w:val="none" w:sz="0" w:space="0" w:color="auto"/>
            <w:right w:val="none" w:sz="0" w:space="0" w:color="auto"/>
          </w:divBdr>
        </w:div>
        <w:div w:id="1735005124">
          <w:marLeft w:val="0"/>
          <w:marRight w:val="0"/>
          <w:marTop w:val="0"/>
          <w:marBottom w:val="0"/>
          <w:divBdr>
            <w:top w:val="none" w:sz="0" w:space="0" w:color="auto"/>
            <w:left w:val="none" w:sz="0" w:space="0" w:color="auto"/>
            <w:bottom w:val="none" w:sz="0" w:space="0" w:color="auto"/>
            <w:right w:val="none" w:sz="0" w:space="0" w:color="auto"/>
          </w:divBdr>
        </w:div>
        <w:div w:id="1258637471">
          <w:marLeft w:val="0"/>
          <w:marRight w:val="0"/>
          <w:marTop w:val="0"/>
          <w:marBottom w:val="0"/>
          <w:divBdr>
            <w:top w:val="none" w:sz="0" w:space="0" w:color="auto"/>
            <w:left w:val="none" w:sz="0" w:space="0" w:color="auto"/>
            <w:bottom w:val="none" w:sz="0" w:space="0" w:color="auto"/>
            <w:right w:val="none" w:sz="0" w:space="0" w:color="auto"/>
          </w:divBdr>
        </w:div>
        <w:div w:id="302084709">
          <w:marLeft w:val="0"/>
          <w:marRight w:val="0"/>
          <w:marTop w:val="0"/>
          <w:marBottom w:val="0"/>
          <w:divBdr>
            <w:top w:val="none" w:sz="0" w:space="0" w:color="auto"/>
            <w:left w:val="none" w:sz="0" w:space="0" w:color="auto"/>
            <w:bottom w:val="none" w:sz="0" w:space="0" w:color="auto"/>
            <w:right w:val="none" w:sz="0" w:space="0" w:color="auto"/>
          </w:divBdr>
        </w:div>
        <w:div w:id="865827074">
          <w:marLeft w:val="0"/>
          <w:marRight w:val="0"/>
          <w:marTop w:val="0"/>
          <w:marBottom w:val="0"/>
          <w:divBdr>
            <w:top w:val="none" w:sz="0" w:space="0" w:color="auto"/>
            <w:left w:val="none" w:sz="0" w:space="0" w:color="auto"/>
            <w:bottom w:val="none" w:sz="0" w:space="0" w:color="auto"/>
            <w:right w:val="none" w:sz="0" w:space="0" w:color="auto"/>
          </w:divBdr>
        </w:div>
        <w:div w:id="1541358399">
          <w:marLeft w:val="0"/>
          <w:marRight w:val="0"/>
          <w:marTop w:val="0"/>
          <w:marBottom w:val="0"/>
          <w:divBdr>
            <w:top w:val="none" w:sz="0" w:space="0" w:color="auto"/>
            <w:left w:val="none" w:sz="0" w:space="0" w:color="auto"/>
            <w:bottom w:val="none" w:sz="0" w:space="0" w:color="auto"/>
            <w:right w:val="none" w:sz="0" w:space="0" w:color="auto"/>
          </w:divBdr>
        </w:div>
        <w:div w:id="1396975490">
          <w:marLeft w:val="0"/>
          <w:marRight w:val="0"/>
          <w:marTop w:val="0"/>
          <w:marBottom w:val="0"/>
          <w:divBdr>
            <w:top w:val="none" w:sz="0" w:space="0" w:color="auto"/>
            <w:left w:val="none" w:sz="0" w:space="0" w:color="auto"/>
            <w:bottom w:val="none" w:sz="0" w:space="0" w:color="auto"/>
            <w:right w:val="none" w:sz="0" w:space="0" w:color="auto"/>
          </w:divBdr>
        </w:div>
        <w:div w:id="1132213505">
          <w:marLeft w:val="0"/>
          <w:marRight w:val="0"/>
          <w:marTop w:val="0"/>
          <w:marBottom w:val="0"/>
          <w:divBdr>
            <w:top w:val="none" w:sz="0" w:space="0" w:color="auto"/>
            <w:left w:val="none" w:sz="0" w:space="0" w:color="auto"/>
            <w:bottom w:val="none" w:sz="0" w:space="0" w:color="auto"/>
            <w:right w:val="none" w:sz="0" w:space="0" w:color="auto"/>
          </w:divBdr>
        </w:div>
        <w:div w:id="191842373">
          <w:marLeft w:val="0"/>
          <w:marRight w:val="0"/>
          <w:marTop w:val="0"/>
          <w:marBottom w:val="0"/>
          <w:divBdr>
            <w:top w:val="none" w:sz="0" w:space="0" w:color="auto"/>
            <w:left w:val="none" w:sz="0" w:space="0" w:color="auto"/>
            <w:bottom w:val="none" w:sz="0" w:space="0" w:color="auto"/>
            <w:right w:val="none" w:sz="0" w:space="0" w:color="auto"/>
          </w:divBdr>
        </w:div>
        <w:div w:id="682365414">
          <w:marLeft w:val="0"/>
          <w:marRight w:val="0"/>
          <w:marTop w:val="0"/>
          <w:marBottom w:val="0"/>
          <w:divBdr>
            <w:top w:val="none" w:sz="0" w:space="0" w:color="auto"/>
            <w:left w:val="none" w:sz="0" w:space="0" w:color="auto"/>
            <w:bottom w:val="none" w:sz="0" w:space="0" w:color="auto"/>
            <w:right w:val="none" w:sz="0" w:space="0" w:color="auto"/>
          </w:divBdr>
        </w:div>
        <w:div w:id="1140001449">
          <w:marLeft w:val="0"/>
          <w:marRight w:val="0"/>
          <w:marTop w:val="0"/>
          <w:marBottom w:val="0"/>
          <w:divBdr>
            <w:top w:val="none" w:sz="0" w:space="0" w:color="auto"/>
            <w:left w:val="none" w:sz="0" w:space="0" w:color="auto"/>
            <w:bottom w:val="none" w:sz="0" w:space="0" w:color="auto"/>
            <w:right w:val="none" w:sz="0" w:space="0" w:color="auto"/>
          </w:divBdr>
        </w:div>
        <w:div w:id="2002846751">
          <w:marLeft w:val="0"/>
          <w:marRight w:val="0"/>
          <w:marTop w:val="0"/>
          <w:marBottom w:val="0"/>
          <w:divBdr>
            <w:top w:val="none" w:sz="0" w:space="0" w:color="auto"/>
            <w:left w:val="none" w:sz="0" w:space="0" w:color="auto"/>
            <w:bottom w:val="none" w:sz="0" w:space="0" w:color="auto"/>
            <w:right w:val="none" w:sz="0" w:space="0" w:color="auto"/>
          </w:divBdr>
        </w:div>
        <w:div w:id="583344305">
          <w:marLeft w:val="0"/>
          <w:marRight w:val="0"/>
          <w:marTop w:val="0"/>
          <w:marBottom w:val="0"/>
          <w:divBdr>
            <w:top w:val="none" w:sz="0" w:space="0" w:color="auto"/>
            <w:left w:val="none" w:sz="0" w:space="0" w:color="auto"/>
            <w:bottom w:val="none" w:sz="0" w:space="0" w:color="auto"/>
            <w:right w:val="none" w:sz="0" w:space="0" w:color="auto"/>
          </w:divBdr>
        </w:div>
        <w:div w:id="996568853">
          <w:marLeft w:val="0"/>
          <w:marRight w:val="0"/>
          <w:marTop w:val="0"/>
          <w:marBottom w:val="0"/>
          <w:divBdr>
            <w:top w:val="none" w:sz="0" w:space="0" w:color="auto"/>
            <w:left w:val="none" w:sz="0" w:space="0" w:color="auto"/>
            <w:bottom w:val="none" w:sz="0" w:space="0" w:color="auto"/>
            <w:right w:val="none" w:sz="0" w:space="0" w:color="auto"/>
          </w:divBdr>
        </w:div>
        <w:div w:id="343676312">
          <w:marLeft w:val="0"/>
          <w:marRight w:val="0"/>
          <w:marTop w:val="0"/>
          <w:marBottom w:val="0"/>
          <w:divBdr>
            <w:top w:val="none" w:sz="0" w:space="0" w:color="auto"/>
            <w:left w:val="none" w:sz="0" w:space="0" w:color="auto"/>
            <w:bottom w:val="none" w:sz="0" w:space="0" w:color="auto"/>
            <w:right w:val="none" w:sz="0" w:space="0" w:color="auto"/>
          </w:divBdr>
        </w:div>
        <w:div w:id="1913391642">
          <w:marLeft w:val="0"/>
          <w:marRight w:val="0"/>
          <w:marTop w:val="0"/>
          <w:marBottom w:val="0"/>
          <w:divBdr>
            <w:top w:val="none" w:sz="0" w:space="0" w:color="auto"/>
            <w:left w:val="none" w:sz="0" w:space="0" w:color="auto"/>
            <w:bottom w:val="none" w:sz="0" w:space="0" w:color="auto"/>
            <w:right w:val="none" w:sz="0" w:space="0" w:color="auto"/>
          </w:divBdr>
        </w:div>
        <w:div w:id="7369">
          <w:marLeft w:val="0"/>
          <w:marRight w:val="0"/>
          <w:marTop w:val="0"/>
          <w:marBottom w:val="0"/>
          <w:divBdr>
            <w:top w:val="none" w:sz="0" w:space="0" w:color="auto"/>
            <w:left w:val="none" w:sz="0" w:space="0" w:color="auto"/>
            <w:bottom w:val="none" w:sz="0" w:space="0" w:color="auto"/>
            <w:right w:val="none" w:sz="0" w:space="0" w:color="auto"/>
          </w:divBdr>
        </w:div>
        <w:div w:id="1422488749">
          <w:marLeft w:val="0"/>
          <w:marRight w:val="0"/>
          <w:marTop w:val="0"/>
          <w:marBottom w:val="0"/>
          <w:divBdr>
            <w:top w:val="none" w:sz="0" w:space="0" w:color="auto"/>
            <w:left w:val="none" w:sz="0" w:space="0" w:color="auto"/>
            <w:bottom w:val="none" w:sz="0" w:space="0" w:color="auto"/>
            <w:right w:val="none" w:sz="0" w:space="0" w:color="auto"/>
          </w:divBdr>
        </w:div>
        <w:div w:id="890457438">
          <w:marLeft w:val="0"/>
          <w:marRight w:val="0"/>
          <w:marTop w:val="0"/>
          <w:marBottom w:val="0"/>
          <w:divBdr>
            <w:top w:val="none" w:sz="0" w:space="0" w:color="auto"/>
            <w:left w:val="none" w:sz="0" w:space="0" w:color="auto"/>
            <w:bottom w:val="none" w:sz="0" w:space="0" w:color="auto"/>
            <w:right w:val="none" w:sz="0" w:space="0" w:color="auto"/>
          </w:divBdr>
        </w:div>
        <w:div w:id="966473818">
          <w:marLeft w:val="0"/>
          <w:marRight w:val="0"/>
          <w:marTop w:val="0"/>
          <w:marBottom w:val="0"/>
          <w:divBdr>
            <w:top w:val="none" w:sz="0" w:space="0" w:color="auto"/>
            <w:left w:val="none" w:sz="0" w:space="0" w:color="auto"/>
            <w:bottom w:val="none" w:sz="0" w:space="0" w:color="auto"/>
            <w:right w:val="none" w:sz="0" w:space="0" w:color="auto"/>
          </w:divBdr>
        </w:div>
        <w:div w:id="1612930576">
          <w:marLeft w:val="0"/>
          <w:marRight w:val="0"/>
          <w:marTop w:val="0"/>
          <w:marBottom w:val="0"/>
          <w:divBdr>
            <w:top w:val="none" w:sz="0" w:space="0" w:color="auto"/>
            <w:left w:val="none" w:sz="0" w:space="0" w:color="auto"/>
            <w:bottom w:val="none" w:sz="0" w:space="0" w:color="auto"/>
            <w:right w:val="none" w:sz="0" w:space="0" w:color="auto"/>
          </w:divBdr>
        </w:div>
        <w:div w:id="769200104">
          <w:marLeft w:val="0"/>
          <w:marRight w:val="0"/>
          <w:marTop w:val="0"/>
          <w:marBottom w:val="0"/>
          <w:divBdr>
            <w:top w:val="none" w:sz="0" w:space="0" w:color="auto"/>
            <w:left w:val="none" w:sz="0" w:space="0" w:color="auto"/>
            <w:bottom w:val="none" w:sz="0" w:space="0" w:color="auto"/>
            <w:right w:val="none" w:sz="0" w:space="0" w:color="auto"/>
          </w:divBdr>
        </w:div>
        <w:div w:id="977414937">
          <w:marLeft w:val="0"/>
          <w:marRight w:val="0"/>
          <w:marTop w:val="0"/>
          <w:marBottom w:val="0"/>
          <w:divBdr>
            <w:top w:val="none" w:sz="0" w:space="0" w:color="auto"/>
            <w:left w:val="none" w:sz="0" w:space="0" w:color="auto"/>
            <w:bottom w:val="none" w:sz="0" w:space="0" w:color="auto"/>
            <w:right w:val="none" w:sz="0" w:space="0" w:color="auto"/>
          </w:divBdr>
        </w:div>
        <w:div w:id="1629432177">
          <w:marLeft w:val="0"/>
          <w:marRight w:val="0"/>
          <w:marTop w:val="0"/>
          <w:marBottom w:val="0"/>
          <w:divBdr>
            <w:top w:val="none" w:sz="0" w:space="0" w:color="auto"/>
            <w:left w:val="none" w:sz="0" w:space="0" w:color="auto"/>
            <w:bottom w:val="none" w:sz="0" w:space="0" w:color="auto"/>
            <w:right w:val="none" w:sz="0" w:space="0" w:color="auto"/>
          </w:divBdr>
        </w:div>
        <w:div w:id="1668092072">
          <w:marLeft w:val="0"/>
          <w:marRight w:val="0"/>
          <w:marTop w:val="0"/>
          <w:marBottom w:val="0"/>
          <w:divBdr>
            <w:top w:val="none" w:sz="0" w:space="0" w:color="auto"/>
            <w:left w:val="none" w:sz="0" w:space="0" w:color="auto"/>
            <w:bottom w:val="none" w:sz="0" w:space="0" w:color="auto"/>
            <w:right w:val="none" w:sz="0" w:space="0" w:color="auto"/>
          </w:divBdr>
        </w:div>
        <w:div w:id="335112080">
          <w:marLeft w:val="0"/>
          <w:marRight w:val="0"/>
          <w:marTop w:val="0"/>
          <w:marBottom w:val="0"/>
          <w:divBdr>
            <w:top w:val="none" w:sz="0" w:space="0" w:color="auto"/>
            <w:left w:val="none" w:sz="0" w:space="0" w:color="auto"/>
            <w:bottom w:val="none" w:sz="0" w:space="0" w:color="auto"/>
            <w:right w:val="none" w:sz="0" w:space="0" w:color="auto"/>
          </w:divBdr>
        </w:div>
        <w:div w:id="627397931">
          <w:marLeft w:val="0"/>
          <w:marRight w:val="0"/>
          <w:marTop w:val="0"/>
          <w:marBottom w:val="0"/>
          <w:divBdr>
            <w:top w:val="none" w:sz="0" w:space="0" w:color="auto"/>
            <w:left w:val="none" w:sz="0" w:space="0" w:color="auto"/>
            <w:bottom w:val="none" w:sz="0" w:space="0" w:color="auto"/>
            <w:right w:val="none" w:sz="0" w:space="0" w:color="auto"/>
          </w:divBdr>
        </w:div>
        <w:div w:id="2031907198">
          <w:marLeft w:val="0"/>
          <w:marRight w:val="0"/>
          <w:marTop w:val="0"/>
          <w:marBottom w:val="0"/>
          <w:divBdr>
            <w:top w:val="none" w:sz="0" w:space="0" w:color="auto"/>
            <w:left w:val="none" w:sz="0" w:space="0" w:color="auto"/>
            <w:bottom w:val="none" w:sz="0" w:space="0" w:color="auto"/>
            <w:right w:val="none" w:sz="0" w:space="0" w:color="auto"/>
          </w:divBdr>
        </w:div>
        <w:div w:id="259337524">
          <w:marLeft w:val="0"/>
          <w:marRight w:val="0"/>
          <w:marTop w:val="0"/>
          <w:marBottom w:val="0"/>
          <w:divBdr>
            <w:top w:val="none" w:sz="0" w:space="0" w:color="auto"/>
            <w:left w:val="none" w:sz="0" w:space="0" w:color="auto"/>
            <w:bottom w:val="none" w:sz="0" w:space="0" w:color="auto"/>
            <w:right w:val="none" w:sz="0" w:space="0" w:color="auto"/>
          </w:divBdr>
        </w:div>
        <w:div w:id="868646818">
          <w:marLeft w:val="0"/>
          <w:marRight w:val="0"/>
          <w:marTop w:val="0"/>
          <w:marBottom w:val="0"/>
          <w:divBdr>
            <w:top w:val="none" w:sz="0" w:space="0" w:color="auto"/>
            <w:left w:val="none" w:sz="0" w:space="0" w:color="auto"/>
            <w:bottom w:val="none" w:sz="0" w:space="0" w:color="auto"/>
            <w:right w:val="none" w:sz="0" w:space="0" w:color="auto"/>
          </w:divBdr>
        </w:div>
        <w:div w:id="162400068">
          <w:marLeft w:val="0"/>
          <w:marRight w:val="0"/>
          <w:marTop w:val="0"/>
          <w:marBottom w:val="0"/>
          <w:divBdr>
            <w:top w:val="none" w:sz="0" w:space="0" w:color="auto"/>
            <w:left w:val="none" w:sz="0" w:space="0" w:color="auto"/>
            <w:bottom w:val="none" w:sz="0" w:space="0" w:color="auto"/>
            <w:right w:val="none" w:sz="0" w:space="0" w:color="auto"/>
          </w:divBdr>
        </w:div>
        <w:div w:id="1259562353">
          <w:marLeft w:val="0"/>
          <w:marRight w:val="0"/>
          <w:marTop w:val="0"/>
          <w:marBottom w:val="0"/>
          <w:divBdr>
            <w:top w:val="none" w:sz="0" w:space="0" w:color="auto"/>
            <w:left w:val="none" w:sz="0" w:space="0" w:color="auto"/>
            <w:bottom w:val="none" w:sz="0" w:space="0" w:color="auto"/>
            <w:right w:val="none" w:sz="0" w:space="0" w:color="auto"/>
          </w:divBdr>
        </w:div>
        <w:div w:id="1437090589">
          <w:marLeft w:val="0"/>
          <w:marRight w:val="0"/>
          <w:marTop w:val="0"/>
          <w:marBottom w:val="0"/>
          <w:divBdr>
            <w:top w:val="none" w:sz="0" w:space="0" w:color="auto"/>
            <w:left w:val="none" w:sz="0" w:space="0" w:color="auto"/>
            <w:bottom w:val="none" w:sz="0" w:space="0" w:color="auto"/>
            <w:right w:val="none" w:sz="0" w:space="0" w:color="auto"/>
          </w:divBdr>
        </w:div>
        <w:div w:id="1573391199">
          <w:marLeft w:val="0"/>
          <w:marRight w:val="0"/>
          <w:marTop w:val="0"/>
          <w:marBottom w:val="0"/>
          <w:divBdr>
            <w:top w:val="none" w:sz="0" w:space="0" w:color="auto"/>
            <w:left w:val="none" w:sz="0" w:space="0" w:color="auto"/>
            <w:bottom w:val="none" w:sz="0" w:space="0" w:color="auto"/>
            <w:right w:val="none" w:sz="0" w:space="0" w:color="auto"/>
          </w:divBdr>
        </w:div>
        <w:div w:id="871455156">
          <w:marLeft w:val="0"/>
          <w:marRight w:val="0"/>
          <w:marTop w:val="0"/>
          <w:marBottom w:val="0"/>
          <w:divBdr>
            <w:top w:val="none" w:sz="0" w:space="0" w:color="auto"/>
            <w:left w:val="none" w:sz="0" w:space="0" w:color="auto"/>
            <w:bottom w:val="none" w:sz="0" w:space="0" w:color="auto"/>
            <w:right w:val="none" w:sz="0" w:space="0" w:color="auto"/>
          </w:divBdr>
        </w:div>
        <w:div w:id="1646734706">
          <w:marLeft w:val="0"/>
          <w:marRight w:val="0"/>
          <w:marTop w:val="0"/>
          <w:marBottom w:val="0"/>
          <w:divBdr>
            <w:top w:val="none" w:sz="0" w:space="0" w:color="auto"/>
            <w:left w:val="none" w:sz="0" w:space="0" w:color="auto"/>
            <w:bottom w:val="none" w:sz="0" w:space="0" w:color="auto"/>
            <w:right w:val="none" w:sz="0" w:space="0" w:color="auto"/>
          </w:divBdr>
        </w:div>
        <w:div w:id="1981381666">
          <w:marLeft w:val="0"/>
          <w:marRight w:val="0"/>
          <w:marTop w:val="0"/>
          <w:marBottom w:val="0"/>
          <w:divBdr>
            <w:top w:val="none" w:sz="0" w:space="0" w:color="auto"/>
            <w:left w:val="none" w:sz="0" w:space="0" w:color="auto"/>
            <w:bottom w:val="none" w:sz="0" w:space="0" w:color="auto"/>
            <w:right w:val="none" w:sz="0" w:space="0" w:color="auto"/>
          </w:divBdr>
        </w:div>
        <w:div w:id="1329600040">
          <w:marLeft w:val="0"/>
          <w:marRight w:val="0"/>
          <w:marTop w:val="0"/>
          <w:marBottom w:val="0"/>
          <w:divBdr>
            <w:top w:val="none" w:sz="0" w:space="0" w:color="auto"/>
            <w:left w:val="none" w:sz="0" w:space="0" w:color="auto"/>
            <w:bottom w:val="none" w:sz="0" w:space="0" w:color="auto"/>
            <w:right w:val="none" w:sz="0" w:space="0" w:color="auto"/>
          </w:divBdr>
        </w:div>
        <w:div w:id="429130793">
          <w:marLeft w:val="0"/>
          <w:marRight w:val="0"/>
          <w:marTop w:val="0"/>
          <w:marBottom w:val="0"/>
          <w:divBdr>
            <w:top w:val="none" w:sz="0" w:space="0" w:color="auto"/>
            <w:left w:val="none" w:sz="0" w:space="0" w:color="auto"/>
            <w:bottom w:val="none" w:sz="0" w:space="0" w:color="auto"/>
            <w:right w:val="none" w:sz="0" w:space="0" w:color="auto"/>
          </w:divBdr>
        </w:div>
        <w:div w:id="890262231">
          <w:marLeft w:val="0"/>
          <w:marRight w:val="0"/>
          <w:marTop w:val="0"/>
          <w:marBottom w:val="0"/>
          <w:divBdr>
            <w:top w:val="none" w:sz="0" w:space="0" w:color="auto"/>
            <w:left w:val="none" w:sz="0" w:space="0" w:color="auto"/>
            <w:bottom w:val="none" w:sz="0" w:space="0" w:color="auto"/>
            <w:right w:val="none" w:sz="0" w:space="0" w:color="auto"/>
          </w:divBdr>
        </w:div>
        <w:div w:id="546717797">
          <w:marLeft w:val="0"/>
          <w:marRight w:val="0"/>
          <w:marTop w:val="0"/>
          <w:marBottom w:val="0"/>
          <w:divBdr>
            <w:top w:val="none" w:sz="0" w:space="0" w:color="auto"/>
            <w:left w:val="none" w:sz="0" w:space="0" w:color="auto"/>
            <w:bottom w:val="none" w:sz="0" w:space="0" w:color="auto"/>
            <w:right w:val="none" w:sz="0" w:space="0" w:color="auto"/>
          </w:divBdr>
        </w:div>
        <w:div w:id="171729065">
          <w:marLeft w:val="0"/>
          <w:marRight w:val="0"/>
          <w:marTop w:val="0"/>
          <w:marBottom w:val="0"/>
          <w:divBdr>
            <w:top w:val="none" w:sz="0" w:space="0" w:color="auto"/>
            <w:left w:val="none" w:sz="0" w:space="0" w:color="auto"/>
            <w:bottom w:val="none" w:sz="0" w:space="0" w:color="auto"/>
            <w:right w:val="none" w:sz="0" w:space="0" w:color="auto"/>
          </w:divBdr>
        </w:div>
        <w:div w:id="1672296785">
          <w:marLeft w:val="0"/>
          <w:marRight w:val="0"/>
          <w:marTop w:val="0"/>
          <w:marBottom w:val="0"/>
          <w:divBdr>
            <w:top w:val="none" w:sz="0" w:space="0" w:color="auto"/>
            <w:left w:val="none" w:sz="0" w:space="0" w:color="auto"/>
            <w:bottom w:val="none" w:sz="0" w:space="0" w:color="auto"/>
            <w:right w:val="none" w:sz="0" w:space="0" w:color="auto"/>
          </w:divBdr>
        </w:div>
        <w:div w:id="2146501524">
          <w:marLeft w:val="0"/>
          <w:marRight w:val="0"/>
          <w:marTop w:val="0"/>
          <w:marBottom w:val="0"/>
          <w:divBdr>
            <w:top w:val="none" w:sz="0" w:space="0" w:color="auto"/>
            <w:left w:val="none" w:sz="0" w:space="0" w:color="auto"/>
            <w:bottom w:val="none" w:sz="0" w:space="0" w:color="auto"/>
            <w:right w:val="none" w:sz="0" w:space="0" w:color="auto"/>
          </w:divBdr>
        </w:div>
        <w:div w:id="988561896">
          <w:marLeft w:val="0"/>
          <w:marRight w:val="0"/>
          <w:marTop w:val="0"/>
          <w:marBottom w:val="0"/>
          <w:divBdr>
            <w:top w:val="none" w:sz="0" w:space="0" w:color="auto"/>
            <w:left w:val="none" w:sz="0" w:space="0" w:color="auto"/>
            <w:bottom w:val="none" w:sz="0" w:space="0" w:color="auto"/>
            <w:right w:val="none" w:sz="0" w:space="0" w:color="auto"/>
          </w:divBdr>
        </w:div>
        <w:div w:id="1866215723">
          <w:marLeft w:val="0"/>
          <w:marRight w:val="0"/>
          <w:marTop w:val="0"/>
          <w:marBottom w:val="0"/>
          <w:divBdr>
            <w:top w:val="none" w:sz="0" w:space="0" w:color="auto"/>
            <w:left w:val="none" w:sz="0" w:space="0" w:color="auto"/>
            <w:bottom w:val="none" w:sz="0" w:space="0" w:color="auto"/>
            <w:right w:val="none" w:sz="0" w:space="0" w:color="auto"/>
          </w:divBdr>
        </w:div>
        <w:div w:id="1508517386">
          <w:marLeft w:val="0"/>
          <w:marRight w:val="0"/>
          <w:marTop w:val="0"/>
          <w:marBottom w:val="0"/>
          <w:divBdr>
            <w:top w:val="none" w:sz="0" w:space="0" w:color="auto"/>
            <w:left w:val="none" w:sz="0" w:space="0" w:color="auto"/>
            <w:bottom w:val="none" w:sz="0" w:space="0" w:color="auto"/>
            <w:right w:val="none" w:sz="0" w:space="0" w:color="auto"/>
          </w:divBdr>
        </w:div>
        <w:div w:id="1715929234">
          <w:marLeft w:val="0"/>
          <w:marRight w:val="0"/>
          <w:marTop w:val="0"/>
          <w:marBottom w:val="0"/>
          <w:divBdr>
            <w:top w:val="none" w:sz="0" w:space="0" w:color="auto"/>
            <w:left w:val="none" w:sz="0" w:space="0" w:color="auto"/>
            <w:bottom w:val="none" w:sz="0" w:space="0" w:color="auto"/>
            <w:right w:val="none" w:sz="0" w:space="0" w:color="auto"/>
          </w:divBdr>
        </w:div>
        <w:div w:id="1598370965">
          <w:marLeft w:val="0"/>
          <w:marRight w:val="0"/>
          <w:marTop w:val="0"/>
          <w:marBottom w:val="0"/>
          <w:divBdr>
            <w:top w:val="none" w:sz="0" w:space="0" w:color="auto"/>
            <w:left w:val="none" w:sz="0" w:space="0" w:color="auto"/>
            <w:bottom w:val="none" w:sz="0" w:space="0" w:color="auto"/>
            <w:right w:val="none" w:sz="0" w:space="0" w:color="auto"/>
          </w:divBdr>
        </w:div>
      </w:divsChild>
    </w:div>
    <w:div w:id="1200048345">
      <w:bodyDiv w:val="1"/>
      <w:marLeft w:val="0"/>
      <w:marRight w:val="0"/>
      <w:marTop w:val="0"/>
      <w:marBottom w:val="0"/>
      <w:divBdr>
        <w:top w:val="none" w:sz="0" w:space="0" w:color="auto"/>
        <w:left w:val="none" w:sz="0" w:space="0" w:color="auto"/>
        <w:bottom w:val="none" w:sz="0" w:space="0" w:color="auto"/>
        <w:right w:val="none" w:sz="0" w:space="0" w:color="auto"/>
      </w:divBdr>
      <w:divsChild>
        <w:div w:id="1083795074">
          <w:marLeft w:val="0"/>
          <w:marRight w:val="0"/>
          <w:marTop w:val="0"/>
          <w:marBottom w:val="0"/>
          <w:divBdr>
            <w:top w:val="none" w:sz="0" w:space="0" w:color="auto"/>
            <w:left w:val="none" w:sz="0" w:space="0" w:color="auto"/>
            <w:bottom w:val="none" w:sz="0" w:space="0" w:color="auto"/>
            <w:right w:val="none" w:sz="0" w:space="0" w:color="auto"/>
          </w:divBdr>
        </w:div>
        <w:div w:id="989362895">
          <w:marLeft w:val="0"/>
          <w:marRight w:val="0"/>
          <w:marTop w:val="0"/>
          <w:marBottom w:val="0"/>
          <w:divBdr>
            <w:top w:val="none" w:sz="0" w:space="0" w:color="auto"/>
            <w:left w:val="none" w:sz="0" w:space="0" w:color="auto"/>
            <w:bottom w:val="none" w:sz="0" w:space="0" w:color="auto"/>
            <w:right w:val="none" w:sz="0" w:space="0" w:color="auto"/>
          </w:divBdr>
        </w:div>
        <w:div w:id="1965965264">
          <w:marLeft w:val="0"/>
          <w:marRight w:val="0"/>
          <w:marTop w:val="0"/>
          <w:marBottom w:val="0"/>
          <w:divBdr>
            <w:top w:val="none" w:sz="0" w:space="0" w:color="auto"/>
            <w:left w:val="none" w:sz="0" w:space="0" w:color="auto"/>
            <w:bottom w:val="none" w:sz="0" w:space="0" w:color="auto"/>
            <w:right w:val="none" w:sz="0" w:space="0" w:color="auto"/>
          </w:divBdr>
        </w:div>
        <w:div w:id="958948991">
          <w:marLeft w:val="0"/>
          <w:marRight w:val="0"/>
          <w:marTop w:val="0"/>
          <w:marBottom w:val="0"/>
          <w:divBdr>
            <w:top w:val="none" w:sz="0" w:space="0" w:color="auto"/>
            <w:left w:val="none" w:sz="0" w:space="0" w:color="auto"/>
            <w:bottom w:val="none" w:sz="0" w:space="0" w:color="auto"/>
            <w:right w:val="none" w:sz="0" w:space="0" w:color="auto"/>
          </w:divBdr>
        </w:div>
        <w:div w:id="1019309318">
          <w:marLeft w:val="0"/>
          <w:marRight w:val="0"/>
          <w:marTop w:val="0"/>
          <w:marBottom w:val="0"/>
          <w:divBdr>
            <w:top w:val="none" w:sz="0" w:space="0" w:color="auto"/>
            <w:left w:val="none" w:sz="0" w:space="0" w:color="auto"/>
            <w:bottom w:val="none" w:sz="0" w:space="0" w:color="auto"/>
            <w:right w:val="none" w:sz="0" w:space="0" w:color="auto"/>
          </w:divBdr>
        </w:div>
        <w:div w:id="457644887">
          <w:marLeft w:val="0"/>
          <w:marRight w:val="0"/>
          <w:marTop w:val="0"/>
          <w:marBottom w:val="0"/>
          <w:divBdr>
            <w:top w:val="none" w:sz="0" w:space="0" w:color="auto"/>
            <w:left w:val="none" w:sz="0" w:space="0" w:color="auto"/>
            <w:bottom w:val="none" w:sz="0" w:space="0" w:color="auto"/>
            <w:right w:val="none" w:sz="0" w:space="0" w:color="auto"/>
          </w:divBdr>
        </w:div>
        <w:div w:id="1579510248">
          <w:marLeft w:val="0"/>
          <w:marRight w:val="0"/>
          <w:marTop w:val="0"/>
          <w:marBottom w:val="0"/>
          <w:divBdr>
            <w:top w:val="none" w:sz="0" w:space="0" w:color="auto"/>
            <w:left w:val="none" w:sz="0" w:space="0" w:color="auto"/>
            <w:bottom w:val="none" w:sz="0" w:space="0" w:color="auto"/>
            <w:right w:val="none" w:sz="0" w:space="0" w:color="auto"/>
          </w:divBdr>
        </w:div>
        <w:div w:id="375618239">
          <w:marLeft w:val="0"/>
          <w:marRight w:val="0"/>
          <w:marTop w:val="0"/>
          <w:marBottom w:val="0"/>
          <w:divBdr>
            <w:top w:val="none" w:sz="0" w:space="0" w:color="auto"/>
            <w:left w:val="none" w:sz="0" w:space="0" w:color="auto"/>
            <w:bottom w:val="none" w:sz="0" w:space="0" w:color="auto"/>
            <w:right w:val="none" w:sz="0" w:space="0" w:color="auto"/>
          </w:divBdr>
        </w:div>
        <w:div w:id="472333229">
          <w:marLeft w:val="0"/>
          <w:marRight w:val="0"/>
          <w:marTop w:val="0"/>
          <w:marBottom w:val="0"/>
          <w:divBdr>
            <w:top w:val="none" w:sz="0" w:space="0" w:color="auto"/>
            <w:left w:val="none" w:sz="0" w:space="0" w:color="auto"/>
            <w:bottom w:val="none" w:sz="0" w:space="0" w:color="auto"/>
            <w:right w:val="none" w:sz="0" w:space="0" w:color="auto"/>
          </w:divBdr>
        </w:div>
        <w:div w:id="26804894">
          <w:marLeft w:val="0"/>
          <w:marRight w:val="0"/>
          <w:marTop w:val="0"/>
          <w:marBottom w:val="0"/>
          <w:divBdr>
            <w:top w:val="none" w:sz="0" w:space="0" w:color="auto"/>
            <w:left w:val="none" w:sz="0" w:space="0" w:color="auto"/>
            <w:bottom w:val="none" w:sz="0" w:space="0" w:color="auto"/>
            <w:right w:val="none" w:sz="0" w:space="0" w:color="auto"/>
          </w:divBdr>
        </w:div>
        <w:div w:id="2145191501">
          <w:marLeft w:val="0"/>
          <w:marRight w:val="0"/>
          <w:marTop w:val="0"/>
          <w:marBottom w:val="0"/>
          <w:divBdr>
            <w:top w:val="none" w:sz="0" w:space="0" w:color="auto"/>
            <w:left w:val="none" w:sz="0" w:space="0" w:color="auto"/>
            <w:bottom w:val="none" w:sz="0" w:space="0" w:color="auto"/>
            <w:right w:val="none" w:sz="0" w:space="0" w:color="auto"/>
          </w:divBdr>
        </w:div>
        <w:div w:id="912619709">
          <w:marLeft w:val="0"/>
          <w:marRight w:val="0"/>
          <w:marTop w:val="0"/>
          <w:marBottom w:val="0"/>
          <w:divBdr>
            <w:top w:val="none" w:sz="0" w:space="0" w:color="auto"/>
            <w:left w:val="none" w:sz="0" w:space="0" w:color="auto"/>
            <w:bottom w:val="none" w:sz="0" w:space="0" w:color="auto"/>
            <w:right w:val="none" w:sz="0" w:space="0" w:color="auto"/>
          </w:divBdr>
        </w:div>
        <w:div w:id="499928276">
          <w:marLeft w:val="0"/>
          <w:marRight w:val="0"/>
          <w:marTop w:val="0"/>
          <w:marBottom w:val="0"/>
          <w:divBdr>
            <w:top w:val="none" w:sz="0" w:space="0" w:color="auto"/>
            <w:left w:val="none" w:sz="0" w:space="0" w:color="auto"/>
            <w:bottom w:val="none" w:sz="0" w:space="0" w:color="auto"/>
            <w:right w:val="none" w:sz="0" w:space="0" w:color="auto"/>
          </w:divBdr>
        </w:div>
        <w:div w:id="163208758">
          <w:marLeft w:val="0"/>
          <w:marRight w:val="0"/>
          <w:marTop w:val="0"/>
          <w:marBottom w:val="0"/>
          <w:divBdr>
            <w:top w:val="none" w:sz="0" w:space="0" w:color="auto"/>
            <w:left w:val="none" w:sz="0" w:space="0" w:color="auto"/>
            <w:bottom w:val="none" w:sz="0" w:space="0" w:color="auto"/>
            <w:right w:val="none" w:sz="0" w:space="0" w:color="auto"/>
          </w:divBdr>
        </w:div>
        <w:div w:id="1362706422">
          <w:marLeft w:val="0"/>
          <w:marRight w:val="0"/>
          <w:marTop w:val="0"/>
          <w:marBottom w:val="0"/>
          <w:divBdr>
            <w:top w:val="none" w:sz="0" w:space="0" w:color="auto"/>
            <w:left w:val="none" w:sz="0" w:space="0" w:color="auto"/>
            <w:bottom w:val="none" w:sz="0" w:space="0" w:color="auto"/>
            <w:right w:val="none" w:sz="0" w:space="0" w:color="auto"/>
          </w:divBdr>
        </w:div>
        <w:div w:id="1824076159">
          <w:marLeft w:val="0"/>
          <w:marRight w:val="0"/>
          <w:marTop w:val="0"/>
          <w:marBottom w:val="0"/>
          <w:divBdr>
            <w:top w:val="none" w:sz="0" w:space="0" w:color="auto"/>
            <w:left w:val="none" w:sz="0" w:space="0" w:color="auto"/>
            <w:bottom w:val="none" w:sz="0" w:space="0" w:color="auto"/>
            <w:right w:val="none" w:sz="0" w:space="0" w:color="auto"/>
          </w:divBdr>
        </w:div>
        <w:div w:id="1774785803">
          <w:marLeft w:val="0"/>
          <w:marRight w:val="0"/>
          <w:marTop w:val="0"/>
          <w:marBottom w:val="0"/>
          <w:divBdr>
            <w:top w:val="none" w:sz="0" w:space="0" w:color="auto"/>
            <w:left w:val="none" w:sz="0" w:space="0" w:color="auto"/>
            <w:bottom w:val="none" w:sz="0" w:space="0" w:color="auto"/>
            <w:right w:val="none" w:sz="0" w:space="0" w:color="auto"/>
          </w:divBdr>
        </w:div>
        <w:div w:id="1381635628">
          <w:marLeft w:val="0"/>
          <w:marRight w:val="0"/>
          <w:marTop w:val="0"/>
          <w:marBottom w:val="0"/>
          <w:divBdr>
            <w:top w:val="none" w:sz="0" w:space="0" w:color="auto"/>
            <w:left w:val="none" w:sz="0" w:space="0" w:color="auto"/>
            <w:bottom w:val="none" w:sz="0" w:space="0" w:color="auto"/>
            <w:right w:val="none" w:sz="0" w:space="0" w:color="auto"/>
          </w:divBdr>
        </w:div>
        <w:div w:id="535238114">
          <w:marLeft w:val="0"/>
          <w:marRight w:val="0"/>
          <w:marTop w:val="0"/>
          <w:marBottom w:val="0"/>
          <w:divBdr>
            <w:top w:val="none" w:sz="0" w:space="0" w:color="auto"/>
            <w:left w:val="none" w:sz="0" w:space="0" w:color="auto"/>
            <w:bottom w:val="none" w:sz="0" w:space="0" w:color="auto"/>
            <w:right w:val="none" w:sz="0" w:space="0" w:color="auto"/>
          </w:divBdr>
        </w:div>
        <w:div w:id="221525174">
          <w:marLeft w:val="0"/>
          <w:marRight w:val="0"/>
          <w:marTop w:val="0"/>
          <w:marBottom w:val="0"/>
          <w:divBdr>
            <w:top w:val="none" w:sz="0" w:space="0" w:color="auto"/>
            <w:left w:val="none" w:sz="0" w:space="0" w:color="auto"/>
            <w:bottom w:val="none" w:sz="0" w:space="0" w:color="auto"/>
            <w:right w:val="none" w:sz="0" w:space="0" w:color="auto"/>
          </w:divBdr>
        </w:div>
        <w:div w:id="1197694760">
          <w:marLeft w:val="0"/>
          <w:marRight w:val="0"/>
          <w:marTop w:val="0"/>
          <w:marBottom w:val="0"/>
          <w:divBdr>
            <w:top w:val="none" w:sz="0" w:space="0" w:color="auto"/>
            <w:left w:val="none" w:sz="0" w:space="0" w:color="auto"/>
            <w:bottom w:val="none" w:sz="0" w:space="0" w:color="auto"/>
            <w:right w:val="none" w:sz="0" w:space="0" w:color="auto"/>
          </w:divBdr>
        </w:div>
        <w:div w:id="586690140">
          <w:marLeft w:val="0"/>
          <w:marRight w:val="0"/>
          <w:marTop w:val="0"/>
          <w:marBottom w:val="0"/>
          <w:divBdr>
            <w:top w:val="none" w:sz="0" w:space="0" w:color="auto"/>
            <w:left w:val="none" w:sz="0" w:space="0" w:color="auto"/>
            <w:bottom w:val="none" w:sz="0" w:space="0" w:color="auto"/>
            <w:right w:val="none" w:sz="0" w:space="0" w:color="auto"/>
          </w:divBdr>
        </w:div>
        <w:div w:id="557396824">
          <w:marLeft w:val="0"/>
          <w:marRight w:val="0"/>
          <w:marTop w:val="0"/>
          <w:marBottom w:val="0"/>
          <w:divBdr>
            <w:top w:val="none" w:sz="0" w:space="0" w:color="auto"/>
            <w:left w:val="none" w:sz="0" w:space="0" w:color="auto"/>
            <w:bottom w:val="none" w:sz="0" w:space="0" w:color="auto"/>
            <w:right w:val="none" w:sz="0" w:space="0" w:color="auto"/>
          </w:divBdr>
        </w:div>
        <w:div w:id="1599171141">
          <w:marLeft w:val="0"/>
          <w:marRight w:val="0"/>
          <w:marTop w:val="0"/>
          <w:marBottom w:val="0"/>
          <w:divBdr>
            <w:top w:val="none" w:sz="0" w:space="0" w:color="auto"/>
            <w:left w:val="none" w:sz="0" w:space="0" w:color="auto"/>
            <w:bottom w:val="none" w:sz="0" w:space="0" w:color="auto"/>
            <w:right w:val="none" w:sz="0" w:space="0" w:color="auto"/>
          </w:divBdr>
        </w:div>
        <w:div w:id="2102211737">
          <w:marLeft w:val="0"/>
          <w:marRight w:val="0"/>
          <w:marTop w:val="0"/>
          <w:marBottom w:val="0"/>
          <w:divBdr>
            <w:top w:val="none" w:sz="0" w:space="0" w:color="auto"/>
            <w:left w:val="none" w:sz="0" w:space="0" w:color="auto"/>
            <w:bottom w:val="none" w:sz="0" w:space="0" w:color="auto"/>
            <w:right w:val="none" w:sz="0" w:space="0" w:color="auto"/>
          </w:divBdr>
        </w:div>
        <w:div w:id="1540897281">
          <w:marLeft w:val="0"/>
          <w:marRight w:val="0"/>
          <w:marTop w:val="0"/>
          <w:marBottom w:val="0"/>
          <w:divBdr>
            <w:top w:val="none" w:sz="0" w:space="0" w:color="auto"/>
            <w:left w:val="none" w:sz="0" w:space="0" w:color="auto"/>
            <w:bottom w:val="none" w:sz="0" w:space="0" w:color="auto"/>
            <w:right w:val="none" w:sz="0" w:space="0" w:color="auto"/>
          </w:divBdr>
        </w:div>
        <w:div w:id="1215654679">
          <w:marLeft w:val="0"/>
          <w:marRight w:val="0"/>
          <w:marTop w:val="0"/>
          <w:marBottom w:val="0"/>
          <w:divBdr>
            <w:top w:val="none" w:sz="0" w:space="0" w:color="auto"/>
            <w:left w:val="none" w:sz="0" w:space="0" w:color="auto"/>
            <w:bottom w:val="none" w:sz="0" w:space="0" w:color="auto"/>
            <w:right w:val="none" w:sz="0" w:space="0" w:color="auto"/>
          </w:divBdr>
        </w:div>
        <w:div w:id="2050954197">
          <w:marLeft w:val="0"/>
          <w:marRight w:val="0"/>
          <w:marTop w:val="0"/>
          <w:marBottom w:val="0"/>
          <w:divBdr>
            <w:top w:val="none" w:sz="0" w:space="0" w:color="auto"/>
            <w:left w:val="none" w:sz="0" w:space="0" w:color="auto"/>
            <w:bottom w:val="none" w:sz="0" w:space="0" w:color="auto"/>
            <w:right w:val="none" w:sz="0" w:space="0" w:color="auto"/>
          </w:divBdr>
        </w:div>
        <w:div w:id="1505778151">
          <w:marLeft w:val="0"/>
          <w:marRight w:val="0"/>
          <w:marTop w:val="0"/>
          <w:marBottom w:val="0"/>
          <w:divBdr>
            <w:top w:val="none" w:sz="0" w:space="0" w:color="auto"/>
            <w:left w:val="none" w:sz="0" w:space="0" w:color="auto"/>
            <w:bottom w:val="none" w:sz="0" w:space="0" w:color="auto"/>
            <w:right w:val="none" w:sz="0" w:space="0" w:color="auto"/>
          </w:divBdr>
        </w:div>
        <w:div w:id="268439891">
          <w:marLeft w:val="0"/>
          <w:marRight w:val="0"/>
          <w:marTop w:val="0"/>
          <w:marBottom w:val="0"/>
          <w:divBdr>
            <w:top w:val="none" w:sz="0" w:space="0" w:color="auto"/>
            <w:left w:val="none" w:sz="0" w:space="0" w:color="auto"/>
            <w:bottom w:val="none" w:sz="0" w:space="0" w:color="auto"/>
            <w:right w:val="none" w:sz="0" w:space="0" w:color="auto"/>
          </w:divBdr>
        </w:div>
        <w:div w:id="700517434">
          <w:marLeft w:val="0"/>
          <w:marRight w:val="0"/>
          <w:marTop w:val="0"/>
          <w:marBottom w:val="0"/>
          <w:divBdr>
            <w:top w:val="none" w:sz="0" w:space="0" w:color="auto"/>
            <w:left w:val="none" w:sz="0" w:space="0" w:color="auto"/>
            <w:bottom w:val="none" w:sz="0" w:space="0" w:color="auto"/>
            <w:right w:val="none" w:sz="0" w:space="0" w:color="auto"/>
          </w:divBdr>
        </w:div>
        <w:div w:id="433094297">
          <w:marLeft w:val="0"/>
          <w:marRight w:val="0"/>
          <w:marTop w:val="0"/>
          <w:marBottom w:val="0"/>
          <w:divBdr>
            <w:top w:val="none" w:sz="0" w:space="0" w:color="auto"/>
            <w:left w:val="none" w:sz="0" w:space="0" w:color="auto"/>
            <w:bottom w:val="none" w:sz="0" w:space="0" w:color="auto"/>
            <w:right w:val="none" w:sz="0" w:space="0" w:color="auto"/>
          </w:divBdr>
        </w:div>
        <w:div w:id="1389837120">
          <w:marLeft w:val="0"/>
          <w:marRight w:val="0"/>
          <w:marTop w:val="0"/>
          <w:marBottom w:val="0"/>
          <w:divBdr>
            <w:top w:val="none" w:sz="0" w:space="0" w:color="auto"/>
            <w:left w:val="none" w:sz="0" w:space="0" w:color="auto"/>
            <w:bottom w:val="none" w:sz="0" w:space="0" w:color="auto"/>
            <w:right w:val="none" w:sz="0" w:space="0" w:color="auto"/>
          </w:divBdr>
        </w:div>
        <w:div w:id="470056583">
          <w:marLeft w:val="0"/>
          <w:marRight w:val="0"/>
          <w:marTop w:val="0"/>
          <w:marBottom w:val="0"/>
          <w:divBdr>
            <w:top w:val="none" w:sz="0" w:space="0" w:color="auto"/>
            <w:left w:val="none" w:sz="0" w:space="0" w:color="auto"/>
            <w:bottom w:val="none" w:sz="0" w:space="0" w:color="auto"/>
            <w:right w:val="none" w:sz="0" w:space="0" w:color="auto"/>
          </w:divBdr>
        </w:div>
        <w:div w:id="573440905">
          <w:marLeft w:val="0"/>
          <w:marRight w:val="0"/>
          <w:marTop w:val="0"/>
          <w:marBottom w:val="0"/>
          <w:divBdr>
            <w:top w:val="none" w:sz="0" w:space="0" w:color="auto"/>
            <w:left w:val="none" w:sz="0" w:space="0" w:color="auto"/>
            <w:bottom w:val="none" w:sz="0" w:space="0" w:color="auto"/>
            <w:right w:val="none" w:sz="0" w:space="0" w:color="auto"/>
          </w:divBdr>
        </w:div>
        <w:div w:id="974993324">
          <w:marLeft w:val="0"/>
          <w:marRight w:val="0"/>
          <w:marTop w:val="0"/>
          <w:marBottom w:val="0"/>
          <w:divBdr>
            <w:top w:val="none" w:sz="0" w:space="0" w:color="auto"/>
            <w:left w:val="none" w:sz="0" w:space="0" w:color="auto"/>
            <w:bottom w:val="none" w:sz="0" w:space="0" w:color="auto"/>
            <w:right w:val="none" w:sz="0" w:space="0" w:color="auto"/>
          </w:divBdr>
        </w:div>
        <w:div w:id="1574851212">
          <w:marLeft w:val="0"/>
          <w:marRight w:val="0"/>
          <w:marTop w:val="0"/>
          <w:marBottom w:val="0"/>
          <w:divBdr>
            <w:top w:val="none" w:sz="0" w:space="0" w:color="auto"/>
            <w:left w:val="none" w:sz="0" w:space="0" w:color="auto"/>
            <w:bottom w:val="none" w:sz="0" w:space="0" w:color="auto"/>
            <w:right w:val="none" w:sz="0" w:space="0" w:color="auto"/>
          </w:divBdr>
        </w:div>
        <w:div w:id="1635285061">
          <w:marLeft w:val="0"/>
          <w:marRight w:val="0"/>
          <w:marTop w:val="0"/>
          <w:marBottom w:val="0"/>
          <w:divBdr>
            <w:top w:val="none" w:sz="0" w:space="0" w:color="auto"/>
            <w:left w:val="none" w:sz="0" w:space="0" w:color="auto"/>
            <w:bottom w:val="none" w:sz="0" w:space="0" w:color="auto"/>
            <w:right w:val="none" w:sz="0" w:space="0" w:color="auto"/>
          </w:divBdr>
        </w:div>
        <w:div w:id="760415408">
          <w:marLeft w:val="0"/>
          <w:marRight w:val="0"/>
          <w:marTop w:val="0"/>
          <w:marBottom w:val="0"/>
          <w:divBdr>
            <w:top w:val="none" w:sz="0" w:space="0" w:color="auto"/>
            <w:left w:val="none" w:sz="0" w:space="0" w:color="auto"/>
            <w:bottom w:val="none" w:sz="0" w:space="0" w:color="auto"/>
            <w:right w:val="none" w:sz="0" w:space="0" w:color="auto"/>
          </w:divBdr>
        </w:div>
        <w:div w:id="1302540464">
          <w:marLeft w:val="0"/>
          <w:marRight w:val="0"/>
          <w:marTop w:val="0"/>
          <w:marBottom w:val="0"/>
          <w:divBdr>
            <w:top w:val="none" w:sz="0" w:space="0" w:color="auto"/>
            <w:left w:val="none" w:sz="0" w:space="0" w:color="auto"/>
            <w:bottom w:val="none" w:sz="0" w:space="0" w:color="auto"/>
            <w:right w:val="none" w:sz="0" w:space="0" w:color="auto"/>
          </w:divBdr>
        </w:div>
        <w:div w:id="1892955923">
          <w:marLeft w:val="0"/>
          <w:marRight w:val="0"/>
          <w:marTop w:val="0"/>
          <w:marBottom w:val="0"/>
          <w:divBdr>
            <w:top w:val="none" w:sz="0" w:space="0" w:color="auto"/>
            <w:left w:val="none" w:sz="0" w:space="0" w:color="auto"/>
            <w:bottom w:val="none" w:sz="0" w:space="0" w:color="auto"/>
            <w:right w:val="none" w:sz="0" w:space="0" w:color="auto"/>
          </w:divBdr>
        </w:div>
        <w:div w:id="2099474496">
          <w:marLeft w:val="0"/>
          <w:marRight w:val="0"/>
          <w:marTop w:val="0"/>
          <w:marBottom w:val="0"/>
          <w:divBdr>
            <w:top w:val="none" w:sz="0" w:space="0" w:color="auto"/>
            <w:left w:val="none" w:sz="0" w:space="0" w:color="auto"/>
            <w:bottom w:val="none" w:sz="0" w:space="0" w:color="auto"/>
            <w:right w:val="none" w:sz="0" w:space="0" w:color="auto"/>
          </w:divBdr>
        </w:div>
        <w:div w:id="1634675656">
          <w:marLeft w:val="0"/>
          <w:marRight w:val="0"/>
          <w:marTop w:val="0"/>
          <w:marBottom w:val="0"/>
          <w:divBdr>
            <w:top w:val="none" w:sz="0" w:space="0" w:color="auto"/>
            <w:left w:val="none" w:sz="0" w:space="0" w:color="auto"/>
            <w:bottom w:val="none" w:sz="0" w:space="0" w:color="auto"/>
            <w:right w:val="none" w:sz="0" w:space="0" w:color="auto"/>
          </w:divBdr>
        </w:div>
        <w:div w:id="568418879">
          <w:marLeft w:val="0"/>
          <w:marRight w:val="0"/>
          <w:marTop w:val="0"/>
          <w:marBottom w:val="0"/>
          <w:divBdr>
            <w:top w:val="none" w:sz="0" w:space="0" w:color="auto"/>
            <w:left w:val="none" w:sz="0" w:space="0" w:color="auto"/>
            <w:bottom w:val="none" w:sz="0" w:space="0" w:color="auto"/>
            <w:right w:val="none" w:sz="0" w:space="0" w:color="auto"/>
          </w:divBdr>
        </w:div>
        <w:div w:id="955211257">
          <w:marLeft w:val="0"/>
          <w:marRight w:val="0"/>
          <w:marTop w:val="0"/>
          <w:marBottom w:val="0"/>
          <w:divBdr>
            <w:top w:val="none" w:sz="0" w:space="0" w:color="auto"/>
            <w:left w:val="none" w:sz="0" w:space="0" w:color="auto"/>
            <w:bottom w:val="none" w:sz="0" w:space="0" w:color="auto"/>
            <w:right w:val="none" w:sz="0" w:space="0" w:color="auto"/>
          </w:divBdr>
        </w:div>
        <w:div w:id="751271889">
          <w:marLeft w:val="0"/>
          <w:marRight w:val="0"/>
          <w:marTop w:val="0"/>
          <w:marBottom w:val="0"/>
          <w:divBdr>
            <w:top w:val="none" w:sz="0" w:space="0" w:color="auto"/>
            <w:left w:val="none" w:sz="0" w:space="0" w:color="auto"/>
            <w:bottom w:val="none" w:sz="0" w:space="0" w:color="auto"/>
            <w:right w:val="none" w:sz="0" w:space="0" w:color="auto"/>
          </w:divBdr>
        </w:div>
        <w:div w:id="893200365">
          <w:marLeft w:val="0"/>
          <w:marRight w:val="0"/>
          <w:marTop w:val="0"/>
          <w:marBottom w:val="0"/>
          <w:divBdr>
            <w:top w:val="none" w:sz="0" w:space="0" w:color="auto"/>
            <w:left w:val="none" w:sz="0" w:space="0" w:color="auto"/>
            <w:bottom w:val="none" w:sz="0" w:space="0" w:color="auto"/>
            <w:right w:val="none" w:sz="0" w:space="0" w:color="auto"/>
          </w:divBdr>
        </w:div>
      </w:divsChild>
    </w:div>
    <w:div w:id="1355037165">
      <w:bodyDiv w:val="1"/>
      <w:marLeft w:val="0"/>
      <w:marRight w:val="0"/>
      <w:marTop w:val="0"/>
      <w:marBottom w:val="0"/>
      <w:divBdr>
        <w:top w:val="none" w:sz="0" w:space="0" w:color="auto"/>
        <w:left w:val="none" w:sz="0" w:space="0" w:color="auto"/>
        <w:bottom w:val="none" w:sz="0" w:space="0" w:color="auto"/>
        <w:right w:val="none" w:sz="0" w:space="0" w:color="auto"/>
      </w:divBdr>
      <w:divsChild>
        <w:div w:id="290988583">
          <w:marLeft w:val="0"/>
          <w:marRight w:val="0"/>
          <w:marTop w:val="0"/>
          <w:marBottom w:val="0"/>
          <w:divBdr>
            <w:top w:val="none" w:sz="0" w:space="0" w:color="auto"/>
            <w:left w:val="none" w:sz="0" w:space="0" w:color="auto"/>
            <w:bottom w:val="none" w:sz="0" w:space="0" w:color="auto"/>
            <w:right w:val="none" w:sz="0" w:space="0" w:color="auto"/>
          </w:divBdr>
          <w:divsChild>
            <w:div w:id="575014719">
              <w:marLeft w:val="0"/>
              <w:marRight w:val="0"/>
              <w:marTop w:val="0"/>
              <w:marBottom w:val="0"/>
              <w:divBdr>
                <w:top w:val="none" w:sz="0" w:space="0" w:color="auto"/>
                <w:left w:val="none" w:sz="0" w:space="0" w:color="auto"/>
                <w:bottom w:val="none" w:sz="0" w:space="0" w:color="auto"/>
                <w:right w:val="none" w:sz="0" w:space="0" w:color="auto"/>
              </w:divBdr>
              <w:divsChild>
                <w:div w:id="1523788350">
                  <w:marLeft w:val="0"/>
                  <w:marRight w:val="0"/>
                  <w:marTop w:val="105"/>
                  <w:marBottom w:val="0"/>
                  <w:divBdr>
                    <w:top w:val="none" w:sz="0" w:space="0" w:color="auto"/>
                    <w:left w:val="none" w:sz="0" w:space="0" w:color="auto"/>
                    <w:bottom w:val="none" w:sz="0" w:space="0" w:color="auto"/>
                    <w:right w:val="none" w:sz="0" w:space="0" w:color="auto"/>
                  </w:divBdr>
                  <w:divsChild>
                    <w:div w:id="893007001">
                      <w:marLeft w:val="450"/>
                      <w:marRight w:val="225"/>
                      <w:marTop w:val="0"/>
                      <w:marBottom w:val="0"/>
                      <w:divBdr>
                        <w:top w:val="none" w:sz="0" w:space="0" w:color="auto"/>
                        <w:left w:val="none" w:sz="0" w:space="0" w:color="auto"/>
                        <w:bottom w:val="none" w:sz="0" w:space="0" w:color="auto"/>
                        <w:right w:val="none" w:sz="0" w:space="0" w:color="auto"/>
                      </w:divBdr>
                      <w:divsChild>
                        <w:div w:id="1250121882">
                          <w:marLeft w:val="0"/>
                          <w:marRight w:val="0"/>
                          <w:marTop w:val="0"/>
                          <w:marBottom w:val="600"/>
                          <w:divBdr>
                            <w:top w:val="single" w:sz="6" w:space="0" w:color="314664"/>
                            <w:left w:val="single" w:sz="6" w:space="0" w:color="314664"/>
                            <w:bottom w:val="single" w:sz="6" w:space="0" w:color="314664"/>
                            <w:right w:val="single" w:sz="6" w:space="0" w:color="314664"/>
                          </w:divBdr>
                          <w:divsChild>
                            <w:div w:id="1473908075">
                              <w:marLeft w:val="0"/>
                              <w:marRight w:val="0"/>
                              <w:marTop w:val="0"/>
                              <w:marBottom w:val="0"/>
                              <w:divBdr>
                                <w:top w:val="none" w:sz="0" w:space="0" w:color="auto"/>
                                <w:left w:val="none" w:sz="0" w:space="0" w:color="auto"/>
                                <w:bottom w:val="none" w:sz="0" w:space="0" w:color="auto"/>
                                <w:right w:val="none" w:sz="0" w:space="0" w:color="auto"/>
                              </w:divBdr>
                              <w:divsChild>
                                <w:div w:id="310258453">
                                  <w:marLeft w:val="0"/>
                                  <w:marRight w:val="0"/>
                                  <w:marTop w:val="0"/>
                                  <w:marBottom w:val="0"/>
                                  <w:divBdr>
                                    <w:top w:val="none" w:sz="0" w:space="0" w:color="auto"/>
                                    <w:left w:val="none" w:sz="0" w:space="0" w:color="auto"/>
                                    <w:bottom w:val="none" w:sz="0" w:space="0" w:color="auto"/>
                                    <w:right w:val="none" w:sz="0" w:space="0" w:color="auto"/>
                                  </w:divBdr>
                                  <w:divsChild>
                                    <w:div w:id="1263487959">
                                      <w:marLeft w:val="0"/>
                                      <w:marRight w:val="0"/>
                                      <w:marTop w:val="0"/>
                                      <w:marBottom w:val="0"/>
                                      <w:divBdr>
                                        <w:top w:val="none" w:sz="0" w:space="0" w:color="auto"/>
                                        <w:left w:val="none" w:sz="0" w:space="0" w:color="auto"/>
                                        <w:bottom w:val="none" w:sz="0" w:space="0" w:color="auto"/>
                                        <w:right w:val="none" w:sz="0" w:space="0" w:color="auto"/>
                                      </w:divBdr>
                                      <w:divsChild>
                                        <w:div w:id="1388917625">
                                          <w:marLeft w:val="0"/>
                                          <w:marRight w:val="0"/>
                                          <w:marTop w:val="0"/>
                                          <w:marBottom w:val="0"/>
                                          <w:divBdr>
                                            <w:top w:val="none" w:sz="0" w:space="0" w:color="auto"/>
                                            <w:left w:val="none" w:sz="0" w:space="0" w:color="auto"/>
                                            <w:bottom w:val="none" w:sz="0" w:space="0" w:color="auto"/>
                                            <w:right w:val="none" w:sz="0" w:space="0" w:color="auto"/>
                                          </w:divBdr>
                                          <w:divsChild>
                                            <w:div w:id="195435417">
                                              <w:marLeft w:val="0"/>
                                              <w:marRight w:val="0"/>
                                              <w:marTop w:val="0"/>
                                              <w:marBottom w:val="0"/>
                                              <w:divBdr>
                                                <w:top w:val="none" w:sz="0" w:space="0" w:color="auto"/>
                                                <w:left w:val="none" w:sz="0" w:space="0" w:color="auto"/>
                                                <w:bottom w:val="none" w:sz="0" w:space="0" w:color="auto"/>
                                                <w:right w:val="none" w:sz="0" w:space="0" w:color="auto"/>
                                              </w:divBdr>
                                              <w:divsChild>
                                                <w:div w:id="4312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902293">
      <w:bodyDiv w:val="1"/>
      <w:marLeft w:val="0"/>
      <w:marRight w:val="0"/>
      <w:marTop w:val="0"/>
      <w:marBottom w:val="0"/>
      <w:divBdr>
        <w:top w:val="none" w:sz="0" w:space="0" w:color="auto"/>
        <w:left w:val="none" w:sz="0" w:space="0" w:color="auto"/>
        <w:bottom w:val="none" w:sz="0" w:space="0" w:color="auto"/>
        <w:right w:val="none" w:sz="0" w:space="0" w:color="auto"/>
      </w:divBdr>
      <w:divsChild>
        <w:div w:id="662781592">
          <w:marLeft w:val="0"/>
          <w:marRight w:val="0"/>
          <w:marTop w:val="0"/>
          <w:marBottom w:val="0"/>
          <w:divBdr>
            <w:top w:val="none" w:sz="0" w:space="0" w:color="auto"/>
            <w:left w:val="none" w:sz="0" w:space="0" w:color="auto"/>
            <w:bottom w:val="none" w:sz="0" w:space="0" w:color="auto"/>
            <w:right w:val="none" w:sz="0" w:space="0" w:color="auto"/>
          </w:divBdr>
          <w:divsChild>
            <w:div w:id="1053045044">
              <w:marLeft w:val="0"/>
              <w:marRight w:val="0"/>
              <w:marTop w:val="0"/>
              <w:marBottom w:val="0"/>
              <w:divBdr>
                <w:top w:val="none" w:sz="0" w:space="0" w:color="auto"/>
                <w:left w:val="none" w:sz="0" w:space="0" w:color="auto"/>
                <w:bottom w:val="none" w:sz="0" w:space="0" w:color="auto"/>
                <w:right w:val="none" w:sz="0" w:space="0" w:color="auto"/>
              </w:divBdr>
              <w:divsChild>
                <w:div w:id="85731489">
                  <w:marLeft w:val="0"/>
                  <w:marRight w:val="0"/>
                  <w:marTop w:val="105"/>
                  <w:marBottom w:val="0"/>
                  <w:divBdr>
                    <w:top w:val="none" w:sz="0" w:space="0" w:color="auto"/>
                    <w:left w:val="none" w:sz="0" w:space="0" w:color="auto"/>
                    <w:bottom w:val="none" w:sz="0" w:space="0" w:color="auto"/>
                    <w:right w:val="none" w:sz="0" w:space="0" w:color="auto"/>
                  </w:divBdr>
                  <w:divsChild>
                    <w:div w:id="834032542">
                      <w:marLeft w:val="450"/>
                      <w:marRight w:val="225"/>
                      <w:marTop w:val="0"/>
                      <w:marBottom w:val="0"/>
                      <w:divBdr>
                        <w:top w:val="none" w:sz="0" w:space="0" w:color="auto"/>
                        <w:left w:val="none" w:sz="0" w:space="0" w:color="auto"/>
                        <w:bottom w:val="none" w:sz="0" w:space="0" w:color="auto"/>
                        <w:right w:val="none" w:sz="0" w:space="0" w:color="auto"/>
                      </w:divBdr>
                      <w:divsChild>
                        <w:div w:id="882518414">
                          <w:marLeft w:val="0"/>
                          <w:marRight w:val="0"/>
                          <w:marTop w:val="0"/>
                          <w:marBottom w:val="600"/>
                          <w:divBdr>
                            <w:top w:val="single" w:sz="6" w:space="0" w:color="314664"/>
                            <w:left w:val="single" w:sz="6" w:space="0" w:color="314664"/>
                            <w:bottom w:val="single" w:sz="6" w:space="0" w:color="314664"/>
                            <w:right w:val="single" w:sz="6" w:space="0" w:color="314664"/>
                          </w:divBdr>
                          <w:divsChild>
                            <w:div w:id="735710931">
                              <w:marLeft w:val="0"/>
                              <w:marRight w:val="0"/>
                              <w:marTop w:val="0"/>
                              <w:marBottom w:val="0"/>
                              <w:divBdr>
                                <w:top w:val="none" w:sz="0" w:space="0" w:color="auto"/>
                                <w:left w:val="none" w:sz="0" w:space="0" w:color="auto"/>
                                <w:bottom w:val="none" w:sz="0" w:space="0" w:color="auto"/>
                                <w:right w:val="none" w:sz="0" w:space="0" w:color="auto"/>
                              </w:divBdr>
                              <w:divsChild>
                                <w:div w:id="1629975474">
                                  <w:marLeft w:val="0"/>
                                  <w:marRight w:val="0"/>
                                  <w:marTop w:val="0"/>
                                  <w:marBottom w:val="0"/>
                                  <w:divBdr>
                                    <w:top w:val="none" w:sz="0" w:space="0" w:color="auto"/>
                                    <w:left w:val="none" w:sz="0" w:space="0" w:color="auto"/>
                                    <w:bottom w:val="none" w:sz="0" w:space="0" w:color="auto"/>
                                    <w:right w:val="none" w:sz="0" w:space="0" w:color="auto"/>
                                  </w:divBdr>
                                  <w:divsChild>
                                    <w:div w:id="2135562281">
                                      <w:marLeft w:val="0"/>
                                      <w:marRight w:val="0"/>
                                      <w:marTop w:val="0"/>
                                      <w:marBottom w:val="0"/>
                                      <w:divBdr>
                                        <w:top w:val="none" w:sz="0" w:space="0" w:color="auto"/>
                                        <w:left w:val="none" w:sz="0" w:space="0" w:color="auto"/>
                                        <w:bottom w:val="none" w:sz="0" w:space="0" w:color="auto"/>
                                        <w:right w:val="none" w:sz="0" w:space="0" w:color="auto"/>
                                      </w:divBdr>
                                      <w:divsChild>
                                        <w:div w:id="1236286455">
                                          <w:marLeft w:val="0"/>
                                          <w:marRight w:val="0"/>
                                          <w:marTop w:val="0"/>
                                          <w:marBottom w:val="0"/>
                                          <w:divBdr>
                                            <w:top w:val="none" w:sz="0" w:space="0" w:color="auto"/>
                                            <w:left w:val="none" w:sz="0" w:space="0" w:color="auto"/>
                                            <w:bottom w:val="none" w:sz="0" w:space="0" w:color="auto"/>
                                            <w:right w:val="none" w:sz="0" w:space="0" w:color="auto"/>
                                          </w:divBdr>
                                          <w:divsChild>
                                            <w:div w:id="1456406710">
                                              <w:marLeft w:val="0"/>
                                              <w:marRight w:val="0"/>
                                              <w:marTop w:val="0"/>
                                              <w:marBottom w:val="0"/>
                                              <w:divBdr>
                                                <w:top w:val="none" w:sz="0" w:space="0" w:color="auto"/>
                                                <w:left w:val="none" w:sz="0" w:space="0" w:color="auto"/>
                                                <w:bottom w:val="none" w:sz="0" w:space="0" w:color="auto"/>
                                                <w:right w:val="none" w:sz="0" w:space="0" w:color="auto"/>
                                              </w:divBdr>
                                              <w:divsChild>
                                                <w:div w:id="770979522">
                                                  <w:marLeft w:val="0"/>
                                                  <w:marRight w:val="0"/>
                                                  <w:marTop w:val="0"/>
                                                  <w:marBottom w:val="0"/>
                                                  <w:divBdr>
                                                    <w:top w:val="none" w:sz="0" w:space="0" w:color="auto"/>
                                                    <w:left w:val="none" w:sz="0" w:space="0" w:color="auto"/>
                                                    <w:bottom w:val="none" w:sz="0" w:space="0" w:color="auto"/>
                                                    <w:right w:val="none" w:sz="0" w:space="0" w:color="auto"/>
                                                  </w:divBdr>
                                                  <w:divsChild>
                                                    <w:div w:id="69742259">
                                                      <w:marLeft w:val="0"/>
                                                      <w:marRight w:val="0"/>
                                                      <w:marTop w:val="0"/>
                                                      <w:marBottom w:val="0"/>
                                                      <w:divBdr>
                                                        <w:top w:val="none" w:sz="0" w:space="0" w:color="auto"/>
                                                        <w:left w:val="none" w:sz="0" w:space="0" w:color="auto"/>
                                                        <w:bottom w:val="none" w:sz="0" w:space="0" w:color="auto"/>
                                                        <w:right w:val="none" w:sz="0" w:space="0" w:color="auto"/>
                                                      </w:divBdr>
                                                      <w:divsChild>
                                                        <w:div w:id="842277042">
                                                          <w:marLeft w:val="0"/>
                                                          <w:marRight w:val="0"/>
                                                          <w:marTop w:val="0"/>
                                                          <w:marBottom w:val="0"/>
                                                          <w:divBdr>
                                                            <w:top w:val="none" w:sz="0" w:space="0" w:color="auto"/>
                                                            <w:left w:val="none" w:sz="0" w:space="0" w:color="auto"/>
                                                            <w:bottom w:val="none" w:sz="0" w:space="0" w:color="auto"/>
                                                            <w:right w:val="none" w:sz="0" w:space="0" w:color="auto"/>
                                                          </w:divBdr>
                                                        </w:div>
                                                        <w:div w:id="1603950034">
                                                          <w:marLeft w:val="0"/>
                                                          <w:marRight w:val="0"/>
                                                          <w:marTop w:val="0"/>
                                                          <w:marBottom w:val="0"/>
                                                          <w:divBdr>
                                                            <w:top w:val="none" w:sz="0" w:space="0" w:color="auto"/>
                                                            <w:left w:val="none" w:sz="0" w:space="0" w:color="auto"/>
                                                            <w:bottom w:val="none" w:sz="0" w:space="0" w:color="auto"/>
                                                            <w:right w:val="none" w:sz="0" w:space="0" w:color="auto"/>
                                                          </w:divBdr>
                                                        </w:div>
                                                        <w:div w:id="2124496096">
                                                          <w:marLeft w:val="0"/>
                                                          <w:marRight w:val="0"/>
                                                          <w:marTop w:val="0"/>
                                                          <w:marBottom w:val="0"/>
                                                          <w:divBdr>
                                                            <w:top w:val="none" w:sz="0" w:space="0" w:color="auto"/>
                                                            <w:left w:val="none" w:sz="0" w:space="0" w:color="auto"/>
                                                            <w:bottom w:val="none" w:sz="0" w:space="0" w:color="auto"/>
                                                            <w:right w:val="none" w:sz="0" w:space="0" w:color="auto"/>
                                                          </w:divBdr>
                                                        </w:div>
                                                        <w:div w:id="18894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584702">
      <w:bodyDiv w:val="1"/>
      <w:marLeft w:val="0"/>
      <w:marRight w:val="0"/>
      <w:marTop w:val="0"/>
      <w:marBottom w:val="0"/>
      <w:divBdr>
        <w:top w:val="none" w:sz="0" w:space="0" w:color="auto"/>
        <w:left w:val="none" w:sz="0" w:space="0" w:color="auto"/>
        <w:bottom w:val="none" w:sz="0" w:space="0" w:color="auto"/>
        <w:right w:val="none" w:sz="0" w:space="0" w:color="auto"/>
      </w:divBdr>
      <w:divsChild>
        <w:div w:id="1633902728">
          <w:marLeft w:val="0"/>
          <w:marRight w:val="0"/>
          <w:marTop w:val="0"/>
          <w:marBottom w:val="0"/>
          <w:divBdr>
            <w:top w:val="none" w:sz="0" w:space="0" w:color="auto"/>
            <w:left w:val="none" w:sz="0" w:space="0" w:color="auto"/>
            <w:bottom w:val="none" w:sz="0" w:space="0" w:color="auto"/>
            <w:right w:val="none" w:sz="0" w:space="0" w:color="auto"/>
          </w:divBdr>
          <w:divsChild>
            <w:div w:id="1873615182">
              <w:marLeft w:val="0"/>
              <w:marRight w:val="0"/>
              <w:marTop w:val="0"/>
              <w:marBottom w:val="0"/>
              <w:divBdr>
                <w:top w:val="none" w:sz="0" w:space="0" w:color="auto"/>
                <w:left w:val="none" w:sz="0" w:space="0" w:color="auto"/>
                <w:bottom w:val="none" w:sz="0" w:space="0" w:color="auto"/>
                <w:right w:val="none" w:sz="0" w:space="0" w:color="auto"/>
              </w:divBdr>
              <w:divsChild>
                <w:div w:id="618874544">
                  <w:marLeft w:val="0"/>
                  <w:marRight w:val="0"/>
                  <w:marTop w:val="0"/>
                  <w:marBottom w:val="0"/>
                  <w:divBdr>
                    <w:top w:val="none" w:sz="0" w:space="0" w:color="auto"/>
                    <w:left w:val="none" w:sz="0" w:space="0" w:color="auto"/>
                    <w:bottom w:val="none" w:sz="0" w:space="0" w:color="auto"/>
                    <w:right w:val="none" w:sz="0" w:space="0" w:color="auto"/>
                  </w:divBdr>
                  <w:divsChild>
                    <w:div w:id="268902273">
                      <w:marLeft w:val="0"/>
                      <w:marRight w:val="0"/>
                      <w:marTop w:val="0"/>
                      <w:marBottom w:val="0"/>
                      <w:divBdr>
                        <w:top w:val="none" w:sz="0" w:space="0" w:color="auto"/>
                        <w:left w:val="none" w:sz="0" w:space="0" w:color="auto"/>
                        <w:bottom w:val="none" w:sz="0" w:space="0" w:color="auto"/>
                        <w:right w:val="none" w:sz="0" w:space="0" w:color="auto"/>
                      </w:divBdr>
                      <w:divsChild>
                        <w:div w:id="1393505334">
                          <w:marLeft w:val="0"/>
                          <w:marRight w:val="0"/>
                          <w:marTop w:val="0"/>
                          <w:marBottom w:val="0"/>
                          <w:divBdr>
                            <w:top w:val="none" w:sz="0" w:space="0" w:color="auto"/>
                            <w:left w:val="none" w:sz="0" w:space="0" w:color="auto"/>
                            <w:bottom w:val="none" w:sz="0" w:space="0" w:color="auto"/>
                            <w:right w:val="none" w:sz="0" w:space="0" w:color="auto"/>
                          </w:divBdr>
                          <w:divsChild>
                            <w:div w:id="365525136">
                              <w:marLeft w:val="0"/>
                              <w:marRight w:val="0"/>
                              <w:marTop w:val="0"/>
                              <w:marBottom w:val="0"/>
                              <w:divBdr>
                                <w:top w:val="none" w:sz="0" w:space="0" w:color="auto"/>
                                <w:left w:val="none" w:sz="0" w:space="0" w:color="auto"/>
                                <w:bottom w:val="none" w:sz="0" w:space="0" w:color="auto"/>
                                <w:right w:val="none" w:sz="0" w:space="0" w:color="auto"/>
                              </w:divBdr>
                              <w:divsChild>
                                <w:div w:id="410202002">
                                  <w:marLeft w:val="0"/>
                                  <w:marRight w:val="0"/>
                                  <w:marTop w:val="0"/>
                                  <w:marBottom w:val="0"/>
                                  <w:divBdr>
                                    <w:top w:val="none" w:sz="0" w:space="0" w:color="auto"/>
                                    <w:left w:val="none" w:sz="0" w:space="0" w:color="auto"/>
                                    <w:bottom w:val="none" w:sz="0" w:space="0" w:color="auto"/>
                                    <w:right w:val="none" w:sz="0" w:space="0" w:color="auto"/>
                                  </w:divBdr>
                                  <w:divsChild>
                                    <w:div w:id="144394169">
                                      <w:marLeft w:val="0"/>
                                      <w:marRight w:val="0"/>
                                      <w:marTop w:val="0"/>
                                      <w:marBottom w:val="0"/>
                                      <w:divBdr>
                                        <w:top w:val="none" w:sz="0" w:space="0" w:color="auto"/>
                                        <w:left w:val="none" w:sz="0" w:space="0" w:color="auto"/>
                                        <w:bottom w:val="none" w:sz="0" w:space="0" w:color="auto"/>
                                        <w:right w:val="none" w:sz="0" w:space="0" w:color="auto"/>
                                      </w:divBdr>
                                      <w:divsChild>
                                        <w:div w:id="791484464">
                                          <w:marLeft w:val="0"/>
                                          <w:marRight w:val="-14610"/>
                                          <w:marTop w:val="0"/>
                                          <w:marBottom w:val="0"/>
                                          <w:divBdr>
                                            <w:top w:val="none" w:sz="0" w:space="0" w:color="auto"/>
                                            <w:left w:val="none" w:sz="0" w:space="0" w:color="auto"/>
                                            <w:bottom w:val="none" w:sz="0" w:space="0" w:color="auto"/>
                                            <w:right w:val="none" w:sz="0" w:space="0" w:color="auto"/>
                                          </w:divBdr>
                                          <w:divsChild>
                                            <w:div w:id="1379010198">
                                              <w:marLeft w:val="0"/>
                                              <w:marRight w:val="0"/>
                                              <w:marTop w:val="540"/>
                                              <w:marBottom w:val="0"/>
                                              <w:divBdr>
                                                <w:top w:val="none" w:sz="0" w:space="0" w:color="auto"/>
                                                <w:left w:val="none" w:sz="0" w:space="0" w:color="auto"/>
                                                <w:bottom w:val="none" w:sz="0" w:space="0" w:color="auto"/>
                                                <w:right w:val="none" w:sz="0" w:space="0" w:color="auto"/>
                                              </w:divBdr>
                                              <w:divsChild>
                                                <w:div w:id="460614515">
                                                  <w:marLeft w:val="0"/>
                                                  <w:marRight w:val="0"/>
                                                  <w:marTop w:val="0"/>
                                                  <w:marBottom w:val="0"/>
                                                  <w:divBdr>
                                                    <w:top w:val="none" w:sz="0" w:space="0" w:color="auto"/>
                                                    <w:left w:val="none" w:sz="0" w:space="0" w:color="auto"/>
                                                    <w:bottom w:val="none" w:sz="0" w:space="0" w:color="auto"/>
                                                    <w:right w:val="none" w:sz="0" w:space="0" w:color="auto"/>
                                                  </w:divBdr>
                                                  <w:divsChild>
                                                    <w:div w:id="1342925662">
                                                      <w:marLeft w:val="0"/>
                                                      <w:marRight w:val="0"/>
                                                      <w:marTop w:val="0"/>
                                                      <w:marBottom w:val="360"/>
                                                      <w:divBdr>
                                                        <w:top w:val="none" w:sz="0" w:space="0" w:color="auto"/>
                                                        <w:left w:val="none" w:sz="0" w:space="0" w:color="auto"/>
                                                        <w:bottom w:val="none" w:sz="0" w:space="0" w:color="auto"/>
                                                        <w:right w:val="none" w:sz="0" w:space="0" w:color="auto"/>
                                                      </w:divBdr>
                                                      <w:divsChild>
                                                        <w:div w:id="1006633429">
                                                          <w:marLeft w:val="0"/>
                                                          <w:marRight w:val="0"/>
                                                          <w:marTop w:val="0"/>
                                                          <w:marBottom w:val="0"/>
                                                          <w:divBdr>
                                                            <w:top w:val="none" w:sz="0" w:space="0" w:color="auto"/>
                                                            <w:left w:val="none" w:sz="0" w:space="0" w:color="auto"/>
                                                            <w:bottom w:val="none" w:sz="0" w:space="0" w:color="auto"/>
                                                            <w:right w:val="none" w:sz="0" w:space="0" w:color="auto"/>
                                                          </w:divBdr>
                                                          <w:divsChild>
                                                            <w:div w:id="1855611339">
                                                              <w:marLeft w:val="0"/>
                                                              <w:marRight w:val="0"/>
                                                              <w:marTop w:val="0"/>
                                                              <w:marBottom w:val="0"/>
                                                              <w:divBdr>
                                                                <w:top w:val="none" w:sz="0" w:space="0" w:color="auto"/>
                                                                <w:left w:val="none" w:sz="0" w:space="0" w:color="auto"/>
                                                                <w:bottom w:val="none" w:sz="0" w:space="0" w:color="auto"/>
                                                                <w:right w:val="none" w:sz="0" w:space="0" w:color="auto"/>
                                                              </w:divBdr>
                                                              <w:divsChild>
                                                                <w:div w:id="2133862886">
                                                                  <w:marLeft w:val="0"/>
                                                                  <w:marRight w:val="0"/>
                                                                  <w:marTop w:val="0"/>
                                                                  <w:marBottom w:val="0"/>
                                                                  <w:divBdr>
                                                                    <w:top w:val="none" w:sz="0" w:space="0" w:color="auto"/>
                                                                    <w:left w:val="none" w:sz="0" w:space="0" w:color="auto"/>
                                                                    <w:bottom w:val="none" w:sz="0" w:space="0" w:color="auto"/>
                                                                    <w:right w:val="none" w:sz="0" w:space="0" w:color="auto"/>
                                                                  </w:divBdr>
                                                                  <w:divsChild>
                                                                    <w:div w:id="778836050">
                                                                      <w:marLeft w:val="0"/>
                                                                      <w:marRight w:val="0"/>
                                                                      <w:marTop w:val="0"/>
                                                                      <w:marBottom w:val="0"/>
                                                                      <w:divBdr>
                                                                        <w:top w:val="none" w:sz="0" w:space="0" w:color="auto"/>
                                                                        <w:left w:val="none" w:sz="0" w:space="0" w:color="auto"/>
                                                                        <w:bottom w:val="none" w:sz="0" w:space="0" w:color="auto"/>
                                                                        <w:right w:val="none" w:sz="0" w:space="0" w:color="auto"/>
                                                                      </w:divBdr>
                                                                      <w:divsChild>
                                                                        <w:div w:id="1708869835">
                                                                          <w:marLeft w:val="0"/>
                                                                          <w:marRight w:val="0"/>
                                                                          <w:marTop w:val="0"/>
                                                                          <w:marBottom w:val="0"/>
                                                                          <w:divBdr>
                                                                            <w:top w:val="none" w:sz="0" w:space="0" w:color="auto"/>
                                                                            <w:left w:val="none" w:sz="0" w:space="0" w:color="auto"/>
                                                                            <w:bottom w:val="none" w:sz="0" w:space="0" w:color="auto"/>
                                                                            <w:right w:val="none" w:sz="0" w:space="0" w:color="auto"/>
                                                                          </w:divBdr>
                                                                          <w:divsChild>
                                                                            <w:div w:id="200943424">
                                                                              <w:marLeft w:val="0"/>
                                                                              <w:marRight w:val="0"/>
                                                                              <w:marTop w:val="0"/>
                                                                              <w:marBottom w:val="0"/>
                                                                              <w:divBdr>
                                                                                <w:top w:val="none" w:sz="0" w:space="0" w:color="auto"/>
                                                                                <w:left w:val="none" w:sz="0" w:space="0" w:color="auto"/>
                                                                                <w:bottom w:val="none" w:sz="0" w:space="0" w:color="auto"/>
                                                                                <w:right w:val="none" w:sz="0" w:space="0" w:color="auto"/>
                                                                              </w:divBdr>
                                                                              <w:divsChild>
                                                                                <w:div w:id="2083529450">
                                                                                  <w:marLeft w:val="0"/>
                                                                                  <w:marRight w:val="0"/>
                                                                                  <w:marTop w:val="0"/>
                                                                                  <w:marBottom w:val="0"/>
                                                                                  <w:divBdr>
                                                                                    <w:top w:val="none" w:sz="0" w:space="0" w:color="auto"/>
                                                                                    <w:left w:val="none" w:sz="0" w:space="0" w:color="auto"/>
                                                                                    <w:bottom w:val="none" w:sz="0" w:space="0" w:color="auto"/>
                                                                                    <w:right w:val="none" w:sz="0" w:space="0" w:color="auto"/>
                                                                                  </w:divBdr>
                                                                                  <w:divsChild>
                                                                                    <w:div w:id="285089320">
                                                                                      <w:marLeft w:val="0"/>
                                                                                      <w:marRight w:val="0"/>
                                                                                      <w:marTop w:val="0"/>
                                                                                      <w:marBottom w:val="0"/>
                                                                                      <w:divBdr>
                                                                                        <w:top w:val="none" w:sz="0" w:space="0" w:color="auto"/>
                                                                                        <w:left w:val="none" w:sz="0" w:space="0" w:color="auto"/>
                                                                                        <w:bottom w:val="none" w:sz="0" w:space="0" w:color="auto"/>
                                                                                        <w:right w:val="none" w:sz="0" w:space="0" w:color="auto"/>
                                                                                      </w:divBdr>
                                                                                      <w:divsChild>
                                                                                        <w:div w:id="377434146">
                                                                                          <w:marLeft w:val="0"/>
                                                                                          <w:marRight w:val="0"/>
                                                                                          <w:marTop w:val="0"/>
                                                                                          <w:marBottom w:val="0"/>
                                                                                          <w:divBdr>
                                                                                            <w:top w:val="none" w:sz="0" w:space="0" w:color="auto"/>
                                                                                            <w:left w:val="none" w:sz="0" w:space="0" w:color="auto"/>
                                                                                            <w:bottom w:val="none" w:sz="0" w:space="0" w:color="auto"/>
                                                                                            <w:right w:val="none" w:sz="0" w:space="0" w:color="auto"/>
                                                                                          </w:divBdr>
                                                                                          <w:divsChild>
                                                                                            <w:div w:id="2142111358">
                                                                                              <w:marLeft w:val="0"/>
                                                                                              <w:marRight w:val="0"/>
                                                                                              <w:marTop w:val="0"/>
                                                                                              <w:marBottom w:val="0"/>
                                                                                              <w:divBdr>
                                                                                                <w:top w:val="none" w:sz="0" w:space="0" w:color="auto"/>
                                                                                                <w:left w:val="none" w:sz="0" w:space="0" w:color="auto"/>
                                                                                                <w:bottom w:val="none" w:sz="0" w:space="0" w:color="auto"/>
                                                                                                <w:right w:val="none" w:sz="0" w:space="0" w:color="auto"/>
                                                                                              </w:divBdr>
                                                                                              <w:divsChild>
                                                                                                <w:div w:id="16654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425795">
      <w:bodyDiv w:val="1"/>
      <w:marLeft w:val="0"/>
      <w:marRight w:val="0"/>
      <w:marTop w:val="0"/>
      <w:marBottom w:val="0"/>
      <w:divBdr>
        <w:top w:val="none" w:sz="0" w:space="0" w:color="auto"/>
        <w:left w:val="none" w:sz="0" w:space="0" w:color="auto"/>
        <w:bottom w:val="none" w:sz="0" w:space="0" w:color="auto"/>
        <w:right w:val="none" w:sz="0" w:space="0" w:color="auto"/>
      </w:divBdr>
      <w:divsChild>
        <w:div w:id="920873427">
          <w:marLeft w:val="0"/>
          <w:marRight w:val="0"/>
          <w:marTop w:val="0"/>
          <w:marBottom w:val="0"/>
          <w:divBdr>
            <w:top w:val="none" w:sz="0" w:space="0" w:color="auto"/>
            <w:left w:val="none" w:sz="0" w:space="0" w:color="auto"/>
            <w:bottom w:val="none" w:sz="0" w:space="0" w:color="auto"/>
            <w:right w:val="none" w:sz="0" w:space="0" w:color="auto"/>
          </w:divBdr>
          <w:divsChild>
            <w:div w:id="711081369">
              <w:marLeft w:val="0"/>
              <w:marRight w:val="0"/>
              <w:marTop w:val="0"/>
              <w:marBottom w:val="0"/>
              <w:divBdr>
                <w:top w:val="none" w:sz="0" w:space="0" w:color="auto"/>
                <w:left w:val="none" w:sz="0" w:space="0" w:color="auto"/>
                <w:bottom w:val="none" w:sz="0" w:space="0" w:color="auto"/>
                <w:right w:val="none" w:sz="0" w:space="0" w:color="auto"/>
              </w:divBdr>
              <w:divsChild>
                <w:div w:id="742486692">
                  <w:marLeft w:val="0"/>
                  <w:marRight w:val="0"/>
                  <w:marTop w:val="105"/>
                  <w:marBottom w:val="0"/>
                  <w:divBdr>
                    <w:top w:val="none" w:sz="0" w:space="0" w:color="auto"/>
                    <w:left w:val="none" w:sz="0" w:space="0" w:color="auto"/>
                    <w:bottom w:val="none" w:sz="0" w:space="0" w:color="auto"/>
                    <w:right w:val="none" w:sz="0" w:space="0" w:color="auto"/>
                  </w:divBdr>
                  <w:divsChild>
                    <w:div w:id="1210192865">
                      <w:marLeft w:val="450"/>
                      <w:marRight w:val="225"/>
                      <w:marTop w:val="0"/>
                      <w:marBottom w:val="0"/>
                      <w:divBdr>
                        <w:top w:val="none" w:sz="0" w:space="0" w:color="auto"/>
                        <w:left w:val="none" w:sz="0" w:space="0" w:color="auto"/>
                        <w:bottom w:val="none" w:sz="0" w:space="0" w:color="auto"/>
                        <w:right w:val="none" w:sz="0" w:space="0" w:color="auto"/>
                      </w:divBdr>
                      <w:divsChild>
                        <w:div w:id="533883967">
                          <w:marLeft w:val="0"/>
                          <w:marRight w:val="0"/>
                          <w:marTop w:val="0"/>
                          <w:marBottom w:val="600"/>
                          <w:divBdr>
                            <w:top w:val="single" w:sz="6" w:space="0" w:color="314664"/>
                            <w:left w:val="single" w:sz="6" w:space="0" w:color="314664"/>
                            <w:bottom w:val="single" w:sz="6" w:space="0" w:color="314664"/>
                            <w:right w:val="single" w:sz="6" w:space="0" w:color="314664"/>
                          </w:divBdr>
                          <w:divsChild>
                            <w:div w:id="1290473951">
                              <w:marLeft w:val="0"/>
                              <w:marRight w:val="0"/>
                              <w:marTop w:val="0"/>
                              <w:marBottom w:val="0"/>
                              <w:divBdr>
                                <w:top w:val="none" w:sz="0" w:space="0" w:color="auto"/>
                                <w:left w:val="none" w:sz="0" w:space="0" w:color="auto"/>
                                <w:bottom w:val="none" w:sz="0" w:space="0" w:color="auto"/>
                                <w:right w:val="none" w:sz="0" w:space="0" w:color="auto"/>
                              </w:divBdr>
                              <w:divsChild>
                                <w:div w:id="888107535">
                                  <w:marLeft w:val="0"/>
                                  <w:marRight w:val="0"/>
                                  <w:marTop w:val="0"/>
                                  <w:marBottom w:val="0"/>
                                  <w:divBdr>
                                    <w:top w:val="none" w:sz="0" w:space="0" w:color="auto"/>
                                    <w:left w:val="none" w:sz="0" w:space="0" w:color="auto"/>
                                    <w:bottom w:val="none" w:sz="0" w:space="0" w:color="auto"/>
                                    <w:right w:val="none" w:sz="0" w:space="0" w:color="auto"/>
                                  </w:divBdr>
                                  <w:divsChild>
                                    <w:div w:id="241913980">
                                      <w:marLeft w:val="0"/>
                                      <w:marRight w:val="0"/>
                                      <w:marTop w:val="0"/>
                                      <w:marBottom w:val="0"/>
                                      <w:divBdr>
                                        <w:top w:val="none" w:sz="0" w:space="0" w:color="auto"/>
                                        <w:left w:val="none" w:sz="0" w:space="0" w:color="auto"/>
                                        <w:bottom w:val="none" w:sz="0" w:space="0" w:color="auto"/>
                                        <w:right w:val="none" w:sz="0" w:space="0" w:color="auto"/>
                                      </w:divBdr>
                                      <w:divsChild>
                                        <w:div w:id="419062428">
                                          <w:marLeft w:val="0"/>
                                          <w:marRight w:val="0"/>
                                          <w:marTop w:val="0"/>
                                          <w:marBottom w:val="0"/>
                                          <w:divBdr>
                                            <w:top w:val="none" w:sz="0" w:space="0" w:color="auto"/>
                                            <w:left w:val="none" w:sz="0" w:space="0" w:color="auto"/>
                                            <w:bottom w:val="none" w:sz="0" w:space="0" w:color="auto"/>
                                            <w:right w:val="none" w:sz="0" w:space="0" w:color="auto"/>
                                          </w:divBdr>
                                          <w:divsChild>
                                            <w:div w:id="330639310">
                                              <w:marLeft w:val="0"/>
                                              <w:marRight w:val="0"/>
                                              <w:marTop w:val="0"/>
                                              <w:marBottom w:val="0"/>
                                              <w:divBdr>
                                                <w:top w:val="none" w:sz="0" w:space="0" w:color="auto"/>
                                                <w:left w:val="none" w:sz="0" w:space="0" w:color="auto"/>
                                                <w:bottom w:val="none" w:sz="0" w:space="0" w:color="auto"/>
                                                <w:right w:val="none" w:sz="0" w:space="0" w:color="auto"/>
                                              </w:divBdr>
                                              <w:divsChild>
                                                <w:div w:id="2121944904">
                                                  <w:marLeft w:val="0"/>
                                                  <w:marRight w:val="0"/>
                                                  <w:marTop w:val="0"/>
                                                  <w:marBottom w:val="0"/>
                                                  <w:divBdr>
                                                    <w:top w:val="none" w:sz="0" w:space="0" w:color="auto"/>
                                                    <w:left w:val="none" w:sz="0" w:space="0" w:color="auto"/>
                                                    <w:bottom w:val="none" w:sz="0" w:space="0" w:color="auto"/>
                                                    <w:right w:val="none" w:sz="0" w:space="0" w:color="auto"/>
                                                  </w:divBdr>
                                                  <w:divsChild>
                                                    <w:div w:id="1183396093">
                                                      <w:marLeft w:val="0"/>
                                                      <w:marRight w:val="0"/>
                                                      <w:marTop w:val="0"/>
                                                      <w:marBottom w:val="0"/>
                                                      <w:divBdr>
                                                        <w:top w:val="none" w:sz="0" w:space="0" w:color="auto"/>
                                                        <w:left w:val="none" w:sz="0" w:space="0" w:color="auto"/>
                                                        <w:bottom w:val="none" w:sz="0" w:space="0" w:color="auto"/>
                                                        <w:right w:val="none" w:sz="0" w:space="0" w:color="auto"/>
                                                      </w:divBdr>
                                                      <w:divsChild>
                                                        <w:div w:id="23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737762">
      <w:bodyDiv w:val="1"/>
      <w:marLeft w:val="0"/>
      <w:marRight w:val="0"/>
      <w:marTop w:val="0"/>
      <w:marBottom w:val="0"/>
      <w:divBdr>
        <w:top w:val="none" w:sz="0" w:space="0" w:color="auto"/>
        <w:left w:val="none" w:sz="0" w:space="0" w:color="auto"/>
        <w:bottom w:val="none" w:sz="0" w:space="0" w:color="auto"/>
        <w:right w:val="none" w:sz="0" w:space="0" w:color="auto"/>
      </w:divBdr>
      <w:divsChild>
        <w:div w:id="834102619">
          <w:marLeft w:val="0"/>
          <w:marRight w:val="0"/>
          <w:marTop w:val="0"/>
          <w:marBottom w:val="0"/>
          <w:divBdr>
            <w:top w:val="none" w:sz="0" w:space="0" w:color="auto"/>
            <w:left w:val="none" w:sz="0" w:space="0" w:color="auto"/>
            <w:bottom w:val="none" w:sz="0" w:space="0" w:color="auto"/>
            <w:right w:val="none" w:sz="0" w:space="0" w:color="auto"/>
          </w:divBdr>
          <w:divsChild>
            <w:div w:id="1647733672">
              <w:marLeft w:val="0"/>
              <w:marRight w:val="0"/>
              <w:marTop w:val="0"/>
              <w:marBottom w:val="0"/>
              <w:divBdr>
                <w:top w:val="none" w:sz="0" w:space="0" w:color="auto"/>
                <w:left w:val="none" w:sz="0" w:space="0" w:color="auto"/>
                <w:bottom w:val="none" w:sz="0" w:space="0" w:color="auto"/>
                <w:right w:val="none" w:sz="0" w:space="0" w:color="auto"/>
              </w:divBdr>
              <w:divsChild>
                <w:div w:id="1377510438">
                  <w:marLeft w:val="0"/>
                  <w:marRight w:val="0"/>
                  <w:marTop w:val="0"/>
                  <w:marBottom w:val="0"/>
                  <w:divBdr>
                    <w:top w:val="none" w:sz="0" w:space="0" w:color="auto"/>
                    <w:left w:val="none" w:sz="0" w:space="0" w:color="auto"/>
                    <w:bottom w:val="none" w:sz="0" w:space="0" w:color="auto"/>
                    <w:right w:val="none" w:sz="0" w:space="0" w:color="auto"/>
                  </w:divBdr>
                </w:div>
                <w:div w:id="1192063956">
                  <w:marLeft w:val="0"/>
                  <w:marRight w:val="0"/>
                  <w:marTop w:val="0"/>
                  <w:marBottom w:val="0"/>
                  <w:divBdr>
                    <w:top w:val="none" w:sz="0" w:space="0" w:color="auto"/>
                    <w:left w:val="none" w:sz="0" w:space="0" w:color="auto"/>
                    <w:bottom w:val="none" w:sz="0" w:space="0" w:color="auto"/>
                    <w:right w:val="none" w:sz="0" w:space="0" w:color="auto"/>
                  </w:divBdr>
                </w:div>
                <w:div w:id="781343146">
                  <w:marLeft w:val="0"/>
                  <w:marRight w:val="0"/>
                  <w:marTop w:val="0"/>
                  <w:marBottom w:val="0"/>
                  <w:divBdr>
                    <w:top w:val="none" w:sz="0" w:space="0" w:color="auto"/>
                    <w:left w:val="none" w:sz="0" w:space="0" w:color="auto"/>
                    <w:bottom w:val="none" w:sz="0" w:space="0" w:color="auto"/>
                    <w:right w:val="none" w:sz="0" w:space="0" w:color="auto"/>
                  </w:divBdr>
                </w:div>
                <w:div w:id="1659920521">
                  <w:marLeft w:val="0"/>
                  <w:marRight w:val="0"/>
                  <w:marTop w:val="0"/>
                  <w:marBottom w:val="0"/>
                  <w:divBdr>
                    <w:top w:val="none" w:sz="0" w:space="0" w:color="auto"/>
                    <w:left w:val="none" w:sz="0" w:space="0" w:color="auto"/>
                    <w:bottom w:val="none" w:sz="0" w:space="0" w:color="auto"/>
                    <w:right w:val="none" w:sz="0" w:space="0" w:color="auto"/>
                  </w:divBdr>
                </w:div>
                <w:div w:id="311640253">
                  <w:marLeft w:val="0"/>
                  <w:marRight w:val="0"/>
                  <w:marTop w:val="0"/>
                  <w:marBottom w:val="0"/>
                  <w:divBdr>
                    <w:top w:val="none" w:sz="0" w:space="0" w:color="auto"/>
                    <w:left w:val="none" w:sz="0" w:space="0" w:color="auto"/>
                    <w:bottom w:val="none" w:sz="0" w:space="0" w:color="auto"/>
                    <w:right w:val="none" w:sz="0" w:space="0" w:color="auto"/>
                  </w:divBdr>
                </w:div>
                <w:div w:id="532697039">
                  <w:marLeft w:val="0"/>
                  <w:marRight w:val="0"/>
                  <w:marTop w:val="0"/>
                  <w:marBottom w:val="0"/>
                  <w:divBdr>
                    <w:top w:val="none" w:sz="0" w:space="0" w:color="auto"/>
                    <w:left w:val="none" w:sz="0" w:space="0" w:color="auto"/>
                    <w:bottom w:val="none" w:sz="0" w:space="0" w:color="auto"/>
                    <w:right w:val="none" w:sz="0" w:space="0" w:color="auto"/>
                  </w:divBdr>
                </w:div>
                <w:div w:id="1374234332">
                  <w:marLeft w:val="0"/>
                  <w:marRight w:val="0"/>
                  <w:marTop w:val="0"/>
                  <w:marBottom w:val="0"/>
                  <w:divBdr>
                    <w:top w:val="none" w:sz="0" w:space="0" w:color="auto"/>
                    <w:left w:val="none" w:sz="0" w:space="0" w:color="auto"/>
                    <w:bottom w:val="none" w:sz="0" w:space="0" w:color="auto"/>
                    <w:right w:val="none" w:sz="0" w:space="0" w:color="auto"/>
                  </w:divBdr>
                </w:div>
                <w:div w:id="1406411860">
                  <w:marLeft w:val="0"/>
                  <w:marRight w:val="0"/>
                  <w:marTop w:val="0"/>
                  <w:marBottom w:val="0"/>
                  <w:divBdr>
                    <w:top w:val="none" w:sz="0" w:space="0" w:color="auto"/>
                    <w:left w:val="none" w:sz="0" w:space="0" w:color="auto"/>
                    <w:bottom w:val="none" w:sz="0" w:space="0" w:color="auto"/>
                    <w:right w:val="none" w:sz="0" w:space="0" w:color="auto"/>
                  </w:divBdr>
                </w:div>
                <w:div w:id="778179296">
                  <w:marLeft w:val="0"/>
                  <w:marRight w:val="0"/>
                  <w:marTop w:val="0"/>
                  <w:marBottom w:val="0"/>
                  <w:divBdr>
                    <w:top w:val="none" w:sz="0" w:space="0" w:color="auto"/>
                    <w:left w:val="none" w:sz="0" w:space="0" w:color="auto"/>
                    <w:bottom w:val="none" w:sz="0" w:space="0" w:color="auto"/>
                    <w:right w:val="none" w:sz="0" w:space="0" w:color="auto"/>
                  </w:divBdr>
                </w:div>
                <w:div w:id="559290812">
                  <w:marLeft w:val="0"/>
                  <w:marRight w:val="0"/>
                  <w:marTop w:val="0"/>
                  <w:marBottom w:val="0"/>
                  <w:divBdr>
                    <w:top w:val="none" w:sz="0" w:space="0" w:color="auto"/>
                    <w:left w:val="none" w:sz="0" w:space="0" w:color="auto"/>
                    <w:bottom w:val="none" w:sz="0" w:space="0" w:color="auto"/>
                    <w:right w:val="none" w:sz="0" w:space="0" w:color="auto"/>
                  </w:divBdr>
                </w:div>
                <w:div w:id="1238445080">
                  <w:marLeft w:val="0"/>
                  <w:marRight w:val="0"/>
                  <w:marTop w:val="0"/>
                  <w:marBottom w:val="0"/>
                  <w:divBdr>
                    <w:top w:val="none" w:sz="0" w:space="0" w:color="auto"/>
                    <w:left w:val="none" w:sz="0" w:space="0" w:color="auto"/>
                    <w:bottom w:val="none" w:sz="0" w:space="0" w:color="auto"/>
                    <w:right w:val="none" w:sz="0" w:space="0" w:color="auto"/>
                  </w:divBdr>
                </w:div>
                <w:div w:id="476381636">
                  <w:marLeft w:val="0"/>
                  <w:marRight w:val="0"/>
                  <w:marTop w:val="0"/>
                  <w:marBottom w:val="0"/>
                  <w:divBdr>
                    <w:top w:val="none" w:sz="0" w:space="0" w:color="auto"/>
                    <w:left w:val="none" w:sz="0" w:space="0" w:color="auto"/>
                    <w:bottom w:val="none" w:sz="0" w:space="0" w:color="auto"/>
                    <w:right w:val="none" w:sz="0" w:space="0" w:color="auto"/>
                  </w:divBdr>
                </w:div>
                <w:div w:id="1202472731">
                  <w:marLeft w:val="0"/>
                  <w:marRight w:val="0"/>
                  <w:marTop w:val="0"/>
                  <w:marBottom w:val="0"/>
                  <w:divBdr>
                    <w:top w:val="none" w:sz="0" w:space="0" w:color="auto"/>
                    <w:left w:val="none" w:sz="0" w:space="0" w:color="auto"/>
                    <w:bottom w:val="none" w:sz="0" w:space="0" w:color="auto"/>
                    <w:right w:val="none" w:sz="0" w:space="0" w:color="auto"/>
                  </w:divBdr>
                </w:div>
                <w:div w:id="2095390225">
                  <w:marLeft w:val="0"/>
                  <w:marRight w:val="0"/>
                  <w:marTop w:val="0"/>
                  <w:marBottom w:val="0"/>
                  <w:divBdr>
                    <w:top w:val="none" w:sz="0" w:space="0" w:color="auto"/>
                    <w:left w:val="none" w:sz="0" w:space="0" w:color="auto"/>
                    <w:bottom w:val="none" w:sz="0" w:space="0" w:color="auto"/>
                    <w:right w:val="none" w:sz="0" w:space="0" w:color="auto"/>
                  </w:divBdr>
                </w:div>
                <w:div w:id="366293627">
                  <w:marLeft w:val="0"/>
                  <w:marRight w:val="0"/>
                  <w:marTop w:val="0"/>
                  <w:marBottom w:val="0"/>
                  <w:divBdr>
                    <w:top w:val="none" w:sz="0" w:space="0" w:color="auto"/>
                    <w:left w:val="none" w:sz="0" w:space="0" w:color="auto"/>
                    <w:bottom w:val="none" w:sz="0" w:space="0" w:color="auto"/>
                    <w:right w:val="none" w:sz="0" w:space="0" w:color="auto"/>
                  </w:divBdr>
                </w:div>
                <w:div w:id="705759525">
                  <w:marLeft w:val="0"/>
                  <w:marRight w:val="0"/>
                  <w:marTop w:val="0"/>
                  <w:marBottom w:val="0"/>
                  <w:divBdr>
                    <w:top w:val="none" w:sz="0" w:space="0" w:color="auto"/>
                    <w:left w:val="none" w:sz="0" w:space="0" w:color="auto"/>
                    <w:bottom w:val="none" w:sz="0" w:space="0" w:color="auto"/>
                    <w:right w:val="none" w:sz="0" w:space="0" w:color="auto"/>
                  </w:divBdr>
                </w:div>
                <w:div w:id="1652325223">
                  <w:marLeft w:val="0"/>
                  <w:marRight w:val="0"/>
                  <w:marTop w:val="0"/>
                  <w:marBottom w:val="0"/>
                  <w:divBdr>
                    <w:top w:val="none" w:sz="0" w:space="0" w:color="auto"/>
                    <w:left w:val="none" w:sz="0" w:space="0" w:color="auto"/>
                    <w:bottom w:val="none" w:sz="0" w:space="0" w:color="auto"/>
                    <w:right w:val="none" w:sz="0" w:space="0" w:color="auto"/>
                  </w:divBdr>
                </w:div>
                <w:div w:id="989751726">
                  <w:marLeft w:val="0"/>
                  <w:marRight w:val="0"/>
                  <w:marTop w:val="0"/>
                  <w:marBottom w:val="0"/>
                  <w:divBdr>
                    <w:top w:val="none" w:sz="0" w:space="0" w:color="auto"/>
                    <w:left w:val="none" w:sz="0" w:space="0" w:color="auto"/>
                    <w:bottom w:val="none" w:sz="0" w:space="0" w:color="auto"/>
                    <w:right w:val="none" w:sz="0" w:space="0" w:color="auto"/>
                  </w:divBdr>
                </w:div>
                <w:div w:id="1866211995">
                  <w:marLeft w:val="0"/>
                  <w:marRight w:val="0"/>
                  <w:marTop w:val="0"/>
                  <w:marBottom w:val="0"/>
                  <w:divBdr>
                    <w:top w:val="none" w:sz="0" w:space="0" w:color="auto"/>
                    <w:left w:val="none" w:sz="0" w:space="0" w:color="auto"/>
                    <w:bottom w:val="none" w:sz="0" w:space="0" w:color="auto"/>
                    <w:right w:val="none" w:sz="0" w:space="0" w:color="auto"/>
                  </w:divBdr>
                </w:div>
                <w:div w:id="583341209">
                  <w:marLeft w:val="0"/>
                  <w:marRight w:val="0"/>
                  <w:marTop w:val="0"/>
                  <w:marBottom w:val="0"/>
                  <w:divBdr>
                    <w:top w:val="none" w:sz="0" w:space="0" w:color="auto"/>
                    <w:left w:val="none" w:sz="0" w:space="0" w:color="auto"/>
                    <w:bottom w:val="none" w:sz="0" w:space="0" w:color="auto"/>
                    <w:right w:val="none" w:sz="0" w:space="0" w:color="auto"/>
                  </w:divBdr>
                </w:div>
                <w:div w:id="852496251">
                  <w:marLeft w:val="0"/>
                  <w:marRight w:val="0"/>
                  <w:marTop w:val="0"/>
                  <w:marBottom w:val="0"/>
                  <w:divBdr>
                    <w:top w:val="none" w:sz="0" w:space="0" w:color="auto"/>
                    <w:left w:val="none" w:sz="0" w:space="0" w:color="auto"/>
                    <w:bottom w:val="none" w:sz="0" w:space="0" w:color="auto"/>
                    <w:right w:val="none" w:sz="0" w:space="0" w:color="auto"/>
                  </w:divBdr>
                </w:div>
                <w:div w:id="19659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7225">
          <w:marLeft w:val="0"/>
          <w:marRight w:val="0"/>
          <w:marTop w:val="0"/>
          <w:marBottom w:val="0"/>
          <w:divBdr>
            <w:top w:val="none" w:sz="0" w:space="0" w:color="auto"/>
            <w:left w:val="none" w:sz="0" w:space="0" w:color="auto"/>
            <w:bottom w:val="none" w:sz="0" w:space="0" w:color="auto"/>
            <w:right w:val="none" w:sz="0" w:space="0" w:color="auto"/>
          </w:divBdr>
          <w:divsChild>
            <w:div w:id="414278913">
              <w:marLeft w:val="0"/>
              <w:marRight w:val="0"/>
              <w:marTop w:val="0"/>
              <w:marBottom w:val="0"/>
              <w:divBdr>
                <w:top w:val="none" w:sz="0" w:space="0" w:color="auto"/>
                <w:left w:val="none" w:sz="0" w:space="0" w:color="auto"/>
                <w:bottom w:val="none" w:sz="0" w:space="0" w:color="auto"/>
                <w:right w:val="none" w:sz="0" w:space="0" w:color="auto"/>
              </w:divBdr>
              <w:divsChild>
                <w:div w:id="4284793">
                  <w:marLeft w:val="0"/>
                  <w:marRight w:val="0"/>
                  <w:marTop w:val="0"/>
                  <w:marBottom w:val="0"/>
                  <w:divBdr>
                    <w:top w:val="none" w:sz="0" w:space="0" w:color="auto"/>
                    <w:left w:val="none" w:sz="0" w:space="0" w:color="auto"/>
                    <w:bottom w:val="none" w:sz="0" w:space="0" w:color="auto"/>
                    <w:right w:val="none" w:sz="0" w:space="0" w:color="auto"/>
                  </w:divBdr>
                </w:div>
                <w:div w:id="348719398">
                  <w:marLeft w:val="0"/>
                  <w:marRight w:val="0"/>
                  <w:marTop w:val="0"/>
                  <w:marBottom w:val="0"/>
                  <w:divBdr>
                    <w:top w:val="none" w:sz="0" w:space="0" w:color="auto"/>
                    <w:left w:val="none" w:sz="0" w:space="0" w:color="auto"/>
                    <w:bottom w:val="none" w:sz="0" w:space="0" w:color="auto"/>
                    <w:right w:val="none" w:sz="0" w:space="0" w:color="auto"/>
                  </w:divBdr>
                </w:div>
                <w:div w:id="1866401073">
                  <w:marLeft w:val="0"/>
                  <w:marRight w:val="0"/>
                  <w:marTop w:val="0"/>
                  <w:marBottom w:val="0"/>
                  <w:divBdr>
                    <w:top w:val="none" w:sz="0" w:space="0" w:color="auto"/>
                    <w:left w:val="none" w:sz="0" w:space="0" w:color="auto"/>
                    <w:bottom w:val="none" w:sz="0" w:space="0" w:color="auto"/>
                    <w:right w:val="none" w:sz="0" w:space="0" w:color="auto"/>
                  </w:divBdr>
                </w:div>
                <w:div w:id="871459833">
                  <w:marLeft w:val="0"/>
                  <w:marRight w:val="0"/>
                  <w:marTop w:val="0"/>
                  <w:marBottom w:val="0"/>
                  <w:divBdr>
                    <w:top w:val="none" w:sz="0" w:space="0" w:color="auto"/>
                    <w:left w:val="none" w:sz="0" w:space="0" w:color="auto"/>
                    <w:bottom w:val="none" w:sz="0" w:space="0" w:color="auto"/>
                    <w:right w:val="none" w:sz="0" w:space="0" w:color="auto"/>
                  </w:divBdr>
                </w:div>
                <w:div w:id="1633175175">
                  <w:marLeft w:val="0"/>
                  <w:marRight w:val="0"/>
                  <w:marTop w:val="0"/>
                  <w:marBottom w:val="0"/>
                  <w:divBdr>
                    <w:top w:val="none" w:sz="0" w:space="0" w:color="auto"/>
                    <w:left w:val="none" w:sz="0" w:space="0" w:color="auto"/>
                    <w:bottom w:val="none" w:sz="0" w:space="0" w:color="auto"/>
                    <w:right w:val="none" w:sz="0" w:space="0" w:color="auto"/>
                  </w:divBdr>
                </w:div>
                <w:div w:id="1388409051">
                  <w:marLeft w:val="0"/>
                  <w:marRight w:val="0"/>
                  <w:marTop w:val="0"/>
                  <w:marBottom w:val="0"/>
                  <w:divBdr>
                    <w:top w:val="none" w:sz="0" w:space="0" w:color="auto"/>
                    <w:left w:val="none" w:sz="0" w:space="0" w:color="auto"/>
                    <w:bottom w:val="none" w:sz="0" w:space="0" w:color="auto"/>
                    <w:right w:val="none" w:sz="0" w:space="0" w:color="auto"/>
                  </w:divBdr>
                </w:div>
                <w:div w:id="738405741">
                  <w:marLeft w:val="0"/>
                  <w:marRight w:val="0"/>
                  <w:marTop w:val="0"/>
                  <w:marBottom w:val="0"/>
                  <w:divBdr>
                    <w:top w:val="none" w:sz="0" w:space="0" w:color="auto"/>
                    <w:left w:val="none" w:sz="0" w:space="0" w:color="auto"/>
                    <w:bottom w:val="none" w:sz="0" w:space="0" w:color="auto"/>
                    <w:right w:val="none" w:sz="0" w:space="0" w:color="auto"/>
                  </w:divBdr>
                </w:div>
                <w:div w:id="1268658681">
                  <w:marLeft w:val="0"/>
                  <w:marRight w:val="0"/>
                  <w:marTop w:val="0"/>
                  <w:marBottom w:val="0"/>
                  <w:divBdr>
                    <w:top w:val="none" w:sz="0" w:space="0" w:color="auto"/>
                    <w:left w:val="none" w:sz="0" w:space="0" w:color="auto"/>
                    <w:bottom w:val="none" w:sz="0" w:space="0" w:color="auto"/>
                    <w:right w:val="none" w:sz="0" w:space="0" w:color="auto"/>
                  </w:divBdr>
                </w:div>
                <w:div w:id="898515644">
                  <w:marLeft w:val="0"/>
                  <w:marRight w:val="0"/>
                  <w:marTop w:val="0"/>
                  <w:marBottom w:val="0"/>
                  <w:divBdr>
                    <w:top w:val="none" w:sz="0" w:space="0" w:color="auto"/>
                    <w:left w:val="none" w:sz="0" w:space="0" w:color="auto"/>
                    <w:bottom w:val="none" w:sz="0" w:space="0" w:color="auto"/>
                    <w:right w:val="none" w:sz="0" w:space="0" w:color="auto"/>
                  </w:divBdr>
                </w:div>
                <w:div w:id="1058478409">
                  <w:marLeft w:val="0"/>
                  <w:marRight w:val="0"/>
                  <w:marTop w:val="0"/>
                  <w:marBottom w:val="0"/>
                  <w:divBdr>
                    <w:top w:val="none" w:sz="0" w:space="0" w:color="auto"/>
                    <w:left w:val="none" w:sz="0" w:space="0" w:color="auto"/>
                    <w:bottom w:val="none" w:sz="0" w:space="0" w:color="auto"/>
                    <w:right w:val="none" w:sz="0" w:space="0" w:color="auto"/>
                  </w:divBdr>
                </w:div>
                <w:div w:id="561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73445">
      <w:bodyDiv w:val="1"/>
      <w:marLeft w:val="0"/>
      <w:marRight w:val="0"/>
      <w:marTop w:val="0"/>
      <w:marBottom w:val="0"/>
      <w:divBdr>
        <w:top w:val="none" w:sz="0" w:space="0" w:color="auto"/>
        <w:left w:val="none" w:sz="0" w:space="0" w:color="auto"/>
        <w:bottom w:val="none" w:sz="0" w:space="0" w:color="auto"/>
        <w:right w:val="none" w:sz="0" w:space="0" w:color="auto"/>
      </w:divBdr>
      <w:divsChild>
        <w:div w:id="2062752257">
          <w:marLeft w:val="0"/>
          <w:marRight w:val="0"/>
          <w:marTop w:val="0"/>
          <w:marBottom w:val="0"/>
          <w:divBdr>
            <w:top w:val="none" w:sz="0" w:space="0" w:color="auto"/>
            <w:left w:val="none" w:sz="0" w:space="0" w:color="auto"/>
            <w:bottom w:val="none" w:sz="0" w:space="0" w:color="auto"/>
            <w:right w:val="none" w:sz="0" w:space="0" w:color="auto"/>
          </w:divBdr>
        </w:div>
        <w:div w:id="779371612">
          <w:marLeft w:val="0"/>
          <w:marRight w:val="0"/>
          <w:marTop w:val="0"/>
          <w:marBottom w:val="0"/>
          <w:divBdr>
            <w:top w:val="none" w:sz="0" w:space="0" w:color="auto"/>
            <w:left w:val="none" w:sz="0" w:space="0" w:color="auto"/>
            <w:bottom w:val="none" w:sz="0" w:space="0" w:color="auto"/>
            <w:right w:val="none" w:sz="0" w:space="0" w:color="auto"/>
          </w:divBdr>
        </w:div>
        <w:div w:id="638724618">
          <w:marLeft w:val="0"/>
          <w:marRight w:val="0"/>
          <w:marTop w:val="0"/>
          <w:marBottom w:val="0"/>
          <w:divBdr>
            <w:top w:val="none" w:sz="0" w:space="0" w:color="auto"/>
            <w:left w:val="none" w:sz="0" w:space="0" w:color="auto"/>
            <w:bottom w:val="none" w:sz="0" w:space="0" w:color="auto"/>
            <w:right w:val="none" w:sz="0" w:space="0" w:color="auto"/>
          </w:divBdr>
        </w:div>
        <w:div w:id="1569801410">
          <w:marLeft w:val="0"/>
          <w:marRight w:val="0"/>
          <w:marTop w:val="0"/>
          <w:marBottom w:val="0"/>
          <w:divBdr>
            <w:top w:val="none" w:sz="0" w:space="0" w:color="auto"/>
            <w:left w:val="none" w:sz="0" w:space="0" w:color="auto"/>
            <w:bottom w:val="none" w:sz="0" w:space="0" w:color="auto"/>
            <w:right w:val="none" w:sz="0" w:space="0" w:color="auto"/>
          </w:divBdr>
        </w:div>
        <w:div w:id="1524783862">
          <w:marLeft w:val="0"/>
          <w:marRight w:val="0"/>
          <w:marTop w:val="0"/>
          <w:marBottom w:val="0"/>
          <w:divBdr>
            <w:top w:val="none" w:sz="0" w:space="0" w:color="auto"/>
            <w:left w:val="none" w:sz="0" w:space="0" w:color="auto"/>
            <w:bottom w:val="none" w:sz="0" w:space="0" w:color="auto"/>
            <w:right w:val="none" w:sz="0" w:space="0" w:color="auto"/>
          </w:divBdr>
        </w:div>
        <w:div w:id="795224382">
          <w:marLeft w:val="0"/>
          <w:marRight w:val="0"/>
          <w:marTop w:val="0"/>
          <w:marBottom w:val="0"/>
          <w:divBdr>
            <w:top w:val="none" w:sz="0" w:space="0" w:color="auto"/>
            <w:left w:val="none" w:sz="0" w:space="0" w:color="auto"/>
            <w:bottom w:val="none" w:sz="0" w:space="0" w:color="auto"/>
            <w:right w:val="none" w:sz="0" w:space="0" w:color="auto"/>
          </w:divBdr>
        </w:div>
        <w:div w:id="1388262207">
          <w:marLeft w:val="0"/>
          <w:marRight w:val="0"/>
          <w:marTop w:val="0"/>
          <w:marBottom w:val="0"/>
          <w:divBdr>
            <w:top w:val="none" w:sz="0" w:space="0" w:color="auto"/>
            <w:left w:val="none" w:sz="0" w:space="0" w:color="auto"/>
            <w:bottom w:val="none" w:sz="0" w:space="0" w:color="auto"/>
            <w:right w:val="none" w:sz="0" w:space="0" w:color="auto"/>
          </w:divBdr>
        </w:div>
        <w:div w:id="301428593">
          <w:marLeft w:val="0"/>
          <w:marRight w:val="0"/>
          <w:marTop w:val="0"/>
          <w:marBottom w:val="0"/>
          <w:divBdr>
            <w:top w:val="none" w:sz="0" w:space="0" w:color="auto"/>
            <w:left w:val="none" w:sz="0" w:space="0" w:color="auto"/>
            <w:bottom w:val="none" w:sz="0" w:space="0" w:color="auto"/>
            <w:right w:val="none" w:sz="0" w:space="0" w:color="auto"/>
          </w:divBdr>
        </w:div>
        <w:div w:id="2064713540">
          <w:marLeft w:val="0"/>
          <w:marRight w:val="0"/>
          <w:marTop w:val="0"/>
          <w:marBottom w:val="0"/>
          <w:divBdr>
            <w:top w:val="none" w:sz="0" w:space="0" w:color="auto"/>
            <w:left w:val="none" w:sz="0" w:space="0" w:color="auto"/>
            <w:bottom w:val="none" w:sz="0" w:space="0" w:color="auto"/>
            <w:right w:val="none" w:sz="0" w:space="0" w:color="auto"/>
          </w:divBdr>
        </w:div>
        <w:div w:id="1485514331">
          <w:marLeft w:val="0"/>
          <w:marRight w:val="0"/>
          <w:marTop w:val="0"/>
          <w:marBottom w:val="0"/>
          <w:divBdr>
            <w:top w:val="none" w:sz="0" w:space="0" w:color="auto"/>
            <w:left w:val="none" w:sz="0" w:space="0" w:color="auto"/>
            <w:bottom w:val="none" w:sz="0" w:space="0" w:color="auto"/>
            <w:right w:val="none" w:sz="0" w:space="0" w:color="auto"/>
          </w:divBdr>
        </w:div>
        <w:div w:id="223223175">
          <w:marLeft w:val="0"/>
          <w:marRight w:val="0"/>
          <w:marTop w:val="0"/>
          <w:marBottom w:val="0"/>
          <w:divBdr>
            <w:top w:val="none" w:sz="0" w:space="0" w:color="auto"/>
            <w:left w:val="none" w:sz="0" w:space="0" w:color="auto"/>
            <w:bottom w:val="none" w:sz="0" w:space="0" w:color="auto"/>
            <w:right w:val="none" w:sz="0" w:space="0" w:color="auto"/>
          </w:divBdr>
        </w:div>
        <w:div w:id="1484160158">
          <w:marLeft w:val="0"/>
          <w:marRight w:val="0"/>
          <w:marTop w:val="0"/>
          <w:marBottom w:val="0"/>
          <w:divBdr>
            <w:top w:val="none" w:sz="0" w:space="0" w:color="auto"/>
            <w:left w:val="none" w:sz="0" w:space="0" w:color="auto"/>
            <w:bottom w:val="none" w:sz="0" w:space="0" w:color="auto"/>
            <w:right w:val="none" w:sz="0" w:space="0" w:color="auto"/>
          </w:divBdr>
        </w:div>
        <w:div w:id="2035839422">
          <w:marLeft w:val="0"/>
          <w:marRight w:val="0"/>
          <w:marTop w:val="0"/>
          <w:marBottom w:val="0"/>
          <w:divBdr>
            <w:top w:val="none" w:sz="0" w:space="0" w:color="auto"/>
            <w:left w:val="none" w:sz="0" w:space="0" w:color="auto"/>
            <w:bottom w:val="none" w:sz="0" w:space="0" w:color="auto"/>
            <w:right w:val="none" w:sz="0" w:space="0" w:color="auto"/>
          </w:divBdr>
        </w:div>
        <w:div w:id="780304049">
          <w:marLeft w:val="0"/>
          <w:marRight w:val="0"/>
          <w:marTop w:val="0"/>
          <w:marBottom w:val="0"/>
          <w:divBdr>
            <w:top w:val="none" w:sz="0" w:space="0" w:color="auto"/>
            <w:left w:val="none" w:sz="0" w:space="0" w:color="auto"/>
            <w:bottom w:val="none" w:sz="0" w:space="0" w:color="auto"/>
            <w:right w:val="none" w:sz="0" w:space="0" w:color="auto"/>
          </w:divBdr>
        </w:div>
        <w:div w:id="2899601">
          <w:marLeft w:val="0"/>
          <w:marRight w:val="0"/>
          <w:marTop w:val="0"/>
          <w:marBottom w:val="0"/>
          <w:divBdr>
            <w:top w:val="none" w:sz="0" w:space="0" w:color="auto"/>
            <w:left w:val="none" w:sz="0" w:space="0" w:color="auto"/>
            <w:bottom w:val="none" w:sz="0" w:space="0" w:color="auto"/>
            <w:right w:val="none" w:sz="0" w:space="0" w:color="auto"/>
          </w:divBdr>
        </w:div>
        <w:div w:id="1696805656">
          <w:marLeft w:val="0"/>
          <w:marRight w:val="0"/>
          <w:marTop w:val="0"/>
          <w:marBottom w:val="0"/>
          <w:divBdr>
            <w:top w:val="none" w:sz="0" w:space="0" w:color="auto"/>
            <w:left w:val="none" w:sz="0" w:space="0" w:color="auto"/>
            <w:bottom w:val="none" w:sz="0" w:space="0" w:color="auto"/>
            <w:right w:val="none" w:sz="0" w:space="0" w:color="auto"/>
          </w:divBdr>
        </w:div>
        <w:div w:id="700862590">
          <w:marLeft w:val="0"/>
          <w:marRight w:val="0"/>
          <w:marTop w:val="0"/>
          <w:marBottom w:val="0"/>
          <w:divBdr>
            <w:top w:val="none" w:sz="0" w:space="0" w:color="auto"/>
            <w:left w:val="none" w:sz="0" w:space="0" w:color="auto"/>
            <w:bottom w:val="none" w:sz="0" w:space="0" w:color="auto"/>
            <w:right w:val="none" w:sz="0" w:space="0" w:color="auto"/>
          </w:divBdr>
        </w:div>
        <w:div w:id="312149182">
          <w:marLeft w:val="0"/>
          <w:marRight w:val="0"/>
          <w:marTop w:val="0"/>
          <w:marBottom w:val="0"/>
          <w:divBdr>
            <w:top w:val="none" w:sz="0" w:space="0" w:color="auto"/>
            <w:left w:val="none" w:sz="0" w:space="0" w:color="auto"/>
            <w:bottom w:val="none" w:sz="0" w:space="0" w:color="auto"/>
            <w:right w:val="none" w:sz="0" w:space="0" w:color="auto"/>
          </w:divBdr>
        </w:div>
        <w:div w:id="2014456558">
          <w:marLeft w:val="0"/>
          <w:marRight w:val="0"/>
          <w:marTop w:val="0"/>
          <w:marBottom w:val="0"/>
          <w:divBdr>
            <w:top w:val="none" w:sz="0" w:space="0" w:color="auto"/>
            <w:left w:val="none" w:sz="0" w:space="0" w:color="auto"/>
            <w:bottom w:val="none" w:sz="0" w:space="0" w:color="auto"/>
            <w:right w:val="none" w:sz="0" w:space="0" w:color="auto"/>
          </w:divBdr>
        </w:div>
        <w:div w:id="2126078418">
          <w:marLeft w:val="0"/>
          <w:marRight w:val="0"/>
          <w:marTop w:val="0"/>
          <w:marBottom w:val="0"/>
          <w:divBdr>
            <w:top w:val="none" w:sz="0" w:space="0" w:color="auto"/>
            <w:left w:val="none" w:sz="0" w:space="0" w:color="auto"/>
            <w:bottom w:val="none" w:sz="0" w:space="0" w:color="auto"/>
            <w:right w:val="none" w:sz="0" w:space="0" w:color="auto"/>
          </w:divBdr>
        </w:div>
        <w:div w:id="1594120160">
          <w:marLeft w:val="0"/>
          <w:marRight w:val="0"/>
          <w:marTop w:val="0"/>
          <w:marBottom w:val="0"/>
          <w:divBdr>
            <w:top w:val="none" w:sz="0" w:space="0" w:color="auto"/>
            <w:left w:val="none" w:sz="0" w:space="0" w:color="auto"/>
            <w:bottom w:val="none" w:sz="0" w:space="0" w:color="auto"/>
            <w:right w:val="none" w:sz="0" w:space="0" w:color="auto"/>
          </w:divBdr>
        </w:div>
        <w:div w:id="1579318184">
          <w:marLeft w:val="0"/>
          <w:marRight w:val="0"/>
          <w:marTop w:val="0"/>
          <w:marBottom w:val="0"/>
          <w:divBdr>
            <w:top w:val="none" w:sz="0" w:space="0" w:color="auto"/>
            <w:left w:val="none" w:sz="0" w:space="0" w:color="auto"/>
            <w:bottom w:val="none" w:sz="0" w:space="0" w:color="auto"/>
            <w:right w:val="none" w:sz="0" w:space="0" w:color="auto"/>
          </w:divBdr>
        </w:div>
        <w:div w:id="243536669">
          <w:marLeft w:val="0"/>
          <w:marRight w:val="0"/>
          <w:marTop w:val="0"/>
          <w:marBottom w:val="0"/>
          <w:divBdr>
            <w:top w:val="none" w:sz="0" w:space="0" w:color="auto"/>
            <w:left w:val="none" w:sz="0" w:space="0" w:color="auto"/>
            <w:bottom w:val="none" w:sz="0" w:space="0" w:color="auto"/>
            <w:right w:val="none" w:sz="0" w:space="0" w:color="auto"/>
          </w:divBdr>
        </w:div>
        <w:div w:id="1321890677">
          <w:marLeft w:val="0"/>
          <w:marRight w:val="0"/>
          <w:marTop w:val="0"/>
          <w:marBottom w:val="0"/>
          <w:divBdr>
            <w:top w:val="none" w:sz="0" w:space="0" w:color="auto"/>
            <w:left w:val="none" w:sz="0" w:space="0" w:color="auto"/>
            <w:bottom w:val="none" w:sz="0" w:space="0" w:color="auto"/>
            <w:right w:val="none" w:sz="0" w:space="0" w:color="auto"/>
          </w:divBdr>
        </w:div>
        <w:div w:id="1786532700">
          <w:marLeft w:val="0"/>
          <w:marRight w:val="0"/>
          <w:marTop w:val="0"/>
          <w:marBottom w:val="0"/>
          <w:divBdr>
            <w:top w:val="none" w:sz="0" w:space="0" w:color="auto"/>
            <w:left w:val="none" w:sz="0" w:space="0" w:color="auto"/>
            <w:bottom w:val="none" w:sz="0" w:space="0" w:color="auto"/>
            <w:right w:val="none" w:sz="0" w:space="0" w:color="auto"/>
          </w:divBdr>
        </w:div>
        <w:div w:id="552422032">
          <w:marLeft w:val="0"/>
          <w:marRight w:val="0"/>
          <w:marTop w:val="0"/>
          <w:marBottom w:val="0"/>
          <w:divBdr>
            <w:top w:val="none" w:sz="0" w:space="0" w:color="auto"/>
            <w:left w:val="none" w:sz="0" w:space="0" w:color="auto"/>
            <w:bottom w:val="none" w:sz="0" w:space="0" w:color="auto"/>
            <w:right w:val="none" w:sz="0" w:space="0" w:color="auto"/>
          </w:divBdr>
        </w:div>
        <w:div w:id="328675947">
          <w:marLeft w:val="0"/>
          <w:marRight w:val="0"/>
          <w:marTop w:val="0"/>
          <w:marBottom w:val="0"/>
          <w:divBdr>
            <w:top w:val="none" w:sz="0" w:space="0" w:color="auto"/>
            <w:left w:val="none" w:sz="0" w:space="0" w:color="auto"/>
            <w:bottom w:val="none" w:sz="0" w:space="0" w:color="auto"/>
            <w:right w:val="none" w:sz="0" w:space="0" w:color="auto"/>
          </w:divBdr>
        </w:div>
        <w:div w:id="1289698859">
          <w:marLeft w:val="0"/>
          <w:marRight w:val="0"/>
          <w:marTop w:val="0"/>
          <w:marBottom w:val="0"/>
          <w:divBdr>
            <w:top w:val="none" w:sz="0" w:space="0" w:color="auto"/>
            <w:left w:val="none" w:sz="0" w:space="0" w:color="auto"/>
            <w:bottom w:val="none" w:sz="0" w:space="0" w:color="auto"/>
            <w:right w:val="none" w:sz="0" w:space="0" w:color="auto"/>
          </w:divBdr>
        </w:div>
        <w:div w:id="484510946">
          <w:marLeft w:val="0"/>
          <w:marRight w:val="0"/>
          <w:marTop w:val="0"/>
          <w:marBottom w:val="0"/>
          <w:divBdr>
            <w:top w:val="none" w:sz="0" w:space="0" w:color="auto"/>
            <w:left w:val="none" w:sz="0" w:space="0" w:color="auto"/>
            <w:bottom w:val="none" w:sz="0" w:space="0" w:color="auto"/>
            <w:right w:val="none" w:sz="0" w:space="0" w:color="auto"/>
          </w:divBdr>
        </w:div>
        <w:div w:id="996150973">
          <w:marLeft w:val="0"/>
          <w:marRight w:val="0"/>
          <w:marTop w:val="0"/>
          <w:marBottom w:val="0"/>
          <w:divBdr>
            <w:top w:val="none" w:sz="0" w:space="0" w:color="auto"/>
            <w:left w:val="none" w:sz="0" w:space="0" w:color="auto"/>
            <w:bottom w:val="none" w:sz="0" w:space="0" w:color="auto"/>
            <w:right w:val="none" w:sz="0" w:space="0" w:color="auto"/>
          </w:divBdr>
        </w:div>
        <w:div w:id="100687343">
          <w:marLeft w:val="0"/>
          <w:marRight w:val="0"/>
          <w:marTop w:val="0"/>
          <w:marBottom w:val="0"/>
          <w:divBdr>
            <w:top w:val="none" w:sz="0" w:space="0" w:color="auto"/>
            <w:left w:val="none" w:sz="0" w:space="0" w:color="auto"/>
            <w:bottom w:val="none" w:sz="0" w:space="0" w:color="auto"/>
            <w:right w:val="none" w:sz="0" w:space="0" w:color="auto"/>
          </w:divBdr>
        </w:div>
        <w:div w:id="961114180">
          <w:marLeft w:val="0"/>
          <w:marRight w:val="0"/>
          <w:marTop w:val="0"/>
          <w:marBottom w:val="0"/>
          <w:divBdr>
            <w:top w:val="none" w:sz="0" w:space="0" w:color="auto"/>
            <w:left w:val="none" w:sz="0" w:space="0" w:color="auto"/>
            <w:bottom w:val="none" w:sz="0" w:space="0" w:color="auto"/>
            <w:right w:val="none" w:sz="0" w:space="0" w:color="auto"/>
          </w:divBdr>
        </w:div>
        <w:div w:id="214044931">
          <w:marLeft w:val="0"/>
          <w:marRight w:val="0"/>
          <w:marTop w:val="0"/>
          <w:marBottom w:val="0"/>
          <w:divBdr>
            <w:top w:val="none" w:sz="0" w:space="0" w:color="auto"/>
            <w:left w:val="none" w:sz="0" w:space="0" w:color="auto"/>
            <w:bottom w:val="none" w:sz="0" w:space="0" w:color="auto"/>
            <w:right w:val="none" w:sz="0" w:space="0" w:color="auto"/>
          </w:divBdr>
        </w:div>
        <w:div w:id="601886627">
          <w:marLeft w:val="0"/>
          <w:marRight w:val="0"/>
          <w:marTop w:val="0"/>
          <w:marBottom w:val="0"/>
          <w:divBdr>
            <w:top w:val="none" w:sz="0" w:space="0" w:color="auto"/>
            <w:left w:val="none" w:sz="0" w:space="0" w:color="auto"/>
            <w:bottom w:val="none" w:sz="0" w:space="0" w:color="auto"/>
            <w:right w:val="none" w:sz="0" w:space="0" w:color="auto"/>
          </w:divBdr>
        </w:div>
        <w:div w:id="1924412777">
          <w:marLeft w:val="0"/>
          <w:marRight w:val="0"/>
          <w:marTop w:val="0"/>
          <w:marBottom w:val="0"/>
          <w:divBdr>
            <w:top w:val="none" w:sz="0" w:space="0" w:color="auto"/>
            <w:left w:val="none" w:sz="0" w:space="0" w:color="auto"/>
            <w:bottom w:val="none" w:sz="0" w:space="0" w:color="auto"/>
            <w:right w:val="none" w:sz="0" w:space="0" w:color="auto"/>
          </w:divBdr>
        </w:div>
        <w:div w:id="661082418">
          <w:marLeft w:val="0"/>
          <w:marRight w:val="0"/>
          <w:marTop w:val="0"/>
          <w:marBottom w:val="0"/>
          <w:divBdr>
            <w:top w:val="none" w:sz="0" w:space="0" w:color="auto"/>
            <w:left w:val="none" w:sz="0" w:space="0" w:color="auto"/>
            <w:bottom w:val="none" w:sz="0" w:space="0" w:color="auto"/>
            <w:right w:val="none" w:sz="0" w:space="0" w:color="auto"/>
          </w:divBdr>
        </w:div>
        <w:div w:id="468282755">
          <w:marLeft w:val="0"/>
          <w:marRight w:val="0"/>
          <w:marTop w:val="0"/>
          <w:marBottom w:val="0"/>
          <w:divBdr>
            <w:top w:val="none" w:sz="0" w:space="0" w:color="auto"/>
            <w:left w:val="none" w:sz="0" w:space="0" w:color="auto"/>
            <w:bottom w:val="none" w:sz="0" w:space="0" w:color="auto"/>
            <w:right w:val="none" w:sz="0" w:space="0" w:color="auto"/>
          </w:divBdr>
        </w:div>
        <w:div w:id="1802531591">
          <w:marLeft w:val="0"/>
          <w:marRight w:val="0"/>
          <w:marTop w:val="0"/>
          <w:marBottom w:val="0"/>
          <w:divBdr>
            <w:top w:val="none" w:sz="0" w:space="0" w:color="auto"/>
            <w:left w:val="none" w:sz="0" w:space="0" w:color="auto"/>
            <w:bottom w:val="none" w:sz="0" w:space="0" w:color="auto"/>
            <w:right w:val="none" w:sz="0" w:space="0" w:color="auto"/>
          </w:divBdr>
        </w:div>
        <w:div w:id="2104259630">
          <w:marLeft w:val="0"/>
          <w:marRight w:val="0"/>
          <w:marTop w:val="0"/>
          <w:marBottom w:val="0"/>
          <w:divBdr>
            <w:top w:val="none" w:sz="0" w:space="0" w:color="auto"/>
            <w:left w:val="none" w:sz="0" w:space="0" w:color="auto"/>
            <w:bottom w:val="none" w:sz="0" w:space="0" w:color="auto"/>
            <w:right w:val="none" w:sz="0" w:space="0" w:color="auto"/>
          </w:divBdr>
        </w:div>
        <w:div w:id="1124614548">
          <w:marLeft w:val="0"/>
          <w:marRight w:val="0"/>
          <w:marTop w:val="0"/>
          <w:marBottom w:val="0"/>
          <w:divBdr>
            <w:top w:val="none" w:sz="0" w:space="0" w:color="auto"/>
            <w:left w:val="none" w:sz="0" w:space="0" w:color="auto"/>
            <w:bottom w:val="none" w:sz="0" w:space="0" w:color="auto"/>
            <w:right w:val="none" w:sz="0" w:space="0" w:color="auto"/>
          </w:divBdr>
        </w:div>
        <w:div w:id="1536309595">
          <w:marLeft w:val="0"/>
          <w:marRight w:val="0"/>
          <w:marTop w:val="0"/>
          <w:marBottom w:val="0"/>
          <w:divBdr>
            <w:top w:val="none" w:sz="0" w:space="0" w:color="auto"/>
            <w:left w:val="none" w:sz="0" w:space="0" w:color="auto"/>
            <w:bottom w:val="none" w:sz="0" w:space="0" w:color="auto"/>
            <w:right w:val="none" w:sz="0" w:space="0" w:color="auto"/>
          </w:divBdr>
        </w:div>
        <w:div w:id="1893882378">
          <w:marLeft w:val="0"/>
          <w:marRight w:val="0"/>
          <w:marTop w:val="0"/>
          <w:marBottom w:val="0"/>
          <w:divBdr>
            <w:top w:val="none" w:sz="0" w:space="0" w:color="auto"/>
            <w:left w:val="none" w:sz="0" w:space="0" w:color="auto"/>
            <w:bottom w:val="none" w:sz="0" w:space="0" w:color="auto"/>
            <w:right w:val="none" w:sz="0" w:space="0" w:color="auto"/>
          </w:divBdr>
        </w:div>
        <w:div w:id="1354503348">
          <w:marLeft w:val="0"/>
          <w:marRight w:val="0"/>
          <w:marTop w:val="0"/>
          <w:marBottom w:val="0"/>
          <w:divBdr>
            <w:top w:val="none" w:sz="0" w:space="0" w:color="auto"/>
            <w:left w:val="none" w:sz="0" w:space="0" w:color="auto"/>
            <w:bottom w:val="none" w:sz="0" w:space="0" w:color="auto"/>
            <w:right w:val="none" w:sz="0" w:space="0" w:color="auto"/>
          </w:divBdr>
        </w:div>
        <w:div w:id="1158963466">
          <w:marLeft w:val="0"/>
          <w:marRight w:val="0"/>
          <w:marTop w:val="0"/>
          <w:marBottom w:val="0"/>
          <w:divBdr>
            <w:top w:val="none" w:sz="0" w:space="0" w:color="auto"/>
            <w:left w:val="none" w:sz="0" w:space="0" w:color="auto"/>
            <w:bottom w:val="none" w:sz="0" w:space="0" w:color="auto"/>
            <w:right w:val="none" w:sz="0" w:space="0" w:color="auto"/>
          </w:divBdr>
        </w:div>
        <w:div w:id="1602687860">
          <w:marLeft w:val="0"/>
          <w:marRight w:val="0"/>
          <w:marTop w:val="0"/>
          <w:marBottom w:val="0"/>
          <w:divBdr>
            <w:top w:val="none" w:sz="0" w:space="0" w:color="auto"/>
            <w:left w:val="none" w:sz="0" w:space="0" w:color="auto"/>
            <w:bottom w:val="none" w:sz="0" w:space="0" w:color="auto"/>
            <w:right w:val="none" w:sz="0" w:space="0" w:color="auto"/>
          </w:divBdr>
        </w:div>
        <w:div w:id="1158768863">
          <w:marLeft w:val="0"/>
          <w:marRight w:val="0"/>
          <w:marTop w:val="0"/>
          <w:marBottom w:val="0"/>
          <w:divBdr>
            <w:top w:val="none" w:sz="0" w:space="0" w:color="auto"/>
            <w:left w:val="none" w:sz="0" w:space="0" w:color="auto"/>
            <w:bottom w:val="none" w:sz="0" w:space="0" w:color="auto"/>
            <w:right w:val="none" w:sz="0" w:space="0" w:color="auto"/>
          </w:divBdr>
        </w:div>
        <w:div w:id="1248465578">
          <w:marLeft w:val="0"/>
          <w:marRight w:val="0"/>
          <w:marTop w:val="0"/>
          <w:marBottom w:val="0"/>
          <w:divBdr>
            <w:top w:val="none" w:sz="0" w:space="0" w:color="auto"/>
            <w:left w:val="none" w:sz="0" w:space="0" w:color="auto"/>
            <w:bottom w:val="none" w:sz="0" w:space="0" w:color="auto"/>
            <w:right w:val="none" w:sz="0" w:space="0" w:color="auto"/>
          </w:divBdr>
        </w:div>
        <w:div w:id="448163583">
          <w:marLeft w:val="0"/>
          <w:marRight w:val="0"/>
          <w:marTop w:val="0"/>
          <w:marBottom w:val="0"/>
          <w:divBdr>
            <w:top w:val="none" w:sz="0" w:space="0" w:color="auto"/>
            <w:left w:val="none" w:sz="0" w:space="0" w:color="auto"/>
            <w:bottom w:val="none" w:sz="0" w:space="0" w:color="auto"/>
            <w:right w:val="none" w:sz="0" w:space="0" w:color="auto"/>
          </w:divBdr>
        </w:div>
        <w:div w:id="1318459666">
          <w:marLeft w:val="0"/>
          <w:marRight w:val="0"/>
          <w:marTop w:val="0"/>
          <w:marBottom w:val="0"/>
          <w:divBdr>
            <w:top w:val="none" w:sz="0" w:space="0" w:color="auto"/>
            <w:left w:val="none" w:sz="0" w:space="0" w:color="auto"/>
            <w:bottom w:val="none" w:sz="0" w:space="0" w:color="auto"/>
            <w:right w:val="none" w:sz="0" w:space="0" w:color="auto"/>
          </w:divBdr>
        </w:div>
        <w:div w:id="1304627529">
          <w:marLeft w:val="0"/>
          <w:marRight w:val="0"/>
          <w:marTop w:val="0"/>
          <w:marBottom w:val="0"/>
          <w:divBdr>
            <w:top w:val="none" w:sz="0" w:space="0" w:color="auto"/>
            <w:left w:val="none" w:sz="0" w:space="0" w:color="auto"/>
            <w:bottom w:val="none" w:sz="0" w:space="0" w:color="auto"/>
            <w:right w:val="none" w:sz="0" w:space="0" w:color="auto"/>
          </w:divBdr>
        </w:div>
        <w:div w:id="1369527969">
          <w:marLeft w:val="0"/>
          <w:marRight w:val="0"/>
          <w:marTop w:val="0"/>
          <w:marBottom w:val="0"/>
          <w:divBdr>
            <w:top w:val="none" w:sz="0" w:space="0" w:color="auto"/>
            <w:left w:val="none" w:sz="0" w:space="0" w:color="auto"/>
            <w:bottom w:val="none" w:sz="0" w:space="0" w:color="auto"/>
            <w:right w:val="none" w:sz="0" w:space="0" w:color="auto"/>
          </w:divBdr>
        </w:div>
        <w:div w:id="322467641">
          <w:marLeft w:val="0"/>
          <w:marRight w:val="0"/>
          <w:marTop w:val="0"/>
          <w:marBottom w:val="0"/>
          <w:divBdr>
            <w:top w:val="none" w:sz="0" w:space="0" w:color="auto"/>
            <w:left w:val="none" w:sz="0" w:space="0" w:color="auto"/>
            <w:bottom w:val="none" w:sz="0" w:space="0" w:color="auto"/>
            <w:right w:val="none" w:sz="0" w:space="0" w:color="auto"/>
          </w:divBdr>
        </w:div>
        <w:div w:id="2130080957">
          <w:marLeft w:val="0"/>
          <w:marRight w:val="0"/>
          <w:marTop w:val="0"/>
          <w:marBottom w:val="0"/>
          <w:divBdr>
            <w:top w:val="none" w:sz="0" w:space="0" w:color="auto"/>
            <w:left w:val="none" w:sz="0" w:space="0" w:color="auto"/>
            <w:bottom w:val="none" w:sz="0" w:space="0" w:color="auto"/>
            <w:right w:val="none" w:sz="0" w:space="0" w:color="auto"/>
          </w:divBdr>
        </w:div>
        <w:div w:id="392437538">
          <w:marLeft w:val="0"/>
          <w:marRight w:val="0"/>
          <w:marTop w:val="0"/>
          <w:marBottom w:val="0"/>
          <w:divBdr>
            <w:top w:val="none" w:sz="0" w:space="0" w:color="auto"/>
            <w:left w:val="none" w:sz="0" w:space="0" w:color="auto"/>
            <w:bottom w:val="none" w:sz="0" w:space="0" w:color="auto"/>
            <w:right w:val="none" w:sz="0" w:space="0" w:color="auto"/>
          </w:divBdr>
        </w:div>
        <w:div w:id="1987973063">
          <w:marLeft w:val="0"/>
          <w:marRight w:val="0"/>
          <w:marTop w:val="0"/>
          <w:marBottom w:val="0"/>
          <w:divBdr>
            <w:top w:val="none" w:sz="0" w:space="0" w:color="auto"/>
            <w:left w:val="none" w:sz="0" w:space="0" w:color="auto"/>
            <w:bottom w:val="none" w:sz="0" w:space="0" w:color="auto"/>
            <w:right w:val="none" w:sz="0" w:space="0" w:color="auto"/>
          </w:divBdr>
        </w:div>
        <w:div w:id="1396003931">
          <w:marLeft w:val="0"/>
          <w:marRight w:val="0"/>
          <w:marTop w:val="0"/>
          <w:marBottom w:val="0"/>
          <w:divBdr>
            <w:top w:val="none" w:sz="0" w:space="0" w:color="auto"/>
            <w:left w:val="none" w:sz="0" w:space="0" w:color="auto"/>
            <w:bottom w:val="none" w:sz="0" w:space="0" w:color="auto"/>
            <w:right w:val="none" w:sz="0" w:space="0" w:color="auto"/>
          </w:divBdr>
        </w:div>
        <w:div w:id="1365322341">
          <w:marLeft w:val="0"/>
          <w:marRight w:val="0"/>
          <w:marTop w:val="0"/>
          <w:marBottom w:val="0"/>
          <w:divBdr>
            <w:top w:val="none" w:sz="0" w:space="0" w:color="auto"/>
            <w:left w:val="none" w:sz="0" w:space="0" w:color="auto"/>
            <w:bottom w:val="none" w:sz="0" w:space="0" w:color="auto"/>
            <w:right w:val="none" w:sz="0" w:space="0" w:color="auto"/>
          </w:divBdr>
        </w:div>
        <w:div w:id="39211315">
          <w:marLeft w:val="0"/>
          <w:marRight w:val="0"/>
          <w:marTop w:val="0"/>
          <w:marBottom w:val="0"/>
          <w:divBdr>
            <w:top w:val="none" w:sz="0" w:space="0" w:color="auto"/>
            <w:left w:val="none" w:sz="0" w:space="0" w:color="auto"/>
            <w:bottom w:val="none" w:sz="0" w:space="0" w:color="auto"/>
            <w:right w:val="none" w:sz="0" w:space="0" w:color="auto"/>
          </w:divBdr>
        </w:div>
        <w:div w:id="542836732">
          <w:marLeft w:val="0"/>
          <w:marRight w:val="0"/>
          <w:marTop w:val="0"/>
          <w:marBottom w:val="0"/>
          <w:divBdr>
            <w:top w:val="none" w:sz="0" w:space="0" w:color="auto"/>
            <w:left w:val="none" w:sz="0" w:space="0" w:color="auto"/>
            <w:bottom w:val="none" w:sz="0" w:space="0" w:color="auto"/>
            <w:right w:val="none" w:sz="0" w:space="0" w:color="auto"/>
          </w:divBdr>
        </w:div>
        <w:div w:id="1422872456">
          <w:marLeft w:val="0"/>
          <w:marRight w:val="0"/>
          <w:marTop w:val="0"/>
          <w:marBottom w:val="0"/>
          <w:divBdr>
            <w:top w:val="none" w:sz="0" w:space="0" w:color="auto"/>
            <w:left w:val="none" w:sz="0" w:space="0" w:color="auto"/>
            <w:bottom w:val="none" w:sz="0" w:space="0" w:color="auto"/>
            <w:right w:val="none" w:sz="0" w:space="0" w:color="auto"/>
          </w:divBdr>
        </w:div>
        <w:div w:id="981275191">
          <w:marLeft w:val="0"/>
          <w:marRight w:val="0"/>
          <w:marTop w:val="0"/>
          <w:marBottom w:val="0"/>
          <w:divBdr>
            <w:top w:val="none" w:sz="0" w:space="0" w:color="auto"/>
            <w:left w:val="none" w:sz="0" w:space="0" w:color="auto"/>
            <w:bottom w:val="none" w:sz="0" w:space="0" w:color="auto"/>
            <w:right w:val="none" w:sz="0" w:space="0" w:color="auto"/>
          </w:divBdr>
        </w:div>
        <w:div w:id="1113549619">
          <w:marLeft w:val="0"/>
          <w:marRight w:val="0"/>
          <w:marTop w:val="0"/>
          <w:marBottom w:val="0"/>
          <w:divBdr>
            <w:top w:val="none" w:sz="0" w:space="0" w:color="auto"/>
            <w:left w:val="none" w:sz="0" w:space="0" w:color="auto"/>
            <w:bottom w:val="none" w:sz="0" w:space="0" w:color="auto"/>
            <w:right w:val="none" w:sz="0" w:space="0" w:color="auto"/>
          </w:divBdr>
        </w:div>
        <w:div w:id="436603559">
          <w:marLeft w:val="0"/>
          <w:marRight w:val="0"/>
          <w:marTop w:val="0"/>
          <w:marBottom w:val="0"/>
          <w:divBdr>
            <w:top w:val="none" w:sz="0" w:space="0" w:color="auto"/>
            <w:left w:val="none" w:sz="0" w:space="0" w:color="auto"/>
            <w:bottom w:val="none" w:sz="0" w:space="0" w:color="auto"/>
            <w:right w:val="none" w:sz="0" w:space="0" w:color="auto"/>
          </w:divBdr>
        </w:div>
        <w:div w:id="618223540">
          <w:marLeft w:val="0"/>
          <w:marRight w:val="0"/>
          <w:marTop w:val="0"/>
          <w:marBottom w:val="0"/>
          <w:divBdr>
            <w:top w:val="none" w:sz="0" w:space="0" w:color="auto"/>
            <w:left w:val="none" w:sz="0" w:space="0" w:color="auto"/>
            <w:bottom w:val="none" w:sz="0" w:space="0" w:color="auto"/>
            <w:right w:val="none" w:sz="0" w:space="0" w:color="auto"/>
          </w:divBdr>
        </w:div>
        <w:div w:id="903563355">
          <w:marLeft w:val="0"/>
          <w:marRight w:val="0"/>
          <w:marTop w:val="0"/>
          <w:marBottom w:val="0"/>
          <w:divBdr>
            <w:top w:val="none" w:sz="0" w:space="0" w:color="auto"/>
            <w:left w:val="none" w:sz="0" w:space="0" w:color="auto"/>
            <w:bottom w:val="none" w:sz="0" w:space="0" w:color="auto"/>
            <w:right w:val="none" w:sz="0" w:space="0" w:color="auto"/>
          </w:divBdr>
        </w:div>
        <w:div w:id="1520192031">
          <w:marLeft w:val="0"/>
          <w:marRight w:val="0"/>
          <w:marTop w:val="0"/>
          <w:marBottom w:val="0"/>
          <w:divBdr>
            <w:top w:val="none" w:sz="0" w:space="0" w:color="auto"/>
            <w:left w:val="none" w:sz="0" w:space="0" w:color="auto"/>
            <w:bottom w:val="none" w:sz="0" w:space="0" w:color="auto"/>
            <w:right w:val="none" w:sz="0" w:space="0" w:color="auto"/>
          </w:divBdr>
        </w:div>
        <w:div w:id="440800163">
          <w:marLeft w:val="0"/>
          <w:marRight w:val="0"/>
          <w:marTop w:val="0"/>
          <w:marBottom w:val="0"/>
          <w:divBdr>
            <w:top w:val="none" w:sz="0" w:space="0" w:color="auto"/>
            <w:left w:val="none" w:sz="0" w:space="0" w:color="auto"/>
            <w:bottom w:val="none" w:sz="0" w:space="0" w:color="auto"/>
            <w:right w:val="none" w:sz="0" w:space="0" w:color="auto"/>
          </w:divBdr>
        </w:div>
        <w:div w:id="1335304438">
          <w:marLeft w:val="0"/>
          <w:marRight w:val="0"/>
          <w:marTop w:val="0"/>
          <w:marBottom w:val="0"/>
          <w:divBdr>
            <w:top w:val="none" w:sz="0" w:space="0" w:color="auto"/>
            <w:left w:val="none" w:sz="0" w:space="0" w:color="auto"/>
            <w:bottom w:val="none" w:sz="0" w:space="0" w:color="auto"/>
            <w:right w:val="none" w:sz="0" w:space="0" w:color="auto"/>
          </w:divBdr>
        </w:div>
        <w:div w:id="462382126">
          <w:marLeft w:val="0"/>
          <w:marRight w:val="0"/>
          <w:marTop w:val="0"/>
          <w:marBottom w:val="0"/>
          <w:divBdr>
            <w:top w:val="none" w:sz="0" w:space="0" w:color="auto"/>
            <w:left w:val="none" w:sz="0" w:space="0" w:color="auto"/>
            <w:bottom w:val="none" w:sz="0" w:space="0" w:color="auto"/>
            <w:right w:val="none" w:sz="0" w:space="0" w:color="auto"/>
          </w:divBdr>
        </w:div>
        <w:div w:id="1881238124">
          <w:marLeft w:val="0"/>
          <w:marRight w:val="0"/>
          <w:marTop w:val="0"/>
          <w:marBottom w:val="0"/>
          <w:divBdr>
            <w:top w:val="none" w:sz="0" w:space="0" w:color="auto"/>
            <w:left w:val="none" w:sz="0" w:space="0" w:color="auto"/>
            <w:bottom w:val="none" w:sz="0" w:space="0" w:color="auto"/>
            <w:right w:val="none" w:sz="0" w:space="0" w:color="auto"/>
          </w:divBdr>
        </w:div>
        <w:div w:id="1613170489">
          <w:marLeft w:val="0"/>
          <w:marRight w:val="0"/>
          <w:marTop w:val="0"/>
          <w:marBottom w:val="0"/>
          <w:divBdr>
            <w:top w:val="none" w:sz="0" w:space="0" w:color="auto"/>
            <w:left w:val="none" w:sz="0" w:space="0" w:color="auto"/>
            <w:bottom w:val="none" w:sz="0" w:space="0" w:color="auto"/>
            <w:right w:val="none" w:sz="0" w:space="0" w:color="auto"/>
          </w:divBdr>
        </w:div>
        <w:div w:id="567688280">
          <w:marLeft w:val="0"/>
          <w:marRight w:val="0"/>
          <w:marTop w:val="0"/>
          <w:marBottom w:val="0"/>
          <w:divBdr>
            <w:top w:val="none" w:sz="0" w:space="0" w:color="auto"/>
            <w:left w:val="none" w:sz="0" w:space="0" w:color="auto"/>
            <w:bottom w:val="none" w:sz="0" w:space="0" w:color="auto"/>
            <w:right w:val="none" w:sz="0" w:space="0" w:color="auto"/>
          </w:divBdr>
        </w:div>
        <w:div w:id="116146696">
          <w:marLeft w:val="0"/>
          <w:marRight w:val="0"/>
          <w:marTop w:val="0"/>
          <w:marBottom w:val="0"/>
          <w:divBdr>
            <w:top w:val="none" w:sz="0" w:space="0" w:color="auto"/>
            <w:left w:val="none" w:sz="0" w:space="0" w:color="auto"/>
            <w:bottom w:val="none" w:sz="0" w:space="0" w:color="auto"/>
            <w:right w:val="none" w:sz="0" w:space="0" w:color="auto"/>
          </w:divBdr>
        </w:div>
        <w:div w:id="1505626742">
          <w:marLeft w:val="0"/>
          <w:marRight w:val="0"/>
          <w:marTop w:val="0"/>
          <w:marBottom w:val="0"/>
          <w:divBdr>
            <w:top w:val="none" w:sz="0" w:space="0" w:color="auto"/>
            <w:left w:val="none" w:sz="0" w:space="0" w:color="auto"/>
            <w:bottom w:val="none" w:sz="0" w:space="0" w:color="auto"/>
            <w:right w:val="none" w:sz="0" w:space="0" w:color="auto"/>
          </w:divBdr>
        </w:div>
        <w:div w:id="1587953212">
          <w:marLeft w:val="0"/>
          <w:marRight w:val="0"/>
          <w:marTop w:val="0"/>
          <w:marBottom w:val="0"/>
          <w:divBdr>
            <w:top w:val="none" w:sz="0" w:space="0" w:color="auto"/>
            <w:left w:val="none" w:sz="0" w:space="0" w:color="auto"/>
            <w:bottom w:val="none" w:sz="0" w:space="0" w:color="auto"/>
            <w:right w:val="none" w:sz="0" w:space="0" w:color="auto"/>
          </w:divBdr>
        </w:div>
        <w:div w:id="691036422">
          <w:marLeft w:val="0"/>
          <w:marRight w:val="0"/>
          <w:marTop w:val="0"/>
          <w:marBottom w:val="0"/>
          <w:divBdr>
            <w:top w:val="none" w:sz="0" w:space="0" w:color="auto"/>
            <w:left w:val="none" w:sz="0" w:space="0" w:color="auto"/>
            <w:bottom w:val="none" w:sz="0" w:space="0" w:color="auto"/>
            <w:right w:val="none" w:sz="0" w:space="0" w:color="auto"/>
          </w:divBdr>
        </w:div>
        <w:div w:id="1214342400">
          <w:marLeft w:val="0"/>
          <w:marRight w:val="0"/>
          <w:marTop w:val="0"/>
          <w:marBottom w:val="0"/>
          <w:divBdr>
            <w:top w:val="none" w:sz="0" w:space="0" w:color="auto"/>
            <w:left w:val="none" w:sz="0" w:space="0" w:color="auto"/>
            <w:bottom w:val="none" w:sz="0" w:space="0" w:color="auto"/>
            <w:right w:val="none" w:sz="0" w:space="0" w:color="auto"/>
          </w:divBdr>
        </w:div>
        <w:div w:id="1671827525">
          <w:marLeft w:val="0"/>
          <w:marRight w:val="0"/>
          <w:marTop w:val="0"/>
          <w:marBottom w:val="0"/>
          <w:divBdr>
            <w:top w:val="none" w:sz="0" w:space="0" w:color="auto"/>
            <w:left w:val="none" w:sz="0" w:space="0" w:color="auto"/>
            <w:bottom w:val="none" w:sz="0" w:space="0" w:color="auto"/>
            <w:right w:val="none" w:sz="0" w:space="0" w:color="auto"/>
          </w:divBdr>
        </w:div>
        <w:div w:id="806387549">
          <w:marLeft w:val="0"/>
          <w:marRight w:val="0"/>
          <w:marTop w:val="0"/>
          <w:marBottom w:val="0"/>
          <w:divBdr>
            <w:top w:val="none" w:sz="0" w:space="0" w:color="auto"/>
            <w:left w:val="none" w:sz="0" w:space="0" w:color="auto"/>
            <w:bottom w:val="none" w:sz="0" w:space="0" w:color="auto"/>
            <w:right w:val="none" w:sz="0" w:space="0" w:color="auto"/>
          </w:divBdr>
        </w:div>
        <w:div w:id="936863443">
          <w:marLeft w:val="0"/>
          <w:marRight w:val="0"/>
          <w:marTop w:val="0"/>
          <w:marBottom w:val="0"/>
          <w:divBdr>
            <w:top w:val="none" w:sz="0" w:space="0" w:color="auto"/>
            <w:left w:val="none" w:sz="0" w:space="0" w:color="auto"/>
            <w:bottom w:val="none" w:sz="0" w:space="0" w:color="auto"/>
            <w:right w:val="none" w:sz="0" w:space="0" w:color="auto"/>
          </w:divBdr>
        </w:div>
        <w:div w:id="1672223108">
          <w:marLeft w:val="0"/>
          <w:marRight w:val="0"/>
          <w:marTop w:val="0"/>
          <w:marBottom w:val="0"/>
          <w:divBdr>
            <w:top w:val="none" w:sz="0" w:space="0" w:color="auto"/>
            <w:left w:val="none" w:sz="0" w:space="0" w:color="auto"/>
            <w:bottom w:val="none" w:sz="0" w:space="0" w:color="auto"/>
            <w:right w:val="none" w:sz="0" w:space="0" w:color="auto"/>
          </w:divBdr>
        </w:div>
        <w:div w:id="2134202817">
          <w:marLeft w:val="0"/>
          <w:marRight w:val="0"/>
          <w:marTop w:val="0"/>
          <w:marBottom w:val="0"/>
          <w:divBdr>
            <w:top w:val="none" w:sz="0" w:space="0" w:color="auto"/>
            <w:left w:val="none" w:sz="0" w:space="0" w:color="auto"/>
            <w:bottom w:val="none" w:sz="0" w:space="0" w:color="auto"/>
            <w:right w:val="none" w:sz="0" w:space="0" w:color="auto"/>
          </w:divBdr>
        </w:div>
        <w:div w:id="1766726596">
          <w:marLeft w:val="0"/>
          <w:marRight w:val="0"/>
          <w:marTop w:val="0"/>
          <w:marBottom w:val="0"/>
          <w:divBdr>
            <w:top w:val="none" w:sz="0" w:space="0" w:color="auto"/>
            <w:left w:val="none" w:sz="0" w:space="0" w:color="auto"/>
            <w:bottom w:val="none" w:sz="0" w:space="0" w:color="auto"/>
            <w:right w:val="none" w:sz="0" w:space="0" w:color="auto"/>
          </w:divBdr>
        </w:div>
        <w:div w:id="851188354">
          <w:marLeft w:val="0"/>
          <w:marRight w:val="0"/>
          <w:marTop w:val="0"/>
          <w:marBottom w:val="0"/>
          <w:divBdr>
            <w:top w:val="none" w:sz="0" w:space="0" w:color="auto"/>
            <w:left w:val="none" w:sz="0" w:space="0" w:color="auto"/>
            <w:bottom w:val="none" w:sz="0" w:space="0" w:color="auto"/>
            <w:right w:val="none" w:sz="0" w:space="0" w:color="auto"/>
          </w:divBdr>
        </w:div>
        <w:div w:id="57824902">
          <w:marLeft w:val="0"/>
          <w:marRight w:val="0"/>
          <w:marTop w:val="0"/>
          <w:marBottom w:val="0"/>
          <w:divBdr>
            <w:top w:val="none" w:sz="0" w:space="0" w:color="auto"/>
            <w:left w:val="none" w:sz="0" w:space="0" w:color="auto"/>
            <w:bottom w:val="none" w:sz="0" w:space="0" w:color="auto"/>
            <w:right w:val="none" w:sz="0" w:space="0" w:color="auto"/>
          </w:divBdr>
        </w:div>
        <w:div w:id="9837659">
          <w:marLeft w:val="0"/>
          <w:marRight w:val="0"/>
          <w:marTop w:val="0"/>
          <w:marBottom w:val="0"/>
          <w:divBdr>
            <w:top w:val="none" w:sz="0" w:space="0" w:color="auto"/>
            <w:left w:val="none" w:sz="0" w:space="0" w:color="auto"/>
            <w:bottom w:val="none" w:sz="0" w:space="0" w:color="auto"/>
            <w:right w:val="none" w:sz="0" w:space="0" w:color="auto"/>
          </w:divBdr>
        </w:div>
      </w:divsChild>
    </w:div>
    <w:div w:id="1989357452">
      <w:bodyDiv w:val="1"/>
      <w:marLeft w:val="0"/>
      <w:marRight w:val="0"/>
      <w:marTop w:val="0"/>
      <w:marBottom w:val="0"/>
      <w:divBdr>
        <w:top w:val="none" w:sz="0" w:space="0" w:color="auto"/>
        <w:left w:val="none" w:sz="0" w:space="0" w:color="auto"/>
        <w:bottom w:val="none" w:sz="0" w:space="0" w:color="auto"/>
        <w:right w:val="none" w:sz="0" w:space="0" w:color="auto"/>
      </w:divBdr>
    </w:div>
    <w:div w:id="2036349598">
      <w:bodyDiv w:val="1"/>
      <w:marLeft w:val="0"/>
      <w:marRight w:val="0"/>
      <w:marTop w:val="0"/>
      <w:marBottom w:val="0"/>
      <w:divBdr>
        <w:top w:val="none" w:sz="0" w:space="0" w:color="auto"/>
        <w:left w:val="none" w:sz="0" w:space="0" w:color="auto"/>
        <w:bottom w:val="none" w:sz="0" w:space="0" w:color="auto"/>
        <w:right w:val="none" w:sz="0" w:space="0" w:color="auto"/>
      </w:divBdr>
    </w:div>
    <w:div w:id="2040887007">
      <w:bodyDiv w:val="1"/>
      <w:marLeft w:val="0"/>
      <w:marRight w:val="0"/>
      <w:marTop w:val="0"/>
      <w:marBottom w:val="0"/>
      <w:divBdr>
        <w:top w:val="none" w:sz="0" w:space="0" w:color="auto"/>
        <w:left w:val="none" w:sz="0" w:space="0" w:color="auto"/>
        <w:bottom w:val="none" w:sz="0" w:space="0" w:color="auto"/>
        <w:right w:val="none" w:sz="0" w:space="0" w:color="auto"/>
      </w:divBdr>
      <w:divsChild>
        <w:div w:id="981811081">
          <w:marLeft w:val="0"/>
          <w:marRight w:val="0"/>
          <w:marTop w:val="0"/>
          <w:marBottom w:val="0"/>
          <w:divBdr>
            <w:top w:val="none" w:sz="0" w:space="0" w:color="auto"/>
            <w:left w:val="none" w:sz="0" w:space="0" w:color="auto"/>
            <w:bottom w:val="none" w:sz="0" w:space="0" w:color="auto"/>
            <w:right w:val="none" w:sz="0" w:space="0" w:color="auto"/>
          </w:divBdr>
          <w:divsChild>
            <w:div w:id="2124836269">
              <w:marLeft w:val="0"/>
              <w:marRight w:val="0"/>
              <w:marTop w:val="0"/>
              <w:marBottom w:val="0"/>
              <w:divBdr>
                <w:top w:val="none" w:sz="0" w:space="0" w:color="auto"/>
                <w:left w:val="none" w:sz="0" w:space="0" w:color="auto"/>
                <w:bottom w:val="none" w:sz="0" w:space="0" w:color="auto"/>
                <w:right w:val="none" w:sz="0" w:space="0" w:color="auto"/>
              </w:divBdr>
              <w:divsChild>
                <w:div w:id="1711761729">
                  <w:marLeft w:val="0"/>
                  <w:marRight w:val="0"/>
                  <w:marTop w:val="105"/>
                  <w:marBottom w:val="0"/>
                  <w:divBdr>
                    <w:top w:val="none" w:sz="0" w:space="0" w:color="auto"/>
                    <w:left w:val="none" w:sz="0" w:space="0" w:color="auto"/>
                    <w:bottom w:val="none" w:sz="0" w:space="0" w:color="auto"/>
                    <w:right w:val="none" w:sz="0" w:space="0" w:color="auto"/>
                  </w:divBdr>
                  <w:divsChild>
                    <w:div w:id="687416288">
                      <w:marLeft w:val="450"/>
                      <w:marRight w:val="225"/>
                      <w:marTop w:val="0"/>
                      <w:marBottom w:val="0"/>
                      <w:divBdr>
                        <w:top w:val="none" w:sz="0" w:space="0" w:color="auto"/>
                        <w:left w:val="none" w:sz="0" w:space="0" w:color="auto"/>
                        <w:bottom w:val="none" w:sz="0" w:space="0" w:color="auto"/>
                        <w:right w:val="none" w:sz="0" w:space="0" w:color="auto"/>
                      </w:divBdr>
                      <w:divsChild>
                        <w:div w:id="1129587555">
                          <w:marLeft w:val="0"/>
                          <w:marRight w:val="0"/>
                          <w:marTop w:val="0"/>
                          <w:marBottom w:val="600"/>
                          <w:divBdr>
                            <w:top w:val="single" w:sz="6" w:space="0" w:color="314664"/>
                            <w:left w:val="single" w:sz="6" w:space="0" w:color="314664"/>
                            <w:bottom w:val="single" w:sz="6" w:space="0" w:color="314664"/>
                            <w:right w:val="single" w:sz="6" w:space="0" w:color="314664"/>
                          </w:divBdr>
                          <w:divsChild>
                            <w:div w:id="849956237">
                              <w:marLeft w:val="0"/>
                              <w:marRight w:val="0"/>
                              <w:marTop w:val="0"/>
                              <w:marBottom w:val="0"/>
                              <w:divBdr>
                                <w:top w:val="none" w:sz="0" w:space="0" w:color="auto"/>
                                <w:left w:val="none" w:sz="0" w:space="0" w:color="auto"/>
                                <w:bottom w:val="none" w:sz="0" w:space="0" w:color="auto"/>
                                <w:right w:val="none" w:sz="0" w:space="0" w:color="auto"/>
                              </w:divBdr>
                              <w:divsChild>
                                <w:div w:id="978265419">
                                  <w:marLeft w:val="0"/>
                                  <w:marRight w:val="0"/>
                                  <w:marTop w:val="0"/>
                                  <w:marBottom w:val="0"/>
                                  <w:divBdr>
                                    <w:top w:val="none" w:sz="0" w:space="0" w:color="auto"/>
                                    <w:left w:val="none" w:sz="0" w:space="0" w:color="auto"/>
                                    <w:bottom w:val="none" w:sz="0" w:space="0" w:color="auto"/>
                                    <w:right w:val="none" w:sz="0" w:space="0" w:color="auto"/>
                                  </w:divBdr>
                                  <w:divsChild>
                                    <w:div w:id="1017661743">
                                      <w:marLeft w:val="0"/>
                                      <w:marRight w:val="0"/>
                                      <w:marTop w:val="0"/>
                                      <w:marBottom w:val="0"/>
                                      <w:divBdr>
                                        <w:top w:val="none" w:sz="0" w:space="0" w:color="auto"/>
                                        <w:left w:val="none" w:sz="0" w:space="0" w:color="auto"/>
                                        <w:bottom w:val="none" w:sz="0" w:space="0" w:color="auto"/>
                                        <w:right w:val="none" w:sz="0" w:space="0" w:color="auto"/>
                                      </w:divBdr>
                                      <w:divsChild>
                                        <w:div w:id="2066177552">
                                          <w:marLeft w:val="0"/>
                                          <w:marRight w:val="0"/>
                                          <w:marTop w:val="0"/>
                                          <w:marBottom w:val="0"/>
                                          <w:divBdr>
                                            <w:top w:val="none" w:sz="0" w:space="0" w:color="auto"/>
                                            <w:left w:val="none" w:sz="0" w:space="0" w:color="auto"/>
                                            <w:bottom w:val="none" w:sz="0" w:space="0" w:color="auto"/>
                                            <w:right w:val="none" w:sz="0" w:space="0" w:color="auto"/>
                                          </w:divBdr>
                                          <w:divsChild>
                                            <w:div w:id="909342505">
                                              <w:marLeft w:val="0"/>
                                              <w:marRight w:val="0"/>
                                              <w:marTop w:val="0"/>
                                              <w:marBottom w:val="0"/>
                                              <w:divBdr>
                                                <w:top w:val="none" w:sz="0" w:space="0" w:color="auto"/>
                                                <w:left w:val="none" w:sz="0" w:space="0" w:color="auto"/>
                                                <w:bottom w:val="none" w:sz="0" w:space="0" w:color="auto"/>
                                                <w:right w:val="none" w:sz="0" w:space="0" w:color="auto"/>
                                              </w:divBdr>
                                              <w:divsChild>
                                                <w:div w:id="1707870497">
                                                  <w:marLeft w:val="0"/>
                                                  <w:marRight w:val="0"/>
                                                  <w:marTop w:val="0"/>
                                                  <w:marBottom w:val="0"/>
                                                  <w:divBdr>
                                                    <w:top w:val="none" w:sz="0" w:space="0" w:color="auto"/>
                                                    <w:left w:val="none" w:sz="0" w:space="0" w:color="auto"/>
                                                    <w:bottom w:val="none" w:sz="0" w:space="0" w:color="auto"/>
                                                    <w:right w:val="none" w:sz="0" w:space="0" w:color="auto"/>
                                                  </w:divBdr>
                                                  <w:divsChild>
                                                    <w:div w:id="1587031523">
                                                      <w:marLeft w:val="0"/>
                                                      <w:marRight w:val="0"/>
                                                      <w:marTop w:val="0"/>
                                                      <w:marBottom w:val="0"/>
                                                      <w:divBdr>
                                                        <w:top w:val="none" w:sz="0" w:space="0" w:color="auto"/>
                                                        <w:left w:val="none" w:sz="0" w:space="0" w:color="auto"/>
                                                        <w:bottom w:val="none" w:sz="0" w:space="0" w:color="auto"/>
                                                        <w:right w:val="none" w:sz="0" w:space="0" w:color="auto"/>
                                                      </w:divBdr>
                                                      <w:divsChild>
                                                        <w:div w:id="14320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2527189">
      <w:bodyDiv w:val="1"/>
      <w:marLeft w:val="0"/>
      <w:marRight w:val="0"/>
      <w:marTop w:val="0"/>
      <w:marBottom w:val="0"/>
      <w:divBdr>
        <w:top w:val="none" w:sz="0" w:space="0" w:color="auto"/>
        <w:left w:val="none" w:sz="0" w:space="0" w:color="auto"/>
        <w:bottom w:val="none" w:sz="0" w:space="0" w:color="auto"/>
        <w:right w:val="none" w:sz="0" w:space="0" w:color="auto"/>
      </w:divBdr>
      <w:divsChild>
        <w:div w:id="2144493705">
          <w:marLeft w:val="0"/>
          <w:marRight w:val="0"/>
          <w:marTop w:val="0"/>
          <w:marBottom w:val="0"/>
          <w:divBdr>
            <w:top w:val="none" w:sz="0" w:space="0" w:color="auto"/>
            <w:left w:val="none" w:sz="0" w:space="0" w:color="auto"/>
            <w:bottom w:val="none" w:sz="0" w:space="0" w:color="auto"/>
            <w:right w:val="none" w:sz="0" w:space="0" w:color="auto"/>
          </w:divBdr>
          <w:divsChild>
            <w:div w:id="4712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sno.govt.nz" TargetMode="External"/><Relationship Id="rId18" Type="http://schemas.openxmlformats.org/officeDocument/2006/relationships/oleObject" Target="embeddings/oleObject1.bin"/><Relationship Id="rId26" Type="http://schemas.openxmlformats.org/officeDocument/2006/relationships/hyperlink" Target="http://www.ich.org/products/guidelines/multidisciplinary/article/multidisciplinary-guidelines.html" TargetMode="External"/><Relationship Id="rId39" Type="http://schemas.openxmlformats.org/officeDocument/2006/relationships/hyperlink" Target="http://www.ema.europa.eu/docs/en_GB/document_library/Scientific_guideline/2012/01/WC500120687.pdf" TargetMode="External"/><Relationship Id="rId21" Type="http://schemas.openxmlformats.org/officeDocument/2006/relationships/hyperlink" Target="http://www.psychoactives.health.govt.nzan" TargetMode="External"/><Relationship Id="rId34" Type="http://schemas.openxmlformats.org/officeDocument/2006/relationships/hyperlink" Target="http://www.fda.gov/" TargetMode="External"/><Relationship Id="rId42" Type="http://schemas.openxmlformats.org/officeDocument/2006/relationships/hyperlink" Target="http://apps.who.int/iris/bitstream/10665/61578/1/WHO_PHARM_89.542.pdf?ua=1" TargetMode="External"/><Relationship Id="rId47" Type="http://schemas.openxmlformats.org/officeDocument/2006/relationships/hyperlink" Target="http://www.legislation.govt.nz/act/public/2013/0053/latest/DLM5042921.html?src=qs" TargetMode="External"/><Relationship Id="rId50" Type="http://schemas.openxmlformats.org/officeDocument/2006/relationships/hyperlink" Target="http://www.tga.gov.au/industry/labelling-pm-best-practice.htm" TargetMode="External"/><Relationship Id="rId55" Type="http://schemas.openxmlformats.org/officeDocument/2006/relationships/hyperlink" Target="http://www.gs1.org/docs/gsmp/healthcare/GS1_Healthcare_GTIN_Allocation_Rules.pdf" TargetMode="External"/><Relationship Id="rId63" Type="http://schemas.openxmlformats.org/officeDocument/2006/relationships/hyperlink" Target="http://www.medsafe.govt.nz" TargetMode="External"/><Relationship Id="rId68" Type="http://schemas.openxmlformats.org/officeDocument/2006/relationships/hyperlink" Target="http://www.ag.llv.li/" TargetMode="External"/><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infarmed.pt/portal/page/portal/INFARMED/ENGLISH" TargetMode="External"/><Relationship Id="rId2" Type="http://schemas.openxmlformats.org/officeDocument/2006/relationships/numbering" Target="numbering.xml"/><Relationship Id="rId16" Type="http://schemas.openxmlformats.org/officeDocument/2006/relationships/hyperlink" Target="mailto:psychoactiveappeals@moh.govt.nz" TargetMode="External"/><Relationship Id="rId29" Type="http://schemas.openxmlformats.org/officeDocument/2006/relationships/hyperlink" Target="http://www.ich.org/products/guidelines.html" TargetMode="External"/><Relationship Id="rId11" Type="http://schemas.openxmlformats.org/officeDocument/2006/relationships/hyperlink" Target="http://www.legislation.govt.nz/act/public/1986/0121/latest/DLM96439.html?src=qs" TargetMode="External"/><Relationship Id="rId24" Type="http://schemas.openxmlformats.org/officeDocument/2006/relationships/hyperlink" Target="http://www.medsafe.govt.nz/regulatory/consultants.asp" TargetMode="External"/><Relationship Id="rId32" Type="http://schemas.openxmlformats.org/officeDocument/2006/relationships/hyperlink" Target="http://www.ema.europa.eu/ema/index.jsp?curl=pages/regulation/general/general_content_000043.jsp&amp;murl=menus/regulations/regulations.jsp&amp;mid=WC0b01ac05800240cb" TargetMode="External"/><Relationship Id="rId37" Type="http://schemas.openxmlformats.org/officeDocument/2006/relationships/hyperlink" Target="http://www.health.govt.nz/publication/psychoactive-substances-code-manufacturing-practice" TargetMode="External"/><Relationship Id="rId40" Type="http://schemas.openxmlformats.org/officeDocument/2006/relationships/hyperlink" Target="http://www.fda.gov/drugs/guidancecomplianceregulatoryinformation/guidances/ucm122886.htm" TargetMode="External"/><Relationship Id="rId45" Type="http://schemas.openxmlformats.org/officeDocument/2006/relationships/hyperlink" Target="mailto:psychoactives@moh.govt.nz" TargetMode="External"/><Relationship Id="rId53" Type="http://schemas.openxmlformats.org/officeDocument/2006/relationships/hyperlink" Target="http://www.gs1.org/barcodes/technical/bar_code_types%20" TargetMode="External"/><Relationship Id="rId58" Type="http://schemas.openxmlformats.org/officeDocument/2006/relationships/hyperlink" Target="mailto:psychoactives@moh.govt.nz" TargetMode="External"/><Relationship Id="rId66" Type="http://schemas.openxmlformats.org/officeDocument/2006/relationships/hyperlink" Target="http://www.ogyi.hu" TargetMode="External"/><Relationship Id="rId7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epa.govt.nz" TargetMode="External"/><Relationship Id="rId23" Type="http://schemas.openxmlformats.org/officeDocument/2006/relationships/hyperlink" Target="http://www.medsafe.govt.nz" TargetMode="External"/><Relationship Id="rId28" Type="http://schemas.openxmlformats.org/officeDocument/2006/relationships/hyperlink" Target="mailto:admin@ich.org" TargetMode="External"/><Relationship Id="rId36" Type="http://schemas.openxmlformats.org/officeDocument/2006/relationships/hyperlink" Target="http://www.fda.gov/cber/guidelines.htm" TargetMode="External"/><Relationship Id="rId49" Type="http://schemas.openxmlformats.org/officeDocument/2006/relationships/hyperlink" Target="http://www.mhra.gov.uk/Howweregulate/Medicines/Labelspatientinformationleafletsandpackaging/index.htm" TargetMode="External"/><Relationship Id="rId57" Type="http://schemas.openxmlformats.org/officeDocument/2006/relationships/hyperlink" Target="mailto:psychoactives@moh.govt.nz" TargetMode="External"/><Relationship Id="rId61" Type="http://schemas.openxmlformats.org/officeDocument/2006/relationships/hyperlink" Target="http://www.ich.org/products/guidelines.html" TargetMode="External"/><Relationship Id="rId10" Type="http://schemas.openxmlformats.org/officeDocument/2006/relationships/hyperlink" Target="http://www.legislation.govt.nz" TargetMode="External"/><Relationship Id="rId19" Type="http://schemas.openxmlformats.org/officeDocument/2006/relationships/hyperlink" Target="http://www.psychoactives@moh.govt.nz" TargetMode="External"/><Relationship Id="rId31" Type="http://schemas.openxmlformats.org/officeDocument/2006/relationships/hyperlink" Target="http://www.ema.europa.eu/ema/index.jsp?curl=pages/regulation/general/general_content_000043.jsp&amp;murl=menus/regulations/regulations.jsp&amp;mid=WC0b01ac05800240cb" TargetMode="External"/><Relationship Id="rId44" Type="http://schemas.openxmlformats.org/officeDocument/2006/relationships/hyperlink" Target="http://www.ema.europa.eu/docs/en_GB/document_library/Scientific_guideline/2009/09/WC500003428.pdf" TargetMode="External"/><Relationship Id="rId52" Type="http://schemas.openxmlformats.org/officeDocument/2006/relationships/hyperlink" Target="http://www.hhc.rca.ac.uk/CMS/files/NPSA-Design-for-patient-safety-.pdf" TargetMode="External"/><Relationship Id="rId60" Type="http://schemas.openxmlformats.org/officeDocument/2006/relationships/hyperlink" Target="http://www.ich.org/products/ctd.html" TargetMode="External"/><Relationship Id="rId65" Type="http://schemas.openxmlformats.org/officeDocument/2006/relationships/hyperlink" Target="http://www.ogyi.hu/main_page/" TargetMode="External"/><Relationship Id="rId73" Type="http://schemas.openxmlformats.org/officeDocument/2006/relationships/hyperlink" Target="http://www.health.govt.nz/"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egislation.govt.nz/act/public/2013/0053/latest/DLM5042921.html?src=qs" TargetMode="External"/><Relationship Id="rId14" Type="http://schemas.openxmlformats.org/officeDocument/2006/relationships/hyperlink" Target="http://www.epa.govt.nz" TargetMode="External"/><Relationship Id="rId22" Type="http://schemas.openxmlformats.org/officeDocument/2006/relationships/hyperlink" Target="mailto:psychoactives@moh.govt.nz" TargetMode="External"/><Relationship Id="rId27" Type="http://schemas.openxmlformats.org/officeDocument/2006/relationships/hyperlink" Target="http://www.health.govt.nz/our-work/regulation-health-and-disability-system/psychoactive-substances-regulation/code-manufacturing-practice" TargetMode="External"/><Relationship Id="rId30" Type="http://schemas.openxmlformats.org/officeDocument/2006/relationships/hyperlink" Target="http://ec.europa.eu/health/documents/eudralex/index_en.htm" TargetMode="External"/><Relationship Id="rId35" Type="http://schemas.openxmlformats.org/officeDocument/2006/relationships/hyperlink" Target="http://www.fda.gov/Drugs/GuidanceComplianceRegulatoryInformation/Guidances/default.htm" TargetMode="External"/><Relationship Id="rId43" Type="http://schemas.openxmlformats.org/officeDocument/2006/relationships/hyperlink" Target="http://www.pheur.org" TargetMode="External"/><Relationship Id="rId48" Type="http://schemas.openxmlformats.org/officeDocument/2006/relationships/hyperlink" Target="http://www.legislation.govt.nz/regulation/public/2014/0243/latest/DLM6203143.html?src=qs" TargetMode="External"/><Relationship Id="rId56" Type="http://schemas.openxmlformats.org/officeDocument/2006/relationships/hyperlink" Target="http://www.fda.gov/downloads/drugs/guidancecomplianceregulatoryinformation/guidances/ucm198650.pdf" TargetMode="External"/><Relationship Id="rId64" Type="http://schemas.openxmlformats.org/officeDocument/2006/relationships/hyperlink" Target="http://www.zlg.de/cms.php?PHPSESSID=415ea7d2485723ec272d96cdd5fe3f16&amp;mapid=1&amp;lan=2" TargetMode="External"/><Relationship Id="rId69" Type="http://schemas.openxmlformats.org/officeDocument/2006/relationships/hyperlink" Target="http://www.medicinesauthority.gov.mt/"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ec.europa.eu/health/files/eudralex/vol-2/c/2009_01_12_readability_guideline_final_en.pdf%20" TargetMode="External"/><Relationship Id="rId72" Type="http://schemas.openxmlformats.org/officeDocument/2006/relationships/hyperlink" Target="http://www.agemed.es/en/home.htm" TargetMode="External"/><Relationship Id="rId3" Type="http://schemas.openxmlformats.org/officeDocument/2006/relationships/styles" Target="styles.xml"/><Relationship Id="rId12" Type="http://schemas.openxmlformats.org/officeDocument/2006/relationships/hyperlink" Target="http://www.legislation.govt.nz/act/public/1993/0091/latest/DLM311053.html?src=qs" TargetMode="External"/><Relationship Id="rId17" Type="http://schemas.openxmlformats.org/officeDocument/2006/relationships/image" Target="media/image1.emf"/><Relationship Id="rId25" Type="http://schemas.openxmlformats.org/officeDocument/2006/relationships/hyperlink" Target="http://www.ich.org/products/ctd.html" TargetMode="External"/><Relationship Id="rId33" Type="http://schemas.openxmlformats.org/officeDocument/2006/relationships/hyperlink" Target="http://www.ema.europa.eu/ema/index.jsp?curl=pages/regulation/general/general_content_000043.jsp&amp;murl=menus/regulations/regulations.jsp&amp;mid=WC0b01ac05800240cb" TargetMode="External"/><Relationship Id="rId38" Type="http://schemas.openxmlformats.org/officeDocument/2006/relationships/hyperlink" Target="http://www.pharmpress.com/product/MC_EX/handbook-of-pharmaceutical-excipients" TargetMode="External"/><Relationship Id="rId46" Type="http://schemas.openxmlformats.org/officeDocument/2006/relationships/hyperlink" Target="mailto:psychoactives@moh.govt.nz" TargetMode="External"/><Relationship Id="rId59" Type="http://schemas.openxmlformats.org/officeDocument/2006/relationships/hyperlink" Target="http://www.ich.org" TargetMode="External"/><Relationship Id="rId67" Type="http://schemas.openxmlformats.org/officeDocument/2006/relationships/hyperlink" Target="http://www.agenziafarmaco.it/en" TargetMode="External"/><Relationship Id="rId20" Type="http://schemas.openxmlformats.org/officeDocument/2006/relationships/hyperlink" Target="http://www.legislation.govt.nz/act/public/1993/0091/latest/DLM311053.html?src=qs" TargetMode="External"/><Relationship Id="rId41" Type="http://schemas.openxmlformats.org/officeDocument/2006/relationships/hyperlink" Target="http://www.tga.gov.au/industry/pm-argpm-guidance-11-00.htm" TargetMode="External"/><Relationship Id="rId54" Type="http://schemas.openxmlformats.org/officeDocument/2006/relationships/hyperlink" Target="http://www.gs1.org/sites/default/files/docs/media_centre/gs1_pr_210110_healthcare_AIDC_Application_Standards.pdf" TargetMode="External"/><Relationship Id="rId62" Type="http://schemas.openxmlformats.org/officeDocument/2006/relationships/hyperlink" Target="http://www.medsafe.govt.nz" TargetMode="External"/><Relationship Id="rId70" Type="http://schemas.openxmlformats.org/officeDocument/2006/relationships/hyperlink" Target="http://www.igz.nl/english/"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inchem.org/documents/ehc/ehc/ehc240_chapter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21AE5-1528-4FBA-A7F9-59BC2D06C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26265</Words>
  <Characters>149717</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175631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dc:creator>
  <cp:lastModifiedBy>Ministry of Health</cp:lastModifiedBy>
  <cp:revision>1</cp:revision>
  <cp:lastPrinted>2014-10-30T02:38:00Z</cp:lastPrinted>
  <dcterms:created xsi:type="dcterms:W3CDTF">2015-01-20T01:17:00Z</dcterms:created>
  <dcterms:modified xsi:type="dcterms:W3CDTF">2015-01-20T01:17:00Z</dcterms:modified>
</cp:coreProperties>
</file>