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55CFF" w14:textId="77777777" w:rsidR="00FE11B8" w:rsidRDefault="00FE11B8"/>
    <w:tbl>
      <w:tblPr>
        <w:tblStyle w:val="TableGrid"/>
        <w:tblW w:w="10348" w:type="dxa"/>
        <w:tblInd w:w="142" w:type="dxa"/>
        <w:tblBorders>
          <w:top w:val="none" w:sz="0" w:space="0" w:color="auto"/>
          <w:left w:val="none" w:sz="0" w:space="0" w:color="auto"/>
          <w:bottom w:val="none" w:sz="0" w:space="0" w:color="auto"/>
          <w:right w:val="none" w:sz="0" w:space="0" w:color="auto"/>
          <w:insideH w:val="single" w:sz="48" w:space="0" w:color="44546A" w:themeColor="text2"/>
          <w:insideV w:val="single" w:sz="48" w:space="0" w:color="ED7D31" w:themeColor="accent2"/>
        </w:tblBorders>
        <w:tblCellMar>
          <w:top w:w="113" w:type="dxa"/>
          <w:left w:w="0" w:type="dxa"/>
          <w:bottom w:w="113" w:type="dxa"/>
          <w:right w:w="0" w:type="dxa"/>
        </w:tblCellMar>
        <w:tblLook w:val="0600" w:firstRow="0" w:lastRow="0" w:firstColumn="0" w:lastColumn="0" w:noHBand="1" w:noVBand="1"/>
      </w:tblPr>
      <w:tblGrid>
        <w:gridCol w:w="10348"/>
      </w:tblGrid>
      <w:tr w:rsidR="009C533E" w14:paraId="44BCACD6" w14:textId="77777777" w:rsidTr="00210871">
        <w:trPr>
          <w:trHeight w:val="142"/>
        </w:trPr>
        <w:tc>
          <w:tcPr>
            <w:tcW w:w="10348" w:type="dxa"/>
          </w:tcPr>
          <w:p w14:paraId="141B3918" w14:textId="1DE9C907" w:rsidR="009C533E" w:rsidRPr="009C533E" w:rsidRDefault="009C533E" w:rsidP="009C533E">
            <w:pPr>
              <w:pStyle w:val="Heading2"/>
              <w:outlineLvl w:val="1"/>
              <w:rPr>
                <w:sz w:val="72"/>
                <w:szCs w:val="72"/>
              </w:rPr>
            </w:pPr>
            <w:proofErr w:type="spellStart"/>
            <w:r w:rsidRPr="009C533E">
              <w:rPr>
                <w:sz w:val="72"/>
                <w:szCs w:val="72"/>
              </w:rPr>
              <w:t>HealthCERT</w:t>
            </w:r>
            <w:proofErr w:type="spellEnd"/>
            <w:r w:rsidRPr="009C533E">
              <w:rPr>
                <w:sz w:val="72"/>
                <w:szCs w:val="72"/>
              </w:rPr>
              <w:t xml:space="preserve"> Bulletin</w:t>
            </w:r>
          </w:p>
          <w:p w14:paraId="736A0131" w14:textId="77777777" w:rsidR="009C533E" w:rsidRPr="009C533E" w:rsidRDefault="009C533E" w:rsidP="009C533E">
            <w:pPr>
              <w:pStyle w:val="Heading2"/>
              <w:outlineLvl w:val="1"/>
              <w:rPr>
                <w:sz w:val="40"/>
                <w:szCs w:val="40"/>
              </w:rPr>
            </w:pPr>
            <w:r w:rsidRPr="009C533E">
              <w:rPr>
                <w:sz w:val="40"/>
                <w:szCs w:val="40"/>
              </w:rPr>
              <w:t>Information for the Sector</w:t>
            </w:r>
          </w:p>
        </w:tc>
      </w:tr>
      <w:tr w:rsidR="009C533E" w14:paraId="3C6A1152" w14:textId="77777777" w:rsidTr="00210871">
        <w:tc>
          <w:tcPr>
            <w:tcW w:w="10348" w:type="dxa"/>
          </w:tcPr>
          <w:p w14:paraId="34C13EDD" w14:textId="77777777" w:rsidR="009C533E" w:rsidRPr="009C533E" w:rsidRDefault="009C533E" w:rsidP="009C533E">
            <w:pPr>
              <w:pStyle w:val="Heading3"/>
              <w:outlineLvl w:val="2"/>
              <w:rPr>
                <w:b w:val="0"/>
                <w:bCs w:val="0"/>
              </w:rPr>
            </w:pPr>
            <w:r w:rsidRPr="009C533E">
              <w:rPr>
                <w:b w:val="0"/>
                <w:bCs w:val="0"/>
                <w:sz w:val="28"/>
                <w:szCs w:val="28"/>
              </w:rPr>
              <w:t>Issue 29 – September 2022</w:t>
            </w:r>
            <w:r w:rsidRPr="009C533E">
              <w:rPr>
                <w:b w:val="0"/>
                <w:bCs w:val="0"/>
                <w:sz w:val="28"/>
                <w:szCs w:val="28"/>
              </w:rPr>
              <w:br/>
            </w:r>
            <w:r w:rsidRPr="009C533E">
              <w:rPr>
                <w:b w:val="0"/>
                <w:bCs w:val="0"/>
                <w:sz w:val="16"/>
                <w:szCs w:val="16"/>
              </w:rPr>
              <w:t>ISSN 2423-0523</w:t>
            </w:r>
          </w:p>
          <w:p w14:paraId="153F6749" w14:textId="141A290E" w:rsidR="009C533E" w:rsidRPr="009C533E" w:rsidRDefault="009C533E" w:rsidP="009C533E"/>
        </w:tc>
      </w:tr>
    </w:tbl>
    <w:tbl>
      <w:tblPr>
        <w:tblW w:w="11311" w:type="dxa"/>
        <w:tblInd w:w="-459" w:type="dxa"/>
        <w:tblLayout w:type="fixed"/>
        <w:tblLook w:val="04A0" w:firstRow="1" w:lastRow="0" w:firstColumn="1" w:lastColumn="0" w:noHBand="0" w:noVBand="1"/>
      </w:tblPr>
      <w:tblGrid>
        <w:gridCol w:w="566"/>
        <w:gridCol w:w="2827"/>
        <w:gridCol w:w="7414"/>
        <w:gridCol w:w="79"/>
        <w:gridCol w:w="425"/>
      </w:tblGrid>
      <w:tr w:rsidR="006867DB" w:rsidRPr="00B51E0D" w14:paraId="14E63CE8" w14:textId="77777777" w:rsidTr="00FE11B8">
        <w:trPr>
          <w:gridBefore w:val="1"/>
          <w:gridAfter w:val="1"/>
          <w:wBefore w:w="566" w:type="dxa"/>
          <w:wAfter w:w="425" w:type="dxa"/>
          <w:cantSplit/>
          <w:trHeight w:val="5405"/>
        </w:trPr>
        <w:tc>
          <w:tcPr>
            <w:tcW w:w="2827" w:type="dxa"/>
            <w:shd w:val="clear" w:color="auto" w:fill="C6D9F1"/>
          </w:tcPr>
          <w:p w14:paraId="6F3E0351" w14:textId="77777777" w:rsidR="006867DB" w:rsidRDefault="006867DB" w:rsidP="00917BB3">
            <w:pPr>
              <w:spacing w:before="240" w:after="200" w:line="300" w:lineRule="auto"/>
              <w:rPr>
                <w:rFonts w:eastAsia="Calibri" w:cs="Arial"/>
                <w:sz w:val="20"/>
                <w:szCs w:val="20"/>
              </w:rPr>
            </w:pPr>
            <w:r w:rsidRPr="00B51E0D">
              <w:rPr>
                <w:rFonts w:eastAsia="Calibri" w:cs="Arial"/>
                <w:b/>
                <w:color w:val="1A3D82"/>
                <w:sz w:val="32"/>
                <w:szCs w:val="32"/>
              </w:rPr>
              <w:t>Welcome</w:t>
            </w:r>
            <w:r w:rsidRPr="00B51E0D">
              <w:rPr>
                <w:rFonts w:eastAsia="Calibri" w:cs="Arial"/>
                <w:b/>
              </w:rPr>
              <w:t xml:space="preserve"> to the </w:t>
            </w:r>
            <w:r>
              <w:rPr>
                <w:rFonts w:eastAsia="Calibri" w:cs="Arial"/>
                <w:b/>
              </w:rPr>
              <w:t xml:space="preserve">September </w:t>
            </w:r>
            <w:r w:rsidRPr="00B51E0D">
              <w:rPr>
                <w:rFonts w:eastAsia="Calibri" w:cs="Arial"/>
                <w:b/>
              </w:rPr>
              <w:t>bulletin</w:t>
            </w:r>
          </w:p>
          <w:p w14:paraId="64D50CAC" w14:textId="1D033F60" w:rsidR="00F628E9" w:rsidRDefault="00F628E9" w:rsidP="00F628E9">
            <w:pPr>
              <w:rPr>
                <w:rFonts w:eastAsia="Calibri" w:cs="Arial"/>
              </w:rPr>
            </w:pPr>
          </w:p>
          <w:p w14:paraId="20A312D4" w14:textId="2B161766" w:rsidR="00210871" w:rsidRDefault="00210871" w:rsidP="00F628E9">
            <w:pPr>
              <w:rPr>
                <w:rFonts w:eastAsia="Calibri" w:cs="Arial"/>
              </w:rPr>
            </w:pPr>
          </w:p>
          <w:p w14:paraId="098C695E" w14:textId="6AB2EF4C" w:rsidR="00210871" w:rsidRDefault="00210871" w:rsidP="00F628E9">
            <w:pPr>
              <w:rPr>
                <w:rFonts w:eastAsia="Calibri" w:cs="Arial"/>
              </w:rPr>
            </w:pPr>
          </w:p>
          <w:p w14:paraId="6D9320A1" w14:textId="77777777" w:rsidR="00210871" w:rsidRPr="00F628E9" w:rsidRDefault="00210871" w:rsidP="00F628E9">
            <w:pPr>
              <w:rPr>
                <w:rFonts w:eastAsia="Calibri" w:cs="Arial"/>
              </w:rPr>
            </w:pPr>
          </w:p>
          <w:p w14:paraId="20BB4305" w14:textId="77777777" w:rsidR="00F628E9" w:rsidRPr="00F628E9" w:rsidRDefault="00F628E9" w:rsidP="00F628E9">
            <w:pPr>
              <w:rPr>
                <w:rFonts w:eastAsia="Calibri" w:cs="Arial"/>
              </w:rPr>
            </w:pPr>
          </w:p>
          <w:p w14:paraId="6106B456" w14:textId="77777777" w:rsidR="00F628E9" w:rsidRPr="00F628E9" w:rsidRDefault="00F628E9" w:rsidP="00F628E9">
            <w:pPr>
              <w:rPr>
                <w:rFonts w:eastAsia="Calibri" w:cs="Arial"/>
              </w:rPr>
            </w:pPr>
          </w:p>
          <w:p w14:paraId="340C03E1" w14:textId="77777777" w:rsidR="00F628E9" w:rsidRPr="00F628E9" w:rsidRDefault="00F628E9" w:rsidP="00F628E9">
            <w:pPr>
              <w:rPr>
                <w:rFonts w:eastAsia="Calibri" w:cs="Arial"/>
              </w:rPr>
            </w:pPr>
          </w:p>
          <w:p w14:paraId="597612C3" w14:textId="77777777" w:rsidR="00F628E9" w:rsidRPr="00F628E9" w:rsidRDefault="00F628E9" w:rsidP="00F628E9">
            <w:pPr>
              <w:rPr>
                <w:rFonts w:eastAsia="Calibri" w:cs="Arial"/>
              </w:rPr>
            </w:pPr>
          </w:p>
          <w:p w14:paraId="0EF43291" w14:textId="77777777" w:rsidR="00F628E9" w:rsidRPr="00F628E9" w:rsidRDefault="00F628E9" w:rsidP="00F628E9">
            <w:pPr>
              <w:rPr>
                <w:rFonts w:eastAsia="Calibri" w:cs="Arial"/>
              </w:rPr>
            </w:pPr>
          </w:p>
          <w:p w14:paraId="69C4285C" w14:textId="77777777" w:rsidR="00F628E9" w:rsidRPr="00F628E9" w:rsidRDefault="00F628E9" w:rsidP="00F628E9">
            <w:pPr>
              <w:rPr>
                <w:rFonts w:eastAsia="Calibri" w:cs="Arial"/>
              </w:rPr>
            </w:pPr>
          </w:p>
          <w:p w14:paraId="2141644F" w14:textId="77777777" w:rsidR="00F628E9" w:rsidRPr="00F628E9" w:rsidRDefault="00F628E9" w:rsidP="00F628E9">
            <w:pPr>
              <w:rPr>
                <w:rFonts w:eastAsia="Calibri" w:cs="Arial"/>
              </w:rPr>
            </w:pPr>
          </w:p>
          <w:p w14:paraId="19CCF1AE" w14:textId="77777777" w:rsidR="00F628E9" w:rsidRPr="00F628E9" w:rsidRDefault="00F628E9" w:rsidP="00F628E9">
            <w:pPr>
              <w:rPr>
                <w:rFonts w:eastAsia="Calibri" w:cs="Arial"/>
              </w:rPr>
            </w:pPr>
          </w:p>
          <w:p w14:paraId="1D14C375" w14:textId="77777777" w:rsidR="00F628E9" w:rsidRPr="00F628E9" w:rsidRDefault="00F628E9" w:rsidP="00F628E9">
            <w:pPr>
              <w:rPr>
                <w:rFonts w:eastAsia="Calibri" w:cs="Arial"/>
              </w:rPr>
            </w:pPr>
          </w:p>
          <w:p w14:paraId="1D052161" w14:textId="77777777" w:rsidR="00F628E9" w:rsidRPr="00F628E9" w:rsidRDefault="00F628E9" w:rsidP="00F628E9">
            <w:pPr>
              <w:rPr>
                <w:rFonts w:eastAsia="Calibri" w:cs="Arial"/>
              </w:rPr>
            </w:pPr>
          </w:p>
          <w:p w14:paraId="2FCC197E" w14:textId="77777777" w:rsidR="00F628E9" w:rsidRDefault="00F628E9" w:rsidP="00F628E9">
            <w:pPr>
              <w:rPr>
                <w:rFonts w:eastAsia="Calibri" w:cs="Arial"/>
                <w:sz w:val="20"/>
                <w:szCs w:val="20"/>
              </w:rPr>
            </w:pPr>
          </w:p>
          <w:p w14:paraId="66050B12" w14:textId="68DE360A" w:rsidR="00F628E9" w:rsidRPr="00F628E9" w:rsidRDefault="00F628E9" w:rsidP="00F628E9">
            <w:pPr>
              <w:jc w:val="right"/>
              <w:rPr>
                <w:rFonts w:eastAsia="Calibri" w:cs="Arial"/>
              </w:rPr>
            </w:pPr>
          </w:p>
        </w:tc>
        <w:tc>
          <w:tcPr>
            <w:tcW w:w="7493" w:type="dxa"/>
            <w:gridSpan w:val="2"/>
            <w:shd w:val="clear" w:color="auto" w:fill="auto"/>
          </w:tcPr>
          <w:p w14:paraId="4728563D" w14:textId="6B8FDF0D" w:rsidR="006867DB" w:rsidRDefault="006867DB" w:rsidP="006867DB">
            <w:pPr>
              <w:spacing w:before="160" w:after="80" w:line="276" w:lineRule="auto"/>
              <w:rPr>
                <w:rFonts w:cs="Arial"/>
                <w:szCs w:val="24"/>
                <w:lang w:eastAsia="en-GB"/>
              </w:rPr>
            </w:pPr>
            <w:r>
              <w:rPr>
                <w:rFonts w:cs="Arial"/>
                <w:szCs w:val="24"/>
                <w:lang w:eastAsia="en-GB"/>
              </w:rPr>
              <w:t>Welcome to the September issue of HealthCERT Bulletin for 2022</w:t>
            </w:r>
            <w:r w:rsidR="00A25827">
              <w:rPr>
                <w:rFonts w:cs="Arial"/>
                <w:szCs w:val="24"/>
                <w:lang w:eastAsia="en-GB"/>
              </w:rPr>
              <w:t>.</w:t>
            </w:r>
            <w:r>
              <w:rPr>
                <w:rFonts w:cs="Arial"/>
                <w:szCs w:val="24"/>
                <w:lang w:eastAsia="en-GB"/>
              </w:rPr>
              <w:t xml:space="preserve"> </w:t>
            </w:r>
          </w:p>
          <w:p w14:paraId="71814C08" w14:textId="5D383B16" w:rsidR="006867DB" w:rsidRDefault="006867DB" w:rsidP="006867DB">
            <w:pPr>
              <w:spacing w:before="160" w:after="80" w:line="276" w:lineRule="auto"/>
              <w:rPr>
                <w:bCs/>
                <w:color w:val="1A3D82"/>
              </w:rPr>
            </w:pPr>
            <w:r>
              <w:rPr>
                <w:rFonts w:eastAsia="Calibri" w:cs="Times New Roman"/>
                <w:lang w:eastAsia="en-GB"/>
              </w:rPr>
              <w:t>The year continues to move at a fast pace</w:t>
            </w:r>
            <w:r w:rsidR="00AB067D">
              <w:rPr>
                <w:rFonts w:eastAsia="Calibri" w:cs="Times New Roman"/>
                <w:lang w:eastAsia="en-GB"/>
              </w:rPr>
              <w:t>. I</w:t>
            </w:r>
            <w:r>
              <w:rPr>
                <w:rFonts w:eastAsia="Calibri" w:cs="Times New Roman"/>
                <w:lang w:eastAsia="en-GB"/>
              </w:rPr>
              <w:t xml:space="preserve">t’s hard to believe </w:t>
            </w:r>
            <w:r w:rsidR="007569D4">
              <w:rPr>
                <w:rFonts w:cs="Arial"/>
                <w:szCs w:val="24"/>
                <w:lang w:eastAsia="en-GB"/>
              </w:rPr>
              <w:t>s</w:t>
            </w:r>
            <w:r w:rsidRPr="00B3755E">
              <w:rPr>
                <w:rFonts w:cs="Arial"/>
                <w:szCs w:val="24"/>
                <w:lang w:eastAsia="en-GB"/>
              </w:rPr>
              <w:t xml:space="preserve">pring </w:t>
            </w:r>
            <w:r>
              <w:rPr>
                <w:rFonts w:cs="Arial"/>
                <w:szCs w:val="24"/>
                <w:lang w:eastAsia="en-GB"/>
              </w:rPr>
              <w:t xml:space="preserve">has arrived and </w:t>
            </w:r>
            <w:r w:rsidR="00AB067D">
              <w:rPr>
                <w:rFonts w:cs="Arial"/>
                <w:szCs w:val="24"/>
                <w:lang w:eastAsia="en-GB"/>
              </w:rPr>
              <w:t xml:space="preserve">that </w:t>
            </w:r>
            <w:r w:rsidR="008B6A3B">
              <w:rPr>
                <w:rFonts w:cs="Arial"/>
                <w:szCs w:val="24"/>
                <w:lang w:eastAsia="en-GB"/>
              </w:rPr>
              <w:t xml:space="preserve">6 </w:t>
            </w:r>
            <w:r>
              <w:rPr>
                <w:rFonts w:cs="Arial"/>
                <w:szCs w:val="24"/>
                <w:lang w:eastAsia="en-GB"/>
              </w:rPr>
              <w:t>months ha</w:t>
            </w:r>
            <w:r w:rsidR="004862BD">
              <w:rPr>
                <w:rFonts w:cs="Arial"/>
                <w:szCs w:val="24"/>
                <w:lang w:eastAsia="en-GB"/>
              </w:rPr>
              <w:t>ve</w:t>
            </w:r>
            <w:r>
              <w:rPr>
                <w:rFonts w:cs="Arial"/>
                <w:szCs w:val="24"/>
                <w:lang w:eastAsia="en-GB"/>
              </w:rPr>
              <w:t xml:space="preserve"> passed since the implementation of </w:t>
            </w:r>
            <w:proofErr w:type="spellStart"/>
            <w:r w:rsidRPr="006032E3">
              <w:rPr>
                <w:rFonts w:cs="Arial"/>
                <w:szCs w:val="24"/>
                <w:lang w:eastAsia="en-GB"/>
              </w:rPr>
              <w:t>Ngā</w:t>
            </w:r>
            <w:proofErr w:type="spellEnd"/>
            <w:r w:rsidRPr="006032E3">
              <w:rPr>
                <w:rFonts w:cs="Arial"/>
                <w:szCs w:val="24"/>
                <w:lang w:eastAsia="en-GB"/>
              </w:rPr>
              <w:t xml:space="preserve"> </w:t>
            </w:r>
            <w:proofErr w:type="spellStart"/>
            <w:r w:rsidRPr="006032E3">
              <w:rPr>
                <w:rFonts w:cs="Arial"/>
                <w:szCs w:val="24"/>
                <w:lang w:eastAsia="en-GB"/>
              </w:rPr>
              <w:t>Paerewa</w:t>
            </w:r>
            <w:proofErr w:type="spellEnd"/>
            <w:r w:rsidR="007569D4">
              <w:rPr>
                <w:rFonts w:cs="Arial"/>
                <w:szCs w:val="24"/>
                <w:lang w:eastAsia="en-GB"/>
              </w:rPr>
              <w:t xml:space="preserve"> Health and Disability Services Standard</w:t>
            </w:r>
            <w:r w:rsidR="00C71484">
              <w:rPr>
                <w:rFonts w:cs="Arial"/>
                <w:szCs w:val="24"/>
                <w:lang w:eastAsia="en-GB"/>
              </w:rPr>
              <w:t xml:space="preserve"> NZS 8134:2021</w:t>
            </w:r>
            <w:r w:rsidR="007569D4">
              <w:rPr>
                <w:rFonts w:cs="Arial"/>
                <w:szCs w:val="24"/>
                <w:lang w:eastAsia="en-GB"/>
              </w:rPr>
              <w:t xml:space="preserve"> (</w:t>
            </w:r>
            <w:r w:rsidR="007569D4" w:rsidRPr="006032E3">
              <w:rPr>
                <w:rFonts w:cs="Arial"/>
                <w:szCs w:val="24"/>
                <w:lang w:eastAsia="en-GB"/>
              </w:rPr>
              <w:t>Ngā Paerewa</w:t>
            </w:r>
            <w:r w:rsidR="007569D4">
              <w:rPr>
                <w:rFonts w:cs="Arial"/>
                <w:szCs w:val="24"/>
                <w:lang w:eastAsia="en-GB"/>
              </w:rPr>
              <w:t>)</w:t>
            </w:r>
            <w:r w:rsidRPr="006032E3">
              <w:rPr>
                <w:rFonts w:cs="Arial"/>
                <w:szCs w:val="24"/>
                <w:lang w:eastAsia="en-GB"/>
              </w:rPr>
              <w:t>.</w:t>
            </w:r>
            <w:r>
              <w:rPr>
                <w:bCs/>
                <w:color w:val="1A3D82"/>
              </w:rPr>
              <w:t xml:space="preserve"> </w:t>
            </w:r>
          </w:p>
          <w:p w14:paraId="084EC200" w14:textId="390FC382" w:rsidR="006867DB" w:rsidRDefault="00C71484" w:rsidP="006867DB">
            <w:pPr>
              <w:spacing w:before="160" w:after="80" w:line="276" w:lineRule="auto"/>
              <w:rPr>
                <w:rFonts w:eastAsia="Calibri" w:cs="Times New Roman"/>
                <w:lang w:eastAsia="en-GB"/>
              </w:rPr>
            </w:pPr>
            <w:r>
              <w:rPr>
                <w:rFonts w:eastAsia="Calibri" w:cs="Times New Roman"/>
                <w:lang w:eastAsia="en-GB"/>
              </w:rPr>
              <w:t>Just as</w:t>
            </w:r>
            <w:r w:rsidR="006867DB" w:rsidRPr="002F659B">
              <w:rPr>
                <w:rFonts w:eastAsia="Calibri" w:cs="Times New Roman"/>
                <w:lang w:eastAsia="en-GB"/>
              </w:rPr>
              <w:t xml:space="preserve"> the reported </w:t>
            </w:r>
            <w:r>
              <w:rPr>
                <w:rFonts w:eastAsia="Calibri" w:cs="Times New Roman"/>
                <w:lang w:eastAsia="en-GB"/>
              </w:rPr>
              <w:t xml:space="preserve">number of </w:t>
            </w:r>
            <w:r w:rsidR="006867DB" w:rsidRPr="002F659B">
              <w:rPr>
                <w:rFonts w:eastAsia="Calibri" w:cs="Times New Roman"/>
                <w:lang w:eastAsia="en-GB"/>
              </w:rPr>
              <w:t>COVID-19 case</w:t>
            </w:r>
            <w:r>
              <w:rPr>
                <w:rFonts w:eastAsia="Calibri" w:cs="Times New Roman"/>
                <w:lang w:eastAsia="en-GB"/>
              </w:rPr>
              <w:t>s is</w:t>
            </w:r>
            <w:r w:rsidR="006867DB" w:rsidRPr="002F659B">
              <w:rPr>
                <w:rFonts w:eastAsia="Calibri" w:cs="Times New Roman"/>
                <w:lang w:eastAsia="en-GB"/>
              </w:rPr>
              <w:t xml:space="preserve"> declin</w:t>
            </w:r>
            <w:r>
              <w:rPr>
                <w:rFonts w:eastAsia="Calibri" w:cs="Times New Roman"/>
                <w:lang w:eastAsia="en-GB"/>
              </w:rPr>
              <w:t>ing</w:t>
            </w:r>
            <w:r w:rsidR="00AB067D">
              <w:rPr>
                <w:rFonts w:eastAsia="Calibri" w:cs="Times New Roman"/>
                <w:lang w:eastAsia="en-GB"/>
              </w:rPr>
              <w:t xml:space="preserve">, </w:t>
            </w:r>
            <w:r w:rsidR="006867DB" w:rsidRPr="002F659B">
              <w:rPr>
                <w:rFonts w:eastAsia="Calibri" w:cs="Times New Roman"/>
                <w:lang w:eastAsia="en-GB"/>
              </w:rPr>
              <w:t xml:space="preserve">HealthCERT has noticed a decline in requests for audit deferments due to </w:t>
            </w:r>
            <w:r>
              <w:rPr>
                <w:rFonts w:eastAsia="Calibri" w:cs="Times New Roman"/>
                <w:lang w:eastAsia="en-GB"/>
              </w:rPr>
              <w:t xml:space="preserve">the </w:t>
            </w:r>
            <w:r w:rsidR="006867DB" w:rsidRPr="002F659B">
              <w:rPr>
                <w:rFonts w:eastAsia="Calibri" w:cs="Times New Roman"/>
                <w:lang w:eastAsia="en-GB"/>
              </w:rPr>
              <w:t>COVID-19 outbreak</w:t>
            </w:r>
            <w:r w:rsidR="00AB067D">
              <w:rPr>
                <w:rFonts w:eastAsia="Calibri" w:cs="Times New Roman"/>
                <w:lang w:eastAsia="en-GB"/>
              </w:rPr>
              <w:t>. I</w:t>
            </w:r>
            <w:r w:rsidR="006867DB" w:rsidRPr="002F659B">
              <w:rPr>
                <w:rFonts w:eastAsia="Calibri" w:cs="Times New Roman"/>
                <w:lang w:eastAsia="en-GB"/>
              </w:rPr>
              <w:t xml:space="preserve">t feels like there </w:t>
            </w:r>
            <w:r w:rsidR="006867DB">
              <w:rPr>
                <w:rFonts w:eastAsia="Calibri" w:cs="Times New Roman"/>
                <w:lang w:eastAsia="en-GB"/>
              </w:rPr>
              <w:t>may be</w:t>
            </w:r>
            <w:r w:rsidR="006867DB" w:rsidRPr="002F659B">
              <w:rPr>
                <w:rFonts w:eastAsia="Calibri" w:cs="Times New Roman"/>
                <w:lang w:eastAsia="en-GB"/>
              </w:rPr>
              <w:t xml:space="preserve"> some light at the end of the very long </w:t>
            </w:r>
            <w:r w:rsidR="008B6A3B">
              <w:rPr>
                <w:rFonts w:eastAsia="Calibri" w:cs="Times New Roman"/>
                <w:lang w:eastAsia="en-GB"/>
              </w:rPr>
              <w:t>2</w:t>
            </w:r>
            <w:r w:rsidR="006867DB" w:rsidRPr="002F659B">
              <w:rPr>
                <w:rFonts w:eastAsia="Calibri" w:cs="Times New Roman"/>
                <w:lang w:eastAsia="en-GB"/>
              </w:rPr>
              <w:t xml:space="preserve">-year tunnel. </w:t>
            </w:r>
          </w:p>
          <w:p w14:paraId="50752D7A" w14:textId="090357F5" w:rsidR="006867DB" w:rsidRPr="002F659B" w:rsidRDefault="007E1520" w:rsidP="006867DB">
            <w:pPr>
              <w:spacing w:before="160" w:after="80" w:line="276" w:lineRule="auto"/>
              <w:rPr>
                <w:rFonts w:eastAsia="Calibri" w:cs="Times New Roman"/>
                <w:lang w:eastAsia="en-GB"/>
              </w:rPr>
            </w:pPr>
            <w:r>
              <w:rPr>
                <w:rFonts w:eastAsia="Calibri" w:cs="Times New Roman"/>
                <w:lang w:eastAsia="en-GB"/>
              </w:rPr>
              <w:t xml:space="preserve">Manatū Hauora </w:t>
            </w:r>
            <w:r w:rsidR="00C71484">
              <w:rPr>
                <w:rFonts w:eastAsia="Calibri" w:cs="Times New Roman"/>
                <w:lang w:eastAsia="en-GB"/>
              </w:rPr>
              <w:t xml:space="preserve">(the </w:t>
            </w:r>
            <w:r w:rsidR="006867DB" w:rsidRPr="002F659B">
              <w:rPr>
                <w:rFonts w:eastAsia="Calibri" w:cs="Times New Roman"/>
                <w:lang w:eastAsia="en-GB"/>
              </w:rPr>
              <w:t xml:space="preserve">Ministry </w:t>
            </w:r>
            <w:r>
              <w:rPr>
                <w:rFonts w:eastAsia="Calibri" w:cs="Times New Roman"/>
                <w:lang w:eastAsia="en-GB"/>
              </w:rPr>
              <w:t>of Health</w:t>
            </w:r>
            <w:r w:rsidR="00C71484">
              <w:rPr>
                <w:rFonts w:eastAsia="Calibri" w:cs="Times New Roman"/>
                <w:lang w:eastAsia="en-GB"/>
              </w:rPr>
              <w:t>)</w:t>
            </w:r>
            <w:r>
              <w:rPr>
                <w:rFonts w:eastAsia="Calibri" w:cs="Times New Roman"/>
                <w:lang w:eastAsia="en-GB"/>
              </w:rPr>
              <w:t xml:space="preserve"> </w:t>
            </w:r>
            <w:r w:rsidR="006867DB" w:rsidRPr="002F659B">
              <w:rPr>
                <w:rFonts w:eastAsia="Calibri" w:cs="Times New Roman"/>
                <w:lang w:eastAsia="en-GB"/>
              </w:rPr>
              <w:t xml:space="preserve">continues to encourage everyone to follow simple public health measures that have served us so well over the last </w:t>
            </w:r>
            <w:r w:rsidR="008B6A3B">
              <w:rPr>
                <w:rFonts w:eastAsia="Calibri" w:cs="Times New Roman"/>
                <w:lang w:eastAsia="en-GB"/>
              </w:rPr>
              <w:t>2</w:t>
            </w:r>
            <w:r w:rsidR="008B6A3B" w:rsidRPr="002F659B">
              <w:rPr>
                <w:rFonts w:eastAsia="Calibri" w:cs="Times New Roman"/>
                <w:lang w:eastAsia="en-GB"/>
              </w:rPr>
              <w:t xml:space="preserve"> </w:t>
            </w:r>
            <w:r w:rsidR="006867DB" w:rsidRPr="002F659B">
              <w:rPr>
                <w:rFonts w:eastAsia="Calibri" w:cs="Times New Roman"/>
                <w:lang w:eastAsia="en-GB"/>
              </w:rPr>
              <w:t>years</w:t>
            </w:r>
            <w:r w:rsidR="00C71484">
              <w:rPr>
                <w:rFonts w:eastAsia="Calibri" w:cs="Times New Roman"/>
                <w:lang w:eastAsia="en-GB"/>
              </w:rPr>
              <w:t>. In particular,</w:t>
            </w:r>
            <w:r w:rsidR="006867DB" w:rsidRPr="002F659B">
              <w:rPr>
                <w:rFonts w:eastAsia="Calibri" w:cs="Times New Roman"/>
                <w:lang w:eastAsia="en-GB"/>
              </w:rPr>
              <w:t xml:space="preserve"> wear a mask when indoors </w:t>
            </w:r>
            <w:r w:rsidR="00C71484">
              <w:rPr>
                <w:rFonts w:eastAsia="Calibri" w:cs="Times New Roman"/>
                <w:lang w:eastAsia="en-GB"/>
              </w:rPr>
              <w:t>in places other than</w:t>
            </w:r>
            <w:r w:rsidR="006867DB" w:rsidRPr="002F659B">
              <w:rPr>
                <w:rFonts w:eastAsia="Calibri" w:cs="Times New Roman"/>
                <w:lang w:eastAsia="en-GB"/>
              </w:rPr>
              <w:t xml:space="preserve"> home</w:t>
            </w:r>
            <w:r w:rsidR="00A25827">
              <w:rPr>
                <w:rFonts w:eastAsia="Calibri" w:cs="Times New Roman"/>
                <w:lang w:eastAsia="en-GB"/>
              </w:rPr>
              <w:t>,</w:t>
            </w:r>
            <w:r w:rsidR="006867DB" w:rsidRPr="002F659B">
              <w:rPr>
                <w:rFonts w:eastAsia="Calibri" w:cs="Times New Roman"/>
                <w:lang w:eastAsia="en-GB"/>
              </w:rPr>
              <w:t xml:space="preserve"> </w:t>
            </w:r>
            <w:r w:rsidR="00C71484">
              <w:rPr>
                <w:rFonts w:eastAsia="Calibri" w:cs="Times New Roman"/>
                <w:lang w:eastAsia="en-GB"/>
              </w:rPr>
              <w:t xml:space="preserve">practise </w:t>
            </w:r>
            <w:r w:rsidR="006867DB" w:rsidRPr="002F659B">
              <w:rPr>
                <w:rFonts w:eastAsia="Calibri" w:cs="Times New Roman"/>
                <w:lang w:eastAsia="en-GB"/>
              </w:rPr>
              <w:t xml:space="preserve">good hand hygiene, stay home if you have any symptoms, and </w:t>
            </w:r>
            <w:r w:rsidR="00C71484">
              <w:rPr>
                <w:rFonts w:eastAsia="Calibri" w:cs="Times New Roman"/>
                <w:lang w:eastAsia="en-GB"/>
              </w:rPr>
              <w:t xml:space="preserve">keep </w:t>
            </w:r>
            <w:r w:rsidR="00A25827">
              <w:rPr>
                <w:rFonts w:eastAsia="Calibri" w:cs="Times New Roman"/>
                <w:lang w:eastAsia="en-GB"/>
              </w:rPr>
              <w:t>y</w:t>
            </w:r>
            <w:r w:rsidR="006867DB" w:rsidRPr="002F659B">
              <w:rPr>
                <w:rFonts w:eastAsia="Calibri" w:cs="Times New Roman"/>
                <w:lang w:eastAsia="en-GB"/>
              </w:rPr>
              <w:t>our vaccinations</w:t>
            </w:r>
            <w:r w:rsidR="00C71484">
              <w:rPr>
                <w:rFonts w:eastAsia="Calibri" w:cs="Times New Roman"/>
                <w:lang w:eastAsia="en-GB"/>
              </w:rPr>
              <w:t xml:space="preserve"> up to date</w:t>
            </w:r>
            <w:r w:rsidR="006867DB" w:rsidRPr="002F659B">
              <w:rPr>
                <w:rFonts w:eastAsia="Calibri" w:cs="Times New Roman"/>
                <w:lang w:eastAsia="en-GB"/>
              </w:rPr>
              <w:t>. </w:t>
            </w:r>
          </w:p>
          <w:p w14:paraId="246013D9" w14:textId="01414914" w:rsidR="00FE11B8" w:rsidRPr="00B51E0D" w:rsidRDefault="00FE11B8" w:rsidP="005D1F48">
            <w:pPr>
              <w:spacing w:before="160" w:after="80" w:line="276" w:lineRule="auto"/>
              <w:rPr>
                <w:rFonts w:eastAsia="Calibri" w:cs="Times New Roman"/>
                <w:spacing w:val="-2"/>
                <w:lang w:eastAsia="en-GB"/>
              </w:rPr>
            </w:pPr>
          </w:p>
        </w:tc>
      </w:tr>
      <w:tr w:rsidR="006867DB" w:rsidRPr="00B51E0D" w14:paraId="3136D7B7" w14:textId="77777777" w:rsidTr="00210871">
        <w:tblPrEx>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shd w:val="clear" w:color="auto" w:fill="FBD4B4"/>
        </w:tblPrEx>
        <w:trPr>
          <w:cantSplit/>
          <w:trHeight w:val="639"/>
        </w:trPr>
        <w:tc>
          <w:tcPr>
            <w:tcW w:w="11311" w:type="dxa"/>
            <w:gridSpan w:val="5"/>
            <w:tcBorders>
              <w:top w:val="single" w:sz="48" w:space="0" w:color="FFFFFF" w:themeColor="background1"/>
            </w:tcBorders>
            <w:shd w:val="clear" w:color="auto" w:fill="D9E2F3" w:themeFill="accent1" w:themeFillTint="33"/>
          </w:tcPr>
          <w:p w14:paraId="5FBB5849" w14:textId="1C770718" w:rsidR="00F628E9" w:rsidRPr="00210871" w:rsidRDefault="006867DB" w:rsidP="00210871">
            <w:pPr>
              <w:spacing w:before="180" w:after="180" w:line="240" w:lineRule="auto"/>
              <w:ind w:left="459" w:right="459"/>
              <w:rPr>
                <w:rFonts w:eastAsia="Calibri" w:cs="Arial"/>
                <w:sz w:val="20"/>
                <w:szCs w:val="20"/>
              </w:rPr>
            </w:pPr>
            <w:r w:rsidRPr="00B51E0D">
              <w:rPr>
                <w:rFonts w:eastAsia="Calibri" w:cs="Arial"/>
                <w:b/>
                <w:szCs w:val="24"/>
              </w:rPr>
              <w:t>Inside:</w:t>
            </w:r>
            <w:r>
              <w:rPr>
                <w:rFonts w:eastAsia="Calibri" w:cs="Arial"/>
                <w:sz w:val="20"/>
              </w:rPr>
              <w:t xml:space="preserve"> </w:t>
            </w:r>
            <w:r w:rsidR="00A25827" w:rsidRPr="000F2116">
              <w:rPr>
                <w:rFonts w:eastAsia="Calibri" w:cs="Arial"/>
              </w:rPr>
              <w:sym w:font="Symbol" w:char="F0B7"/>
            </w:r>
            <w:r w:rsidR="00A25827" w:rsidRPr="000F2116">
              <w:rPr>
                <w:rFonts w:eastAsia="Calibri" w:cs="Arial"/>
              </w:rPr>
              <w:t xml:space="preserve"> </w:t>
            </w:r>
            <w:r w:rsidR="00A25827" w:rsidRPr="000F2116">
              <w:rPr>
                <w:rFonts w:eastAsia="Calibri" w:cs="Arial"/>
                <w:b/>
                <w:sz w:val="20"/>
              </w:rPr>
              <w:t>Operating matters</w:t>
            </w:r>
            <w:r w:rsidR="00A25827" w:rsidRPr="000F2116">
              <w:rPr>
                <w:rFonts w:eastAsia="Calibri" w:cs="Arial"/>
                <w:sz w:val="20"/>
              </w:rPr>
              <w:t xml:space="preserve"> </w:t>
            </w:r>
            <w:r w:rsidR="00A25827" w:rsidRPr="000F2116">
              <w:rPr>
                <w:rFonts w:eastAsia="Calibri" w:cs="Arial"/>
              </w:rPr>
              <w:sym w:font="Symbol" w:char="F0B7"/>
            </w:r>
            <w:r w:rsidR="00A25827" w:rsidRPr="000F2116">
              <w:rPr>
                <w:rFonts w:eastAsia="Calibri" w:cs="Arial"/>
              </w:rPr>
              <w:t xml:space="preserve"> </w:t>
            </w:r>
            <w:r w:rsidR="00A25827">
              <w:rPr>
                <w:rFonts w:eastAsia="Calibri" w:cs="Arial"/>
                <w:sz w:val="20"/>
                <w:szCs w:val="20"/>
              </w:rPr>
              <w:t>Knowing our HealthCERT team</w:t>
            </w:r>
            <w:r w:rsidR="00A25827" w:rsidRPr="000F2116">
              <w:rPr>
                <w:rFonts w:eastAsia="Calibri" w:cs="Arial"/>
              </w:rPr>
              <w:t xml:space="preserve"> </w:t>
            </w:r>
            <w:r w:rsidR="00A25827" w:rsidRPr="000F2116">
              <w:rPr>
                <w:rFonts w:eastAsia="Calibri" w:cs="Arial"/>
              </w:rPr>
              <w:sym w:font="Symbol" w:char="F0B7"/>
            </w:r>
            <w:r w:rsidR="00A25827" w:rsidRPr="000F2116">
              <w:rPr>
                <w:rFonts w:eastAsia="Calibri" w:cs="Arial"/>
                <w:sz w:val="20"/>
                <w:szCs w:val="20"/>
              </w:rPr>
              <w:t xml:space="preserve"> </w:t>
            </w:r>
            <w:r w:rsidR="00917BB3">
              <w:rPr>
                <w:rFonts w:eastAsia="Calibri" w:cs="Arial"/>
                <w:sz w:val="20"/>
                <w:szCs w:val="20"/>
              </w:rPr>
              <w:t xml:space="preserve">Reporting registered nurse shortages in aged residential care facilities </w:t>
            </w:r>
            <w:r w:rsidR="00917BB3" w:rsidRPr="000F2116">
              <w:rPr>
                <w:rFonts w:eastAsia="Calibri" w:cs="Arial"/>
              </w:rPr>
              <w:sym w:font="Symbol" w:char="F0B7"/>
            </w:r>
            <w:r w:rsidR="00917BB3">
              <w:rPr>
                <w:rFonts w:eastAsia="Calibri" w:cs="Arial"/>
              </w:rPr>
              <w:t xml:space="preserve"> </w:t>
            </w:r>
            <w:r w:rsidRPr="000F2116">
              <w:rPr>
                <w:rFonts w:eastAsia="Calibri" w:cs="Arial"/>
                <w:b/>
                <w:bCs/>
                <w:sz w:val="20"/>
                <w:szCs w:val="20"/>
              </w:rPr>
              <w:t>NZS 8134:2021 Ngā Paerewa</w:t>
            </w:r>
            <w:r>
              <w:rPr>
                <w:rFonts w:eastAsia="Calibri" w:cs="Arial"/>
                <w:b/>
                <w:bCs/>
                <w:sz w:val="20"/>
                <w:szCs w:val="20"/>
              </w:rPr>
              <w:t xml:space="preserve"> </w:t>
            </w:r>
            <w:r w:rsidR="00A25827">
              <w:rPr>
                <w:rFonts w:eastAsia="Calibri" w:cs="Arial"/>
                <w:b/>
                <w:bCs/>
                <w:sz w:val="20"/>
                <w:szCs w:val="20"/>
              </w:rPr>
              <w:t xml:space="preserve">Health and </w:t>
            </w:r>
            <w:r w:rsidR="00D25D6E">
              <w:rPr>
                <w:rFonts w:eastAsia="Calibri" w:cs="Arial"/>
                <w:b/>
                <w:bCs/>
                <w:sz w:val="20"/>
                <w:szCs w:val="20"/>
              </w:rPr>
              <w:t>D</w:t>
            </w:r>
            <w:r w:rsidR="00A25827">
              <w:rPr>
                <w:rFonts w:eastAsia="Calibri" w:cs="Arial"/>
                <w:b/>
                <w:bCs/>
                <w:sz w:val="20"/>
                <w:szCs w:val="20"/>
              </w:rPr>
              <w:t xml:space="preserve">isability </w:t>
            </w:r>
            <w:r w:rsidR="00D25D6E">
              <w:rPr>
                <w:rFonts w:eastAsia="Calibri" w:cs="Arial"/>
                <w:b/>
                <w:bCs/>
                <w:sz w:val="20"/>
                <w:szCs w:val="20"/>
              </w:rPr>
              <w:t>S</w:t>
            </w:r>
            <w:r w:rsidR="00A25827">
              <w:rPr>
                <w:rFonts w:eastAsia="Calibri" w:cs="Arial"/>
                <w:b/>
                <w:bCs/>
                <w:sz w:val="20"/>
                <w:szCs w:val="20"/>
              </w:rPr>
              <w:t xml:space="preserve">ervices </w:t>
            </w:r>
            <w:r w:rsidR="00D25D6E">
              <w:rPr>
                <w:rFonts w:eastAsia="Calibri" w:cs="Arial"/>
                <w:b/>
                <w:bCs/>
                <w:sz w:val="20"/>
                <w:szCs w:val="20"/>
              </w:rPr>
              <w:t>S</w:t>
            </w:r>
            <w:r w:rsidR="00A25827">
              <w:rPr>
                <w:rFonts w:eastAsia="Calibri" w:cs="Arial"/>
                <w:b/>
                <w:bCs/>
                <w:sz w:val="20"/>
                <w:szCs w:val="20"/>
              </w:rPr>
              <w:t xml:space="preserve">tandard </w:t>
            </w:r>
            <w:r w:rsidRPr="000F2116">
              <w:rPr>
                <w:rFonts w:eastAsia="Calibri" w:cs="Arial"/>
                <w:b/>
                <w:bCs/>
                <w:sz w:val="20"/>
                <w:szCs w:val="20"/>
              </w:rPr>
              <w:t>implementation update</w:t>
            </w:r>
            <w:r w:rsidRPr="000F2116">
              <w:rPr>
                <w:rFonts w:eastAsia="Calibri" w:cs="Arial"/>
                <w:sz w:val="20"/>
              </w:rPr>
              <w:t xml:space="preserve"> </w:t>
            </w:r>
            <w:r w:rsidRPr="000F2116">
              <w:rPr>
                <w:rFonts w:eastAsia="Calibri" w:cs="Arial"/>
              </w:rPr>
              <w:sym w:font="Symbol" w:char="F0B7"/>
            </w:r>
            <w:r w:rsidRPr="000F2116">
              <w:rPr>
                <w:rFonts w:eastAsia="Calibri" w:cs="Arial"/>
              </w:rPr>
              <w:t xml:space="preserve"> </w:t>
            </w:r>
            <w:r w:rsidR="002A3DCD" w:rsidRPr="002C7B6E">
              <w:rPr>
                <w:rFonts w:eastAsia="Calibri" w:cs="Arial"/>
                <w:sz w:val="20"/>
                <w:szCs w:val="20"/>
              </w:rPr>
              <w:t>post-implementation</w:t>
            </w:r>
            <w:r>
              <w:rPr>
                <w:rFonts w:eastAsia="Calibri" w:cs="Arial"/>
                <w:sz w:val="20"/>
                <w:szCs w:val="20"/>
              </w:rPr>
              <w:t xml:space="preserve"> survey</w:t>
            </w:r>
            <w:r w:rsidR="00D25D6E">
              <w:rPr>
                <w:rFonts w:eastAsia="Calibri" w:cs="Arial"/>
                <w:sz w:val="20"/>
                <w:szCs w:val="20"/>
              </w:rPr>
              <w:t xml:space="preserve"> </w:t>
            </w:r>
            <w:r w:rsidRPr="000F2116">
              <w:rPr>
                <w:rFonts w:eastAsia="Calibri" w:cs="Arial"/>
              </w:rPr>
              <w:sym w:font="Symbol" w:char="F0B7"/>
            </w:r>
            <w:r w:rsidRPr="000F2116">
              <w:rPr>
                <w:rFonts w:eastAsia="Calibri" w:cs="Arial"/>
              </w:rPr>
              <w:t xml:space="preserve"> </w:t>
            </w:r>
            <w:r w:rsidRPr="00944A03">
              <w:rPr>
                <w:rFonts w:eastAsia="Calibri" w:cs="Arial"/>
                <w:sz w:val="20"/>
                <w:szCs w:val="20"/>
              </w:rPr>
              <w:t>Te Tiriti eLearning module</w:t>
            </w:r>
            <w:r w:rsidR="00A25827">
              <w:rPr>
                <w:rFonts w:eastAsia="Calibri" w:cs="Arial"/>
                <w:sz w:val="20"/>
                <w:szCs w:val="20"/>
              </w:rPr>
              <w:t xml:space="preserve"> update </w:t>
            </w:r>
            <w:r w:rsidR="00A25827" w:rsidRPr="000F2116">
              <w:rPr>
                <w:rFonts w:eastAsia="Calibri" w:cs="Arial"/>
              </w:rPr>
              <w:sym w:font="Symbol" w:char="F0B7"/>
            </w:r>
            <w:r w:rsidR="00A25827">
              <w:rPr>
                <w:rFonts w:eastAsia="Calibri" w:cs="Arial"/>
              </w:rPr>
              <w:t xml:space="preserve"> </w:t>
            </w:r>
            <w:r w:rsidR="00A25827">
              <w:rPr>
                <w:rFonts w:eastAsia="Calibri" w:cs="Arial"/>
                <w:sz w:val="20"/>
                <w:szCs w:val="20"/>
              </w:rPr>
              <w:t xml:space="preserve">Restraints and enablers </w:t>
            </w:r>
            <w:r w:rsidR="00A25827" w:rsidRPr="000F2116">
              <w:rPr>
                <w:rFonts w:eastAsia="Calibri" w:cs="Arial"/>
              </w:rPr>
              <w:sym w:font="Symbol" w:char="F0B7"/>
            </w:r>
            <w:r w:rsidR="00A25827">
              <w:rPr>
                <w:rFonts w:eastAsia="Calibri" w:cs="Arial"/>
              </w:rPr>
              <w:t xml:space="preserve"> </w:t>
            </w:r>
            <w:r w:rsidRPr="000F2116">
              <w:rPr>
                <w:rFonts w:eastAsia="Calibri" w:cs="Arial"/>
                <w:b/>
                <w:sz w:val="20"/>
              </w:rPr>
              <w:t>Sector matters</w:t>
            </w:r>
            <w:r w:rsidRPr="000F2116">
              <w:rPr>
                <w:rFonts w:eastAsia="Calibri" w:cs="Arial"/>
                <w:sz w:val="20"/>
              </w:rPr>
              <w:t xml:space="preserve"> </w:t>
            </w:r>
            <w:r w:rsidRPr="000F2116">
              <w:rPr>
                <w:rFonts w:eastAsia="Calibri" w:cs="Arial"/>
              </w:rPr>
              <w:sym w:font="Symbol" w:char="F0B7"/>
            </w:r>
            <w:r w:rsidRPr="000F2116">
              <w:rPr>
                <w:rFonts w:eastAsia="Calibri" w:cs="Arial"/>
              </w:rPr>
              <w:t xml:space="preserve"> </w:t>
            </w:r>
            <w:r w:rsidR="00A25827">
              <w:rPr>
                <w:rFonts w:eastAsia="Calibri" w:cs="Arial"/>
                <w:sz w:val="20"/>
                <w:szCs w:val="20"/>
              </w:rPr>
              <w:t>Pressure injuries and ACC</w:t>
            </w:r>
            <w:r>
              <w:rPr>
                <w:rFonts w:eastAsia="Calibri" w:cs="Arial"/>
              </w:rPr>
              <w:t xml:space="preserve"> </w:t>
            </w:r>
            <w:r w:rsidRPr="000F2116">
              <w:rPr>
                <w:rFonts w:eastAsia="Calibri" w:cs="Arial"/>
              </w:rPr>
              <w:sym w:font="Symbol" w:char="F0B7"/>
            </w:r>
            <w:r>
              <w:rPr>
                <w:rFonts w:eastAsia="Calibri" w:cs="Arial"/>
              </w:rPr>
              <w:t xml:space="preserve"> </w:t>
            </w:r>
            <w:r w:rsidRPr="00944A03">
              <w:rPr>
                <w:rFonts w:eastAsia="Calibri" w:cs="Arial"/>
                <w:sz w:val="20"/>
                <w:szCs w:val="20"/>
              </w:rPr>
              <w:t xml:space="preserve">Update from the </w:t>
            </w:r>
            <w:r w:rsidR="00C758C4">
              <w:rPr>
                <w:rFonts w:eastAsia="Calibri" w:cs="Arial"/>
                <w:sz w:val="20"/>
                <w:szCs w:val="20"/>
              </w:rPr>
              <w:t>A</w:t>
            </w:r>
            <w:r w:rsidRPr="00944A03">
              <w:rPr>
                <w:rFonts w:eastAsia="Calibri" w:cs="Arial"/>
                <w:sz w:val="20"/>
                <w:szCs w:val="20"/>
              </w:rPr>
              <w:t xml:space="preserve">ssisted </w:t>
            </w:r>
            <w:r w:rsidR="00C758C4">
              <w:rPr>
                <w:rFonts w:eastAsia="Calibri" w:cs="Arial"/>
                <w:sz w:val="20"/>
                <w:szCs w:val="20"/>
              </w:rPr>
              <w:t>D</w:t>
            </w:r>
            <w:r w:rsidRPr="00944A03">
              <w:rPr>
                <w:rFonts w:eastAsia="Calibri" w:cs="Arial"/>
                <w:sz w:val="20"/>
                <w:szCs w:val="20"/>
              </w:rPr>
              <w:t xml:space="preserve">ying </w:t>
            </w:r>
            <w:r w:rsidR="00C758C4">
              <w:rPr>
                <w:rFonts w:eastAsia="Calibri" w:cs="Arial"/>
                <w:sz w:val="20"/>
                <w:szCs w:val="20"/>
              </w:rPr>
              <w:t>S</w:t>
            </w:r>
            <w:r w:rsidRPr="00944A03">
              <w:rPr>
                <w:rFonts w:eastAsia="Calibri" w:cs="Arial"/>
                <w:sz w:val="20"/>
                <w:szCs w:val="20"/>
              </w:rPr>
              <w:t>ervice</w:t>
            </w:r>
            <w:r w:rsidRPr="000F2116">
              <w:rPr>
                <w:rFonts w:eastAsia="Calibri" w:cs="Arial"/>
                <w:sz w:val="20"/>
                <w:szCs w:val="20"/>
              </w:rPr>
              <w:t xml:space="preserve"> </w:t>
            </w:r>
            <w:r w:rsidRPr="000F2116">
              <w:rPr>
                <w:rFonts w:eastAsia="Calibri" w:cs="Arial"/>
              </w:rPr>
              <w:sym w:font="Symbol" w:char="F0B7"/>
            </w:r>
            <w:r>
              <w:rPr>
                <w:rFonts w:eastAsia="Calibri" w:cs="Arial"/>
              </w:rPr>
              <w:t xml:space="preserve"> </w:t>
            </w:r>
            <w:r w:rsidRPr="000F2116">
              <w:rPr>
                <w:rFonts w:eastAsia="Calibri" w:cs="Arial"/>
                <w:b/>
                <w:bCs/>
                <w:sz w:val="20"/>
                <w:szCs w:val="18"/>
              </w:rPr>
              <w:t>Success story</w:t>
            </w:r>
            <w:r w:rsidRPr="000F2116">
              <w:rPr>
                <w:rFonts w:eastAsia="Calibri" w:cs="Arial"/>
                <w:b/>
                <w:bCs/>
                <w:sz w:val="20"/>
              </w:rPr>
              <w:t xml:space="preserve"> </w:t>
            </w:r>
            <w:r w:rsidRPr="000F2116">
              <w:rPr>
                <w:rFonts w:eastAsia="Calibri" w:cs="Arial"/>
              </w:rPr>
              <w:sym w:font="Symbol" w:char="F0B7"/>
            </w:r>
            <w:r w:rsidRPr="000F2116">
              <w:rPr>
                <w:rFonts w:eastAsia="Calibri" w:cs="Arial"/>
              </w:rPr>
              <w:t xml:space="preserve"> </w:t>
            </w:r>
            <w:r w:rsidR="00A25827">
              <w:rPr>
                <w:rFonts w:eastAsia="Calibri" w:cs="Arial"/>
                <w:sz w:val="20"/>
                <w:szCs w:val="20"/>
              </w:rPr>
              <w:t>Laura Fergusson Trust Wellington</w:t>
            </w:r>
            <w:r w:rsidRPr="000F2116">
              <w:rPr>
                <w:rFonts w:eastAsia="Calibri" w:cs="Arial"/>
              </w:rPr>
              <w:t xml:space="preserve"> </w:t>
            </w:r>
            <w:r w:rsidR="009D757C" w:rsidRPr="000F2116">
              <w:rPr>
                <w:rFonts w:eastAsia="Calibri" w:cs="Arial"/>
              </w:rPr>
              <w:sym w:font="Symbol" w:char="F0B7"/>
            </w:r>
            <w:r w:rsidR="009D757C" w:rsidRPr="000F2116">
              <w:rPr>
                <w:rFonts w:eastAsia="Calibri" w:cs="Arial"/>
              </w:rPr>
              <w:t xml:space="preserve"> </w:t>
            </w:r>
            <w:r w:rsidR="009D757C" w:rsidRPr="000F2116">
              <w:rPr>
                <w:rFonts w:eastAsia="Calibri" w:cs="Arial"/>
                <w:sz w:val="20"/>
                <w:szCs w:val="20"/>
              </w:rPr>
              <w:t>Invitation to submit success stories</w:t>
            </w:r>
          </w:p>
        </w:tc>
      </w:tr>
      <w:tr w:rsidR="006867DB" w:rsidRPr="00B51E0D" w14:paraId="03F50B11" w14:textId="77777777" w:rsidTr="00631A4B">
        <w:trPr>
          <w:gridBefore w:val="1"/>
          <w:gridAfter w:val="2"/>
          <w:wBefore w:w="566" w:type="dxa"/>
          <w:wAfter w:w="504" w:type="dxa"/>
          <w:cantSplit/>
          <w:trHeight w:val="9184"/>
        </w:trPr>
        <w:tc>
          <w:tcPr>
            <w:tcW w:w="10241" w:type="dxa"/>
            <w:gridSpan w:val="2"/>
            <w:shd w:val="clear" w:color="auto" w:fill="auto"/>
          </w:tcPr>
          <w:p w14:paraId="604A01FC" w14:textId="1EC9DEA6" w:rsidR="006867DB" w:rsidRPr="002F659B" w:rsidRDefault="006867DB" w:rsidP="002F659B">
            <w:pPr>
              <w:pStyle w:val="Heading1"/>
              <w:pBdr>
                <w:top w:val="none" w:sz="0" w:space="0" w:color="auto"/>
              </w:pBdr>
            </w:pPr>
            <w:r w:rsidRPr="002F659B">
              <w:lastRenderedPageBreak/>
              <w:t xml:space="preserve">Operating matters </w:t>
            </w:r>
          </w:p>
          <w:p w14:paraId="66BE2772" w14:textId="46CDD4AC" w:rsidR="006867DB" w:rsidRPr="002F659B" w:rsidRDefault="006867DB" w:rsidP="002C48BB">
            <w:pPr>
              <w:pStyle w:val="Heading2"/>
            </w:pPr>
            <w:r w:rsidRPr="002F659B">
              <w:t xml:space="preserve">Knowing our HealthCERT team </w:t>
            </w:r>
          </w:p>
          <w:p w14:paraId="1334EDEF" w14:textId="6C6390E1" w:rsidR="00AB067D" w:rsidRDefault="006867DB" w:rsidP="00BA0FB2">
            <w:r>
              <w:t xml:space="preserve">The HealthCERT team is a small but dynamic group with specialised work streams. </w:t>
            </w:r>
            <w:r w:rsidR="00D417EA">
              <w:t>In the following</w:t>
            </w:r>
            <w:r>
              <w:t xml:space="preserve"> bulletins</w:t>
            </w:r>
            <w:r w:rsidR="00D417EA">
              <w:t>,</w:t>
            </w:r>
            <w:r>
              <w:t xml:space="preserve"> we will be providing a brief introduction </w:t>
            </w:r>
            <w:r w:rsidR="00A25827">
              <w:t>to</w:t>
            </w:r>
            <w:r>
              <w:t xml:space="preserve"> our differing team roles. </w:t>
            </w:r>
          </w:p>
          <w:p w14:paraId="2D105F88" w14:textId="731AB98A" w:rsidR="00AB067D" w:rsidRDefault="006867DB" w:rsidP="00BA0FB2">
            <w:r>
              <w:t xml:space="preserve">Our coordination team is often the first point of contact with HealthCERT, </w:t>
            </w:r>
            <w:r w:rsidR="00D417EA">
              <w:t xml:space="preserve">so it is </w:t>
            </w:r>
            <w:r>
              <w:t xml:space="preserve">appropriate to start by introducing Gemma and Lisa. </w:t>
            </w:r>
          </w:p>
          <w:p w14:paraId="70BA26C5" w14:textId="7BEC9A9A" w:rsidR="0047425C" w:rsidRDefault="006867DB" w:rsidP="00BA0FB2">
            <w:r>
              <w:t>Gemma</w:t>
            </w:r>
            <w:r w:rsidR="00D417EA">
              <w:t xml:space="preserve"> </w:t>
            </w:r>
            <w:r>
              <w:t xml:space="preserve">joined the team in June 2020 and Lisa in November 2021. Our </w:t>
            </w:r>
            <w:r w:rsidR="00D417EA">
              <w:t>c</w:t>
            </w:r>
            <w:r>
              <w:t>oordinators hold an integral role within the HealthCERT team</w:t>
            </w:r>
            <w:r w:rsidR="00AB067D">
              <w:t>. T</w:t>
            </w:r>
            <w:r>
              <w:t xml:space="preserve">hey are often at the start, middle and end of </w:t>
            </w:r>
            <w:r w:rsidR="00F62ACD">
              <w:t xml:space="preserve">a </w:t>
            </w:r>
            <w:r>
              <w:t xml:space="preserve">HealthCERT process, so you will most likely have contact with Gemma or Lisa </w:t>
            </w:r>
            <w:r w:rsidR="002C48BB">
              <w:t xml:space="preserve">at some time during </w:t>
            </w:r>
            <w:r>
              <w:t xml:space="preserve"> your certification process</w:t>
            </w:r>
            <w:r w:rsidR="00AB067D">
              <w:t>.</w:t>
            </w:r>
            <w:r>
              <w:t xml:space="preserve"> Their main focus includes (but definitely is not limited to)</w:t>
            </w:r>
            <w:r w:rsidR="0047425C">
              <w:t>:</w:t>
            </w:r>
          </w:p>
          <w:p w14:paraId="49A73210" w14:textId="2FE7F0CC" w:rsidR="0047425C" w:rsidRDefault="006867DB" w:rsidP="0047425C">
            <w:pPr>
              <w:pStyle w:val="ListBullet"/>
            </w:pPr>
            <w:r>
              <w:t>monitoring the certification inbox, where</w:t>
            </w:r>
            <w:r w:rsidR="0047425C">
              <w:t xml:space="preserve"> we receive</w:t>
            </w:r>
            <w:r>
              <w:t xml:space="preserve"> general queries and certification workflows</w:t>
            </w:r>
          </w:p>
          <w:p w14:paraId="3C4095DE" w14:textId="50C65D42" w:rsidR="0047425C" w:rsidRDefault="0047425C" w:rsidP="0047425C">
            <w:pPr>
              <w:pStyle w:val="ListBullet"/>
            </w:pPr>
            <w:r>
              <w:t xml:space="preserve">ensuring </w:t>
            </w:r>
            <w:r w:rsidR="006867DB">
              <w:t>certification documentation is progressed through HealthCERT’s database Provider Regulation and Monitoring System (PRMS)</w:t>
            </w:r>
          </w:p>
          <w:p w14:paraId="4DAFFA40" w14:textId="64F47E46" w:rsidR="0047425C" w:rsidRDefault="006867DB" w:rsidP="0047425C">
            <w:pPr>
              <w:pStyle w:val="ListBullet"/>
            </w:pPr>
            <w:r>
              <w:t>communicating with providers to manage certification applications</w:t>
            </w:r>
          </w:p>
          <w:p w14:paraId="230B87A9" w14:textId="30EE8C70" w:rsidR="0047425C" w:rsidRDefault="006867DB" w:rsidP="0047425C">
            <w:pPr>
              <w:pStyle w:val="ListBullet"/>
            </w:pPr>
            <w:r>
              <w:t>processing notification forms and certification documents</w:t>
            </w:r>
          </w:p>
          <w:p w14:paraId="67B485FE" w14:textId="0C1EBA52" w:rsidR="0047425C" w:rsidRDefault="0047425C" w:rsidP="0047425C">
            <w:pPr>
              <w:pStyle w:val="ListBullet"/>
            </w:pPr>
            <w:r>
              <w:t xml:space="preserve">managing </w:t>
            </w:r>
            <w:r w:rsidR="007E1520">
              <w:t>applications under section 125 of the Health Act 1956 and the administrative process for certif</w:t>
            </w:r>
            <w:r w:rsidR="004018B4">
              <w:t>ying</w:t>
            </w:r>
            <w:r w:rsidR="007E1520">
              <w:t xml:space="preserve"> home and community support services providers</w:t>
            </w:r>
          </w:p>
          <w:p w14:paraId="7D121D53" w14:textId="226FF246" w:rsidR="0047425C" w:rsidRDefault="006867DB" w:rsidP="0047425C">
            <w:pPr>
              <w:pStyle w:val="ListBullet"/>
            </w:pPr>
            <w:r>
              <w:t>allocati</w:t>
            </w:r>
            <w:r w:rsidR="0047425C">
              <w:t xml:space="preserve">ng </w:t>
            </w:r>
            <w:r>
              <w:t xml:space="preserve">work within our team </w:t>
            </w:r>
          </w:p>
          <w:p w14:paraId="27FC3AB3" w14:textId="3BAE2AA4" w:rsidR="006867DB" w:rsidRDefault="006867DB" w:rsidP="002C48BB">
            <w:pPr>
              <w:pStyle w:val="ListBullet"/>
            </w:pPr>
            <w:r>
              <w:t>very importantly</w:t>
            </w:r>
            <w:r w:rsidR="0047425C">
              <w:t>,</w:t>
            </w:r>
            <w:r>
              <w:t xml:space="preserve"> keeping the HealthCERT team on track.</w:t>
            </w:r>
          </w:p>
          <w:p w14:paraId="57526030" w14:textId="457F3A9E" w:rsidR="006867DB" w:rsidRDefault="006867DB" w:rsidP="00A25827">
            <w:pPr>
              <w:spacing w:before="160" w:after="80" w:line="276" w:lineRule="auto"/>
              <w:jc w:val="center"/>
              <w:rPr>
                <w:rFonts w:eastAsia="Calibri" w:cs="Times New Roman"/>
                <w:lang w:eastAsia="en-GB"/>
              </w:rPr>
            </w:pPr>
            <w:r>
              <w:rPr>
                <w:noProof/>
              </w:rPr>
              <w:drawing>
                <wp:inline distT="0" distB="0" distL="0" distR="0" wp14:anchorId="1F11184B" wp14:editId="02B44728">
                  <wp:extent cx="1455803" cy="1200150"/>
                  <wp:effectExtent l="0" t="0" r="0" b="0"/>
                  <wp:docPr id="5" name="Picture 5" descr="Photo of two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hoto of two people"/>
                          <pic:cNvPicPr/>
                        </pic:nvPicPr>
                        <pic:blipFill>
                          <a:blip r:embed="rId8"/>
                          <a:stretch>
                            <a:fillRect/>
                          </a:stretch>
                        </pic:blipFill>
                        <pic:spPr>
                          <a:xfrm>
                            <a:off x="0" y="0"/>
                            <a:ext cx="1460070" cy="1203668"/>
                          </a:xfrm>
                          <a:prstGeom prst="rect">
                            <a:avLst/>
                          </a:prstGeom>
                        </pic:spPr>
                      </pic:pic>
                    </a:graphicData>
                  </a:graphic>
                </wp:inline>
              </w:drawing>
            </w:r>
          </w:p>
          <w:p w14:paraId="3CF8A30E" w14:textId="673C4997" w:rsidR="00A25827" w:rsidRPr="00FA7F9E" w:rsidRDefault="00A25827" w:rsidP="00FA7F9E">
            <w:pPr>
              <w:spacing w:after="80" w:line="276" w:lineRule="auto"/>
              <w:jc w:val="center"/>
              <w:rPr>
                <w:rFonts w:eastAsia="Calibri" w:cs="Times New Roman"/>
                <w:i/>
                <w:iCs/>
                <w:sz w:val="18"/>
                <w:szCs w:val="16"/>
                <w:lang w:eastAsia="en-GB"/>
              </w:rPr>
            </w:pPr>
            <w:r w:rsidRPr="00FA7F9E">
              <w:rPr>
                <w:rFonts w:eastAsia="Calibri" w:cs="Times New Roman"/>
                <w:i/>
                <w:iCs/>
                <w:sz w:val="18"/>
                <w:szCs w:val="16"/>
                <w:lang w:eastAsia="en-GB"/>
              </w:rPr>
              <w:t>Lisa (</w:t>
            </w:r>
            <w:r w:rsidR="007164F5">
              <w:rPr>
                <w:rFonts w:eastAsia="Calibri" w:cs="Times New Roman"/>
                <w:i/>
                <w:iCs/>
                <w:sz w:val="18"/>
                <w:szCs w:val="16"/>
                <w:lang w:eastAsia="en-GB"/>
              </w:rPr>
              <w:t>left</w:t>
            </w:r>
            <w:r w:rsidRPr="00FA7F9E">
              <w:rPr>
                <w:rFonts w:eastAsia="Calibri" w:cs="Times New Roman"/>
                <w:i/>
                <w:iCs/>
                <w:sz w:val="18"/>
                <w:szCs w:val="16"/>
                <w:lang w:eastAsia="en-GB"/>
              </w:rPr>
              <w:t>) and Gemma (</w:t>
            </w:r>
            <w:r w:rsidR="007164F5">
              <w:rPr>
                <w:rFonts w:eastAsia="Calibri" w:cs="Times New Roman"/>
                <w:i/>
                <w:iCs/>
                <w:sz w:val="18"/>
                <w:szCs w:val="16"/>
                <w:lang w:eastAsia="en-GB"/>
              </w:rPr>
              <w:t>right</w:t>
            </w:r>
            <w:r w:rsidRPr="00FA7F9E">
              <w:rPr>
                <w:rFonts w:eastAsia="Calibri" w:cs="Times New Roman"/>
                <w:i/>
                <w:iCs/>
                <w:sz w:val="18"/>
                <w:szCs w:val="16"/>
                <w:lang w:eastAsia="en-GB"/>
              </w:rPr>
              <w:t>)</w:t>
            </w:r>
          </w:p>
          <w:p w14:paraId="185D06F5" w14:textId="77777777" w:rsidR="00917BB3" w:rsidRDefault="00917BB3" w:rsidP="00917BB3">
            <w:pPr>
              <w:pStyle w:val="Heading2"/>
              <w:rPr>
                <w:lang w:eastAsia="en-GB"/>
              </w:rPr>
            </w:pPr>
          </w:p>
          <w:p w14:paraId="1A7FF5C6" w14:textId="77777777" w:rsidR="00917BB3" w:rsidRDefault="00917BB3" w:rsidP="00917BB3">
            <w:pPr>
              <w:pStyle w:val="Heading2"/>
              <w:rPr>
                <w:lang w:eastAsia="en-GB"/>
              </w:rPr>
            </w:pPr>
          </w:p>
          <w:p w14:paraId="634D25E6" w14:textId="43E099FA" w:rsidR="00917BB3" w:rsidRPr="00372DC7" w:rsidRDefault="00917BB3" w:rsidP="00917BB3">
            <w:pPr>
              <w:pStyle w:val="Heading2"/>
            </w:pPr>
            <w:r w:rsidRPr="00372DC7">
              <w:rPr>
                <w:lang w:eastAsia="en-GB"/>
              </w:rPr>
              <w:t xml:space="preserve">Reporting registered nurse shortages in </w:t>
            </w:r>
            <w:r>
              <w:rPr>
                <w:lang w:eastAsia="en-GB"/>
              </w:rPr>
              <w:t>aged residential care</w:t>
            </w:r>
            <w:r w:rsidRPr="00372DC7">
              <w:rPr>
                <w:lang w:eastAsia="en-GB"/>
              </w:rPr>
              <w:t xml:space="preserve"> facilities</w:t>
            </w:r>
          </w:p>
          <w:p w14:paraId="21B3C53E" w14:textId="77777777" w:rsidR="00917BB3" w:rsidRPr="00796909" w:rsidRDefault="00917BB3" w:rsidP="00917BB3">
            <w:pPr>
              <w:autoSpaceDE w:val="0"/>
              <w:autoSpaceDN w:val="0"/>
              <w:adjustRightInd w:val="0"/>
              <w:spacing w:after="200" w:line="276" w:lineRule="auto"/>
              <w:rPr>
                <w:rStyle w:val="Hyperlink"/>
                <w:rFonts w:cs="Arial"/>
                <w:szCs w:val="24"/>
              </w:rPr>
            </w:pPr>
            <w:r>
              <w:rPr>
                <w:rFonts w:eastAsia="Calibri" w:cs="Times New Roman"/>
              </w:rPr>
              <w:t>HealthCERT continues to receive an increasing number of section 31 notifications for registered nurse (RN) shortages. Thank you for your ongoing reporting. Data from these notifications provides an accurate picture of the current staffing issues the sector is experiencing. We are sharing this data with the working groups that are focusing on the national RN shortage.</w:t>
            </w:r>
          </w:p>
          <w:p w14:paraId="184938D4" w14:textId="3A045A43" w:rsidR="00A25827" w:rsidRDefault="00917BB3" w:rsidP="00917BB3">
            <w:pPr>
              <w:autoSpaceDE w:val="0"/>
              <w:autoSpaceDN w:val="0"/>
              <w:adjustRightInd w:val="0"/>
              <w:spacing w:after="200" w:line="276" w:lineRule="auto"/>
              <w:rPr>
                <w:b/>
                <w:bCs/>
                <w:color w:val="4472C4" w:themeColor="accent1"/>
                <w:sz w:val="28"/>
                <w:szCs w:val="28"/>
              </w:rPr>
            </w:pPr>
            <w:r w:rsidRPr="00796909">
              <w:rPr>
                <w:rFonts w:eastAsia="Calibri" w:cs="Times New Roman"/>
              </w:rPr>
              <w:lastRenderedPageBreak/>
              <w:t>Please continue to submit RN shortage notifications</w:t>
            </w:r>
            <w:r>
              <w:rPr>
                <w:rFonts w:eastAsia="Calibri" w:cs="Times New Roman"/>
              </w:rPr>
              <w:t>. To access the form, go to</w:t>
            </w:r>
            <w:r w:rsidRPr="00796909">
              <w:t xml:space="preserve"> </w:t>
            </w:r>
            <w:hyperlink r:id="rId9" w:history="1">
              <w:r w:rsidRPr="00796909">
                <w:rPr>
                  <w:rStyle w:val="Hyperlink"/>
                  <w:rFonts w:cs="Arial"/>
                  <w:szCs w:val="24"/>
                </w:rPr>
                <w:t>Notifying an incident under section 31 | Ministry of Health NZ</w:t>
              </w:r>
            </w:hyperlink>
            <w:r w:rsidRPr="00796909">
              <w:rPr>
                <w:rStyle w:val="Hyperlink"/>
                <w:rFonts w:cs="Arial"/>
                <w:szCs w:val="24"/>
              </w:rPr>
              <w:t xml:space="preserve">. </w:t>
            </w:r>
          </w:p>
          <w:p w14:paraId="6F090BC4" w14:textId="4C15EC5D" w:rsidR="006867DB" w:rsidRPr="002F659B" w:rsidRDefault="006867DB" w:rsidP="002C48BB">
            <w:pPr>
              <w:pStyle w:val="Heading1"/>
            </w:pPr>
            <w:r w:rsidRPr="002F659B">
              <w:t xml:space="preserve">NZS 8134:2021 Ngā Paerewa Health and Disability Services Standard implementation update </w:t>
            </w:r>
          </w:p>
          <w:p w14:paraId="1160B568" w14:textId="77777777" w:rsidR="006867DB" w:rsidRPr="00FC2EAA" w:rsidRDefault="006867DB" w:rsidP="002C48BB">
            <w:pPr>
              <w:pStyle w:val="Heading2"/>
            </w:pPr>
            <w:r w:rsidRPr="00FC2EAA">
              <w:t>Post-implementation survey</w:t>
            </w:r>
          </w:p>
          <w:p w14:paraId="0D39392D" w14:textId="5ABBF90A" w:rsidR="006867DB" w:rsidRDefault="006867DB" w:rsidP="0022772E">
            <w:r>
              <w:t xml:space="preserve">HealthCERT ran </w:t>
            </w:r>
            <w:r w:rsidR="007164F5">
              <w:t xml:space="preserve">our </w:t>
            </w:r>
            <w:r>
              <w:t xml:space="preserve">first </w:t>
            </w:r>
            <w:r w:rsidRPr="00863179">
              <w:t>survey</w:t>
            </w:r>
            <w:r>
              <w:t xml:space="preserve"> </w:t>
            </w:r>
            <w:r w:rsidR="007164F5">
              <w:t>after the implementation of</w:t>
            </w:r>
            <w:r w:rsidR="007164F5" w:rsidRPr="002F659B">
              <w:rPr>
                <w:b/>
              </w:rPr>
              <w:t xml:space="preserve"> </w:t>
            </w:r>
            <w:r w:rsidR="007164F5" w:rsidRPr="007164F5">
              <w:t>Ngā Paerewa</w:t>
            </w:r>
            <w:r w:rsidR="007164F5">
              <w:t xml:space="preserve"> </w:t>
            </w:r>
            <w:r>
              <w:t xml:space="preserve">between </w:t>
            </w:r>
            <w:r w:rsidRPr="00545FB6">
              <w:t xml:space="preserve">10 June </w:t>
            </w:r>
            <w:r w:rsidR="007164F5">
              <w:t>and</w:t>
            </w:r>
            <w:r w:rsidRPr="00545FB6">
              <w:t xml:space="preserve"> 10 July 2022</w:t>
            </w:r>
            <w:r>
              <w:t>.</w:t>
            </w:r>
            <w:r w:rsidR="007164F5">
              <w:t xml:space="preserve"> We received</w:t>
            </w:r>
            <w:r>
              <w:t xml:space="preserve"> </w:t>
            </w:r>
            <w:r w:rsidRPr="00076928">
              <w:t xml:space="preserve">127 responses, </w:t>
            </w:r>
            <w:r>
              <w:t xml:space="preserve">of </w:t>
            </w:r>
            <w:r w:rsidR="007164F5">
              <w:t xml:space="preserve">which </w:t>
            </w:r>
            <w:r w:rsidRPr="00076928">
              <w:t xml:space="preserve">98 (77%) were </w:t>
            </w:r>
            <w:r>
              <w:t xml:space="preserve">from </w:t>
            </w:r>
            <w:r w:rsidRPr="00076928">
              <w:t xml:space="preserve">service providers. </w:t>
            </w:r>
            <w:r w:rsidRPr="000534FD">
              <w:t xml:space="preserve">Thank you to </w:t>
            </w:r>
            <w:r w:rsidR="007164F5">
              <w:t>everyone</w:t>
            </w:r>
            <w:r w:rsidRPr="000534FD">
              <w:t xml:space="preserve"> who completed the survey</w:t>
            </w:r>
            <w:r>
              <w:t xml:space="preserve">. We </w:t>
            </w:r>
            <w:r w:rsidR="0006511E">
              <w:t>greatly</w:t>
            </w:r>
            <w:r>
              <w:t xml:space="preserve"> appreciate </w:t>
            </w:r>
            <w:r w:rsidR="0006511E">
              <w:t>that you have taken this</w:t>
            </w:r>
            <w:r>
              <w:t xml:space="preserve"> time to </w:t>
            </w:r>
            <w:r w:rsidR="007164F5">
              <w:t>help</w:t>
            </w:r>
            <w:r w:rsidR="0006511E">
              <w:t xml:space="preserve"> us with</w:t>
            </w:r>
            <w:r>
              <w:t xml:space="preserve"> our analysis. We are</w:t>
            </w:r>
            <w:r w:rsidR="0006511E">
              <w:t xml:space="preserve"> now</w:t>
            </w:r>
            <w:r>
              <w:t xml:space="preserve"> committed to u</w:t>
            </w:r>
            <w:r w:rsidR="00AB067D">
              <w:t>s</w:t>
            </w:r>
            <w:r>
              <w:t xml:space="preserve">ing the information </w:t>
            </w:r>
            <w:r w:rsidR="0006511E">
              <w:t xml:space="preserve">we have </w:t>
            </w:r>
            <w:r>
              <w:t xml:space="preserve">gained to guide and prioritise the development of supporting material for the ongoing implementation of </w:t>
            </w:r>
            <w:r w:rsidRPr="00D964BE">
              <w:t>Ngā Paerewa</w:t>
            </w:r>
            <w:r>
              <w:t xml:space="preserve">.  </w:t>
            </w:r>
          </w:p>
          <w:p w14:paraId="3B4CA876" w14:textId="3D6F6050" w:rsidR="006867DB" w:rsidRPr="004E601C" w:rsidRDefault="006867DB" w:rsidP="002C48BB">
            <w:pPr>
              <w:pStyle w:val="Heading3"/>
            </w:pPr>
            <w:r w:rsidRPr="004E601C">
              <w:t>Training material</w:t>
            </w:r>
          </w:p>
          <w:p w14:paraId="06E78EE9" w14:textId="00C2B5E2" w:rsidR="006867DB" w:rsidRPr="004909A1" w:rsidRDefault="006867DB" w:rsidP="0022772E">
            <w:r w:rsidRPr="004909A1">
              <w:t>HealthCERT receive</w:t>
            </w:r>
            <w:r>
              <w:t>d</w:t>
            </w:r>
            <w:r w:rsidRPr="004909A1">
              <w:t xml:space="preserve"> positive feedback on the </w:t>
            </w:r>
            <w:hyperlink r:id="rId10" w:history="1">
              <w:r w:rsidRPr="004909A1">
                <w:rPr>
                  <w:rStyle w:val="Hyperlink"/>
                </w:rPr>
                <w:t>previous online lunch sessions and sector</w:t>
              </w:r>
              <w:r w:rsidR="0006511E">
                <w:rPr>
                  <w:rStyle w:val="Hyperlink"/>
                </w:rPr>
                <w:t>-</w:t>
              </w:r>
              <w:r w:rsidRPr="004909A1">
                <w:rPr>
                  <w:rStyle w:val="Hyperlink"/>
                </w:rPr>
                <w:t>specific information</w:t>
              </w:r>
            </w:hyperlink>
            <w:r>
              <w:t>. The survey results emphasised the sector</w:t>
            </w:r>
            <w:r w:rsidR="0006511E">
              <w:t>’</w:t>
            </w:r>
            <w:r>
              <w:t xml:space="preserve">s needs for ongoing training </w:t>
            </w:r>
            <w:r w:rsidR="00603694">
              <w:t xml:space="preserve">through </w:t>
            </w:r>
            <w:r>
              <w:t>online workshop</w:t>
            </w:r>
            <w:r w:rsidR="00603694">
              <w:t xml:space="preserve">s and </w:t>
            </w:r>
            <w:r>
              <w:t>presentation</w:t>
            </w:r>
            <w:r w:rsidR="00603694">
              <w:t>s</w:t>
            </w:r>
            <w:r>
              <w:t xml:space="preserve">. HealthCERT is currently focusing on the training material about: </w:t>
            </w:r>
          </w:p>
          <w:p w14:paraId="7C624487" w14:textId="48C85F04" w:rsidR="006867DB" w:rsidRPr="00BF2325" w:rsidRDefault="00603694" w:rsidP="0006511E">
            <w:pPr>
              <w:pStyle w:val="ListBullet"/>
            </w:pPr>
            <w:r>
              <w:t xml:space="preserve">how to </w:t>
            </w:r>
            <w:r w:rsidR="00AB067D">
              <w:t>i</w:t>
            </w:r>
            <w:r w:rsidR="006867DB">
              <w:t>nterpret new</w:t>
            </w:r>
            <w:r w:rsidR="006867DB" w:rsidRPr="00C47C30">
              <w:t xml:space="preserve"> and partially new requirements in Ngā Paerewa</w:t>
            </w:r>
            <w:r w:rsidR="006867DB">
              <w:t xml:space="preserve"> and the practical</w:t>
            </w:r>
            <w:r w:rsidR="006867DB" w:rsidRPr="00C47C30">
              <w:t xml:space="preserve"> ways to meet </w:t>
            </w:r>
            <w:r w:rsidR="009C5161">
              <w:t xml:space="preserve">these </w:t>
            </w:r>
            <w:r w:rsidR="006867DB" w:rsidRPr="00C47C30">
              <w:t>requirements</w:t>
            </w:r>
          </w:p>
          <w:p w14:paraId="60EBDE9C" w14:textId="49F1F3F8" w:rsidR="006867DB" w:rsidRDefault="00AB067D" w:rsidP="0006511E">
            <w:pPr>
              <w:pStyle w:val="ListBullet"/>
            </w:pPr>
            <w:r>
              <w:t>e</w:t>
            </w:r>
            <w:r w:rsidR="006867DB" w:rsidRPr="00C93EF3">
              <w:t xml:space="preserve">xamples of good practice </w:t>
            </w:r>
            <w:r w:rsidR="006867DB" w:rsidRPr="00AB48D2">
              <w:t>that</w:t>
            </w:r>
            <w:r w:rsidR="006867DB" w:rsidRPr="00C93EF3">
              <w:t xml:space="preserve"> are under</w:t>
            </w:r>
            <w:r w:rsidR="00BA7115">
              <w:t xml:space="preserve"> </w:t>
            </w:r>
            <w:r w:rsidR="006867DB" w:rsidRPr="00C93EF3">
              <w:t>way</w:t>
            </w:r>
            <w:r>
              <w:t>.</w:t>
            </w:r>
          </w:p>
          <w:p w14:paraId="53C7F258" w14:textId="77777777" w:rsidR="006867DB" w:rsidRPr="004E601C" w:rsidRDefault="006867DB" w:rsidP="002C48BB">
            <w:pPr>
              <w:pStyle w:val="Heading3"/>
            </w:pPr>
            <w:r w:rsidRPr="004E601C">
              <w:t>Sector Guidance</w:t>
            </w:r>
          </w:p>
          <w:p w14:paraId="38A8F47C" w14:textId="5657E64B" w:rsidR="006867DB" w:rsidRDefault="000F142A" w:rsidP="0022772E">
            <w:r>
              <w:t>We first published t</w:t>
            </w:r>
            <w:r w:rsidR="006867DB" w:rsidRPr="00E931DB">
              <w:t>he Sector Guidance in 2021 to guide the sector</w:t>
            </w:r>
            <w:r w:rsidR="006867DB">
              <w:t xml:space="preserve"> </w:t>
            </w:r>
            <w:r w:rsidR="006867DB" w:rsidRPr="00E931DB">
              <w:t>on how to meet each criterion in Ngā Paerewa.</w:t>
            </w:r>
            <w:r w:rsidR="006867DB">
              <w:t xml:space="preserve"> </w:t>
            </w:r>
            <w:r w:rsidR="00360D78">
              <w:t>In responding to</w:t>
            </w:r>
            <w:r w:rsidR="00DB4CC3">
              <w:t xml:space="preserve"> t</w:t>
            </w:r>
            <w:r w:rsidR="006867DB">
              <w:t>he survey</w:t>
            </w:r>
            <w:r w:rsidR="00DB4CC3">
              <w:t>,</w:t>
            </w:r>
            <w:r w:rsidR="006867DB">
              <w:t xml:space="preserve"> </w:t>
            </w:r>
            <w:r w:rsidR="00DA37D0">
              <w:t xml:space="preserve">the sector has identified </w:t>
            </w:r>
            <w:r w:rsidR="00DB4CC3">
              <w:t>certain issues with</w:t>
            </w:r>
            <w:r w:rsidR="006867DB">
              <w:t xml:space="preserve"> using the current Sector Guidance, including</w:t>
            </w:r>
            <w:r w:rsidR="00DA37D0">
              <w:t xml:space="preserve"> that</w:t>
            </w:r>
            <w:r w:rsidR="006867DB">
              <w:t>:</w:t>
            </w:r>
          </w:p>
          <w:p w14:paraId="44B7FCB5" w14:textId="52DAAE55" w:rsidR="006867DB" w:rsidRDefault="006867DB" w:rsidP="0006511E">
            <w:pPr>
              <w:pStyle w:val="ListBullet"/>
            </w:pPr>
            <w:r>
              <w:t>guidance</w:t>
            </w:r>
            <w:r w:rsidR="00DA37D0">
              <w:t xml:space="preserve"> is missing</w:t>
            </w:r>
            <w:r>
              <w:t xml:space="preserve"> for a number of subsections/criteria</w:t>
            </w:r>
          </w:p>
          <w:p w14:paraId="6166866A" w14:textId="75E448FB" w:rsidR="006867DB" w:rsidRDefault="00AB067D" w:rsidP="0006511E">
            <w:pPr>
              <w:pStyle w:val="ListBullet"/>
            </w:pPr>
            <w:r>
              <w:t>g</w:t>
            </w:r>
            <w:r w:rsidR="006867DB">
              <w:t>uidance</w:t>
            </w:r>
            <w:r w:rsidR="00DA37D0">
              <w:t xml:space="preserve"> in some subsections/criteria</w:t>
            </w:r>
            <w:r w:rsidR="006867DB">
              <w:t xml:space="preserve"> is insufficient or </w:t>
            </w:r>
            <w:r w:rsidR="00DA37D0">
              <w:t>too wordy</w:t>
            </w:r>
            <w:r w:rsidR="00DA37D0" w:rsidRPr="00FE4CD1">
              <w:t xml:space="preserve"> </w:t>
            </w:r>
            <w:r w:rsidR="00DA37D0">
              <w:t>and needs</w:t>
            </w:r>
            <w:r w:rsidR="006867DB">
              <w:t xml:space="preserve"> further editing and clarification</w:t>
            </w:r>
          </w:p>
          <w:p w14:paraId="353F8878" w14:textId="51D0AE02" w:rsidR="006867DB" w:rsidRDefault="00AB067D" w:rsidP="0006511E">
            <w:pPr>
              <w:pStyle w:val="ListBullet"/>
            </w:pPr>
            <w:r>
              <w:t>s</w:t>
            </w:r>
            <w:r w:rsidR="006867DB">
              <w:t>ome referenced pieces of legislation, standard</w:t>
            </w:r>
            <w:r w:rsidR="00DB4CC3">
              <w:t>s</w:t>
            </w:r>
            <w:r w:rsidR="006867DB">
              <w:t xml:space="preserve"> or best practice guidance are outdated</w:t>
            </w:r>
          </w:p>
          <w:p w14:paraId="61633603" w14:textId="4DB06110" w:rsidR="006867DB" w:rsidRDefault="00AB067D" w:rsidP="0006511E">
            <w:pPr>
              <w:pStyle w:val="ListBullet"/>
            </w:pPr>
            <w:r>
              <w:t>a</w:t>
            </w:r>
            <w:r w:rsidR="006867DB" w:rsidRPr="00A35DF1">
              <w:t>dministrative</w:t>
            </w:r>
            <w:r w:rsidR="006867DB">
              <w:t xml:space="preserve"> and </w:t>
            </w:r>
            <w:r w:rsidR="006867DB" w:rsidRPr="00A35DF1">
              <w:t>typographical errors</w:t>
            </w:r>
            <w:r w:rsidR="006867DB">
              <w:t xml:space="preserve"> requir</w:t>
            </w:r>
            <w:r w:rsidR="00DB4CC3">
              <w:t>e</w:t>
            </w:r>
            <w:r w:rsidR="006867DB">
              <w:t xml:space="preserve"> correction.</w:t>
            </w:r>
          </w:p>
          <w:p w14:paraId="361C09CD" w14:textId="47E4F67B" w:rsidR="006867DB" w:rsidRDefault="006867DB" w:rsidP="0022772E">
            <w:r>
              <w:t xml:space="preserve">Following the initial assessment of </w:t>
            </w:r>
            <w:r w:rsidR="00DB4CC3">
              <w:t xml:space="preserve">the </w:t>
            </w:r>
            <w:r>
              <w:t xml:space="preserve">feedback, HealthCERT has decided to undertake a formal update of the Sector Guidance. </w:t>
            </w:r>
            <w:r w:rsidR="00DB4CC3">
              <w:t xml:space="preserve">We have formed a </w:t>
            </w:r>
            <w:r>
              <w:t>working group to review the current Sector Guidance</w:t>
            </w:r>
            <w:r w:rsidRPr="00144BEE">
              <w:t xml:space="preserve"> with </w:t>
            </w:r>
            <w:r w:rsidR="00DB4CC3">
              <w:t>help</w:t>
            </w:r>
            <w:r w:rsidR="00DB4CC3" w:rsidRPr="00144BEE">
              <w:t xml:space="preserve"> </w:t>
            </w:r>
            <w:r w:rsidRPr="00144BEE">
              <w:t>from</w:t>
            </w:r>
            <w:r>
              <w:t xml:space="preserve"> subject</w:t>
            </w:r>
            <w:r w:rsidR="00A677BB">
              <w:t>-</w:t>
            </w:r>
            <w:r>
              <w:t xml:space="preserve">matter experts </w:t>
            </w:r>
            <w:r w:rsidR="00A677BB">
              <w:t xml:space="preserve">in relevant areas </w:t>
            </w:r>
            <w:r w:rsidRPr="00144BEE">
              <w:t xml:space="preserve">to ensure </w:t>
            </w:r>
            <w:r w:rsidR="00360D78">
              <w:t xml:space="preserve">the </w:t>
            </w:r>
            <w:r w:rsidRPr="00144BEE">
              <w:t>guidance is fit for purpose.</w:t>
            </w:r>
          </w:p>
          <w:p w14:paraId="6CB0C8D9" w14:textId="367EA5EC" w:rsidR="006867DB" w:rsidRDefault="006867DB" w:rsidP="0022772E">
            <w:r>
              <w:t>If you would like to</w:t>
            </w:r>
            <w:r w:rsidRPr="00747EAA">
              <w:t xml:space="preserve"> </w:t>
            </w:r>
            <w:r>
              <w:t xml:space="preserve">contribute </w:t>
            </w:r>
            <w:r w:rsidRPr="00747EAA">
              <w:t xml:space="preserve">to </w:t>
            </w:r>
            <w:r>
              <w:t>revis</w:t>
            </w:r>
            <w:r w:rsidR="00631A4B">
              <w:t>ing</w:t>
            </w:r>
            <w:r w:rsidR="00A677BB">
              <w:t xml:space="preserve"> and </w:t>
            </w:r>
            <w:r>
              <w:t>develop</w:t>
            </w:r>
            <w:r w:rsidR="00631A4B">
              <w:t>ing</w:t>
            </w:r>
            <w:r w:rsidRPr="00747EAA">
              <w:t xml:space="preserve"> the content</w:t>
            </w:r>
            <w:r>
              <w:t xml:space="preserve">, please </w:t>
            </w:r>
            <w:r w:rsidR="00A677BB">
              <w:t xml:space="preserve">email </w:t>
            </w:r>
            <w:r>
              <w:t xml:space="preserve">HealthCERT </w:t>
            </w:r>
            <w:r w:rsidR="00A677BB">
              <w:t xml:space="preserve">at </w:t>
            </w:r>
            <w:hyperlink r:id="rId11" w:history="1">
              <w:r w:rsidRPr="00D97D47">
                <w:rPr>
                  <w:rStyle w:val="Hyperlink"/>
                </w:rPr>
                <w:t>certification@health.govt.nz</w:t>
              </w:r>
            </w:hyperlink>
            <w:r>
              <w:t>.</w:t>
            </w:r>
          </w:p>
          <w:p w14:paraId="551622B1" w14:textId="77777777" w:rsidR="006867DB" w:rsidRPr="004E601C" w:rsidRDefault="006867DB" w:rsidP="002C48BB">
            <w:pPr>
              <w:pStyle w:val="Heading3"/>
            </w:pPr>
            <w:r w:rsidRPr="004E601C">
              <w:t>Te Tiriti eLearning module</w:t>
            </w:r>
          </w:p>
          <w:p w14:paraId="4D3DD5DD" w14:textId="33B02DBF" w:rsidR="006867DB" w:rsidRDefault="003F48DF" w:rsidP="0022772E">
            <w:r>
              <w:lastRenderedPageBreak/>
              <w:t>Service providers</w:t>
            </w:r>
            <w:r w:rsidRPr="00056687">
              <w:t xml:space="preserve"> </w:t>
            </w:r>
            <w:r w:rsidR="006867DB" w:rsidRPr="00056687">
              <w:t>asked for guidance on how to achieve cultural requirements</w:t>
            </w:r>
            <w:r w:rsidR="006867DB">
              <w:t xml:space="preserve"> </w:t>
            </w:r>
            <w:r w:rsidR="006867DB" w:rsidRPr="001078C0">
              <w:t>in different health environment</w:t>
            </w:r>
            <w:r w:rsidR="00631A4B">
              <w:t>s</w:t>
            </w:r>
            <w:r w:rsidR="006867DB">
              <w:t xml:space="preserve"> and for different service type</w:t>
            </w:r>
            <w:r w:rsidR="00631A4B">
              <w:t>s</w:t>
            </w:r>
            <w:r w:rsidR="006867DB">
              <w:t xml:space="preserve">. </w:t>
            </w:r>
          </w:p>
          <w:p w14:paraId="045952B0" w14:textId="28743493" w:rsidR="006867DB" w:rsidRPr="00056687" w:rsidRDefault="006867DB" w:rsidP="0022772E">
            <w:r>
              <w:t>In the survey, a number of service providers expressed their willingness to share their experience</w:t>
            </w:r>
            <w:r w:rsidRPr="00747EAA">
              <w:t xml:space="preserve"> </w:t>
            </w:r>
            <w:r w:rsidRPr="00694371">
              <w:t>in implementing Te Tiriti o Waitangi criteria</w:t>
            </w:r>
            <w:r>
              <w:t xml:space="preserve">. We have started engaging with these organisations and reviewing the completed audit reports under </w:t>
            </w:r>
            <w:r w:rsidRPr="00BE730A">
              <w:t xml:space="preserve">Ngā Paerewa </w:t>
            </w:r>
            <w:r>
              <w:t>to generate</w:t>
            </w:r>
            <w:r w:rsidRPr="00747EAA">
              <w:t xml:space="preserve"> success stories </w:t>
            </w:r>
            <w:r w:rsidRPr="00694371">
              <w:t>in</w:t>
            </w:r>
            <w:r>
              <w:t xml:space="preserve"> meeting cultural requirements. </w:t>
            </w:r>
            <w:r w:rsidR="003F48DF">
              <w:t>We will share these</w:t>
            </w:r>
            <w:r>
              <w:t xml:space="preserve"> stories with the sector </w:t>
            </w:r>
            <w:r w:rsidR="003F48DF">
              <w:t xml:space="preserve">in </w:t>
            </w:r>
            <w:r w:rsidR="00D417ED">
              <w:t xml:space="preserve">future </w:t>
            </w:r>
            <w:r>
              <w:t xml:space="preserve">HealthCERT </w:t>
            </w:r>
            <w:r w:rsidR="003F48DF">
              <w:t>B</w:t>
            </w:r>
            <w:r>
              <w:t xml:space="preserve">ulletins </w:t>
            </w:r>
            <w:r w:rsidR="00983D5A">
              <w:t xml:space="preserve">(see the first one at the end of this issue) </w:t>
            </w:r>
            <w:r w:rsidR="002C48BB">
              <w:t xml:space="preserve">and in </w:t>
            </w:r>
            <w:r>
              <w:t xml:space="preserve">the </w:t>
            </w:r>
            <w:r w:rsidR="003F48DF">
              <w:t xml:space="preserve">second </w:t>
            </w:r>
            <w:r>
              <w:t>eLearning module</w:t>
            </w:r>
            <w:r w:rsidR="002C48BB">
              <w:t>.</w:t>
            </w:r>
          </w:p>
          <w:p w14:paraId="43AD6E1F" w14:textId="375D77C7" w:rsidR="00917BB3" w:rsidRDefault="006867DB" w:rsidP="00CE37EB">
            <w:r w:rsidRPr="00D964BE">
              <w:t xml:space="preserve">Once again, we are extremely grateful </w:t>
            </w:r>
            <w:r w:rsidR="003F48DF">
              <w:t xml:space="preserve">to you </w:t>
            </w:r>
            <w:r w:rsidRPr="00D964BE">
              <w:t xml:space="preserve">for contributing your valuable time, honest </w:t>
            </w:r>
            <w:r w:rsidR="002A3DCD" w:rsidRPr="00D964BE">
              <w:t>information,</w:t>
            </w:r>
            <w:r w:rsidRPr="00D964BE">
              <w:t xml:space="preserve"> and thoughtful suggestions</w:t>
            </w:r>
            <w:r>
              <w:t>. Going forward</w:t>
            </w:r>
            <w:r w:rsidR="006052B3">
              <w:t>,</w:t>
            </w:r>
            <w:r>
              <w:t xml:space="preserve"> HealthCERT will run the survey quarterly to monitor and understand </w:t>
            </w:r>
            <w:r w:rsidR="006052B3">
              <w:t xml:space="preserve">the </w:t>
            </w:r>
            <w:r>
              <w:t>sector’s needs for implementing Ngā</w:t>
            </w:r>
            <w:r w:rsidRPr="00056687">
              <w:t xml:space="preserve"> Paerewa</w:t>
            </w:r>
            <w:r>
              <w:t xml:space="preserve">. We will continue to share the survey results and HealthCERT’s related work programmes with the sector through </w:t>
            </w:r>
            <w:r w:rsidR="006052B3">
              <w:t>this b</w:t>
            </w:r>
            <w:r>
              <w:t>ulletin.</w:t>
            </w:r>
          </w:p>
          <w:p w14:paraId="17C8EA22" w14:textId="77777777" w:rsidR="00917BB3" w:rsidRDefault="00917BB3" w:rsidP="00CE37EB"/>
          <w:p w14:paraId="6446689E" w14:textId="625F8C8C" w:rsidR="006867DB" w:rsidRPr="004E601C" w:rsidRDefault="006867DB" w:rsidP="002C48BB">
            <w:pPr>
              <w:pStyle w:val="Heading2"/>
            </w:pPr>
            <w:r w:rsidRPr="004E601C">
              <w:t xml:space="preserve">Te Tiriti eLearning module update </w:t>
            </w:r>
          </w:p>
          <w:p w14:paraId="11E59E0F" w14:textId="58AAC476" w:rsidR="006867DB" w:rsidRDefault="006867DB" w:rsidP="009F0BB3">
            <w:pPr>
              <w:rPr>
                <w:rStyle w:val="Hyperlink"/>
                <w:rFonts w:cs="Arial"/>
                <w:szCs w:val="24"/>
              </w:rPr>
            </w:pPr>
            <w:r>
              <w:rPr>
                <w:rFonts w:cs="Arial"/>
                <w:szCs w:val="24"/>
                <w:lang w:eastAsia="en-GB"/>
              </w:rPr>
              <w:t>The initial series of sector-specific presentations to help health and disability services to prepare for Ngā Paerewa audits are still available, as is an eLearning module on Te Tiriti o Waitangi.</w:t>
            </w:r>
            <w:r w:rsidRPr="00B06F6B">
              <w:rPr>
                <w:rFonts w:eastAsia="Calibri" w:cs="Times New Roman"/>
              </w:rPr>
              <w:t xml:space="preserve"> </w:t>
            </w:r>
            <w:r w:rsidR="00A03A50">
              <w:rPr>
                <w:rFonts w:eastAsia="Calibri" w:cs="Times New Roman"/>
              </w:rPr>
              <w:t xml:space="preserve">To access them, go to </w:t>
            </w:r>
            <w:hyperlink r:id="rId12" w:history="1">
              <w:r w:rsidRPr="00B06F6B">
                <w:rPr>
                  <w:rStyle w:val="Hyperlink"/>
                  <w:rFonts w:cs="Arial"/>
                  <w:szCs w:val="24"/>
                </w:rPr>
                <w:t>Training and support | Ministry of Health NZ</w:t>
              </w:r>
            </w:hyperlink>
            <w:r w:rsidR="00360D78" w:rsidRPr="004E601C">
              <w:t>.</w:t>
            </w:r>
          </w:p>
          <w:p w14:paraId="59EB0F25" w14:textId="2A3FBB10" w:rsidR="006867DB" w:rsidRPr="00365129" w:rsidRDefault="006867DB" w:rsidP="002C48BB">
            <w:pPr>
              <w:pStyle w:val="Heading3"/>
              <w:rPr>
                <w:rFonts w:ascii="Calibri" w:hAnsi="Calibri"/>
                <w:sz w:val="22"/>
              </w:rPr>
            </w:pPr>
            <w:r w:rsidRPr="00365129">
              <w:t xml:space="preserve">Progress on developing </w:t>
            </w:r>
            <w:r w:rsidR="00360D78">
              <w:t xml:space="preserve">the </w:t>
            </w:r>
            <w:r w:rsidRPr="00365129">
              <w:t>second eLearning module</w:t>
            </w:r>
            <w:r w:rsidR="00360D78">
              <w:t xml:space="preserve"> on</w:t>
            </w:r>
            <w:r w:rsidR="00360D78" w:rsidRPr="00365129">
              <w:t xml:space="preserve"> Te Tiriti</w:t>
            </w:r>
          </w:p>
          <w:p w14:paraId="007FF2AB" w14:textId="3B13FADB" w:rsidR="006867DB" w:rsidRPr="004E601C" w:rsidRDefault="006867DB" w:rsidP="00822C83">
            <w:r w:rsidRPr="004E601C">
              <w:t xml:space="preserve">In our previous </w:t>
            </w:r>
            <w:r w:rsidR="006052B3">
              <w:t>issue</w:t>
            </w:r>
            <w:r w:rsidRPr="004E601C">
              <w:t xml:space="preserve">, we indicated that we were developing a second eLearning module that would take a deeper dive into Ngā </w:t>
            </w:r>
            <w:r w:rsidR="00631A4B">
              <w:t>P</w:t>
            </w:r>
            <w:r w:rsidRPr="004E601C">
              <w:t>aerewa to understand what the intended outcomes of the updated</w:t>
            </w:r>
            <w:r w:rsidR="006052B3" w:rsidRPr="004E601C">
              <w:t xml:space="preserve"> criteria</w:t>
            </w:r>
            <w:r w:rsidRPr="004E601C">
              <w:t xml:space="preserve"> </w:t>
            </w:r>
            <w:r w:rsidR="006052B3" w:rsidRPr="004E601C">
              <w:t xml:space="preserve">related </w:t>
            </w:r>
            <w:r w:rsidR="006052B3">
              <w:t xml:space="preserve">to </w:t>
            </w:r>
            <w:r w:rsidRPr="004E601C">
              <w:t xml:space="preserve">Te Tiriti should look like in practice. </w:t>
            </w:r>
            <w:r w:rsidR="006052B3">
              <w:t>D</w:t>
            </w:r>
            <w:r w:rsidRPr="004E601C">
              <w:t>eveloping the second module</w:t>
            </w:r>
            <w:r w:rsidR="00A514F4">
              <w:t xml:space="preserve"> has </w:t>
            </w:r>
            <w:r w:rsidR="008B6A3B">
              <w:t>3</w:t>
            </w:r>
            <w:r w:rsidR="00A514F4">
              <w:t xml:space="preserve"> stages</w:t>
            </w:r>
            <w:r w:rsidRPr="004E601C">
              <w:t xml:space="preserve">: confirming content, drafting content and finalising content. </w:t>
            </w:r>
          </w:p>
          <w:p w14:paraId="2FA28082" w14:textId="0D11C1A6" w:rsidR="00055A5D" w:rsidRDefault="00A514F4" w:rsidP="00822C83">
            <w:r>
              <w:t xml:space="preserve">In the </w:t>
            </w:r>
            <w:r w:rsidR="002C48BB">
              <w:t>past</w:t>
            </w:r>
            <w:r>
              <w:t>, w</w:t>
            </w:r>
            <w:r w:rsidR="006867DB" w:rsidRPr="004E601C">
              <w:t>e engag</w:t>
            </w:r>
            <w:r>
              <w:t>ed</w:t>
            </w:r>
            <w:r w:rsidR="006867DB" w:rsidRPr="004E601C">
              <w:t xml:space="preserve"> with the sector to understand what questions we should be aiming to answer in this second module. To do this, we have held </w:t>
            </w:r>
            <w:r w:rsidR="008B6A3B">
              <w:t>3</w:t>
            </w:r>
            <w:r w:rsidR="008B6A3B" w:rsidRPr="004E601C">
              <w:t xml:space="preserve"> </w:t>
            </w:r>
            <w:r w:rsidR="006867DB" w:rsidRPr="004E601C">
              <w:t>workshops with auditors and a range of health and disability service providers to understand wh</w:t>
            </w:r>
            <w:r>
              <w:t>ich</w:t>
            </w:r>
            <w:r w:rsidR="006867DB" w:rsidRPr="004E601C">
              <w:t xml:space="preserve"> aspects the sector is ‘getting’ really easily and/or</w:t>
            </w:r>
            <w:r>
              <w:t xml:space="preserve"> which aspects</w:t>
            </w:r>
            <w:r w:rsidR="006867DB" w:rsidRPr="004E601C">
              <w:t xml:space="preserve"> </w:t>
            </w:r>
            <w:r>
              <w:t xml:space="preserve">people </w:t>
            </w:r>
            <w:r w:rsidR="006867DB" w:rsidRPr="004E601C">
              <w:t>would like more clarity</w:t>
            </w:r>
            <w:r>
              <w:t xml:space="preserve"> or </w:t>
            </w:r>
            <w:r w:rsidR="006867DB" w:rsidRPr="004E601C">
              <w:t>direction on. Participants came prepared with stories and specific examples of their own experience as auditors and providers</w:t>
            </w:r>
            <w:r w:rsidR="00055A5D">
              <w:t xml:space="preserve">. </w:t>
            </w:r>
          </w:p>
          <w:p w14:paraId="2B293609" w14:textId="4618C050" w:rsidR="006867DB" w:rsidRPr="004E601C" w:rsidRDefault="00055A5D" w:rsidP="00822C83">
            <w:r>
              <w:t xml:space="preserve">We have now moved into the second stage to begin to prepare </w:t>
            </w:r>
            <w:r w:rsidR="006867DB" w:rsidRPr="004E601C">
              <w:t>a draft outline based on the results</w:t>
            </w:r>
            <w:r>
              <w:t xml:space="preserve"> of our engagement</w:t>
            </w:r>
            <w:r w:rsidR="006867DB" w:rsidRPr="004E601C">
              <w:t xml:space="preserve">. The next step will be to test the draft outline with </w:t>
            </w:r>
            <w:hyperlink r:id="rId13" w:history="1">
              <w:r w:rsidR="006867DB" w:rsidRPr="004E601C">
                <w:rPr>
                  <w:rStyle w:val="Hyperlink"/>
                </w:rPr>
                <w:t>Te Apārangi: Māori Partnership Alliance</w:t>
              </w:r>
            </w:hyperlink>
            <w:r w:rsidR="006867DB" w:rsidRPr="004E601C">
              <w:t xml:space="preserve">, who provide advice and direction to HealthCERT on Ngā Paerewa implementation work. </w:t>
            </w:r>
          </w:p>
          <w:p w14:paraId="670AB1F0" w14:textId="321E649F" w:rsidR="006867DB" w:rsidRDefault="006867DB" w:rsidP="00822C83">
            <w:r w:rsidRPr="004E601C">
              <w:t xml:space="preserve">Additionally, </w:t>
            </w:r>
            <w:r w:rsidR="008B6A3B">
              <w:t>3</w:t>
            </w:r>
            <w:r w:rsidR="008B6A3B" w:rsidRPr="004E601C">
              <w:t xml:space="preserve"> </w:t>
            </w:r>
            <w:r w:rsidRPr="004E601C">
              <w:t xml:space="preserve">providers </w:t>
            </w:r>
            <w:r w:rsidR="00983D5A" w:rsidRPr="004E601C">
              <w:t xml:space="preserve">have shared their success story with our team </w:t>
            </w:r>
            <w:r w:rsidR="00983D5A">
              <w:t>after confirming in</w:t>
            </w:r>
            <w:r w:rsidRPr="004E601C">
              <w:t xml:space="preserve"> HealthCERT’s Implementation Effectiveness Survey they had </w:t>
            </w:r>
            <w:r w:rsidR="00983D5A">
              <w:t xml:space="preserve">one </w:t>
            </w:r>
            <w:r w:rsidRPr="004E601C">
              <w:t xml:space="preserve">to share. We plan to share these success stories with the sector </w:t>
            </w:r>
            <w:r w:rsidR="00983D5A">
              <w:t>in</w:t>
            </w:r>
            <w:r w:rsidR="00983D5A" w:rsidRPr="004E601C">
              <w:t xml:space="preserve"> </w:t>
            </w:r>
            <w:r w:rsidRPr="004E601C">
              <w:t xml:space="preserve">a variety of </w:t>
            </w:r>
            <w:r w:rsidR="00983D5A">
              <w:t>ways</w:t>
            </w:r>
            <w:r w:rsidRPr="004E601C">
              <w:t xml:space="preserve">, including </w:t>
            </w:r>
            <w:r w:rsidR="00983D5A">
              <w:t xml:space="preserve">through this </w:t>
            </w:r>
            <w:r w:rsidRPr="004E601C">
              <w:t>bulletin (</w:t>
            </w:r>
            <w:r w:rsidR="00983D5A">
              <w:t>s</w:t>
            </w:r>
            <w:r w:rsidRPr="004E601C">
              <w:t xml:space="preserve">ee </w:t>
            </w:r>
            <w:r w:rsidR="00983D5A">
              <w:t xml:space="preserve">the first one about the </w:t>
            </w:r>
            <w:r w:rsidRPr="004E601C">
              <w:t>L</w:t>
            </w:r>
            <w:r>
              <w:t xml:space="preserve">aura </w:t>
            </w:r>
            <w:r w:rsidRPr="004E601C">
              <w:t>F</w:t>
            </w:r>
            <w:r>
              <w:t xml:space="preserve">ergusson </w:t>
            </w:r>
            <w:r w:rsidRPr="004E601C">
              <w:t>T</w:t>
            </w:r>
            <w:r>
              <w:t>rust</w:t>
            </w:r>
            <w:r w:rsidR="00954432">
              <w:t xml:space="preserve"> Wellington</w:t>
            </w:r>
            <w:r w:rsidR="00983D5A">
              <w:t xml:space="preserve"> at the end of this issue</w:t>
            </w:r>
            <w:r w:rsidRPr="004E601C">
              <w:t xml:space="preserve">) and plan </w:t>
            </w:r>
            <w:r w:rsidR="00D670B5">
              <w:t>to</w:t>
            </w:r>
            <w:r w:rsidR="00D670B5" w:rsidRPr="004E601C">
              <w:t xml:space="preserve"> </w:t>
            </w:r>
            <w:r w:rsidRPr="004E601C">
              <w:t xml:space="preserve">spotlight interviews in the eLearning module as well. </w:t>
            </w:r>
            <w:r w:rsidR="00E47D91">
              <w:t>If</w:t>
            </w:r>
            <w:r w:rsidRPr="004E601C">
              <w:t xml:space="preserve"> you have any success stories from </w:t>
            </w:r>
            <w:r w:rsidRPr="004E601C">
              <w:lastRenderedPageBreak/>
              <w:t xml:space="preserve">implementing Te Tiriti requirements that you would be willing to share with us, </w:t>
            </w:r>
            <w:r w:rsidR="00E47D91">
              <w:t>please</w:t>
            </w:r>
            <w:r w:rsidR="00E47D91" w:rsidRPr="004E601C">
              <w:t xml:space="preserve"> </w:t>
            </w:r>
            <w:r w:rsidRPr="004E601C">
              <w:t xml:space="preserve">email </w:t>
            </w:r>
            <w:hyperlink r:id="rId14" w:history="1">
              <w:r w:rsidRPr="004E601C">
                <w:rPr>
                  <w:rStyle w:val="Hyperlink"/>
                </w:rPr>
                <w:t>Jade.Cincotta@health.govt.nz</w:t>
              </w:r>
            </w:hyperlink>
            <w:r w:rsidRPr="004E601C">
              <w:t xml:space="preserve">. </w:t>
            </w:r>
          </w:p>
          <w:p w14:paraId="673974D0" w14:textId="04914A3A" w:rsidR="006867DB" w:rsidRPr="00DB060D" w:rsidRDefault="006867DB" w:rsidP="009F0BB3">
            <w:pPr>
              <w:autoSpaceDE w:val="0"/>
              <w:autoSpaceDN w:val="0"/>
              <w:adjustRightInd w:val="0"/>
              <w:spacing w:after="200" w:line="276" w:lineRule="auto"/>
              <w:rPr>
                <w:rFonts w:eastAsia="Calibri" w:cs="Times New Roman"/>
              </w:rPr>
            </w:pPr>
            <w:r>
              <w:rPr>
                <w:rFonts w:eastAsia="Calibri" w:cs="Times New Roman"/>
              </w:rPr>
              <w:t xml:space="preserve">If you have suggestions for topics that you would like future webinars on implementing Ngā Paerewa to cover, please email </w:t>
            </w:r>
            <w:hyperlink r:id="rId15" w:history="1">
              <w:r w:rsidRPr="004E0356">
                <w:rPr>
                  <w:rStyle w:val="Hyperlink"/>
                  <w:rFonts w:eastAsia="Calibri" w:cs="Times New Roman"/>
                  <w:color w:val="ED7D31" w:themeColor="accent2"/>
                </w:rPr>
                <w:t>certification@health.govt.nz</w:t>
              </w:r>
            </w:hyperlink>
            <w:r>
              <w:rPr>
                <w:rFonts w:eastAsia="Calibri" w:cs="Times New Roman"/>
              </w:rPr>
              <w:t xml:space="preserve">. </w:t>
            </w:r>
          </w:p>
          <w:p w14:paraId="65EF2733" w14:textId="77777777" w:rsidR="006867DB" w:rsidRPr="002F659B" w:rsidRDefault="006867DB" w:rsidP="002C48BB">
            <w:pPr>
              <w:pStyle w:val="Heading2"/>
            </w:pPr>
            <w:r w:rsidRPr="002F659B">
              <w:t>Restraints and enablers</w:t>
            </w:r>
          </w:p>
          <w:p w14:paraId="22BFC6D1" w14:textId="2595BF4C" w:rsidR="006867DB" w:rsidRDefault="006867DB" w:rsidP="00B22756">
            <w:pPr>
              <w:spacing w:after="200" w:line="276" w:lineRule="auto"/>
              <w:rPr>
                <w:rFonts w:eastAsia="Calibri" w:cs="Times New Roman"/>
              </w:rPr>
            </w:pPr>
            <w:r>
              <w:rPr>
                <w:rFonts w:eastAsia="Calibri" w:cs="Times New Roman"/>
              </w:rPr>
              <w:t xml:space="preserve">HealthCERT continues to receive queries around the changed approach to restraints and enablers in Ngā Paerewa and the audit process for </w:t>
            </w:r>
            <w:r w:rsidR="00E47D91">
              <w:rPr>
                <w:rFonts w:eastAsia="Calibri" w:cs="Times New Roman"/>
              </w:rPr>
              <w:t>s</w:t>
            </w:r>
            <w:r>
              <w:rPr>
                <w:rFonts w:eastAsia="Calibri" w:cs="Times New Roman"/>
              </w:rPr>
              <w:t xml:space="preserve">ubsection 6.1. If you are unsure about </w:t>
            </w:r>
            <w:r w:rsidR="00E47D91">
              <w:rPr>
                <w:rFonts w:eastAsia="Calibri" w:cs="Times New Roman"/>
              </w:rPr>
              <w:t xml:space="preserve">how to </w:t>
            </w:r>
            <w:r>
              <w:rPr>
                <w:rFonts w:eastAsia="Calibri" w:cs="Times New Roman"/>
              </w:rPr>
              <w:t xml:space="preserve">manage restraints to meet the requirements of Ngā Paerewa, </w:t>
            </w:r>
            <w:r w:rsidR="00A03A50">
              <w:rPr>
                <w:rFonts w:eastAsia="Calibri" w:cs="Times New Roman"/>
              </w:rPr>
              <w:t xml:space="preserve">please see issue 27 of </w:t>
            </w:r>
            <w:r>
              <w:rPr>
                <w:rFonts w:eastAsia="Calibri" w:cs="Times New Roman"/>
              </w:rPr>
              <w:t xml:space="preserve">the HealthCERT Bulletin </w:t>
            </w:r>
            <w:r w:rsidR="00A03A50">
              <w:rPr>
                <w:rFonts w:eastAsia="Calibri" w:cs="Times New Roman"/>
              </w:rPr>
              <w:t>(</w:t>
            </w:r>
            <w:r>
              <w:rPr>
                <w:rFonts w:eastAsia="Calibri" w:cs="Times New Roman"/>
              </w:rPr>
              <w:t>April 2022</w:t>
            </w:r>
            <w:r w:rsidR="00A03A50">
              <w:rPr>
                <w:rFonts w:eastAsia="Calibri" w:cs="Times New Roman"/>
              </w:rPr>
              <w:t>).</w:t>
            </w:r>
            <w:r>
              <w:rPr>
                <w:rFonts w:eastAsia="Calibri" w:cs="Times New Roman"/>
              </w:rPr>
              <w:t xml:space="preserve"> </w:t>
            </w:r>
            <w:r w:rsidR="00A03A50">
              <w:rPr>
                <w:rFonts w:eastAsia="Calibri" w:cs="Times New Roman"/>
              </w:rPr>
              <w:t xml:space="preserve">Here you’ll find </w:t>
            </w:r>
            <w:r>
              <w:rPr>
                <w:rFonts w:eastAsia="Calibri" w:cs="Times New Roman"/>
              </w:rPr>
              <w:t xml:space="preserve">an explanation of the changed approach to restraints and enablers and how </w:t>
            </w:r>
            <w:r w:rsidR="00631A4B">
              <w:rPr>
                <w:rFonts w:eastAsia="Calibri" w:cs="Times New Roman"/>
              </w:rPr>
              <w:t xml:space="preserve">the </w:t>
            </w:r>
            <w:r>
              <w:rPr>
                <w:rFonts w:eastAsia="Calibri" w:cs="Times New Roman"/>
              </w:rPr>
              <w:t xml:space="preserve">use of restraints will be audited. </w:t>
            </w:r>
          </w:p>
          <w:p w14:paraId="38286493" w14:textId="77777777" w:rsidR="006867DB" w:rsidRDefault="006867DB" w:rsidP="00CD5467">
            <w:pPr>
              <w:pStyle w:val="Heading1"/>
            </w:pPr>
            <w:r>
              <w:t>Sector matters</w:t>
            </w:r>
          </w:p>
          <w:p w14:paraId="34500730" w14:textId="2CE3363F" w:rsidR="006867DB" w:rsidRDefault="006867DB" w:rsidP="002C48BB">
            <w:pPr>
              <w:pStyle w:val="Heading2"/>
              <w:tabs>
                <w:tab w:val="left" w:pos="5592"/>
              </w:tabs>
              <w:rPr>
                <w:rFonts w:asciiTheme="minorHAnsi" w:hAnsiTheme="minorHAnsi"/>
                <w:color w:val="auto"/>
                <w:sz w:val="22"/>
              </w:rPr>
            </w:pPr>
            <w:r w:rsidRPr="007B21EB">
              <w:t>Pressure injuries and ACC</w:t>
            </w:r>
            <w:r w:rsidR="00D25D6E">
              <w:rPr>
                <w:rFonts w:asciiTheme="minorHAnsi" w:hAnsiTheme="minorHAnsi"/>
                <w:color w:val="auto"/>
                <w:sz w:val="22"/>
              </w:rPr>
              <w:tab/>
            </w:r>
            <w:r>
              <w:rPr>
                <w:noProof/>
              </w:rPr>
              <w:drawing>
                <wp:inline distT="0" distB="0" distL="0" distR="0" wp14:anchorId="1448792B" wp14:editId="0F742FDA">
                  <wp:extent cx="2581275" cy="796695"/>
                  <wp:effectExtent l="0" t="0" r="0" b="3810"/>
                  <wp:docPr id="6" name="Picture 6" descr="A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CC logo"/>
                          <pic:cNvPicPr/>
                        </pic:nvPicPr>
                        <pic:blipFill>
                          <a:blip r:embed="rId16"/>
                          <a:stretch>
                            <a:fillRect/>
                          </a:stretch>
                        </pic:blipFill>
                        <pic:spPr>
                          <a:xfrm>
                            <a:off x="0" y="0"/>
                            <a:ext cx="2603730" cy="803626"/>
                          </a:xfrm>
                          <a:prstGeom prst="rect">
                            <a:avLst/>
                          </a:prstGeom>
                        </pic:spPr>
                      </pic:pic>
                    </a:graphicData>
                  </a:graphic>
                </wp:inline>
              </w:drawing>
            </w:r>
          </w:p>
          <w:p w14:paraId="79CD7810" w14:textId="23A4EC53" w:rsidR="006867DB" w:rsidRDefault="006867DB" w:rsidP="00F15715">
            <w:pPr>
              <w:rPr>
                <w:rFonts w:asciiTheme="minorHAnsi" w:hAnsiTheme="minorHAnsi"/>
                <w:sz w:val="22"/>
              </w:rPr>
            </w:pPr>
            <w:r>
              <w:rPr>
                <w:rFonts w:asciiTheme="minorHAnsi" w:hAnsiTheme="minorHAnsi"/>
                <w:b/>
                <w:bCs/>
                <w:i/>
                <w:iCs/>
                <w:sz w:val="22"/>
              </w:rPr>
              <w:t>T</w:t>
            </w:r>
            <w:r w:rsidRPr="002903E4">
              <w:rPr>
                <w:rFonts w:asciiTheme="minorHAnsi" w:hAnsiTheme="minorHAnsi"/>
                <w:i/>
                <w:iCs/>
                <w:sz w:val="22"/>
              </w:rPr>
              <w:t>his article was written by the Pressure Injury Prevention team at</w:t>
            </w:r>
            <w:r w:rsidR="00D11482">
              <w:rPr>
                <w:rFonts w:asciiTheme="minorHAnsi" w:hAnsiTheme="minorHAnsi"/>
                <w:i/>
                <w:iCs/>
                <w:sz w:val="22"/>
              </w:rPr>
              <w:t xml:space="preserve"> the Accident Compensation Corporation</w:t>
            </w:r>
            <w:r w:rsidRPr="002903E4">
              <w:rPr>
                <w:rFonts w:asciiTheme="minorHAnsi" w:hAnsiTheme="minorHAnsi"/>
                <w:i/>
                <w:iCs/>
                <w:sz w:val="22"/>
              </w:rPr>
              <w:t xml:space="preserve"> </w:t>
            </w:r>
            <w:r w:rsidR="00D11482">
              <w:rPr>
                <w:rFonts w:asciiTheme="minorHAnsi" w:hAnsiTheme="minorHAnsi"/>
                <w:i/>
                <w:iCs/>
                <w:sz w:val="22"/>
              </w:rPr>
              <w:t>(</w:t>
            </w:r>
            <w:r w:rsidRPr="002903E4">
              <w:rPr>
                <w:rFonts w:asciiTheme="minorHAnsi" w:hAnsiTheme="minorHAnsi"/>
                <w:i/>
                <w:iCs/>
                <w:sz w:val="22"/>
              </w:rPr>
              <w:t>ACC</w:t>
            </w:r>
            <w:r w:rsidR="00D11482">
              <w:rPr>
                <w:rFonts w:asciiTheme="minorHAnsi" w:hAnsiTheme="minorHAnsi"/>
                <w:i/>
                <w:iCs/>
                <w:sz w:val="22"/>
              </w:rPr>
              <w:t>)</w:t>
            </w:r>
            <w:r w:rsidRPr="002903E4">
              <w:rPr>
                <w:rFonts w:asciiTheme="minorHAnsi" w:hAnsiTheme="minorHAnsi"/>
                <w:i/>
                <w:iCs/>
                <w:sz w:val="22"/>
              </w:rPr>
              <w:t xml:space="preserve">. If you have any questions, please feel free to contact them on </w:t>
            </w:r>
            <w:hyperlink r:id="rId17" w:history="1">
              <w:r w:rsidRPr="002903E4">
                <w:rPr>
                  <w:rStyle w:val="Hyperlink"/>
                  <w:rFonts w:asciiTheme="minorHAnsi" w:hAnsiTheme="minorHAnsi"/>
                  <w:i/>
                  <w:iCs/>
                  <w:sz w:val="22"/>
                </w:rPr>
                <w:t>pressureinjuryprevention@acc.co.nz</w:t>
              </w:r>
            </w:hyperlink>
            <w:r w:rsidR="00D670B5">
              <w:rPr>
                <w:rFonts w:asciiTheme="minorHAnsi" w:hAnsiTheme="minorHAnsi"/>
                <w:sz w:val="22"/>
              </w:rPr>
              <w:t>.</w:t>
            </w:r>
          </w:p>
          <w:p w14:paraId="5C775A9A" w14:textId="041A73AB" w:rsidR="006867DB" w:rsidRDefault="006867DB" w:rsidP="00F95F04">
            <w:r w:rsidRPr="008C3C30">
              <w:t xml:space="preserve">Pressure injuries (also known as bedsores, pressure sores or pressure ulcers) have a huge impact on the health and wellbeing of people and their whānau. They can develop in a matter of hours and the damage can range from a blister to a deep open wound, which can be difficult to treat. It </w:t>
            </w:r>
            <w:r w:rsidR="00D11482">
              <w:t>can</w:t>
            </w:r>
            <w:r w:rsidR="00D11482" w:rsidRPr="008C3C30">
              <w:t xml:space="preserve"> </w:t>
            </w:r>
            <w:r w:rsidRPr="008C3C30">
              <w:t>take months to recover</w:t>
            </w:r>
            <w:r w:rsidR="00D11482">
              <w:t>;</w:t>
            </w:r>
            <w:r>
              <w:t xml:space="preserve"> however most pressure injuries are preventable.</w:t>
            </w:r>
          </w:p>
          <w:p w14:paraId="02692FD8" w14:textId="2CD4F316" w:rsidR="006867DB" w:rsidRDefault="00F73F37" w:rsidP="007B21EB">
            <w:hyperlink r:id="rId18" w:history="1">
              <w:r w:rsidR="006867DB" w:rsidRPr="009F0023">
                <w:rPr>
                  <w:rStyle w:val="Hyperlink"/>
                </w:rPr>
                <w:t>Visit the ACC website for guidance on pressure injury prevention</w:t>
              </w:r>
            </w:hyperlink>
            <w:r w:rsidR="006867DB">
              <w:t xml:space="preserve">. </w:t>
            </w:r>
          </w:p>
          <w:p w14:paraId="2A374C10" w14:textId="05D420F8" w:rsidR="006867DB" w:rsidRPr="008839B3" w:rsidRDefault="006867DB" w:rsidP="008839B3">
            <w:pPr>
              <w:spacing w:line="240" w:lineRule="auto"/>
            </w:pPr>
            <w:r w:rsidRPr="008839B3">
              <w:t>Pressure injuries mostly impact those who are immobile, elderly</w:t>
            </w:r>
            <w:r w:rsidR="00D11482">
              <w:t xml:space="preserve"> or</w:t>
            </w:r>
            <w:r w:rsidRPr="008839B3">
              <w:t xml:space="preserve"> in inpatient treatment</w:t>
            </w:r>
            <w:r w:rsidR="00D11482">
              <w:t>,</w:t>
            </w:r>
            <w:r w:rsidRPr="008839B3">
              <w:t xml:space="preserve"> or have pre-existing health issues that affect blood flow. </w:t>
            </w:r>
          </w:p>
          <w:p w14:paraId="266DCE3E" w14:textId="77777777" w:rsidR="006867DB" w:rsidRPr="008839B3" w:rsidRDefault="006867DB" w:rsidP="002C48BB">
            <w:pPr>
              <w:pStyle w:val="Heading3"/>
            </w:pPr>
            <w:r w:rsidRPr="008839B3">
              <w:t>Understanding ACC cover</w:t>
            </w:r>
          </w:p>
          <w:p w14:paraId="269D4391" w14:textId="3D31244D" w:rsidR="006867DB" w:rsidRPr="00C00E78" w:rsidRDefault="006867DB" w:rsidP="00F95F04">
            <w:pPr>
              <w:spacing w:line="240" w:lineRule="auto"/>
            </w:pPr>
            <w:r w:rsidRPr="00C00E78">
              <w:t xml:space="preserve">ACC considers each claim on its own merit, </w:t>
            </w:r>
            <w:r>
              <w:t>considering</w:t>
            </w:r>
            <w:r w:rsidRPr="00C00E78">
              <w:t xml:space="preserve"> all the circumstances of the case</w:t>
            </w:r>
            <w:r w:rsidR="00631A4B">
              <w:t xml:space="preserve">. </w:t>
            </w:r>
            <w:r w:rsidRPr="00C00E78">
              <w:t>All claims must be lodged with the consent of the patient</w:t>
            </w:r>
            <w:r>
              <w:t>.</w:t>
            </w:r>
          </w:p>
          <w:p w14:paraId="7A35E990" w14:textId="73888CB5" w:rsidR="006867DB" w:rsidRPr="008839B3" w:rsidRDefault="006867DB" w:rsidP="008839B3">
            <w:pPr>
              <w:tabs>
                <w:tab w:val="num" w:pos="720"/>
              </w:tabs>
              <w:spacing w:line="240" w:lineRule="auto"/>
            </w:pPr>
            <w:r w:rsidRPr="008839B3">
              <w:t>ACC can cover a pressure injury as</w:t>
            </w:r>
            <w:r w:rsidR="00E51303">
              <w:t xml:space="preserve"> a</w:t>
            </w:r>
            <w:r w:rsidRPr="008839B3">
              <w:t xml:space="preserve"> consequential injur</w:t>
            </w:r>
            <w:r w:rsidR="00E51303">
              <w:t>y</w:t>
            </w:r>
            <w:r w:rsidRPr="008839B3">
              <w:t xml:space="preserve"> to another covered injury. </w:t>
            </w:r>
            <w:r w:rsidR="00E51303">
              <w:t>Consequential pressure injuries</w:t>
            </w:r>
            <w:r w:rsidR="00E51303" w:rsidRPr="008839B3">
              <w:t xml:space="preserve"> </w:t>
            </w:r>
            <w:r w:rsidRPr="008839B3">
              <w:t xml:space="preserve">are common for clients with a serious injury such as spinal cord injury or traumatic brain injury (but aren’t exclusive to these injuries). </w:t>
            </w:r>
          </w:p>
          <w:p w14:paraId="014E3BFE" w14:textId="7D360790" w:rsidR="006867DB" w:rsidRPr="00C00E78" w:rsidRDefault="006867DB" w:rsidP="00F95F04">
            <w:pPr>
              <w:tabs>
                <w:tab w:val="num" w:pos="720"/>
              </w:tabs>
              <w:spacing w:line="240" w:lineRule="auto"/>
            </w:pPr>
            <w:r w:rsidRPr="003B12E7">
              <w:t xml:space="preserve">ACC can </w:t>
            </w:r>
            <w:r>
              <w:t xml:space="preserve">also </w:t>
            </w:r>
            <w:r w:rsidRPr="003B12E7">
              <w:t>cover a pressure injury in the context of treatment</w:t>
            </w:r>
            <w:r>
              <w:rPr>
                <w:b/>
                <w:bCs/>
              </w:rPr>
              <w:t>,</w:t>
            </w:r>
            <w:r w:rsidRPr="003B12E7">
              <w:t xml:space="preserve"> as s</w:t>
            </w:r>
            <w:r w:rsidRPr="00C00E78">
              <w:t>ometimes during treatment an injury can occur</w:t>
            </w:r>
            <w:r>
              <w:t xml:space="preserve">. </w:t>
            </w:r>
            <w:r w:rsidR="00D11482">
              <w:t xml:space="preserve">Reasons for this </w:t>
            </w:r>
            <w:r>
              <w:t xml:space="preserve">include </w:t>
            </w:r>
            <w:r w:rsidRPr="003B12E7">
              <w:rPr>
                <w:color w:val="000000"/>
                <w:shd w:val="clear" w:color="auto" w:fill="FFFFFF"/>
              </w:rPr>
              <w:t>omission of treatment and failure of medical equipment.</w:t>
            </w:r>
            <w:r w:rsidRPr="003B12E7">
              <w:t xml:space="preserve"> </w:t>
            </w:r>
            <w:r w:rsidRPr="00C00E78">
              <w:t>We can consider cover for a treatment injury if:</w:t>
            </w:r>
          </w:p>
          <w:p w14:paraId="31602A5C" w14:textId="77777777" w:rsidR="006867DB" w:rsidRPr="00C00E78" w:rsidRDefault="006867DB" w:rsidP="002C48BB">
            <w:pPr>
              <w:pStyle w:val="ListBullet"/>
            </w:pPr>
            <w:r>
              <w:t>t</w:t>
            </w:r>
            <w:r w:rsidRPr="00C00E78">
              <w:t xml:space="preserve">he treatment directly caused </w:t>
            </w:r>
            <w:r>
              <w:t>the</w:t>
            </w:r>
            <w:r w:rsidRPr="00C00E78">
              <w:t xml:space="preserve"> injury</w:t>
            </w:r>
          </w:p>
          <w:p w14:paraId="5145CFE8" w14:textId="77777777" w:rsidR="006867DB" w:rsidRPr="00C00E78" w:rsidRDefault="006867DB" w:rsidP="002C48BB">
            <w:pPr>
              <w:pStyle w:val="ListBullet"/>
            </w:pPr>
            <w:r>
              <w:lastRenderedPageBreak/>
              <w:t>t</w:t>
            </w:r>
            <w:r w:rsidRPr="00C00E78">
              <w:t xml:space="preserve">he treatment was provided by, or under the direction of, a registered health professional </w:t>
            </w:r>
          </w:p>
          <w:p w14:paraId="7E45DD5E" w14:textId="058C4DB4" w:rsidR="006867DB" w:rsidRDefault="006867DB" w:rsidP="002C48BB">
            <w:pPr>
              <w:pStyle w:val="ListBullet"/>
            </w:pPr>
            <w:r w:rsidRPr="00C00E78">
              <w:t>it</w:t>
            </w:r>
            <w:r w:rsidR="00C758C4">
              <w:t>’</w:t>
            </w:r>
            <w:r w:rsidRPr="00C00E78">
              <w:t>s not a normal side</w:t>
            </w:r>
            <w:r w:rsidR="00D11482">
              <w:t xml:space="preserve"> </w:t>
            </w:r>
            <w:r w:rsidRPr="00C00E78">
              <w:t xml:space="preserve">effect of </w:t>
            </w:r>
            <w:r>
              <w:t>the</w:t>
            </w:r>
            <w:r w:rsidRPr="00C00E78">
              <w:t xml:space="preserve"> treatment, such as burns to the skin during radiation therapy</w:t>
            </w:r>
            <w:r>
              <w:t>.</w:t>
            </w:r>
          </w:p>
          <w:p w14:paraId="594A5ED3" w14:textId="728D9AB3" w:rsidR="006867DB" w:rsidRPr="003B12E7" w:rsidRDefault="006867DB" w:rsidP="00FA7F9E">
            <w:pPr>
              <w:spacing w:line="240" w:lineRule="auto"/>
            </w:pPr>
            <w:r w:rsidRPr="00C00E78">
              <w:t>We can also cover injuries caused by treatment for an injury we</w:t>
            </w:r>
            <w:r w:rsidR="00D11482">
              <w:t>’</w:t>
            </w:r>
            <w:r w:rsidRPr="00C00E78">
              <w:t>ve already covered.</w:t>
            </w:r>
          </w:p>
          <w:p w14:paraId="1524B246" w14:textId="77777777" w:rsidR="006867DB" w:rsidRPr="008839B3" w:rsidRDefault="006867DB" w:rsidP="002C48BB">
            <w:pPr>
              <w:pStyle w:val="Heading3"/>
              <w:rPr>
                <w:shd w:val="clear" w:color="auto" w:fill="FFFFFF"/>
              </w:rPr>
            </w:pPr>
            <w:r w:rsidRPr="008839B3">
              <w:rPr>
                <w:shd w:val="clear" w:color="auto" w:fill="FFFFFF"/>
              </w:rPr>
              <w:t>Lodging an ACC claim for a pressure injury caused by treatment</w:t>
            </w:r>
          </w:p>
          <w:p w14:paraId="3BD7F74E" w14:textId="77777777" w:rsidR="006867DB" w:rsidRDefault="006867DB" w:rsidP="00F95F04">
            <w:pPr>
              <w:spacing w:line="240" w:lineRule="auto"/>
              <w:rPr>
                <w:color w:val="000000"/>
                <w:shd w:val="clear" w:color="auto" w:fill="FFFFFF"/>
              </w:rPr>
            </w:pPr>
            <w:r>
              <w:rPr>
                <w:color w:val="000000"/>
                <w:shd w:val="clear" w:color="auto" w:fill="FFFFFF"/>
              </w:rPr>
              <w:t xml:space="preserve">For more information on how to lodge a treatment injury claim, see the </w:t>
            </w:r>
            <w:hyperlink r:id="rId19" w:history="1">
              <w:r w:rsidRPr="00C00E78">
                <w:rPr>
                  <w:rStyle w:val="Hyperlink"/>
                </w:rPr>
                <w:t>Treatment injury claim lodgement guide</w:t>
              </w:r>
            </w:hyperlink>
            <w:r>
              <w:rPr>
                <w:rStyle w:val="Hyperlink"/>
              </w:rPr>
              <w:t xml:space="preserve"> </w:t>
            </w:r>
            <w:r w:rsidRPr="002903E4">
              <w:rPr>
                <w:rStyle w:val="Hyperlink"/>
              </w:rPr>
              <w:t>on the ACC website.</w:t>
            </w:r>
          </w:p>
          <w:p w14:paraId="673736F0" w14:textId="3D74BA97" w:rsidR="006867DB" w:rsidRPr="00C00E78" w:rsidRDefault="006867DB" w:rsidP="00F95F04">
            <w:pPr>
              <w:spacing w:line="240" w:lineRule="auto"/>
            </w:pPr>
            <w:r>
              <w:t>We</w:t>
            </w:r>
            <w:r w:rsidRPr="00C00E78">
              <w:t xml:space="preserve"> can contribute to the administrative costs of lodging a treatment injury claim, </w:t>
            </w:r>
            <w:r>
              <w:t>for example,</w:t>
            </w:r>
            <w:r w:rsidRPr="00C00E78">
              <w:t xml:space="preserve"> </w:t>
            </w:r>
            <w:r w:rsidR="00D11482">
              <w:t xml:space="preserve">the costs of </w:t>
            </w:r>
            <w:r w:rsidRPr="00C00E78">
              <w:t>recovering medical records. We</w:t>
            </w:r>
            <w:r w:rsidR="00D11482">
              <w:t>’</w:t>
            </w:r>
            <w:r w:rsidRPr="00C00E78">
              <w:t>ll pay you</w:t>
            </w:r>
            <w:r w:rsidR="00D11482">
              <w:t xml:space="preserve"> for these costs</w:t>
            </w:r>
            <w:r w:rsidRPr="00C00E78">
              <w:t xml:space="preserve"> if all the claim forms are filled out, even if we deny the claim.</w:t>
            </w:r>
          </w:p>
          <w:p w14:paraId="4C437997" w14:textId="77777777" w:rsidR="006867DB" w:rsidRDefault="006867DB" w:rsidP="00F95F04">
            <w:pPr>
              <w:spacing w:line="240" w:lineRule="auto"/>
              <w:rPr>
                <w:color w:val="000000"/>
                <w:shd w:val="clear" w:color="auto" w:fill="FFFFFF"/>
              </w:rPr>
            </w:pPr>
            <w:r w:rsidRPr="003B12E7">
              <w:rPr>
                <w:color w:val="000000"/>
                <w:shd w:val="clear" w:color="auto" w:fill="FFFFFF"/>
              </w:rPr>
              <w:t xml:space="preserve">The costs of lodging a treatment injury claim </w:t>
            </w:r>
            <w:r>
              <w:rPr>
                <w:color w:val="000000"/>
                <w:shd w:val="clear" w:color="auto" w:fill="FFFFFF"/>
              </w:rPr>
              <w:t>are</w:t>
            </w:r>
            <w:r w:rsidRPr="003B12E7">
              <w:rPr>
                <w:color w:val="000000"/>
                <w:shd w:val="clear" w:color="auto" w:fill="FFFFFF"/>
              </w:rPr>
              <w:t xml:space="preserve"> separate from payments we make towards the costs </w:t>
            </w:r>
            <w:r>
              <w:rPr>
                <w:color w:val="000000"/>
                <w:shd w:val="clear" w:color="auto" w:fill="FFFFFF"/>
              </w:rPr>
              <w:t>o</w:t>
            </w:r>
            <w:r w:rsidRPr="003B12E7">
              <w:rPr>
                <w:color w:val="000000"/>
                <w:shd w:val="clear" w:color="auto" w:fill="FFFFFF"/>
              </w:rPr>
              <w:t>f consultation and treatment. </w:t>
            </w:r>
          </w:p>
          <w:p w14:paraId="539C7EFB" w14:textId="77777777" w:rsidR="006867DB" w:rsidRPr="008839B3" w:rsidRDefault="006867DB" w:rsidP="002C48BB">
            <w:pPr>
              <w:pStyle w:val="Heading3"/>
              <w:rPr>
                <w:shd w:val="clear" w:color="auto" w:fill="FFFFFF"/>
              </w:rPr>
            </w:pPr>
            <w:r w:rsidRPr="008839B3">
              <w:rPr>
                <w:shd w:val="clear" w:color="auto" w:fill="FFFFFF"/>
              </w:rPr>
              <w:t>When we’ll pay for your services</w:t>
            </w:r>
          </w:p>
          <w:p w14:paraId="35C036F4" w14:textId="6F191A98" w:rsidR="006867DB" w:rsidRPr="008839B3" w:rsidRDefault="006867DB" w:rsidP="00FA7F9E">
            <w:pPr>
              <w:spacing w:after="0" w:line="240" w:lineRule="auto"/>
            </w:pPr>
            <w:r w:rsidRPr="008839B3">
              <w:t>We</w:t>
            </w:r>
            <w:r w:rsidR="00C758C4">
              <w:t>’</w:t>
            </w:r>
            <w:r w:rsidRPr="008839B3">
              <w:t xml:space="preserve">ll pay you for treating a client’s injury as long as </w:t>
            </w:r>
            <w:r w:rsidR="00C758C4">
              <w:t>your service is</w:t>
            </w:r>
            <w:r w:rsidRPr="008839B3">
              <w:t>:</w:t>
            </w:r>
          </w:p>
          <w:p w14:paraId="2A090B54" w14:textId="77777777" w:rsidR="006867DB" w:rsidRPr="00DF1C1B" w:rsidRDefault="006867DB" w:rsidP="002C48BB">
            <w:pPr>
              <w:pStyle w:val="ListBullet"/>
              <w:rPr>
                <w:shd w:val="clear" w:color="auto" w:fill="FFFFFF"/>
              </w:rPr>
            </w:pPr>
            <w:r w:rsidRPr="00DF1C1B">
              <w:rPr>
                <w:shd w:val="clear" w:color="auto" w:fill="FFFFFF"/>
              </w:rPr>
              <w:t>the most suitable option for their condition</w:t>
            </w:r>
          </w:p>
          <w:p w14:paraId="38046371" w14:textId="77777777" w:rsidR="006867DB" w:rsidRPr="00DF1C1B" w:rsidRDefault="006867DB" w:rsidP="002C48BB">
            <w:pPr>
              <w:pStyle w:val="ListBullet"/>
              <w:rPr>
                <w:shd w:val="clear" w:color="auto" w:fill="FFFFFF"/>
              </w:rPr>
            </w:pPr>
            <w:r w:rsidRPr="00DF1C1B">
              <w:rPr>
                <w:shd w:val="clear" w:color="auto" w:fill="FFFFFF"/>
              </w:rPr>
              <w:t>of acceptable quality</w:t>
            </w:r>
          </w:p>
          <w:p w14:paraId="1B67BC4C" w14:textId="77777777" w:rsidR="006867DB" w:rsidRPr="00DF1C1B" w:rsidRDefault="006867DB" w:rsidP="002C48BB">
            <w:pPr>
              <w:pStyle w:val="ListBullet"/>
              <w:rPr>
                <w:shd w:val="clear" w:color="auto" w:fill="FFFFFF"/>
              </w:rPr>
            </w:pPr>
            <w:r w:rsidRPr="00DF1C1B">
              <w:rPr>
                <w:shd w:val="clear" w:color="auto" w:fill="FFFFFF"/>
              </w:rPr>
              <w:t>given at the right time and place, with only the necessary number of treatments needed</w:t>
            </w:r>
          </w:p>
          <w:p w14:paraId="75AF65B4" w14:textId="311E1ADA" w:rsidR="006867DB" w:rsidRPr="00DF1C1B" w:rsidRDefault="006867DB" w:rsidP="002C48BB">
            <w:pPr>
              <w:pStyle w:val="ListBullet"/>
              <w:rPr>
                <w:shd w:val="clear" w:color="auto" w:fill="FFFFFF"/>
              </w:rPr>
            </w:pPr>
            <w:r w:rsidRPr="00DF1C1B">
              <w:rPr>
                <w:shd w:val="clear" w:color="auto" w:fill="FFFFFF"/>
              </w:rPr>
              <w:t>given by a provider with appropriate qualifications and a current annual practi</w:t>
            </w:r>
            <w:r w:rsidR="00C758C4">
              <w:rPr>
                <w:shd w:val="clear" w:color="auto" w:fill="FFFFFF"/>
              </w:rPr>
              <w:t>s</w:t>
            </w:r>
            <w:r w:rsidRPr="00DF1C1B">
              <w:rPr>
                <w:shd w:val="clear" w:color="auto" w:fill="FFFFFF"/>
              </w:rPr>
              <w:t>ing certificate</w:t>
            </w:r>
          </w:p>
          <w:p w14:paraId="64DDB023" w14:textId="77777777" w:rsidR="006867DB" w:rsidRPr="00DF1C1B" w:rsidRDefault="006867DB" w:rsidP="002C48BB">
            <w:pPr>
              <w:pStyle w:val="ListBullet"/>
              <w:rPr>
                <w:shd w:val="clear" w:color="auto" w:fill="FFFFFF"/>
              </w:rPr>
            </w:pPr>
            <w:r w:rsidRPr="00DF1C1B">
              <w:rPr>
                <w:shd w:val="clear" w:color="auto" w:fill="FFFFFF"/>
              </w:rPr>
              <w:t>clearly documented</w:t>
            </w:r>
          </w:p>
          <w:p w14:paraId="27BB1166" w14:textId="77777777" w:rsidR="006867DB" w:rsidRPr="00DF1C1B" w:rsidRDefault="006867DB" w:rsidP="002C48BB">
            <w:pPr>
              <w:pStyle w:val="ListBullet"/>
              <w:rPr>
                <w:shd w:val="clear" w:color="auto" w:fill="FFFFFF"/>
              </w:rPr>
            </w:pPr>
            <w:r w:rsidRPr="00DF1C1B">
              <w:rPr>
                <w:shd w:val="clear" w:color="auto" w:fill="FFFFFF"/>
              </w:rPr>
              <w:t>pre-approved by us (if needed).</w:t>
            </w:r>
          </w:p>
          <w:p w14:paraId="4E9731FF" w14:textId="77777777" w:rsidR="006867DB" w:rsidRPr="008839B3" w:rsidRDefault="006867DB" w:rsidP="00FA7F9E">
            <w:pPr>
              <w:spacing w:after="0" w:line="240" w:lineRule="auto"/>
            </w:pPr>
            <w:r w:rsidRPr="008839B3">
              <w:t>When we decide what we’ll pay for, we also look at:</w:t>
            </w:r>
          </w:p>
          <w:p w14:paraId="1965E978" w14:textId="77777777" w:rsidR="006867DB" w:rsidRPr="00DF1C1B" w:rsidRDefault="006867DB" w:rsidP="002C48BB">
            <w:pPr>
              <w:pStyle w:val="ListBullet"/>
              <w:rPr>
                <w:shd w:val="clear" w:color="auto" w:fill="FFFFFF"/>
              </w:rPr>
            </w:pPr>
            <w:r w:rsidRPr="00DF1C1B">
              <w:rPr>
                <w:shd w:val="clear" w:color="auto" w:fill="FFFFFF"/>
              </w:rPr>
              <w:t>the type of injury and its severity</w:t>
            </w:r>
          </w:p>
          <w:p w14:paraId="75BA4E4C" w14:textId="6A527B26" w:rsidR="006867DB" w:rsidRPr="00DF1C1B" w:rsidRDefault="00C758C4" w:rsidP="002C48BB">
            <w:pPr>
              <w:pStyle w:val="ListBullet"/>
              <w:rPr>
                <w:shd w:val="clear" w:color="auto" w:fill="FFFFFF"/>
              </w:rPr>
            </w:pPr>
            <w:r>
              <w:rPr>
                <w:shd w:val="clear" w:color="auto" w:fill="FFFFFF"/>
              </w:rPr>
              <w:t>whether</w:t>
            </w:r>
            <w:r w:rsidRPr="00DF1C1B">
              <w:rPr>
                <w:shd w:val="clear" w:color="auto" w:fill="FFFFFF"/>
              </w:rPr>
              <w:t xml:space="preserve"> </w:t>
            </w:r>
            <w:r w:rsidR="006867DB" w:rsidRPr="00DF1C1B">
              <w:rPr>
                <w:shd w:val="clear" w:color="auto" w:fill="FFFFFF"/>
              </w:rPr>
              <w:t>it</w:t>
            </w:r>
            <w:r>
              <w:rPr>
                <w:shd w:val="clear" w:color="auto" w:fill="FFFFFF"/>
              </w:rPr>
              <w:t>’</w:t>
            </w:r>
            <w:r w:rsidR="006867DB" w:rsidRPr="00DF1C1B">
              <w:rPr>
                <w:shd w:val="clear" w:color="auto" w:fill="FFFFFF"/>
              </w:rPr>
              <w:t>s a generally accepted form of treatment in New Zealand</w:t>
            </w:r>
          </w:p>
          <w:p w14:paraId="075AB22C" w14:textId="77777777" w:rsidR="006867DB" w:rsidRPr="00DF1C1B" w:rsidRDefault="006867DB" w:rsidP="002C48BB">
            <w:pPr>
              <w:pStyle w:val="ListBullet"/>
              <w:rPr>
                <w:shd w:val="clear" w:color="auto" w:fill="FFFFFF"/>
              </w:rPr>
            </w:pPr>
            <w:r w:rsidRPr="00DF1C1B">
              <w:rPr>
                <w:shd w:val="clear" w:color="auto" w:fill="FFFFFF"/>
              </w:rPr>
              <w:t>other options available in New Zealand to treat the injury</w:t>
            </w:r>
          </w:p>
          <w:p w14:paraId="3D71FF80" w14:textId="77777777" w:rsidR="006867DB" w:rsidRPr="00DF1C1B" w:rsidRDefault="006867DB" w:rsidP="002C48BB">
            <w:pPr>
              <w:pStyle w:val="ListBullet"/>
              <w:rPr>
                <w:shd w:val="clear" w:color="auto" w:fill="FFFFFF"/>
              </w:rPr>
            </w:pPr>
            <w:r w:rsidRPr="00DF1C1B">
              <w:rPr>
                <w:shd w:val="clear" w:color="auto" w:fill="FFFFFF"/>
              </w:rPr>
              <w:t>the cost and benefit to the client of each treatment option.</w:t>
            </w:r>
          </w:p>
          <w:p w14:paraId="606BD1DF" w14:textId="11CACFDA" w:rsidR="006867DB" w:rsidRDefault="006867DB" w:rsidP="00F95F04">
            <w:pPr>
              <w:spacing w:line="240" w:lineRule="auto"/>
            </w:pPr>
            <w:r w:rsidRPr="002903E4">
              <w:t xml:space="preserve">For further information on paying you for your services when treating a client’s injury, </w:t>
            </w:r>
            <w:hyperlink r:id="rId20" w:anchor="paying-for-lodging-a-treatment-injury-claim" w:history="1">
              <w:r w:rsidRPr="008C3C30">
                <w:rPr>
                  <w:rStyle w:val="Hyperlink"/>
                </w:rPr>
                <w:t>visit the ACC website</w:t>
              </w:r>
            </w:hyperlink>
            <w:r>
              <w:t>.</w:t>
            </w:r>
          </w:p>
          <w:p w14:paraId="2C94AC32" w14:textId="77777777" w:rsidR="00917BB3" w:rsidRDefault="00917BB3" w:rsidP="00F95F04">
            <w:pPr>
              <w:spacing w:line="240" w:lineRule="auto"/>
            </w:pPr>
          </w:p>
          <w:p w14:paraId="58DA1B85" w14:textId="794B5205" w:rsidR="006867DB" w:rsidRPr="00E019EF" w:rsidRDefault="00C758C4" w:rsidP="002C48BB">
            <w:pPr>
              <w:pStyle w:val="Heading2"/>
              <w:rPr>
                <w:rFonts w:eastAsiaTheme="minorHAnsi" w:cstheme="minorBidi"/>
                <w:color w:val="4472C4" w:themeColor="accent1"/>
              </w:rPr>
            </w:pPr>
            <w:r>
              <w:t xml:space="preserve">Update from the </w:t>
            </w:r>
            <w:r w:rsidR="006867DB" w:rsidRPr="002C48BB">
              <w:t>Assisted Dying Service</w:t>
            </w:r>
            <w:r w:rsidR="006867DB" w:rsidRPr="00E019EF">
              <w:rPr>
                <w:rFonts w:eastAsiaTheme="minorHAnsi" w:cstheme="minorBidi"/>
                <w:color w:val="4472C4" w:themeColor="accent1"/>
              </w:rPr>
              <w:t xml:space="preserve"> </w:t>
            </w:r>
          </w:p>
          <w:p w14:paraId="0DC60DA1" w14:textId="4B993492" w:rsidR="006867DB" w:rsidRPr="006D4469" w:rsidRDefault="006867DB" w:rsidP="00A36D55">
            <w:pPr>
              <w:rPr>
                <w:rFonts w:ascii="Segoe UI" w:hAnsi="Segoe UI" w:cs="Segoe UI"/>
                <w:color w:val="000000" w:themeColor="text1"/>
              </w:rPr>
            </w:pPr>
            <w:r w:rsidRPr="00791A54">
              <w:t xml:space="preserve">The </w:t>
            </w:r>
            <w:r w:rsidR="002F1CCE">
              <w:t>first a</w:t>
            </w:r>
            <w:r w:rsidRPr="00791A54">
              <w:t xml:space="preserve">nnual </w:t>
            </w:r>
            <w:r w:rsidR="002F1CCE">
              <w:t>r</w:t>
            </w:r>
            <w:r w:rsidRPr="00791A54">
              <w:t>eport</w:t>
            </w:r>
            <w:r w:rsidR="002F1CCE">
              <w:t xml:space="preserve"> for</w:t>
            </w:r>
            <w:r w:rsidR="002F1CCE" w:rsidRPr="00791A54">
              <w:t xml:space="preserve"> the </w:t>
            </w:r>
            <w:r w:rsidR="00954432">
              <w:t>A</w:t>
            </w:r>
            <w:r w:rsidR="002F1CCE" w:rsidRPr="00791A54">
              <w:t xml:space="preserve">ssisted </w:t>
            </w:r>
            <w:r w:rsidR="00954432">
              <w:t>D</w:t>
            </w:r>
            <w:r w:rsidR="002F1CCE" w:rsidRPr="00791A54">
              <w:t xml:space="preserve">ying </w:t>
            </w:r>
            <w:r w:rsidR="00954432">
              <w:t>S</w:t>
            </w:r>
            <w:r w:rsidR="002F1CCE" w:rsidRPr="00791A54">
              <w:t>ervice</w:t>
            </w:r>
            <w:r w:rsidRPr="00791A54">
              <w:t xml:space="preserve"> from the Registrar (assisted dying) has been released. This report covers the implementation and operation of the </w:t>
            </w:r>
            <w:r w:rsidR="002F1CCE">
              <w:t>A</w:t>
            </w:r>
            <w:r w:rsidRPr="00791A54">
              <w:t xml:space="preserve">ssisted </w:t>
            </w:r>
            <w:r w:rsidR="002F1CCE">
              <w:t>D</w:t>
            </w:r>
            <w:r w:rsidRPr="00791A54">
              <w:t xml:space="preserve">ying </w:t>
            </w:r>
            <w:r w:rsidR="002F1CCE">
              <w:t>S</w:t>
            </w:r>
            <w:r w:rsidRPr="00791A54">
              <w:t>ervice from 7 November</w:t>
            </w:r>
            <w:r w:rsidR="00E1730E">
              <w:t xml:space="preserve"> 2021</w:t>
            </w:r>
            <w:r w:rsidRPr="00791A54">
              <w:t xml:space="preserve"> to 3</w:t>
            </w:r>
            <w:r w:rsidR="00B773B0">
              <w:t>1</w:t>
            </w:r>
            <w:r w:rsidRPr="00791A54">
              <w:t xml:space="preserve"> </w:t>
            </w:r>
            <w:r w:rsidR="00B773B0">
              <w:t>March 2022</w:t>
            </w:r>
            <w:r w:rsidRPr="00791A54">
              <w:t xml:space="preserve">. It includes information about service use and the workforce for assisted dying. </w:t>
            </w:r>
            <w:r w:rsidR="002F1CCE">
              <w:t xml:space="preserve">To access the </w:t>
            </w:r>
            <w:r w:rsidRPr="00791A54">
              <w:t>report</w:t>
            </w:r>
            <w:r w:rsidR="002F1CCE">
              <w:t>, go to</w:t>
            </w:r>
            <w:r w:rsidRPr="00791A54">
              <w:t xml:space="preserve"> </w:t>
            </w:r>
            <w:r w:rsidR="004862BD">
              <w:t>Manat</w:t>
            </w:r>
            <w:r w:rsidR="004862BD">
              <w:rPr>
                <w:rFonts w:cs="Arial"/>
              </w:rPr>
              <w:t>ū</w:t>
            </w:r>
            <w:r w:rsidR="004862BD">
              <w:t xml:space="preserve"> Hauora</w:t>
            </w:r>
            <w:r w:rsidRPr="00791A54">
              <w:t>’s</w:t>
            </w:r>
            <w:r>
              <w:rPr>
                <w:rFonts w:ascii="Segoe UI" w:hAnsi="Segoe UI" w:cs="Segoe UI"/>
                <w:color w:val="000000" w:themeColor="text1"/>
              </w:rPr>
              <w:t xml:space="preserve"> </w:t>
            </w:r>
            <w:hyperlink r:id="rId21" w:anchor=":~:text=The%20Act%20requires%20the%20Registrar%20%28assisted%20dying%29%20to,period%20from%207%20November%20to%2031%20March%202022." w:history="1">
              <w:r w:rsidRPr="00FA7F9E">
                <w:rPr>
                  <w:rStyle w:val="Hyperlink"/>
                  <w:rFonts w:cs="Arial"/>
                  <w:color w:val="0070C0"/>
                </w:rPr>
                <w:t>website</w:t>
              </w:r>
            </w:hyperlink>
            <w:r w:rsidRPr="00FA7F9E">
              <w:rPr>
                <w:rFonts w:cs="Arial"/>
                <w:color w:val="000000" w:themeColor="text1"/>
              </w:rPr>
              <w:t>.</w:t>
            </w:r>
            <w:r w:rsidRPr="006D4469">
              <w:rPr>
                <w:rFonts w:ascii="Segoe UI" w:hAnsi="Segoe UI" w:cs="Segoe UI"/>
                <w:color w:val="000000" w:themeColor="text1"/>
              </w:rPr>
              <w:t xml:space="preserve"> </w:t>
            </w:r>
          </w:p>
          <w:p w14:paraId="697555CD" w14:textId="77777777" w:rsidR="00D417ED" w:rsidRDefault="00954432" w:rsidP="00A36D55">
            <w:r w:rsidRPr="00791A54">
              <w:t>Latest quarterly reporting</w:t>
            </w:r>
            <w:r>
              <w:t xml:space="preserve"> shows that t</w:t>
            </w:r>
            <w:r w:rsidR="002F1CCE">
              <w:t>he number of a</w:t>
            </w:r>
            <w:r w:rsidR="006867DB" w:rsidRPr="00791A54">
              <w:t>pplications for accessing assisted dying ha</w:t>
            </w:r>
            <w:r w:rsidR="002F1CCE">
              <w:t>s</w:t>
            </w:r>
            <w:r w:rsidR="006867DB" w:rsidRPr="00791A54">
              <w:t xml:space="preserve"> continued to increase in the last </w:t>
            </w:r>
            <w:r w:rsidR="008B6A3B">
              <w:t>3</w:t>
            </w:r>
            <w:r w:rsidR="008B6A3B" w:rsidRPr="00791A54">
              <w:t xml:space="preserve"> </w:t>
            </w:r>
            <w:r w:rsidR="006867DB" w:rsidRPr="00791A54">
              <w:t xml:space="preserve">months. </w:t>
            </w:r>
          </w:p>
          <w:p w14:paraId="1A12F40D" w14:textId="7D3EB366" w:rsidR="006867DB" w:rsidRPr="006D4469" w:rsidRDefault="00954432" w:rsidP="00A36D55">
            <w:pPr>
              <w:rPr>
                <w:rFonts w:ascii="Segoe UI" w:hAnsi="Segoe UI" w:cs="Segoe UI"/>
                <w:color w:val="000000" w:themeColor="text1"/>
              </w:rPr>
            </w:pPr>
            <w:r>
              <w:lastRenderedPageBreak/>
              <w:t>A</w:t>
            </w:r>
            <w:r w:rsidR="006867DB" w:rsidRPr="00791A54">
              <w:t>s of 30 June 2022</w:t>
            </w:r>
            <w:r>
              <w:t>,</w:t>
            </w:r>
            <w:r w:rsidR="006867DB" w:rsidRPr="00791A54">
              <w:t xml:space="preserve"> 143 people have had an assisted death in New Zealand</w:t>
            </w:r>
            <w:r>
              <w:t xml:space="preserve"> since the service began</w:t>
            </w:r>
            <w:r w:rsidR="006867DB" w:rsidRPr="00791A54">
              <w:t>. Of these</w:t>
            </w:r>
            <w:r w:rsidR="002F1CCE">
              <w:t>,</w:t>
            </w:r>
            <w:r w:rsidR="006867DB" w:rsidRPr="00791A54">
              <w:t xml:space="preserve"> 9.1% took place in an aged care facility. For more information</w:t>
            </w:r>
            <w:r w:rsidR="002F1CCE">
              <w:t>,</w:t>
            </w:r>
            <w:r w:rsidR="006867DB" w:rsidRPr="00791A54">
              <w:t xml:space="preserve"> see</w:t>
            </w:r>
            <w:r w:rsidR="006867DB" w:rsidRPr="006D4469">
              <w:rPr>
                <w:rFonts w:ascii="Segoe UI" w:hAnsi="Segoe UI" w:cs="Segoe UI"/>
                <w:color w:val="000000" w:themeColor="text1"/>
              </w:rPr>
              <w:t xml:space="preserve"> </w:t>
            </w:r>
            <w:hyperlink r:id="rId22" w:history="1">
              <w:r w:rsidR="004862BD">
                <w:rPr>
                  <w:rStyle w:val="Hyperlink"/>
                  <w:rFonts w:cs="Arial"/>
                  <w:color w:val="0070C0"/>
                </w:rPr>
                <w:t>the quarterly reporting on Manatū Hauora's website</w:t>
              </w:r>
            </w:hyperlink>
            <w:r w:rsidR="006867DB" w:rsidRPr="00FA7F9E">
              <w:rPr>
                <w:rFonts w:cs="Arial"/>
                <w:color w:val="000000" w:themeColor="text1"/>
              </w:rPr>
              <w:t>.</w:t>
            </w:r>
            <w:r w:rsidR="006867DB" w:rsidRPr="006D4469">
              <w:rPr>
                <w:rFonts w:ascii="Segoe UI" w:hAnsi="Segoe UI" w:cs="Segoe UI"/>
                <w:color w:val="000000" w:themeColor="text1"/>
              </w:rPr>
              <w:t xml:space="preserve"> </w:t>
            </w:r>
          </w:p>
          <w:p w14:paraId="642949D2" w14:textId="14F40190" w:rsidR="006867DB" w:rsidRPr="00791A54" w:rsidRDefault="006867DB" w:rsidP="00A36D55">
            <w:r w:rsidRPr="00791A54">
              <w:t>Any health professional may be asked about assisted dying or</w:t>
            </w:r>
            <w:r w:rsidR="002F1CCE">
              <w:t xml:space="preserve"> may</w:t>
            </w:r>
            <w:r w:rsidRPr="00791A54">
              <w:t xml:space="preserve"> care for someone who chooses assisted dying. Training continues to be available to support health sector staff to understand their rights and responsibilities under the End of Life Choice Act 2019 </w:t>
            </w:r>
            <w:r w:rsidR="002F1CCE">
              <w:t>in either of these situations</w:t>
            </w:r>
            <w:r w:rsidRPr="00791A54">
              <w:t xml:space="preserve">. This includes </w:t>
            </w:r>
            <w:r w:rsidR="002F1CCE">
              <w:t>the rights and responsibilities of</w:t>
            </w:r>
            <w:r w:rsidRPr="00791A54">
              <w:t xml:space="preserve"> those who conscientiously object to assisted dying. </w:t>
            </w:r>
            <w:r w:rsidR="002F1CCE">
              <w:t>For m</w:t>
            </w:r>
            <w:r w:rsidRPr="00791A54">
              <w:t>ore information about training resources</w:t>
            </w:r>
            <w:r w:rsidR="003D29B4">
              <w:t xml:space="preserve"> go to</w:t>
            </w:r>
            <w:r w:rsidRPr="00791A54">
              <w:t xml:space="preserve"> </w:t>
            </w:r>
            <w:hyperlink r:id="rId23" w:history="1">
              <w:r w:rsidR="003D29B4">
                <w:rPr>
                  <w:rStyle w:val="Hyperlink"/>
                </w:rPr>
                <w:t>Assisted dying training resources for health professionals | Ministry of Health NZ</w:t>
              </w:r>
            </w:hyperlink>
            <w:r w:rsidR="003D29B4">
              <w:t xml:space="preserve"> </w:t>
            </w:r>
          </w:p>
          <w:p w14:paraId="29B46477" w14:textId="77777777" w:rsidR="006867DB" w:rsidRDefault="006867DB" w:rsidP="00A36D55">
            <w:pPr>
              <w:rPr>
                <w:rFonts w:ascii="Segoe UI" w:hAnsi="Segoe UI" w:cs="Segoe UI"/>
                <w:color w:val="000000" w:themeColor="text1"/>
              </w:rPr>
            </w:pPr>
            <w:r w:rsidRPr="00791A54">
              <w:t>Please contact the Assisted Dying Secretariat if you have questions about assisted dying, either by emailing</w:t>
            </w:r>
            <w:r w:rsidRPr="006D4469">
              <w:rPr>
                <w:rFonts w:ascii="Segoe UI" w:hAnsi="Segoe UI" w:cs="Segoe UI"/>
                <w:color w:val="000000" w:themeColor="text1"/>
              </w:rPr>
              <w:t xml:space="preserve"> </w:t>
            </w:r>
            <w:hyperlink r:id="rId24" w:history="1">
              <w:r w:rsidRPr="00FA7F9E">
                <w:rPr>
                  <w:rStyle w:val="Hyperlink"/>
                  <w:rFonts w:cs="Arial"/>
                  <w:color w:val="0070C0"/>
                  <w:shd w:val="clear" w:color="auto" w:fill="FFFFFF"/>
                </w:rPr>
                <w:t>AssistedDying@health.govt.nz</w:t>
              </w:r>
            </w:hyperlink>
            <w:r w:rsidRPr="006D4469">
              <w:rPr>
                <w:rFonts w:ascii="Segoe UI" w:hAnsi="Segoe UI" w:cs="Segoe UI"/>
                <w:color w:val="000000" w:themeColor="text1"/>
              </w:rPr>
              <w:t xml:space="preserve"> </w:t>
            </w:r>
            <w:r w:rsidRPr="00791A54">
              <w:t>or calling 0800 223 852.</w:t>
            </w:r>
            <w:r w:rsidRPr="006D4469">
              <w:rPr>
                <w:rFonts w:ascii="Segoe UI" w:hAnsi="Segoe UI" w:cs="Segoe UI"/>
                <w:color w:val="000000" w:themeColor="text1"/>
              </w:rPr>
              <w:t xml:space="preserve"> </w:t>
            </w:r>
          </w:p>
          <w:p w14:paraId="09A0327E" w14:textId="77777777" w:rsidR="006867DB" w:rsidRPr="00791A54" w:rsidRDefault="006867DB" w:rsidP="00A36D55">
            <w:r w:rsidRPr="00791A54">
              <w:t xml:space="preserve">You can also subscribe to the </w:t>
            </w:r>
            <w:hyperlink r:id="rId25" w:history="1">
              <w:r w:rsidRPr="00FA7F9E">
                <w:rPr>
                  <w:rStyle w:val="Hyperlink"/>
                  <w:rFonts w:cs="Arial"/>
                  <w:color w:val="0070C0"/>
                  <w:shd w:val="clear" w:color="auto" w:fill="FFFFFF"/>
                </w:rPr>
                <w:t>Assisted Dying Service newsletter</w:t>
              </w:r>
            </w:hyperlink>
            <w:r w:rsidRPr="006D4469">
              <w:rPr>
                <w:rFonts w:ascii="Segoe UI" w:hAnsi="Segoe UI" w:cs="Segoe UI"/>
                <w:color w:val="000000" w:themeColor="text1"/>
              </w:rPr>
              <w:t xml:space="preserve"> </w:t>
            </w:r>
            <w:r w:rsidRPr="00791A54">
              <w:t xml:space="preserve">for regular updates.   </w:t>
            </w:r>
          </w:p>
          <w:p w14:paraId="50E6FEDA" w14:textId="5E710FE3" w:rsidR="006867DB" w:rsidRDefault="006867DB" w:rsidP="00ED1734">
            <w:r>
              <w:t xml:space="preserve"> </w:t>
            </w:r>
          </w:p>
          <w:p w14:paraId="06943A92" w14:textId="77777777" w:rsidR="000D43E7" w:rsidRDefault="000D43E7" w:rsidP="00C12D5E">
            <w:pPr>
              <w:pStyle w:val="Subheadings"/>
              <w:spacing w:line="240" w:lineRule="auto"/>
              <w:ind w:left="0"/>
              <w:rPr>
                <w:rFonts w:eastAsiaTheme="minorHAnsi" w:cstheme="minorBidi"/>
                <w:color w:val="4472C4" w:themeColor="accent1"/>
                <w:szCs w:val="22"/>
              </w:rPr>
            </w:pPr>
          </w:p>
          <w:p w14:paraId="23CE7C18" w14:textId="77777777" w:rsidR="009A4B64" w:rsidRDefault="009A4B64" w:rsidP="00C12D5E">
            <w:pPr>
              <w:pStyle w:val="Subheadings"/>
              <w:spacing w:line="240" w:lineRule="auto"/>
              <w:ind w:left="0"/>
              <w:rPr>
                <w:rFonts w:eastAsiaTheme="minorHAnsi" w:cstheme="minorBidi"/>
                <w:color w:val="4472C4" w:themeColor="accent1"/>
                <w:szCs w:val="22"/>
              </w:rPr>
            </w:pPr>
          </w:p>
          <w:p w14:paraId="3598B62C" w14:textId="6DEFCE69" w:rsidR="006867DB" w:rsidRPr="00C12D5E" w:rsidRDefault="006867DB" w:rsidP="002C48BB">
            <w:pPr>
              <w:pStyle w:val="Heading1"/>
              <w:rPr>
                <w:rFonts w:eastAsiaTheme="minorHAnsi"/>
              </w:rPr>
            </w:pPr>
            <w:r>
              <w:rPr>
                <w:rFonts w:eastAsiaTheme="minorHAnsi"/>
              </w:rPr>
              <w:t>S</w:t>
            </w:r>
            <w:r w:rsidRPr="00C12D5E">
              <w:rPr>
                <w:rFonts w:eastAsiaTheme="minorHAnsi"/>
              </w:rPr>
              <w:t xml:space="preserve">uccess story </w:t>
            </w:r>
          </w:p>
          <w:p w14:paraId="50800758" w14:textId="1E192DBC" w:rsidR="006867DB" w:rsidRDefault="006867DB" w:rsidP="002C48BB">
            <w:pPr>
              <w:pStyle w:val="Heading2"/>
            </w:pPr>
            <w:r w:rsidRPr="005B0FA7">
              <w:t xml:space="preserve">Laura Fergusson Trust </w:t>
            </w:r>
            <w:r>
              <w:t xml:space="preserve">Wellington Inc </w:t>
            </w:r>
          </w:p>
          <w:p w14:paraId="3A3AB0A1" w14:textId="32D27FDD" w:rsidR="006867DB" w:rsidRDefault="006867DB" w:rsidP="00AE2215">
            <w:r>
              <w:t xml:space="preserve">Laura Fergusson Trust </w:t>
            </w:r>
            <w:r w:rsidRPr="00BA7020">
              <w:t>Wellington Inc</w:t>
            </w:r>
            <w:r>
              <w:rPr>
                <w:b/>
                <w:bCs/>
              </w:rPr>
              <w:t xml:space="preserve"> </w:t>
            </w:r>
            <w:r>
              <w:t>(LFT) is embarking on a journey of cultural development.</w:t>
            </w:r>
          </w:p>
          <w:p w14:paraId="7896F171" w14:textId="3BFEFED7" w:rsidR="006867DB" w:rsidRDefault="006867DB" w:rsidP="00AE2215">
            <w:r>
              <w:t xml:space="preserve">Despite previously meeting standards for cultural competency, in recent years LFT has faced challenges in implementing the updated cultural criteria in Ngā Paerewa. In 2020, LFT developed </w:t>
            </w:r>
            <w:r w:rsidR="002A3DCD">
              <w:t xml:space="preserve">their </w:t>
            </w:r>
            <w:r>
              <w:t xml:space="preserve">Māori Health </w:t>
            </w:r>
            <w:r w:rsidR="003A6E3C">
              <w:t>Policy</w:t>
            </w:r>
            <w:r>
              <w:t xml:space="preserve">, </w:t>
            </w:r>
            <w:r w:rsidR="003A6E3C">
              <w:t xml:space="preserve">and established </w:t>
            </w:r>
            <w:r>
              <w:t xml:space="preserve">a Kapa Haka group and a Kaitiaki Roopu. However, the leadership group reflected on both the policy and its application and realised that LFT was not achieving the desired outcomes of the policy. The Kapa Haka group and Kaitiaki Roopu were not well supported and became defunct, and intentions to provide cultural support were often considered ‘too hard’ due to a lack of planning and confidence. Additionally, </w:t>
            </w:r>
            <w:r w:rsidR="003A6E3C">
              <w:t xml:space="preserve">LFT’s </w:t>
            </w:r>
            <w:r>
              <w:t xml:space="preserve">relationship with an external cultural advisory company ceased in 2020. </w:t>
            </w:r>
          </w:p>
          <w:p w14:paraId="51B97DE7" w14:textId="758D5134" w:rsidR="006867DB" w:rsidRDefault="006867DB" w:rsidP="00AE2215">
            <w:r>
              <w:t xml:space="preserve">Recognising these challenges, the Chief Executive was motivated to strengthen LFT’s focus on Te Tiriti o Waitangi and to meet the aspirations outlined in </w:t>
            </w:r>
            <w:r w:rsidR="003A6E3C">
              <w:t xml:space="preserve">its </w:t>
            </w:r>
            <w:r>
              <w:t>Māori Health Policy.</w:t>
            </w:r>
            <w:r w:rsidRPr="00C64EE0">
              <w:t xml:space="preserve"> </w:t>
            </w:r>
            <w:r>
              <w:t xml:space="preserve">A key enabler for LFT has been building relationships with mana whenua and the appointment of a </w:t>
            </w:r>
            <w:r w:rsidR="003A6E3C">
              <w:t>c</w:t>
            </w:r>
            <w:r>
              <w:t xml:space="preserve">ultural </w:t>
            </w:r>
            <w:r w:rsidR="003A6E3C">
              <w:t>a</w:t>
            </w:r>
            <w:r>
              <w:t>dvisor</w:t>
            </w:r>
            <w:r w:rsidR="003A6E3C">
              <w:t>,</w:t>
            </w:r>
            <w:r>
              <w:t xml:space="preserve"> also of mana whenua descent. </w:t>
            </w:r>
            <w:r w:rsidR="003A6E3C">
              <w:t xml:space="preserve">It developed a </w:t>
            </w:r>
            <w:r>
              <w:t xml:space="preserve">new </w:t>
            </w:r>
            <w:r w:rsidR="003A6E3C">
              <w:t>S</w:t>
            </w:r>
            <w:r>
              <w:t xml:space="preserve">trategic Māori </w:t>
            </w:r>
            <w:r w:rsidR="003A6E3C">
              <w:t>H</w:t>
            </w:r>
            <w:r>
              <w:t xml:space="preserve">ealth </w:t>
            </w:r>
            <w:r w:rsidR="003A6E3C">
              <w:t>P</w:t>
            </w:r>
            <w:r>
              <w:t>lan, which included the mission</w:t>
            </w:r>
            <w:r w:rsidRPr="003A6E3C">
              <w:t xml:space="preserve"> </w:t>
            </w:r>
            <w:r w:rsidRPr="003A6E3C">
              <w:rPr>
                <w:b/>
                <w:bCs/>
              </w:rPr>
              <w:t>‘</w:t>
            </w:r>
            <w:r w:rsidRPr="002C48BB">
              <w:rPr>
                <w:b/>
                <w:bCs/>
              </w:rPr>
              <w:t xml:space="preserve">Te āta whakauruuru me te whakaohaoha i ngā anganga katoa o te ao </w:t>
            </w:r>
            <w:r w:rsidR="00AD3C8B">
              <w:t>|</w:t>
            </w:r>
            <w:r w:rsidR="00AD3C8B" w:rsidRPr="002C48BB">
              <w:rPr>
                <w:b/>
                <w:bCs/>
              </w:rPr>
              <w:t xml:space="preserve"> </w:t>
            </w:r>
            <w:r w:rsidRPr="002C48BB">
              <w:t>To inspire opportunities and belonging’</w:t>
            </w:r>
            <w:r>
              <w:rPr>
                <w:i/>
                <w:iCs/>
              </w:rPr>
              <w:t>.</w:t>
            </w:r>
            <w:r>
              <w:rPr>
                <w:b/>
                <w:bCs/>
                <w:i/>
                <w:iCs/>
              </w:rPr>
              <w:t xml:space="preserve"> </w:t>
            </w:r>
            <w:r>
              <w:t xml:space="preserve">The plan includes specific targets and timeframes to achieve </w:t>
            </w:r>
            <w:r w:rsidR="003A6E3C">
              <w:t xml:space="preserve">LFT’s </w:t>
            </w:r>
            <w:r>
              <w:t>mission statement</w:t>
            </w:r>
            <w:r w:rsidRPr="002C48BB">
              <w:rPr>
                <w:i/>
                <w:iCs/>
              </w:rPr>
              <w:t xml:space="preserve"> –</w:t>
            </w:r>
            <w:r w:rsidRPr="00E06968">
              <w:rPr>
                <w:b/>
                <w:bCs/>
                <w:i/>
                <w:iCs/>
              </w:rPr>
              <w:t xml:space="preserve"> </w:t>
            </w:r>
            <w:r w:rsidRPr="002C48BB">
              <w:rPr>
                <w:b/>
                <w:bCs/>
              </w:rPr>
              <w:t>‘To build a strong whakapapa philosophy’</w:t>
            </w:r>
            <w:r w:rsidRPr="003A6E3C">
              <w:t>.</w:t>
            </w:r>
            <w:r>
              <w:t xml:space="preserve"> </w:t>
            </w:r>
          </w:p>
          <w:p w14:paraId="541FD884" w14:textId="4AF5815E" w:rsidR="006867DB" w:rsidRDefault="006867DB" w:rsidP="00AE2215">
            <w:r>
              <w:lastRenderedPageBreak/>
              <w:t xml:space="preserve">The </w:t>
            </w:r>
            <w:r w:rsidR="003A6E3C">
              <w:t>S</w:t>
            </w:r>
            <w:r>
              <w:t xml:space="preserve">trategic Māori </w:t>
            </w:r>
            <w:r w:rsidR="003A6E3C">
              <w:t>H</w:t>
            </w:r>
            <w:r>
              <w:t xml:space="preserve">ealth </w:t>
            </w:r>
            <w:r w:rsidR="00AD3C8B">
              <w:t>P</w:t>
            </w:r>
            <w:r>
              <w:t>lan has kick-started several key initiatives since its establishment. Examples include the re</w:t>
            </w:r>
            <w:r>
              <w:noBreakHyphen/>
              <w:t xml:space="preserve">establishment of the Kapa Haka Group and Kaitiaki Roopu, social initiatives run by the </w:t>
            </w:r>
            <w:r w:rsidR="00AD3C8B">
              <w:t>c</w:t>
            </w:r>
            <w:r>
              <w:t xml:space="preserve">ultural </w:t>
            </w:r>
            <w:r w:rsidR="00AD3C8B">
              <w:t>a</w:t>
            </w:r>
            <w:r>
              <w:t xml:space="preserve">dvisor and the use of Te Whare Tapa Whā </w:t>
            </w:r>
            <w:r w:rsidR="00AD3C8B">
              <w:t xml:space="preserve">as a </w:t>
            </w:r>
            <w:r>
              <w:t xml:space="preserve">model to support staff and residents with their wellbeing. LFT </w:t>
            </w:r>
            <w:r w:rsidR="00AD3C8B">
              <w:t xml:space="preserve">has </w:t>
            </w:r>
            <w:r>
              <w:t xml:space="preserve">also improved the use of signage in </w:t>
            </w:r>
            <w:r w:rsidR="00AD3C8B">
              <w:t>t</w:t>
            </w:r>
            <w:r>
              <w:t xml:space="preserve">e </w:t>
            </w:r>
            <w:r w:rsidR="00AD3C8B">
              <w:t>r</w:t>
            </w:r>
            <w:r>
              <w:t>eo</w:t>
            </w:r>
            <w:r w:rsidR="00AD3C8B">
              <w:t xml:space="preserve"> Māori</w:t>
            </w:r>
            <w:r>
              <w:t xml:space="preserve">, </w:t>
            </w:r>
            <w:r w:rsidR="00AD3C8B">
              <w:t xml:space="preserve">uses more </w:t>
            </w:r>
            <w:r>
              <w:t xml:space="preserve">salutations </w:t>
            </w:r>
            <w:r w:rsidR="00AD3C8B">
              <w:t xml:space="preserve">in te reo Māori </w:t>
            </w:r>
            <w:r>
              <w:t xml:space="preserve">in correspondence, </w:t>
            </w:r>
            <w:r w:rsidR="00AD3C8B">
              <w:t xml:space="preserve">provides </w:t>
            </w:r>
            <w:r>
              <w:t xml:space="preserve">weekly education prompts </w:t>
            </w:r>
            <w:r w:rsidR="00AD3C8B">
              <w:t xml:space="preserve">in an </w:t>
            </w:r>
            <w:r>
              <w:t xml:space="preserve">email headed </w:t>
            </w:r>
            <w:r w:rsidR="00AD3C8B">
              <w:t>‘</w:t>
            </w:r>
            <w:r>
              <w:t>Kupu o te R</w:t>
            </w:r>
            <w:r w:rsidR="00AD3C8B">
              <w:rPr>
                <w:rFonts w:cs="Arial"/>
              </w:rPr>
              <w:t>ā</w:t>
            </w:r>
            <w:r w:rsidR="00AD3C8B">
              <w:t>’</w:t>
            </w:r>
            <w:r>
              <w:t xml:space="preserve"> </w:t>
            </w:r>
            <w:r w:rsidR="000344C3">
              <w:t>(</w:t>
            </w:r>
            <w:r>
              <w:t>Word of the Day</w:t>
            </w:r>
            <w:r w:rsidR="000344C3">
              <w:t>)</w:t>
            </w:r>
            <w:r>
              <w:t xml:space="preserve"> and </w:t>
            </w:r>
            <w:r w:rsidR="00AD3C8B">
              <w:t xml:space="preserve">conducts </w:t>
            </w:r>
            <w:r>
              <w:t xml:space="preserve">initial engagement </w:t>
            </w:r>
            <w:r w:rsidR="00AD3C8B">
              <w:t xml:space="preserve">with </w:t>
            </w:r>
            <w:r>
              <w:t xml:space="preserve">community clients in their homes with the support of the </w:t>
            </w:r>
            <w:r w:rsidR="00AD3C8B">
              <w:t>a</w:t>
            </w:r>
            <w:r>
              <w:t xml:space="preserve">llied </w:t>
            </w:r>
            <w:r w:rsidR="00AD3C8B">
              <w:t>h</w:t>
            </w:r>
            <w:r>
              <w:t>ealth team.</w:t>
            </w:r>
          </w:p>
          <w:p w14:paraId="64C2125F" w14:textId="77E91934" w:rsidR="006867DB" w:rsidRDefault="006867DB" w:rsidP="00AE2215">
            <w:r>
              <w:t xml:space="preserve">LFT has received a lot of </w:t>
            </w:r>
            <w:r w:rsidRPr="00217C24">
              <w:t xml:space="preserve">positive feedback from </w:t>
            </w:r>
            <w:r>
              <w:t>staff and service users alike about</w:t>
            </w:r>
            <w:r w:rsidRPr="00217C24">
              <w:t xml:space="preserve"> the</w:t>
            </w:r>
            <w:r>
              <w:t xml:space="preserve"> recent</w:t>
            </w:r>
            <w:r w:rsidRPr="00217C24">
              <w:t xml:space="preserve"> </w:t>
            </w:r>
            <w:r>
              <w:t xml:space="preserve">improvements to </w:t>
            </w:r>
            <w:r w:rsidR="00AD3C8B">
              <w:t xml:space="preserve">its </w:t>
            </w:r>
            <w:r w:rsidRPr="00217C24">
              <w:t xml:space="preserve">cultural support. </w:t>
            </w:r>
            <w:r>
              <w:t>With this solid foundation, LFT is finding that s</w:t>
            </w:r>
            <w:r w:rsidRPr="00217C24">
              <w:t xml:space="preserve">pontaneous initiatives are occurring and are coming from the ground up. Staff are independently supporting the cultural needs of </w:t>
            </w:r>
            <w:r>
              <w:t>their</w:t>
            </w:r>
            <w:r w:rsidRPr="00217C24">
              <w:t xml:space="preserve"> clients and each other, as evidenced in meeting minutes and general discussion. A recent survey of both residents and staff has produced </w:t>
            </w:r>
            <w:r>
              <w:t xml:space="preserve">positive themes about the sense of awareness </w:t>
            </w:r>
            <w:r w:rsidR="000344C3">
              <w:t xml:space="preserve">of </w:t>
            </w:r>
            <w:r>
              <w:t xml:space="preserve">the importance of culture and </w:t>
            </w:r>
            <w:r w:rsidR="00AD3C8B">
              <w:t>t</w:t>
            </w:r>
            <w:r>
              <w:t xml:space="preserve">e </w:t>
            </w:r>
            <w:r w:rsidR="00AD3C8B">
              <w:t>r</w:t>
            </w:r>
            <w:r>
              <w:t>eo</w:t>
            </w:r>
            <w:r w:rsidR="00AD3C8B">
              <w:t xml:space="preserve"> Māori</w:t>
            </w:r>
            <w:r>
              <w:t xml:space="preserve">, and residents have reported a deeper connection with their Māori heritage. There is a sense of excitement about further engagement, and staff feel more confident </w:t>
            </w:r>
            <w:r w:rsidR="000344C3">
              <w:t>about being</w:t>
            </w:r>
            <w:r>
              <w:t xml:space="preserve"> culturally sensitive in interactions and supports.  </w:t>
            </w:r>
          </w:p>
          <w:p w14:paraId="0447BF3A" w14:textId="64FC2A44" w:rsidR="006867DB" w:rsidRDefault="006867DB" w:rsidP="00AE2215">
            <w:r>
              <w:t>The relationship with mana whenua and improved cultural support ha</w:t>
            </w:r>
            <w:r w:rsidR="00AD3C8B">
              <w:t>ve</w:t>
            </w:r>
            <w:r>
              <w:t xml:space="preserve"> had a significant positive impact on staff and residents, and they look forward to continuing to work </w:t>
            </w:r>
            <w:r w:rsidR="00AD3C8B">
              <w:t xml:space="preserve">on </w:t>
            </w:r>
            <w:r>
              <w:t>enhanc</w:t>
            </w:r>
            <w:r w:rsidR="00AD3C8B">
              <w:t>ing</w:t>
            </w:r>
            <w:r>
              <w:t xml:space="preserve"> this approach.</w:t>
            </w:r>
          </w:p>
          <w:p w14:paraId="4F7FB916" w14:textId="16CB87D0" w:rsidR="006867DB" w:rsidRPr="00DC4471" w:rsidRDefault="006867DB" w:rsidP="00AE2215">
            <w:r>
              <w:t xml:space="preserve">If you would like to contact someone at LFT, </w:t>
            </w:r>
            <w:r w:rsidR="00AD3C8B">
              <w:t>email</w:t>
            </w:r>
            <w:r>
              <w:t xml:space="preserve"> Marama Puketapu at </w:t>
            </w:r>
            <w:hyperlink r:id="rId26" w:history="1">
              <w:r w:rsidRPr="00DC4471">
                <w:rPr>
                  <w:rStyle w:val="Hyperlink"/>
                </w:rPr>
                <w:t>marama.puketapu@lft.org.nz</w:t>
              </w:r>
            </w:hyperlink>
            <w:r>
              <w:t xml:space="preserve"> or </w:t>
            </w:r>
            <w:r w:rsidR="00AD3C8B">
              <w:t>call her on</w:t>
            </w:r>
            <w:r>
              <w:t xml:space="preserve"> </w:t>
            </w:r>
            <w:r w:rsidRPr="00DC4471">
              <w:t>021 2222 922</w:t>
            </w:r>
            <w:r>
              <w:t xml:space="preserve">. </w:t>
            </w:r>
          </w:p>
          <w:p w14:paraId="487A75EC" w14:textId="77777777" w:rsidR="006867DB" w:rsidRPr="00210871" w:rsidRDefault="006867DB" w:rsidP="002C48BB">
            <w:pPr>
              <w:pStyle w:val="Heading2"/>
              <w:rPr>
                <w:rStyle w:val="Hyperlink"/>
              </w:rPr>
            </w:pPr>
            <w:r>
              <w:t>Invitation to submit success stories</w:t>
            </w:r>
          </w:p>
          <w:p w14:paraId="1D0AA924" w14:textId="5F13984E" w:rsidR="006867DB" w:rsidRDefault="006867DB" w:rsidP="00B36423">
            <w:pPr>
              <w:autoSpaceDE w:val="0"/>
              <w:autoSpaceDN w:val="0"/>
              <w:adjustRightInd w:val="0"/>
              <w:spacing w:after="200" w:line="276" w:lineRule="auto"/>
              <w:rPr>
                <w:rFonts w:eastAsia="Calibri" w:cs="Times New Roman"/>
              </w:rPr>
            </w:pPr>
            <w:r>
              <w:rPr>
                <w:rFonts w:eastAsia="Calibri" w:cs="Times New Roman"/>
              </w:rPr>
              <w:t xml:space="preserve">You can submit a success story to include in the next issue of the bulletin. Tell us your stories of innovation and endeavours in continuous quality improvement. </w:t>
            </w:r>
          </w:p>
          <w:p w14:paraId="08A45014" w14:textId="3D078BB7" w:rsidR="006867DB" w:rsidRDefault="006867DB" w:rsidP="00B36423">
            <w:r>
              <w:rPr>
                <w:rFonts w:eastAsia="Calibri" w:cs="Times New Roman"/>
              </w:rPr>
              <w:t xml:space="preserve">Email your stories to us at </w:t>
            </w:r>
            <w:hyperlink r:id="rId27" w:history="1">
              <w:r>
                <w:rPr>
                  <w:rStyle w:val="Hyperlink"/>
                  <w:rFonts w:eastAsia="Calibri" w:cs="Times New Roman"/>
                  <w:color w:val="ED7D31" w:themeColor="accent2"/>
                </w:rPr>
                <w:t>certification@health.govt.nz</w:t>
              </w:r>
            </w:hyperlink>
            <w:r>
              <w:rPr>
                <w:rFonts w:eastAsia="Calibri" w:cs="Times New Roman"/>
              </w:rPr>
              <w:t>.</w:t>
            </w:r>
          </w:p>
          <w:p w14:paraId="06E5A214" w14:textId="77777777" w:rsidR="006867DB" w:rsidRDefault="006867DB" w:rsidP="0051154C"/>
          <w:p w14:paraId="20915EF8" w14:textId="4FF676B4" w:rsidR="006867DB" w:rsidRPr="00B51E0D" w:rsidRDefault="006867DB" w:rsidP="006D104A">
            <w:pPr>
              <w:spacing w:before="240" w:after="0" w:line="276" w:lineRule="auto"/>
              <w:rPr>
                <w:rFonts w:eastAsia="Calibri" w:cs="Times New Roman"/>
                <w:spacing w:val="-2"/>
                <w:lang w:eastAsia="en-GB"/>
              </w:rPr>
            </w:pPr>
          </w:p>
        </w:tc>
      </w:tr>
    </w:tbl>
    <w:p w14:paraId="6FF0A186" w14:textId="20CEF1E1" w:rsidR="00B51E0D" w:rsidRPr="008F42D0" w:rsidRDefault="00B51E0D" w:rsidP="00AB067D">
      <w:pPr>
        <w:tabs>
          <w:tab w:val="left" w:pos="9444"/>
        </w:tabs>
        <w:autoSpaceDE w:val="0"/>
        <w:autoSpaceDN w:val="0"/>
        <w:adjustRightInd w:val="0"/>
        <w:spacing w:after="200" w:line="276" w:lineRule="auto"/>
        <w:rPr>
          <w:rFonts w:eastAsia="Calibri" w:cs="Times New Roman"/>
        </w:rPr>
      </w:pPr>
    </w:p>
    <w:sectPr w:rsidR="00B51E0D" w:rsidRPr="008F42D0" w:rsidSect="00EE3810">
      <w:headerReference w:type="even" r:id="rId28"/>
      <w:headerReference w:type="default" r:id="rId29"/>
      <w:footerReference w:type="even" r:id="rId30"/>
      <w:footerReference w:type="default" r:id="rId31"/>
      <w:headerReference w:type="first" r:id="rId32"/>
      <w:footerReference w:type="first" r:id="rId33"/>
      <w:pgSz w:w="11907" w:h="16834" w:code="9"/>
      <w:pgMar w:top="1773" w:right="851" w:bottom="709" w:left="851" w:header="142" w:footer="28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E4315" w14:textId="77777777" w:rsidR="00F73F37" w:rsidRDefault="00F73F37" w:rsidP="00B51E0D">
      <w:pPr>
        <w:spacing w:after="0" w:line="240" w:lineRule="auto"/>
      </w:pPr>
      <w:r>
        <w:separator/>
      </w:r>
    </w:p>
    <w:p w14:paraId="01505A98" w14:textId="77777777" w:rsidR="00F73F37" w:rsidRDefault="00F73F37"/>
  </w:endnote>
  <w:endnote w:type="continuationSeparator" w:id="0">
    <w:p w14:paraId="3A67C915" w14:textId="77777777" w:rsidR="00F73F37" w:rsidRDefault="00F73F37" w:rsidP="00B51E0D">
      <w:pPr>
        <w:spacing w:after="0" w:line="240" w:lineRule="auto"/>
      </w:pPr>
      <w:r>
        <w:continuationSeparator/>
      </w:r>
    </w:p>
    <w:p w14:paraId="3A99F299" w14:textId="77777777" w:rsidR="00F73F37" w:rsidRDefault="00F73F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201D0" w14:textId="77777777" w:rsidR="00B521AB" w:rsidRDefault="00A17BB6" w:rsidP="00B81F33">
    <w:pPr>
      <w:pStyle w:val="Footer"/>
      <w:tabs>
        <w:tab w:val="center" w:pos="5102"/>
        <w:tab w:val="right" w:pos="10205"/>
      </w:tabs>
    </w:pPr>
    <w:r>
      <w:t>[Type text]</w:t>
    </w:r>
    <w:r>
      <w:tab/>
      <w:t>[Type text]</w:t>
    </w:r>
    <w:r>
      <w:tab/>
      <w:t>[Type text]</w:t>
    </w:r>
  </w:p>
  <w:p w14:paraId="2CCC5892" w14:textId="77777777" w:rsidR="008F7396" w:rsidRDefault="008F73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340" w:type="dxa"/>
      <w:tblInd w:w="-459" w:type="dxa"/>
      <w:shd w:val="clear" w:color="auto" w:fill="44546A" w:themeFill="text2"/>
      <w:tblLayout w:type="fixed"/>
      <w:tblLook w:val="04A0" w:firstRow="1" w:lastRow="0" w:firstColumn="1" w:lastColumn="0" w:noHBand="0" w:noVBand="1"/>
    </w:tblPr>
    <w:tblGrid>
      <w:gridCol w:w="3663"/>
      <w:gridCol w:w="3663"/>
      <w:gridCol w:w="4014"/>
    </w:tblGrid>
    <w:tr w:rsidR="00B521AB" w:rsidRPr="00354367" w14:paraId="7712F9BE" w14:textId="77777777" w:rsidTr="00210871">
      <w:trPr>
        <w:cantSplit/>
      </w:trPr>
      <w:tc>
        <w:tcPr>
          <w:tcW w:w="3663" w:type="dxa"/>
          <w:shd w:val="clear" w:color="auto" w:fill="44546A" w:themeFill="text2"/>
          <w:vAlign w:val="center"/>
        </w:tcPr>
        <w:p w14:paraId="313E728F" w14:textId="77777777" w:rsidR="00B521AB" w:rsidRPr="00F06CE5" w:rsidRDefault="00A17BB6" w:rsidP="00B81F33">
          <w:pPr>
            <w:pStyle w:val="TableText"/>
            <w:spacing w:before="240" w:after="240"/>
            <w:ind w:left="459"/>
            <w:rPr>
              <w:rFonts w:ascii="Georgia" w:hAnsi="Georgia"/>
              <w:color w:val="FFFFFF"/>
              <w:sz w:val="24"/>
              <w:szCs w:val="24"/>
            </w:rPr>
          </w:pPr>
          <w:r w:rsidRPr="00F06CE5">
            <w:rPr>
              <w:rFonts w:ascii="Georgia" w:hAnsi="Georgia"/>
              <w:color w:val="FFFFFF"/>
              <w:sz w:val="24"/>
              <w:szCs w:val="24"/>
            </w:rPr>
            <w:t>HealthCERT Bulletin</w:t>
          </w:r>
        </w:p>
      </w:tc>
      <w:tc>
        <w:tcPr>
          <w:tcW w:w="3663" w:type="dxa"/>
          <w:shd w:val="clear" w:color="auto" w:fill="44546A" w:themeFill="text2"/>
          <w:vAlign w:val="center"/>
        </w:tcPr>
        <w:p w14:paraId="43BD9C5C" w14:textId="77777777" w:rsidR="00B521AB" w:rsidRPr="00F06CE5" w:rsidRDefault="00A17BB6" w:rsidP="00B81F33">
          <w:pPr>
            <w:pStyle w:val="TableText"/>
            <w:spacing w:before="0" w:after="0"/>
            <w:jc w:val="center"/>
            <w:rPr>
              <w:rFonts w:ascii="Georgia" w:hAnsi="Georgia"/>
              <w:color w:val="FFFFFF"/>
              <w:sz w:val="36"/>
              <w:szCs w:val="36"/>
            </w:rPr>
          </w:pPr>
          <w:r w:rsidRPr="00F06CE5">
            <w:rPr>
              <w:rFonts w:ascii="Georgia" w:hAnsi="Georgia"/>
              <w:color w:val="FFFFFF"/>
              <w:sz w:val="36"/>
              <w:szCs w:val="36"/>
            </w:rPr>
            <w:fldChar w:fldCharType="begin"/>
          </w:r>
          <w:r w:rsidRPr="00F06CE5">
            <w:rPr>
              <w:rFonts w:ascii="Georgia" w:hAnsi="Georgia"/>
              <w:color w:val="FFFFFF"/>
              <w:sz w:val="36"/>
              <w:szCs w:val="36"/>
            </w:rPr>
            <w:instrText xml:space="preserve"> PAGE   \* MERGEFORMAT </w:instrText>
          </w:r>
          <w:r w:rsidRPr="00F06CE5">
            <w:rPr>
              <w:rFonts w:ascii="Georgia" w:hAnsi="Georgia"/>
              <w:color w:val="FFFFFF"/>
              <w:sz w:val="36"/>
              <w:szCs w:val="36"/>
            </w:rPr>
            <w:fldChar w:fldCharType="separate"/>
          </w:r>
          <w:r>
            <w:rPr>
              <w:rFonts w:ascii="Georgia" w:hAnsi="Georgia"/>
              <w:noProof/>
              <w:color w:val="FFFFFF"/>
              <w:sz w:val="36"/>
              <w:szCs w:val="36"/>
            </w:rPr>
            <w:t>4</w:t>
          </w:r>
          <w:r w:rsidRPr="00F06CE5">
            <w:rPr>
              <w:rFonts w:ascii="Georgia" w:hAnsi="Georgia"/>
              <w:noProof/>
              <w:color w:val="FFFFFF"/>
              <w:sz w:val="36"/>
              <w:szCs w:val="36"/>
            </w:rPr>
            <w:fldChar w:fldCharType="end"/>
          </w:r>
        </w:p>
      </w:tc>
      <w:tc>
        <w:tcPr>
          <w:tcW w:w="4014" w:type="dxa"/>
          <w:shd w:val="clear" w:color="auto" w:fill="44546A" w:themeFill="text2"/>
          <w:vAlign w:val="center"/>
        </w:tcPr>
        <w:p w14:paraId="5C24490A" w14:textId="1925E672" w:rsidR="00B521AB" w:rsidRPr="00F06CE5" w:rsidRDefault="00A17BB6" w:rsidP="00A23EF1">
          <w:pPr>
            <w:pStyle w:val="TableText"/>
            <w:spacing w:before="240" w:after="240"/>
            <w:ind w:right="459"/>
            <w:jc w:val="right"/>
            <w:rPr>
              <w:rFonts w:ascii="Georgia" w:hAnsi="Georgia"/>
              <w:color w:val="FFFFFF"/>
              <w:sz w:val="24"/>
              <w:szCs w:val="24"/>
            </w:rPr>
          </w:pPr>
          <w:r w:rsidRPr="00F06CE5">
            <w:rPr>
              <w:rFonts w:ascii="Georgia" w:hAnsi="Georgia"/>
              <w:color w:val="FFFFFF"/>
              <w:sz w:val="24"/>
              <w:szCs w:val="24"/>
            </w:rPr>
            <w:t xml:space="preserve">Issue </w:t>
          </w:r>
          <w:r w:rsidR="00BC7FAD">
            <w:rPr>
              <w:rFonts w:ascii="Georgia" w:hAnsi="Georgia"/>
              <w:color w:val="FFFFFF"/>
              <w:sz w:val="24"/>
              <w:szCs w:val="24"/>
            </w:rPr>
            <w:t>2</w:t>
          </w:r>
          <w:r w:rsidR="00BA1A10">
            <w:rPr>
              <w:rFonts w:ascii="Georgia" w:hAnsi="Georgia"/>
              <w:color w:val="FFFFFF"/>
              <w:sz w:val="24"/>
              <w:szCs w:val="24"/>
            </w:rPr>
            <w:t>9</w:t>
          </w:r>
          <w:r w:rsidRPr="00F06CE5">
            <w:rPr>
              <w:rFonts w:ascii="Georgia" w:hAnsi="Georgia"/>
              <w:color w:val="FFFFFF"/>
              <w:sz w:val="24"/>
              <w:szCs w:val="24"/>
            </w:rPr>
            <w:t xml:space="preserve">– </w:t>
          </w:r>
          <w:r w:rsidR="00BC7FAD">
            <w:rPr>
              <w:rFonts w:ascii="Georgia" w:hAnsi="Georgia"/>
              <w:color w:val="FFFFFF"/>
              <w:sz w:val="24"/>
              <w:szCs w:val="24"/>
            </w:rPr>
            <w:t xml:space="preserve">September </w:t>
          </w:r>
          <w:r w:rsidR="00B51E0D">
            <w:rPr>
              <w:rFonts w:ascii="Georgia" w:hAnsi="Georgia"/>
              <w:color w:val="FFFFFF"/>
              <w:sz w:val="24"/>
              <w:szCs w:val="24"/>
            </w:rPr>
            <w:t>202</w:t>
          </w:r>
          <w:r w:rsidR="00CC0C75">
            <w:rPr>
              <w:rFonts w:ascii="Georgia" w:hAnsi="Georgia"/>
              <w:color w:val="FFFFFF"/>
              <w:sz w:val="24"/>
              <w:szCs w:val="24"/>
            </w:rPr>
            <w:t>2</w:t>
          </w:r>
        </w:p>
      </w:tc>
    </w:tr>
  </w:tbl>
  <w:p w14:paraId="2E03EA8E" w14:textId="77777777" w:rsidR="00B521AB" w:rsidRPr="008235E0" w:rsidRDefault="00A17BB6" w:rsidP="00B81F33">
    <w:pPr>
      <w:pStyle w:val="Footer"/>
      <w:ind w:left="-284" w:right="-284"/>
      <w:rPr>
        <w:sz w:val="2"/>
        <w:szCs w:val="2"/>
      </w:rPr>
    </w:pPr>
    <w:r>
      <w:rPr>
        <w:sz w:val="2"/>
        <w:szCs w:val="2"/>
      </w:rPr>
      <w:t>\</w:t>
    </w:r>
  </w:p>
  <w:p w14:paraId="0DD4B295" w14:textId="77777777" w:rsidR="008F7396" w:rsidRDefault="008F739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459" w:type="dxa"/>
      <w:shd w:val="clear" w:color="auto" w:fill="44546A" w:themeFill="text2"/>
      <w:tblLayout w:type="fixed"/>
      <w:tblLook w:val="04A0" w:firstRow="1" w:lastRow="0" w:firstColumn="1" w:lastColumn="0" w:noHBand="0" w:noVBand="1"/>
    </w:tblPr>
    <w:tblGrid>
      <w:gridCol w:w="11341"/>
    </w:tblGrid>
    <w:tr w:rsidR="00B521AB" w:rsidRPr="00354367" w14:paraId="1B1DAC95" w14:textId="77777777" w:rsidTr="00210871">
      <w:trPr>
        <w:cantSplit/>
      </w:trPr>
      <w:tc>
        <w:tcPr>
          <w:tcW w:w="11341" w:type="dxa"/>
          <w:shd w:val="clear" w:color="auto" w:fill="44546A" w:themeFill="text2"/>
        </w:tcPr>
        <w:p w14:paraId="219CE584" w14:textId="77777777" w:rsidR="00B521AB" w:rsidRPr="00F06CE5" w:rsidRDefault="00A17BB6" w:rsidP="00B81F33">
          <w:pPr>
            <w:pStyle w:val="TableText"/>
            <w:spacing w:before="240" w:after="240"/>
            <w:jc w:val="center"/>
            <w:rPr>
              <w:rFonts w:ascii="Times New Roman" w:hAnsi="Times New Roman"/>
              <w:b/>
              <w:color w:val="FFFFFF"/>
              <w:sz w:val="28"/>
              <w:szCs w:val="28"/>
            </w:rPr>
          </w:pPr>
          <w:r w:rsidRPr="00F06CE5">
            <w:rPr>
              <w:rFonts w:ascii="Times New Roman" w:hAnsi="Times New Roman"/>
              <w:b/>
              <w:color w:val="FFFFFF"/>
              <w:sz w:val="28"/>
              <w:szCs w:val="28"/>
            </w:rPr>
            <w:t>health.govt.nz</w:t>
          </w:r>
        </w:p>
      </w:tc>
    </w:tr>
  </w:tbl>
  <w:p w14:paraId="5C72895F" w14:textId="77777777" w:rsidR="00B521AB" w:rsidRPr="00690A12" w:rsidRDefault="00F73F37" w:rsidP="00B81F33">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D7ACD" w14:textId="77777777" w:rsidR="00F73F37" w:rsidRDefault="00F73F37" w:rsidP="00B51E0D">
      <w:pPr>
        <w:spacing w:after="0" w:line="240" w:lineRule="auto"/>
      </w:pPr>
      <w:r>
        <w:separator/>
      </w:r>
    </w:p>
    <w:p w14:paraId="798CEBBA" w14:textId="77777777" w:rsidR="00F73F37" w:rsidRDefault="00F73F37"/>
  </w:footnote>
  <w:footnote w:type="continuationSeparator" w:id="0">
    <w:p w14:paraId="56EDD2F0" w14:textId="77777777" w:rsidR="00F73F37" w:rsidRDefault="00F73F37" w:rsidP="00B51E0D">
      <w:pPr>
        <w:spacing w:after="0" w:line="240" w:lineRule="auto"/>
      </w:pPr>
      <w:r>
        <w:continuationSeparator/>
      </w:r>
    </w:p>
    <w:p w14:paraId="7CC2151B" w14:textId="77777777" w:rsidR="00F73F37" w:rsidRDefault="00F73F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EB1E2" w14:textId="77777777" w:rsidR="001A1689" w:rsidRDefault="001A1689">
    <w:pPr>
      <w:pStyle w:val="Header"/>
    </w:pPr>
  </w:p>
  <w:p w14:paraId="0CD95DD3" w14:textId="77777777" w:rsidR="008F7396" w:rsidRDefault="008F73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53DFB" w14:textId="77777777" w:rsidR="001A1689" w:rsidRDefault="001A1689">
    <w:pPr>
      <w:pStyle w:val="Header"/>
    </w:pPr>
  </w:p>
  <w:p w14:paraId="7EDB1558" w14:textId="77777777" w:rsidR="008F7396" w:rsidRDefault="008F73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D3E35" w14:textId="690AB13C" w:rsidR="00EE3810" w:rsidRDefault="009C533E">
    <w:pPr>
      <w:pStyle w:val="Header"/>
    </w:pPr>
    <w:r>
      <w:rPr>
        <w:noProof/>
      </w:rPr>
      <w:drawing>
        <wp:anchor distT="0" distB="0" distL="114300" distR="114300" simplePos="0" relativeHeight="251660288" behindDoc="0" locked="0" layoutInCell="1" allowOverlap="1" wp14:anchorId="7B981C27" wp14:editId="15DFEA72">
          <wp:simplePos x="0" y="0"/>
          <wp:positionH relativeFrom="margin">
            <wp:posOffset>3775505</wp:posOffset>
          </wp:positionH>
          <wp:positionV relativeFrom="page">
            <wp:posOffset>176530</wp:posOffset>
          </wp:positionV>
          <wp:extent cx="1267009" cy="656076"/>
          <wp:effectExtent l="0" t="0" r="3175" b="4445"/>
          <wp:wrapNone/>
          <wp:docPr id="8" name="Graphic 8" descr="HealthCE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ealthCER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67009" cy="65607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08EA0BC2" wp14:editId="35830A62">
          <wp:simplePos x="0" y="0"/>
          <wp:positionH relativeFrom="page">
            <wp:posOffset>265471</wp:posOffset>
          </wp:positionH>
          <wp:positionV relativeFrom="page">
            <wp:posOffset>0</wp:posOffset>
          </wp:positionV>
          <wp:extent cx="7287107" cy="1030605"/>
          <wp:effectExtent l="0" t="0" r="3175" b="0"/>
          <wp:wrapNone/>
          <wp:docPr id="11" name="Picture 11" descr="New Zealand Government and Ministry of Health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New Zealand Government and Ministry of Health logos"/>
                  <pic:cNvPicPr/>
                </pic:nvPicPr>
                <pic:blipFill>
                  <a:blip r:embed="rId3">
                    <a:extLst>
                      <a:ext uri="{28A0092B-C50C-407E-A947-70E740481C1C}">
                        <a14:useLocalDpi xmlns:a14="http://schemas.microsoft.com/office/drawing/2010/main" val="0"/>
                      </a:ext>
                    </a:extLst>
                  </a:blip>
                  <a:stretch>
                    <a:fillRect/>
                  </a:stretch>
                </pic:blipFill>
                <pic:spPr>
                  <a:xfrm>
                    <a:off x="0" y="0"/>
                    <a:ext cx="7348308" cy="103926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5478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4DA5592"/>
    <w:lvl w:ilvl="0">
      <w:numFmt w:val="bullet"/>
      <w:lvlText w:val="*"/>
      <w:lvlJc w:val="left"/>
      <w:pPr>
        <w:ind w:left="0" w:firstLine="0"/>
      </w:pPr>
    </w:lvl>
  </w:abstractNum>
  <w:abstractNum w:abstractNumId="2" w15:restartNumberingAfterBreak="0">
    <w:nsid w:val="11675AB0"/>
    <w:multiLevelType w:val="multilevel"/>
    <w:tmpl w:val="C8F2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64803"/>
    <w:multiLevelType w:val="hybridMultilevel"/>
    <w:tmpl w:val="A69EA03A"/>
    <w:lvl w:ilvl="0" w:tplc="3FF03ACE">
      <w:start w:val="1"/>
      <w:numFmt w:val="bullet"/>
      <w:lvlText w:val="•"/>
      <w:lvlJc w:val="left"/>
      <w:pPr>
        <w:tabs>
          <w:tab w:val="num" w:pos="720"/>
        </w:tabs>
        <w:ind w:left="720" w:hanging="360"/>
      </w:pPr>
      <w:rPr>
        <w:rFonts w:ascii="Arial" w:hAnsi="Arial" w:hint="default"/>
      </w:rPr>
    </w:lvl>
    <w:lvl w:ilvl="1" w:tplc="6FC663A8" w:tentative="1">
      <w:start w:val="1"/>
      <w:numFmt w:val="bullet"/>
      <w:lvlText w:val="•"/>
      <w:lvlJc w:val="left"/>
      <w:pPr>
        <w:tabs>
          <w:tab w:val="num" w:pos="1440"/>
        </w:tabs>
        <w:ind w:left="1440" w:hanging="360"/>
      </w:pPr>
      <w:rPr>
        <w:rFonts w:ascii="Arial" w:hAnsi="Arial" w:hint="default"/>
      </w:rPr>
    </w:lvl>
    <w:lvl w:ilvl="2" w:tplc="B8D8B8AE" w:tentative="1">
      <w:start w:val="1"/>
      <w:numFmt w:val="bullet"/>
      <w:lvlText w:val="•"/>
      <w:lvlJc w:val="left"/>
      <w:pPr>
        <w:tabs>
          <w:tab w:val="num" w:pos="2160"/>
        </w:tabs>
        <w:ind w:left="2160" w:hanging="360"/>
      </w:pPr>
      <w:rPr>
        <w:rFonts w:ascii="Arial" w:hAnsi="Arial" w:hint="default"/>
      </w:rPr>
    </w:lvl>
    <w:lvl w:ilvl="3" w:tplc="97065C6E" w:tentative="1">
      <w:start w:val="1"/>
      <w:numFmt w:val="bullet"/>
      <w:lvlText w:val="•"/>
      <w:lvlJc w:val="left"/>
      <w:pPr>
        <w:tabs>
          <w:tab w:val="num" w:pos="2880"/>
        </w:tabs>
        <w:ind w:left="2880" w:hanging="360"/>
      </w:pPr>
      <w:rPr>
        <w:rFonts w:ascii="Arial" w:hAnsi="Arial" w:hint="default"/>
      </w:rPr>
    </w:lvl>
    <w:lvl w:ilvl="4" w:tplc="3C0E794C" w:tentative="1">
      <w:start w:val="1"/>
      <w:numFmt w:val="bullet"/>
      <w:lvlText w:val="•"/>
      <w:lvlJc w:val="left"/>
      <w:pPr>
        <w:tabs>
          <w:tab w:val="num" w:pos="3600"/>
        </w:tabs>
        <w:ind w:left="3600" w:hanging="360"/>
      </w:pPr>
      <w:rPr>
        <w:rFonts w:ascii="Arial" w:hAnsi="Arial" w:hint="default"/>
      </w:rPr>
    </w:lvl>
    <w:lvl w:ilvl="5" w:tplc="CA246B5E" w:tentative="1">
      <w:start w:val="1"/>
      <w:numFmt w:val="bullet"/>
      <w:lvlText w:val="•"/>
      <w:lvlJc w:val="left"/>
      <w:pPr>
        <w:tabs>
          <w:tab w:val="num" w:pos="4320"/>
        </w:tabs>
        <w:ind w:left="4320" w:hanging="360"/>
      </w:pPr>
      <w:rPr>
        <w:rFonts w:ascii="Arial" w:hAnsi="Arial" w:hint="default"/>
      </w:rPr>
    </w:lvl>
    <w:lvl w:ilvl="6" w:tplc="5A42E842" w:tentative="1">
      <w:start w:val="1"/>
      <w:numFmt w:val="bullet"/>
      <w:lvlText w:val="•"/>
      <w:lvlJc w:val="left"/>
      <w:pPr>
        <w:tabs>
          <w:tab w:val="num" w:pos="5040"/>
        </w:tabs>
        <w:ind w:left="5040" w:hanging="360"/>
      </w:pPr>
      <w:rPr>
        <w:rFonts w:ascii="Arial" w:hAnsi="Arial" w:hint="default"/>
      </w:rPr>
    </w:lvl>
    <w:lvl w:ilvl="7" w:tplc="D838756A" w:tentative="1">
      <w:start w:val="1"/>
      <w:numFmt w:val="bullet"/>
      <w:lvlText w:val="•"/>
      <w:lvlJc w:val="left"/>
      <w:pPr>
        <w:tabs>
          <w:tab w:val="num" w:pos="5760"/>
        </w:tabs>
        <w:ind w:left="5760" w:hanging="360"/>
      </w:pPr>
      <w:rPr>
        <w:rFonts w:ascii="Arial" w:hAnsi="Arial" w:hint="default"/>
      </w:rPr>
    </w:lvl>
    <w:lvl w:ilvl="8" w:tplc="C0CCED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AC6C84"/>
    <w:multiLevelType w:val="hybridMultilevel"/>
    <w:tmpl w:val="AB2AE8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2CC18F0"/>
    <w:multiLevelType w:val="multilevel"/>
    <w:tmpl w:val="8B782648"/>
    <w:lvl w:ilvl="0">
      <w:start w:val="1"/>
      <w:numFmt w:val="decimal"/>
      <w:lvlText w:val="%1"/>
      <w:lvlJc w:val="left"/>
      <w:pPr>
        <w:tabs>
          <w:tab w:val="num" w:pos="851"/>
        </w:tabs>
        <w:ind w:left="851" w:hanging="851"/>
      </w:pPr>
      <w:rPr>
        <w:rFonts w:hint="default"/>
        <w:b/>
        <w:i w:val="0"/>
        <w:sz w:val="32"/>
      </w:rPr>
    </w:lvl>
    <w:lvl w:ilvl="1">
      <w:start w:val="1"/>
      <w:numFmt w:val="decimal"/>
      <w:lvlText w:val="%1.%2"/>
      <w:lvlJc w:val="left"/>
      <w:pPr>
        <w:tabs>
          <w:tab w:val="num" w:pos="851"/>
        </w:tabs>
        <w:ind w:left="851" w:hanging="851"/>
      </w:pPr>
      <w:rPr>
        <w:rFonts w:hint="default"/>
        <w:b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418"/>
        </w:tabs>
        <w:ind w:left="1418" w:hanging="567"/>
      </w:pPr>
      <w:rPr>
        <w:rFonts w:ascii="Symbol" w:hAnsi="Symbol" w:hint="default"/>
      </w:rPr>
    </w:lvl>
    <w:lvl w:ilvl="3">
      <w:start w:val="1"/>
      <w:numFmt w:val="lowerRoman"/>
      <w:lvlText w:val="%4."/>
      <w:lvlJc w:val="left"/>
      <w:pPr>
        <w:ind w:left="1985" w:hanging="56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2D7594A"/>
    <w:multiLevelType w:val="hybridMultilevel"/>
    <w:tmpl w:val="48F8B1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D28167C"/>
    <w:multiLevelType w:val="hybridMultilevel"/>
    <w:tmpl w:val="75F22DB2"/>
    <w:lvl w:ilvl="0" w:tplc="5F9A2EDC">
      <w:start w:val="1"/>
      <w:numFmt w:val="bullet"/>
      <w:lvlText w:val="•"/>
      <w:lvlJc w:val="left"/>
      <w:pPr>
        <w:tabs>
          <w:tab w:val="num" w:pos="720"/>
        </w:tabs>
        <w:ind w:left="720" w:hanging="360"/>
      </w:pPr>
      <w:rPr>
        <w:rFonts w:ascii="Arial" w:hAnsi="Arial" w:hint="default"/>
      </w:rPr>
    </w:lvl>
    <w:lvl w:ilvl="1" w:tplc="28D6EAF4">
      <w:numFmt w:val="bullet"/>
      <w:lvlText w:val="•"/>
      <w:lvlJc w:val="left"/>
      <w:pPr>
        <w:tabs>
          <w:tab w:val="num" w:pos="1440"/>
        </w:tabs>
        <w:ind w:left="1440" w:hanging="360"/>
      </w:pPr>
      <w:rPr>
        <w:rFonts w:ascii="Arial" w:hAnsi="Arial" w:hint="default"/>
      </w:rPr>
    </w:lvl>
    <w:lvl w:ilvl="2" w:tplc="53B0F922" w:tentative="1">
      <w:start w:val="1"/>
      <w:numFmt w:val="bullet"/>
      <w:lvlText w:val="•"/>
      <w:lvlJc w:val="left"/>
      <w:pPr>
        <w:tabs>
          <w:tab w:val="num" w:pos="2160"/>
        </w:tabs>
        <w:ind w:left="2160" w:hanging="360"/>
      </w:pPr>
      <w:rPr>
        <w:rFonts w:ascii="Arial" w:hAnsi="Arial" w:hint="default"/>
      </w:rPr>
    </w:lvl>
    <w:lvl w:ilvl="3" w:tplc="3B1E4F56" w:tentative="1">
      <w:start w:val="1"/>
      <w:numFmt w:val="bullet"/>
      <w:lvlText w:val="•"/>
      <w:lvlJc w:val="left"/>
      <w:pPr>
        <w:tabs>
          <w:tab w:val="num" w:pos="2880"/>
        </w:tabs>
        <w:ind w:left="2880" w:hanging="360"/>
      </w:pPr>
      <w:rPr>
        <w:rFonts w:ascii="Arial" w:hAnsi="Arial" w:hint="default"/>
      </w:rPr>
    </w:lvl>
    <w:lvl w:ilvl="4" w:tplc="27E288AA" w:tentative="1">
      <w:start w:val="1"/>
      <w:numFmt w:val="bullet"/>
      <w:lvlText w:val="•"/>
      <w:lvlJc w:val="left"/>
      <w:pPr>
        <w:tabs>
          <w:tab w:val="num" w:pos="3600"/>
        </w:tabs>
        <w:ind w:left="3600" w:hanging="360"/>
      </w:pPr>
      <w:rPr>
        <w:rFonts w:ascii="Arial" w:hAnsi="Arial" w:hint="default"/>
      </w:rPr>
    </w:lvl>
    <w:lvl w:ilvl="5" w:tplc="45C0239A" w:tentative="1">
      <w:start w:val="1"/>
      <w:numFmt w:val="bullet"/>
      <w:lvlText w:val="•"/>
      <w:lvlJc w:val="left"/>
      <w:pPr>
        <w:tabs>
          <w:tab w:val="num" w:pos="4320"/>
        </w:tabs>
        <w:ind w:left="4320" w:hanging="360"/>
      </w:pPr>
      <w:rPr>
        <w:rFonts w:ascii="Arial" w:hAnsi="Arial" w:hint="default"/>
      </w:rPr>
    </w:lvl>
    <w:lvl w:ilvl="6" w:tplc="25D6ED88" w:tentative="1">
      <w:start w:val="1"/>
      <w:numFmt w:val="bullet"/>
      <w:lvlText w:val="•"/>
      <w:lvlJc w:val="left"/>
      <w:pPr>
        <w:tabs>
          <w:tab w:val="num" w:pos="5040"/>
        </w:tabs>
        <w:ind w:left="5040" w:hanging="360"/>
      </w:pPr>
      <w:rPr>
        <w:rFonts w:ascii="Arial" w:hAnsi="Arial" w:hint="default"/>
      </w:rPr>
    </w:lvl>
    <w:lvl w:ilvl="7" w:tplc="175A55AC" w:tentative="1">
      <w:start w:val="1"/>
      <w:numFmt w:val="bullet"/>
      <w:lvlText w:val="•"/>
      <w:lvlJc w:val="left"/>
      <w:pPr>
        <w:tabs>
          <w:tab w:val="num" w:pos="5760"/>
        </w:tabs>
        <w:ind w:left="5760" w:hanging="360"/>
      </w:pPr>
      <w:rPr>
        <w:rFonts w:ascii="Arial" w:hAnsi="Arial" w:hint="default"/>
      </w:rPr>
    </w:lvl>
    <w:lvl w:ilvl="8" w:tplc="F9DC084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D1164C5"/>
    <w:multiLevelType w:val="hybridMultilevel"/>
    <w:tmpl w:val="66647C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6C21E99"/>
    <w:multiLevelType w:val="multilevel"/>
    <w:tmpl w:val="28AA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924523"/>
    <w:multiLevelType w:val="hybridMultilevel"/>
    <w:tmpl w:val="13A26B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B831E9D"/>
    <w:multiLevelType w:val="hybridMultilevel"/>
    <w:tmpl w:val="2B04C49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1"/>
  </w:num>
  <w:num w:numId="2">
    <w:abstractNumId w:val="1"/>
    <w:lvlOverride w:ilvl="0">
      <w:lvl w:ilvl="0">
        <w:numFmt w:val="decimal"/>
        <w:lvlText w:val=""/>
        <w:legacy w:legacy="1" w:legacySpace="0" w:legacyIndent="0"/>
        <w:lvlJc w:val="left"/>
        <w:pPr>
          <w:ind w:left="0" w:firstLine="0"/>
        </w:pPr>
        <w:rPr>
          <w:rFonts w:ascii="Symbol" w:hAnsi="Symbol" w:hint="default"/>
          <w:sz w:val="22"/>
        </w:rPr>
      </w:lvl>
    </w:lvlOverride>
  </w:num>
  <w:num w:numId="3">
    <w:abstractNumId w:val="10"/>
  </w:num>
  <w:num w:numId="4">
    <w:abstractNumId w:val="4"/>
  </w:num>
  <w:num w:numId="5">
    <w:abstractNumId w:val="8"/>
  </w:num>
  <w:num w:numId="6">
    <w:abstractNumId w:val="0"/>
  </w:num>
  <w:num w:numId="7">
    <w:abstractNumId w:val="3"/>
  </w:num>
  <w:num w:numId="8">
    <w:abstractNumId w:val="6"/>
  </w:num>
  <w:num w:numId="9">
    <w:abstractNumId w:val="5"/>
  </w:num>
  <w:num w:numId="10">
    <w:abstractNumId w:val="7"/>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0D"/>
    <w:rsid w:val="00001E59"/>
    <w:rsid w:val="00005F27"/>
    <w:rsid w:val="00010F66"/>
    <w:rsid w:val="000123F5"/>
    <w:rsid w:val="00012A4F"/>
    <w:rsid w:val="00013454"/>
    <w:rsid w:val="0001692F"/>
    <w:rsid w:val="0002190E"/>
    <w:rsid w:val="000245A0"/>
    <w:rsid w:val="0002601A"/>
    <w:rsid w:val="00026E62"/>
    <w:rsid w:val="000308B5"/>
    <w:rsid w:val="0003303F"/>
    <w:rsid w:val="000344C3"/>
    <w:rsid w:val="00034C65"/>
    <w:rsid w:val="0003625C"/>
    <w:rsid w:val="000375D2"/>
    <w:rsid w:val="00041797"/>
    <w:rsid w:val="0004203C"/>
    <w:rsid w:val="00042847"/>
    <w:rsid w:val="00042D80"/>
    <w:rsid w:val="000433DE"/>
    <w:rsid w:val="00043A1A"/>
    <w:rsid w:val="00043C76"/>
    <w:rsid w:val="00044FF4"/>
    <w:rsid w:val="00045BCC"/>
    <w:rsid w:val="000476D9"/>
    <w:rsid w:val="00047C51"/>
    <w:rsid w:val="000507F3"/>
    <w:rsid w:val="00050E8E"/>
    <w:rsid w:val="0005180F"/>
    <w:rsid w:val="0005303B"/>
    <w:rsid w:val="000533AA"/>
    <w:rsid w:val="000543B3"/>
    <w:rsid w:val="00055A5D"/>
    <w:rsid w:val="00056477"/>
    <w:rsid w:val="00061B6B"/>
    <w:rsid w:val="00061D64"/>
    <w:rsid w:val="00061E21"/>
    <w:rsid w:val="00062DE0"/>
    <w:rsid w:val="00062FA9"/>
    <w:rsid w:val="00064357"/>
    <w:rsid w:val="0006511E"/>
    <w:rsid w:val="0006727C"/>
    <w:rsid w:val="00067A25"/>
    <w:rsid w:val="00067CDE"/>
    <w:rsid w:val="000770E8"/>
    <w:rsid w:val="000774F9"/>
    <w:rsid w:val="00082375"/>
    <w:rsid w:val="00083C0A"/>
    <w:rsid w:val="000851A4"/>
    <w:rsid w:val="00085E55"/>
    <w:rsid w:val="00087831"/>
    <w:rsid w:val="00093ADC"/>
    <w:rsid w:val="00094110"/>
    <w:rsid w:val="00094BAF"/>
    <w:rsid w:val="00094D98"/>
    <w:rsid w:val="00095B1D"/>
    <w:rsid w:val="00096605"/>
    <w:rsid w:val="000A1F38"/>
    <w:rsid w:val="000A209F"/>
    <w:rsid w:val="000A2BD4"/>
    <w:rsid w:val="000B49C7"/>
    <w:rsid w:val="000B5C14"/>
    <w:rsid w:val="000B7116"/>
    <w:rsid w:val="000B7D57"/>
    <w:rsid w:val="000C27FF"/>
    <w:rsid w:val="000C3C1C"/>
    <w:rsid w:val="000C62FD"/>
    <w:rsid w:val="000C7E12"/>
    <w:rsid w:val="000D43E7"/>
    <w:rsid w:val="000D4DA9"/>
    <w:rsid w:val="000D60D2"/>
    <w:rsid w:val="000D6FE6"/>
    <w:rsid w:val="000D7516"/>
    <w:rsid w:val="000D7ACD"/>
    <w:rsid w:val="000E15B6"/>
    <w:rsid w:val="000E48A0"/>
    <w:rsid w:val="000E6545"/>
    <w:rsid w:val="000F142A"/>
    <w:rsid w:val="000F1A66"/>
    <w:rsid w:val="000F2116"/>
    <w:rsid w:val="000F249B"/>
    <w:rsid w:val="000F3C89"/>
    <w:rsid w:val="000F7EBA"/>
    <w:rsid w:val="00100BDB"/>
    <w:rsid w:val="00102753"/>
    <w:rsid w:val="00104171"/>
    <w:rsid w:val="00106990"/>
    <w:rsid w:val="00112021"/>
    <w:rsid w:val="001138D8"/>
    <w:rsid w:val="00117132"/>
    <w:rsid w:val="00123585"/>
    <w:rsid w:val="00125D72"/>
    <w:rsid w:val="00127DC6"/>
    <w:rsid w:val="00130CB8"/>
    <w:rsid w:val="0014048C"/>
    <w:rsid w:val="001464F7"/>
    <w:rsid w:val="00146CFA"/>
    <w:rsid w:val="00152417"/>
    <w:rsid w:val="00152636"/>
    <w:rsid w:val="0015273E"/>
    <w:rsid w:val="00153020"/>
    <w:rsid w:val="00154076"/>
    <w:rsid w:val="0015737E"/>
    <w:rsid w:val="001602B8"/>
    <w:rsid w:val="001604EE"/>
    <w:rsid w:val="0016350E"/>
    <w:rsid w:val="00165D33"/>
    <w:rsid w:val="00172442"/>
    <w:rsid w:val="0017292B"/>
    <w:rsid w:val="0017721C"/>
    <w:rsid w:val="001854B5"/>
    <w:rsid w:val="001951D6"/>
    <w:rsid w:val="00195622"/>
    <w:rsid w:val="001A1689"/>
    <w:rsid w:val="001A2D04"/>
    <w:rsid w:val="001A5C0B"/>
    <w:rsid w:val="001B099B"/>
    <w:rsid w:val="001B113E"/>
    <w:rsid w:val="001B1830"/>
    <w:rsid w:val="001B4B76"/>
    <w:rsid w:val="001C2480"/>
    <w:rsid w:val="001C40AC"/>
    <w:rsid w:val="001C60F7"/>
    <w:rsid w:val="001D1317"/>
    <w:rsid w:val="001D17ED"/>
    <w:rsid w:val="001D2EB6"/>
    <w:rsid w:val="001D3633"/>
    <w:rsid w:val="001D5493"/>
    <w:rsid w:val="001D5D34"/>
    <w:rsid w:val="001E1FF8"/>
    <w:rsid w:val="001E20EB"/>
    <w:rsid w:val="001E26F7"/>
    <w:rsid w:val="001F0AAD"/>
    <w:rsid w:val="001F4A59"/>
    <w:rsid w:val="0020110D"/>
    <w:rsid w:val="00201CEF"/>
    <w:rsid w:val="00201D49"/>
    <w:rsid w:val="00202E21"/>
    <w:rsid w:val="0020587C"/>
    <w:rsid w:val="00207A7E"/>
    <w:rsid w:val="00207E4B"/>
    <w:rsid w:val="00210871"/>
    <w:rsid w:val="00211D18"/>
    <w:rsid w:val="002120D1"/>
    <w:rsid w:val="00213DA5"/>
    <w:rsid w:val="002141A0"/>
    <w:rsid w:val="00214AB3"/>
    <w:rsid w:val="00215D64"/>
    <w:rsid w:val="00216071"/>
    <w:rsid w:val="00216459"/>
    <w:rsid w:val="00221A86"/>
    <w:rsid w:val="002226C9"/>
    <w:rsid w:val="0022772E"/>
    <w:rsid w:val="00230AA6"/>
    <w:rsid w:val="00233A7C"/>
    <w:rsid w:val="002345AD"/>
    <w:rsid w:val="00237613"/>
    <w:rsid w:val="002401FC"/>
    <w:rsid w:val="00243748"/>
    <w:rsid w:val="00244DF7"/>
    <w:rsid w:val="00250399"/>
    <w:rsid w:val="0025073B"/>
    <w:rsid w:val="00252C0C"/>
    <w:rsid w:val="00253065"/>
    <w:rsid w:val="002532BE"/>
    <w:rsid w:val="00255D93"/>
    <w:rsid w:val="00255FE8"/>
    <w:rsid w:val="0025787B"/>
    <w:rsid w:val="00260150"/>
    <w:rsid w:val="0026301D"/>
    <w:rsid w:val="00266484"/>
    <w:rsid w:val="002776B1"/>
    <w:rsid w:val="00277A31"/>
    <w:rsid w:val="00280891"/>
    <w:rsid w:val="00284045"/>
    <w:rsid w:val="00292202"/>
    <w:rsid w:val="002A17EF"/>
    <w:rsid w:val="002A2EA5"/>
    <w:rsid w:val="002A3DCD"/>
    <w:rsid w:val="002A5323"/>
    <w:rsid w:val="002A5501"/>
    <w:rsid w:val="002A6DF9"/>
    <w:rsid w:val="002A7941"/>
    <w:rsid w:val="002B345C"/>
    <w:rsid w:val="002B387E"/>
    <w:rsid w:val="002C1050"/>
    <w:rsid w:val="002C19D2"/>
    <w:rsid w:val="002C3A0E"/>
    <w:rsid w:val="002C44E9"/>
    <w:rsid w:val="002C48BB"/>
    <w:rsid w:val="002C5674"/>
    <w:rsid w:val="002C5ECD"/>
    <w:rsid w:val="002C6CC7"/>
    <w:rsid w:val="002C7A06"/>
    <w:rsid w:val="002C7B6E"/>
    <w:rsid w:val="002D356B"/>
    <w:rsid w:val="002D3A58"/>
    <w:rsid w:val="002E2D80"/>
    <w:rsid w:val="002E40DC"/>
    <w:rsid w:val="002F1046"/>
    <w:rsid w:val="002F10DE"/>
    <w:rsid w:val="002F1CCE"/>
    <w:rsid w:val="002F2E79"/>
    <w:rsid w:val="002F659B"/>
    <w:rsid w:val="00304915"/>
    <w:rsid w:val="00304B4C"/>
    <w:rsid w:val="00304F0B"/>
    <w:rsid w:val="00305FAD"/>
    <w:rsid w:val="00307A93"/>
    <w:rsid w:val="00310342"/>
    <w:rsid w:val="003106A3"/>
    <w:rsid w:val="00311103"/>
    <w:rsid w:val="003115F6"/>
    <w:rsid w:val="00312DC1"/>
    <w:rsid w:val="003138E2"/>
    <w:rsid w:val="00313CF0"/>
    <w:rsid w:val="003149F9"/>
    <w:rsid w:val="00321898"/>
    <w:rsid w:val="00321A6D"/>
    <w:rsid w:val="0032497D"/>
    <w:rsid w:val="00325A06"/>
    <w:rsid w:val="003279FC"/>
    <w:rsid w:val="00336A92"/>
    <w:rsid w:val="00346295"/>
    <w:rsid w:val="00350391"/>
    <w:rsid w:val="003563DB"/>
    <w:rsid w:val="00357339"/>
    <w:rsid w:val="00360D78"/>
    <w:rsid w:val="003628CF"/>
    <w:rsid w:val="00362FC2"/>
    <w:rsid w:val="00364209"/>
    <w:rsid w:val="00364264"/>
    <w:rsid w:val="00365129"/>
    <w:rsid w:val="00372DC7"/>
    <w:rsid w:val="003869CF"/>
    <w:rsid w:val="0038764D"/>
    <w:rsid w:val="00395582"/>
    <w:rsid w:val="00395FF1"/>
    <w:rsid w:val="003A359D"/>
    <w:rsid w:val="003A68D7"/>
    <w:rsid w:val="003A6E3C"/>
    <w:rsid w:val="003A7DF6"/>
    <w:rsid w:val="003B0DE2"/>
    <w:rsid w:val="003B1DC7"/>
    <w:rsid w:val="003B4131"/>
    <w:rsid w:val="003B6677"/>
    <w:rsid w:val="003D29B4"/>
    <w:rsid w:val="003D3581"/>
    <w:rsid w:val="003D65C7"/>
    <w:rsid w:val="003E479A"/>
    <w:rsid w:val="003E73A8"/>
    <w:rsid w:val="003E7A01"/>
    <w:rsid w:val="003E7DD9"/>
    <w:rsid w:val="003F0AD3"/>
    <w:rsid w:val="003F0BF8"/>
    <w:rsid w:val="003F1112"/>
    <w:rsid w:val="003F48DF"/>
    <w:rsid w:val="003F4C52"/>
    <w:rsid w:val="003F7549"/>
    <w:rsid w:val="00401600"/>
    <w:rsid w:val="004018B4"/>
    <w:rsid w:val="004023B0"/>
    <w:rsid w:val="0040388B"/>
    <w:rsid w:val="0040518C"/>
    <w:rsid w:val="00407890"/>
    <w:rsid w:val="00410AD9"/>
    <w:rsid w:val="004127D3"/>
    <w:rsid w:val="0041354E"/>
    <w:rsid w:val="004145C1"/>
    <w:rsid w:val="004146A4"/>
    <w:rsid w:val="00416495"/>
    <w:rsid w:val="00417205"/>
    <w:rsid w:val="004215CD"/>
    <w:rsid w:val="004220EE"/>
    <w:rsid w:val="00425C4F"/>
    <w:rsid w:val="00430290"/>
    <w:rsid w:val="00430BFB"/>
    <w:rsid w:val="00432A6B"/>
    <w:rsid w:val="00433CCE"/>
    <w:rsid w:val="0043459B"/>
    <w:rsid w:val="004360CB"/>
    <w:rsid w:val="00436EB6"/>
    <w:rsid w:val="00442C78"/>
    <w:rsid w:val="0044462A"/>
    <w:rsid w:val="004503A9"/>
    <w:rsid w:val="004503D8"/>
    <w:rsid w:val="00453BAA"/>
    <w:rsid w:val="0046145D"/>
    <w:rsid w:val="00467920"/>
    <w:rsid w:val="004679A2"/>
    <w:rsid w:val="00471F22"/>
    <w:rsid w:val="0047425C"/>
    <w:rsid w:val="00474498"/>
    <w:rsid w:val="00475898"/>
    <w:rsid w:val="00477659"/>
    <w:rsid w:val="0048277E"/>
    <w:rsid w:val="0048323E"/>
    <w:rsid w:val="00484CC9"/>
    <w:rsid w:val="004862BD"/>
    <w:rsid w:val="00487518"/>
    <w:rsid w:val="0049479C"/>
    <w:rsid w:val="004B6E8E"/>
    <w:rsid w:val="004C0525"/>
    <w:rsid w:val="004C5FA5"/>
    <w:rsid w:val="004D558D"/>
    <w:rsid w:val="004D5A19"/>
    <w:rsid w:val="004D6275"/>
    <w:rsid w:val="004E0356"/>
    <w:rsid w:val="004E1DF8"/>
    <w:rsid w:val="004E601C"/>
    <w:rsid w:val="004F2737"/>
    <w:rsid w:val="004F327A"/>
    <w:rsid w:val="004F4F8B"/>
    <w:rsid w:val="004F5999"/>
    <w:rsid w:val="005017D5"/>
    <w:rsid w:val="0050182E"/>
    <w:rsid w:val="00501871"/>
    <w:rsid w:val="0050752B"/>
    <w:rsid w:val="00510E80"/>
    <w:rsid w:val="0051154C"/>
    <w:rsid w:val="00515523"/>
    <w:rsid w:val="00515E1E"/>
    <w:rsid w:val="005171E2"/>
    <w:rsid w:val="00517D03"/>
    <w:rsid w:val="00523B24"/>
    <w:rsid w:val="00525106"/>
    <w:rsid w:val="005274CD"/>
    <w:rsid w:val="0053639E"/>
    <w:rsid w:val="005374CA"/>
    <w:rsid w:val="00542314"/>
    <w:rsid w:val="00545872"/>
    <w:rsid w:val="00546E23"/>
    <w:rsid w:val="00547AA4"/>
    <w:rsid w:val="00555779"/>
    <w:rsid w:val="00560D56"/>
    <w:rsid w:val="00571116"/>
    <w:rsid w:val="00575E47"/>
    <w:rsid w:val="00580207"/>
    <w:rsid w:val="005809DF"/>
    <w:rsid w:val="00580A57"/>
    <w:rsid w:val="005842B8"/>
    <w:rsid w:val="005878C5"/>
    <w:rsid w:val="00591FB3"/>
    <w:rsid w:val="00594527"/>
    <w:rsid w:val="005A447F"/>
    <w:rsid w:val="005A5AF2"/>
    <w:rsid w:val="005A5CB9"/>
    <w:rsid w:val="005B6901"/>
    <w:rsid w:val="005B763E"/>
    <w:rsid w:val="005C08A9"/>
    <w:rsid w:val="005C2131"/>
    <w:rsid w:val="005C388F"/>
    <w:rsid w:val="005C7292"/>
    <w:rsid w:val="005D1628"/>
    <w:rsid w:val="005D56B4"/>
    <w:rsid w:val="005D6E40"/>
    <w:rsid w:val="005D7058"/>
    <w:rsid w:val="005F114F"/>
    <w:rsid w:val="005F5F70"/>
    <w:rsid w:val="00602FD5"/>
    <w:rsid w:val="006032E3"/>
    <w:rsid w:val="00603694"/>
    <w:rsid w:val="006052B3"/>
    <w:rsid w:val="006071C3"/>
    <w:rsid w:val="006157C5"/>
    <w:rsid w:val="00617D39"/>
    <w:rsid w:val="006217D0"/>
    <w:rsid w:val="00627233"/>
    <w:rsid w:val="0062744E"/>
    <w:rsid w:val="00630F18"/>
    <w:rsid w:val="00631A4B"/>
    <w:rsid w:val="0063573E"/>
    <w:rsid w:val="0064171F"/>
    <w:rsid w:val="0064307F"/>
    <w:rsid w:val="00645521"/>
    <w:rsid w:val="006515B2"/>
    <w:rsid w:val="00651E65"/>
    <w:rsid w:val="00656E85"/>
    <w:rsid w:val="00657747"/>
    <w:rsid w:val="0066332D"/>
    <w:rsid w:val="00665982"/>
    <w:rsid w:val="00672D55"/>
    <w:rsid w:val="0067320A"/>
    <w:rsid w:val="00673257"/>
    <w:rsid w:val="00674716"/>
    <w:rsid w:val="00676DC1"/>
    <w:rsid w:val="00683CF5"/>
    <w:rsid w:val="00684019"/>
    <w:rsid w:val="0068657A"/>
    <w:rsid w:val="006867B1"/>
    <w:rsid w:val="006867DB"/>
    <w:rsid w:val="00686FC7"/>
    <w:rsid w:val="00690A5C"/>
    <w:rsid w:val="006926BA"/>
    <w:rsid w:val="00692EE3"/>
    <w:rsid w:val="006956AA"/>
    <w:rsid w:val="006959FC"/>
    <w:rsid w:val="00695CAB"/>
    <w:rsid w:val="006A6158"/>
    <w:rsid w:val="006A6530"/>
    <w:rsid w:val="006A66E8"/>
    <w:rsid w:val="006A67F8"/>
    <w:rsid w:val="006A7200"/>
    <w:rsid w:val="006B0259"/>
    <w:rsid w:val="006B22AD"/>
    <w:rsid w:val="006B7E01"/>
    <w:rsid w:val="006C45E2"/>
    <w:rsid w:val="006D104A"/>
    <w:rsid w:val="006D3611"/>
    <w:rsid w:val="006D37F2"/>
    <w:rsid w:val="006E175C"/>
    <w:rsid w:val="006E362D"/>
    <w:rsid w:val="006E4403"/>
    <w:rsid w:val="006E500D"/>
    <w:rsid w:val="006F0A93"/>
    <w:rsid w:val="006F4ECC"/>
    <w:rsid w:val="00700EF6"/>
    <w:rsid w:val="0070776C"/>
    <w:rsid w:val="00713377"/>
    <w:rsid w:val="007164F5"/>
    <w:rsid w:val="00723A68"/>
    <w:rsid w:val="00724820"/>
    <w:rsid w:val="007302B8"/>
    <w:rsid w:val="00734E84"/>
    <w:rsid w:val="00736DF8"/>
    <w:rsid w:val="00747161"/>
    <w:rsid w:val="00747E0A"/>
    <w:rsid w:val="0075038A"/>
    <w:rsid w:val="0075614B"/>
    <w:rsid w:val="007569D4"/>
    <w:rsid w:val="007607AE"/>
    <w:rsid w:val="00762241"/>
    <w:rsid w:val="007638FB"/>
    <w:rsid w:val="00764422"/>
    <w:rsid w:val="0077006F"/>
    <w:rsid w:val="00772033"/>
    <w:rsid w:val="00772A3E"/>
    <w:rsid w:val="00775F1B"/>
    <w:rsid w:val="0077698C"/>
    <w:rsid w:val="00783344"/>
    <w:rsid w:val="00785250"/>
    <w:rsid w:val="007864E1"/>
    <w:rsid w:val="00791A54"/>
    <w:rsid w:val="00792702"/>
    <w:rsid w:val="00796909"/>
    <w:rsid w:val="00797DE5"/>
    <w:rsid w:val="00797F0D"/>
    <w:rsid w:val="007A3393"/>
    <w:rsid w:val="007A6F5D"/>
    <w:rsid w:val="007A7DA6"/>
    <w:rsid w:val="007B09B8"/>
    <w:rsid w:val="007B142F"/>
    <w:rsid w:val="007B21EB"/>
    <w:rsid w:val="007C4BB5"/>
    <w:rsid w:val="007D1697"/>
    <w:rsid w:val="007D1A2B"/>
    <w:rsid w:val="007D3AF2"/>
    <w:rsid w:val="007D6AEE"/>
    <w:rsid w:val="007D7392"/>
    <w:rsid w:val="007D7665"/>
    <w:rsid w:val="007E1520"/>
    <w:rsid w:val="007E7B72"/>
    <w:rsid w:val="007F17D7"/>
    <w:rsid w:val="007F232B"/>
    <w:rsid w:val="008046AB"/>
    <w:rsid w:val="00810241"/>
    <w:rsid w:val="00810EBF"/>
    <w:rsid w:val="0081236E"/>
    <w:rsid w:val="00814944"/>
    <w:rsid w:val="00815F62"/>
    <w:rsid w:val="00822C83"/>
    <w:rsid w:val="008257B8"/>
    <w:rsid w:val="008274BF"/>
    <w:rsid w:val="00827B98"/>
    <w:rsid w:val="00833187"/>
    <w:rsid w:val="008345C9"/>
    <w:rsid w:val="008356C2"/>
    <w:rsid w:val="008368BE"/>
    <w:rsid w:val="00836A1C"/>
    <w:rsid w:val="00843889"/>
    <w:rsid w:val="00844061"/>
    <w:rsid w:val="008464D4"/>
    <w:rsid w:val="00846D18"/>
    <w:rsid w:val="008472D7"/>
    <w:rsid w:val="00847E96"/>
    <w:rsid w:val="0085129F"/>
    <w:rsid w:val="008560EF"/>
    <w:rsid w:val="00856808"/>
    <w:rsid w:val="008600F5"/>
    <w:rsid w:val="00861B01"/>
    <w:rsid w:val="008662DF"/>
    <w:rsid w:val="008664A9"/>
    <w:rsid w:val="00874BAF"/>
    <w:rsid w:val="00875F59"/>
    <w:rsid w:val="008801A5"/>
    <w:rsid w:val="008839B3"/>
    <w:rsid w:val="00887880"/>
    <w:rsid w:val="00890FDC"/>
    <w:rsid w:val="008959A2"/>
    <w:rsid w:val="00896151"/>
    <w:rsid w:val="0089705A"/>
    <w:rsid w:val="008A21A2"/>
    <w:rsid w:val="008A396D"/>
    <w:rsid w:val="008A6421"/>
    <w:rsid w:val="008B1CDA"/>
    <w:rsid w:val="008B3C6C"/>
    <w:rsid w:val="008B490B"/>
    <w:rsid w:val="008B4AF6"/>
    <w:rsid w:val="008B6A3B"/>
    <w:rsid w:val="008C62C5"/>
    <w:rsid w:val="008D1078"/>
    <w:rsid w:val="008D39EE"/>
    <w:rsid w:val="008E0587"/>
    <w:rsid w:val="008E23B4"/>
    <w:rsid w:val="008E2A4B"/>
    <w:rsid w:val="008F1A38"/>
    <w:rsid w:val="008F42D0"/>
    <w:rsid w:val="008F5DD2"/>
    <w:rsid w:val="008F7396"/>
    <w:rsid w:val="008F785B"/>
    <w:rsid w:val="00900E79"/>
    <w:rsid w:val="00907D1A"/>
    <w:rsid w:val="00914BA6"/>
    <w:rsid w:val="00917BB3"/>
    <w:rsid w:val="00917CA4"/>
    <w:rsid w:val="00921147"/>
    <w:rsid w:val="00921AB8"/>
    <w:rsid w:val="00922E11"/>
    <w:rsid w:val="00924820"/>
    <w:rsid w:val="0093185E"/>
    <w:rsid w:val="0093225B"/>
    <w:rsid w:val="00934D8D"/>
    <w:rsid w:val="00936475"/>
    <w:rsid w:val="009364BF"/>
    <w:rsid w:val="00937D73"/>
    <w:rsid w:val="00943AC8"/>
    <w:rsid w:val="00944931"/>
    <w:rsid w:val="00944A03"/>
    <w:rsid w:val="009514D6"/>
    <w:rsid w:val="0095275C"/>
    <w:rsid w:val="00954432"/>
    <w:rsid w:val="009555AE"/>
    <w:rsid w:val="0095615F"/>
    <w:rsid w:val="009571C2"/>
    <w:rsid w:val="0096247B"/>
    <w:rsid w:val="0096398F"/>
    <w:rsid w:val="0096610A"/>
    <w:rsid w:val="00966812"/>
    <w:rsid w:val="009721A9"/>
    <w:rsid w:val="00972853"/>
    <w:rsid w:val="00983D5A"/>
    <w:rsid w:val="00984984"/>
    <w:rsid w:val="009927D0"/>
    <w:rsid w:val="009939EE"/>
    <w:rsid w:val="009A1921"/>
    <w:rsid w:val="009A4B64"/>
    <w:rsid w:val="009B07E3"/>
    <w:rsid w:val="009B1D1D"/>
    <w:rsid w:val="009B4182"/>
    <w:rsid w:val="009B4762"/>
    <w:rsid w:val="009B70F4"/>
    <w:rsid w:val="009C49E3"/>
    <w:rsid w:val="009C5161"/>
    <w:rsid w:val="009C533E"/>
    <w:rsid w:val="009D6739"/>
    <w:rsid w:val="009D757C"/>
    <w:rsid w:val="009E2939"/>
    <w:rsid w:val="009E40F2"/>
    <w:rsid w:val="009E6BD0"/>
    <w:rsid w:val="009E7DEC"/>
    <w:rsid w:val="009F0BB3"/>
    <w:rsid w:val="009F1667"/>
    <w:rsid w:val="009F36BD"/>
    <w:rsid w:val="009F3B86"/>
    <w:rsid w:val="009F5ED8"/>
    <w:rsid w:val="009F616D"/>
    <w:rsid w:val="00A00F2A"/>
    <w:rsid w:val="00A03A50"/>
    <w:rsid w:val="00A07965"/>
    <w:rsid w:val="00A07A58"/>
    <w:rsid w:val="00A12525"/>
    <w:rsid w:val="00A12C77"/>
    <w:rsid w:val="00A1697C"/>
    <w:rsid w:val="00A16BBF"/>
    <w:rsid w:val="00A17BB6"/>
    <w:rsid w:val="00A25827"/>
    <w:rsid w:val="00A26916"/>
    <w:rsid w:val="00A32B2C"/>
    <w:rsid w:val="00A32BAC"/>
    <w:rsid w:val="00A32D41"/>
    <w:rsid w:val="00A32F2E"/>
    <w:rsid w:val="00A34F8C"/>
    <w:rsid w:val="00A34F94"/>
    <w:rsid w:val="00A36687"/>
    <w:rsid w:val="00A36D55"/>
    <w:rsid w:val="00A41A64"/>
    <w:rsid w:val="00A4439F"/>
    <w:rsid w:val="00A44B7D"/>
    <w:rsid w:val="00A46D84"/>
    <w:rsid w:val="00A47DA1"/>
    <w:rsid w:val="00A505E9"/>
    <w:rsid w:val="00A509D3"/>
    <w:rsid w:val="00A514F4"/>
    <w:rsid w:val="00A52B59"/>
    <w:rsid w:val="00A53195"/>
    <w:rsid w:val="00A60C4D"/>
    <w:rsid w:val="00A619C1"/>
    <w:rsid w:val="00A677BB"/>
    <w:rsid w:val="00A71B50"/>
    <w:rsid w:val="00A74C60"/>
    <w:rsid w:val="00A75240"/>
    <w:rsid w:val="00A754C4"/>
    <w:rsid w:val="00A81CF4"/>
    <w:rsid w:val="00A84769"/>
    <w:rsid w:val="00A84808"/>
    <w:rsid w:val="00A9005C"/>
    <w:rsid w:val="00A93640"/>
    <w:rsid w:val="00A94865"/>
    <w:rsid w:val="00AA07C5"/>
    <w:rsid w:val="00AB067D"/>
    <w:rsid w:val="00AB2D04"/>
    <w:rsid w:val="00AB4139"/>
    <w:rsid w:val="00AB626B"/>
    <w:rsid w:val="00AC1C16"/>
    <w:rsid w:val="00AC3FFA"/>
    <w:rsid w:val="00AC43C4"/>
    <w:rsid w:val="00AC48A5"/>
    <w:rsid w:val="00AD1818"/>
    <w:rsid w:val="00AD3C8B"/>
    <w:rsid w:val="00AD4F90"/>
    <w:rsid w:val="00AD5821"/>
    <w:rsid w:val="00AE2215"/>
    <w:rsid w:val="00AE2685"/>
    <w:rsid w:val="00AE3509"/>
    <w:rsid w:val="00AE7740"/>
    <w:rsid w:val="00AE7FA2"/>
    <w:rsid w:val="00AF005A"/>
    <w:rsid w:val="00AF0B78"/>
    <w:rsid w:val="00AF1927"/>
    <w:rsid w:val="00AF2BF8"/>
    <w:rsid w:val="00AF3EAA"/>
    <w:rsid w:val="00AF4507"/>
    <w:rsid w:val="00B010DD"/>
    <w:rsid w:val="00B03887"/>
    <w:rsid w:val="00B04DA1"/>
    <w:rsid w:val="00B06A9F"/>
    <w:rsid w:val="00B06F6B"/>
    <w:rsid w:val="00B14C37"/>
    <w:rsid w:val="00B1653B"/>
    <w:rsid w:val="00B17CF8"/>
    <w:rsid w:val="00B22756"/>
    <w:rsid w:val="00B23D2C"/>
    <w:rsid w:val="00B253B2"/>
    <w:rsid w:val="00B30D05"/>
    <w:rsid w:val="00B310F8"/>
    <w:rsid w:val="00B3488D"/>
    <w:rsid w:val="00B35570"/>
    <w:rsid w:val="00B36423"/>
    <w:rsid w:val="00B3755E"/>
    <w:rsid w:val="00B4022C"/>
    <w:rsid w:val="00B42157"/>
    <w:rsid w:val="00B51E0D"/>
    <w:rsid w:val="00B5205A"/>
    <w:rsid w:val="00B534F9"/>
    <w:rsid w:val="00B53707"/>
    <w:rsid w:val="00B5589F"/>
    <w:rsid w:val="00B5604E"/>
    <w:rsid w:val="00B57810"/>
    <w:rsid w:val="00B57E5A"/>
    <w:rsid w:val="00B62E94"/>
    <w:rsid w:val="00B66D51"/>
    <w:rsid w:val="00B678C3"/>
    <w:rsid w:val="00B71C2D"/>
    <w:rsid w:val="00B77194"/>
    <w:rsid w:val="00B773B0"/>
    <w:rsid w:val="00B82566"/>
    <w:rsid w:val="00B83D9C"/>
    <w:rsid w:val="00B85FF5"/>
    <w:rsid w:val="00B8611D"/>
    <w:rsid w:val="00B90378"/>
    <w:rsid w:val="00B92319"/>
    <w:rsid w:val="00B92D7D"/>
    <w:rsid w:val="00B9584E"/>
    <w:rsid w:val="00B97727"/>
    <w:rsid w:val="00BA0F30"/>
    <w:rsid w:val="00BA0FB2"/>
    <w:rsid w:val="00BA1A10"/>
    <w:rsid w:val="00BA51EA"/>
    <w:rsid w:val="00BA56F5"/>
    <w:rsid w:val="00BA7115"/>
    <w:rsid w:val="00BA7AA8"/>
    <w:rsid w:val="00BA7AF3"/>
    <w:rsid w:val="00BB1163"/>
    <w:rsid w:val="00BB1E5D"/>
    <w:rsid w:val="00BB3752"/>
    <w:rsid w:val="00BB4764"/>
    <w:rsid w:val="00BB5C79"/>
    <w:rsid w:val="00BB6316"/>
    <w:rsid w:val="00BB7799"/>
    <w:rsid w:val="00BB7F04"/>
    <w:rsid w:val="00BC391F"/>
    <w:rsid w:val="00BC7FAD"/>
    <w:rsid w:val="00BD17D4"/>
    <w:rsid w:val="00BD4FDE"/>
    <w:rsid w:val="00BD7CB8"/>
    <w:rsid w:val="00BE2636"/>
    <w:rsid w:val="00BE3FC8"/>
    <w:rsid w:val="00BE7722"/>
    <w:rsid w:val="00BF01E4"/>
    <w:rsid w:val="00BF2125"/>
    <w:rsid w:val="00BF2F20"/>
    <w:rsid w:val="00C00FDE"/>
    <w:rsid w:val="00C049A1"/>
    <w:rsid w:val="00C06D63"/>
    <w:rsid w:val="00C0709E"/>
    <w:rsid w:val="00C10454"/>
    <w:rsid w:val="00C12D5E"/>
    <w:rsid w:val="00C215F4"/>
    <w:rsid w:val="00C232E3"/>
    <w:rsid w:val="00C374AD"/>
    <w:rsid w:val="00C4374F"/>
    <w:rsid w:val="00C44965"/>
    <w:rsid w:val="00C45447"/>
    <w:rsid w:val="00C5037D"/>
    <w:rsid w:val="00C519A4"/>
    <w:rsid w:val="00C54FF7"/>
    <w:rsid w:val="00C61E76"/>
    <w:rsid w:val="00C63AAC"/>
    <w:rsid w:val="00C64DEA"/>
    <w:rsid w:val="00C65834"/>
    <w:rsid w:val="00C6607C"/>
    <w:rsid w:val="00C66C16"/>
    <w:rsid w:val="00C67617"/>
    <w:rsid w:val="00C7028F"/>
    <w:rsid w:val="00C71484"/>
    <w:rsid w:val="00C72561"/>
    <w:rsid w:val="00C72D79"/>
    <w:rsid w:val="00C738BB"/>
    <w:rsid w:val="00C73F4F"/>
    <w:rsid w:val="00C74CA9"/>
    <w:rsid w:val="00C758C4"/>
    <w:rsid w:val="00C76599"/>
    <w:rsid w:val="00C86DEE"/>
    <w:rsid w:val="00C92226"/>
    <w:rsid w:val="00C92DB0"/>
    <w:rsid w:val="00C93968"/>
    <w:rsid w:val="00C95E54"/>
    <w:rsid w:val="00C97BC8"/>
    <w:rsid w:val="00CA0138"/>
    <w:rsid w:val="00CA1172"/>
    <w:rsid w:val="00CA12B0"/>
    <w:rsid w:val="00CA4A39"/>
    <w:rsid w:val="00CA57C4"/>
    <w:rsid w:val="00CA722D"/>
    <w:rsid w:val="00CA7F3D"/>
    <w:rsid w:val="00CB0658"/>
    <w:rsid w:val="00CB19AF"/>
    <w:rsid w:val="00CB4249"/>
    <w:rsid w:val="00CB69FD"/>
    <w:rsid w:val="00CB6DA0"/>
    <w:rsid w:val="00CB706F"/>
    <w:rsid w:val="00CC0C75"/>
    <w:rsid w:val="00CC167E"/>
    <w:rsid w:val="00CC2AA4"/>
    <w:rsid w:val="00CC43A8"/>
    <w:rsid w:val="00CC63F2"/>
    <w:rsid w:val="00CD33D8"/>
    <w:rsid w:val="00CD5467"/>
    <w:rsid w:val="00CD6016"/>
    <w:rsid w:val="00CD6DA4"/>
    <w:rsid w:val="00CE252A"/>
    <w:rsid w:val="00CE37EB"/>
    <w:rsid w:val="00CE4946"/>
    <w:rsid w:val="00CE5140"/>
    <w:rsid w:val="00CE75CE"/>
    <w:rsid w:val="00CF3998"/>
    <w:rsid w:val="00CF73EF"/>
    <w:rsid w:val="00D00405"/>
    <w:rsid w:val="00D03731"/>
    <w:rsid w:val="00D06116"/>
    <w:rsid w:val="00D11482"/>
    <w:rsid w:val="00D129E4"/>
    <w:rsid w:val="00D131D8"/>
    <w:rsid w:val="00D14028"/>
    <w:rsid w:val="00D14CDA"/>
    <w:rsid w:val="00D14F20"/>
    <w:rsid w:val="00D21284"/>
    <w:rsid w:val="00D217BD"/>
    <w:rsid w:val="00D21C51"/>
    <w:rsid w:val="00D24515"/>
    <w:rsid w:val="00D25D6E"/>
    <w:rsid w:val="00D275C6"/>
    <w:rsid w:val="00D31CDF"/>
    <w:rsid w:val="00D334E4"/>
    <w:rsid w:val="00D3629C"/>
    <w:rsid w:val="00D364F3"/>
    <w:rsid w:val="00D36611"/>
    <w:rsid w:val="00D378B9"/>
    <w:rsid w:val="00D417EA"/>
    <w:rsid w:val="00D417ED"/>
    <w:rsid w:val="00D42297"/>
    <w:rsid w:val="00D44000"/>
    <w:rsid w:val="00D52B9B"/>
    <w:rsid w:val="00D54237"/>
    <w:rsid w:val="00D5630B"/>
    <w:rsid w:val="00D61EF3"/>
    <w:rsid w:val="00D669BC"/>
    <w:rsid w:val="00D670B5"/>
    <w:rsid w:val="00D74EB2"/>
    <w:rsid w:val="00D756B6"/>
    <w:rsid w:val="00D760BC"/>
    <w:rsid w:val="00D77895"/>
    <w:rsid w:val="00D80DBD"/>
    <w:rsid w:val="00D81F73"/>
    <w:rsid w:val="00D84557"/>
    <w:rsid w:val="00D90214"/>
    <w:rsid w:val="00D9087F"/>
    <w:rsid w:val="00D931D5"/>
    <w:rsid w:val="00D957E5"/>
    <w:rsid w:val="00DA1A6B"/>
    <w:rsid w:val="00DA37D0"/>
    <w:rsid w:val="00DA478E"/>
    <w:rsid w:val="00DA4B33"/>
    <w:rsid w:val="00DB060D"/>
    <w:rsid w:val="00DB3F7C"/>
    <w:rsid w:val="00DB4831"/>
    <w:rsid w:val="00DB4CC3"/>
    <w:rsid w:val="00DB7AA0"/>
    <w:rsid w:val="00DD104A"/>
    <w:rsid w:val="00DD2C1F"/>
    <w:rsid w:val="00DD3661"/>
    <w:rsid w:val="00DD64C1"/>
    <w:rsid w:val="00DE0A2E"/>
    <w:rsid w:val="00DE1FA5"/>
    <w:rsid w:val="00DE2775"/>
    <w:rsid w:val="00DE34F7"/>
    <w:rsid w:val="00DF5F87"/>
    <w:rsid w:val="00E019EF"/>
    <w:rsid w:val="00E02081"/>
    <w:rsid w:val="00E037B5"/>
    <w:rsid w:val="00E043F6"/>
    <w:rsid w:val="00E07362"/>
    <w:rsid w:val="00E105CF"/>
    <w:rsid w:val="00E1381C"/>
    <w:rsid w:val="00E1730E"/>
    <w:rsid w:val="00E204DA"/>
    <w:rsid w:val="00E248E5"/>
    <w:rsid w:val="00E30640"/>
    <w:rsid w:val="00E306B8"/>
    <w:rsid w:val="00E33817"/>
    <w:rsid w:val="00E34998"/>
    <w:rsid w:val="00E40923"/>
    <w:rsid w:val="00E40B2B"/>
    <w:rsid w:val="00E44153"/>
    <w:rsid w:val="00E4611E"/>
    <w:rsid w:val="00E46D71"/>
    <w:rsid w:val="00E46EF7"/>
    <w:rsid w:val="00E47A78"/>
    <w:rsid w:val="00E47D91"/>
    <w:rsid w:val="00E51303"/>
    <w:rsid w:val="00E60660"/>
    <w:rsid w:val="00E60C75"/>
    <w:rsid w:val="00E613F2"/>
    <w:rsid w:val="00E63F2D"/>
    <w:rsid w:val="00E66239"/>
    <w:rsid w:val="00E70854"/>
    <w:rsid w:val="00E722B3"/>
    <w:rsid w:val="00E748FC"/>
    <w:rsid w:val="00E75C20"/>
    <w:rsid w:val="00E80662"/>
    <w:rsid w:val="00E81147"/>
    <w:rsid w:val="00E829F1"/>
    <w:rsid w:val="00E84CA9"/>
    <w:rsid w:val="00E91314"/>
    <w:rsid w:val="00E9565B"/>
    <w:rsid w:val="00E95FB2"/>
    <w:rsid w:val="00E97D46"/>
    <w:rsid w:val="00E97DB5"/>
    <w:rsid w:val="00EA5142"/>
    <w:rsid w:val="00EA7073"/>
    <w:rsid w:val="00EB7B48"/>
    <w:rsid w:val="00EC0843"/>
    <w:rsid w:val="00ED1734"/>
    <w:rsid w:val="00ED6EC1"/>
    <w:rsid w:val="00EE3810"/>
    <w:rsid w:val="00EE7F7F"/>
    <w:rsid w:val="00EF152E"/>
    <w:rsid w:val="00EF43D1"/>
    <w:rsid w:val="00EF4E9E"/>
    <w:rsid w:val="00EF5378"/>
    <w:rsid w:val="00F004D3"/>
    <w:rsid w:val="00F00724"/>
    <w:rsid w:val="00F06826"/>
    <w:rsid w:val="00F07D80"/>
    <w:rsid w:val="00F12156"/>
    <w:rsid w:val="00F13649"/>
    <w:rsid w:val="00F15715"/>
    <w:rsid w:val="00F1718E"/>
    <w:rsid w:val="00F20583"/>
    <w:rsid w:val="00F21BF6"/>
    <w:rsid w:val="00F22158"/>
    <w:rsid w:val="00F26480"/>
    <w:rsid w:val="00F30285"/>
    <w:rsid w:val="00F311FA"/>
    <w:rsid w:val="00F4167F"/>
    <w:rsid w:val="00F47D79"/>
    <w:rsid w:val="00F47F0E"/>
    <w:rsid w:val="00F525F5"/>
    <w:rsid w:val="00F5699B"/>
    <w:rsid w:val="00F569B5"/>
    <w:rsid w:val="00F6277A"/>
    <w:rsid w:val="00F628E9"/>
    <w:rsid w:val="00F62ACD"/>
    <w:rsid w:val="00F62CEC"/>
    <w:rsid w:val="00F66578"/>
    <w:rsid w:val="00F66B83"/>
    <w:rsid w:val="00F66F94"/>
    <w:rsid w:val="00F7101E"/>
    <w:rsid w:val="00F73F37"/>
    <w:rsid w:val="00F74960"/>
    <w:rsid w:val="00F808BE"/>
    <w:rsid w:val="00F864E5"/>
    <w:rsid w:val="00F9348F"/>
    <w:rsid w:val="00F950F0"/>
    <w:rsid w:val="00F95F04"/>
    <w:rsid w:val="00FA3127"/>
    <w:rsid w:val="00FA7EB4"/>
    <w:rsid w:val="00FA7F9E"/>
    <w:rsid w:val="00FB2488"/>
    <w:rsid w:val="00FB3D57"/>
    <w:rsid w:val="00FB58E0"/>
    <w:rsid w:val="00FB5E4E"/>
    <w:rsid w:val="00FB6307"/>
    <w:rsid w:val="00FC2EAA"/>
    <w:rsid w:val="00FD25A1"/>
    <w:rsid w:val="00FD501C"/>
    <w:rsid w:val="00FD5F39"/>
    <w:rsid w:val="00FE11B8"/>
    <w:rsid w:val="00FE1D54"/>
    <w:rsid w:val="00FE5148"/>
    <w:rsid w:val="00FE5B09"/>
    <w:rsid w:val="00FE67F7"/>
    <w:rsid w:val="00FE7F14"/>
    <w:rsid w:val="00FF57FF"/>
    <w:rsid w:val="00FF6E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C1C98"/>
  <w15:chartTrackingRefBased/>
  <w15:docId w15:val="{44995368-5EE3-4AAA-99D3-CF345B6D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8A5"/>
    <w:rPr>
      <w:rFonts w:ascii="Arial" w:hAnsi="Arial"/>
      <w:sz w:val="24"/>
    </w:rPr>
  </w:style>
  <w:style w:type="paragraph" w:styleId="Heading1">
    <w:name w:val="heading 1"/>
    <w:basedOn w:val="Normal"/>
    <w:next w:val="Normal"/>
    <w:link w:val="Heading1Char"/>
    <w:uiPriority w:val="9"/>
    <w:qFormat/>
    <w:rsid w:val="00E043F6"/>
    <w:pPr>
      <w:keepNext/>
      <w:pBdr>
        <w:top w:val="single" w:sz="4" w:space="12" w:color="E36C0A"/>
      </w:pBdr>
      <w:spacing w:before="240" w:after="240" w:line="276" w:lineRule="auto"/>
      <w:outlineLvl w:val="0"/>
    </w:pPr>
    <w:rPr>
      <w:rFonts w:eastAsia="Times New Roman" w:cs="Times New Roman"/>
      <w:b/>
      <w:color w:val="1A3D82"/>
      <w:sz w:val="36"/>
      <w:szCs w:val="20"/>
      <w:lang w:eastAsia="en-GB"/>
    </w:rPr>
  </w:style>
  <w:style w:type="paragraph" w:styleId="Heading2">
    <w:name w:val="heading 2"/>
    <w:basedOn w:val="Normal"/>
    <w:next w:val="Normal"/>
    <w:link w:val="Heading2Char"/>
    <w:uiPriority w:val="9"/>
    <w:unhideWhenUsed/>
    <w:qFormat/>
    <w:rsid w:val="00E043F6"/>
    <w:pPr>
      <w:outlineLvl w:val="1"/>
    </w:pPr>
    <w:rPr>
      <w:rFonts w:eastAsia="Calibri" w:cs="Times New Roman"/>
      <w:b/>
      <w:bCs/>
      <w:color w:val="2F5496" w:themeColor="accent1" w:themeShade="BF"/>
      <w:sz w:val="28"/>
      <w:szCs w:val="28"/>
    </w:rPr>
  </w:style>
  <w:style w:type="paragraph" w:styleId="Heading3">
    <w:name w:val="heading 3"/>
    <w:basedOn w:val="Normal"/>
    <w:next w:val="Normal"/>
    <w:link w:val="Heading3Char"/>
    <w:uiPriority w:val="9"/>
    <w:unhideWhenUsed/>
    <w:qFormat/>
    <w:rsid w:val="00966812"/>
    <w:pPr>
      <w:outlineLvl w:val="2"/>
    </w:pPr>
    <w:rPr>
      <w:rFonts w:eastAsia="Calibri" w:cs="Times New Roman"/>
      <w:b/>
      <w:bCs/>
      <w:color w:val="2F5496" w:themeColor="accent1" w:themeShade="BF"/>
    </w:rPr>
  </w:style>
  <w:style w:type="paragraph" w:styleId="Heading4">
    <w:name w:val="heading 4"/>
    <w:basedOn w:val="Normal"/>
    <w:next w:val="Normal"/>
    <w:link w:val="Heading4Char"/>
    <w:uiPriority w:val="9"/>
    <w:unhideWhenUsed/>
    <w:qFormat/>
    <w:rsid w:val="002120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51E0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51E0D"/>
  </w:style>
  <w:style w:type="paragraph" w:customStyle="1" w:styleId="TableText">
    <w:name w:val="TableText"/>
    <w:basedOn w:val="Normal"/>
    <w:qFormat/>
    <w:rsid w:val="00B51E0D"/>
    <w:pPr>
      <w:spacing w:before="60" w:after="60" w:line="240" w:lineRule="auto"/>
    </w:pPr>
    <w:rPr>
      <w:rFonts w:eastAsia="Times New Roman" w:cs="Times New Roman"/>
      <w:sz w:val="18"/>
      <w:szCs w:val="20"/>
      <w:lang w:eastAsia="en-GB"/>
    </w:rPr>
  </w:style>
  <w:style w:type="paragraph" w:styleId="Header">
    <w:name w:val="header"/>
    <w:basedOn w:val="Normal"/>
    <w:link w:val="HeaderChar"/>
    <w:uiPriority w:val="99"/>
    <w:unhideWhenUsed/>
    <w:rsid w:val="00B51E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E0D"/>
  </w:style>
  <w:style w:type="character" w:styleId="Hyperlink">
    <w:name w:val="Hyperlink"/>
    <w:basedOn w:val="DefaultParagraphFont"/>
    <w:uiPriority w:val="99"/>
    <w:unhideWhenUsed/>
    <w:rsid w:val="00085E55"/>
    <w:rPr>
      <w:color w:val="0563C1" w:themeColor="hyperlink"/>
      <w:u w:val="single"/>
    </w:rPr>
  </w:style>
  <w:style w:type="character" w:styleId="UnresolvedMention">
    <w:name w:val="Unresolved Mention"/>
    <w:basedOn w:val="DefaultParagraphFont"/>
    <w:uiPriority w:val="99"/>
    <w:semiHidden/>
    <w:unhideWhenUsed/>
    <w:rsid w:val="00085E55"/>
    <w:rPr>
      <w:color w:val="605E5C"/>
      <w:shd w:val="clear" w:color="auto" w:fill="E1DFDD"/>
    </w:rPr>
  </w:style>
  <w:style w:type="character" w:styleId="FollowedHyperlink">
    <w:name w:val="FollowedHyperlink"/>
    <w:basedOn w:val="DefaultParagraphFont"/>
    <w:uiPriority w:val="99"/>
    <w:semiHidden/>
    <w:unhideWhenUsed/>
    <w:rsid w:val="002C3A0E"/>
    <w:rPr>
      <w:color w:val="954F72" w:themeColor="followedHyperlink"/>
      <w:u w:val="single"/>
    </w:rPr>
  </w:style>
  <w:style w:type="character" w:styleId="CommentReference">
    <w:name w:val="annotation reference"/>
    <w:basedOn w:val="DefaultParagraphFont"/>
    <w:uiPriority w:val="99"/>
    <w:semiHidden/>
    <w:unhideWhenUsed/>
    <w:rsid w:val="00BD17D4"/>
    <w:rPr>
      <w:sz w:val="16"/>
      <w:szCs w:val="16"/>
    </w:rPr>
  </w:style>
  <w:style w:type="paragraph" w:styleId="CommentText">
    <w:name w:val="annotation text"/>
    <w:basedOn w:val="Normal"/>
    <w:link w:val="CommentTextChar"/>
    <w:uiPriority w:val="99"/>
    <w:unhideWhenUsed/>
    <w:rsid w:val="00BD17D4"/>
    <w:pPr>
      <w:spacing w:line="240" w:lineRule="auto"/>
    </w:pPr>
    <w:rPr>
      <w:sz w:val="20"/>
      <w:szCs w:val="20"/>
    </w:rPr>
  </w:style>
  <w:style w:type="character" w:customStyle="1" w:styleId="CommentTextChar">
    <w:name w:val="Comment Text Char"/>
    <w:basedOn w:val="DefaultParagraphFont"/>
    <w:link w:val="CommentText"/>
    <w:uiPriority w:val="99"/>
    <w:rsid w:val="00BD17D4"/>
    <w:rPr>
      <w:sz w:val="20"/>
      <w:szCs w:val="20"/>
    </w:rPr>
  </w:style>
  <w:style w:type="paragraph" w:styleId="CommentSubject">
    <w:name w:val="annotation subject"/>
    <w:basedOn w:val="CommentText"/>
    <w:next w:val="CommentText"/>
    <w:link w:val="CommentSubjectChar"/>
    <w:uiPriority w:val="99"/>
    <w:semiHidden/>
    <w:unhideWhenUsed/>
    <w:rsid w:val="00BD17D4"/>
    <w:rPr>
      <w:b/>
      <w:bCs/>
    </w:rPr>
  </w:style>
  <w:style w:type="character" w:customStyle="1" w:styleId="CommentSubjectChar">
    <w:name w:val="Comment Subject Char"/>
    <w:basedOn w:val="CommentTextChar"/>
    <w:link w:val="CommentSubject"/>
    <w:uiPriority w:val="99"/>
    <w:semiHidden/>
    <w:rsid w:val="00BD17D4"/>
    <w:rPr>
      <w:b/>
      <w:bCs/>
      <w:sz w:val="20"/>
      <w:szCs w:val="20"/>
    </w:rPr>
  </w:style>
  <w:style w:type="paragraph" w:styleId="ListParagraph">
    <w:name w:val="List Paragraph"/>
    <w:basedOn w:val="Normal"/>
    <w:uiPriority w:val="34"/>
    <w:qFormat/>
    <w:rsid w:val="001D5D34"/>
    <w:pPr>
      <w:ind w:left="720"/>
      <w:contextualSpacing/>
    </w:pPr>
  </w:style>
  <w:style w:type="paragraph" w:customStyle="1" w:styleId="paragraph">
    <w:name w:val="paragraph"/>
    <w:basedOn w:val="Normal"/>
    <w:rsid w:val="0005303B"/>
    <w:pPr>
      <w:spacing w:before="100" w:beforeAutospacing="1" w:after="100" w:afterAutospacing="1" w:line="240" w:lineRule="auto"/>
    </w:pPr>
    <w:rPr>
      <w:rFonts w:ascii="Times New Roman" w:hAnsi="Times New Roman" w:cs="Times New Roman"/>
      <w:szCs w:val="24"/>
      <w:lang w:eastAsia="en-NZ"/>
    </w:rPr>
  </w:style>
  <w:style w:type="character" w:customStyle="1" w:styleId="normaltextrun">
    <w:name w:val="normaltextrun"/>
    <w:basedOn w:val="DefaultParagraphFont"/>
    <w:rsid w:val="0005303B"/>
  </w:style>
  <w:style w:type="character" w:customStyle="1" w:styleId="eop">
    <w:name w:val="eop"/>
    <w:basedOn w:val="DefaultParagraphFont"/>
    <w:rsid w:val="0005303B"/>
  </w:style>
  <w:style w:type="character" w:customStyle="1" w:styleId="NoSpacingChar">
    <w:name w:val="No Spacing Char"/>
    <w:basedOn w:val="DefaultParagraphFont"/>
    <w:link w:val="NoSpacing"/>
    <w:uiPriority w:val="1"/>
    <w:locked/>
    <w:rsid w:val="00F06826"/>
  </w:style>
  <w:style w:type="paragraph" w:styleId="NoSpacing">
    <w:name w:val="No Spacing"/>
    <w:basedOn w:val="Normal"/>
    <w:link w:val="NoSpacingChar"/>
    <w:uiPriority w:val="1"/>
    <w:qFormat/>
    <w:rsid w:val="00F06826"/>
    <w:pPr>
      <w:spacing w:after="0" w:line="240" w:lineRule="auto"/>
    </w:pPr>
  </w:style>
  <w:style w:type="paragraph" w:customStyle="1" w:styleId="xmsonormal">
    <w:name w:val="x_msonormal"/>
    <w:basedOn w:val="Normal"/>
    <w:rsid w:val="00E44153"/>
    <w:pPr>
      <w:spacing w:after="0" w:line="240" w:lineRule="auto"/>
    </w:pPr>
    <w:rPr>
      <w:rFonts w:ascii="Calibri" w:hAnsi="Calibri" w:cs="Calibri"/>
      <w:lang w:eastAsia="en-NZ"/>
    </w:rPr>
  </w:style>
  <w:style w:type="paragraph" w:styleId="Revision">
    <w:name w:val="Revision"/>
    <w:hidden/>
    <w:uiPriority w:val="99"/>
    <w:semiHidden/>
    <w:rsid w:val="00F74960"/>
    <w:pPr>
      <w:spacing w:after="0" w:line="240" w:lineRule="auto"/>
    </w:pPr>
  </w:style>
  <w:style w:type="character" w:customStyle="1" w:styleId="Heading3Char">
    <w:name w:val="Heading 3 Char"/>
    <w:basedOn w:val="DefaultParagraphFont"/>
    <w:link w:val="Heading3"/>
    <w:uiPriority w:val="9"/>
    <w:rsid w:val="00966812"/>
    <w:rPr>
      <w:rFonts w:ascii="Arial" w:eastAsia="Calibri" w:hAnsi="Arial" w:cs="Times New Roman"/>
      <w:b/>
      <w:bCs/>
      <w:color w:val="2F5496" w:themeColor="accent1" w:themeShade="BF"/>
      <w:sz w:val="24"/>
    </w:rPr>
  </w:style>
  <w:style w:type="character" w:customStyle="1" w:styleId="Heading2Char">
    <w:name w:val="Heading 2 Char"/>
    <w:basedOn w:val="DefaultParagraphFont"/>
    <w:link w:val="Heading2"/>
    <w:uiPriority w:val="9"/>
    <w:rsid w:val="00E043F6"/>
    <w:rPr>
      <w:rFonts w:ascii="Arial" w:eastAsia="Calibri" w:hAnsi="Arial" w:cs="Times New Roman"/>
      <w:b/>
      <w:bCs/>
      <w:color w:val="2F5496" w:themeColor="accent1" w:themeShade="BF"/>
      <w:sz w:val="28"/>
      <w:szCs w:val="28"/>
    </w:rPr>
  </w:style>
  <w:style w:type="character" w:customStyle="1" w:styleId="Heading1Char">
    <w:name w:val="Heading 1 Char"/>
    <w:basedOn w:val="DefaultParagraphFont"/>
    <w:link w:val="Heading1"/>
    <w:uiPriority w:val="9"/>
    <w:rsid w:val="00E043F6"/>
    <w:rPr>
      <w:rFonts w:ascii="Arial" w:eastAsia="Times New Roman" w:hAnsi="Arial" w:cs="Times New Roman"/>
      <w:b/>
      <w:color w:val="1A3D82"/>
      <w:sz w:val="36"/>
      <w:szCs w:val="20"/>
      <w:lang w:eastAsia="en-GB"/>
    </w:rPr>
  </w:style>
  <w:style w:type="paragraph" w:styleId="ListBullet">
    <w:name w:val="List Bullet"/>
    <w:basedOn w:val="Normal"/>
    <w:uiPriority w:val="99"/>
    <w:unhideWhenUsed/>
    <w:rsid w:val="00AC48A5"/>
    <w:pPr>
      <w:numPr>
        <w:numId w:val="6"/>
      </w:numPr>
      <w:contextualSpacing/>
    </w:pPr>
  </w:style>
  <w:style w:type="paragraph" w:styleId="NormalWeb">
    <w:name w:val="Normal (Web)"/>
    <w:basedOn w:val="Normal"/>
    <w:uiPriority w:val="99"/>
    <w:semiHidden/>
    <w:unhideWhenUsed/>
    <w:rsid w:val="00F95F04"/>
    <w:pPr>
      <w:spacing w:before="100" w:beforeAutospacing="1" w:after="100" w:afterAutospacing="1" w:line="240" w:lineRule="auto"/>
    </w:pPr>
    <w:rPr>
      <w:rFonts w:ascii="Times New Roman" w:eastAsia="Times New Roman" w:hAnsi="Times New Roman" w:cs="Times New Roman"/>
      <w:szCs w:val="24"/>
      <w:lang w:eastAsia="en-NZ"/>
    </w:rPr>
  </w:style>
  <w:style w:type="paragraph" w:styleId="BodyText">
    <w:name w:val="Body Text"/>
    <w:basedOn w:val="Normal"/>
    <w:link w:val="BodyTextChar"/>
    <w:rsid w:val="00F95F04"/>
    <w:pPr>
      <w:tabs>
        <w:tab w:val="num" w:pos="851"/>
      </w:tabs>
      <w:spacing w:after="240" w:line="360" w:lineRule="auto"/>
      <w:ind w:left="851" w:hanging="851"/>
    </w:pPr>
    <w:rPr>
      <w:rFonts w:eastAsia="Calibri" w:cs="Times New Roman"/>
      <w:sz w:val="22"/>
    </w:rPr>
  </w:style>
  <w:style w:type="character" w:customStyle="1" w:styleId="BodyTextChar">
    <w:name w:val="Body Text Char"/>
    <w:basedOn w:val="DefaultParagraphFont"/>
    <w:link w:val="BodyText"/>
    <w:rsid w:val="00F95F04"/>
    <w:rPr>
      <w:rFonts w:ascii="Arial" w:eastAsia="Calibri" w:hAnsi="Arial" w:cs="Times New Roman"/>
    </w:rPr>
  </w:style>
  <w:style w:type="paragraph" w:customStyle="1" w:styleId="Subheadings">
    <w:name w:val="Sub headings"/>
    <w:basedOn w:val="Heading3"/>
    <w:next w:val="BodyText"/>
    <w:qFormat/>
    <w:rsid w:val="00F95F04"/>
    <w:pPr>
      <w:keepNext/>
      <w:keepLines/>
      <w:spacing w:after="240" w:line="360" w:lineRule="auto"/>
      <w:ind w:left="851"/>
    </w:pPr>
    <w:rPr>
      <w:rFonts w:eastAsia="Times New Roman" w:cs="Arial"/>
      <w:color w:val="000000"/>
      <w:szCs w:val="24"/>
    </w:rPr>
  </w:style>
  <w:style w:type="paragraph" w:customStyle="1" w:styleId="Letteredlist">
    <w:name w:val="Lettered list"/>
    <w:basedOn w:val="Normal"/>
    <w:uiPriority w:val="1"/>
    <w:qFormat/>
    <w:rsid w:val="00F95F04"/>
    <w:pPr>
      <w:tabs>
        <w:tab w:val="num" w:pos="1418"/>
      </w:tabs>
      <w:spacing w:before="120" w:after="240" w:line="240" w:lineRule="auto"/>
      <w:ind w:left="1418" w:hanging="567"/>
    </w:pPr>
    <w:rPr>
      <w:rFonts w:eastAsia="Calibri" w:cs="Times New Roman"/>
      <w:sz w:val="22"/>
    </w:rPr>
  </w:style>
  <w:style w:type="paragraph" w:customStyle="1" w:styleId="Romannumerallist">
    <w:name w:val="Roman numeral list"/>
    <w:basedOn w:val="Letteredlist"/>
    <w:qFormat/>
    <w:rsid w:val="00F95F04"/>
    <w:pPr>
      <w:tabs>
        <w:tab w:val="clear" w:pos="1418"/>
        <w:tab w:val="num" w:pos="926"/>
      </w:tabs>
      <w:ind w:left="926"/>
    </w:pPr>
  </w:style>
  <w:style w:type="table" w:styleId="TableGrid">
    <w:name w:val="Table Grid"/>
    <w:basedOn w:val="TableNormal"/>
    <w:uiPriority w:val="39"/>
    <w:rsid w:val="00212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120D1"/>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76861">
      <w:bodyDiv w:val="1"/>
      <w:marLeft w:val="0"/>
      <w:marRight w:val="0"/>
      <w:marTop w:val="0"/>
      <w:marBottom w:val="0"/>
      <w:divBdr>
        <w:top w:val="none" w:sz="0" w:space="0" w:color="auto"/>
        <w:left w:val="none" w:sz="0" w:space="0" w:color="auto"/>
        <w:bottom w:val="none" w:sz="0" w:space="0" w:color="auto"/>
        <w:right w:val="none" w:sz="0" w:space="0" w:color="auto"/>
      </w:divBdr>
    </w:div>
    <w:div w:id="246967821">
      <w:bodyDiv w:val="1"/>
      <w:marLeft w:val="0"/>
      <w:marRight w:val="0"/>
      <w:marTop w:val="0"/>
      <w:marBottom w:val="0"/>
      <w:divBdr>
        <w:top w:val="none" w:sz="0" w:space="0" w:color="auto"/>
        <w:left w:val="none" w:sz="0" w:space="0" w:color="auto"/>
        <w:bottom w:val="none" w:sz="0" w:space="0" w:color="auto"/>
        <w:right w:val="none" w:sz="0" w:space="0" w:color="auto"/>
      </w:divBdr>
    </w:div>
    <w:div w:id="312296346">
      <w:bodyDiv w:val="1"/>
      <w:marLeft w:val="0"/>
      <w:marRight w:val="0"/>
      <w:marTop w:val="0"/>
      <w:marBottom w:val="0"/>
      <w:divBdr>
        <w:top w:val="none" w:sz="0" w:space="0" w:color="auto"/>
        <w:left w:val="none" w:sz="0" w:space="0" w:color="auto"/>
        <w:bottom w:val="none" w:sz="0" w:space="0" w:color="auto"/>
        <w:right w:val="none" w:sz="0" w:space="0" w:color="auto"/>
      </w:divBdr>
    </w:div>
    <w:div w:id="436869158">
      <w:bodyDiv w:val="1"/>
      <w:marLeft w:val="0"/>
      <w:marRight w:val="0"/>
      <w:marTop w:val="0"/>
      <w:marBottom w:val="0"/>
      <w:divBdr>
        <w:top w:val="none" w:sz="0" w:space="0" w:color="auto"/>
        <w:left w:val="none" w:sz="0" w:space="0" w:color="auto"/>
        <w:bottom w:val="none" w:sz="0" w:space="0" w:color="auto"/>
        <w:right w:val="none" w:sz="0" w:space="0" w:color="auto"/>
      </w:divBdr>
    </w:div>
    <w:div w:id="476262970">
      <w:bodyDiv w:val="1"/>
      <w:marLeft w:val="0"/>
      <w:marRight w:val="0"/>
      <w:marTop w:val="0"/>
      <w:marBottom w:val="0"/>
      <w:divBdr>
        <w:top w:val="none" w:sz="0" w:space="0" w:color="auto"/>
        <w:left w:val="none" w:sz="0" w:space="0" w:color="auto"/>
        <w:bottom w:val="none" w:sz="0" w:space="0" w:color="auto"/>
        <w:right w:val="none" w:sz="0" w:space="0" w:color="auto"/>
      </w:divBdr>
    </w:div>
    <w:div w:id="553006935">
      <w:bodyDiv w:val="1"/>
      <w:marLeft w:val="0"/>
      <w:marRight w:val="0"/>
      <w:marTop w:val="0"/>
      <w:marBottom w:val="0"/>
      <w:divBdr>
        <w:top w:val="none" w:sz="0" w:space="0" w:color="auto"/>
        <w:left w:val="none" w:sz="0" w:space="0" w:color="auto"/>
        <w:bottom w:val="none" w:sz="0" w:space="0" w:color="auto"/>
        <w:right w:val="none" w:sz="0" w:space="0" w:color="auto"/>
      </w:divBdr>
    </w:div>
    <w:div w:id="623192430">
      <w:bodyDiv w:val="1"/>
      <w:marLeft w:val="0"/>
      <w:marRight w:val="0"/>
      <w:marTop w:val="0"/>
      <w:marBottom w:val="0"/>
      <w:divBdr>
        <w:top w:val="none" w:sz="0" w:space="0" w:color="auto"/>
        <w:left w:val="none" w:sz="0" w:space="0" w:color="auto"/>
        <w:bottom w:val="none" w:sz="0" w:space="0" w:color="auto"/>
        <w:right w:val="none" w:sz="0" w:space="0" w:color="auto"/>
      </w:divBdr>
    </w:div>
    <w:div w:id="670959473">
      <w:bodyDiv w:val="1"/>
      <w:marLeft w:val="0"/>
      <w:marRight w:val="0"/>
      <w:marTop w:val="0"/>
      <w:marBottom w:val="0"/>
      <w:divBdr>
        <w:top w:val="none" w:sz="0" w:space="0" w:color="auto"/>
        <w:left w:val="none" w:sz="0" w:space="0" w:color="auto"/>
        <w:bottom w:val="none" w:sz="0" w:space="0" w:color="auto"/>
        <w:right w:val="none" w:sz="0" w:space="0" w:color="auto"/>
      </w:divBdr>
    </w:div>
    <w:div w:id="1074814055">
      <w:bodyDiv w:val="1"/>
      <w:marLeft w:val="0"/>
      <w:marRight w:val="0"/>
      <w:marTop w:val="0"/>
      <w:marBottom w:val="0"/>
      <w:divBdr>
        <w:top w:val="none" w:sz="0" w:space="0" w:color="auto"/>
        <w:left w:val="none" w:sz="0" w:space="0" w:color="auto"/>
        <w:bottom w:val="none" w:sz="0" w:space="0" w:color="auto"/>
        <w:right w:val="none" w:sz="0" w:space="0" w:color="auto"/>
      </w:divBdr>
    </w:div>
    <w:div w:id="1228684830">
      <w:bodyDiv w:val="1"/>
      <w:marLeft w:val="0"/>
      <w:marRight w:val="0"/>
      <w:marTop w:val="0"/>
      <w:marBottom w:val="0"/>
      <w:divBdr>
        <w:top w:val="none" w:sz="0" w:space="0" w:color="auto"/>
        <w:left w:val="none" w:sz="0" w:space="0" w:color="auto"/>
        <w:bottom w:val="none" w:sz="0" w:space="0" w:color="auto"/>
        <w:right w:val="none" w:sz="0" w:space="0" w:color="auto"/>
      </w:divBdr>
    </w:div>
    <w:div w:id="1242252284">
      <w:bodyDiv w:val="1"/>
      <w:marLeft w:val="0"/>
      <w:marRight w:val="0"/>
      <w:marTop w:val="0"/>
      <w:marBottom w:val="0"/>
      <w:divBdr>
        <w:top w:val="none" w:sz="0" w:space="0" w:color="auto"/>
        <w:left w:val="none" w:sz="0" w:space="0" w:color="auto"/>
        <w:bottom w:val="none" w:sz="0" w:space="0" w:color="auto"/>
        <w:right w:val="none" w:sz="0" w:space="0" w:color="auto"/>
      </w:divBdr>
    </w:div>
    <w:div w:id="1422406133">
      <w:bodyDiv w:val="1"/>
      <w:marLeft w:val="0"/>
      <w:marRight w:val="0"/>
      <w:marTop w:val="0"/>
      <w:marBottom w:val="0"/>
      <w:divBdr>
        <w:top w:val="none" w:sz="0" w:space="0" w:color="auto"/>
        <w:left w:val="none" w:sz="0" w:space="0" w:color="auto"/>
        <w:bottom w:val="none" w:sz="0" w:space="0" w:color="auto"/>
        <w:right w:val="none" w:sz="0" w:space="0" w:color="auto"/>
      </w:divBdr>
    </w:div>
    <w:div w:id="1505323106">
      <w:bodyDiv w:val="1"/>
      <w:marLeft w:val="0"/>
      <w:marRight w:val="0"/>
      <w:marTop w:val="0"/>
      <w:marBottom w:val="0"/>
      <w:divBdr>
        <w:top w:val="none" w:sz="0" w:space="0" w:color="auto"/>
        <w:left w:val="none" w:sz="0" w:space="0" w:color="auto"/>
        <w:bottom w:val="none" w:sz="0" w:space="0" w:color="auto"/>
        <w:right w:val="none" w:sz="0" w:space="0" w:color="auto"/>
      </w:divBdr>
    </w:div>
    <w:div w:id="1630236121">
      <w:bodyDiv w:val="1"/>
      <w:marLeft w:val="0"/>
      <w:marRight w:val="0"/>
      <w:marTop w:val="0"/>
      <w:marBottom w:val="0"/>
      <w:divBdr>
        <w:top w:val="none" w:sz="0" w:space="0" w:color="auto"/>
        <w:left w:val="none" w:sz="0" w:space="0" w:color="auto"/>
        <w:bottom w:val="none" w:sz="0" w:space="0" w:color="auto"/>
        <w:right w:val="none" w:sz="0" w:space="0" w:color="auto"/>
      </w:divBdr>
    </w:div>
    <w:div w:id="1637369477">
      <w:bodyDiv w:val="1"/>
      <w:marLeft w:val="0"/>
      <w:marRight w:val="0"/>
      <w:marTop w:val="0"/>
      <w:marBottom w:val="0"/>
      <w:divBdr>
        <w:top w:val="none" w:sz="0" w:space="0" w:color="auto"/>
        <w:left w:val="none" w:sz="0" w:space="0" w:color="auto"/>
        <w:bottom w:val="none" w:sz="0" w:space="0" w:color="auto"/>
        <w:right w:val="none" w:sz="0" w:space="0" w:color="auto"/>
      </w:divBdr>
    </w:div>
    <w:div w:id="1757633882">
      <w:bodyDiv w:val="1"/>
      <w:marLeft w:val="0"/>
      <w:marRight w:val="0"/>
      <w:marTop w:val="0"/>
      <w:marBottom w:val="0"/>
      <w:divBdr>
        <w:top w:val="none" w:sz="0" w:space="0" w:color="auto"/>
        <w:left w:val="none" w:sz="0" w:space="0" w:color="auto"/>
        <w:bottom w:val="none" w:sz="0" w:space="0" w:color="auto"/>
        <w:right w:val="none" w:sz="0" w:space="0" w:color="auto"/>
      </w:divBdr>
    </w:div>
    <w:div w:id="195474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govt.nz/our-work/regulation-health-and-disability-system/certification-health-care-services/services-standard/resources-nga-paerewa-health-and-disability-services-standard/te-aparangi-maori-partnership-alliance" TargetMode="External"/><Relationship Id="rId18" Type="http://schemas.openxmlformats.org/officeDocument/2006/relationships/hyperlink" Target="https://www.acc.co.nz/preventing-injury/helping-prevent-pressure-injuries/" TargetMode="External"/><Relationship Id="rId26" Type="http://schemas.openxmlformats.org/officeDocument/2006/relationships/hyperlink" Target="mailto:marama.puketapu@lft.org.nz" TargetMode="External"/><Relationship Id="rId3" Type="http://schemas.openxmlformats.org/officeDocument/2006/relationships/styles" Target="styles.xml"/><Relationship Id="rId21" Type="http://schemas.openxmlformats.org/officeDocument/2006/relationships/hyperlink" Target="https://www.health.govt.nz/publication/registrar-assisted-dying-annual-repor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ealth.govt.nz/our-work/regulation-health-and-disability-system/certification-health-care-services/services-standard/resources-nga-paerewa-health-and-disability-services-standard/training-and-support" TargetMode="External"/><Relationship Id="rId17" Type="http://schemas.openxmlformats.org/officeDocument/2006/relationships/hyperlink" Target="mailto:pressureinjuryprevention@acc.co.nz" TargetMode="External"/><Relationship Id="rId25" Type="http://schemas.openxmlformats.org/officeDocument/2006/relationships/hyperlink" Target="https://www.health.govt.nz/our-work/life-stages/assisted-dying-service/assisted-dying-service-updates"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acc.co.nz/for-providers/invoicing-us/paying-patient-treatmen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rtification@health.govt.nz" TargetMode="External"/><Relationship Id="rId24" Type="http://schemas.openxmlformats.org/officeDocument/2006/relationships/hyperlink" Target="mailto:AssistedDying@health.govt.nz"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certification@health.govt.nz" TargetMode="External"/><Relationship Id="rId23" Type="http://schemas.openxmlformats.org/officeDocument/2006/relationships/hyperlink" Target="https://www.health.govt.nz/our-work/life-stages/assisted-dying-service/information-health-professionals/training-resources-health-professionals" TargetMode="External"/><Relationship Id="rId28" Type="http://schemas.openxmlformats.org/officeDocument/2006/relationships/header" Target="header1.xml"/><Relationship Id="rId10" Type="http://schemas.openxmlformats.org/officeDocument/2006/relationships/hyperlink" Target="https://www.health.govt.nz/our-work/regulation-health-and-disability-system/certification-health-care-services/services-standard/resources-nga-paerewa-health-and-disability-services-standard/training-and-support" TargetMode="External"/><Relationship Id="rId19" Type="http://schemas.openxmlformats.org/officeDocument/2006/relationships/hyperlink" Target="https://www.acc.co.nz/assets/provider/405074f420/treatment-injury-claim-lodgement-guide.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health.govt.nz/our-work/regulation-health-and-disability-system/certification-health-care-services/information-providers-health-care-services/notifying-incident-under-section-31" TargetMode="External"/><Relationship Id="rId14" Type="http://schemas.openxmlformats.org/officeDocument/2006/relationships/hyperlink" Target="mailto:Jade.Cincotta@health.govt.nz" TargetMode="External"/><Relationship Id="rId22" Type="http://schemas.openxmlformats.org/officeDocument/2006/relationships/hyperlink" Target="https://www.health.govt.nz/our-work/life-stages/assisted-dying-service/assisted-dying-service-data-and-reporting" TargetMode="External"/><Relationship Id="rId27" Type="http://schemas.openxmlformats.org/officeDocument/2006/relationships/hyperlink" Target="mailto:certification@health.govt.nz" TargetMode="External"/><Relationship Id="rId30" Type="http://schemas.openxmlformats.org/officeDocument/2006/relationships/footer" Target="footer1.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488FD-EBF3-4F01-96E3-2F1B3FFE0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2944</Words>
  <Characters>16782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HealthCERT Bulletin Issue 28 - June 2022</vt:lpstr>
    </vt:vector>
  </TitlesOfParts>
  <Company/>
  <LinksUpToDate>false</LinksUpToDate>
  <CharactersWithSpaces>19687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HealthCERT Bulletin Issue 29 - September 2022</dc:title>
  <dc:subject/>
  <dc:creator>Ministry of Health</dc:creator>
  <cp:keywords/>
  <dc:description/>
  <cp:lastModifiedBy>Ministry of Health</cp:lastModifiedBy>
  <cp:revision>7</cp:revision>
  <dcterms:created xsi:type="dcterms:W3CDTF">2022-09-06T21:59:00Z</dcterms:created>
  <dcterms:modified xsi:type="dcterms:W3CDTF">2022-09-07T21:28:00Z</dcterms:modified>
</cp:coreProperties>
</file>