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09641" w14:textId="634967B2" w:rsidR="00746AF3" w:rsidRPr="00A409A5" w:rsidRDefault="00437A0B" w:rsidP="00696EA9">
      <w:pPr>
        <w:spacing w:before="240" w:after="360"/>
        <w:rPr>
          <w:rFonts w:ascii="Georgia" w:hAnsi="Georgia"/>
          <w:b/>
          <w:sz w:val="40"/>
          <w:szCs w:val="40"/>
        </w:rPr>
      </w:pPr>
      <w:r w:rsidRPr="00A409A5">
        <w:rPr>
          <w:noProof/>
          <w:sz w:val="40"/>
          <w:szCs w:val="40"/>
          <w:lang w:eastAsia="en-NZ"/>
        </w:rPr>
        <w:drawing>
          <wp:anchor distT="0" distB="0" distL="114300" distR="114300" simplePos="0" relativeHeight="251658240" behindDoc="1" locked="0" layoutInCell="1" allowOverlap="1" wp14:anchorId="5B34CAB2" wp14:editId="5EC7A4D0">
            <wp:simplePos x="0" y="0"/>
            <wp:positionH relativeFrom="margin">
              <wp:align>right</wp:align>
            </wp:positionH>
            <wp:positionV relativeFrom="paragraph">
              <wp:posOffset>68580</wp:posOffset>
            </wp:positionV>
            <wp:extent cx="989330" cy="481965"/>
            <wp:effectExtent l="0" t="0" r="1270" b="0"/>
            <wp:wrapTight wrapText="bothSides">
              <wp:wrapPolygon edited="0">
                <wp:start x="0" y="0"/>
                <wp:lineTo x="0" y="20490"/>
                <wp:lineTo x="21212" y="20490"/>
                <wp:lineTo x="21212" y="0"/>
                <wp:lineTo x="0" y="0"/>
              </wp:wrapPolygon>
            </wp:wrapTight>
            <wp:docPr id="1" name="Picture 1" descr="27510 MOH word template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7510 MOH word template masthead"/>
                    <pic:cNvPicPr>
                      <a:picLocks noChangeAspect="1" noChangeArrowheads="1"/>
                    </pic:cNvPicPr>
                  </pic:nvPicPr>
                  <pic:blipFill>
                    <a:blip r:embed="rId6" cstate="print">
                      <a:extLst>
                        <a:ext uri="{28A0092B-C50C-407E-A947-70E740481C1C}">
                          <a14:useLocalDpi xmlns:a14="http://schemas.microsoft.com/office/drawing/2010/main" val="0"/>
                        </a:ext>
                      </a:extLst>
                    </a:blip>
                    <a:srcRect l="6610" t="43289" r="79724" b="11005"/>
                    <a:stretch>
                      <a:fillRect/>
                    </a:stretch>
                  </pic:blipFill>
                  <pic:spPr bwMode="auto">
                    <a:xfrm>
                      <a:off x="0" y="0"/>
                      <a:ext cx="989330" cy="481965"/>
                    </a:xfrm>
                    <a:prstGeom prst="rect">
                      <a:avLst/>
                    </a:prstGeom>
                    <a:noFill/>
                    <a:ln>
                      <a:noFill/>
                    </a:ln>
                  </pic:spPr>
                </pic:pic>
              </a:graphicData>
            </a:graphic>
            <wp14:sizeRelH relativeFrom="page">
              <wp14:pctWidth>0</wp14:pctWidth>
            </wp14:sizeRelH>
            <wp14:sizeRelV relativeFrom="page">
              <wp14:pctHeight>0</wp14:pctHeight>
            </wp14:sizeRelV>
          </wp:anchor>
        </w:drawing>
      </w:r>
      <w:r w:rsidR="00746AF3" w:rsidRPr="00A409A5">
        <w:rPr>
          <w:rFonts w:ascii="Georgia" w:hAnsi="Georgia"/>
          <w:b/>
          <w:sz w:val="40"/>
          <w:szCs w:val="40"/>
        </w:rPr>
        <w:tab/>
      </w:r>
      <w:r w:rsidR="00746AF3" w:rsidRPr="00A409A5">
        <w:rPr>
          <w:rFonts w:ascii="Georgia" w:hAnsi="Georgia"/>
          <w:b/>
          <w:sz w:val="40"/>
          <w:szCs w:val="40"/>
        </w:rPr>
        <w:tab/>
      </w:r>
      <w:r w:rsidR="00746AF3" w:rsidRPr="00A409A5">
        <w:rPr>
          <w:rFonts w:ascii="Georgia" w:hAnsi="Georgia"/>
          <w:b/>
          <w:sz w:val="40"/>
          <w:szCs w:val="40"/>
        </w:rPr>
        <w:tab/>
      </w:r>
      <w:r w:rsidR="00746AF3" w:rsidRPr="00A409A5">
        <w:rPr>
          <w:rFonts w:ascii="Georgia" w:hAnsi="Georgia"/>
          <w:b/>
          <w:sz w:val="40"/>
          <w:szCs w:val="40"/>
        </w:rPr>
        <w:tab/>
      </w:r>
      <w:r w:rsidR="00746AF3" w:rsidRPr="00A409A5">
        <w:rPr>
          <w:rFonts w:ascii="Georgia" w:hAnsi="Georgia"/>
          <w:b/>
          <w:sz w:val="40"/>
          <w:szCs w:val="40"/>
        </w:rPr>
        <w:tab/>
      </w:r>
      <w:r w:rsidR="00746AF3" w:rsidRPr="00A409A5">
        <w:rPr>
          <w:rFonts w:ascii="Georgia" w:hAnsi="Georgia"/>
          <w:b/>
          <w:sz w:val="40"/>
          <w:szCs w:val="40"/>
        </w:rPr>
        <w:tab/>
      </w:r>
      <w:r w:rsidR="00746AF3" w:rsidRPr="00A409A5">
        <w:rPr>
          <w:rFonts w:ascii="Georgia" w:hAnsi="Georgia"/>
          <w:b/>
          <w:sz w:val="40"/>
          <w:szCs w:val="40"/>
        </w:rPr>
        <w:tab/>
      </w:r>
      <w:r w:rsidR="00746AF3" w:rsidRPr="00A409A5">
        <w:rPr>
          <w:rFonts w:ascii="Georgia" w:hAnsi="Georgia"/>
          <w:b/>
          <w:sz w:val="40"/>
          <w:szCs w:val="40"/>
        </w:rPr>
        <w:tab/>
      </w:r>
      <w:r w:rsidR="00746AF3" w:rsidRPr="00A409A5">
        <w:rPr>
          <w:rFonts w:ascii="Georgia" w:hAnsi="Georgia"/>
          <w:b/>
          <w:sz w:val="40"/>
          <w:szCs w:val="40"/>
        </w:rPr>
        <w:tab/>
      </w:r>
    </w:p>
    <w:p w14:paraId="72F11D8B" w14:textId="29E3185B" w:rsidR="00746AF3" w:rsidRPr="00A409A5" w:rsidRDefault="00746AF3" w:rsidP="00696EA9">
      <w:pPr>
        <w:spacing w:before="240" w:after="360"/>
        <w:rPr>
          <w:rFonts w:ascii="Georgia" w:hAnsi="Georgia"/>
          <w:b/>
          <w:sz w:val="40"/>
          <w:szCs w:val="40"/>
        </w:rPr>
      </w:pPr>
      <w:r>
        <w:rPr>
          <w:rFonts w:ascii="Georgia" w:hAnsi="Georgia"/>
          <w:b/>
          <w:sz w:val="40"/>
          <w:szCs w:val="40"/>
        </w:rPr>
        <w:t>Medicinal Cannabis Advisory Group</w:t>
      </w:r>
      <w:r w:rsidR="00900D10">
        <w:rPr>
          <w:rFonts w:ascii="Georgia" w:hAnsi="Georgia"/>
          <w:b/>
          <w:sz w:val="40"/>
          <w:szCs w:val="40"/>
        </w:rPr>
        <w:t xml:space="preserve"> </w:t>
      </w:r>
      <w:r w:rsidR="003A402E">
        <w:rPr>
          <w:rFonts w:ascii="Georgia" w:hAnsi="Georgia"/>
          <w:b/>
          <w:sz w:val="40"/>
          <w:szCs w:val="40"/>
        </w:rPr>
        <w:t>M</w:t>
      </w:r>
      <w:r w:rsidR="00900D10">
        <w:rPr>
          <w:rFonts w:ascii="Georgia" w:hAnsi="Georgia"/>
          <w:b/>
          <w:sz w:val="40"/>
          <w:szCs w:val="40"/>
        </w:rPr>
        <w:t>eeting M</w:t>
      </w:r>
      <w:r w:rsidR="00DC1698">
        <w:rPr>
          <w:rFonts w:ascii="Georgia" w:hAnsi="Georgia"/>
          <w:b/>
          <w:sz w:val="40"/>
          <w:szCs w:val="40"/>
        </w:rPr>
        <w:t>inutes</w:t>
      </w:r>
    </w:p>
    <w:tbl>
      <w:tblPr>
        <w:tblStyle w:val="TableGrid"/>
        <w:tblW w:w="9900" w:type="dxa"/>
        <w:tblInd w:w="108" w:type="dxa"/>
        <w:tblBorders>
          <w:left w:val="none" w:sz="0" w:space="0" w:color="auto"/>
          <w:right w:val="none" w:sz="0" w:space="0" w:color="auto"/>
        </w:tblBorders>
        <w:tblLayout w:type="fixed"/>
        <w:tblLook w:val="01E0" w:firstRow="1" w:lastRow="1" w:firstColumn="1" w:lastColumn="1" w:noHBand="0" w:noVBand="0"/>
      </w:tblPr>
      <w:tblGrid>
        <w:gridCol w:w="1440"/>
        <w:gridCol w:w="8460"/>
      </w:tblGrid>
      <w:tr w:rsidR="00746AF3" w:rsidRPr="00006665" w14:paraId="5EBC6686" w14:textId="77777777" w:rsidTr="00490F45">
        <w:trPr>
          <w:cantSplit/>
        </w:trPr>
        <w:tc>
          <w:tcPr>
            <w:tcW w:w="1440" w:type="dxa"/>
            <w:tcBorders>
              <w:top w:val="single" w:sz="12" w:space="0" w:color="auto"/>
              <w:bottom w:val="single" w:sz="2" w:space="0" w:color="auto"/>
              <w:right w:val="nil"/>
            </w:tcBorders>
          </w:tcPr>
          <w:p w14:paraId="270746EC" w14:textId="77777777" w:rsidR="00746AF3" w:rsidRPr="00EF0B2D" w:rsidRDefault="00746AF3" w:rsidP="00696EA9">
            <w:pPr>
              <w:pStyle w:val="TableText"/>
              <w:rPr>
                <w:rFonts w:cs="Arial"/>
                <w:b/>
                <w:sz w:val="22"/>
                <w:szCs w:val="22"/>
              </w:rPr>
            </w:pPr>
            <w:r w:rsidRPr="00EF0B2D">
              <w:rPr>
                <w:rFonts w:cs="Arial"/>
                <w:b/>
                <w:sz w:val="22"/>
                <w:szCs w:val="22"/>
              </w:rPr>
              <w:t>Date:</w:t>
            </w:r>
            <w:r>
              <w:rPr>
                <w:rFonts w:cs="Arial"/>
                <w:b/>
                <w:sz w:val="22"/>
                <w:szCs w:val="22"/>
              </w:rPr>
              <w:t xml:space="preserve"> </w:t>
            </w:r>
          </w:p>
        </w:tc>
        <w:tc>
          <w:tcPr>
            <w:tcW w:w="8460" w:type="dxa"/>
            <w:tcBorders>
              <w:top w:val="single" w:sz="12" w:space="0" w:color="auto"/>
              <w:left w:val="nil"/>
              <w:bottom w:val="single" w:sz="2" w:space="0" w:color="auto"/>
              <w:right w:val="nil"/>
            </w:tcBorders>
          </w:tcPr>
          <w:p w14:paraId="5D389516" w14:textId="77777777" w:rsidR="00746AF3" w:rsidRPr="004F4DCC" w:rsidRDefault="00746AF3" w:rsidP="00696EA9">
            <w:pPr>
              <w:pStyle w:val="TableText"/>
              <w:rPr>
                <w:rFonts w:cs="Arial"/>
                <w:sz w:val="22"/>
                <w:szCs w:val="22"/>
              </w:rPr>
            </w:pPr>
            <w:r>
              <w:rPr>
                <w:rFonts w:cs="Arial"/>
                <w:sz w:val="22"/>
                <w:szCs w:val="22"/>
              </w:rPr>
              <w:t>Monday 29 April 2019</w:t>
            </w:r>
          </w:p>
        </w:tc>
      </w:tr>
      <w:tr w:rsidR="00746AF3" w:rsidRPr="00006665" w14:paraId="17D88B89" w14:textId="77777777" w:rsidTr="00490F45">
        <w:trPr>
          <w:cantSplit/>
        </w:trPr>
        <w:tc>
          <w:tcPr>
            <w:tcW w:w="1440" w:type="dxa"/>
            <w:tcBorders>
              <w:top w:val="single" w:sz="12" w:space="0" w:color="auto"/>
              <w:bottom w:val="single" w:sz="2" w:space="0" w:color="auto"/>
              <w:right w:val="nil"/>
            </w:tcBorders>
          </w:tcPr>
          <w:p w14:paraId="7CB61458" w14:textId="77777777" w:rsidR="00746AF3" w:rsidRPr="00EF0B2D" w:rsidRDefault="00746AF3" w:rsidP="00696EA9">
            <w:pPr>
              <w:pStyle w:val="TableText"/>
              <w:rPr>
                <w:rFonts w:cs="Arial"/>
                <w:b/>
                <w:sz w:val="22"/>
                <w:szCs w:val="22"/>
              </w:rPr>
            </w:pPr>
            <w:r w:rsidRPr="00EF0B2D">
              <w:rPr>
                <w:rFonts w:cs="Arial"/>
                <w:b/>
                <w:sz w:val="22"/>
                <w:szCs w:val="22"/>
              </w:rPr>
              <w:t>Time:</w:t>
            </w:r>
          </w:p>
        </w:tc>
        <w:tc>
          <w:tcPr>
            <w:tcW w:w="8460" w:type="dxa"/>
            <w:tcBorders>
              <w:top w:val="single" w:sz="12" w:space="0" w:color="auto"/>
              <w:left w:val="nil"/>
              <w:bottom w:val="single" w:sz="2" w:space="0" w:color="auto"/>
              <w:right w:val="nil"/>
            </w:tcBorders>
          </w:tcPr>
          <w:p w14:paraId="703762DC" w14:textId="77777777" w:rsidR="00746AF3" w:rsidRPr="004F4DCC" w:rsidRDefault="00EA466B" w:rsidP="00696EA9">
            <w:pPr>
              <w:pStyle w:val="TableText"/>
              <w:rPr>
                <w:rFonts w:cs="Arial"/>
                <w:sz w:val="22"/>
                <w:szCs w:val="22"/>
              </w:rPr>
            </w:pPr>
            <w:r>
              <w:rPr>
                <w:rFonts w:cs="Arial"/>
                <w:sz w:val="22"/>
                <w:szCs w:val="22"/>
              </w:rPr>
              <w:t>9.30am–</w:t>
            </w:r>
            <w:r w:rsidR="00746AF3">
              <w:rPr>
                <w:rFonts w:cs="Arial"/>
                <w:sz w:val="22"/>
                <w:szCs w:val="22"/>
              </w:rPr>
              <w:t>4</w:t>
            </w:r>
            <w:r>
              <w:rPr>
                <w:rFonts w:cs="Arial"/>
                <w:sz w:val="22"/>
                <w:szCs w:val="22"/>
              </w:rPr>
              <w:t>.00</w:t>
            </w:r>
            <w:r w:rsidR="00746AF3">
              <w:rPr>
                <w:rFonts w:cs="Arial"/>
                <w:sz w:val="22"/>
                <w:szCs w:val="22"/>
              </w:rPr>
              <w:t>pm</w:t>
            </w:r>
          </w:p>
        </w:tc>
      </w:tr>
      <w:tr w:rsidR="00746AF3" w:rsidRPr="00006665" w14:paraId="3BFBEE46" w14:textId="77777777" w:rsidTr="00490F45">
        <w:trPr>
          <w:cantSplit/>
        </w:trPr>
        <w:tc>
          <w:tcPr>
            <w:tcW w:w="1440" w:type="dxa"/>
            <w:tcBorders>
              <w:top w:val="single" w:sz="12" w:space="0" w:color="auto"/>
              <w:bottom w:val="single" w:sz="2" w:space="0" w:color="auto"/>
              <w:right w:val="nil"/>
            </w:tcBorders>
          </w:tcPr>
          <w:p w14:paraId="696DB2C0" w14:textId="77777777" w:rsidR="00746AF3" w:rsidRPr="00EF0B2D" w:rsidRDefault="00746AF3" w:rsidP="00696EA9">
            <w:pPr>
              <w:pStyle w:val="TableText"/>
              <w:rPr>
                <w:rFonts w:cs="Arial"/>
                <w:b/>
                <w:sz w:val="22"/>
                <w:szCs w:val="22"/>
              </w:rPr>
            </w:pPr>
            <w:r w:rsidRPr="00EF0B2D">
              <w:rPr>
                <w:rFonts w:cs="Arial"/>
                <w:b/>
                <w:sz w:val="22"/>
                <w:szCs w:val="22"/>
              </w:rPr>
              <w:t>Location:</w:t>
            </w:r>
          </w:p>
        </w:tc>
        <w:tc>
          <w:tcPr>
            <w:tcW w:w="8460" w:type="dxa"/>
            <w:tcBorders>
              <w:top w:val="single" w:sz="12" w:space="0" w:color="auto"/>
              <w:left w:val="nil"/>
              <w:bottom w:val="single" w:sz="2" w:space="0" w:color="auto"/>
              <w:right w:val="nil"/>
            </w:tcBorders>
          </w:tcPr>
          <w:p w14:paraId="306F617E" w14:textId="77777777" w:rsidR="00746AF3" w:rsidRPr="004F4DCC" w:rsidRDefault="00AC2E98" w:rsidP="00696EA9">
            <w:pPr>
              <w:pStyle w:val="TableText"/>
              <w:rPr>
                <w:rFonts w:cs="Arial"/>
                <w:sz w:val="22"/>
                <w:szCs w:val="22"/>
              </w:rPr>
            </w:pPr>
            <w:r>
              <w:rPr>
                <w:rFonts w:cs="Arial"/>
                <w:sz w:val="22"/>
                <w:szCs w:val="22"/>
              </w:rPr>
              <w:t xml:space="preserve">Bunker Room, </w:t>
            </w:r>
            <w:r w:rsidR="00746AF3">
              <w:rPr>
                <w:rFonts w:cs="Arial"/>
                <w:sz w:val="22"/>
                <w:szCs w:val="22"/>
              </w:rPr>
              <w:t>Miramar Links, 1 Stewart Duff Drive, Wellington</w:t>
            </w:r>
          </w:p>
        </w:tc>
      </w:tr>
      <w:tr w:rsidR="00746AF3" w:rsidRPr="00006665" w14:paraId="5A9782AF" w14:textId="77777777" w:rsidTr="00490F45">
        <w:trPr>
          <w:cantSplit/>
        </w:trPr>
        <w:tc>
          <w:tcPr>
            <w:tcW w:w="1440" w:type="dxa"/>
            <w:tcBorders>
              <w:top w:val="single" w:sz="12" w:space="0" w:color="auto"/>
              <w:bottom w:val="single" w:sz="2" w:space="0" w:color="auto"/>
              <w:right w:val="nil"/>
            </w:tcBorders>
          </w:tcPr>
          <w:p w14:paraId="4AF0C28E" w14:textId="77777777" w:rsidR="00746AF3" w:rsidRPr="00EF0B2D" w:rsidRDefault="00746AF3" w:rsidP="00696EA9">
            <w:pPr>
              <w:pStyle w:val="TableText"/>
              <w:rPr>
                <w:rFonts w:cs="Arial"/>
                <w:b/>
                <w:sz w:val="22"/>
                <w:szCs w:val="22"/>
              </w:rPr>
            </w:pPr>
            <w:r w:rsidRPr="00EF0B2D">
              <w:rPr>
                <w:rFonts w:cs="Arial"/>
                <w:b/>
                <w:sz w:val="22"/>
                <w:szCs w:val="22"/>
              </w:rPr>
              <w:t>Chair:</w:t>
            </w:r>
          </w:p>
        </w:tc>
        <w:tc>
          <w:tcPr>
            <w:tcW w:w="8460" w:type="dxa"/>
            <w:tcBorders>
              <w:top w:val="single" w:sz="12" w:space="0" w:color="auto"/>
              <w:left w:val="nil"/>
              <w:bottom w:val="single" w:sz="2" w:space="0" w:color="auto"/>
              <w:right w:val="nil"/>
            </w:tcBorders>
          </w:tcPr>
          <w:p w14:paraId="1164943C" w14:textId="77777777" w:rsidR="00746AF3" w:rsidRPr="00DA4128" w:rsidRDefault="00746AF3" w:rsidP="00696EA9">
            <w:pPr>
              <w:pStyle w:val="TableText"/>
              <w:rPr>
                <w:rFonts w:cs="Arial"/>
                <w:sz w:val="22"/>
                <w:szCs w:val="22"/>
              </w:rPr>
            </w:pPr>
            <w:r>
              <w:rPr>
                <w:rFonts w:cs="Arial"/>
                <w:color w:val="000000"/>
                <w:sz w:val="22"/>
                <w:szCs w:val="22"/>
              </w:rPr>
              <w:t>Dr Russell Wills</w:t>
            </w:r>
          </w:p>
        </w:tc>
      </w:tr>
      <w:tr w:rsidR="00746AF3" w:rsidRPr="00006665" w14:paraId="127F8347" w14:textId="77777777" w:rsidTr="00490F45">
        <w:trPr>
          <w:cantSplit/>
        </w:trPr>
        <w:tc>
          <w:tcPr>
            <w:tcW w:w="1440" w:type="dxa"/>
            <w:tcBorders>
              <w:top w:val="single" w:sz="12" w:space="0" w:color="auto"/>
              <w:bottom w:val="single" w:sz="2" w:space="0" w:color="auto"/>
              <w:right w:val="nil"/>
            </w:tcBorders>
          </w:tcPr>
          <w:p w14:paraId="017D58F5" w14:textId="77777777" w:rsidR="00746AF3" w:rsidRPr="00EF0B2D" w:rsidRDefault="00746AF3" w:rsidP="00696EA9">
            <w:pPr>
              <w:pStyle w:val="TableText"/>
              <w:rPr>
                <w:rFonts w:cs="Arial"/>
                <w:b/>
                <w:sz w:val="22"/>
                <w:szCs w:val="22"/>
              </w:rPr>
            </w:pPr>
            <w:r w:rsidRPr="00EF0B2D">
              <w:rPr>
                <w:rFonts w:cs="Arial"/>
                <w:b/>
                <w:sz w:val="22"/>
                <w:szCs w:val="22"/>
              </w:rPr>
              <w:t>Attendees:</w:t>
            </w:r>
          </w:p>
        </w:tc>
        <w:tc>
          <w:tcPr>
            <w:tcW w:w="8460" w:type="dxa"/>
            <w:tcBorders>
              <w:top w:val="single" w:sz="12" w:space="0" w:color="auto"/>
              <w:left w:val="nil"/>
              <w:bottom w:val="single" w:sz="2" w:space="0" w:color="auto"/>
              <w:right w:val="nil"/>
            </w:tcBorders>
          </w:tcPr>
          <w:p w14:paraId="40CA5944" w14:textId="77777777" w:rsidR="00746AF3" w:rsidRPr="008A1498" w:rsidRDefault="00746AF3" w:rsidP="00696EA9">
            <w:pPr>
              <w:autoSpaceDE w:val="0"/>
              <w:autoSpaceDN w:val="0"/>
              <w:adjustRightInd w:val="0"/>
              <w:rPr>
                <w:rFonts w:eastAsiaTheme="minorHAnsi" w:cs="Arial"/>
                <w:color w:val="000000"/>
                <w:sz w:val="22"/>
                <w:szCs w:val="22"/>
                <w:lang w:eastAsia="en-US"/>
              </w:rPr>
            </w:pPr>
            <w:r w:rsidRPr="0006110E">
              <w:rPr>
                <w:rFonts w:cs="Arial"/>
                <w:sz w:val="22"/>
                <w:szCs w:val="22"/>
              </w:rPr>
              <w:t xml:space="preserve">Committee </w:t>
            </w:r>
            <w:r>
              <w:rPr>
                <w:rFonts w:cs="Arial"/>
                <w:sz w:val="22"/>
                <w:szCs w:val="22"/>
              </w:rPr>
              <w:t>– Dr Brian Ensor, Judy Leader, Professor Michelle Glass, Dr David Burrell, Rebecca Reider, Manu Caddie, Kali Mercier, Tara Creaven</w:t>
            </w:r>
            <w:r w:rsidR="00D62250">
              <w:rPr>
                <w:rFonts w:cs="Arial"/>
                <w:sz w:val="22"/>
                <w:szCs w:val="22"/>
              </w:rPr>
              <w:t>-Capasso</w:t>
            </w:r>
            <w:r>
              <w:rPr>
                <w:rFonts w:cs="Arial"/>
                <w:sz w:val="22"/>
                <w:szCs w:val="22"/>
              </w:rPr>
              <w:t>, Simon Royal</w:t>
            </w:r>
          </w:p>
          <w:p w14:paraId="2DCF4A44" w14:textId="77777777" w:rsidR="00746AF3" w:rsidRDefault="00746AF3" w:rsidP="00696EA9">
            <w:pPr>
              <w:pStyle w:val="TableText"/>
              <w:rPr>
                <w:rFonts w:cs="Arial"/>
                <w:sz w:val="22"/>
                <w:szCs w:val="22"/>
              </w:rPr>
            </w:pPr>
            <w:r w:rsidRPr="004F4DCC">
              <w:rPr>
                <w:rFonts w:cs="Arial"/>
                <w:sz w:val="22"/>
                <w:szCs w:val="22"/>
              </w:rPr>
              <w:t>Secretariat –</w:t>
            </w:r>
            <w:r w:rsidR="00907412">
              <w:rPr>
                <w:rFonts w:cs="Arial"/>
                <w:sz w:val="22"/>
                <w:szCs w:val="22"/>
              </w:rPr>
              <w:t xml:space="preserve"> </w:t>
            </w:r>
            <w:r>
              <w:rPr>
                <w:rFonts w:cs="Arial"/>
                <w:sz w:val="22"/>
                <w:szCs w:val="22"/>
              </w:rPr>
              <w:t>Andrea Eng</w:t>
            </w:r>
            <w:r w:rsidRPr="004F4DCC">
              <w:rPr>
                <w:rFonts w:cs="Arial"/>
                <w:sz w:val="22"/>
                <w:szCs w:val="22"/>
              </w:rPr>
              <w:t xml:space="preserve">, </w:t>
            </w:r>
            <w:r>
              <w:rPr>
                <w:rFonts w:cs="Arial"/>
                <w:sz w:val="22"/>
                <w:szCs w:val="22"/>
              </w:rPr>
              <w:t>Kayla Cook, Cherish Low, Valerie Mills</w:t>
            </w:r>
            <w:r w:rsidR="00907412">
              <w:rPr>
                <w:rFonts w:cs="Arial"/>
                <w:sz w:val="22"/>
                <w:szCs w:val="22"/>
              </w:rPr>
              <w:t>, Susan Thomson</w:t>
            </w:r>
          </w:p>
          <w:p w14:paraId="0460D95D" w14:textId="77777777" w:rsidR="00907412" w:rsidRPr="00006665" w:rsidRDefault="00907412" w:rsidP="00696EA9">
            <w:pPr>
              <w:pStyle w:val="TableText"/>
              <w:rPr>
                <w:rFonts w:cs="Arial"/>
                <w:sz w:val="22"/>
                <w:szCs w:val="22"/>
              </w:rPr>
            </w:pPr>
            <w:r>
              <w:rPr>
                <w:rFonts w:cs="Arial"/>
                <w:sz w:val="22"/>
                <w:szCs w:val="22"/>
              </w:rPr>
              <w:t>Ministry of Health – Chris James, Jane Hubbard, Sharon Woollaston</w:t>
            </w:r>
          </w:p>
        </w:tc>
      </w:tr>
      <w:tr w:rsidR="00746AF3" w:rsidRPr="00692620" w14:paraId="70A9FAB6" w14:textId="77777777" w:rsidTr="00490F45">
        <w:trPr>
          <w:cantSplit/>
          <w:trHeight w:val="475"/>
        </w:trPr>
        <w:tc>
          <w:tcPr>
            <w:tcW w:w="1440" w:type="dxa"/>
            <w:tcBorders>
              <w:top w:val="single" w:sz="12" w:space="0" w:color="auto"/>
              <w:bottom w:val="single" w:sz="2" w:space="0" w:color="auto"/>
              <w:right w:val="nil"/>
            </w:tcBorders>
          </w:tcPr>
          <w:p w14:paraId="40DC0100" w14:textId="77777777" w:rsidR="00746AF3" w:rsidRPr="00EF0B2D" w:rsidRDefault="00746AF3" w:rsidP="00696EA9">
            <w:pPr>
              <w:pStyle w:val="TableText"/>
              <w:rPr>
                <w:rFonts w:cs="Arial"/>
                <w:b/>
                <w:sz w:val="22"/>
                <w:szCs w:val="22"/>
              </w:rPr>
            </w:pPr>
            <w:r w:rsidRPr="00EF0B2D">
              <w:rPr>
                <w:rFonts w:cs="Arial"/>
                <w:b/>
                <w:sz w:val="22"/>
                <w:szCs w:val="22"/>
              </w:rPr>
              <w:t>Apologies:</w:t>
            </w:r>
          </w:p>
        </w:tc>
        <w:tc>
          <w:tcPr>
            <w:tcW w:w="8460" w:type="dxa"/>
            <w:tcBorders>
              <w:top w:val="single" w:sz="12" w:space="0" w:color="auto"/>
              <w:left w:val="nil"/>
              <w:bottom w:val="single" w:sz="2" w:space="0" w:color="auto"/>
              <w:right w:val="nil"/>
            </w:tcBorders>
          </w:tcPr>
          <w:p w14:paraId="531F3E68" w14:textId="77777777" w:rsidR="00746AF3" w:rsidRPr="00006665" w:rsidRDefault="00746AF3" w:rsidP="00696EA9">
            <w:pPr>
              <w:pStyle w:val="TableText"/>
              <w:rPr>
                <w:rFonts w:cs="Arial"/>
                <w:sz w:val="22"/>
                <w:szCs w:val="22"/>
              </w:rPr>
            </w:pPr>
            <w:r>
              <w:rPr>
                <w:rFonts w:cs="Arial"/>
                <w:sz w:val="22"/>
                <w:szCs w:val="22"/>
              </w:rPr>
              <w:t xml:space="preserve">Dr Andrew Butler, Dr Cynthia Sharpe, </w:t>
            </w:r>
            <w:r w:rsidR="000019C0">
              <w:rPr>
                <w:rFonts w:cs="Arial"/>
                <w:sz w:val="22"/>
                <w:szCs w:val="22"/>
              </w:rPr>
              <w:t xml:space="preserve">Simon Royal, </w:t>
            </w:r>
            <w:r>
              <w:rPr>
                <w:rFonts w:cs="Arial"/>
                <w:sz w:val="22"/>
                <w:szCs w:val="22"/>
              </w:rPr>
              <w:t>Suzy Barber</w:t>
            </w:r>
          </w:p>
        </w:tc>
      </w:tr>
    </w:tbl>
    <w:p w14:paraId="30E0F653" w14:textId="77777777" w:rsidR="00D06245" w:rsidRDefault="00D06245" w:rsidP="00696EA9">
      <w:pPr>
        <w:rPr>
          <w:sz w:val="22"/>
          <w:szCs w:val="22"/>
        </w:rPr>
      </w:pPr>
    </w:p>
    <w:tbl>
      <w:tblPr>
        <w:tblStyle w:val="TableGrid"/>
        <w:tblpPr w:leftFromText="180" w:rightFromText="180" w:vertAnchor="text" w:tblpXSpec="right" w:tblpY="1"/>
        <w:tblOverlap w:val="never"/>
        <w:tblW w:w="9877" w:type="dxa"/>
        <w:tblLook w:val="0620" w:firstRow="1" w:lastRow="0" w:firstColumn="0" w:lastColumn="0" w:noHBand="1" w:noVBand="1"/>
      </w:tblPr>
      <w:tblGrid>
        <w:gridCol w:w="669"/>
        <w:gridCol w:w="9208"/>
      </w:tblGrid>
      <w:tr w:rsidR="00D06245" w14:paraId="264DCEF8" w14:textId="77777777" w:rsidTr="00492753">
        <w:trPr>
          <w:trHeight w:val="412"/>
          <w:tblHeader/>
        </w:trPr>
        <w:tc>
          <w:tcPr>
            <w:tcW w:w="669" w:type="dxa"/>
            <w:shd w:val="clear" w:color="auto" w:fill="DEEAF6" w:themeFill="accent1" w:themeFillTint="33"/>
          </w:tcPr>
          <w:p w14:paraId="4DA0B734" w14:textId="4D11FB04" w:rsidR="00D06245" w:rsidRDefault="00D06245" w:rsidP="00696EA9">
            <w:pPr>
              <w:tabs>
                <w:tab w:val="right" w:leader="underscore" w:pos="5670"/>
                <w:tab w:val="left" w:pos="6237"/>
              </w:tabs>
              <w:spacing w:before="60" w:after="60"/>
              <w:jc w:val="center"/>
              <w:rPr>
                <w:rFonts w:cs="Arial"/>
                <w:b/>
                <w:sz w:val="22"/>
                <w:szCs w:val="22"/>
              </w:rPr>
            </w:pPr>
            <w:r>
              <w:rPr>
                <w:rFonts w:cs="Arial"/>
                <w:b/>
                <w:sz w:val="22"/>
                <w:szCs w:val="22"/>
              </w:rPr>
              <w:t>Item</w:t>
            </w:r>
          </w:p>
        </w:tc>
        <w:tc>
          <w:tcPr>
            <w:tcW w:w="9208" w:type="dxa"/>
            <w:shd w:val="clear" w:color="auto" w:fill="DEEAF6" w:themeFill="accent1" w:themeFillTint="33"/>
          </w:tcPr>
          <w:p w14:paraId="29A1267A" w14:textId="7D71195F" w:rsidR="00D06245" w:rsidRDefault="00D06245" w:rsidP="00696EA9">
            <w:pPr>
              <w:tabs>
                <w:tab w:val="right" w:leader="underscore" w:pos="5670"/>
                <w:tab w:val="left" w:pos="6237"/>
              </w:tabs>
              <w:spacing w:before="60" w:after="60"/>
              <w:rPr>
                <w:rFonts w:cs="Arial"/>
                <w:b/>
                <w:sz w:val="22"/>
                <w:szCs w:val="22"/>
              </w:rPr>
            </w:pPr>
            <w:r>
              <w:rPr>
                <w:rFonts w:cs="Arial"/>
                <w:b/>
                <w:sz w:val="22"/>
                <w:szCs w:val="22"/>
              </w:rPr>
              <w:t>Notes</w:t>
            </w:r>
          </w:p>
        </w:tc>
      </w:tr>
      <w:tr w:rsidR="00B03C4A" w14:paraId="2EE9C1CC" w14:textId="77777777" w:rsidTr="00492753">
        <w:tc>
          <w:tcPr>
            <w:tcW w:w="669" w:type="dxa"/>
            <w:shd w:val="clear" w:color="auto" w:fill="auto"/>
          </w:tcPr>
          <w:p w14:paraId="17BB4D3D" w14:textId="7D071100" w:rsidR="00B03C4A" w:rsidRPr="00600C5E" w:rsidRDefault="00D06245" w:rsidP="00D0502C">
            <w:pPr>
              <w:tabs>
                <w:tab w:val="right" w:leader="underscore" w:pos="5670"/>
                <w:tab w:val="left" w:pos="6237"/>
              </w:tabs>
              <w:spacing w:before="60" w:after="60"/>
              <w:rPr>
                <w:rFonts w:cs="Arial"/>
                <w:b/>
                <w:sz w:val="22"/>
                <w:szCs w:val="22"/>
              </w:rPr>
            </w:pPr>
            <w:r>
              <w:rPr>
                <w:rFonts w:cs="Arial"/>
                <w:b/>
                <w:sz w:val="22"/>
                <w:szCs w:val="22"/>
              </w:rPr>
              <w:t>1</w:t>
            </w:r>
          </w:p>
        </w:tc>
        <w:tc>
          <w:tcPr>
            <w:tcW w:w="9208" w:type="dxa"/>
            <w:shd w:val="clear" w:color="auto" w:fill="auto"/>
          </w:tcPr>
          <w:p w14:paraId="0DEF42FE" w14:textId="663760A5" w:rsidR="00B03C4A" w:rsidRPr="005612EF" w:rsidRDefault="00D06245" w:rsidP="00696EA9">
            <w:pPr>
              <w:tabs>
                <w:tab w:val="right" w:leader="underscore" w:pos="5670"/>
                <w:tab w:val="left" w:pos="6237"/>
              </w:tabs>
              <w:spacing w:before="60" w:after="60"/>
              <w:rPr>
                <w:rFonts w:cs="Arial"/>
                <w:b/>
                <w:sz w:val="22"/>
                <w:szCs w:val="22"/>
              </w:rPr>
            </w:pPr>
            <w:r w:rsidRPr="005612EF">
              <w:rPr>
                <w:rFonts w:cs="Arial"/>
                <w:b/>
                <w:sz w:val="22"/>
                <w:szCs w:val="22"/>
              </w:rPr>
              <w:t>Tea and coffee on arrival 9.00am</w:t>
            </w:r>
            <w:r w:rsidRPr="005612EF">
              <w:rPr>
                <w:rFonts w:cs="Arial"/>
                <w:b/>
                <w:bCs/>
                <w:sz w:val="22"/>
                <w:szCs w:val="22"/>
              </w:rPr>
              <w:t>–</w:t>
            </w:r>
            <w:r w:rsidRPr="005612EF">
              <w:rPr>
                <w:rFonts w:cs="Arial"/>
                <w:b/>
                <w:sz w:val="22"/>
                <w:szCs w:val="22"/>
              </w:rPr>
              <w:t>9.30am</w:t>
            </w:r>
            <w:r w:rsidRPr="005612EF" w:rsidDel="00D06245">
              <w:rPr>
                <w:rFonts w:cs="Arial"/>
                <w:b/>
                <w:sz w:val="22"/>
                <w:szCs w:val="22"/>
              </w:rPr>
              <w:t xml:space="preserve"> </w:t>
            </w:r>
          </w:p>
        </w:tc>
      </w:tr>
      <w:tr w:rsidR="00B03C4A" w14:paraId="766DE65F" w14:textId="77777777" w:rsidTr="00492753">
        <w:tc>
          <w:tcPr>
            <w:tcW w:w="669" w:type="dxa"/>
            <w:tcBorders>
              <w:bottom w:val="nil"/>
            </w:tcBorders>
          </w:tcPr>
          <w:p w14:paraId="58BC7970" w14:textId="77777777" w:rsidR="00B03C4A" w:rsidRPr="00600C5E" w:rsidRDefault="00B03C4A" w:rsidP="00D0502C">
            <w:pPr>
              <w:tabs>
                <w:tab w:val="right" w:leader="underscore" w:pos="5670"/>
                <w:tab w:val="left" w:pos="6237"/>
              </w:tabs>
              <w:spacing w:before="60" w:after="60"/>
              <w:rPr>
                <w:rFonts w:cs="Arial"/>
                <w:b/>
                <w:sz w:val="22"/>
                <w:szCs w:val="22"/>
              </w:rPr>
            </w:pPr>
            <w:r w:rsidRPr="00600C5E">
              <w:rPr>
                <w:rFonts w:cs="Arial"/>
                <w:b/>
                <w:sz w:val="22"/>
                <w:szCs w:val="22"/>
              </w:rPr>
              <w:t>2</w:t>
            </w:r>
          </w:p>
        </w:tc>
        <w:tc>
          <w:tcPr>
            <w:tcW w:w="9208" w:type="dxa"/>
            <w:tcBorders>
              <w:bottom w:val="nil"/>
            </w:tcBorders>
          </w:tcPr>
          <w:p w14:paraId="518B9EB8" w14:textId="77777777" w:rsidR="00B03C4A" w:rsidRDefault="00B03C4A" w:rsidP="00696EA9">
            <w:pPr>
              <w:tabs>
                <w:tab w:val="right" w:leader="underscore" w:pos="5670"/>
                <w:tab w:val="left" w:pos="6237"/>
              </w:tabs>
              <w:spacing w:before="60" w:after="60"/>
              <w:rPr>
                <w:rFonts w:cs="Arial"/>
                <w:b/>
                <w:sz w:val="22"/>
                <w:szCs w:val="22"/>
              </w:rPr>
            </w:pPr>
            <w:r w:rsidRPr="00907412">
              <w:rPr>
                <w:rFonts w:cs="Arial"/>
                <w:b/>
                <w:sz w:val="22"/>
                <w:szCs w:val="22"/>
              </w:rPr>
              <w:t>Mihi whakatau, karakia timatanga, whakawhānaungatanga</w:t>
            </w:r>
          </w:p>
          <w:p w14:paraId="7454DB4C" w14:textId="77777777" w:rsidR="00B03C4A" w:rsidRPr="004157A8" w:rsidRDefault="00B03C4A" w:rsidP="00696EA9">
            <w:pPr>
              <w:tabs>
                <w:tab w:val="right" w:leader="underscore" w:pos="5670"/>
                <w:tab w:val="left" w:pos="6237"/>
              </w:tabs>
              <w:spacing w:before="60" w:after="60"/>
              <w:rPr>
                <w:rFonts w:cs="Arial"/>
                <w:sz w:val="22"/>
                <w:szCs w:val="22"/>
              </w:rPr>
            </w:pPr>
            <w:r>
              <w:rPr>
                <w:rFonts w:cs="Arial"/>
                <w:sz w:val="22"/>
                <w:szCs w:val="22"/>
              </w:rPr>
              <w:t>The Chair welcomed everyone to the meeting</w:t>
            </w:r>
            <w:r w:rsidR="00D2505A">
              <w:rPr>
                <w:rFonts w:cs="Arial"/>
                <w:sz w:val="22"/>
                <w:szCs w:val="22"/>
              </w:rPr>
              <w:t>.</w:t>
            </w:r>
          </w:p>
        </w:tc>
      </w:tr>
      <w:tr w:rsidR="00B03C4A" w14:paraId="74132D38" w14:textId="77777777" w:rsidTr="00492753">
        <w:tc>
          <w:tcPr>
            <w:tcW w:w="669" w:type="dxa"/>
            <w:tcBorders>
              <w:top w:val="nil"/>
              <w:bottom w:val="single" w:sz="4" w:space="0" w:color="auto"/>
            </w:tcBorders>
          </w:tcPr>
          <w:p w14:paraId="712BBCC6" w14:textId="77777777" w:rsidR="00B03C4A" w:rsidRPr="00600C5E" w:rsidRDefault="00B03C4A" w:rsidP="00D0502C">
            <w:pPr>
              <w:tabs>
                <w:tab w:val="right" w:leader="underscore" w:pos="5670"/>
                <w:tab w:val="left" w:pos="6237"/>
              </w:tabs>
              <w:spacing w:before="60" w:after="60"/>
              <w:rPr>
                <w:rFonts w:cs="Arial"/>
                <w:b/>
                <w:sz w:val="22"/>
                <w:szCs w:val="22"/>
              </w:rPr>
            </w:pPr>
            <w:r w:rsidRPr="00600C5E">
              <w:rPr>
                <w:rFonts w:cs="Arial"/>
                <w:b/>
                <w:sz w:val="22"/>
                <w:szCs w:val="22"/>
              </w:rPr>
              <w:t>3</w:t>
            </w:r>
          </w:p>
        </w:tc>
        <w:tc>
          <w:tcPr>
            <w:tcW w:w="9208" w:type="dxa"/>
            <w:tcBorders>
              <w:top w:val="nil"/>
              <w:bottom w:val="single" w:sz="4" w:space="0" w:color="auto"/>
            </w:tcBorders>
          </w:tcPr>
          <w:p w14:paraId="35F5F848" w14:textId="77777777" w:rsidR="00B03C4A" w:rsidRDefault="00B03C4A" w:rsidP="00696EA9">
            <w:pPr>
              <w:tabs>
                <w:tab w:val="right" w:leader="underscore" w:pos="5670"/>
                <w:tab w:val="left" w:pos="6237"/>
              </w:tabs>
              <w:spacing w:before="60" w:after="60"/>
              <w:rPr>
                <w:rFonts w:cs="Arial"/>
                <w:b/>
                <w:sz w:val="22"/>
                <w:szCs w:val="22"/>
              </w:rPr>
            </w:pPr>
            <w:r w:rsidRPr="004157A8">
              <w:rPr>
                <w:rFonts w:cs="Arial"/>
                <w:b/>
                <w:sz w:val="22"/>
                <w:szCs w:val="22"/>
              </w:rPr>
              <w:t>Declaration of conflicts of interest</w:t>
            </w:r>
          </w:p>
          <w:p w14:paraId="3842C1D7" w14:textId="3C503289" w:rsidR="00B03C4A" w:rsidRPr="00B03C4A" w:rsidRDefault="00B03C4A" w:rsidP="00696EA9">
            <w:pPr>
              <w:tabs>
                <w:tab w:val="right" w:leader="underscore" w:pos="5670"/>
                <w:tab w:val="left" w:pos="6237"/>
              </w:tabs>
              <w:spacing w:before="60" w:after="60"/>
              <w:rPr>
                <w:rFonts w:cs="Arial"/>
                <w:sz w:val="22"/>
                <w:szCs w:val="22"/>
              </w:rPr>
            </w:pPr>
            <w:r>
              <w:rPr>
                <w:rFonts w:cs="Arial"/>
                <w:sz w:val="22"/>
                <w:szCs w:val="22"/>
              </w:rPr>
              <w:t xml:space="preserve">No </w:t>
            </w:r>
            <w:r w:rsidR="00D648A6">
              <w:rPr>
                <w:rFonts w:cs="Arial"/>
                <w:sz w:val="22"/>
                <w:szCs w:val="22"/>
              </w:rPr>
              <w:t xml:space="preserve">material </w:t>
            </w:r>
            <w:r>
              <w:rPr>
                <w:rFonts w:cs="Arial"/>
                <w:sz w:val="22"/>
                <w:szCs w:val="22"/>
              </w:rPr>
              <w:t>conflicts of interest were declared</w:t>
            </w:r>
            <w:r w:rsidR="00AF4C40">
              <w:rPr>
                <w:rFonts w:cs="Arial"/>
                <w:sz w:val="22"/>
                <w:szCs w:val="22"/>
              </w:rPr>
              <w:t>.</w:t>
            </w:r>
          </w:p>
        </w:tc>
      </w:tr>
      <w:tr w:rsidR="00B03C4A" w14:paraId="54D7E188" w14:textId="77777777" w:rsidTr="00492753">
        <w:tc>
          <w:tcPr>
            <w:tcW w:w="669" w:type="dxa"/>
            <w:tcBorders>
              <w:top w:val="single" w:sz="4" w:space="0" w:color="auto"/>
            </w:tcBorders>
          </w:tcPr>
          <w:p w14:paraId="1EBAAE90" w14:textId="77777777" w:rsidR="00B03C4A" w:rsidRPr="00600C5E" w:rsidRDefault="00AC2E98" w:rsidP="00D0502C">
            <w:pPr>
              <w:tabs>
                <w:tab w:val="right" w:leader="underscore" w:pos="5670"/>
                <w:tab w:val="left" w:pos="6237"/>
              </w:tabs>
              <w:spacing w:before="60" w:after="60"/>
              <w:rPr>
                <w:rFonts w:cs="Arial"/>
                <w:b/>
                <w:sz w:val="22"/>
                <w:szCs w:val="22"/>
              </w:rPr>
            </w:pPr>
            <w:r w:rsidRPr="00600C5E">
              <w:rPr>
                <w:rFonts w:cs="Arial"/>
                <w:b/>
                <w:sz w:val="22"/>
                <w:szCs w:val="22"/>
              </w:rPr>
              <w:t>4</w:t>
            </w:r>
          </w:p>
        </w:tc>
        <w:tc>
          <w:tcPr>
            <w:tcW w:w="9208" w:type="dxa"/>
            <w:tcBorders>
              <w:top w:val="single" w:sz="4" w:space="0" w:color="auto"/>
            </w:tcBorders>
          </w:tcPr>
          <w:p w14:paraId="7AC78F78" w14:textId="77777777" w:rsidR="00B03C4A" w:rsidRPr="003F6346" w:rsidRDefault="00B03C4A" w:rsidP="00696EA9">
            <w:pPr>
              <w:tabs>
                <w:tab w:val="right" w:leader="underscore" w:pos="5670"/>
                <w:tab w:val="left" w:pos="6237"/>
              </w:tabs>
              <w:spacing w:before="60" w:after="60"/>
              <w:rPr>
                <w:rFonts w:cs="Arial"/>
                <w:b/>
                <w:sz w:val="22"/>
                <w:szCs w:val="22"/>
              </w:rPr>
            </w:pPr>
            <w:r w:rsidRPr="003F6346">
              <w:rPr>
                <w:rFonts w:cs="Arial"/>
                <w:b/>
                <w:sz w:val="22"/>
                <w:szCs w:val="22"/>
              </w:rPr>
              <w:t>Break</w:t>
            </w:r>
            <w:r w:rsidR="00584309">
              <w:rPr>
                <w:rFonts w:cs="Arial"/>
                <w:b/>
                <w:sz w:val="22"/>
                <w:szCs w:val="22"/>
              </w:rPr>
              <w:t xml:space="preserve"> for Morning Tea 10.00am–10.</w:t>
            </w:r>
            <w:r w:rsidR="00AC2E98">
              <w:rPr>
                <w:rFonts w:cs="Arial"/>
                <w:b/>
                <w:sz w:val="22"/>
                <w:szCs w:val="22"/>
              </w:rPr>
              <w:t>15am</w:t>
            </w:r>
          </w:p>
        </w:tc>
      </w:tr>
      <w:tr w:rsidR="00B03C4A" w14:paraId="04F7650D" w14:textId="77777777" w:rsidTr="00492753">
        <w:trPr>
          <w:trHeight w:val="3906"/>
        </w:trPr>
        <w:tc>
          <w:tcPr>
            <w:tcW w:w="669" w:type="dxa"/>
            <w:tcBorders>
              <w:bottom w:val="nil"/>
            </w:tcBorders>
          </w:tcPr>
          <w:p w14:paraId="78F410D2" w14:textId="77777777" w:rsidR="00B03C4A" w:rsidRPr="00600C5E" w:rsidRDefault="00342D52" w:rsidP="00D0502C">
            <w:pPr>
              <w:tabs>
                <w:tab w:val="right" w:leader="underscore" w:pos="5670"/>
                <w:tab w:val="left" w:pos="6237"/>
              </w:tabs>
              <w:spacing w:before="60" w:after="60"/>
              <w:rPr>
                <w:rFonts w:cs="Arial"/>
                <w:b/>
                <w:sz w:val="22"/>
                <w:szCs w:val="22"/>
              </w:rPr>
            </w:pPr>
            <w:r w:rsidRPr="00600C5E">
              <w:rPr>
                <w:rFonts w:cs="Arial"/>
                <w:b/>
                <w:sz w:val="22"/>
                <w:szCs w:val="22"/>
              </w:rPr>
              <w:t>5</w:t>
            </w:r>
          </w:p>
        </w:tc>
        <w:tc>
          <w:tcPr>
            <w:tcW w:w="9208" w:type="dxa"/>
            <w:tcBorders>
              <w:bottom w:val="nil"/>
            </w:tcBorders>
          </w:tcPr>
          <w:p w14:paraId="46363024" w14:textId="77777777" w:rsidR="00B03C4A" w:rsidRDefault="00B03C4A" w:rsidP="00696EA9">
            <w:pPr>
              <w:tabs>
                <w:tab w:val="right" w:leader="underscore" w:pos="5670"/>
                <w:tab w:val="left" w:pos="6237"/>
              </w:tabs>
              <w:spacing w:before="60" w:after="60"/>
              <w:rPr>
                <w:rFonts w:cs="Arial"/>
                <w:b/>
                <w:sz w:val="22"/>
                <w:szCs w:val="22"/>
              </w:rPr>
            </w:pPr>
            <w:r w:rsidRPr="003F6346">
              <w:rPr>
                <w:rFonts w:cs="Arial"/>
                <w:b/>
                <w:sz w:val="22"/>
                <w:szCs w:val="22"/>
              </w:rPr>
              <w:t>A</w:t>
            </w:r>
            <w:r w:rsidR="00AC2E98">
              <w:rPr>
                <w:rFonts w:cs="Arial"/>
                <w:b/>
                <w:sz w:val="22"/>
                <w:szCs w:val="22"/>
              </w:rPr>
              <w:t>genda</w:t>
            </w:r>
          </w:p>
          <w:p w14:paraId="27E1A5A1" w14:textId="56AA3AB1" w:rsidR="00342D52" w:rsidRPr="00342D52" w:rsidRDefault="00D648A6" w:rsidP="00696EA9">
            <w:pPr>
              <w:tabs>
                <w:tab w:val="right" w:leader="underscore" w:pos="5670"/>
                <w:tab w:val="left" w:pos="6237"/>
              </w:tabs>
              <w:spacing w:before="60" w:after="180"/>
              <w:rPr>
                <w:rFonts w:cs="Arial"/>
                <w:sz w:val="22"/>
                <w:szCs w:val="22"/>
              </w:rPr>
            </w:pPr>
            <w:r w:rsidRPr="00342D52">
              <w:rPr>
                <w:rFonts w:cs="Arial"/>
                <w:sz w:val="22"/>
                <w:szCs w:val="22"/>
              </w:rPr>
              <w:t xml:space="preserve">The </w:t>
            </w:r>
            <w:r w:rsidR="00DC1698">
              <w:rPr>
                <w:rFonts w:cs="Arial"/>
                <w:sz w:val="22"/>
                <w:szCs w:val="22"/>
              </w:rPr>
              <w:t xml:space="preserve">Medicinal Cannabis </w:t>
            </w:r>
            <w:r w:rsidRPr="00342D52">
              <w:rPr>
                <w:rFonts w:cs="Arial"/>
                <w:sz w:val="22"/>
                <w:szCs w:val="22"/>
              </w:rPr>
              <w:t>Advisory Group</w:t>
            </w:r>
            <w:r w:rsidR="00DC1698">
              <w:rPr>
                <w:rFonts w:cs="Arial"/>
                <w:sz w:val="22"/>
                <w:szCs w:val="22"/>
              </w:rPr>
              <w:t xml:space="preserve"> (the Advisory Group)</w:t>
            </w:r>
            <w:r w:rsidR="00AC2E98" w:rsidRPr="00342D52">
              <w:rPr>
                <w:rFonts w:cs="Arial"/>
                <w:sz w:val="22"/>
                <w:szCs w:val="22"/>
              </w:rPr>
              <w:t xml:space="preserve"> </w:t>
            </w:r>
            <w:r w:rsidR="005F40F4">
              <w:rPr>
                <w:rFonts w:cs="Arial"/>
                <w:sz w:val="22"/>
                <w:szCs w:val="22"/>
              </w:rPr>
              <w:t>discussed and</w:t>
            </w:r>
            <w:r w:rsidR="00D50E98">
              <w:rPr>
                <w:rFonts w:cs="Arial"/>
                <w:sz w:val="22"/>
                <w:szCs w:val="22"/>
              </w:rPr>
              <w:t xml:space="preserve"> </w:t>
            </w:r>
            <w:r w:rsidR="004059B6">
              <w:rPr>
                <w:rFonts w:cs="Arial"/>
                <w:sz w:val="22"/>
                <w:szCs w:val="22"/>
              </w:rPr>
              <w:t>agreed</w:t>
            </w:r>
            <w:r w:rsidR="005F40F4">
              <w:rPr>
                <w:rFonts w:cs="Arial"/>
                <w:sz w:val="22"/>
                <w:szCs w:val="22"/>
              </w:rPr>
              <w:t xml:space="preserve"> the values and behaviours that would guide its discussions. The Advisory Group </w:t>
            </w:r>
            <w:r w:rsidR="00AC2E98" w:rsidRPr="00342D52">
              <w:rPr>
                <w:rFonts w:cs="Arial"/>
                <w:sz w:val="22"/>
                <w:szCs w:val="22"/>
              </w:rPr>
              <w:t>highlight</w:t>
            </w:r>
            <w:r w:rsidR="00DC1698">
              <w:rPr>
                <w:rFonts w:cs="Arial"/>
                <w:sz w:val="22"/>
                <w:szCs w:val="22"/>
              </w:rPr>
              <w:t>ed</w:t>
            </w:r>
            <w:r w:rsidR="006B1317">
              <w:rPr>
                <w:rFonts w:cs="Arial"/>
                <w:sz w:val="22"/>
                <w:szCs w:val="22"/>
              </w:rPr>
              <w:t xml:space="preserve"> the importance of e</w:t>
            </w:r>
            <w:r w:rsidR="00AC2E98" w:rsidRPr="00342D52">
              <w:rPr>
                <w:rFonts w:cs="Arial"/>
                <w:sz w:val="22"/>
                <w:szCs w:val="22"/>
              </w:rPr>
              <w:t xml:space="preserve">quity </w:t>
            </w:r>
            <w:r w:rsidR="00595AC4">
              <w:rPr>
                <w:rFonts w:cs="Arial"/>
                <w:sz w:val="22"/>
                <w:szCs w:val="22"/>
              </w:rPr>
              <w:t xml:space="preserve">considerations </w:t>
            </w:r>
            <w:r w:rsidR="00AC2E98" w:rsidRPr="00342D52">
              <w:rPr>
                <w:rFonts w:cs="Arial"/>
                <w:sz w:val="22"/>
                <w:szCs w:val="22"/>
              </w:rPr>
              <w:t xml:space="preserve">as well as Treaty </w:t>
            </w:r>
            <w:r w:rsidR="005F40F4">
              <w:rPr>
                <w:rFonts w:cs="Arial"/>
                <w:sz w:val="22"/>
                <w:szCs w:val="22"/>
              </w:rPr>
              <w:t>of Waitangi o</w:t>
            </w:r>
            <w:r w:rsidR="00AC2E98" w:rsidRPr="00342D52">
              <w:rPr>
                <w:rFonts w:cs="Arial"/>
                <w:sz w:val="22"/>
                <w:szCs w:val="22"/>
              </w:rPr>
              <w:t>bligations</w:t>
            </w:r>
            <w:r w:rsidR="00715D9A" w:rsidRPr="00342D52">
              <w:rPr>
                <w:rFonts w:cs="Arial"/>
                <w:sz w:val="22"/>
                <w:szCs w:val="22"/>
              </w:rPr>
              <w:t xml:space="preserve"> and pointed out that this should be at the forefront when considering options or giving any advice </w:t>
            </w:r>
            <w:r w:rsidR="004462B7">
              <w:rPr>
                <w:rFonts w:cs="Arial"/>
                <w:sz w:val="22"/>
                <w:szCs w:val="22"/>
              </w:rPr>
              <w:t>on</w:t>
            </w:r>
            <w:r w:rsidR="004462B7" w:rsidRPr="00342D52">
              <w:rPr>
                <w:rFonts w:cs="Arial"/>
                <w:sz w:val="22"/>
                <w:szCs w:val="22"/>
              </w:rPr>
              <w:t xml:space="preserve"> </w:t>
            </w:r>
            <w:r w:rsidR="00715D9A" w:rsidRPr="00342D52">
              <w:rPr>
                <w:rFonts w:cs="Arial"/>
                <w:sz w:val="22"/>
                <w:szCs w:val="22"/>
              </w:rPr>
              <w:t>the Medicinal Cannabis Scheme</w:t>
            </w:r>
            <w:r w:rsidR="002B7743">
              <w:rPr>
                <w:rFonts w:cs="Arial"/>
                <w:sz w:val="22"/>
                <w:szCs w:val="22"/>
              </w:rPr>
              <w:t>.</w:t>
            </w:r>
          </w:p>
          <w:p w14:paraId="169BCF15" w14:textId="082A1714" w:rsidR="00342D52" w:rsidRDefault="00D648A6" w:rsidP="00696EA9">
            <w:pPr>
              <w:tabs>
                <w:tab w:val="right" w:leader="underscore" w:pos="5670"/>
                <w:tab w:val="left" w:pos="6237"/>
              </w:tabs>
              <w:spacing w:before="60" w:after="180"/>
              <w:rPr>
                <w:rFonts w:cs="Arial"/>
                <w:sz w:val="22"/>
                <w:szCs w:val="22"/>
              </w:rPr>
            </w:pPr>
            <w:r w:rsidRPr="00342D52">
              <w:rPr>
                <w:rFonts w:cs="Arial"/>
                <w:sz w:val="22"/>
                <w:szCs w:val="22"/>
              </w:rPr>
              <w:t>The Advisory Group</w:t>
            </w:r>
            <w:r w:rsidR="00715D9A" w:rsidRPr="00342D52">
              <w:rPr>
                <w:rFonts w:cs="Arial"/>
                <w:sz w:val="22"/>
                <w:szCs w:val="22"/>
              </w:rPr>
              <w:t xml:space="preserve"> agreed to the key poi</w:t>
            </w:r>
            <w:r w:rsidR="00900D10">
              <w:rPr>
                <w:rFonts w:cs="Arial"/>
                <w:sz w:val="22"/>
                <w:szCs w:val="22"/>
              </w:rPr>
              <w:t xml:space="preserve">nts of discussion in the agenda, as outlined in these </w:t>
            </w:r>
            <w:r w:rsidR="003A402E">
              <w:rPr>
                <w:rFonts w:cs="Arial"/>
                <w:sz w:val="22"/>
                <w:szCs w:val="22"/>
              </w:rPr>
              <w:t xml:space="preserve">meeting </w:t>
            </w:r>
            <w:r w:rsidR="00900D10">
              <w:rPr>
                <w:rFonts w:cs="Arial"/>
                <w:sz w:val="22"/>
                <w:szCs w:val="22"/>
              </w:rPr>
              <w:t>minutes.</w:t>
            </w:r>
          </w:p>
          <w:p w14:paraId="726417F1" w14:textId="758380AA" w:rsidR="00D648A6" w:rsidRPr="00342D52" w:rsidRDefault="00D648A6" w:rsidP="00696EA9">
            <w:pPr>
              <w:tabs>
                <w:tab w:val="right" w:leader="underscore" w:pos="5670"/>
                <w:tab w:val="left" w:pos="6237"/>
              </w:tabs>
              <w:spacing w:before="60" w:after="180"/>
              <w:rPr>
                <w:rFonts w:cs="Arial"/>
                <w:sz w:val="22"/>
                <w:szCs w:val="22"/>
              </w:rPr>
            </w:pPr>
            <w:r w:rsidRPr="00342D52">
              <w:rPr>
                <w:rFonts w:cs="Arial"/>
                <w:sz w:val="22"/>
                <w:szCs w:val="22"/>
              </w:rPr>
              <w:t xml:space="preserve">The Advisory Group </w:t>
            </w:r>
            <w:r w:rsidR="00DC1698">
              <w:rPr>
                <w:rFonts w:cs="Arial"/>
                <w:sz w:val="22"/>
                <w:szCs w:val="22"/>
              </w:rPr>
              <w:t>discussed</w:t>
            </w:r>
            <w:r w:rsidRPr="00342D52">
              <w:rPr>
                <w:rFonts w:cs="Arial"/>
                <w:sz w:val="22"/>
                <w:szCs w:val="22"/>
              </w:rPr>
              <w:t xml:space="preserve"> the timeline and </w:t>
            </w:r>
            <w:r w:rsidR="00595AC4">
              <w:rPr>
                <w:rFonts w:cs="Arial"/>
                <w:sz w:val="22"/>
                <w:szCs w:val="22"/>
              </w:rPr>
              <w:t xml:space="preserve">asked </w:t>
            </w:r>
            <w:r w:rsidRPr="00342D52">
              <w:rPr>
                <w:rFonts w:cs="Arial"/>
                <w:sz w:val="22"/>
                <w:szCs w:val="22"/>
              </w:rPr>
              <w:t xml:space="preserve">whether </w:t>
            </w:r>
            <w:r w:rsidR="00DC1698">
              <w:rPr>
                <w:rFonts w:cs="Arial"/>
                <w:sz w:val="22"/>
                <w:szCs w:val="22"/>
              </w:rPr>
              <w:t>there would be</w:t>
            </w:r>
            <w:r w:rsidRPr="00342D52">
              <w:rPr>
                <w:rFonts w:cs="Arial"/>
                <w:sz w:val="22"/>
                <w:szCs w:val="22"/>
              </w:rPr>
              <w:t xml:space="preserve"> another </w:t>
            </w:r>
            <w:r w:rsidR="00DC1698">
              <w:rPr>
                <w:rFonts w:cs="Arial"/>
                <w:sz w:val="22"/>
                <w:szCs w:val="22"/>
              </w:rPr>
              <w:t>opportunity</w:t>
            </w:r>
            <w:r w:rsidRPr="00342D52">
              <w:rPr>
                <w:rFonts w:cs="Arial"/>
                <w:sz w:val="22"/>
                <w:szCs w:val="22"/>
              </w:rPr>
              <w:t xml:space="preserve"> to provide input into the </w:t>
            </w:r>
            <w:r w:rsidR="0081089A">
              <w:rPr>
                <w:rFonts w:cs="Arial"/>
                <w:sz w:val="22"/>
                <w:szCs w:val="22"/>
              </w:rPr>
              <w:t>Medicinal Cannabis Regulatory Scheme C</w:t>
            </w:r>
            <w:r w:rsidRPr="00342D52">
              <w:rPr>
                <w:rFonts w:cs="Arial"/>
                <w:sz w:val="22"/>
                <w:szCs w:val="22"/>
              </w:rPr>
              <w:t xml:space="preserve">onsultation </w:t>
            </w:r>
            <w:r w:rsidR="0081089A">
              <w:rPr>
                <w:rFonts w:cs="Arial"/>
                <w:sz w:val="22"/>
                <w:szCs w:val="22"/>
              </w:rPr>
              <w:t>D</w:t>
            </w:r>
            <w:r w:rsidRPr="00342D52">
              <w:rPr>
                <w:rFonts w:cs="Arial"/>
                <w:sz w:val="22"/>
                <w:szCs w:val="22"/>
              </w:rPr>
              <w:t xml:space="preserve">ocument </w:t>
            </w:r>
            <w:r w:rsidR="0081089A">
              <w:rPr>
                <w:rFonts w:cs="Arial"/>
                <w:sz w:val="22"/>
                <w:szCs w:val="22"/>
              </w:rPr>
              <w:t xml:space="preserve">(the Consultation Document) </w:t>
            </w:r>
            <w:r w:rsidRPr="00342D52">
              <w:rPr>
                <w:rFonts w:cs="Arial"/>
                <w:sz w:val="22"/>
                <w:szCs w:val="22"/>
              </w:rPr>
              <w:t xml:space="preserve">before it goes to </w:t>
            </w:r>
            <w:r w:rsidR="00DC1698">
              <w:rPr>
                <w:rFonts w:cs="Arial"/>
                <w:sz w:val="22"/>
                <w:szCs w:val="22"/>
              </w:rPr>
              <w:t>C</w:t>
            </w:r>
            <w:r w:rsidRPr="00342D52">
              <w:rPr>
                <w:rFonts w:cs="Arial"/>
                <w:sz w:val="22"/>
                <w:szCs w:val="22"/>
              </w:rPr>
              <w:t xml:space="preserve">abinet for </w:t>
            </w:r>
            <w:r w:rsidR="00DC1698">
              <w:rPr>
                <w:rFonts w:cs="Arial"/>
                <w:sz w:val="22"/>
                <w:szCs w:val="22"/>
              </w:rPr>
              <w:t>approval</w:t>
            </w:r>
            <w:r w:rsidRPr="00342D52">
              <w:rPr>
                <w:rFonts w:cs="Arial"/>
                <w:sz w:val="22"/>
                <w:szCs w:val="22"/>
              </w:rPr>
              <w:t xml:space="preserve">. The Secretariat </w:t>
            </w:r>
            <w:r w:rsidR="00595AC4">
              <w:rPr>
                <w:rFonts w:cs="Arial"/>
                <w:sz w:val="22"/>
                <w:szCs w:val="22"/>
              </w:rPr>
              <w:t>advised</w:t>
            </w:r>
            <w:r w:rsidR="00595AC4" w:rsidRPr="00342D52">
              <w:rPr>
                <w:rFonts w:cs="Arial"/>
                <w:sz w:val="22"/>
                <w:szCs w:val="22"/>
              </w:rPr>
              <w:t xml:space="preserve"> </w:t>
            </w:r>
            <w:r w:rsidRPr="00342D52">
              <w:rPr>
                <w:rFonts w:cs="Arial"/>
                <w:sz w:val="22"/>
                <w:szCs w:val="22"/>
              </w:rPr>
              <w:t>that another teleconference would be arranged to allow input on any changes from the Advisory Group following th</w:t>
            </w:r>
            <w:r w:rsidR="00DC1698">
              <w:rPr>
                <w:rFonts w:cs="Arial"/>
                <w:sz w:val="22"/>
                <w:szCs w:val="22"/>
              </w:rPr>
              <w:t>e</w:t>
            </w:r>
            <w:r w:rsidRPr="00342D52">
              <w:rPr>
                <w:rFonts w:cs="Arial"/>
                <w:sz w:val="22"/>
                <w:szCs w:val="22"/>
              </w:rPr>
              <w:t xml:space="preserve"> meeting.</w:t>
            </w:r>
          </w:p>
        </w:tc>
      </w:tr>
      <w:tr w:rsidR="00342D52" w14:paraId="538392A4" w14:textId="77777777" w:rsidTr="00492753">
        <w:tc>
          <w:tcPr>
            <w:tcW w:w="669" w:type="dxa"/>
            <w:tcBorders>
              <w:top w:val="nil"/>
            </w:tcBorders>
          </w:tcPr>
          <w:p w14:paraId="21EC57CD" w14:textId="50AE82BD" w:rsidR="00600C5E" w:rsidRDefault="00D06245" w:rsidP="00D0502C">
            <w:pPr>
              <w:tabs>
                <w:tab w:val="right" w:leader="underscore" w:pos="5670"/>
                <w:tab w:val="left" w:pos="6237"/>
              </w:tabs>
              <w:spacing w:before="60" w:after="60"/>
              <w:rPr>
                <w:rFonts w:cs="Arial"/>
                <w:sz w:val="22"/>
                <w:szCs w:val="22"/>
              </w:rPr>
            </w:pPr>
            <w:r w:rsidRPr="00600C5E">
              <w:rPr>
                <w:rFonts w:cs="Arial"/>
                <w:b/>
                <w:sz w:val="22"/>
                <w:szCs w:val="22"/>
              </w:rPr>
              <w:t>6</w:t>
            </w:r>
          </w:p>
          <w:p w14:paraId="02F1102B" w14:textId="50EBFB15" w:rsidR="00342D52" w:rsidRPr="00600C5E" w:rsidRDefault="00342D52" w:rsidP="00696EA9">
            <w:pPr>
              <w:tabs>
                <w:tab w:val="right" w:leader="underscore" w:pos="5670"/>
                <w:tab w:val="left" w:pos="6237"/>
              </w:tabs>
              <w:spacing w:before="60" w:after="60"/>
              <w:jc w:val="center"/>
              <w:rPr>
                <w:rFonts w:cs="Arial"/>
                <w:b/>
                <w:sz w:val="22"/>
                <w:szCs w:val="22"/>
              </w:rPr>
            </w:pPr>
          </w:p>
        </w:tc>
        <w:tc>
          <w:tcPr>
            <w:tcW w:w="9208" w:type="dxa"/>
            <w:tcBorders>
              <w:top w:val="nil"/>
              <w:bottom w:val="single" w:sz="4" w:space="0" w:color="auto"/>
            </w:tcBorders>
          </w:tcPr>
          <w:p w14:paraId="0156493A" w14:textId="61D8D43A" w:rsidR="00342D52" w:rsidRDefault="00D06245" w:rsidP="00696EA9">
            <w:pPr>
              <w:tabs>
                <w:tab w:val="right" w:leader="underscore" w:pos="5670"/>
                <w:tab w:val="left" w:pos="6237"/>
              </w:tabs>
              <w:spacing w:before="60" w:after="60"/>
              <w:rPr>
                <w:rFonts w:cs="Arial"/>
                <w:b/>
                <w:sz w:val="22"/>
                <w:szCs w:val="22"/>
              </w:rPr>
            </w:pPr>
            <w:r>
              <w:rPr>
                <w:rFonts w:cs="Arial"/>
                <w:b/>
                <w:sz w:val="22"/>
                <w:szCs w:val="22"/>
              </w:rPr>
              <w:t>Te</w:t>
            </w:r>
            <w:r w:rsidRPr="003F6346">
              <w:rPr>
                <w:rFonts w:cs="Arial"/>
                <w:b/>
                <w:sz w:val="22"/>
                <w:szCs w:val="22"/>
              </w:rPr>
              <w:t>rms of Reference</w:t>
            </w:r>
          </w:p>
          <w:p w14:paraId="6643D65D" w14:textId="22DD9521" w:rsidR="00D06245" w:rsidRPr="00600C5E" w:rsidRDefault="00342D52" w:rsidP="00696EA9">
            <w:pPr>
              <w:tabs>
                <w:tab w:val="right" w:leader="underscore" w:pos="5670"/>
                <w:tab w:val="left" w:pos="6237"/>
              </w:tabs>
              <w:spacing w:before="60" w:after="60"/>
              <w:rPr>
                <w:rFonts w:cs="Arial"/>
                <w:sz w:val="22"/>
                <w:szCs w:val="22"/>
              </w:rPr>
            </w:pPr>
            <w:r>
              <w:rPr>
                <w:rFonts w:cs="Arial"/>
                <w:sz w:val="22"/>
                <w:szCs w:val="22"/>
              </w:rPr>
              <w:t>All Advisory Group members agreed to their obligations as set out by the Terms of Reference.</w:t>
            </w:r>
          </w:p>
        </w:tc>
      </w:tr>
      <w:tr w:rsidR="00342D52" w14:paraId="1D51EA77" w14:textId="77777777" w:rsidTr="00492753">
        <w:tc>
          <w:tcPr>
            <w:tcW w:w="669" w:type="dxa"/>
          </w:tcPr>
          <w:p w14:paraId="799D6F3F" w14:textId="77777777" w:rsidR="00342D52" w:rsidRPr="00600C5E" w:rsidRDefault="00600C5E" w:rsidP="00D0502C">
            <w:pPr>
              <w:tabs>
                <w:tab w:val="right" w:leader="underscore" w:pos="5670"/>
                <w:tab w:val="left" w:pos="6237"/>
              </w:tabs>
              <w:spacing w:before="60" w:after="60"/>
              <w:rPr>
                <w:rFonts w:cs="Arial"/>
                <w:b/>
                <w:sz w:val="22"/>
                <w:szCs w:val="22"/>
              </w:rPr>
            </w:pPr>
            <w:r w:rsidRPr="00600C5E">
              <w:rPr>
                <w:rFonts w:cs="Arial"/>
                <w:b/>
                <w:sz w:val="22"/>
                <w:szCs w:val="22"/>
              </w:rPr>
              <w:t>7</w:t>
            </w:r>
          </w:p>
        </w:tc>
        <w:tc>
          <w:tcPr>
            <w:tcW w:w="9208" w:type="dxa"/>
            <w:tcBorders>
              <w:bottom w:val="single" w:sz="4" w:space="0" w:color="auto"/>
            </w:tcBorders>
          </w:tcPr>
          <w:p w14:paraId="27C1C3A4" w14:textId="77777777" w:rsidR="00342D52" w:rsidRDefault="00342D52" w:rsidP="00696EA9">
            <w:pPr>
              <w:tabs>
                <w:tab w:val="right" w:leader="underscore" w:pos="5670"/>
                <w:tab w:val="left" w:pos="6237"/>
              </w:tabs>
              <w:spacing w:before="60" w:after="60"/>
              <w:rPr>
                <w:rFonts w:cs="Arial"/>
                <w:b/>
                <w:sz w:val="22"/>
                <w:szCs w:val="22"/>
              </w:rPr>
            </w:pPr>
            <w:r w:rsidRPr="003F6346">
              <w:rPr>
                <w:rFonts w:cs="Arial"/>
                <w:b/>
                <w:sz w:val="22"/>
                <w:szCs w:val="22"/>
              </w:rPr>
              <w:t>MCAG Handbook</w:t>
            </w:r>
          </w:p>
          <w:p w14:paraId="4F7B38E1" w14:textId="39D6A015" w:rsidR="00342D52" w:rsidRDefault="00342D52" w:rsidP="00696EA9">
            <w:pPr>
              <w:tabs>
                <w:tab w:val="right" w:leader="underscore" w:pos="5670"/>
                <w:tab w:val="left" w:pos="6237"/>
              </w:tabs>
              <w:spacing w:before="60" w:after="60"/>
              <w:rPr>
                <w:rFonts w:cs="Arial"/>
                <w:sz w:val="22"/>
                <w:szCs w:val="22"/>
              </w:rPr>
            </w:pPr>
            <w:r w:rsidRPr="00342D52">
              <w:rPr>
                <w:rFonts w:cs="Arial"/>
                <w:sz w:val="22"/>
                <w:szCs w:val="22"/>
              </w:rPr>
              <w:lastRenderedPageBreak/>
              <w:t xml:space="preserve">The Advisory Group acknowledged </w:t>
            </w:r>
            <w:r w:rsidR="0081089A">
              <w:rPr>
                <w:rFonts w:cs="Arial"/>
                <w:sz w:val="22"/>
                <w:szCs w:val="22"/>
              </w:rPr>
              <w:t>that</w:t>
            </w:r>
            <w:r w:rsidRPr="00342D52">
              <w:rPr>
                <w:rFonts w:cs="Arial"/>
                <w:sz w:val="22"/>
                <w:szCs w:val="22"/>
              </w:rPr>
              <w:t xml:space="preserve"> members who are also </w:t>
            </w:r>
            <w:r w:rsidR="00900D10">
              <w:rPr>
                <w:rFonts w:cs="Arial"/>
                <w:sz w:val="22"/>
                <w:szCs w:val="22"/>
              </w:rPr>
              <w:t>public servants</w:t>
            </w:r>
            <w:r w:rsidRPr="00342D52">
              <w:rPr>
                <w:rFonts w:cs="Arial"/>
                <w:sz w:val="22"/>
                <w:szCs w:val="22"/>
              </w:rPr>
              <w:t xml:space="preserve"> are not entitle</w:t>
            </w:r>
            <w:r w:rsidR="0081089A">
              <w:rPr>
                <w:rFonts w:cs="Arial"/>
                <w:sz w:val="22"/>
                <w:szCs w:val="22"/>
              </w:rPr>
              <w:t>d</w:t>
            </w:r>
            <w:r w:rsidRPr="00342D52">
              <w:rPr>
                <w:rFonts w:cs="Arial"/>
                <w:sz w:val="22"/>
                <w:szCs w:val="22"/>
              </w:rPr>
              <w:t xml:space="preserve"> to be paid fees for Advisory Group business if this is conducted during regular paid work time</w:t>
            </w:r>
            <w:r w:rsidR="0081089A">
              <w:rPr>
                <w:rFonts w:cs="Arial"/>
                <w:sz w:val="22"/>
                <w:szCs w:val="22"/>
              </w:rPr>
              <w:t xml:space="preserve"> (in accordance with the Local Government Act 2005)</w:t>
            </w:r>
            <w:r w:rsidRPr="00342D52">
              <w:rPr>
                <w:rFonts w:cs="Arial"/>
                <w:sz w:val="22"/>
                <w:szCs w:val="22"/>
              </w:rPr>
              <w:t>.</w:t>
            </w:r>
          </w:p>
          <w:p w14:paraId="4541E276" w14:textId="77777777" w:rsidR="00600C5E" w:rsidRDefault="00600C5E" w:rsidP="00696EA9">
            <w:pPr>
              <w:tabs>
                <w:tab w:val="right" w:leader="underscore" w:pos="5670"/>
                <w:tab w:val="left" w:pos="6237"/>
              </w:tabs>
              <w:spacing w:before="60" w:after="60"/>
              <w:rPr>
                <w:rFonts w:cs="Arial"/>
                <w:sz w:val="22"/>
                <w:szCs w:val="22"/>
              </w:rPr>
            </w:pPr>
          </w:p>
          <w:p w14:paraId="0B9990BA" w14:textId="4D424FDD" w:rsidR="00492753" w:rsidRPr="00A146FD" w:rsidRDefault="00600C5E" w:rsidP="00696EA9">
            <w:pPr>
              <w:tabs>
                <w:tab w:val="right" w:leader="underscore" w:pos="5670"/>
                <w:tab w:val="left" w:pos="6237"/>
              </w:tabs>
              <w:spacing w:before="60" w:after="60"/>
              <w:rPr>
                <w:sz w:val="22"/>
              </w:rPr>
            </w:pPr>
            <w:r w:rsidRPr="00D648A6">
              <w:rPr>
                <w:b/>
                <w:sz w:val="22"/>
              </w:rPr>
              <w:t>Action:</w:t>
            </w:r>
            <w:r w:rsidRPr="00D648A6">
              <w:rPr>
                <w:sz w:val="22"/>
              </w:rPr>
              <w:t xml:space="preserve"> </w:t>
            </w:r>
            <w:r w:rsidR="00DC1698">
              <w:rPr>
                <w:sz w:val="22"/>
              </w:rPr>
              <w:t>Secretariat</w:t>
            </w:r>
            <w:r w:rsidR="00DC1698" w:rsidRPr="00D648A6">
              <w:rPr>
                <w:sz w:val="22"/>
              </w:rPr>
              <w:t xml:space="preserve"> </w:t>
            </w:r>
            <w:r w:rsidRPr="00D648A6">
              <w:rPr>
                <w:sz w:val="22"/>
              </w:rPr>
              <w:t xml:space="preserve">to </w:t>
            </w:r>
            <w:r w:rsidR="00A345C2">
              <w:rPr>
                <w:sz w:val="22"/>
              </w:rPr>
              <w:t xml:space="preserve">organise two </w:t>
            </w:r>
            <w:r w:rsidR="00504F22">
              <w:rPr>
                <w:sz w:val="22"/>
              </w:rPr>
              <w:t xml:space="preserve">further </w:t>
            </w:r>
            <w:r w:rsidR="00A345C2">
              <w:rPr>
                <w:sz w:val="22"/>
              </w:rPr>
              <w:t>meetings</w:t>
            </w:r>
            <w:r w:rsidRPr="00D648A6">
              <w:rPr>
                <w:sz w:val="22"/>
              </w:rPr>
              <w:t xml:space="preserve">; </w:t>
            </w:r>
            <w:r w:rsidR="00A345C2">
              <w:rPr>
                <w:sz w:val="22"/>
              </w:rPr>
              <w:t>a</w:t>
            </w:r>
            <w:r w:rsidR="00900D10">
              <w:rPr>
                <w:sz w:val="22"/>
              </w:rPr>
              <w:t>n Advisory Group</w:t>
            </w:r>
            <w:r w:rsidR="00A345C2">
              <w:rPr>
                <w:sz w:val="22"/>
              </w:rPr>
              <w:t xml:space="preserve"> </w:t>
            </w:r>
            <w:r w:rsidRPr="00D648A6">
              <w:rPr>
                <w:sz w:val="22"/>
              </w:rPr>
              <w:t>teleconference (</w:t>
            </w:r>
            <w:r w:rsidR="00A345C2">
              <w:rPr>
                <w:sz w:val="22"/>
              </w:rPr>
              <w:t xml:space="preserve">for </w:t>
            </w:r>
            <w:r w:rsidR="00900D10">
              <w:rPr>
                <w:sz w:val="22"/>
              </w:rPr>
              <w:t xml:space="preserve">the </w:t>
            </w:r>
            <w:r w:rsidRPr="00D648A6">
              <w:rPr>
                <w:sz w:val="22"/>
              </w:rPr>
              <w:t xml:space="preserve">week of 13 May) and the next </w:t>
            </w:r>
            <w:r w:rsidR="00AF4C40">
              <w:rPr>
                <w:sz w:val="22"/>
              </w:rPr>
              <w:t xml:space="preserve">face to face </w:t>
            </w:r>
            <w:r w:rsidR="00900D10">
              <w:rPr>
                <w:sz w:val="22"/>
              </w:rPr>
              <w:t xml:space="preserve">Advisory Group </w:t>
            </w:r>
            <w:r w:rsidRPr="00D648A6">
              <w:rPr>
                <w:sz w:val="22"/>
              </w:rPr>
              <w:t xml:space="preserve">meeting </w:t>
            </w:r>
            <w:r w:rsidR="002B7743">
              <w:rPr>
                <w:sz w:val="22"/>
              </w:rPr>
              <w:t xml:space="preserve">after public consultation </w:t>
            </w:r>
            <w:r w:rsidRPr="00D648A6">
              <w:rPr>
                <w:sz w:val="22"/>
              </w:rPr>
              <w:t>(around 19 August)</w:t>
            </w:r>
            <w:r>
              <w:rPr>
                <w:sz w:val="22"/>
              </w:rPr>
              <w:t>.</w:t>
            </w:r>
          </w:p>
        </w:tc>
      </w:tr>
      <w:tr w:rsidR="00B03C4A" w14:paraId="2F8E43B6" w14:textId="77777777" w:rsidTr="00492753">
        <w:tc>
          <w:tcPr>
            <w:tcW w:w="669" w:type="dxa"/>
          </w:tcPr>
          <w:p w14:paraId="6A9CA83A" w14:textId="77777777" w:rsidR="00B03C4A" w:rsidRPr="00600C5E" w:rsidRDefault="00600C5E" w:rsidP="00D0502C">
            <w:pPr>
              <w:tabs>
                <w:tab w:val="right" w:leader="underscore" w:pos="5670"/>
                <w:tab w:val="left" w:pos="6237"/>
              </w:tabs>
              <w:spacing w:before="60" w:after="60"/>
              <w:rPr>
                <w:rFonts w:cs="Arial"/>
                <w:b/>
                <w:sz w:val="22"/>
                <w:szCs w:val="22"/>
              </w:rPr>
            </w:pPr>
            <w:r w:rsidRPr="00600C5E">
              <w:rPr>
                <w:rFonts w:cs="Arial"/>
                <w:b/>
                <w:sz w:val="22"/>
                <w:szCs w:val="22"/>
              </w:rPr>
              <w:lastRenderedPageBreak/>
              <w:t>8</w:t>
            </w:r>
          </w:p>
        </w:tc>
        <w:tc>
          <w:tcPr>
            <w:tcW w:w="9208" w:type="dxa"/>
            <w:tcBorders>
              <w:top w:val="single" w:sz="4" w:space="0" w:color="auto"/>
            </w:tcBorders>
          </w:tcPr>
          <w:p w14:paraId="16EEA079" w14:textId="6C2742F9" w:rsidR="00B03C4A" w:rsidRDefault="003A402E" w:rsidP="00696EA9">
            <w:pPr>
              <w:tabs>
                <w:tab w:val="right" w:leader="underscore" w:pos="5670"/>
                <w:tab w:val="left" w:pos="6237"/>
              </w:tabs>
              <w:spacing w:before="60" w:after="180"/>
              <w:rPr>
                <w:rFonts w:cs="Arial"/>
                <w:b/>
                <w:sz w:val="22"/>
                <w:szCs w:val="22"/>
              </w:rPr>
            </w:pPr>
            <w:r>
              <w:rPr>
                <w:rFonts w:cs="Arial"/>
                <w:b/>
                <w:sz w:val="22"/>
                <w:szCs w:val="22"/>
              </w:rPr>
              <w:t>Background and O</w:t>
            </w:r>
            <w:r w:rsidR="00B03C4A" w:rsidRPr="003F6346">
              <w:rPr>
                <w:rFonts w:cs="Arial"/>
                <w:b/>
                <w:sz w:val="22"/>
                <w:szCs w:val="22"/>
              </w:rPr>
              <w:t>verview of Scheme and Regulatory Proposals</w:t>
            </w:r>
          </w:p>
          <w:p w14:paraId="5B8F0EE8" w14:textId="21715907" w:rsidR="00DF6395" w:rsidRDefault="00DF6395" w:rsidP="00696EA9">
            <w:pPr>
              <w:tabs>
                <w:tab w:val="right" w:leader="underscore" w:pos="5670"/>
                <w:tab w:val="left" w:pos="6237"/>
              </w:tabs>
              <w:spacing w:before="60" w:after="180"/>
              <w:rPr>
                <w:rFonts w:cs="Arial"/>
                <w:sz w:val="22"/>
                <w:szCs w:val="22"/>
              </w:rPr>
            </w:pPr>
            <w:r>
              <w:rPr>
                <w:rFonts w:cs="Arial"/>
                <w:sz w:val="22"/>
                <w:szCs w:val="22"/>
              </w:rPr>
              <w:t xml:space="preserve">The Secretariat </w:t>
            </w:r>
            <w:r w:rsidR="00270D9C">
              <w:rPr>
                <w:rFonts w:cs="Arial"/>
                <w:sz w:val="22"/>
                <w:szCs w:val="22"/>
              </w:rPr>
              <w:t xml:space="preserve">gave a brief overview </w:t>
            </w:r>
            <w:r w:rsidR="00D06245">
              <w:rPr>
                <w:rFonts w:cs="Arial"/>
                <w:sz w:val="22"/>
                <w:szCs w:val="22"/>
              </w:rPr>
              <w:t xml:space="preserve">of </w:t>
            </w:r>
            <w:r>
              <w:rPr>
                <w:rFonts w:cs="Arial"/>
                <w:sz w:val="22"/>
                <w:szCs w:val="22"/>
              </w:rPr>
              <w:t>the background of the Medicinal Cannabis Scheme and the</w:t>
            </w:r>
            <w:r w:rsidR="000E7FB8">
              <w:rPr>
                <w:rFonts w:cs="Arial"/>
                <w:sz w:val="22"/>
                <w:szCs w:val="22"/>
              </w:rPr>
              <w:t xml:space="preserve"> </w:t>
            </w:r>
            <w:r w:rsidR="003D4166">
              <w:rPr>
                <w:rFonts w:cs="Arial"/>
                <w:sz w:val="22"/>
                <w:szCs w:val="22"/>
              </w:rPr>
              <w:t>development of</w:t>
            </w:r>
            <w:r>
              <w:rPr>
                <w:rFonts w:cs="Arial"/>
                <w:sz w:val="22"/>
                <w:szCs w:val="22"/>
              </w:rPr>
              <w:t xml:space="preserve"> the Consultation Document.</w:t>
            </w:r>
          </w:p>
          <w:p w14:paraId="1A3BC907" w14:textId="77777777" w:rsidR="002A2AC2" w:rsidRDefault="00584309" w:rsidP="00696EA9">
            <w:pPr>
              <w:tabs>
                <w:tab w:val="right" w:leader="underscore" w:pos="5670"/>
                <w:tab w:val="left" w:pos="6237"/>
              </w:tabs>
              <w:spacing w:before="60" w:after="180"/>
              <w:rPr>
                <w:rFonts w:cs="Arial"/>
                <w:sz w:val="22"/>
                <w:szCs w:val="22"/>
              </w:rPr>
            </w:pPr>
            <w:r>
              <w:rPr>
                <w:rFonts w:cs="Arial"/>
                <w:sz w:val="22"/>
                <w:szCs w:val="22"/>
              </w:rPr>
              <w:t xml:space="preserve">In 2017, as part of the </w:t>
            </w:r>
            <w:r w:rsidR="00DA773D">
              <w:rPr>
                <w:rFonts w:cs="Arial"/>
                <w:sz w:val="22"/>
                <w:szCs w:val="22"/>
              </w:rPr>
              <w:t>Government’s</w:t>
            </w:r>
            <w:r w:rsidR="00DF6395">
              <w:rPr>
                <w:rFonts w:cs="Arial"/>
                <w:sz w:val="22"/>
                <w:szCs w:val="22"/>
              </w:rPr>
              <w:t xml:space="preserve"> 100 day plan, Cabinet agreed to introduce legislation</w:t>
            </w:r>
            <w:r w:rsidR="00A345C2">
              <w:rPr>
                <w:rFonts w:cs="Arial"/>
                <w:sz w:val="22"/>
                <w:szCs w:val="22"/>
              </w:rPr>
              <w:t xml:space="preserve"> to improve access to medicinal cannabis products</w:t>
            </w:r>
            <w:r w:rsidR="00DF6395">
              <w:rPr>
                <w:rFonts w:cs="Arial"/>
                <w:sz w:val="22"/>
                <w:szCs w:val="22"/>
              </w:rPr>
              <w:t xml:space="preserve">. </w:t>
            </w:r>
            <w:r w:rsidR="002A2AC2">
              <w:rPr>
                <w:rFonts w:cs="Arial"/>
                <w:sz w:val="22"/>
                <w:szCs w:val="22"/>
              </w:rPr>
              <w:t>T</w:t>
            </w:r>
            <w:r w:rsidR="00DF6395">
              <w:rPr>
                <w:rFonts w:cs="Arial"/>
                <w:sz w:val="22"/>
                <w:szCs w:val="22"/>
              </w:rPr>
              <w:t>he Misuse of Drugs (Medicinal Cannabis) Amendment Act 2018</w:t>
            </w:r>
            <w:r w:rsidR="002A2AC2">
              <w:rPr>
                <w:rFonts w:cs="Arial"/>
                <w:sz w:val="22"/>
                <w:szCs w:val="22"/>
              </w:rPr>
              <w:t xml:space="preserve"> came into effect on 18 December 2018 and, among other things, provided for regulations to </w:t>
            </w:r>
            <w:r w:rsidR="002B7743">
              <w:rPr>
                <w:rFonts w:cs="Arial"/>
                <w:sz w:val="22"/>
                <w:szCs w:val="22"/>
              </w:rPr>
              <w:t xml:space="preserve">be made to prescribe standards </w:t>
            </w:r>
            <w:r w:rsidR="002A2AC2">
              <w:rPr>
                <w:rFonts w:cs="Arial"/>
                <w:sz w:val="22"/>
                <w:szCs w:val="22"/>
              </w:rPr>
              <w:t xml:space="preserve">for all stages of cultivation, production and manufacture, and for medicinal cannabis products. These regulations are required to be made no later than 18 December 2019. </w:t>
            </w:r>
          </w:p>
          <w:p w14:paraId="029BD6DB" w14:textId="1A6855C2" w:rsidR="003D4166" w:rsidRPr="004C556F" w:rsidRDefault="002A2AC2" w:rsidP="00A146FD">
            <w:pPr>
              <w:tabs>
                <w:tab w:val="right" w:leader="underscore" w:pos="5670"/>
                <w:tab w:val="left" w:pos="6237"/>
              </w:tabs>
              <w:spacing w:before="60" w:after="60"/>
              <w:rPr>
                <w:rFonts w:cs="Arial"/>
                <w:sz w:val="22"/>
                <w:szCs w:val="22"/>
              </w:rPr>
            </w:pPr>
            <w:r>
              <w:rPr>
                <w:rFonts w:cs="Arial"/>
                <w:sz w:val="22"/>
                <w:szCs w:val="22"/>
              </w:rPr>
              <w:t>The Medicinal Cannabis Scheme</w:t>
            </w:r>
            <w:r w:rsidR="00D96BE8">
              <w:rPr>
                <w:rFonts w:cs="Arial"/>
                <w:sz w:val="22"/>
                <w:szCs w:val="22"/>
              </w:rPr>
              <w:t xml:space="preserve"> </w:t>
            </w:r>
            <w:r w:rsidR="00B9308A">
              <w:rPr>
                <w:rFonts w:cs="Arial"/>
                <w:sz w:val="22"/>
                <w:szCs w:val="22"/>
              </w:rPr>
              <w:t>aims</w:t>
            </w:r>
            <w:r w:rsidR="00D96BE8">
              <w:rPr>
                <w:rFonts w:cs="Arial"/>
                <w:sz w:val="22"/>
                <w:szCs w:val="22"/>
              </w:rPr>
              <w:t xml:space="preserve"> to improve access to products </w:t>
            </w:r>
            <w:r w:rsidR="00B9308A">
              <w:rPr>
                <w:rFonts w:cs="Arial"/>
                <w:sz w:val="22"/>
                <w:szCs w:val="22"/>
              </w:rPr>
              <w:t>by</w:t>
            </w:r>
            <w:r w:rsidR="00D96BE8">
              <w:rPr>
                <w:rFonts w:cs="Arial"/>
                <w:sz w:val="22"/>
                <w:szCs w:val="22"/>
              </w:rPr>
              <w:t xml:space="preserve"> increasing supply through enabling domestic cultivation of cannabis and manufacture of </w:t>
            </w:r>
            <w:r w:rsidR="00B9308A">
              <w:rPr>
                <w:rFonts w:cs="Arial"/>
                <w:sz w:val="22"/>
                <w:szCs w:val="22"/>
              </w:rPr>
              <w:t xml:space="preserve">quality </w:t>
            </w:r>
            <w:r w:rsidR="00C90E32">
              <w:rPr>
                <w:rFonts w:cs="Arial"/>
                <w:sz w:val="22"/>
                <w:szCs w:val="22"/>
              </w:rPr>
              <w:t>medicinal cannabis products</w:t>
            </w:r>
            <w:r w:rsidR="002B7743">
              <w:rPr>
                <w:rFonts w:cs="Arial"/>
                <w:sz w:val="22"/>
                <w:szCs w:val="22"/>
              </w:rPr>
              <w:t>, and facilitating patient access to products</w:t>
            </w:r>
            <w:r w:rsidR="00A146FD">
              <w:rPr>
                <w:rFonts w:cs="Arial"/>
                <w:sz w:val="22"/>
                <w:szCs w:val="22"/>
              </w:rPr>
              <w:t>.</w:t>
            </w:r>
          </w:p>
        </w:tc>
      </w:tr>
      <w:tr w:rsidR="00B03C4A" w14:paraId="35DFDCF9" w14:textId="77777777" w:rsidTr="00492753">
        <w:tc>
          <w:tcPr>
            <w:tcW w:w="669" w:type="dxa"/>
          </w:tcPr>
          <w:p w14:paraId="7FC860C7" w14:textId="77777777" w:rsidR="00B03C4A" w:rsidRPr="00313D7D" w:rsidRDefault="00B03C4A" w:rsidP="00696EA9">
            <w:pPr>
              <w:tabs>
                <w:tab w:val="right" w:leader="underscore" w:pos="5670"/>
                <w:tab w:val="left" w:pos="6237"/>
              </w:tabs>
              <w:spacing w:before="60" w:after="60"/>
              <w:jc w:val="center"/>
              <w:rPr>
                <w:rFonts w:cs="Arial"/>
                <w:sz w:val="22"/>
                <w:szCs w:val="22"/>
              </w:rPr>
            </w:pPr>
          </w:p>
        </w:tc>
        <w:tc>
          <w:tcPr>
            <w:tcW w:w="9208" w:type="dxa"/>
          </w:tcPr>
          <w:p w14:paraId="4535A3F6" w14:textId="14711865" w:rsidR="00B03C4A" w:rsidRPr="003F6346" w:rsidRDefault="00584309" w:rsidP="00696EA9">
            <w:pPr>
              <w:tabs>
                <w:tab w:val="right" w:leader="underscore" w:pos="5670"/>
                <w:tab w:val="left" w:pos="6237"/>
              </w:tabs>
              <w:spacing w:before="60" w:after="60"/>
              <w:rPr>
                <w:rFonts w:cs="Arial"/>
                <w:b/>
                <w:sz w:val="22"/>
                <w:szCs w:val="22"/>
              </w:rPr>
            </w:pPr>
            <w:r>
              <w:rPr>
                <w:rFonts w:cs="Arial"/>
                <w:b/>
                <w:sz w:val="22"/>
                <w:szCs w:val="22"/>
              </w:rPr>
              <w:t xml:space="preserve">Break for </w:t>
            </w:r>
            <w:r w:rsidR="003D4166">
              <w:rPr>
                <w:rFonts w:cs="Arial"/>
                <w:b/>
                <w:sz w:val="22"/>
                <w:szCs w:val="22"/>
              </w:rPr>
              <w:t>l</w:t>
            </w:r>
            <w:r>
              <w:rPr>
                <w:rFonts w:cs="Arial"/>
                <w:b/>
                <w:sz w:val="22"/>
                <w:szCs w:val="22"/>
              </w:rPr>
              <w:t>unch 12.00pm–1.</w:t>
            </w:r>
            <w:r w:rsidR="00B03C4A" w:rsidRPr="003F6346">
              <w:rPr>
                <w:rFonts w:cs="Arial"/>
                <w:b/>
                <w:sz w:val="22"/>
                <w:szCs w:val="22"/>
              </w:rPr>
              <w:t>30pm</w:t>
            </w:r>
          </w:p>
        </w:tc>
      </w:tr>
      <w:tr w:rsidR="00B03C4A" w14:paraId="5820BB9C" w14:textId="77777777" w:rsidTr="00492753">
        <w:tc>
          <w:tcPr>
            <w:tcW w:w="669" w:type="dxa"/>
            <w:tcBorders>
              <w:bottom w:val="nil"/>
            </w:tcBorders>
          </w:tcPr>
          <w:p w14:paraId="682D16AB" w14:textId="77777777" w:rsidR="00600C5E" w:rsidRPr="00600C5E" w:rsidRDefault="00600C5E" w:rsidP="00D0502C">
            <w:pPr>
              <w:tabs>
                <w:tab w:val="right" w:leader="underscore" w:pos="5670"/>
                <w:tab w:val="left" w:pos="6237"/>
              </w:tabs>
              <w:spacing w:before="60" w:after="60"/>
              <w:rPr>
                <w:rFonts w:cs="Arial"/>
                <w:b/>
                <w:sz w:val="22"/>
                <w:szCs w:val="22"/>
              </w:rPr>
            </w:pPr>
            <w:r w:rsidRPr="00600C5E">
              <w:rPr>
                <w:rFonts w:cs="Arial"/>
                <w:b/>
                <w:sz w:val="22"/>
                <w:szCs w:val="22"/>
              </w:rPr>
              <w:t>9</w:t>
            </w:r>
          </w:p>
        </w:tc>
        <w:tc>
          <w:tcPr>
            <w:tcW w:w="9208" w:type="dxa"/>
            <w:tcBorders>
              <w:bottom w:val="nil"/>
            </w:tcBorders>
          </w:tcPr>
          <w:p w14:paraId="24CB92A3" w14:textId="08B52905" w:rsidR="004C556F" w:rsidRDefault="003A402E" w:rsidP="00696EA9">
            <w:pPr>
              <w:tabs>
                <w:tab w:val="right" w:leader="underscore" w:pos="5670"/>
                <w:tab w:val="left" w:pos="6237"/>
              </w:tabs>
              <w:spacing w:before="60" w:after="60"/>
              <w:rPr>
                <w:rFonts w:cs="Arial"/>
                <w:b/>
                <w:sz w:val="22"/>
                <w:szCs w:val="22"/>
              </w:rPr>
            </w:pPr>
            <w:r>
              <w:rPr>
                <w:rFonts w:cs="Arial"/>
                <w:b/>
                <w:sz w:val="22"/>
                <w:szCs w:val="22"/>
              </w:rPr>
              <w:t>Proposed Quality S</w:t>
            </w:r>
            <w:r w:rsidR="00D96BE8">
              <w:rPr>
                <w:rFonts w:cs="Arial"/>
                <w:b/>
                <w:sz w:val="22"/>
                <w:szCs w:val="22"/>
              </w:rPr>
              <w:t>tandards</w:t>
            </w:r>
          </w:p>
          <w:p w14:paraId="30C53C00" w14:textId="77777777" w:rsidR="00D94657" w:rsidRPr="00393B3D" w:rsidRDefault="00D94657" w:rsidP="00696EA9">
            <w:pPr>
              <w:tabs>
                <w:tab w:val="right" w:leader="underscore" w:pos="5670"/>
                <w:tab w:val="left" w:pos="6237"/>
              </w:tabs>
              <w:spacing w:before="60" w:after="60"/>
              <w:rPr>
                <w:rFonts w:cs="Arial"/>
                <w:b/>
                <w:sz w:val="22"/>
                <w:szCs w:val="22"/>
              </w:rPr>
            </w:pPr>
            <w:r>
              <w:rPr>
                <w:rFonts w:cs="Arial"/>
                <w:sz w:val="22"/>
                <w:szCs w:val="22"/>
              </w:rPr>
              <w:t xml:space="preserve">The Secretariat </w:t>
            </w:r>
            <w:r w:rsidR="00524468">
              <w:rPr>
                <w:rFonts w:cs="Arial"/>
                <w:sz w:val="22"/>
                <w:szCs w:val="22"/>
              </w:rPr>
              <w:t>presented</w:t>
            </w:r>
            <w:r>
              <w:rPr>
                <w:rFonts w:cs="Arial"/>
                <w:sz w:val="22"/>
                <w:szCs w:val="22"/>
              </w:rPr>
              <w:t xml:space="preserve"> the propos</w:t>
            </w:r>
            <w:r w:rsidR="00D96BE8">
              <w:rPr>
                <w:rFonts w:cs="Arial"/>
                <w:sz w:val="22"/>
                <w:szCs w:val="22"/>
              </w:rPr>
              <w:t xml:space="preserve">als for quality standards: </w:t>
            </w:r>
          </w:p>
          <w:p w14:paraId="199B9C1A" w14:textId="28F34749" w:rsidR="00D94657" w:rsidRDefault="004C556F" w:rsidP="00696EA9">
            <w:pPr>
              <w:tabs>
                <w:tab w:val="right" w:leader="underscore" w:pos="5670"/>
                <w:tab w:val="left" w:pos="6237"/>
              </w:tabs>
              <w:spacing w:before="60" w:after="60"/>
              <w:rPr>
                <w:rFonts w:cs="Arial"/>
                <w:sz w:val="22"/>
                <w:szCs w:val="22"/>
              </w:rPr>
            </w:pPr>
            <w:r w:rsidRPr="00393B3D">
              <w:rPr>
                <w:rFonts w:cs="Arial"/>
                <w:b/>
                <w:sz w:val="22"/>
                <w:szCs w:val="22"/>
              </w:rPr>
              <w:t xml:space="preserve">Quality </w:t>
            </w:r>
            <w:r w:rsidR="00524468">
              <w:rPr>
                <w:rFonts w:cs="Arial"/>
                <w:b/>
                <w:sz w:val="22"/>
                <w:szCs w:val="22"/>
              </w:rPr>
              <w:t>s</w:t>
            </w:r>
            <w:r w:rsidRPr="00393B3D">
              <w:rPr>
                <w:rFonts w:cs="Arial"/>
                <w:b/>
                <w:sz w:val="22"/>
                <w:szCs w:val="22"/>
              </w:rPr>
              <w:t xml:space="preserve">tandards for </w:t>
            </w:r>
            <w:r w:rsidR="00524468">
              <w:rPr>
                <w:rFonts w:cs="Arial"/>
                <w:b/>
                <w:sz w:val="22"/>
                <w:szCs w:val="22"/>
              </w:rPr>
              <w:t>cultivation: three approaches</w:t>
            </w:r>
            <w:r w:rsidR="003A402E">
              <w:rPr>
                <w:rFonts w:cs="Arial"/>
                <w:b/>
                <w:sz w:val="22"/>
                <w:szCs w:val="22"/>
              </w:rPr>
              <w:t xml:space="preserve"> for consideration</w:t>
            </w:r>
          </w:p>
          <w:p w14:paraId="01C04B98" w14:textId="093E5BE2" w:rsidR="00D94657" w:rsidRDefault="0020178D" w:rsidP="00696EA9">
            <w:pPr>
              <w:pStyle w:val="ListParagraph"/>
              <w:numPr>
                <w:ilvl w:val="0"/>
                <w:numId w:val="12"/>
              </w:numPr>
              <w:tabs>
                <w:tab w:val="right" w:leader="underscore" w:pos="5670"/>
                <w:tab w:val="left" w:pos="6237"/>
              </w:tabs>
              <w:spacing w:before="60" w:after="60"/>
              <w:contextualSpacing w:val="0"/>
              <w:rPr>
                <w:rFonts w:cs="Arial"/>
                <w:sz w:val="22"/>
                <w:szCs w:val="22"/>
              </w:rPr>
            </w:pPr>
            <w:r>
              <w:rPr>
                <w:rFonts w:cs="Arial"/>
                <w:sz w:val="22"/>
                <w:szCs w:val="22"/>
              </w:rPr>
              <w:t>C</w:t>
            </w:r>
            <w:r w:rsidR="00524468">
              <w:rPr>
                <w:rFonts w:cs="Arial"/>
                <w:sz w:val="22"/>
                <w:szCs w:val="22"/>
              </w:rPr>
              <w:t>ultivators must meet the manufacturer</w:t>
            </w:r>
            <w:r w:rsidR="005F40F4">
              <w:rPr>
                <w:rFonts w:cs="Arial"/>
                <w:sz w:val="22"/>
                <w:szCs w:val="22"/>
              </w:rPr>
              <w:t>’</w:t>
            </w:r>
            <w:r w:rsidR="00524468">
              <w:rPr>
                <w:rFonts w:cs="Arial"/>
                <w:sz w:val="22"/>
                <w:szCs w:val="22"/>
              </w:rPr>
              <w:t>s quality standards</w:t>
            </w:r>
            <w:r>
              <w:rPr>
                <w:rFonts w:cs="Arial"/>
                <w:sz w:val="22"/>
                <w:szCs w:val="22"/>
              </w:rPr>
              <w:t>.</w:t>
            </w:r>
          </w:p>
          <w:p w14:paraId="4920B7E5" w14:textId="3857A5D3" w:rsidR="00524468" w:rsidRDefault="0020178D" w:rsidP="00696EA9">
            <w:pPr>
              <w:pStyle w:val="ListParagraph"/>
              <w:numPr>
                <w:ilvl w:val="0"/>
                <w:numId w:val="12"/>
              </w:numPr>
              <w:tabs>
                <w:tab w:val="right" w:leader="underscore" w:pos="5670"/>
                <w:tab w:val="left" w:pos="6237"/>
              </w:tabs>
              <w:spacing w:before="60" w:after="60"/>
              <w:contextualSpacing w:val="0"/>
              <w:rPr>
                <w:rFonts w:cs="Arial"/>
                <w:sz w:val="22"/>
                <w:szCs w:val="22"/>
              </w:rPr>
            </w:pPr>
            <w:r>
              <w:rPr>
                <w:rFonts w:cs="Arial"/>
                <w:sz w:val="22"/>
                <w:szCs w:val="22"/>
              </w:rPr>
              <w:t>C</w:t>
            </w:r>
            <w:r w:rsidR="00524468">
              <w:rPr>
                <w:rFonts w:cs="Arial"/>
                <w:sz w:val="22"/>
                <w:szCs w:val="22"/>
              </w:rPr>
              <w:t>ultivators must follow the cultivation process standard set by the regulator</w:t>
            </w:r>
            <w:r>
              <w:rPr>
                <w:rFonts w:cs="Arial"/>
                <w:sz w:val="22"/>
                <w:szCs w:val="22"/>
              </w:rPr>
              <w:t>.</w:t>
            </w:r>
          </w:p>
          <w:p w14:paraId="073BB672" w14:textId="15815663" w:rsidR="004C556F" w:rsidRPr="002B7743" w:rsidRDefault="0020178D" w:rsidP="00696EA9">
            <w:pPr>
              <w:pStyle w:val="ListParagraph"/>
              <w:numPr>
                <w:ilvl w:val="0"/>
                <w:numId w:val="12"/>
              </w:numPr>
              <w:tabs>
                <w:tab w:val="right" w:leader="underscore" w:pos="5670"/>
                <w:tab w:val="left" w:pos="6237"/>
              </w:tabs>
              <w:spacing w:before="60" w:after="60"/>
              <w:contextualSpacing w:val="0"/>
              <w:rPr>
                <w:rFonts w:cs="Arial"/>
                <w:sz w:val="22"/>
                <w:szCs w:val="22"/>
              </w:rPr>
            </w:pPr>
            <w:r>
              <w:rPr>
                <w:rFonts w:cs="Arial"/>
                <w:sz w:val="22"/>
                <w:szCs w:val="22"/>
              </w:rPr>
              <w:t>C</w:t>
            </w:r>
            <w:r w:rsidR="00524468">
              <w:rPr>
                <w:rFonts w:cs="Arial"/>
                <w:sz w:val="22"/>
                <w:szCs w:val="22"/>
              </w:rPr>
              <w:t>ultivator</w:t>
            </w:r>
            <w:r>
              <w:rPr>
                <w:rFonts w:cs="Arial"/>
                <w:sz w:val="22"/>
                <w:szCs w:val="22"/>
              </w:rPr>
              <w:t>s</w:t>
            </w:r>
            <w:r w:rsidR="00524468">
              <w:rPr>
                <w:rFonts w:cs="Arial"/>
                <w:sz w:val="22"/>
                <w:szCs w:val="22"/>
              </w:rPr>
              <w:t xml:space="preserve"> must meet the product quality standard for starting material set by the regulator</w:t>
            </w:r>
            <w:r w:rsidR="00900D10">
              <w:rPr>
                <w:rFonts w:cs="Arial"/>
                <w:sz w:val="22"/>
                <w:szCs w:val="22"/>
              </w:rPr>
              <w:t>.</w:t>
            </w:r>
          </w:p>
          <w:p w14:paraId="2849E863" w14:textId="1DDBD96D" w:rsidR="0020178D" w:rsidRPr="00393B3D" w:rsidRDefault="00364FB3" w:rsidP="00696EA9">
            <w:pPr>
              <w:tabs>
                <w:tab w:val="right" w:leader="underscore" w:pos="5670"/>
                <w:tab w:val="left" w:pos="6237"/>
              </w:tabs>
              <w:spacing w:before="60" w:after="180"/>
              <w:rPr>
                <w:rFonts w:cs="Arial"/>
                <w:sz w:val="22"/>
                <w:szCs w:val="22"/>
              </w:rPr>
            </w:pPr>
            <w:r>
              <w:rPr>
                <w:rFonts w:cs="Arial"/>
                <w:sz w:val="22"/>
                <w:szCs w:val="22"/>
              </w:rPr>
              <w:t>It was noted</w:t>
            </w:r>
            <w:r w:rsidR="00D94657">
              <w:rPr>
                <w:rFonts w:cs="Arial"/>
                <w:sz w:val="22"/>
                <w:szCs w:val="22"/>
              </w:rPr>
              <w:t xml:space="preserve"> </w:t>
            </w:r>
            <w:r w:rsidR="004C556F" w:rsidRPr="00393B3D">
              <w:rPr>
                <w:rFonts w:cs="Arial"/>
                <w:sz w:val="22"/>
                <w:szCs w:val="22"/>
              </w:rPr>
              <w:t xml:space="preserve">that </w:t>
            </w:r>
            <w:r w:rsidR="00900D10">
              <w:rPr>
                <w:rFonts w:cs="Arial"/>
                <w:sz w:val="22"/>
                <w:szCs w:val="22"/>
              </w:rPr>
              <w:t xml:space="preserve">the medicinal cannabis </w:t>
            </w:r>
            <w:r w:rsidR="004C556F" w:rsidRPr="00393B3D">
              <w:rPr>
                <w:rFonts w:cs="Arial"/>
                <w:sz w:val="22"/>
                <w:szCs w:val="22"/>
              </w:rPr>
              <w:t xml:space="preserve">industry </w:t>
            </w:r>
            <w:r w:rsidR="00A95562">
              <w:rPr>
                <w:rFonts w:cs="Arial"/>
                <w:sz w:val="22"/>
                <w:szCs w:val="22"/>
              </w:rPr>
              <w:t xml:space="preserve">may </w:t>
            </w:r>
            <w:r w:rsidR="004C556F" w:rsidRPr="00393B3D">
              <w:rPr>
                <w:rFonts w:cs="Arial"/>
                <w:sz w:val="22"/>
                <w:szCs w:val="22"/>
              </w:rPr>
              <w:t>prefer the option of</w:t>
            </w:r>
            <w:r w:rsidR="00A95562">
              <w:rPr>
                <w:rFonts w:cs="Arial"/>
                <w:sz w:val="22"/>
                <w:szCs w:val="22"/>
              </w:rPr>
              <w:t xml:space="preserve"> having</w:t>
            </w:r>
            <w:r w:rsidR="004C556F" w:rsidRPr="00393B3D">
              <w:rPr>
                <w:rFonts w:cs="Arial"/>
                <w:sz w:val="22"/>
                <w:szCs w:val="22"/>
              </w:rPr>
              <w:t xml:space="preserve"> </w:t>
            </w:r>
            <w:r w:rsidR="004F677E">
              <w:rPr>
                <w:rFonts w:cs="Arial"/>
                <w:sz w:val="22"/>
                <w:szCs w:val="22"/>
              </w:rPr>
              <w:t>Good Agricultural Practices (</w:t>
            </w:r>
            <w:r w:rsidR="004C556F" w:rsidRPr="00393B3D">
              <w:rPr>
                <w:rFonts w:cs="Arial"/>
                <w:sz w:val="22"/>
                <w:szCs w:val="22"/>
              </w:rPr>
              <w:t>GAP</w:t>
            </w:r>
            <w:r w:rsidR="004F677E">
              <w:rPr>
                <w:rFonts w:cs="Arial"/>
                <w:sz w:val="22"/>
                <w:szCs w:val="22"/>
              </w:rPr>
              <w:t>)</w:t>
            </w:r>
            <w:r w:rsidR="004C556F" w:rsidRPr="00393B3D">
              <w:rPr>
                <w:rFonts w:cs="Arial"/>
                <w:sz w:val="22"/>
                <w:szCs w:val="22"/>
              </w:rPr>
              <w:t xml:space="preserve"> </w:t>
            </w:r>
            <w:r w:rsidR="00524468">
              <w:rPr>
                <w:rFonts w:cs="Arial"/>
                <w:sz w:val="22"/>
                <w:szCs w:val="22"/>
              </w:rPr>
              <w:t xml:space="preserve">or </w:t>
            </w:r>
            <w:r w:rsidR="004C556F" w:rsidRPr="00393B3D">
              <w:rPr>
                <w:rFonts w:cs="Arial"/>
                <w:sz w:val="22"/>
                <w:szCs w:val="22"/>
              </w:rPr>
              <w:t>Good Agricultural and Collection Practices (GACP)</w:t>
            </w:r>
            <w:r w:rsidR="00A95562">
              <w:rPr>
                <w:rFonts w:cs="Arial"/>
                <w:sz w:val="22"/>
                <w:szCs w:val="22"/>
              </w:rPr>
              <w:t xml:space="preserve"> requirements</w:t>
            </w:r>
            <w:r w:rsidR="00437F44">
              <w:rPr>
                <w:rFonts w:cs="Arial"/>
                <w:sz w:val="22"/>
                <w:szCs w:val="22"/>
              </w:rPr>
              <w:t xml:space="preserve"> to provide quality assurance for the starting material.</w:t>
            </w:r>
          </w:p>
          <w:p w14:paraId="3664E140" w14:textId="636A8182" w:rsidR="0020178D" w:rsidRDefault="004C556F" w:rsidP="00696EA9">
            <w:pPr>
              <w:tabs>
                <w:tab w:val="right" w:leader="underscore" w:pos="5670"/>
                <w:tab w:val="left" w:pos="6237"/>
              </w:tabs>
              <w:spacing w:before="60" w:after="180"/>
              <w:rPr>
                <w:rFonts w:cs="Arial"/>
                <w:sz w:val="22"/>
                <w:szCs w:val="22"/>
              </w:rPr>
            </w:pPr>
            <w:r w:rsidRPr="00393B3D">
              <w:rPr>
                <w:rFonts w:cs="Arial"/>
                <w:sz w:val="22"/>
                <w:szCs w:val="22"/>
              </w:rPr>
              <w:t xml:space="preserve">The Advisory Group noted that there was a lot of information in the </w:t>
            </w:r>
            <w:r w:rsidR="00900D10">
              <w:rPr>
                <w:rFonts w:cs="Arial"/>
                <w:sz w:val="22"/>
                <w:szCs w:val="22"/>
              </w:rPr>
              <w:t>C</w:t>
            </w:r>
            <w:r w:rsidRPr="00393B3D">
              <w:rPr>
                <w:rFonts w:cs="Arial"/>
                <w:sz w:val="22"/>
                <w:szCs w:val="22"/>
              </w:rPr>
              <w:t xml:space="preserve">onsultation </w:t>
            </w:r>
            <w:r w:rsidR="00900D10">
              <w:rPr>
                <w:rFonts w:cs="Arial"/>
                <w:sz w:val="22"/>
                <w:szCs w:val="22"/>
              </w:rPr>
              <w:t>D</w:t>
            </w:r>
            <w:r w:rsidRPr="00393B3D">
              <w:rPr>
                <w:rFonts w:cs="Arial"/>
                <w:sz w:val="22"/>
                <w:szCs w:val="22"/>
              </w:rPr>
              <w:t xml:space="preserve">ocument which made the details </w:t>
            </w:r>
            <w:r w:rsidR="0020178D">
              <w:rPr>
                <w:rFonts w:cs="Arial"/>
                <w:sz w:val="22"/>
                <w:szCs w:val="22"/>
              </w:rPr>
              <w:t>of</w:t>
            </w:r>
            <w:r w:rsidRPr="00393B3D">
              <w:rPr>
                <w:rFonts w:cs="Arial"/>
                <w:sz w:val="22"/>
                <w:szCs w:val="22"/>
              </w:rPr>
              <w:t xml:space="preserve"> the three approaches hard to follow and suggested </w:t>
            </w:r>
            <w:r w:rsidR="00437F44">
              <w:rPr>
                <w:rFonts w:cs="Arial"/>
                <w:sz w:val="22"/>
                <w:szCs w:val="22"/>
              </w:rPr>
              <w:t xml:space="preserve">the information could be </w:t>
            </w:r>
            <w:r w:rsidR="0054522F">
              <w:rPr>
                <w:rFonts w:cs="Arial"/>
                <w:sz w:val="22"/>
                <w:szCs w:val="22"/>
              </w:rPr>
              <w:t xml:space="preserve">better </w:t>
            </w:r>
            <w:r w:rsidR="00437F44">
              <w:rPr>
                <w:rFonts w:cs="Arial"/>
                <w:sz w:val="22"/>
                <w:szCs w:val="22"/>
              </w:rPr>
              <w:t>presented in the form of a table</w:t>
            </w:r>
            <w:r w:rsidR="00A92EA3">
              <w:rPr>
                <w:rFonts w:cs="Arial"/>
                <w:sz w:val="22"/>
                <w:szCs w:val="22"/>
              </w:rPr>
              <w:t>.</w:t>
            </w:r>
          </w:p>
          <w:p w14:paraId="5722326F" w14:textId="07F74E2B" w:rsidR="0020178D" w:rsidRDefault="004C556F" w:rsidP="00696EA9">
            <w:pPr>
              <w:tabs>
                <w:tab w:val="right" w:leader="underscore" w:pos="5670"/>
                <w:tab w:val="left" w:pos="6237"/>
              </w:tabs>
              <w:spacing w:before="60" w:after="180"/>
              <w:rPr>
                <w:rFonts w:cs="Arial"/>
                <w:sz w:val="22"/>
                <w:szCs w:val="22"/>
              </w:rPr>
            </w:pPr>
            <w:r w:rsidRPr="00393B3D">
              <w:rPr>
                <w:rFonts w:cs="Arial"/>
                <w:sz w:val="22"/>
                <w:szCs w:val="22"/>
              </w:rPr>
              <w:t xml:space="preserve">The Advisory Group noted that it was unclear as to the testing requirements that the </w:t>
            </w:r>
            <w:r w:rsidR="00364FB3">
              <w:rPr>
                <w:rFonts w:cs="Arial"/>
                <w:sz w:val="22"/>
                <w:szCs w:val="22"/>
              </w:rPr>
              <w:t xml:space="preserve">Medicinal Cannabis </w:t>
            </w:r>
            <w:r w:rsidRPr="00393B3D">
              <w:rPr>
                <w:rFonts w:cs="Arial"/>
                <w:sz w:val="22"/>
                <w:szCs w:val="22"/>
              </w:rPr>
              <w:t>Agency</w:t>
            </w:r>
            <w:r w:rsidR="00364FB3">
              <w:rPr>
                <w:rFonts w:cs="Arial"/>
                <w:sz w:val="22"/>
                <w:szCs w:val="22"/>
              </w:rPr>
              <w:t xml:space="preserve"> (the Agency)</w:t>
            </w:r>
            <w:r w:rsidRPr="00393B3D">
              <w:rPr>
                <w:rFonts w:cs="Arial"/>
                <w:sz w:val="22"/>
                <w:szCs w:val="22"/>
              </w:rPr>
              <w:t xml:space="preserve"> </w:t>
            </w:r>
            <w:r w:rsidR="00364FB3">
              <w:rPr>
                <w:rFonts w:cs="Arial"/>
                <w:sz w:val="22"/>
                <w:szCs w:val="22"/>
              </w:rPr>
              <w:t>may</w:t>
            </w:r>
            <w:r w:rsidR="00364FB3" w:rsidRPr="00393B3D">
              <w:rPr>
                <w:rFonts w:cs="Arial"/>
                <w:sz w:val="22"/>
                <w:szCs w:val="22"/>
              </w:rPr>
              <w:t xml:space="preserve"> </w:t>
            </w:r>
            <w:r w:rsidRPr="00393B3D">
              <w:rPr>
                <w:rFonts w:cs="Arial"/>
                <w:sz w:val="22"/>
                <w:szCs w:val="22"/>
              </w:rPr>
              <w:t>require.</w:t>
            </w:r>
          </w:p>
          <w:p w14:paraId="736CEFC5" w14:textId="357E775A" w:rsidR="003D4166" w:rsidRDefault="004F677E" w:rsidP="00696EA9">
            <w:pPr>
              <w:tabs>
                <w:tab w:val="right" w:leader="underscore" w:pos="5670"/>
                <w:tab w:val="left" w:pos="6237"/>
              </w:tabs>
              <w:spacing w:before="60" w:after="120"/>
              <w:rPr>
                <w:rFonts w:cs="Arial"/>
                <w:sz w:val="22"/>
                <w:szCs w:val="22"/>
              </w:rPr>
            </w:pPr>
            <w:r>
              <w:rPr>
                <w:rFonts w:cs="Arial"/>
                <w:sz w:val="22"/>
                <w:szCs w:val="22"/>
              </w:rPr>
              <w:t xml:space="preserve">It was </w:t>
            </w:r>
            <w:r w:rsidR="00D6319A">
              <w:rPr>
                <w:rFonts w:cs="Arial"/>
                <w:sz w:val="22"/>
                <w:szCs w:val="22"/>
              </w:rPr>
              <w:t>suggested</w:t>
            </w:r>
            <w:r w:rsidR="008F0B67" w:rsidRPr="00C86CEB">
              <w:rPr>
                <w:rFonts w:cs="Arial"/>
                <w:sz w:val="22"/>
                <w:szCs w:val="22"/>
              </w:rPr>
              <w:t xml:space="preserve"> that the </w:t>
            </w:r>
            <w:r w:rsidR="0054522F">
              <w:rPr>
                <w:rFonts w:cs="Arial"/>
                <w:sz w:val="22"/>
                <w:szCs w:val="22"/>
              </w:rPr>
              <w:t xml:space="preserve">proposals for </w:t>
            </w:r>
            <w:r w:rsidR="002B7743">
              <w:rPr>
                <w:rFonts w:cs="Arial"/>
                <w:sz w:val="22"/>
                <w:szCs w:val="22"/>
              </w:rPr>
              <w:t>cultivation</w:t>
            </w:r>
            <w:r w:rsidR="002B7743" w:rsidRPr="00C86CEB">
              <w:rPr>
                <w:rFonts w:cs="Arial"/>
                <w:sz w:val="22"/>
                <w:szCs w:val="22"/>
              </w:rPr>
              <w:t xml:space="preserve"> </w:t>
            </w:r>
            <w:r w:rsidR="008F0B67" w:rsidRPr="00C86CEB">
              <w:rPr>
                <w:rFonts w:cs="Arial"/>
                <w:sz w:val="22"/>
                <w:szCs w:val="22"/>
              </w:rPr>
              <w:t xml:space="preserve">quality standards </w:t>
            </w:r>
            <w:r w:rsidR="00DF5A86">
              <w:rPr>
                <w:rFonts w:cs="Arial"/>
                <w:sz w:val="22"/>
                <w:szCs w:val="22"/>
              </w:rPr>
              <w:t>should be presented as options for consultation.</w:t>
            </w:r>
          </w:p>
          <w:p w14:paraId="73A430E9" w14:textId="77777777" w:rsidR="00D95B0C" w:rsidRPr="004B5271" w:rsidRDefault="00D95B0C" w:rsidP="00696EA9">
            <w:pPr>
              <w:tabs>
                <w:tab w:val="right" w:leader="underscore" w:pos="5670"/>
                <w:tab w:val="left" w:pos="6237"/>
              </w:tabs>
              <w:spacing w:before="60" w:after="60"/>
              <w:rPr>
                <w:rFonts w:cs="Arial"/>
                <w:b/>
                <w:sz w:val="22"/>
                <w:szCs w:val="22"/>
              </w:rPr>
            </w:pPr>
          </w:p>
          <w:p w14:paraId="7CF5420B" w14:textId="77777777" w:rsidR="004C556F" w:rsidRPr="00393B3D" w:rsidRDefault="004C556F" w:rsidP="00696EA9">
            <w:pPr>
              <w:spacing w:before="60" w:after="60"/>
              <w:rPr>
                <w:sz w:val="22"/>
                <w:szCs w:val="22"/>
              </w:rPr>
            </w:pPr>
            <w:r w:rsidRPr="00393B3D">
              <w:rPr>
                <w:b/>
                <w:sz w:val="22"/>
                <w:szCs w:val="22"/>
              </w:rPr>
              <w:t>Action:</w:t>
            </w:r>
            <w:r w:rsidRPr="00393B3D">
              <w:rPr>
                <w:sz w:val="22"/>
                <w:szCs w:val="22"/>
              </w:rPr>
              <w:t xml:space="preserve"> </w:t>
            </w:r>
            <w:r w:rsidR="00364FB3">
              <w:rPr>
                <w:sz w:val="22"/>
                <w:szCs w:val="22"/>
              </w:rPr>
              <w:t>Secretariat to</w:t>
            </w:r>
            <w:r w:rsidR="000472A8">
              <w:rPr>
                <w:sz w:val="22"/>
                <w:szCs w:val="22"/>
              </w:rPr>
              <w:t xml:space="preserve"> consi</w:t>
            </w:r>
            <w:r w:rsidR="00DF5A86">
              <w:rPr>
                <w:sz w:val="22"/>
                <w:szCs w:val="22"/>
              </w:rPr>
              <w:t>der presenting the information on the three options for the cultivation quality standard in a table</w:t>
            </w:r>
            <w:r w:rsidR="00A92EA3">
              <w:rPr>
                <w:sz w:val="22"/>
                <w:szCs w:val="22"/>
              </w:rPr>
              <w:t xml:space="preserve"> format</w:t>
            </w:r>
            <w:r w:rsidR="00DF5A86">
              <w:rPr>
                <w:sz w:val="22"/>
                <w:szCs w:val="22"/>
              </w:rPr>
              <w:t xml:space="preserve">. </w:t>
            </w:r>
          </w:p>
          <w:p w14:paraId="67F3934F" w14:textId="77777777" w:rsidR="004C556F" w:rsidRPr="00393B3D" w:rsidRDefault="004C556F" w:rsidP="00696EA9">
            <w:pPr>
              <w:spacing w:before="60" w:after="60"/>
              <w:rPr>
                <w:sz w:val="22"/>
                <w:szCs w:val="22"/>
              </w:rPr>
            </w:pPr>
          </w:p>
          <w:p w14:paraId="3F23B698" w14:textId="440CE1E8" w:rsidR="00AF4C40" w:rsidRPr="00445D8C" w:rsidRDefault="004C556F" w:rsidP="00696EA9">
            <w:pPr>
              <w:spacing w:before="60" w:after="60"/>
              <w:rPr>
                <w:sz w:val="22"/>
                <w:szCs w:val="22"/>
              </w:rPr>
            </w:pPr>
            <w:r w:rsidRPr="00393B3D">
              <w:rPr>
                <w:b/>
                <w:sz w:val="22"/>
                <w:szCs w:val="22"/>
              </w:rPr>
              <w:t>Action:</w:t>
            </w:r>
            <w:r w:rsidR="00364FB3">
              <w:rPr>
                <w:sz w:val="22"/>
                <w:szCs w:val="22"/>
              </w:rPr>
              <w:t xml:space="preserve"> Secretariat to</w:t>
            </w:r>
            <w:r w:rsidRPr="00393B3D">
              <w:rPr>
                <w:sz w:val="22"/>
                <w:szCs w:val="22"/>
              </w:rPr>
              <w:t xml:space="preserve"> </w:t>
            </w:r>
            <w:r w:rsidR="00364FB3">
              <w:rPr>
                <w:sz w:val="22"/>
                <w:szCs w:val="22"/>
              </w:rPr>
              <w:t>c</w:t>
            </w:r>
            <w:r w:rsidRPr="00393B3D">
              <w:rPr>
                <w:sz w:val="22"/>
                <w:szCs w:val="22"/>
              </w:rPr>
              <w:t xml:space="preserve">larify in the </w:t>
            </w:r>
            <w:r w:rsidR="0020178D">
              <w:rPr>
                <w:sz w:val="22"/>
                <w:szCs w:val="22"/>
              </w:rPr>
              <w:t>C</w:t>
            </w:r>
            <w:r w:rsidRPr="00393B3D">
              <w:rPr>
                <w:sz w:val="22"/>
                <w:szCs w:val="22"/>
              </w:rPr>
              <w:t xml:space="preserve">onsultation </w:t>
            </w:r>
            <w:r w:rsidR="0020178D">
              <w:rPr>
                <w:sz w:val="22"/>
                <w:szCs w:val="22"/>
              </w:rPr>
              <w:t>D</w:t>
            </w:r>
            <w:r w:rsidRPr="00393B3D">
              <w:rPr>
                <w:sz w:val="22"/>
                <w:szCs w:val="22"/>
              </w:rPr>
              <w:t>ocument wha</w:t>
            </w:r>
            <w:r w:rsidR="00364FB3">
              <w:rPr>
                <w:sz w:val="22"/>
                <w:szCs w:val="22"/>
              </w:rPr>
              <w:t>t</w:t>
            </w:r>
            <w:r w:rsidRPr="00393B3D">
              <w:rPr>
                <w:sz w:val="22"/>
                <w:szCs w:val="22"/>
              </w:rPr>
              <w:t xml:space="preserve"> </w:t>
            </w:r>
            <w:r w:rsidR="00364FB3">
              <w:rPr>
                <w:sz w:val="22"/>
                <w:szCs w:val="22"/>
              </w:rPr>
              <w:t>may be tested</w:t>
            </w:r>
            <w:r w:rsidRPr="00393B3D">
              <w:rPr>
                <w:sz w:val="22"/>
                <w:szCs w:val="22"/>
              </w:rPr>
              <w:t xml:space="preserve"> and</w:t>
            </w:r>
            <w:r w:rsidR="00D6319A">
              <w:rPr>
                <w:sz w:val="22"/>
                <w:szCs w:val="22"/>
              </w:rPr>
              <w:t xml:space="preserve"> why</w:t>
            </w:r>
            <w:r w:rsidRPr="00393B3D">
              <w:rPr>
                <w:sz w:val="22"/>
                <w:szCs w:val="22"/>
              </w:rPr>
              <w:t>.</w:t>
            </w:r>
          </w:p>
        </w:tc>
      </w:tr>
      <w:tr w:rsidR="00600C5E" w14:paraId="27740E22" w14:textId="77777777" w:rsidTr="00492753">
        <w:tc>
          <w:tcPr>
            <w:tcW w:w="669" w:type="dxa"/>
            <w:tcBorders>
              <w:top w:val="nil"/>
            </w:tcBorders>
          </w:tcPr>
          <w:p w14:paraId="7ACA3A11" w14:textId="77777777" w:rsidR="00600C5E" w:rsidRPr="00600C5E" w:rsidRDefault="00600C5E" w:rsidP="00D0502C">
            <w:pPr>
              <w:tabs>
                <w:tab w:val="right" w:leader="underscore" w:pos="5670"/>
                <w:tab w:val="left" w:pos="6237"/>
              </w:tabs>
              <w:spacing w:before="60" w:after="60"/>
              <w:rPr>
                <w:rFonts w:cs="Arial"/>
                <w:b/>
                <w:sz w:val="22"/>
                <w:szCs w:val="22"/>
              </w:rPr>
            </w:pPr>
            <w:r>
              <w:rPr>
                <w:rFonts w:cs="Arial"/>
                <w:b/>
                <w:sz w:val="22"/>
                <w:szCs w:val="22"/>
              </w:rPr>
              <w:t>10</w:t>
            </w:r>
          </w:p>
        </w:tc>
        <w:tc>
          <w:tcPr>
            <w:tcW w:w="9208" w:type="dxa"/>
            <w:tcBorders>
              <w:top w:val="nil"/>
            </w:tcBorders>
          </w:tcPr>
          <w:p w14:paraId="3B229BAE" w14:textId="33995995" w:rsidR="00600C5E" w:rsidRPr="00393B3D" w:rsidRDefault="003A402E" w:rsidP="00696EA9">
            <w:pPr>
              <w:spacing w:before="60" w:after="60"/>
              <w:rPr>
                <w:b/>
                <w:sz w:val="22"/>
                <w:szCs w:val="22"/>
              </w:rPr>
            </w:pPr>
            <w:r>
              <w:rPr>
                <w:b/>
                <w:sz w:val="22"/>
                <w:szCs w:val="22"/>
              </w:rPr>
              <w:t>Quality Standards for M</w:t>
            </w:r>
            <w:r w:rsidR="00600C5E" w:rsidRPr="00393B3D">
              <w:rPr>
                <w:b/>
                <w:sz w:val="22"/>
                <w:szCs w:val="22"/>
              </w:rPr>
              <w:t>anufacturing</w:t>
            </w:r>
          </w:p>
          <w:p w14:paraId="39BB45A4" w14:textId="77777777" w:rsidR="00710F7F" w:rsidRDefault="00710F7F" w:rsidP="00696EA9">
            <w:pPr>
              <w:spacing w:before="60" w:after="60"/>
              <w:rPr>
                <w:sz w:val="22"/>
                <w:szCs w:val="22"/>
              </w:rPr>
            </w:pPr>
            <w:r w:rsidRPr="00393B3D">
              <w:rPr>
                <w:sz w:val="22"/>
                <w:szCs w:val="22"/>
              </w:rPr>
              <w:t xml:space="preserve">The Secretariat advised that there </w:t>
            </w:r>
            <w:r>
              <w:rPr>
                <w:sz w:val="22"/>
                <w:szCs w:val="22"/>
              </w:rPr>
              <w:t>was no universally accepted standard for the manufacture of medicinal cannabis products. Two approaches were looked at by the Ministry:</w:t>
            </w:r>
            <w:r w:rsidRPr="00393B3D">
              <w:rPr>
                <w:sz w:val="22"/>
                <w:szCs w:val="22"/>
              </w:rPr>
              <w:t xml:space="preserve"> </w:t>
            </w:r>
          </w:p>
          <w:p w14:paraId="606B7FD7" w14:textId="3D434F22" w:rsidR="00710F7F" w:rsidRDefault="0020178D" w:rsidP="00696EA9">
            <w:pPr>
              <w:pStyle w:val="ListParagraph"/>
              <w:numPr>
                <w:ilvl w:val="0"/>
                <w:numId w:val="12"/>
              </w:numPr>
              <w:spacing w:before="60" w:after="60"/>
              <w:contextualSpacing w:val="0"/>
              <w:rPr>
                <w:sz w:val="22"/>
                <w:szCs w:val="22"/>
              </w:rPr>
            </w:pPr>
            <w:r>
              <w:rPr>
                <w:sz w:val="22"/>
                <w:szCs w:val="22"/>
              </w:rPr>
              <w:t>T</w:t>
            </w:r>
            <w:r w:rsidR="00710F7F">
              <w:rPr>
                <w:sz w:val="22"/>
                <w:szCs w:val="22"/>
              </w:rPr>
              <w:t>he current New Zealand and internationally recognised quality manufacturing standard followed by medicines manufacturers – Good Manufacturing Practices (GMP)</w:t>
            </w:r>
            <w:r>
              <w:rPr>
                <w:sz w:val="22"/>
                <w:szCs w:val="22"/>
              </w:rPr>
              <w:t>.</w:t>
            </w:r>
          </w:p>
          <w:p w14:paraId="17143E17" w14:textId="7A97FBE0" w:rsidR="00710F7F" w:rsidRDefault="00710F7F" w:rsidP="00696EA9">
            <w:pPr>
              <w:pStyle w:val="ListParagraph"/>
              <w:numPr>
                <w:ilvl w:val="0"/>
                <w:numId w:val="12"/>
              </w:numPr>
              <w:spacing w:before="60" w:after="60"/>
              <w:contextualSpacing w:val="0"/>
              <w:rPr>
                <w:sz w:val="22"/>
                <w:szCs w:val="22"/>
              </w:rPr>
            </w:pPr>
            <w:r>
              <w:rPr>
                <w:sz w:val="22"/>
                <w:szCs w:val="22"/>
              </w:rPr>
              <w:t>The Canadian framework for non-prescription health products containing cannabis – Good Production Practices (GPP)</w:t>
            </w:r>
            <w:r w:rsidR="0020178D">
              <w:rPr>
                <w:sz w:val="22"/>
                <w:szCs w:val="22"/>
              </w:rPr>
              <w:t>.</w:t>
            </w:r>
            <w:r>
              <w:rPr>
                <w:sz w:val="22"/>
                <w:szCs w:val="22"/>
              </w:rPr>
              <w:t xml:space="preserve"> </w:t>
            </w:r>
          </w:p>
          <w:p w14:paraId="7E9EA9CE" w14:textId="77777777" w:rsidR="00710F7F" w:rsidRPr="00393B3D" w:rsidRDefault="00710F7F" w:rsidP="00696EA9">
            <w:pPr>
              <w:spacing w:before="60" w:after="60"/>
              <w:rPr>
                <w:sz w:val="22"/>
                <w:szCs w:val="22"/>
              </w:rPr>
            </w:pPr>
          </w:p>
          <w:p w14:paraId="20C38D24" w14:textId="1930C837" w:rsidR="00710F7F" w:rsidRDefault="00710F7F" w:rsidP="00696EA9">
            <w:pPr>
              <w:spacing w:before="60" w:after="180"/>
              <w:rPr>
                <w:sz w:val="22"/>
                <w:szCs w:val="22"/>
              </w:rPr>
            </w:pPr>
            <w:r>
              <w:rPr>
                <w:sz w:val="22"/>
                <w:szCs w:val="22"/>
              </w:rPr>
              <w:t>It was</w:t>
            </w:r>
            <w:r w:rsidRPr="00393B3D">
              <w:rPr>
                <w:sz w:val="22"/>
                <w:szCs w:val="22"/>
              </w:rPr>
              <w:t xml:space="preserve"> </w:t>
            </w:r>
            <w:r>
              <w:rPr>
                <w:sz w:val="22"/>
                <w:szCs w:val="22"/>
              </w:rPr>
              <w:t xml:space="preserve">noted that some </w:t>
            </w:r>
            <w:r w:rsidR="00AF4C40">
              <w:rPr>
                <w:sz w:val="22"/>
                <w:szCs w:val="22"/>
              </w:rPr>
              <w:t xml:space="preserve">medicinal cannabis </w:t>
            </w:r>
            <w:r>
              <w:rPr>
                <w:sz w:val="22"/>
                <w:szCs w:val="22"/>
              </w:rPr>
              <w:t>industry stakeholders have expressed a</w:t>
            </w:r>
            <w:r w:rsidRPr="00393B3D">
              <w:rPr>
                <w:sz w:val="22"/>
                <w:szCs w:val="22"/>
              </w:rPr>
              <w:t xml:space="preserve"> prefer</w:t>
            </w:r>
            <w:r>
              <w:rPr>
                <w:sz w:val="22"/>
                <w:szCs w:val="22"/>
              </w:rPr>
              <w:t>ence</w:t>
            </w:r>
            <w:r w:rsidRPr="00393B3D">
              <w:rPr>
                <w:sz w:val="22"/>
                <w:szCs w:val="22"/>
              </w:rPr>
              <w:t xml:space="preserve"> </w:t>
            </w:r>
            <w:r>
              <w:rPr>
                <w:sz w:val="22"/>
                <w:szCs w:val="22"/>
              </w:rPr>
              <w:t xml:space="preserve">for GPP (a lower quality standard when compared to GMP) </w:t>
            </w:r>
            <w:r w:rsidRPr="00393B3D">
              <w:rPr>
                <w:sz w:val="22"/>
                <w:szCs w:val="22"/>
              </w:rPr>
              <w:t>as the manufacturing quality standard.</w:t>
            </w:r>
            <w:r>
              <w:rPr>
                <w:sz w:val="22"/>
                <w:szCs w:val="22"/>
              </w:rPr>
              <w:t xml:space="preserve"> It was also noted that for those NZ industry stakeholders looking to export NZ medicinal cannabis products, as part of their commercial strategy, they are currently designing their facilities and quality management systems to comply with GMPs as the manufacturing quality standard</w:t>
            </w:r>
            <w:r w:rsidR="003A402E">
              <w:rPr>
                <w:sz w:val="22"/>
                <w:szCs w:val="22"/>
              </w:rPr>
              <w:t>, even</w:t>
            </w:r>
            <w:r w:rsidR="00D50E98">
              <w:rPr>
                <w:sz w:val="22"/>
                <w:szCs w:val="22"/>
              </w:rPr>
              <w:t xml:space="preserve"> if GPP</w:t>
            </w:r>
            <w:r>
              <w:rPr>
                <w:sz w:val="22"/>
                <w:szCs w:val="22"/>
              </w:rPr>
              <w:t xml:space="preserve"> become</w:t>
            </w:r>
            <w:r w:rsidR="00D50E98">
              <w:rPr>
                <w:sz w:val="22"/>
                <w:szCs w:val="22"/>
              </w:rPr>
              <w:t>s</w:t>
            </w:r>
            <w:r>
              <w:rPr>
                <w:sz w:val="22"/>
                <w:szCs w:val="22"/>
              </w:rPr>
              <w:t xml:space="preserve"> the NZ standard.  </w:t>
            </w:r>
          </w:p>
          <w:p w14:paraId="6F70FD84" w14:textId="3C265ED6" w:rsidR="00600C5E" w:rsidRDefault="00710F7F" w:rsidP="00696EA9">
            <w:pPr>
              <w:spacing w:before="60" w:after="180"/>
              <w:rPr>
                <w:sz w:val="22"/>
                <w:szCs w:val="22"/>
              </w:rPr>
            </w:pPr>
            <w:r>
              <w:rPr>
                <w:sz w:val="22"/>
                <w:szCs w:val="22"/>
              </w:rPr>
              <w:t>It was also noted that</w:t>
            </w:r>
            <w:r w:rsidR="003A402E">
              <w:rPr>
                <w:sz w:val="22"/>
                <w:szCs w:val="22"/>
              </w:rPr>
              <w:t xml:space="preserve"> if</w:t>
            </w:r>
            <w:r>
              <w:rPr>
                <w:sz w:val="22"/>
                <w:szCs w:val="22"/>
              </w:rPr>
              <w:t xml:space="preserve"> New Zealand </w:t>
            </w:r>
            <w:r w:rsidR="003A402E">
              <w:rPr>
                <w:sz w:val="22"/>
                <w:szCs w:val="22"/>
              </w:rPr>
              <w:t>had</w:t>
            </w:r>
            <w:r>
              <w:rPr>
                <w:sz w:val="22"/>
                <w:szCs w:val="22"/>
              </w:rPr>
              <w:t xml:space="preserve"> two regulatory frameworks</w:t>
            </w:r>
            <w:r w:rsidR="003A402E">
              <w:rPr>
                <w:sz w:val="22"/>
                <w:szCs w:val="22"/>
              </w:rPr>
              <w:t>, it</w:t>
            </w:r>
            <w:r>
              <w:rPr>
                <w:sz w:val="22"/>
                <w:szCs w:val="22"/>
              </w:rPr>
              <w:t xml:space="preserve"> would be challenging for </w:t>
            </w:r>
            <w:r w:rsidR="003D4166">
              <w:rPr>
                <w:sz w:val="22"/>
                <w:szCs w:val="22"/>
              </w:rPr>
              <w:t xml:space="preserve">the </w:t>
            </w:r>
            <w:r>
              <w:rPr>
                <w:sz w:val="22"/>
                <w:szCs w:val="22"/>
              </w:rPr>
              <w:t xml:space="preserve">government to administer, specifically </w:t>
            </w:r>
            <w:r w:rsidR="003D4166">
              <w:rPr>
                <w:sz w:val="22"/>
                <w:szCs w:val="22"/>
              </w:rPr>
              <w:t xml:space="preserve">having </w:t>
            </w:r>
            <w:r>
              <w:rPr>
                <w:sz w:val="22"/>
                <w:szCs w:val="22"/>
              </w:rPr>
              <w:t>one framework for medic</w:t>
            </w:r>
            <w:r w:rsidR="004C6DB6">
              <w:rPr>
                <w:sz w:val="22"/>
                <w:szCs w:val="22"/>
              </w:rPr>
              <w:t xml:space="preserve">inal cannabis products </w:t>
            </w:r>
            <w:r w:rsidR="003D4166">
              <w:rPr>
                <w:sz w:val="22"/>
                <w:szCs w:val="22"/>
              </w:rPr>
              <w:t>(</w:t>
            </w:r>
            <w:r w:rsidR="003A402E">
              <w:rPr>
                <w:sz w:val="22"/>
                <w:szCs w:val="22"/>
              </w:rPr>
              <w:t>e.g.</w:t>
            </w:r>
            <w:r w:rsidR="004C6DB6">
              <w:rPr>
                <w:sz w:val="22"/>
                <w:szCs w:val="22"/>
              </w:rPr>
              <w:t xml:space="preserve"> GPP</w:t>
            </w:r>
            <w:r w:rsidR="003D4166">
              <w:rPr>
                <w:sz w:val="22"/>
                <w:szCs w:val="22"/>
              </w:rPr>
              <w:t>)</w:t>
            </w:r>
            <w:r>
              <w:rPr>
                <w:sz w:val="22"/>
                <w:szCs w:val="22"/>
              </w:rPr>
              <w:t xml:space="preserve"> and the other being GMP for all other medicines.</w:t>
            </w:r>
          </w:p>
          <w:p w14:paraId="6CF0FEC5" w14:textId="44B45744" w:rsidR="0020178D" w:rsidRDefault="00C2575B" w:rsidP="00696EA9">
            <w:pPr>
              <w:spacing w:before="60" w:after="180"/>
              <w:rPr>
                <w:sz w:val="22"/>
                <w:szCs w:val="22"/>
              </w:rPr>
            </w:pPr>
            <w:r>
              <w:rPr>
                <w:sz w:val="22"/>
                <w:szCs w:val="22"/>
              </w:rPr>
              <w:t>The Ad</w:t>
            </w:r>
            <w:r w:rsidR="003A402E">
              <w:rPr>
                <w:sz w:val="22"/>
                <w:szCs w:val="22"/>
              </w:rPr>
              <w:t>visory Group discussed the risks and benefits of manufacturing</w:t>
            </w:r>
            <w:r>
              <w:rPr>
                <w:sz w:val="22"/>
                <w:szCs w:val="22"/>
              </w:rPr>
              <w:t xml:space="preserve"> to GMP </w:t>
            </w:r>
            <w:r w:rsidR="003D4166">
              <w:rPr>
                <w:sz w:val="22"/>
                <w:szCs w:val="22"/>
              </w:rPr>
              <w:t xml:space="preserve">compared with </w:t>
            </w:r>
            <w:r>
              <w:rPr>
                <w:sz w:val="22"/>
                <w:szCs w:val="22"/>
              </w:rPr>
              <w:t>GPP in terms of the cost and time required to get product to market, the cost of products</w:t>
            </w:r>
            <w:r w:rsidR="000115F0">
              <w:rPr>
                <w:sz w:val="22"/>
                <w:szCs w:val="22"/>
              </w:rPr>
              <w:t>, patient access</w:t>
            </w:r>
            <w:r w:rsidR="0020178D">
              <w:rPr>
                <w:sz w:val="22"/>
                <w:szCs w:val="22"/>
              </w:rPr>
              <w:t xml:space="preserve"> and health outcomes</w:t>
            </w:r>
            <w:r>
              <w:rPr>
                <w:sz w:val="22"/>
                <w:szCs w:val="22"/>
              </w:rPr>
              <w:t xml:space="preserve"> and the minimum quality standards necessary </w:t>
            </w:r>
            <w:r w:rsidR="002B7743">
              <w:rPr>
                <w:sz w:val="22"/>
                <w:szCs w:val="22"/>
              </w:rPr>
              <w:t xml:space="preserve">for </w:t>
            </w:r>
            <w:r>
              <w:rPr>
                <w:sz w:val="22"/>
                <w:szCs w:val="22"/>
              </w:rPr>
              <w:t>these products.</w:t>
            </w:r>
          </w:p>
          <w:p w14:paraId="193A06DD" w14:textId="5584A2B2" w:rsidR="00EA466B" w:rsidRDefault="00D6319A" w:rsidP="00696EA9">
            <w:pPr>
              <w:spacing w:before="60" w:after="180"/>
              <w:rPr>
                <w:rFonts w:cs="Arial Mäori"/>
                <w:color w:val="000000"/>
                <w:szCs w:val="20"/>
              </w:rPr>
            </w:pPr>
            <w:r>
              <w:rPr>
                <w:sz w:val="22"/>
                <w:szCs w:val="22"/>
              </w:rPr>
              <w:t xml:space="preserve">It was </w:t>
            </w:r>
            <w:r w:rsidR="00C2575B">
              <w:rPr>
                <w:rFonts w:cs="Arial Mäori"/>
                <w:color w:val="000000"/>
                <w:sz w:val="22"/>
                <w:szCs w:val="22"/>
              </w:rPr>
              <w:t xml:space="preserve">noted that currently some </w:t>
            </w:r>
            <w:r w:rsidR="00600C5E" w:rsidRPr="00393B3D">
              <w:rPr>
                <w:rFonts w:cs="Arial Mäori"/>
                <w:color w:val="000000"/>
                <w:sz w:val="22"/>
                <w:szCs w:val="22"/>
              </w:rPr>
              <w:t xml:space="preserve">New Zealanders are using illicit cannabis </w:t>
            </w:r>
            <w:r w:rsidR="00A92EA3">
              <w:rPr>
                <w:rFonts w:cs="Arial Mäori"/>
                <w:color w:val="000000"/>
                <w:sz w:val="22"/>
                <w:szCs w:val="22"/>
              </w:rPr>
              <w:t xml:space="preserve">or unapproved medicinal cannabis products </w:t>
            </w:r>
            <w:r w:rsidR="003D4166">
              <w:rPr>
                <w:rFonts w:cs="Arial Mäori"/>
                <w:color w:val="000000"/>
                <w:sz w:val="22"/>
                <w:szCs w:val="22"/>
              </w:rPr>
              <w:t>which have</w:t>
            </w:r>
            <w:r w:rsidR="003A402E">
              <w:rPr>
                <w:rFonts w:cs="Arial Mäori"/>
                <w:color w:val="000000"/>
                <w:sz w:val="22"/>
                <w:szCs w:val="22"/>
              </w:rPr>
              <w:t xml:space="preserve"> been produced with</w:t>
            </w:r>
            <w:r w:rsidR="003D4166" w:rsidRPr="00393B3D">
              <w:rPr>
                <w:rFonts w:cs="Arial Mäori"/>
                <w:color w:val="000000"/>
                <w:sz w:val="22"/>
                <w:szCs w:val="22"/>
              </w:rPr>
              <w:t xml:space="preserve"> </w:t>
            </w:r>
            <w:r w:rsidR="00A92EA3">
              <w:rPr>
                <w:rFonts w:cs="Arial Mäori"/>
                <w:color w:val="000000"/>
                <w:sz w:val="22"/>
                <w:szCs w:val="22"/>
              </w:rPr>
              <w:t xml:space="preserve">little or </w:t>
            </w:r>
            <w:r w:rsidR="00600C5E" w:rsidRPr="00393B3D">
              <w:rPr>
                <w:rFonts w:cs="Arial Mäori"/>
                <w:color w:val="000000"/>
                <w:sz w:val="22"/>
                <w:szCs w:val="22"/>
              </w:rPr>
              <w:t xml:space="preserve">no quality </w:t>
            </w:r>
            <w:r w:rsidR="003D4166">
              <w:rPr>
                <w:rFonts w:cs="Arial Mäori"/>
                <w:color w:val="000000"/>
                <w:sz w:val="22"/>
                <w:szCs w:val="22"/>
              </w:rPr>
              <w:t>standards.</w:t>
            </w:r>
            <w:r w:rsidR="00B37652">
              <w:rPr>
                <w:rFonts w:cs="Arial Mäori"/>
                <w:color w:val="000000"/>
                <w:sz w:val="22"/>
                <w:szCs w:val="22"/>
              </w:rPr>
              <w:t xml:space="preserve"> </w:t>
            </w:r>
            <w:r w:rsidR="00A92EA3">
              <w:rPr>
                <w:rFonts w:cs="Arial Mäori"/>
                <w:color w:val="000000"/>
                <w:sz w:val="22"/>
                <w:szCs w:val="22"/>
              </w:rPr>
              <w:t xml:space="preserve"> </w:t>
            </w:r>
          </w:p>
          <w:p w14:paraId="6966E6C4" w14:textId="09116BC0" w:rsidR="00D95B0C" w:rsidRDefault="00600C5E" w:rsidP="00696EA9">
            <w:pPr>
              <w:spacing w:before="60" w:after="180"/>
              <w:rPr>
                <w:b/>
                <w:sz w:val="22"/>
                <w:szCs w:val="22"/>
              </w:rPr>
            </w:pPr>
            <w:r>
              <w:rPr>
                <w:sz w:val="22"/>
                <w:szCs w:val="22"/>
              </w:rPr>
              <w:t>The Secretariat noted</w:t>
            </w:r>
            <w:r w:rsidRPr="00583603">
              <w:rPr>
                <w:sz w:val="22"/>
                <w:szCs w:val="22"/>
              </w:rPr>
              <w:t xml:space="preserve"> that </w:t>
            </w:r>
            <w:r w:rsidR="00CA36B1">
              <w:rPr>
                <w:sz w:val="22"/>
                <w:szCs w:val="22"/>
              </w:rPr>
              <w:t xml:space="preserve">there was no information </w:t>
            </w:r>
            <w:r w:rsidR="00710F7F">
              <w:rPr>
                <w:sz w:val="22"/>
                <w:szCs w:val="22"/>
              </w:rPr>
              <w:t xml:space="preserve">publicly available </w:t>
            </w:r>
            <w:r w:rsidR="00CA36B1">
              <w:rPr>
                <w:sz w:val="22"/>
                <w:szCs w:val="22"/>
              </w:rPr>
              <w:t xml:space="preserve">comparing setup </w:t>
            </w:r>
            <w:r w:rsidR="00710F7F">
              <w:rPr>
                <w:sz w:val="22"/>
                <w:szCs w:val="22"/>
              </w:rPr>
              <w:t xml:space="preserve">and operational </w:t>
            </w:r>
            <w:r w:rsidR="00CA36B1">
              <w:rPr>
                <w:sz w:val="22"/>
                <w:szCs w:val="22"/>
              </w:rPr>
              <w:t xml:space="preserve">costs for GPP </w:t>
            </w:r>
            <w:r w:rsidR="00710F7F">
              <w:rPr>
                <w:sz w:val="22"/>
                <w:szCs w:val="22"/>
              </w:rPr>
              <w:t>versus</w:t>
            </w:r>
            <w:r w:rsidR="00CA36B1">
              <w:rPr>
                <w:sz w:val="22"/>
                <w:szCs w:val="22"/>
              </w:rPr>
              <w:t xml:space="preserve"> GMP.</w:t>
            </w:r>
            <w:r w:rsidR="005F40F4">
              <w:rPr>
                <w:sz w:val="22"/>
                <w:szCs w:val="22"/>
              </w:rPr>
              <w:t xml:space="preserve"> </w:t>
            </w:r>
          </w:p>
          <w:p w14:paraId="7AA9534B" w14:textId="174FE8F1" w:rsidR="00710F7F" w:rsidRDefault="00BD122A" w:rsidP="00696EA9">
            <w:pPr>
              <w:tabs>
                <w:tab w:val="right" w:leader="underscore" w:pos="5670"/>
                <w:tab w:val="left" w:pos="6237"/>
              </w:tabs>
              <w:spacing w:before="60" w:after="180"/>
            </w:pPr>
            <w:r w:rsidRPr="00B37652">
              <w:rPr>
                <w:sz w:val="22"/>
                <w:szCs w:val="22"/>
              </w:rPr>
              <w:t xml:space="preserve">The Advisory Group </w:t>
            </w:r>
            <w:r w:rsidR="002B7743">
              <w:rPr>
                <w:sz w:val="22"/>
                <w:szCs w:val="22"/>
              </w:rPr>
              <w:t>r</w:t>
            </w:r>
            <w:r w:rsidR="00C2575B">
              <w:rPr>
                <w:sz w:val="22"/>
                <w:szCs w:val="22"/>
              </w:rPr>
              <w:t xml:space="preserve">equested the </w:t>
            </w:r>
            <w:r w:rsidR="0020178D">
              <w:rPr>
                <w:sz w:val="22"/>
                <w:szCs w:val="22"/>
              </w:rPr>
              <w:t>C</w:t>
            </w:r>
            <w:r w:rsidR="00C2575B">
              <w:rPr>
                <w:sz w:val="22"/>
                <w:szCs w:val="22"/>
              </w:rPr>
              <w:t xml:space="preserve">onsultation </w:t>
            </w:r>
            <w:r w:rsidR="0020178D">
              <w:rPr>
                <w:sz w:val="22"/>
                <w:szCs w:val="22"/>
              </w:rPr>
              <w:t>D</w:t>
            </w:r>
            <w:r w:rsidR="00C2575B">
              <w:rPr>
                <w:sz w:val="22"/>
                <w:szCs w:val="22"/>
              </w:rPr>
              <w:t xml:space="preserve">ocument include </w:t>
            </w:r>
            <w:r w:rsidR="002B7743">
              <w:rPr>
                <w:sz w:val="22"/>
                <w:szCs w:val="22"/>
              </w:rPr>
              <w:t xml:space="preserve">more </w:t>
            </w:r>
            <w:r w:rsidR="002B7743" w:rsidRPr="00B37652">
              <w:rPr>
                <w:sz w:val="22"/>
                <w:szCs w:val="22"/>
              </w:rPr>
              <w:t>information</w:t>
            </w:r>
            <w:r w:rsidRPr="00B37652">
              <w:rPr>
                <w:sz w:val="22"/>
                <w:szCs w:val="22"/>
              </w:rPr>
              <w:t xml:space="preserve"> </w:t>
            </w:r>
            <w:r w:rsidR="00C2575B">
              <w:rPr>
                <w:sz w:val="22"/>
                <w:szCs w:val="22"/>
              </w:rPr>
              <w:t xml:space="preserve">on the differences between GMP and </w:t>
            </w:r>
            <w:r w:rsidR="002B7743">
              <w:rPr>
                <w:sz w:val="22"/>
                <w:szCs w:val="22"/>
              </w:rPr>
              <w:t>GPP.</w:t>
            </w:r>
            <w:r w:rsidR="00925430">
              <w:rPr>
                <w:sz w:val="22"/>
                <w:szCs w:val="22"/>
              </w:rPr>
              <w:t xml:space="preserve"> </w:t>
            </w:r>
          </w:p>
          <w:p w14:paraId="05A51EAF" w14:textId="09DF8FA5" w:rsidR="006D5F37" w:rsidRPr="004C6DB6" w:rsidRDefault="00251C9A" w:rsidP="00696EA9">
            <w:pPr>
              <w:pStyle w:val="ListParagraph"/>
              <w:spacing w:before="60" w:after="120"/>
              <w:ind w:left="0"/>
              <w:contextualSpacing w:val="0"/>
              <w:rPr>
                <w:sz w:val="22"/>
              </w:rPr>
            </w:pPr>
            <w:r w:rsidRPr="004C6DB6">
              <w:rPr>
                <w:sz w:val="22"/>
              </w:rPr>
              <w:t xml:space="preserve">Allowing patients to </w:t>
            </w:r>
            <w:r w:rsidR="006D5F37" w:rsidRPr="004C6DB6">
              <w:rPr>
                <w:sz w:val="22"/>
              </w:rPr>
              <w:t xml:space="preserve">grow their own cannabis was suggested as an option to improve legal access. However, some members of the Advisory Group were opposed to this, citing </w:t>
            </w:r>
            <w:r w:rsidRPr="004C6DB6">
              <w:rPr>
                <w:sz w:val="22"/>
              </w:rPr>
              <w:t xml:space="preserve">that patients are not </w:t>
            </w:r>
            <w:r w:rsidR="006D5F37" w:rsidRPr="004C6DB6">
              <w:rPr>
                <w:sz w:val="22"/>
              </w:rPr>
              <w:t>permitted to grow their own medicines.</w:t>
            </w:r>
          </w:p>
          <w:p w14:paraId="609674B9" w14:textId="77777777" w:rsidR="00251C9A" w:rsidRDefault="00251C9A" w:rsidP="00696EA9">
            <w:pPr>
              <w:pStyle w:val="ListParagraph"/>
              <w:spacing w:before="60" w:after="120"/>
              <w:ind w:left="0"/>
              <w:contextualSpacing w:val="0"/>
              <w:rPr>
                <w:b/>
                <w:sz w:val="22"/>
              </w:rPr>
            </w:pPr>
          </w:p>
          <w:p w14:paraId="4CED5217" w14:textId="77777777" w:rsidR="00600C5E" w:rsidRDefault="00600C5E" w:rsidP="00696EA9">
            <w:pPr>
              <w:pStyle w:val="ListParagraph"/>
              <w:spacing w:before="60" w:after="60"/>
              <w:ind w:left="0"/>
              <w:contextualSpacing w:val="0"/>
              <w:rPr>
                <w:sz w:val="22"/>
              </w:rPr>
            </w:pPr>
            <w:r w:rsidRPr="00583603">
              <w:rPr>
                <w:b/>
                <w:sz w:val="22"/>
              </w:rPr>
              <w:t>Action:</w:t>
            </w:r>
            <w:r w:rsidRPr="00583603">
              <w:rPr>
                <w:sz w:val="22"/>
              </w:rPr>
              <w:t xml:space="preserve"> </w:t>
            </w:r>
            <w:r w:rsidR="00591324">
              <w:rPr>
                <w:sz w:val="22"/>
              </w:rPr>
              <w:t xml:space="preserve">Secretariat </w:t>
            </w:r>
            <w:r w:rsidR="00D6319A">
              <w:rPr>
                <w:sz w:val="22"/>
              </w:rPr>
              <w:t xml:space="preserve">asked </w:t>
            </w:r>
            <w:r w:rsidR="00591324">
              <w:rPr>
                <w:sz w:val="22"/>
              </w:rPr>
              <w:t xml:space="preserve">to </w:t>
            </w:r>
            <w:r w:rsidR="00CA36B1">
              <w:rPr>
                <w:sz w:val="22"/>
              </w:rPr>
              <w:t xml:space="preserve">look for more information on comparing </w:t>
            </w:r>
            <w:r w:rsidR="00591324">
              <w:rPr>
                <w:sz w:val="22"/>
              </w:rPr>
              <w:t xml:space="preserve">patient health outcomes of </w:t>
            </w:r>
            <w:r w:rsidR="004F4C72">
              <w:rPr>
                <w:sz w:val="22"/>
              </w:rPr>
              <w:t xml:space="preserve">products manufactured under GMP vs products manufactured under GPP. </w:t>
            </w:r>
          </w:p>
          <w:p w14:paraId="47732149" w14:textId="77777777" w:rsidR="00600C5E" w:rsidRPr="00583603" w:rsidRDefault="00600C5E" w:rsidP="00696EA9">
            <w:pPr>
              <w:pStyle w:val="ListParagraph"/>
              <w:spacing w:before="60" w:after="60"/>
              <w:ind w:left="0"/>
              <w:contextualSpacing w:val="0"/>
              <w:rPr>
                <w:sz w:val="22"/>
              </w:rPr>
            </w:pPr>
          </w:p>
          <w:p w14:paraId="26D0BAB3" w14:textId="1EA6F549" w:rsidR="00600C5E" w:rsidRDefault="00600C5E" w:rsidP="00696EA9">
            <w:pPr>
              <w:spacing w:before="60" w:after="60"/>
              <w:rPr>
                <w:sz w:val="22"/>
              </w:rPr>
            </w:pPr>
            <w:r w:rsidRPr="00583603">
              <w:rPr>
                <w:b/>
                <w:sz w:val="22"/>
              </w:rPr>
              <w:t>Action:</w:t>
            </w:r>
            <w:r w:rsidRPr="00583603">
              <w:rPr>
                <w:sz w:val="22"/>
              </w:rPr>
              <w:t xml:space="preserve"> </w:t>
            </w:r>
            <w:r w:rsidR="00591324">
              <w:rPr>
                <w:sz w:val="22"/>
              </w:rPr>
              <w:t xml:space="preserve">Secretariat </w:t>
            </w:r>
            <w:r w:rsidR="00D6319A">
              <w:rPr>
                <w:sz w:val="22"/>
              </w:rPr>
              <w:t xml:space="preserve">asked </w:t>
            </w:r>
            <w:r w:rsidR="00591324">
              <w:rPr>
                <w:sz w:val="22"/>
              </w:rPr>
              <w:t>to</w:t>
            </w:r>
            <w:r w:rsidR="000472A8">
              <w:rPr>
                <w:sz w:val="22"/>
              </w:rPr>
              <w:t xml:space="preserve"> includ</w:t>
            </w:r>
            <w:r w:rsidR="004F4C72">
              <w:rPr>
                <w:sz w:val="22"/>
              </w:rPr>
              <w:t>e</w:t>
            </w:r>
            <w:r w:rsidR="00591324">
              <w:rPr>
                <w:sz w:val="22"/>
              </w:rPr>
              <w:t xml:space="preserve"> </w:t>
            </w:r>
            <w:r w:rsidR="004F4C72">
              <w:rPr>
                <w:sz w:val="22"/>
              </w:rPr>
              <w:t>information</w:t>
            </w:r>
            <w:r w:rsidR="00591324">
              <w:rPr>
                <w:sz w:val="22"/>
              </w:rPr>
              <w:t xml:space="preserve"> on</w:t>
            </w:r>
            <w:r w:rsidRPr="00583603">
              <w:rPr>
                <w:sz w:val="22"/>
              </w:rPr>
              <w:t xml:space="preserve"> the set up time and costs</w:t>
            </w:r>
            <w:r w:rsidR="00710F7F">
              <w:rPr>
                <w:sz w:val="22"/>
              </w:rPr>
              <w:t xml:space="preserve"> as well as operational costs</w:t>
            </w:r>
            <w:r w:rsidRPr="00583603">
              <w:rPr>
                <w:sz w:val="22"/>
              </w:rPr>
              <w:t xml:space="preserve"> of GMP vs GPP</w:t>
            </w:r>
            <w:r w:rsidR="00591324">
              <w:rPr>
                <w:sz w:val="22"/>
              </w:rPr>
              <w:t xml:space="preserve"> in the </w:t>
            </w:r>
            <w:r w:rsidR="0020178D">
              <w:rPr>
                <w:sz w:val="22"/>
              </w:rPr>
              <w:t>C</w:t>
            </w:r>
            <w:r w:rsidR="00591324">
              <w:rPr>
                <w:sz w:val="22"/>
              </w:rPr>
              <w:t xml:space="preserve">onsultation </w:t>
            </w:r>
            <w:r w:rsidR="0020178D">
              <w:rPr>
                <w:sz w:val="22"/>
              </w:rPr>
              <w:t>D</w:t>
            </w:r>
            <w:r w:rsidR="00591324">
              <w:rPr>
                <w:sz w:val="22"/>
              </w:rPr>
              <w:t>ocument</w:t>
            </w:r>
            <w:r w:rsidR="004F4C72">
              <w:rPr>
                <w:sz w:val="22"/>
              </w:rPr>
              <w:t xml:space="preserve"> if possible</w:t>
            </w:r>
            <w:r w:rsidR="002B7743">
              <w:rPr>
                <w:sz w:val="22"/>
              </w:rPr>
              <w:t>.</w:t>
            </w:r>
          </w:p>
          <w:p w14:paraId="30971BF3" w14:textId="77777777" w:rsidR="00600C5E" w:rsidRPr="00393B3D" w:rsidRDefault="00600C5E" w:rsidP="00696EA9">
            <w:pPr>
              <w:spacing w:before="60" w:after="60"/>
              <w:rPr>
                <w:sz w:val="20"/>
              </w:rPr>
            </w:pPr>
          </w:p>
          <w:p w14:paraId="30181896" w14:textId="37CA4B37" w:rsidR="003D4166" w:rsidRPr="00A146FD" w:rsidRDefault="00600C5E" w:rsidP="00696EA9">
            <w:pPr>
              <w:tabs>
                <w:tab w:val="right" w:leader="underscore" w:pos="5670"/>
                <w:tab w:val="left" w:pos="6237"/>
              </w:tabs>
              <w:spacing w:before="60" w:after="60"/>
              <w:rPr>
                <w:sz w:val="22"/>
              </w:rPr>
            </w:pPr>
            <w:r w:rsidRPr="00393B3D">
              <w:rPr>
                <w:b/>
                <w:sz w:val="22"/>
              </w:rPr>
              <w:t xml:space="preserve">Action: </w:t>
            </w:r>
            <w:r w:rsidR="00591324" w:rsidRPr="00BD122A">
              <w:rPr>
                <w:sz w:val="22"/>
              </w:rPr>
              <w:t xml:space="preserve">Secretariat to </w:t>
            </w:r>
            <w:r w:rsidR="00D6319A">
              <w:rPr>
                <w:sz w:val="22"/>
              </w:rPr>
              <w:t xml:space="preserve">consider </w:t>
            </w:r>
            <w:r w:rsidR="004F4C72">
              <w:rPr>
                <w:sz w:val="22"/>
              </w:rPr>
              <w:t>includ</w:t>
            </w:r>
            <w:r w:rsidR="00D6319A">
              <w:rPr>
                <w:sz w:val="22"/>
              </w:rPr>
              <w:t>ing</w:t>
            </w:r>
            <w:r w:rsidR="00591324">
              <w:rPr>
                <w:sz w:val="22"/>
              </w:rPr>
              <w:t xml:space="preserve"> </w:t>
            </w:r>
            <w:r w:rsidRPr="00393B3D">
              <w:rPr>
                <w:sz w:val="22"/>
              </w:rPr>
              <w:t xml:space="preserve">an evidence based assessment of the risks </w:t>
            </w:r>
            <w:r w:rsidR="004F4C72">
              <w:rPr>
                <w:sz w:val="22"/>
              </w:rPr>
              <w:t xml:space="preserve">and benefits </w:t>
            </w:r>
            <w:r w:rsidRPr="00393B3D">
              <w:rPr>
                <w:sz w:val="22"/>
              </w:rPr>
              <w:t>of using cannabis</w:t>
            </w:r>
            <w:r w:rsidR="00591324">
              <w:rPr>
                <w:sz w:val="22"/>
              </w:rPr>
              <w:t xml:space="preserve"> in the </w:t>
            </w:r>
            <w:r w:rsidR="0020178D">
              <w:rPr>
                <w:sz w:val="22"/>
              </w:rPr>
              <w:t>C</w:t>
            </w:r>
            <w:r w:rsidR="00591324">
              <w:rPr>
                <w:sz w:val="22"/>
              </w:rPr>
              <w:t xml:space="preserve">onsultation </w:t>
            </w:r>
            <w:r w:rsidR="0020178D">
              <w:rPr>
                <w:sz w:val="22"/>
              </w:rPr>
              <w:t>D</w:t>
            </w:r>
            <w:r w:rsidR="00591324">
              <w:rPr>
                <w:sz w:val="22"/>
              </w:rPr>
              <w:t>ocument</w:t>
            </w:r>
            <w:r w:rsidRPr="00393B3D">
              <w:rPr>
                <w:sz w:val="22"/>
              </w:rPr>
              <w:t>.</w:t>
            </w:r>
          </w:p>
        </w:tc>
      </w:tr>
      <w:tr w:rsidR="00B03C4A" w14:paraId="245A770E" w14:textId="77777777" w:rsidTr="00492753">
        <w:tc>
          <w:tcPr>
            <w:tcW w:w="669" w:type="dxa"/>
          </w:tcPr>
          <w:p w14:paraId="2A4EE773" w14:textId="77777777" w:rsidR="00B03C4A" w:rsidRPr="00600C5E" w:rsidRDefault="00600C5E" w:rsidP="00D0502C">
            <w:pPr>
              <w:tabs>
                <w:tab w:val="right" w:leader="underscore" w:pos="5670"/>
                <w:tab w:val="left" w:pos="6237"/>
              </w:tabs>
              <w:spacing w:before="60" w:after="60"/>
              <w:rPr>
                <w:rFonts w:cs="Arial"/>
                <w:b/>
                <w:sz w:val="22"/>
                <w:szCs w:val="22"/>
              </w:rPr>
            </w:pPr>
            <w:r>
              <w:rPr>
                <w:rFonts w:cs="Arial"/>
                <w:b/>
                <w:sz w:val="22"/>
                <w:szCs w:val="22"/>
              </w:rPr>
              <w:t>11</w:t>
            </w:r>
          </w:p>
        </w:tc>
        <w:tc>
          <w:tcPr>
            <w:tcW w:w="9208" w:type="dxa"/>
          </w:tcPr>
          <w:p w14:paraId="3011E9FD" w14:textId="77777777" w:rsidR="00B03C4A" w:rsidRDefault="00B03C4A" w:rsidP="00696EA9">
            <w:pPr>
              <w:tabs>
                <w:tab w:val="right" w:leader="underscore" w:pos="5670"/>
                <w:tab w:val="left" w:pos="6237"/>
              </w:tabs>
              <w:spacing w:before="60" w:after="60"/>
              <w:rPr>
                <w:rFonts w:cs="Arial"/>
                <w:b/>
                <w:sz w:val="22"/>
                <w:szCs w:val="22"/>
              </w:rPr>
            </w:pPr>
            <w:r w:rsidRPr="003F6346">
              <w:rPr>
                <w:rFonts w:cs="Arial"/>
                <w:b/>
                <w:sz w:val="22"/>
                <w:szCs w:val="22"/>
              </w:rPr>
              <w:t>Prescribing Requirements</w:t>
            </w:r>
          </w:p>
          <w:p w14:paraId="3A4A6621" w14:textId="5C625C15" w:rsidR="008D3151" w:rsidRDefault="00D6319A" w:rsidP="00696EA9">
            <w:pPr>
              <w:spacing w:before="60" w:after="180"/>
              <w:rPr>
                <w:sz w:val="22"/>
              </w:rPr>
            </w:pPr>
            <w:r>
              <w:rPr>
                <w:sz w:val="22"/>
              </w:rPr>
              <w:t>At this meeting,</w:t>
            </w:r>
            <w:r w:rsidR="000D1103">
              <w:rPr>
                <w:sz w:val="22"/>
              </w:rPr>
              <w:t xml:space="preserve"> some members of</w:t>
            </w:r>
            <w:r>
              <w:rPr>
                <w:sz w:val="22"/>
              </w:rPr>
              <w:t xml:space="preserve"> the </w:t>
            </w:r>
            <w:r w:rsidR="00BD122A">
              <w:rPr>
                <w:sz w:val="22"/>
              </w:rPr>
              <w:t>Advisory Group</w:t>
            </w:r>
            <w:r w:rsidR="00270D9C" w:rsidRPr="00270D9C">
              <w:rPr>
                <w:sz w:val="22"/>
              </w:rPr>
              <w:t xml:space="preserve"> </w:t>
            </w:r>
            <w:r w:rsidR="004C6DB6">
              <w:rPr>
                <w:sz w:val="22"/>
              </w:rPr>
              <w:t>noted</w:t>
            </w:r>
            <w:r>
              <w:rPr>
                <w:sz w:val="22"/>
              </w:rPr>
              <w:t xml:space="preserve"> </w:t>
            </w:r>
            <w:r w:rsidR="00270D9C" w:rsidRPr="00270D9C">
              <w:rPr>
                <w:sz w:val="22"/>
              </w:rPr>
              <w:t xml:space="preserve">that in terms of </w:t>
            </w:r>
            <w:r w:rsidR="002B7743">
              <w:rPr>
                <w:sz w:val="22"/>
              </w:rPr>
              <w:t xml:space="preserve">patient </w:t>
            </w:r>
            <w:r w:rsidR="00270D9C" w:rsidRPr="00270D9C">
              <w:rPr>
                <w:sz w:val="22"/>
              </w:rPr>
              <w:t>safety</w:t>
            </w:r>
            <w:r w:rsidR="00445D8C">
              <w:rPr>
                <w:sz w:val="22"/>
              </w:rPr>
              <w:t>,</w:t>
            </w:r>
            <w:r w:rsidR="00270D9C" w:rsidRPr="00270D9C">
              <w:rPr>
                <w:sz w:val="22"/>
              </w:rPr>
              <w:t xml:space="preserve"> </w:t>
            </w:r>
            <w:r w:rsidR="00D37E34">
              <w:rPr>
                <w:sz w:val="22"/>
              </w:rPr>
              <w:t>prescriptions</w:t>
            </w:r>
            <w:r w:rsidR="00270D9C" w:rsidRPr="00270D9C">
              <w:rPr>
                <w:sz w:val="22"/>
              </w:rPr>
              <w:t xml:space="preserve"> </w:t>
            </w:r>
            <w:r w:rsidR="00AA7F0E">
              <w:rPr>
                <w:sz w:val="22"/>
              </w:rPr>
              <w:t>sh</w:t>
            </w:r>
            <w:r w:rsidR="00AA7F0E" w:rsidRPr="00270D9C">
              <w:rPr>
                <w:sz w:val="22"/>
              </w:rPr>
              <w:t xml:space="preserve">ould </w:t>
            </w:r>
            <w:r w:rsidR="00270D9C" w:rsidRPr="00270D9C">
              <w:rPr>
                <w:sz w:val="22"/>
              </w:rPr>
              <w:t>be written by an authorised prescriber and dispensed from a pharmacy</w:t>
            </w:r>
            <w:r w:rsidR="00EA466B">
              <w:rPr>
                <w:sz w:val="22"/>
              </w:rPr>
              <w:t>.</w:t>
            </w:r>
            <w:r w:rsidR="00937475">
              <w:rPr>
                <w:sz w:val="22"/>
              </w:rPr>
              <w:t xml:space="preserve"> Some other members did not agree </w:t>
            </w:r>
            <w:r w:rsidR="004C6DB6">
              <w:rPr>
                <w:sz w:val="22"/>
              </w:rPr>
              <w:t xml:space="preserve">with this </w:t>
            </w:r>
            <w:r w:rsidR="003A402E">
              <w:rPr>
                <w:sz w:val="22"/>
              </w:rPr>
              <w:t xml:space="preserve">approach </w:t>
            </w:r>
            <w:r w:rsidR="00937475">
              <w:rPr>
                <w:sz w:val="22"/>
              </w:rPr>
              <w:t>and wanted an investigatio</w:t>
            </w:r>
            <w:r w:rsidR="00251C9A">
              <w:rPr>
                <w:sz w:val="22"/>
              </w:rPr>
              <w:t>n of other options such as direct to consumer online sales</w:t>
            </w:r>
            <w:r w:rsidR="00937475">
              <w:rPr>
                <w:sz w:val="22"/>
              </w:rPr>
              <w:t>.</w:t>
            </w:r>
            <w:r w:rsidR="00EA466B">
              <w:rPr>
                <w:sz w:val="22"/>
              </w:rPr>
              <w:t xml:space="preserve"> </w:t>
            </w:r>
            <w:r w:rsidR="004F677E" w:rsidRPr="00270D9C">
              <w:rPr>
                <w:sz w:val="22"/>
              </w:rPr>
              <w:t xml:space="preserve"> It was noted</w:t>
            </w:r>
            <w:r w:rsidR="004F677E">
              <w:rPr>
                <w:sz w:val="22"/>
              </w:rPr>
              <w:t xml:space="preserve"> that in Canada</w:t>
            </w:r>
            <w:r w:rsidR="004F677E" w:rsidRPr="00270D9C">
              <w:rPr>
                <w:sz w:val="22"/>
              </w:rPr>
              <w:t xml:space="preserve"> patients can get</w:t>
            </w:r>
            <w:r w:rsidR="004F677E">
              <w:rPr>
                <w:sz w:val="22"/>
              </w:rPr>
              <w:t xml:space="preserve"> health products containing cannabis</w:t>
            </w:r>
            <w:r w:rsidR="004F677E" w:rsidRPr="00270D9C">
              <w:rPr>
                <w:sz w:val="22"/>
              </w:rPr>
              <w:t xml:space="preserve"> directly from the producer</w:t>
            </w:r>
            <w:r w:rsidR="004F677E">
              <w:rPr>
                <w:sz w:val="22"/>
              </w:rPr>
              <w:t xml:space="preserve"> or an online pharmacist, which reduces the cost but misses the opportunity for a discussion with the pharmacist</w:t>
            </w:r>
            <w:r w:rsidR="004F677E" w:rsidRPr="00270D9C">
              <w:rPr>
                <w:sz w:val="22"/>
              </w:rPr>
              <w:t>.</w:t>
            </w:r>
          </w:p>
          <w:p w14:paraId="58F4CFA2" w14:textId="3113FBBC" w:rsidR="0020178D" w:rsidRDefault="00115F28" w:rsidP="00696EA9">
            <w:pPr>
              <w:autoSpaceDE w:val="0"/>
              <w:autoSpaceDN w:val="0"/>
              <w:adjustRightInd w:val="0"/>
              <w:spacing w:before="60" w:after="180"/>
              <w:rPr>
                <w:rFonts w:cs="Helv"/>
                <w:color w:val="000000"/>
                <w:sz w:val="22"/>
                <w:szCs w:val="20"/>
              </w:rPr>
            </w:pPr>
            <w:r>
              <w:rPr>
                <w:rFonts w:cs="Helv"/>
                <w:color w:val="000000"/>
                <w:sz w:val="22"/>
                <w:szCs w:val="20"/>
              </w:rPr>
              <w:t>Some members of t</w:t>
            </w:r>
            <w:r w:rsidR="00AC34C7" w:rsidRPr="00C86CEB">
              <w:rPr>
                <w:rFonts w:cs="Helv"/>
                <w:color w:val="000000"/>
                <w:sz w:val="22"/>
                <w:szCs w:val="20"/>
              </w:rPr>
              <w:t xml:space="preserve">he Advisory Group </w:t>
            </w:r>
            <w:r w:rsidR="004C6DB6">
              <w:rPr>
                <w:rFonts w:cs="Helv"/>
                <w:color w:val="000000"/>
                <w:sz w:val="22"/>
                <w:szCs w:val="20"/>
              </w:rPr>
              <w:t>noted</w:t>
            </w:r>
            <w:r w:rsidR="00AC34C7" w:rsidRPr="00C86CEB">
              <w:rPr>
                <w:rFonts w:cs="Helv"/>
                <w:color w:val="000000"/>
                <w:sz w:val="22"/>
                <w:szCs w:val="20"/>
              </w:rPr>
              <w:t xml:space="preserve"> that </w:t>
            </w:r>
            <w:r w:rsidR="0020178D">
              <w:rPr>
                <w:rFonts w:cs="Helv"/>
                <w:color w:val="000000"/>
                <w:sz w:val="22"/>
                <w:szCs w:val="20"/>
              </w:rPr>
              <w:t xml:space="preserve">prescribed </w:t>
            </w:r>
            <w:r w:rsidR="00AC34C7" w:rsidRPr="00C86CEB">
              <w:rPr>
                <w:rFonts w:cs="Helv"/>
                <w:color w:val="000000"/>
                <w:sz w:val="22"/>
                <w:szCs w:val="20"/>
              </w:rPr>
              <w:t xml:space="preserve">medicinal cannabis products should be treated in the same manner as </w:t>
            </w:r>
            <w:r w:rsidR="00AC34C7">
              <w:rPr>
                <w:rFonts w:cs="Helv"/>
                <w:color w:val="000000"/>
                <w:sz w:val="22"/>
                <w:szCs w:val="20"/>
              </w:rPr>
              <w:t xml:space="preserve">any other </w:t>
            </w:r>
            <w:r w:rsidR="00AC34C7" w:rsidRPr="00C86CEB">
              <w:rPr>
                <w:rFonts w:cs="Helv"/>
                <w:color w:val="000000"/>
                <w:sz w:val="22"/>
                <w:szCs w:val="20"/>
              </w:rPr>
              <w:t>medicine and acknowledged that there are prescribers oth</w:t>
            </w:r>
            <w:r w:rsidR="00AC34C7">
              <w:rPr>
                <w:rFonts w:cs="Helv"/>
                <w:color w:val="000000"/>
                <w:sz w:val="22"/>
                <w:szCs w:val="20"/>
              </w:rPr>
              <w:t xml:space="preserve">er than medical practitioners. </w:t>
            </w:r>
            <w:r w:rsidR="00AC34C7" w:rsidRPr="00270D9C">
              <w:rPr>
                <w:rFonts w:cs="Helv"/>
                <w:color w:val="000000"/>
                <w:sz w:val="22"/>
                <w:szCs w:val="20"/>
              </w:rPr>
              <w:t xml:space="preserve">A point was </w:t>
            </w:r>
            <w:r w:rsidR="00AC34C7">
              <w:rPr>
                <w:rFonts w:cs="Helv"/>
                <w:color w:val="000000"/>
                <w:sz w:val="22"/>
                <w:szCs w:val="20"/>
              </w:rPr>
              <w:t xml:space="preserve">raised </w:t>
            </w:r>
            <w:r w:rsidR="00AC34C7" w:rsidRPr="00270D9C">
              <w:rPr>
                <w:rFonts w:cs="Helv"/>
                <w:color w:val="000000"/>
                <w:sz w:val="22"/>
                <w:szCs w:val="20"/>
              </w:rPr>
              <w:t>regarding the use of</w:t>
            </w:r>
            <w:r w:rsidR="00AC34C7">
              <w:rPr>
                <w:rFonts w:cs="Helv"/>
                <w:color w:val="000000"/>
                <w:sz w:val="22"/>
                <w:szCs w:val="20"/>
              </w:rPr>
              <w:t xml:space="preserve"> the word</w:t>
            </w:r>
            <w:r w:rsidR="00AC34C7" w:rsidRPr="00270D9C">
              <w:rPr>
                <w:rFonts w:cs="Helv"/>
                <w:color w:val="000000"/>
                <w:sz w:val="22"/>
                <w:szCs w:val="20"/>
              </w:rPr>
              <w:t xml:space="preserve"> </w:t>
            </w:r>
            <w:r w:rsidR="003A402E">
              <w:rPr>
                <w:rFonts w:cs="Helv"/>
                <w:color w:val="000000"/>
                <w:sz w:val="22"/>
                <w:szCs w:val="20"/>
              </w:rPr>
              <w:t>“</w:t>
            </w:r>
            <w:r w:rsidR="00AC34C7">
              <w:rPr>
                <w:rFonts w:cs="Helv"/>
                <w:color w:val="000000"/>
                <w:sz w:val="22"/>
                <w:szCs w:val="20"/>
              </w:rPr>
              <w:t>d</w:t>
            </w:r>
            <w:r w:rsidR="00AC34C7" w:rsidRPr="00270D9C">
              <w:rPr>
                <w:rFonts w:cs="Helv"/>
                <w:color w:val="000000"/>
                <w:sz w:val="22"/>
                <w:szCs w:val="20"/>
              </w:rPr>
              <w:t>octor</w:t>
            </w:r>
            <w:r w:rsidR="003A402E">
              <w:rPr>
                <w:rFonts w:cs="Helv"/>
                <w:color w:val="000000"/>
                <w:sz w:val="22"/>
                <w:szCs w:val="20"/>
              </w:rPr>
              <w:t>”</w:t>
            </w:r>
            <w:r w:rsidR="00AC34C7" w:rsidRPr="00270D9C">
              <w:rPr>
                <w:rFonts w:cs="Helv"/>
                <w:color w:val="000000"/>
                <w:sz w:val="22"/>
                <w:szCs w:val="20"/>
              </w:rPr>
              <w:t xml:space="preserve"> rather than authorised prescriber </w:t>
            </w:r>
            <w:r w:rsidR="00AC34C7">
              <w:rPr>
                <w:rFonts w:cs="Helv"/>
                <w:color w:val="000000"/>
                <w:sz w:val="22"/>
                <w:szCs w:val="20"/>
              </w:rPr>
              <w:t>with regard to</w:t>
            </w:r>
            <w:r w:rsidR="00AC34C7" w:rsidRPr="00270D9C">
              <w:rPr>
                <w:rFonts w:cs="Helv"/>
                <w:color w:val="000000"/>
                <w:sz w:val="22"/>
                <w:szCs w:val="20"/>
              </w:rPr>
              <w:t xml:space="preserve"> </w:t>
            </w:r>
            <w:r w:rsidR="00AC34C7">
              <w:rPr>
                <w:rFonts w:cs="Helv"/>
                <w:color w:val="000000"/>
                <w:sz w:val="22"/>
                <w:szCs w:val="20"/>
              </w:rPr>
              <w:t>prescribing unapproved</w:t>
            </w:r>
            <w:r w:rsidR="00AC34C7" w:rsidRPr="00270D9C">
              <w:rPr>
                <w:rFonts w:cs="Helv"/>
                <w:color w:val="000000"/>
                <w:sz w:val="22"/>
                <w:szCs w:val="20"/>
              </w:rPr>
              <w:t xml:space="preserve"> medicines. It was</w:t>
            </w:r>
            <w:r w:rsidR="00AC34C7">
              <w:rPr>
                <w:rFonts w:cs="Helv"/>
                <w:color w:val="000000"/>
                <w:sz w:val="22"/>
                <w:szCs w:val="20"/>
              </w:rPr>
              <w:t xml:space="preserve"> noted by the Secretariat</w:t>
            </w:r>
            <w:r w:rsidR="00AC34C7" w:rsidRPr="00270D9C">
              <w:rPr>
                <w:rFonts w:cs="Helv"/>
                <w:color w:val="000000"/>
                <w:sz w:val="22"/>
                <w:szCs w:val="20"/>
              </w:rPr>
              <w:t xml:space="preserve"> that </w:t>
            </w:r>
            <w:r w:rsidR="00AC34C7">
              <w:rPr>
                <w:rFonts w:cs="Helv"/>
                <w:color w:val="000000"/>
                <w:sz w:val="22"/>
                <w:szCs w:val="20"/>
              </w:rPr>
              <w:t xml:space="preserve">most of </w:t>
            </w:r>
            <w:r w:rsidR="00AC34C7" w:rsidRPr="00270D9C">
              <w:rPr>
                <w:rFonts w:cs="Helv"/>
                <w:color w:val="000000"/>
                <w:sz w:val="22"/>
                <w:szCs w:val="20"/>
              </w:rPr>
              <w:t>the medicines</w:t>
            </w:r>
            <w:r w:rsidR="00AC34C7">
              <w:rPr>
                <w:rFonts w:cs="Helv"/>
                <w:color w:val="000000"/>
                <w:sz w:val="22"/>
                <w:szCs w:val="20"/>
              </w:rPr>
              <w:t xml:space="preserve"> that will be under the Scheme will be unapproved medicines</w:t>
            </w:r>
            <w:r w:rsidR="00AC34C7" w:rsidRPr="00270D9C">
              <w:rPr>
                <w:rFonts w:cs="Helv"/>
                <w:color w:val="000000"/>
                <w:sz w:val="22"/>
                <w:szCs w:val="20"/>
              </w:rPr>
              <w:t>,</w:t>
            </w:r>
            <w:r w:rsidR="00AC34C7">
              <w:rPr>
                <w:rFonts w:cs="Helv"/>
                <w:color w:val="000000"/>
                <w:sz w:val="22"/>
                <w:szCs w:val="20"/>
              </w:rPr>
              <w:t xml:space="preserve"> and</w:t>
            </w:r>
            <w:r w:rsidR="00AC34C7" w:rsidRPr="00270D9C">
              <w:rPr>
                <w:rFonts w:cs="Helv"/>
                <w:color w:val="000000"/>
                <w:sz w:val="22"/>
                <w:szCs w:val="20"/>
              </w:rPr>
              <w:t xml:space="preserve"> that </w:t>
            </w:r>
            <w:r w:rsidR="00AC34C7">
              <w:rPr>
                <w:rFonts w:cs="Helv"/>
                <w:color w:val="000000"/>
                <w:sz w:val="22"/>
                <w:szCs w:val="20"/>
              </w:rPr>
              <w:t xml:space="preserve">under current legislation, </w:t>
            </w:r>
            <w:r w:rsidR="00AC34C7" w:rsidRPr="00270D9C">
              <w:rPr>
                <w:rFonts w:cs="Helv"/>
                <w:color w:val="000000"/>
                <w:sz w:val="22"/>
                <w:szCs w:val="20"/>
              </w:rPr>
              <w:t>only medical practitioners would be able to prescribe them.</w:t>
            </w:r>
          </w:p>
          <w:p w14:paraId="42CE4F58" w14:textId="7852B662" w:rsidR="0020178D" w:rsidRDefault="008D3151" w:rsidP="00696EA9">
            <w:pPr>
              <w:autoSpaceDE w:val="0"/>
              <w:autoSpaceDN w:val="0"/>
              <w:adjustRightInd w:val="0"/>
              <w:spacing w:before="60" w:after="180"/>
              <w:rPr>
                <w:rStyle w:val="CommentReference"/>
                <w:sz w:val="22"/>
                <w:szCs w:val="22"/>
              </w:rPr>
            </w:pPr>
            <w:r w:rsidRPr="00270D9C">
              <w:rPr>
                <w:rFonts w:cs="Helv"/>
                <w:color w:val="000000"/>
                <w:sz w:val="22"/>
                <w:szCs w:val="20"/>
              </w:rPr>
              <w:t xml:space="preserve">There was discussion around prescribing requirements. </w:t>
            </w:r>
            <w:r w:rsidR="004F677E">
              <w:rPr>
                <w:rFonts w:cs="Helv"/>
                <w:color w:val="000000"/>
                <w:sz w:val="22"/>
                <w:szCs w:val="20"/>
              </w:rPr>
              <w:t>Some members of the Advisory Group were</w:t>
            </w:r>
            <w:r w:rsidRPr="00270D9C">
              <w:rPr>
                <w:rFonts w:cs="Helv"/>
                <w:color w:val="000000"/>
                <w:sz w:val="22"/>
                <w:szCs w:val="20"/>
              </w:rPr>
              <w:t xml:space="preserve"> interested in the prescribing requirements </w:t>
            </w:r>
            <w:r w:rsidR="00DE267D">
              <w:rPr>
                <w:rFonts w:cs="Helv"/>
                <w:color w:val="000000"/>
                <w:sz w:val="22"/>
                <w:szCs w:val="20"/>
              </w:rPr>
              <w:t xml:space="preserve">and restrictions </w:t>
            </w:r>
            <w:r w:rsidRPr="00270D9C">
              <w:rPr>
                <w:rFonts w:cs="Helv"/>
                <w:color w:val="000000"/>
                <w:sz w:val="22"/>
                <w:szCs w:val="20"/>
              </w:rPr>
              <w:t>for other controlled drugs</w:t>
            </w:r>
            <w:r>
              <w:rPr>
                <w:rFonts w:cs="Helv"/>
                <w:color w:val="000000"/>
                <w:sz w:val="22"/>
                <w:szCs w:val="20"/>
              </w:rPr>
              <w:t xml:space="preserve"> (Special Authority system and Controlled Drug prescriptions)</w:t>
            </w:r>
            <w:r w:rsidRPr="00270D9C">
              <w:rPr>
                <w:rFonts w:cs="Helv"/>
                <w:color w:val="000000"/>
                <w:sz w:val="22"/>
                <w:szCs w:val="20"/>
              </w:rPr>
              <w:t xml:space="preserve">. </w:t>
            </w:r>
          </w:p>
          <w:p w14:paraId="7FC6C678" w14:textId="182BD633" w:rsidR="0020178D" w:rsidRPr="00270D9C" w:rsidRDefault="008D3151" w:rsidP="00696EA9">
            <w:pPr>
              <w:autoSpaceDE w:val="0"/>
              <w:autoSpaceDN w:val="0"/>
              <w:adjustRightInd w:val="0"/>
              <w:spacing w:before="60" w:after="180"/>
              <w:rPr>
                <w:rFonts w:cs="Helv"/>
                <w:color w:val="000000"/>
                <w:sz w:val="22"/>
                <w:szCs w:val="20"/>
              </w:rPr>
            </w:pPr>
            <w:r>
              <w:rPr>
                <w:rStyle w:val="CommentReference"/>
                <w:sz w:val="22"/>
                <w:szCs w:val="22"/>
              </w:rPr>
              <w:t>Specialist oversight for prescribing was discussed, including what qualif</w:t>
            </w:r>
            <w:r w:rsidR="006A4B07">
              <w:rPr>
                <w:rStyle w:val="CommentReference"/>
                <w:sz w:val="22"/>
                <w:szCs w:val="22"/>
              </w:rPr>
              <w:t>ies</w:t>
            </w:r>
            <w:r>
              <w:rPr>
                <w:rStyle w:val="CommentReference"/>
                <w:sz w:val="22"/>
                <w:szCs w:val="22"/>
              </w:rPr>
              <w:t xml:space="preserve"> one as a specialist</w:t>
            </w:r>
            <w:r w:rsidR="006D1290">
              <w:rPr>
                <w:rStyle w:val="CommentReference"/>
                <w:sz w:val="22"/>
                <w:szCs w:val="22"/>
              </w:rPr>
              <w:t>;</w:t>
            </w:r>
            <w:r>
              <w:rPr>
                <w:rStyle w:val="CommentReference"/>
                <w:sz w:val="22"/>
                <w:szCs w:val="22"/>
              </w:rPr>
              <w:t xml:space="preserve"> </w:t>
            </w:r>
            <w:r w:rsidR="006D1290">
              <w:rPr>
                <w:rStyle w:val="CommentReference"/>
                <w:sz w:val="22"/>
                <w:szCs w:val="22"/>
              </w:rPr>
              <w:t xml:space="preserve">specialist initiation, prescription and endorsement; </w:t>
            </w:r>
            <w:r>
              <w:rPr>
                <w:rStyle w:val="CommentReference"/>
                <w:sz w:val="22"/>
                <w:szCs w:val="22"/>
              </w:rPr>
              <w:t xml:space="preserve">different access to specialists across DHBs and peer review for the prescribing decision. </w:t>
            </w:r>
            <w:r w:rsidR="006D1290">
              <w:rPr>
                <w:rFonts w:cs="Helv"/>
                <w:color w:val="000000"/>
                <w:sz w:val="22"/>
                <w:szCs w:val="20"/>
              </w:rPr>
              <w:t xml:space="preserve"> It was </w:t>
            </w:r>
            <w:r w:rsidR="004C6DB6">
              <w:rPr>
                <w:rFonts w:cs="Helv"/>
                <w:color w:val="000000"/>
                <w:sz w:val="22"/>
                <w:szCs w:val="20"/>
              </w:rPr>
              <w:t>noted by some Advisory Group members</w:t>
            </w:r>
            <w:r w:rsidR="006D1290">
              <w:rPr>
                <w:rFonts w:cs="Helv"/>
                <w:color w:val="000000"/>
                <w:sz w:val="22"/>
                <w:szCs w:val="20"/>
              </w:rPr>
              <w:t xml:space="preserve"> that restrictions on prescribing s</w:t>
            </w:r>
            <w:r w:rsidR="004C6DB6">
              <w:rPr>
                <w:rFonts w:cs="Helv"/>
                <w:color w:val="000000"/>
                <w:sz w:val="22"/>
                <w:szCs w:val="20"/>
              </w:rPr>
              <w:t xml:space="preserve">hould be proportional to risk. </w:t>
            </w:r>
            <w:r w:rsidR="006D1290">
              <w:rPr>
                <w:rFonts w:cs="Helv"/>
                <w:color w:val="000000"/>
                <w:sz w:val="22"/>
                <w:szCs w:val="20"/>
              </w:rPr>
              <w:t>It was noted</w:t>
            </w:r>
            <w:r w:rsidR="004C6DB6">
              <w:rPr>
                <w:rFonts w:cs="Helv"/>
                <w:color w:val="000000"/>
                <w:sz w:val="22"/>
                <w:szCs w:val="20"/>
              </w:rPr>
              <w:t xml:space="preserve"> by some Advisory Group members</w:t>
            </w:r>
            <w:r w:rsidR="006D1290">
              <w:rPr>
                <w:rFonts w:cs="Helv"/>
                <w:color w:val="000000"/>
                <w:sz w:val="22"/>
                <w:szCs w:val="20"/>
              </w:rPr>
              <w:t xml:space="preserve"> that </w:t>
            </w:r>
            <w:r w:rsidR="006D1290" w:rsidRPr="00270D9C">
              <w:rPr>
                <w:rFonts w:cs="Helv"/>
                <w:color w:val="000000"/>
                <w:sz w:val="22"/>
                <w:szCs w:val="20"/>
              </w:rPr>
              <w:t>the risks</w:t>
            </w:r>
            <w:r w:rsidR="006D1290">
              <w:rPr>
                <w:rFonts w:cs="Helv"/>
                <w:color w:val="000000"/>
                <w:sz w:val="22"/>
                <w:szCs w:val="20"/>
              </w:rPr>
              <w:t xml:space="preserve"> for prescribing to children are</w:t>
            </w:r>
            <w:r w:rsidR="006D1290" w:rsidRPr="00270D9C">
              <w:rPr>
                <w:rFonts w:cs="Helv"/>
                <w:color w:val="000000"/>
                <w:sz w:val="22"/>
                <w:szCs w:val="20"/>
              </w:rPr>
              <w:t xml:space="preserve"> higher than</w:t>
            </w:r>
            <w:r w:rsidR="006D1290">
              <w:rPr>
                <w:rFonts w:cs="Helv"/>
                <w:color w:val="000000"/>
                <w:sz w:val="22"/>
                <w:szCs w:val="20"/>
              </w:rPr>
              <w:t xml:space="preserve"> the risks</w:t>
            </w:r>
            <w:r w:rsidR="006D1290" w:rsidRPr="00270D9C">
              <w:rPr>
                <w:rFonts w:cs="Helv"/>
                <w:color w:val="000000"/>
                <w:sz w:val="22"/>
                <w:szCs w:val="20"/>
              </w:rPr>
              <w:t xml:space="preserve"> for </w:t>
            </w:r>
            <w:r w:rsidR="006D1290" w:rsidRPr="00BD122A">
              <w:rPr>
                <w:rFonts w:cs="Helv"/>
                <w:color w:val="000000"/>
                <w:sz w:val="22"/>
                <w:szCs w:val="22"/>
              </w:rPr>
              <w:t>adults</w:t>
            </w:r>
            <w:r w:rsidR="006D1290" w:rsidRPr="00AD1562">
              <w:rPr>
                <w:rStyle w:val="CommentReference"/>
                <w:sz w:val="22"/>
                <w:szCs w:val="22"/>
              </w:rPr>
              <w:t xml:space="preserve">. </w:t>
            </w:r>
            <w:r w:rsidR="006D1290">
              <w:rPr>
                <w:rStyle w:val="CommentReference"/>
                <w:sz w:val="22"/>
                <w:szCs w:val="22"/>
              </w:rPr>
              <w:t xml:space="preserve"> </w:t>
            </w:r>
          </w:p>
          <w:p w14:paraId="07B8F231" w14:textId="64C51B19" w:rsidR="0020178D" w:rsidRDefault="00D6319A" w:rsidP="00696EA9">
            <w:pPr>
              <w:autoSpaceDE w:val="0"/>
              <w:autoSpaceDN w:val="0"/>
              <w:adjustRightInd w:val="0"/>
              <w:spacing w:before="60" w:after="180"/>
              <w:rPr>
                <w:rFonts w:cs="Helv"/>
                <w:color w:val="000000"/>
                <w:sz w:val="22"/>
                <w:szCs w:val="20"/>
              </w:rPr>
            </w:pPr>
            <w:r>
              <w:rPr>
                <w:rFonts w:cs="Helv"/>
                <w:color w:val="000000"/>
                <w:sz w:val="22"/>
                <w:szCs w:val="20"/>
              </w:rPr>
              <w:t xml:space="preserve">It was suggested </w:t>
            </w:r>
            <w:r w:rsidR="00AF4C40">
              <w:rPr>
                <w:rFonts w:cs="Helv"/>
                <w:color w:val="000000"/>
                <w:sz w:val="22"/>
                <w:szCs w:val="20"/>
              </w:rPr>
              <w:t xml:space="preserve">by some members of the Advisory Group </w:t>
            </w:r>
            <w:r w:rsidR="00270D9C" w:rsidRPr="00270D9C">
              <w:rPr>
                <w:rFonts w:cs="Helv"/>
                <w:color w:val="000000"/>
                <w:sz w:val="22"/>
                <w:szCs w:val="20"/>
              </w:rPr>
              <w:t xml:space="preserve">that there is already pressure to prescribe </w:t>
            </w:r>
            <w:r w:rsidR="0020178D">
              <w:rPr>
                <w:rFonts w:cs="Helv"/>
                <w:color w:val="000000"/>
                <w:sz w:val="22"/>
                <w:szCs w:val="20"/>
              </w:rPr>
              <w:t xml:space="preserve">certain </w:t>
            </w:r>
            <w:r w:rsidR="00270D9C" w:rsidRPr="00270D9C">
              <w:rPr>
                <w:rFonts w:cs="Helv"/>
                <w:color w:val="000000"/>
                <w:sz w:val="22"/>
                <w:szCs w:val="20"/>
              </w:rPr>
              <w:t xml:space="preserve">medications and that </w:t>
            </w:r>
            <w:r w:rsidR="006336FB">
              <w:rPr>
                <w:rFonts w:cs="Helv"/>
                <w:color w:val="000000"/>
                <w:sz w:val="22"/>
                <w:szCs w:val="20"/>
              </w:rPr>
              <w:t xml:space="preserve">some doctors </w:t>
            </w:r>
            <w:r w:rsidR="00270D9C" w:rsidRPr="00270D9C">
              <w:rPr>
                <w:rFonts w:cs="Helv"/>
                <w:color w:val="000000"/>
                <w:sz w:val="22"/>
                <w:szCs w:val="20"/>
              </w:rPr>
              <w:t xml:space="preserve">would like medicinal cannabis prescriptions to also require a specialist recommendation for </w:t>
            </w:r>
            <w:r w:rsidR="006336FB">
              <w:rPr>
                <w:rFonts w:cs="Helv"/>
                <w:color w:val="000000"/>
                <w:sz w:val="22"/>
                <w:szCs w:val="20"/>
              </w:rPr>
              <w:t>additional assurance</w:t>
            </w:r>
            <w:r w:rsidR="00270D9C" w:rsidRPr="00270D9C">
              <w:rPr>
                <w:rFonts w:cs="Helv"/>
                <w:color w:val="000000"/>
                <w:sz w:val="22"/>
                <w:szCs w:val="20"/>
              </w:rPr>
              <w:t>.</w:t>
            </w:r>
            <w:r>
              <w:rPr>
                <w:rFonts w:cs="Helv"/>
                <w:color w:val="000000"/>
                <w:sz w:val="22"/>
                <w:szCs w:val="20"/>
              </w:rPr>
              <w:t xml:space="preserve"> However </w:t>
            </w:r>
            <w:r w:rsidR="00270D9C" w:rsidRPr="00270D9C">
              <w:rPr>
                <w:rFonts w:cs="Helv"/>
                <w:color w:val="000000"/>
                <w:sz w:val="22"/>
                <w:szCs w:val="20"/>
              </w:rPr>
              <w:t xml:space="preserve">it </w:t>
            </w:r>
            <w:r>
              <w:rPr>
                <w:rFonts w:cs="Helv"/>
                <w:color w:val="000000"/>
                <w:sz w:val="22"/>
                <w:szCs w:val="20"/>
              </w:rPr>
              <w:t xml:space="preserve">was also </w:t>
            </w:r>
            <w:r w:rsidR="00DE267D">
              <w:rPr>
                <w:rFonts w:cs="Helv"/>
                <w:color w:val="000000"/>
                <w:sz w:val="22"/>
                <w:szCs w:val="20"/>
              </w:rPr>
              <w:t xml:space="preserve">noted </w:t>
            </w:r>
            <w:r>
              <w:rPr>
                <w:rFonts w:cs="Helv"/>
                <w:color w:val="000000"/>
                <w:sz w:val="22"/>
                <w:szCs w:val="20"/>
              </w:rPr>
              <w:t xml:space="preserve">that </w:t>
            </w:r>
            <w:r w:rsidR="00F27F76">
              <w:rPr>
                <w:rFonts w:cs="Helv"/>
                <w:color w:val="000000"/>
                <w:sz w:val="22"/>
                <w:szCs w:val="20"/>
              </w:rPr>
              <w:t xml:space="preserve">the </w:t>
            </w:r>
            <w:r>
              <w:rPr>
                <w:rFonts w:cs="Helv"/>
                <w:color w:val="000000"/>
                <w:sz w:val="22"/>
                <w:szCs w:val="20"/>
              </w:rPr>
              <w:t>requirement</w:t>
            </w:r>
            <w:r w:rsidR="00F27F76">
              <w:rPr>
                <w:rFonts w:cs="Helv"/>
                <w:color w:val="000000"/>
                <w:sz w:val="22"/>
                <w:szCs w:val="20"/>
              </w:rPr>
              <w:t>s</w:t>
            </w:r>
            <w:r>
              <w:rPr>
                <w:rFonts w:cs="Helv"/>
                <w:color w:val="000000"/>
                <w:sz w:val="22"/>
                <w:szCs w:val="20"/>
              </w:rPr>
              <w:t xml:space="preserve"> for specialist approval </w:t>
            </w:r>
            <w:r w:rsidR="00445D8C">
              <w:rPr>
                <w:rFonts w:cs="Helv"/>
                <w:color w:val="000000"/>
                <w:sz w:val="22"/>
                <w:szCs w:val="20"/>
              </w:rPr>
              <w:t>may</w:t>
            </w:r>
            <w:r w:rsidR="000E7FB8">
              <w:rPr>
                <w:rFonts w:cs="Helv"/>
                <w:color w:val="000000"/>
                <w:sz w:val="22"/>
                <w:szCs w:val="20"/>
              </w:rPr>
              <w:t xml:space="preserve"> pose a barrier to access.</w:t>
            </w:r>
          </w:p>
          <w:p w14:paraId="4DDBC0CE" w14:textId="78AD6D3D" w:rsidR="0041086F" w:rsidRDefault="004F677E" w:rsidP="00696EA9">
            <w:pPr>
              <w:autoSpaceDE w:val="0"/>
              <w:autoSpaceDN w:val="0"/>
              <w:adjustRightInd w:val="0"/>
              <w:spacing w:before="60" w:after="180"/>
              <w:rPr>
                <w:sz w:val="22"/>
              </w:rPr>
            </w:pPr>
            <w:r>
              <w:rPr>
                <w:rFonts w:cs="Helv"/>
                <w:color w:val="000000"/>
                <w:sz w:val="22"/>
                <w:szCs w:val="20"/>
              </w:rPr>
              <w:t>Some members of the</w:t>
            </w:r>
            <w:r w:rsidR="007F234E" w:rsidRPr="007F234E">
              <w:rPr>
                <w:rFonts w:cs="Helv"/>
                <w:color w:val="000000"/>
                <w:sz w:val="22"/>
                <w:szCs w:val="20"/>
              </w:rPr>
              <w:t xml:space="preserve"> Advisory Group noted that the draft consultation document mentioned that there were risks associated with the use of medicinal cannabis but did not mention what these risks were. </w:t>
            </w:r>
            <w:r>
              <w:rPr>
                <w:rFonts w:cs="Helv"/>
                <w:color w:val="000000"/>
                <w:sz w:val="22"/>
                <w:szCs w:val="20"/>
              </w:rPr>
              <w:t>It was</w:t>
            </w:r>
            <w:r w:rsidR="007F234E" w:rsidRPr="007F234E">
              <w:rPr>
                <w:rFonts w:cs="Helv"/>
                <w:color w:val="000000"/>
                <w:sz w:val="22"/>
                <w:szCs w:val="20"/>
              </w:rPr>
              <w:t xml:space="preserve"> noted that information on the inherent risks of the use of medicinal cannabis products should be incl</w:t>
            </w:r>
            <w:r w:rsidR="00C90E32">
              <w:rPr>
                <w:rFonts w:cs="Helv"/>
                <w:color w:val="000000"/>
                <w:sz w:val="22"/>
                <w:szCs w:val="20"/>
              </w:rPr>
              <w:t>uded in the consultation paper.</w:t>
            </w:r>
          </w:p>
          <w:p w14:paraId="5D2FFA5F" w14:textId="564FBF7B" w:rsidR="0020178D" w:rsidRDefault="0041086F" w:rsidP="00696EA9">
            <w:pPr>
              <w:spacing w:before="60" w:after="180"/>
              <w:rPr>
                <w:sz w:val="22"/>
                <w:szCs w:val="22"/>
              </w:rPr>
            </w:pPr>
            <w:r>
              <w:rPr>
                <w:sz w:val="22"/>
                <w:szCs w:val="22"/>
              </w:rPr>
              <w:t xml:space="preserve">The question was raised of whether </w:t>
            </w:r>
            <w:r w:rsidR="0020178D">
              <w:rPr>
                <w:sz w:val="22"/>
                <w:szCs w:val="22"/>
              </w:rPr>
              <w:t>cannabidiol</w:t>
            </w:r>
            <w:r>
              <w:rPr>
                <w:sz w:val="22"/>
                <w:szCs w:val="22"/>
              </w:rPr>
              <w:t xml:space="preserve"> could be made to be an over the counter medication rather than a prescription medicine. The </w:t>
            </w:r>
            <w:r w:rsidR="006A4B07">
              <w:rPr>
                <w:sz w:val="22"/>
                <w:szCs w:val="22"/>
              </w:rPr>
              <w:t>Secretariat explained that this</w:t>
            </w:r>
            <w:r w:rsidR="00F05778">
              <w:rPr>
                <w:sz w:val="22"/>
                <w:szCs w:val="22"/>
              </w:rPr>
              <w:t xml:space="preserve"> falls within the scope</w:t>
            </w:r>
            <w:r>
              <w:rPr>
                <w:sz w:val="22"/>
                <w:szCs w:val="22"/>
              </w:rPr>
              <w:t xml:space="preserve"> of the Medicines Classification Committee, and that anyone is allowed to apply to that committee for a reclassification.</w:t>
            </w:r>
          </w:p>
          <w:p w14:paraId="2E9514C0" w14:textId="5397607C" w:rsidR="0020178D" w:rsidRPr="00492753" w:rsidRDefault="0041086F" w:rsidP="00696EA9">
            <w:pPr>
              <w:autoSpaceDE w:val="0"/>
              <w:autoSpaceDN w:val="0"/>
              <w:adjustRightInd w:val="0"/>
              <w:spacing w:before="60" w:after="180"/>
              <w:rPr>
                <w:sz w:val="22"/>
                <w:szCs w:val="22"/>
              </w:rPr>
            </w:pPr>
            <w:r w:rsidRPr="00882AAE">
              <w:rPr>
                <w:sz w:val="22"/>
                <w:szCs w:val="22"/>
              </w:rPr>
              <w:t xml:space="preserve">There was a discussion of prescribing and dosages. Specifically there was a question raised of whether doctors must prescribe fixed dosages and cannabinoid ratios, given that working out the proper dosing tends to take some trial and error by the patient using different strains of cannabis. It was noted that in the Canadian system, patients could </w:t>
            </w:r>
            <w:r w:rsidR="00F20A18">
              <w:rPr>
                <w:sz w:val="22"/>
                <w:szCs w:val="22"/>
              </w:rPr>
              <w:t>go to a doctor for a</w:t>
            </w:r>
            <w:r w:rsidR="000A0B2C">
              <w:rPr>
                <w:sz w:val="22"/>
                <w:szCs w:val="22"/>
              </w:rPr>
              <w:t xml:space="preserve"> medical document which allows patients to </w:t>
            </w:r>
            <w:r w:rsidR="00F20A18">
              <w:rPr>
                <w:sz w:val="22"/>
                <w:szCs w:val="22"/>
              </w:rPr>
              <w:t>access</w:t>
            </w:r>
            <w:r w:rsidRPr="00882AAE">
              <w:rPr>
                <w:sz w:val="22"/>
                <w:szCs w:val="22"/>
              </w:rPr>
              <w:t xml:space="preserve"> </w:t>
            </w:r>
            <w:r w:rsidR="000A0B2C">
              <w:rPr>
                <w:sz w:val="22"/>
                <w:szCs w:val="22"/>
              </w:rPr>
              <w:t>health products containing cannabis.</w:t>
            </w:r>
          </w:p>
          <w:p w14:paraId="4B8D2954" w14:textId="77777777" w:rsidR="000E7FB8" w:rsidRDefault="000E7FB8" w:rsidP="00696EA9">
            <w:pPr>
              <w:spacing w:before="60" w:after="60"/>
              <w:rPr>
                <w:sz w:val="22"/>
              </w:rPr>
            </w:pPr>
            <w:r w:rsidRPr="000E7FB8">
              <w:rPr>
                <w:b/>
                <w:sz w:val="22"/>
              </w:rPr>
              <w:t>Action:</w:t>
            </w:r>
            <w:r w:rsidRPr="000E7FB8">
              <w:rPr>
                <w:sz w:val="22"/>
              </w:rPr>
              <w:t xml:space="preserve"> </w:t>
            </w:r>
            <w:r w:rsidR="00782ABE">
              <w:rPr>
                <w:sz w:val="22"/>
              </w:rPr>
              <w:t xml:space="preserve">Secretariat to </w:t>
            </w:r>
            <w:r w:rsidR="00887FDC">
              <w:rPr>
                <w:sz w:val="22"/>
              </w:rPr>
              <w:t xml:space="preserve">consider </w:t>
            </w:r>
            <w:r w:rsidR="00782ABE">
              <w:rPr>
                <w:sz w:val="22"/>
              </w:rPr>
              <w:t>c</w:t>
            </w:r>
            <w:r w:rsidRPr="000E7FB8">
              <w:rPr>
                <w:sz w:val="22"/>
              </w:rPr>
              <w:t>larify</w:t>
            </w:r>
            <w:r w:rsidR="00887FDC">
              <w:rPr>
                <w:sz w:val="22"/>
              </w:rPr>
              <w:t>ing</w:t>
            </w:r>
            <w:r w:rsidRPr="000E7FB8">
              <w:rPr>
                <w:sz w:val="22"/>
              </w:rPr>
              <w:t xml:space="preserve"> how patients will obtain medicinal cannabis prescriptions and if it differs from the current method.</w:t>
            </w:r>
          </w:p>
          <w:p w14:paraId="017749E5" w14:textId="77777777" w:rsidR="000E7FB8" w:rsidRPr="000E7FB8" w:rsidRDefault="000E7FB8" w:rsidP="00696EA9">
            <w:pPr>
              <w:spacing w:before="60" w:after="60"/>
              <w:rPr>
                <w:sz w:val="22"/>
              </w:rPr>
            </w:pPr>
          </w:p>
          <w:p w14:paraId="585A8984" w14:textId="66B45758" w:rsidR="00043D65" w:rsidRPr="00F27F76" w:rsidRDefault="000E7FB8" w:rsidP="00696EA9">
            <w:pPr>
              <w:spacing w:before="60" w:after="60"/>
              <w:rPr>
                <w:sz w:val="22"/>
              </w:rPr>
            </w:pPr>
            <w:r w:rsidRPr="000E7FB8">
              <w:rPr>
                <w:b/>
                <w:sz w:val="22"/>
              </w:rPr>
              <w:t xml:space="preserve">Action: </w:t>
            </w:r>
            <w:r w:rsidR="00782ABE" w:rsidRPr="00C86CEB">
              <w:rPr>
                <w:sz w:val="22"/>
              </w:rPr>
              <w:t>Secretariat to</w:t>
            </w:r>
            <w:r w:rsidR="00782ABE">
              <w:rPr>
                <w:b/>
                <w:sz w:val="22"/>
              </w:rPr>
              <w:t xml:space="preserve"> </w:t>
            </w:r>
            <w:r w:rsidR="00887FDC" w:rsidRPr="007F234E">
              <w:rPr>
                <w:sz w:val="22"/>
              </w:rPr>
              <w:t xml:space="preserve">consider </w:t>
            </w:r>
            <w:r w:rsidR="00782ABE" w:rsidRPr="00887FDC">
              <w:rPr>
                <w:sz w:val="22"/>
              </w:rPr>
              <w:t>i</w:t>
            </w:r>
            <w:r w:rsidRPr="00887FDC">
              <w:rPr>
                <w:sz w:val="22"/>
              </w:rPr>
              <w:t>nsert</w:t>
            </w:r>
            <w:r w:rsidR="00887FDC" w:rsidRPr="00887FDC">
              <w:rPr>
                <w:sz w:val="22"/>
              </w:rPr>
              <w:t>ing</w:t>
            </w:r>
            <w:r w:rsidRPr="000E7FB8">
              <w:rPr>
                <w:sz w:val="22"/>
              </w:rPr>
              <w:t xml:space="preserve"> a footnote in the consultation document that at the moment, only medical practitioners can prescribe </w:t>
            </w:r>
            <w:r w:rsidR="00CF79EE" w:rsidRPr="000E7FB8">
              <w:rPr>
                <w:sz w:val="22"/>
              </w:rPr>
              <w:t>un</w:t>
            </w:r>
            <w:r w:rsidR="00CF79EE">
              <w:rPr>
                <w:sz w:val="22"/>
              </w:rPr>
              <w:t>approved</w:t>
            </w:r>
            <w:r w:rsidR="00CF79EE" w:rsidRPr="000E7FB8">
              <w:rPr>
                <w:sz w:val="22"/>
              </w:rPr>
              <w:t xml:space="preserve"> </w:t>
            </w:r>
            <w:r w:rsidRPr="000E7FB8">
              <w:rPr>
                <w:sz w:val="22"/>
              </w:rPr>
              <w:t>medicines, although this may change in the future.</w:t>
            </w:r>
          </w:p>
        </w:tc>
      </w:tr>
      <w:tr w:rsidR="00B03C4A" w14:paraId="2653A118" w14:textId="77777777" w:rsidTr="00492753">
        <w:tc>
          <w:tcPr>
            <w:tcW w:w="669" w:type="dxa"/>
          </w:tcPr>
          <w:p w14:paraId="3D961AD2" w14:textId="77777777" w:rsidR="00B03C4A" w:rsidRPr="00600C5E" w:rsidRDefault="00600C5E" w:rsidP="00D0502C">
            <w:pPr>
              <w:tabs>
                <w:tab w:val="right" w:leader="underscore" w:pos="5670"/>
                <w:tab w:val="left" w:pos="6237"/>
              </w:tabs>
              <w:spacing w:before="60" w:after="60"/>
              <w:rPr>
                <w:rFonts w:cs="Arial"/>
                <w:b/>
                <w:sz w:val="22"/>
                <w:szCs w:val="22"/>
              </w:rPr>
            </w:pPr>
            <w:r>
              <w:rPr>
                <w:rFonts w:cs="Arial"/>
                <w:b/>
                <w:sz w:val="22"/>
                <w:szCs w:val="22"/>
              </w:rPr>
              <w:t>12</w:t>
            </w:r>
          </w:p>
        </w:tc>
        <w:tc>
          <w:tcPr>
            <w:tcW w:w="9208" w:type="dxa"/>
          </w:tcPr>
          <w:p w14:paraId="428FAFBF" w14:textId="77777777" w:rsidR="00B03C4A" w:rsidRDefault="00B03C4A" w:rsidP="00696EA9">
            <w:pPr>
              <w:tabs>
                <w:tab w:val="right" w:leader="underscore" w:pos="5670"/>
                <w:tab w:val="left" w:pos="6237"/>
              </w:tabs>
              <w:spacing w:before="60" w:after="60"/>
              <w:rPr>
                <w:rFonts w:cs="Arial"/>
                <w:b/>
                <w:sz w:val="22"/>
                <w:szCs w:val="22"/>
              </w:rPr>
            </w:pPr>
            <w:r w:rsidRPr="003F6346">
              <w:rPr>
                <w:rFonts w:cs="Arial"/>
                <w:b/>
                <w:sz w:val="22"/>
                <w:szCs w:val="22"/>
              </w:rPr>
              <w:t>Prescriber Information Needs</w:t>
            </w:r>
          </w:p>
          <w:p w14:paraId="1D561AD7" w14:textId="41A79596" w:rsidR="00DA773D" w:rsidRDefault="002B7743" w:rsidP="00696EA9">
            <w:pPr>
              <w:autoSpaceDE w:val="0"/>
              <w:autoSpaceDN w:val="0"/>
              <w:adjustRightInd w:val="0"/>
              <w:spacing w:before="60" w:after="120"/>
              <w:rPr>
                <w:rFonts w:cs="Helv"/>
                <w:color w:val="000000"/>
                <w:sz w:val="22"/>
                <w:szCs w:val="20"/>
              </w:rPr>
            </w:pPr>
            <w:r>
              <w:rPr>
                <w:rFonts w:cs="Helv"/>
                <w:color w:val="000000"/>
                <w:sz w:val="22"/>
                <w:szCs w:val="20"/>
              </w:rPr>
              <w:t>Member</w:t>
            </w:r>
            <w:r w:rsidR="00270D9C" w:rsidRPr="00270D9C">
              <w:rPr>
                <w:rFonts w:cs="Helv"/>
                <w:color w:val="000000"/>
                <w:sz w:val="22"/>
                <w:szCs w:val="20"/>
              </w:rPr>
              <w:t>s</w:t>
            </w:r>
            <w:r w:rsidR="00857A6C">
              <w:rPr>
                <w:rFonts w:cs="Helv"/>
                <w:color w:val="000000"/>
                <w:sz w:val="22"/>
                <w:szCs w:val="20"/>
              </w:rPr>
              <w:t xml:space="preserve"> discussed options to increase knowledge and awareness of medicinal cannabis products within</w:t>
            </w:r>
            <w:r>
              <w:rPr>
                <w:rFonts w:cs="Helv"/>
                <w:color w:val="000000"/>
                <w:sz w:val="22"/>
                <w:szCs w:val="20"/>
              </w:rPr>
              <w:t xml:space="preserve"> the health care sector. Member</w:t>
            </w:r>
            <w:r w:rsidR="00857A6C">
              <w:rPr>
                <w:rFonts w:cs="Helv"/>
                <w:color w:val="000000"/>
                <w:sz w:val="22"/>
                <w:szCs w:val="20"/>
              </w:rPr>
              <w:t>s</w:t>
            </w:r>
            <w:r w:rsidR="00270D9C" w:rsidRPr="00270D9C">
              <w:rPr>
                <w:rFonts w:cs="Helv"/>
                <w:color w:val="000000"/>
                <w:sz w:val="22"/>
                <w:szCs w:val="20"/>
              </w:rPr>
              <w:t xml:space="preserve"> acknowledged a need for prescriber education regarding medicinal cannabis products</w:t>
            </w:r>
            <w:r w:rsidR="00857A6C">
              <w:rPr>
                <w:rFonts w:cs="Helv"/>
                <w:color w:val="000000"/>
                <w:sz w:val="22"/>
                <w:szCs w:val="20"/>
              </w:rPr>
              <w:t xml:space="preserve"> with</w:t>
            </w:r>
            <w:r w:rsidR="00CF79EE">
              <w:rPr>
                <w:rFonts w:cs="Helv"/>
                <w:color w:val="000000"/>
                <w:sz w:val="22"/>
                <w:szCs w:val="20"/>
              </w:rPr>
              <w:t>in</w:t>
            </w:r>
            <w:r w:rsidR="00857A6C">
              <w:rPr>
                <w:rFonts w:cs="Helv"/>
                <w:color w:val="000000"/>
                <w:sz w:val="22"/>
                <w:szCs w:val="20"/>
              </w:rPr>
              <w:t xml:space="preserve"> a New Zealand context</w:t>
            </w:r>
            <w:r w:rsidR="00D877DD">
              <w:rPr>
                <w:rFonts w:cs="Helv"/>
                <w:color w:val="000000"/>
                <w:sz w:val="22"/>
                <w:szCs w:val="20"/>
              </w:rPr>
              <w:t>, including</w:t>
            </w:r>
            <w:r w:rsidR="00857A6C">
              <w:rPr>
                <w:rFonts w:cs="Helv"/>
                <w:color w:val="000000"/>
                <w:sz w:val="22"/>
                <w:szCs w:val="20"/>
              </w:rPr>
              <w:t xml:space="preserve"> in terms of </w:t>
            </w:r>
            <w:r w:rsidR="00CF79EE">
              <w:rPr>
                <w:rFonts w:cs="Helv"/>
                <w:color w:val="000000"/>
                <w:sz w:val="22"/>
                <w:szCs w:val="20"/>
              </w:rPr>
              <w:t xml:space="preserve">Treaty </w:t>
            </w:r>
            <w:r w:rsidR="00857A6C">
              <w:rPr>
                <w:rFonts w:cs="Helv"/>
                <w:color w:val="000000"/>
                <w:sz w:val="22"/>
                <w:szCs w:val="20"/>
              </w:rPr>
              <w:t>obligations</w:t>
            </w:r>
            <w:r w:rsidR="00270D9C" w:rsidRPr="00270D9C">
              <w:rPr>
                <w:rFonts w:cs="Helv"/>
                <w:color w:val="000000"/>
                <w:sz w:val="22"/>
                <w:szCs w:val="20"/>
              </w:rPr>
              <w:t>.</w:t>
            </w:r>
          </w:p>
          <w:p w14:paraId="36D2AAAE" w14:textId="2829B677" w:rsidR="00882AAE" w:rsidRDefault="00882AAE" w:rsidP="00696EA9">
            <w:pPr>
              <w:autoSpaceDE w:val="0"/>
              <w:autoSpaceDN w:val="0"/>
              <w:adjustRightInd w:val="0"/>
              <w:spacing w:before="60" w:after="60"/>
              <w:rPr>
                <w:rFonts w:cs="Helv"/>
                <w:color w:val="000000"/>
                <w:sz w:val="22"/>
                <w:szCs w:val="20"/>
              </w:rPr>
            </w:pPr>
            <w:r>
              <w:rPr>
                <w:rFonts w:cs="Helv"/>
                <w:color w:val="000000"/>
                <w:sz w:val="22"/>
                <w:szCs w:val="20"/>
              </w:rPr>
              <w:t xml:space="preserve">The question was raised as to whether </w:t>
            </w:r>
            <w:r w:rsidR="00CF79EE">
              <w:rPr>
                <w:rFonts w:cs="Helv"/>
                <w:color w:val="000000"/>
                <w:sz w:val="22"/>
                <w:szCs w:val="20"/>
              </w:rPr>
              <w:t xml:space="preserve">the field of </w:t>
            </w:r>
            <w:r>
              <w:rPr>
                <w:rFonts w:cs="Helv"/>
                <w:color w:val="000000"/>
                <w:sz w:val="22"/>
                <w:szCs w:val="20"/>
              </w:rPr>
              <w:t xml:space="preserve">cannabinoid medicine could become recognised as its own medical specialty, in order to </w:t>
            </w:r>
            <w:r w:rsidR="00CF79EE">
              <w:rPr>
                <w:rFonts w:cs="Helv"/>
                <w:color w:val="000000"/>
                <w:sz w:val="22"/>
                <w:szCs w:val="20"/>
              </w:rPr>
              <w:t xml:space="preserve">allow doctors </w:t>
            </w:r>
            <w:r>
              <w:rPr>
                <w:rFonts w:cs="Helv"/>
                <w:color w:val="000000"/>
                <w:sz w:val="22"/>
                <w:szCs w:val="20"/>
              </w:rPr>
              <w:t>with knowledge in this area</w:t>
            </w:r>
            <w:r w:rsidR="00CF79EE">
              <w:rPr>
                <w:rFonts w:cs="Helv"/>
                <w:color w:val="000000"/>
                <w:sz w:val="22"/>
                <w:szCs w:val="20"/>
              </w:rPr>
              <w:t xml:space="preserve"> to prescribe medicinal cannabis products</w:t>
            </w:r>
            <w:r>
              <w:rPr>
                <w:rFonts w:cs="Helv"/>
                <w:color w:val="000000"/>
                <w:sz w:val="22"/>
                <w:szCs w:val="20"/>
              </w:rPr>
              <w:t xml:space="preserve">. </w:t>
            </w:r>
            <w:r w:rsidR="00CF79EE">
              <w:rPr>
                <w:rFonts w:cs="Helv"/>
                <w:color w:val="000000"/>
                <w:sz w:val="22"/>
                <w:szCs w:val="20"/>
              </w:rPr>
              <w:t xml:space="preserve">It was </w:t>
            </w:r>
            <w:r>
              <w:rPr>
                <w:rFonts w:cs="Helv"/>
                <w:color w:val="000000"/>
                <w:sz w:val="22"/>
                <w:szCs w:val="20"/>
              </w:rPr>
              <w:t>noted that a medical sub-specialty typically emerges over time, initiated by an association of doctors</w:t>
            </w:r>
            <w:r w:rsidR="006A4B07">
              <w:rPr>
                <w:rFonts w:cs="Helv"/>
                <w:color w:val="000000"/>
                <w:sz w:val="22"/>
                <w:szCs w:val="20"/>
              </w:rPr>
              <w:t>.</w:t>
            </w:r>
          </w:p>
          <w:p w14:paraId="21421ECC" w14:textId="77777777" w:rsidR="0020178D" w:rsidRDefault="0020178D" w:rsidP="00696EA9">
            <w:pPr>
              <w:autoSpaceDE w:val="0"/>
              <w:autoSpaceDN w:val="0"/>
              <w:adjustRightInd w:val="0"/>
              <w:spacing w:before="60" w:after="60"/>
              <w:rPr>
                <w:rFonts w:cs="Helv"/>
                <w:color w:val="000000"/>
                <w:sz w:val="22"/>
                <w:szCs w:val="20"/>
              </w:rPr>
            </w:pPr>
          </w:p>
          <w:p w14:paraId="0B506587" w14:textId="2F87A70F" w:rsidR="00043D65" w:rsidRPr="00F27F76" w:rsidRDefault="000E7FB8" w:rsidP="00696EA9">
            <w:pPr>
              <w:spacing w:before="60" w:after="60"/>
              <w:rPr>
                <w:sz w:val="22"/>
              </w:rPr>
            </w:pPr>
            <w:r w:rsidRPr="000E7FB8">
              <w:rPr>
                <w:b/>
                <w:sz w:val="22"/>
              </w:rPr>
              <w:t xml:space="preserve">Action: </w:t>
            </w:r>
            <w:r w:rsidRPr="000E7FB8">
              <w:rPr>
                <w:sz w:val="22"/>
              </w:rPr>
              <w:t>Secretariat to advise group on prescriber education options within New Zealand, how information can be disseminated, and increasing avenues for education (how to make it as widely available as possible).</w:t>
            </w:r>
          </w:p>
        </w:tc>
      </w:tr>
      <w:tr w:rsidR="00B03C4A" w14:paraId="56FF0FE2" w14:textId="77777777" w:rsidTr="00492753">
        <w:tc>
          <w:tcPr>
            <w:tcW w:w="669" w:type="dxa"/>
          </w:tcPr>
          <w:p w14:paraId="7157E045" w14:textId="77777777" w:rsidR="00B03C4A" w:rsidRPr="00600C5E" w:rsidRDefault="00600C5E" w:rsidP="00D0502C">
            <w:pPr>
              <w:tabs>
                <w:tab w:val="right" w:leader="underscore" w:pos="5670"/>
                <w:tab w:val="left" w:pos="6237"/>
              </w:tabs>
              <w:spacing w:before="60" w:after="60"/>
              <w:rPr>
                <w:rFonts w:cs="Arial"/>
                <w:b/>
                <w:sz w:val="22"/>
                <w:szCs w:val="22"/>
              </w:rPr>
            </w:pPr>
            <w:r>
              <w:rPr>
                <w:rFonts w:cs="Arial"/>
                <w:b/>
                <w:sz w:val="22"/>
                <w:szCs w:val="22"/>
              </w:rPr>
              <w:t>13</w:t>
            </w:r>
          </w:p>
        </w:tc>
        <w:tc>
          <w:tcPr>
            <w:tcW w:w="9208" w:type="dxa"/>
          </w:tcPr>
          <w:p w14:paraId="5343AD01" w14:textId="77777777" w:rsidR="00B03C4A" w:rsidRPr="00393B3D" w:rsidRDefault="00B03C4A" w:rsidP="00696EA9">
            <w:pPr>
              <w:tabs>
                <w:tab w:val="right" w:leader="underscore" w:pos="5670"/>
                <w:tab w:val="left" w:pos="6237"/>
              </w:tabs>
              <w:spacing w:before="60" w:after="60"/>
              <w:rPr>
                <w:rFonts w:cs="Arial"/>
                <w:b/>
                <w:sz w:val="22"/>
                <w:szCs w:val="22"/>
              </w:rPr>
            </w:pPr>
            <w:r w:rsidRPr="00393B3D">
              <w:rPr>
                <w:rFonts w:cs="Arial"/>
                <w:b/>
                <w:sz w:val="22"/>
                <w:szCs w:val="22"/>
              </w:rPr>
              <w:t>Fees and Charges</w:t>
            </w:r>
          </w:p>
          <w:p w14:paraId="1C30E3BA" w14:textId="51AE81AD" w:rsidR="004F677E" w:rsidRDefault="00393B3D" w:rsidP="00696EA9">
            <w:pPr>
              <w:spacing w:before="60" w:after="180"/>
              <w:rPr>
                <w:sz w:val="22"/>
              </w:rPr>
            </w:pPr>
            <w:r w:rsidRPr="00393B3D">
              <w:rPr>
                <w:rFonts w:cs="Arial Mäori"/>
                <w:color w:val="000000"/>
                <w:sz w:val="22"/>
                <w:szCs w:val="22"/>
              </w:rPr>
              <w:t xml:space="preserve">The Advisory Group </w:t>
            </w:r>
            <w:r w:rsidR="00EC0E2A">
              <w:rPr>
                <w:rFonts w:cs="Arial Mäori"/>
                <w:color w:val="000000"/>
                <w:sz w:val="22"/>
                <w:szCs w:val="22"/>
              </w:rPr>
              <w:t xml:space="preserve">raised </w:t>
            </w:r>
            <w:r w:rsidR="00CF79EE">
              <w:rPr>
                <w:rFonts w:cs="Arial Mäori"/>
                <w:color w:val="000000"/>
                <w:sz w:val="22"/>
                <w:szCs w:val="22"/>
              </w:rPr>
              <w:t>a</w:t>
            </w:r>
            <w:r w:rsidR="00CF79EE" w:rsidRPr="00393B3D">
              <w:rPr>
                <w:rFonts w:cs="Arial Mäori"/>
                <w:color w:val="000000"/>
                <w:sz w:val="22"/>
                <w:szCs w:val="22"/>
              </w:rPr>
              <w:t xml:space="preserve"> </w:t>
            </w:r>
            <w:r w:rsidR="004C556F" w:rsidRPr="00393B3D">
              <w:rPr>
                <w:rFonts w:cs="Arial Mäori"/>
                <w:color w:val="000000"/>
                <w:sz w:val="22"/>
                <w:szCs w:val="22"/>
              </w:rPr>
              <w:t>concern that the groups who currently experience the worst health outcomes (M</w:t>
            </w:r>
            <w:r w:rsidR="0058702A" w:rsidRPr="00907412">
              <w:rPr>
                <w:rFonts w:cs="Arial"/>
                <w:sz w:val="22"/>
                <w:szCs w:val="22"/>
              </w:rPr>
              <w:t>ā</w:t>
            </w:r>
            <w:r w:rsidR="00DA773D">
              <w:rPr>
                <w:rFonts w:cs="Arial Mäori"/>
                <w:color w:val="000000"/>
                <w:sz w:val="22"/>
                <w:szCs w:val="22"/>
              </w:rPr>
              <w:t>ori, Pacific peoples</w:t>
            </w:r>
            <w:r w:rsidR="004C556F" w:rsidRPr="00393B3D">
              <w:rPr>
                <w:rFonts w:cs="Arial Mäori"/>
                <w:color w:val="000000"/>
                <w:sz w:val="22"/>
                <w:szCs w:val="22"/>
              </w:rPr>
              <w:t xml:space="preserve">, the poor and children) </w:t>
            </w:r>
            <w:r w:rsidR="00807E3F">
              <w:rPr>
                <w:rFonts w:cs="Arial Mäori"/>
                <w:color w:val="000000"/>
                <w:sz w:val="22"/>
                <w:szCs w:val="22"/>
              </w:rPr>
              <w:t>may not</w:t>
            </w:r>
            <w:r w:rsidR="004C556F" w:rsidRPr="00393B3D">
              <w:rPr>
                <w:rFonts w:cs="Arial Mäori"/>
                <w:color w:val="000000"/>
                <w:sz w:val="22"/>
                <w:szCs w:val="22"/>
              </w:rPr>
              <w:t xml:space="preserve"> benefit from the establishment </w:t>
            </w:r>
            <w:r w:rsidR="007C4CD2">
              <w:rPr>
                <w:rFonts w:cs="Arial Mäori"/>
                <w:color w:val="000000"/>
                <w:sz w:val="22"/>
                <w:szCs w:val="22"/>
              </w:rPr>
              <w:t>of the Medicinal Cannabis Scheme</w:t>
            </w:r>
            <w:r w:rsidR="004C556F" w:rsidRPr="00393B3D">
              <w:rPr>
                <w:rFonts w:cs="Arial Mäori"/>
                <w:color w:val="000000"/>
                <w:sz w:val="22"/>
                <w:szCs w:val="22"/>
              </w:rPr>
              <w:t xml:space="preserve">. </w:t>
            </w:r>
          </w:p>
          <w:p w14:paraId="4215F3E6" w14:textId="2EB1B48C" w:rsidR="004F677E" w:rsidRDefault="004F677E" w:rsidP="00696EA9">
            <w:pPr>
              <w:spacing w:before="60" w:after="180"/>
              <w:rPr>
                <w:rFonts w:cs="Arial Mäori"/>
                <w:color w:val="000000"/>
                <w:sz w:val="22"/>
                <w:szCs w:val="22"/>
              </w:rPr>
            </w:pPr>
            <w:r>
              <w:rPr>
                <w:sz w:val="22"/>
              </w:rPr>
              <w:t>The issue of the price of medicinal cannabis products was raised as there is already marked variability in mark-ups by pharmacies of unfunded and over-the-counter medicines, which increases costs to patients</w:t>
            </w:r>
            <w:r w:rsidRPr="00270D9C">
              <w:rPr>
                <w:sz w:val="22"/>
              </w:rPr>
              <w:t>.</w:t>
            </w:r>
            <w:r>
              <w:rPr>
                <w:sz w:val="22"/>
              </w:rPr>
              <w:t xml:space="preserve"> A discussion occurred around funding options which should be included in a paper to go to the Minister of Health.</w:t>
            </w:r>
          </w:p>
          <w:p w14:paraId="0D3EA46F" w14:textId="17A96BD0" w:rsidR="00F05778" w:rsidRDefault="00316517" w:rsidP="00696EA9">
            <w:pPr>
              <w:spacing w:before="60" w:after="180"/>
              <w:rPr>
                <w:sz w:val="22"/>
                <w:szCs w:val="22"/>
              </w:rPr>
            </w:pPr>
            <w:r w:rsidRPr="00316517">
              <w:rPr>
                <w:sz w:val="22"/>
                <w:szCs w:val="22"/>
              </w:rPr>
              <w:t>The goal of minimising patient</w:t>
            </w:r>
            <w:r>
              <w:rPr>
                <w:sz w:val="22"/>
                <w:szCs w:val="22"/>
              </w:rPr>
              <w:t>’</w:t>
            </w:r>
            <w:r w:rsidRPr="00316517">
              <w:rPr>
                <w:sz w:val="22"/>
                <w:szCs w:val="22"/>
              </w:rPr>
              <w:t xml:space="preserve">s reliance on the illicit market was agreed to as a goal of the scheme in order to maximise positive health outcomes. It was noted that this will require balancing product affordability with quality. </w:t>
            </w:r>
            <w:r>
              <w:rPr>
                <w:sz w:val="22"/>
                <w:szCs w:val="22"/>
              </w:rPr>
              <w:t>A question was raised</w:t>
            </w:r>
            <w:r w:rsidRPr="00316517">
              <w:rPr>
                <w:sz w:val="22"/>
                <w:szCs w:val="22"/>
              </w:rPr>
              <w:t xml:space="preserve"> whether some </w:t>
            </w:r>
            <w:r w:rsidR="00CF79EE" w:rsidRPr="00316517">
              <w:rPr>
                <w:sz w:val="22"/>
                <w:szCs w:val="22"/>
              </w:rPr>
              <w:t>alternat</w:t>
            </w:r>
            <w:r w:rsidR="00CF79EE">
              <w:rPr>
                <w:sz w:val="22"/>
                <w:szCs w:val="22"/>
              </w:rPr>
              <w:t>ive</w:t>
            </w:r>
            <w:r w:rsidR="00CF79EE" w:rsidRPr="00316517">
              <w:rPr>
                <w:sz w:val="22"/>
                <w:szCs w:val="22"/>
              </w:rPr>
              <w:t xml:space="preserve"> </w:t>
            </w:r>
            <w:r w:rsidRPr="00316517">
              <w:rPr>
                <w:sz w:val="22"/>
                <w:szCs w:val="22"/>
              </w:rPr>
              <w:t xml:space="preserve">funding pathway (outside of </w:t>
            </w:r>
            <w:r w:rsidR="00A1094D">
              <w:rPr>
                <w:sz w:val="22"/>
                <w:szCs w:val="22"/>
              </w:rPr>
              <w:t>PHARMAC</w:t>
            </w:r>
            <w:r w:rsidRPr="00316517">
              <w:rPr>
                <w:sz w:val="22"/>
                <w:szCs w:val="22"/>
              </w:rPr>
              <w:t xml:space="preserve">) could </w:t>
            </w:r>
            <w:r>
              <w:rPr>
                <w:sz w:val="22"/>
                <w:szCs w:val="22"/>
              </w:rPr>
              <w:t xml:space="preserve">be implemented to </w:t>
            </w:r>
            <w:r w:rsidRPr="00316517">
              <w:rPr>
                <w:sz w:val="22"/>
                <w:szCs w:val="22"/>
              </w:rPr>
              <w:t xml:space="preserve">reduce the cost of </w:t>
            </w:r>
            <w:r w:rsidR="00D50E98">
              <w:rPr>
                <w:sz w:val="22"/>
                <w:szCs w:val="22"/>
              </w:rPr>
              <w:t>medicinal cannabis</w:t>
            </w:r>
            <w:r w:rsidR="00CF79EE">
              <w:rPr>
                <w:sz w:val="22"/>
                <w:szCs w:val="22"/>
              </w:rPr>
              <w:t xml:space="preserve"> products</w:t>
            </w:r>
            <w:r w:rsidR="00D50E98">
              <w:rPr>
                <w:sz w:val="22"/>
                <w:szCs w:val="22"/>
              </w:rPr>
              <w:t>.</w:t>
            </w:r>
          </w:p>
          <w:p w14:paraId="3F0F526B" w14:textId="77777777" w:rsidR="0020178D" w:rsidRDefault="0020178D" w:rsidP="00696EA9">
            <w:pPr>
              <w:spacing w:before="60" w:after="60"/>
              <w:rPr>
                <w:sz w:val="22"/>
                <w:szCs w:val="22"/>
              </w:rPr>
            </w:pPr>
          </w:p>
          <w:p w14:paraId="40429FF3" w14:textId="0220A6FF" w:rsidR="00043D65" w:rsidRPr="00A146FD" w:rsidRDefault="00393B3D" w:rsidP="00696EA9">
            <w:pPr>
              <w:spacing w:before="60" w:after="60"/>
              <w:rPr>
                <w:rFonts w:cs="Arial Mäori"/>
                <w:color w:val="000000"/>
                <w:sz w:val="22"/>
                <w:szCs w:val="22"/>
              </w:rPr>
            </w:pPr>
            <w:r w:rsidRPr="00393B3D">
              <w:rPr>
                <w:rFonts w:cs="Arial Mäori"/>
                <w:b/>
                <w:color w:val="000000"/>
                <w:sz w:val="22"/>
                <w:szCs w:val="22"/>
              </w:rPr>
              <w:t>Action:</w:t>
            </w:r>
            <w:r w:rsidR="00807E3F">
              <w:rPr>
                <w:rFonts w:cs="Arial Mäori"/>
                <w:b/>
                <w:color w:val="000000"/>
                <w:sz w:val="22"/>
                <w:szCs w:val="22"/>
              </w:rPr>
              <w:t xml:space="preserve"> </w:t>
            </w:r>
            <w:r w:rsidR="00807E3F" w:rsidRPr="00807E3F">
              <w:rPr>
                <w:rFonts w:cs="Arial Mäori"/>
                <w:color w:val="000000"/>
                <w:sz w:val="22"/>
                <w:szCs w:val="22"/>
              </w:rPr>
              <w:t xml:space="preserve">Secretariat </w:t>
            </w:r>
            <w:r w:rsidR="00C90E32">
              <w:rPr>
                <w:rFonts w:cs="Arial Mäori"/>
                <w:color w:val="000000"/>
                <w:sz w:val="22"/>
                <w:szCs w:val="22"/>
              </w:rPr>
              <w:t xml:space="preserve">to </w:t>
            </w:r>
            <w:r w:rsidR="009B626D">
              <w:rPr>
                <w:rFonts w:cs="Arial Mäori"/>
                <w:color w:val="000000"/>
                <w:sz w:val="22"/>
                <w:szCs w:val="22"/>
              </w:rPr>
              <w:t xml:space="preserve">amend document to </w:t>
            </w:r>
            <w:r w:rsidR="00C90E32">
              <w:rPr>
                <w:rFonts w:cs="Arial Mäori"/>
                <w:color w:val="000000"/>
                <w:sz w:val="22"/>
                <w:szCs w:val="22"/>
              </w:rPr>
              <w:t>acknowledge</w:t>
            </w:r>
            <w:r w:rsidRPr="00393B3D">
              <w:rPr>
                <w:rFonts w:cs="Arial Mäori"/>
                <w:color w:val="000000"/>
                <w:sz w:val="22"/>
                <w:szCs w:val="22"/>
              </w:rPr>
              <w:t xml:space="preserve"> the need for equity of access and </w:t>
            </w:r>
            <w:r w:rsidR="009B626D">
              <w:rPr>
                <w:rFonts w:cs="Arial Mäori"/>
                <w:color w:val="000000"/>
                <w:sz w:val="22"/>
                <w:szCs w:val="22"/>
              </w:rPr>
              <w:t xml:space="preserve">seek </w:t>
            </w:r>
            <w:r w:rsidR="00CF79EE">
              <w:rPr>
                <w:rFonts w:cs="Arial Mäori"/>
                <w:color w:val="000000"/>
                <w:sz w:val="22"/>
                <w:szCs w:val="22"/>
              </w:rPr>
              <w:t xml:space="preserve">consultation feedback </w:t>
            </w:r>
            <w:r w:rsidR="009B626D">
              <w:rPr>
                <w:rFonts w:cs="Arial Mäori"/>
                <w:color w:val="000000"/>
                <w:sz w:val="22"/>
                <w:szCs w:val="22"/>
              </w:rPr>
              <w:t xml:space="preserve">on barriers </w:t>
            </w:r>
            <w:r w:rsidR="00C90E32">
              <w:rPr>
                <w:rFonts w:cs="Arial Mäori"/>
                <w:color w:val="000000"/>
                <w:sz w:val="22"/>
                <w:szCs w:val="22"/>
              </w:rPr>
              <w:t xml:space="preserve">to </w:t>
            </w:r>
            <w:r w:rsidRPr="00393B3D">
              <w:rPr>
                <w:rFonts w:cs="Arial Mäori"/>
                <w:color w:val="000000"/>
                <w:sz w:val="22"/>
                <w:szCs w:val="22"/>
              </w:rPr>
              <w:t>access.</w:t>
            </w:r>
          </w:p>
        </w:tc>
      </w:tr>
      <w:tr w:rsidR="00AC2E98" w14:paraId="0E5276EA" w14:textId="77777777" w:rsidTr="00492753">
        <w:tc>
          <w:tcPr>
            <w:tcW w:w="669" w:type="dxa"/>
          </w:tcPr>
          <w:p w14:paraId="12112C71" w14:textId="77777777" w:rsidR="00AC2E98" w:rsidRPr="00D36D60" w:rsidRDefault="00AC2E98" w:rsidP="00696EA9">
            <w:pPr>
              <w:pStyle w:val="ListParagraph"/>
              <w:tabs>
                <w:tab w:val="right" w:leader="underscore" w:pos="5670"/>
                <w:tab w:val="left" w:pos="6237"/>
              </w:tabs>
              <w:spacing w:before="60" w:after="60"/>
              <w:ind w:left="360"/>
              <w:contextualSpacing w:val="0"/>
              <w:jc w:val="center"/>
              <w:rPr>
                <w:rFonts w:cs="Arial"/>
                <w:sz w:val="22"/>
                <w:szCs w:val="22"/>
              </w:rPr>
            </w:pPr>
          </w:p>
        </w:tc>
        <w:tc>
          <w:tcPr>
            <w:tcW w:w="9208" w:type="dxa"/>
          </w:tcPr>
          <w:p w14:paraId="37E2AEA3" w14:textId="77777777" w:rsidR="00AC2E98" w:rsidRPr="003F6346" w:rsidRDefault="00EA466B" w:rsidP="00696EA9">
            <w:pPr>
              <w:tabs>
                <w:tab w:val="right" w:leader="underscore" w:pos="5670"/>
                <w:tab w:val="left" w:pos="6237"/>
              </w:tabs>
              <w:spacing w:before="60" w:after="60"/>
              <w:rPr>
                <w:rFonts w:cs="Arial"/>
                <w:b/>
                <w:sz w:val="22"/>
                <w:szCs w:val="22"/>
              </w:rPr>
            </w:pPr>
            <w:r>
              <w:rPr>
                <w:rFonts w:cs="Arial"/>
                <w:b/>
                <w:sz w:val="22"/>
                <w:szCs w:val="22"/>
              </w:rPr>
              <w:t>Break for Afternoon Tea 3.00pm–3.</w:t>
            </w:r>
            <w:r w:rsidR="00AC2E98">
              <w:rPr>
                <w:rFonts w:cs="Arial"/>
                <w:b/>
                <w:sz w:val="22"/>
                <w:szCs w:val="22"/>
              </w:rPr>
              <w:t>15pm</w:t>
            </w:r>
          </w:p>
        </w:tc>
      </w:tr>
      <w:tr w:rsidR="00B03C4A" w14:paraId="5B380CDE" w14:textId="77777777" w:rsidTr="00492753">
        <w:tc>
          <w:tcPr>
            <w:tcW w:w="669" w:type="dxa"/>
          </w:tcPr>
          <w:p w14:paraId="0CA89E5E" w14:textId="77777777" w:rsidR="00B03C4A" w:rsidRPr="00600C5E" w:rsidRDefault="00600C5E" w:rsidP="00D0502C">
            <w:pPr>
              <w:tabs>
                <w:tab w:val="right" w:leader="underscore" w:pos="5670"/>
                <w:tab w:val="left" w:pos="6237"/>
              </w:tabs>
              <w:spacing w:before="60" w:after="60"/>
              <w:rPr>
                <w:rFonts w:cs="Arial"/>
                <w:b/>
                <w:sz w:val="22"/>
                <w:szCs w:val="22"/>
              </w:rPr>
            </w:pPr>
            <w:r>
              <w:rPr>
                <w:rFonts w:cs="Arial"/>
                <w:b/>
                <w:sz w:val="22"/>
                <w:szCs w:val="22"/>
              </w:rPr>
              <w:t>14</w:t>
            </w:r>
          </w:p>
        </w:tc>
        <w:tc>
          <w:tcPr>
            <w:tcW w:w="9208" w:type="dxa"/>
          </w:tcPr>
          <w:p w14:paraId="3BD027D5" w14:textId="77777777" w:rsidR="00B03C4A" w:rsidRPr="003F6346" w:rsidRDefault="00B03C4A" w:rsidP="00696EA9">
            <w:pPr>
              <w:tabs>
                <w:tab w:val="right" w:leader="underscore" w:pos="5670"/>
                <w:tab w:val="left" w:pos="6237"/>
              </w:tabs>
              <w:spacing w:before="60" w:after="60"/>
              <w:rPr>
                <w:rFonts w:cs="Arial"/>
                <w:b/>
                <w:sz w:val="22"/>
                <w:szCs w:val="22"/>
              </w:rPr>
            </w:pPr>
            <w:r w:rsidRPr="003F6346">
              <w:rPr>
                <w:rFonts w:cs="Arial"/>
                <w:b/>
                <w:sz w:val="22"/>
                <w:szCs w:val="22"/>
              </w:rPr>
              <w:t>Future Meetings</w:t>
            </w:r>
          </w:p>
          <w:p w14:paraId="3B94EC3F" w14:textId="51805CF5" w:rsidR="00B03C4A" w:rsidRPr="00AC2E98" w:rsidRDefault="00B03C4A" w:rsidP="00A146FD">
            <w:pPr>
              <w:tabs>
                <w:tab w:val="right" w:leader="underscore" w:pos="5670"/>
                <w:tab w:val="left" w:pos="6237"/>
              </w:tabs>
              <w:spacing w:before="60" w:after="60"/>
              <w:rPr>
                <w:rFonts w:cs="Arial"/>
                <w:sz w:val="22"/>
                <w:szCs w:val="22"/>
              </w:rPr>
            </w:pPr>
            <w:r w:rsidRPr="00AC2E98">
              <w:rPr>
                <w:rFonts w:cs="Arial"/>
                <w:sz w:val="22"/>
                <w:szCs w:val="22"/>
              </w:rPr>
              <w:t>The next meeting will be a teleconference held during the week beginning 13 May 2019. Time and exact dat</w:t>
            </w:r>
            <w:r w:rsidR="000A0B2C">
              <w:rPr>
                <w:rFonts w:cs="Arial"/>
                <w:sz w:val="22"/>
                <w:szCs w:val="22"/>
              </w:rPr>
              <w:t>e</w:t>
            </w:r>
            <w:r w:rsidRPr="00AC2E98">
              <w:rPr>
                <w:rFonts w:cs="Arial"/>
                <w:sz w:val="22"/>
                <w:szCs w:val="22"/>
              </w:rPr>
              <w:t xml:space="preserve"> TBC.</w:t>
            </w:r>
          </w:p>
        </w:tc>
      </w:tr>
      <w:tr w:rsidR="00B03C4A" w14:paraId="35465DDC" w14:textId="77777777" w:rsidTr="00492753">
        <w:tc>
          <w:tcPr>
            <w:tcW w:w="669" w:type="dxa"/>
          </w:tcPr>
          <w:p w14:paraId="105294A4" w14:textId="77777777" w:rsidR="00B03C4A" w:rsidRPr="00600C5E" w:rsidRDefault="00600C5E" w:rsidP="00D0502C">
            <w:pPr>
              <w:tabs>
                <w:tab w:val="right" w:leader="underscore" w:pos="5670"/>
                <w:tab w:val="left" w:pos="6237"/>
              </w:tabs>
              <w:spacing w:before="60" w:after="60"/>
              <w:rPr>
                <w:rFonts w:cs="Arial"/>
                <w:b/>
                <w:sz w:val="22"/>
                <w:szCs w:val="22"/>
              </w:rPr>
            </w:pPr>
            <w:r>
              <w:rPr>
                <w:rFonts w:cs="Arial"/>
                <w:b/>
                <w:sz w:val="22"/>
                <w:szCs w:val="22"/>
              </w:rPr>
              <w:t>15</w:t>
            </w:r>
          </w:p>
        </w:tc>
        <w:tc>
          <w:tcPr>
            <w:tcW w:w="9208" w:type="dxa"/>
          </w:tcPr>
          <w:p w14:paraId="4B1D11F2" w14:textId="77777777" w:rsidR="00B03C4A" w:rsidRPr="003F6346" w:rsidRDefault="00B03C4A" w:rsidP="00696EA9">
            <w:pPr>
              <w:tabs>
                <w:tab w:val="right" w:leader="underscore" w:pos="5670"/>
                <w:tab w:val="left" w:pos="6237"/>
              </w:tabs>
              <w:spacing w:before="60" w:after="60"/>
              <w:rPr>
                <w:rFonts w:cs="Arial"/>
                <w:b/>
                <w:sz w:val="22"/>
                <w:szCs w:val="22"/>
              </w:rPr>
            </w:pPr>
            <w:r w:rsidRPr="003F6346">
              <w:rPr>
                <w:rFonts w:cs="Arial"/>
                <w:b/>
                <w:sz w:val="22"/>
                <w:szCs w:val="22"/>
              </w:rPr>
              <w:t xml:space="preserve">Karakia whakamutanga </w:t>
            </w:r>
          </w:p>
        </w:tc>
      </w:tr>
    </w:tbl>
    <w:p w14:paraId="678B9ECE" w14:textId="68403525" w:rsidR="00746AF3" w:rsidRDefault="00786A68" w:rsidP="00696EA9">
      <w:r>
        <w:softHyphen/>
      </w:r>
      <w:r>
        <w:softHyphen/>
      </w:r>
      <w:r>
        <w:softHyphen/>
      </w:r>
      <w:r>
        <w:softHyphen/>
      </w:r>
      <w:r>
        <w:softHyphen/>
      </w:r>
      <w:r>
        <w:softHyphen/>
      </w:r>
    </w:p>
    <w:p w14:paraId="72583586" w14:textId="29E9142F" w:rsidR="00600C5E" w:rsidRPr="007C4CD2" w:rsidRDefault="00EA466B" w:rsidP="00696EA9">
      <w:pPr>
        <w:rPr>
          <w:sz w:val="22"/>
        </w:rPr>
      </w:pPr>
      <w:r>
        <w:rPr>
          <w:sz w:val="22"/>
        </w:rPr>
        <w:t>The meeting closed at 4.</w:t>
      </w:r>
      <w:r w:rsidR="00B03C4A" w:rsidRPr="007C4CD2">
        <w:rPr>
          <w:sz w:val="22"/>
        </w:rPr>
        <w:t>00pm</w:t>
      </w:r>
      <w:bookmarkStart w:id="0" w:name="_GoBack"/>
      <w:bookmarkEnd w:id="0"/>
    </w:p>
    <w:p w14:paraId="3D0A5D13" w14:textId="77777777" w:rsidR="00600C5E" w:rsidRDefault="00600C5E" w:rsidP="00696EA9"/>
    <w:p w14:paraId="51A1846F" w14:textId="77777777" w:rsidR="00B03C4A" w:rsidRDefault="00B03C4A" w:rsidP="00696EA9"/>
    <w:sectPr w:rsidR="00B03C4A" w:rsidSect="00490F45">
      <w:pgSz w:w="11907" w:h="16840" w:code="9"/>
      <w:pgMar w:top="567" w:right="992" w:bottom="992" w:left="992" w:header="567" w:footer="567" w:gutter="0"/>
      <w:paperSrc w:first="15"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panose1 w:val="00000000000000000000"/>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2809FCA"/>
    <w:lvl w:ilvl="0">
      <w:numFmt w:val="bullet"/>
      <w:lvlText w:val="*"/>
      <w:lvlJc w:val="left"/>
    </w:lvl>
  </w:abstractNum>
  <w:abstractNum w:abstractNumId="1" w15:restartNumberingAfterBreak="0">
    <w:nsid w:val="188D08A3"/>
    <w:multiLevelType w:val="hybridMultilevel"/>
    <w:tmpl w:val="108414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F2C15F7"/>
    <w:multiLevelType w:val="hybridMultilevel"/>
    <w:tmpl w:val="A7202AE2"/>
    <w:lvl w:ilvl="0" w:tplc="90A23482">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CA622A9"/>
    <w:multiLevelType w:val="hybridMultilevel"/>
    <w:tmpl w:val="B71076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28B48B7"/>
    <w:multiLevelType w:val="hybridMultilevel"/>
    <w:tmpl w:val="914EC0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61C006C"/>
    <w:multiLevelType w:val="hybridMultilevel"/>
    <w:tmpl w:val="F0B04E8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4A3B6FFF"/>
    <w:multiLevelType w:val="hybridMultilevel"/>
    <w:tmpl w:val="1748974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50145BEB"/>
    <w:multiLevelType w:val="hybridMultilevel"/>
    <w:tmpl w:val="01F4540A"/>
    <w:lvl w:ilvl="0" w:tplc="94BA404E">
      <w:start w:val="1"/>
      <w:numFmt w:val="bullet"/>
      <w:lvlText w:val="•"/>
      <w:lvlJc w:val="left"/>
      <w:pPr>
        <w:tabs>
          <w:tab w:val="num" w:pos="720"/>
        </w:tabs>
        <w:ind w:left="720" w:hanging="360"/>
      </w:pPr>
      <w:rPr>
        <w:rFonts w:ascii="Arial" w:hAnsi="Arial" w:hint="default"/>
      </w:rPr>
    </w:lvl>
    <w:lvl w:ilvl="1" w:tplc="5AB8C5A2">
      <w:start w:val="53"/>
      <w:numFmt w:val="bullet"/>
      <w:lvlText w:val="•"/>
      <w:lvlJc w:val="left"/>
      <w:pPr>
        <w:tabs>
          <w:tab w:val="num" w:pos="1440"/>
        </w:tabs>
        <w:ind w:left="1440" w:hanging="360"/>
      </w:pPr>
      <w:rPr>
        <w:rFonts w:ascii="Arial" w:hAnsi="Arial" w:hint="default"/>
      </w:rPr>
    </w:lvl>
    <w:lvl w:ilvl="2" w:tplc="569AD1F2" w:tentative="1">
      <w:start w:val="1"/>
      <w:numFmt w:val="bullet"/>
      <w:lvlText w:val="•"/>
      <w:lvlJc w:val="left"/>
      <w:pPr>
        <w:tabs>
          <w:tab w:val="num" w:pos="2160"/>
        </w:tabs>
        <w:ind w:left="2160" w:hanging="360"/>
      </w:pPr>
      <w:rPr>
        <w:rFonts w:ascii="Arial" w:hAnsi="Arial" w:hint="default"/>
      </w:rPr>
    </w:lvl>
    <w:lvl w:ilvl="3" w:tplc="B72ED888" w:tentative="1">
      <w:start w:val="1"/>
      <w:numFmt w:val="bullet"/>
      <w:lvlText w:val="•"/>
      <w:lvlJc w:val="left"/>
      <w:pPr>
        <w:tabs>
          <w:tab w:val="num" w:pos="2880"/>
        </w:tabs>
        <w:ind w:left="2880" w:hanging="360"/>
      </w:pPr>
      <w:rPr>
        <w:rFonts w:ascii="Arial" w:hAnsi="Arial" w:hint="default"/>
      </w:rPr>
    </w:lvl>
    <w:lvl w:ilvl="4" w:tplc="86560F70" w:tentative="1">
      <w:start w:val="1"/>
      <w:numFmt w:val="bullet"/>
      <w:lvlText w:val="•"/>
      <w:lvlJc w:val="left"/>
      <w:pPr>
        <w:tabs>
          <w:tab w:val="num" w:pos="3600"/>
        </w:tabs>
        <w:ind w:left="3600" w:hanging="360"/>
      </w:pPr>
      <w:rPr>
        <w:rFonts w:ascii="Arial" w:hAnsi="Arial" w:hint="default"/>
      </w:rPr>
    </w:lvl>
    <w:lvl w:ilvl="5" w:tplc="83445C8A" w:tentative="1">
      <w:start w:val="1"/>
      <w:numFmt w:val="bullet"/>
      <w:lvlText w:val="•"/>
      <w:lvlJc w:val="left"/>
      <w:pPr>
        <w:tabs>
          <w:tab w:val="num" w:pos="4320"/>
        </w:tabs>
        <w:ind w:left="4320" w:hanging="360"/>
      </w:pPr>
      <w:rPr>
        <w:rFonts w:ascii="Arial" w:hAnsi="Arial" w:hint="default"/>
      </w:rPr>
    </w:lvl>
    <w:lvl w:ilvl="6" w:tplc="7AD4725C" w:tentative="1">
      <w:start w:val="1"/>
      <w:numFmt w:val="bullet"/>
      <w:lvlText w:val="•"/>
      <w:lvlJc w:val="left"/>
      <w:pPr>
        <w:tabs>
          <w:tab w:val="num" w:pos="5040"/>
        </w:tabs>
        <w:ind w:left="5040" w:hanging="360"/>
      </w:pPr>
      <w:rPr>
        <w:rFonts w:ascii="Arial" w:hAnsi="Arial" w:hint="default"/>
      </w:rPr>
    </w:lvl>
    <w:lvl w:ilvl="7" w:tplc="91B08748" w:tentative="1">
      <w:start w:val="1"/>
      <w:numFmt w:val="bullet"/>
      <w:lvlText w:val="•"/>
      <w:lvlJc w:val="left"/>
      <w:pPr>
        <w:tabs>
          <w:tab w:val="num" w:pos="5760"/>
        </w:tabs>
        <w:ind w:left="5760" w:hanging="360"/>
      </w:pPr>
      <w:rPr>
        <w:rFonts w:ascii="Arial" w:hAnsi="Arial" w:hint="default"/>
      </w:rPr>
    </w:lvl>
    <w:lvl w:ilvl="8" w:tplc="73A4FF9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36C2B4C"/>
    <w:multiLevelType w:val="hybridMultilevel"/>
    <w:tmpl w:val="9A704488"/>
    <w:lvl w:ilvl="0" w:tplc="AA52C152">
      <w:start w:val="1"/>
      <w:numFmt w:val="bullet"/>
      <w:lvlText w:val="•"/>
      <w:lvlJc w:val="left"/>
      <w:pPr>
        <w:tabs>
          <w:tab w:val="num" w:pos="720"/>
        </w:tabs>
        <w:ind w:left="720" w:hanging="360"/>
      </w:pPr>
      <w:rPr>
        <w:rFonts w:ascii="Arial" w:hAnsi="Arial" w:hint="default"/>
      </w:rPr>
    </w:lvl>
    <w:lvl w:ilvl="1" w:tplc="01EE6454">
      <w:start w:val="1"/>
      <w:numFmt w:val="bullet"/>
      <w:lvlText w:val="•"/>
      <w:lvlJc w:val="left"/>
      <w:pPr>
        <w:tabs>
          <w:tab w:val="num" w:pos="1440"/>
        </w:tabs>
        <w:ind w:left="1440" w:hanging="360"/>
      </w:pPr>
      <w:rPr>
        <w:rFonts w:ascii="Arial" w:hAnsi="Arial" w:hint="default"/>
      </w:rPr>
    </w:lvl>
    <w:lvl w:ilvl="2" w:tplc="42A07D62" w:tentative="1">
      <w:start w:val="1"/>
      <w:numFmt w:val="bullet"/>
      <w:lvlText w:val="•"/>
      <w:lvlJc w:val="left"/>
      <w:pPr>
        <w:tabs>
          <w:tab w:val="num" w:pos="2160"/>
        </w:tabs>
        <w:ind w:left="2160" w:hanging="360"/>
      </w:pPr>
      <w:rPr>
        <w:rFonts w:ascii="Arial" w:hAnsi="Arial" w:hint="default"/>
      </w:rPr>
    </w:lvl>
    <w:lvl w:ilvl="3" w:tplc="B0DA4BE8" w:tentative="1">
      <w:start w:val="1"/>
      <w:numFmt w:val="bullet"/>
      <w:lvlText w:val="•"/>
      <w:lvlJc w:val="left"/>
      <w:pPr>
        <w:tabs>
          <w:tab w:val="num" w:pos="2880"/>
        </w:tabs>
        <w:ind w:left="2880" w:hanging="360"/>
      </w:pPr>
      <w:rPr>
        <w:rFonts w:ascii="Arial" w:hAnsi="Arial" w:hint="default"/>
      </w:rPr>
    </w:lvl>
    <w:lvl w:ilvl="4" w:tplc="72023536" w:tentative="1">
      <w:start w:val="1"/>
      <w:numFmt w:val="bullet"/>
      <w:lvlText w:val="•"/>
      <w:lvlJc w:val="left"/>
      <w:pPr>
        <w:tabs>
          <w:tab w:val="num" w:pos="3600"/>
        </w:tabs>
        <w:ind w:left="3600" w:hanging="360"/>
      </w:pPr>
      <w:rPr>
        <w:rFonts w:ascii="Arial" w:hAnsi="Arial" w:hint="default"/>
      </w:rPr>
    </w:lvl>
    <w:lvl w:ilvl="5" w:tplc="B2CE381A" w:tentative="1">
      <w:start w:val="1"/>
      <w:numFmt w:val="bullet"/>
      <w:lvlText w:val="•"/>
      <w:lvlJc w:val="left"/>
      <w:pPr>
        <w:tabs>
          <w:tab w:val="num" w:pos="4320"/>
        </w:tabs>
        <w:ind w:left="4320" w:hanging="360"/>
      </w:pPr>
      <w:rPr>
        <w:rFonts w:ascii="Arial" w:hAnsi="Arial" w:hint="default"/>
      </w:rPr>
    </w:lvl>
    <w:lvl w:ilvl="6" w:tplc="AE3806A8" w:tentative="1">
      <w:start w:val="1"/>
      <w:numFmt w:val="bullet"/>
      <w:lvlText w:val="•"/>
      <w:lvlJc w:val="left"/>
      <w:pPr>
        <w:tabs>
          <w:tab w:val="num" w:pos="5040"/>
        </w:tabs>
        <w:ind w:left="5040" w:hanging="360"/>
      </w:pPr>
      <w:rPr>
        <w:rFonts w:ascii="Arial" w:hAnsi="Arial" w:hint="default"/>
      </w:rPr>
    </w:lvl>
    <w:lvl w:ilvl="7" w:tplc="9E0E1648" w:tentative="1">
      <w:start w:val="1"/>
      <w:numFmt w:val="bullet"/>
      <w:lvlText w:val="•"/>
      <w:lvlJc w:val="left"/>
      <w:pPr>
        <w:tabs>
          <w:tab w:val="num" w:pos="5760"/>
        </w:tabs>
        <w:ind w:left="5760" w:hanging="360"/>
      </w:pPr>
      <w:rPr>
        <w:rFonts w:ascii="Arial" w:hAnsi="Arial" w:hint="default"/>
      </w:rPr>
    </w:lvl>
    <w:lvl w:ilvl="8" w:tplc="1B9805B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C9A4BDA"/>
    <w:multiLevelType w:val="hybridMultilevel"/>
    <w:tmpl w:val="E9ACE8A8"/>
    <w:lvl w:ilvl="0" w:tplc="28F6CD92">
      <w:start w:val="1"/>
      <w:numFmt w:val="bullet"/>
      <w:lvlText w:val=""/>
      <w:lvlJc w:val="left"/>
      <w:pPr>
        <w:ind w:left="720" w:hanging="360"/>
      </w:pPr>
      <w:rPr>
        <w:rFonts w:ascii="Symbol" w:hAnsi="Symbol"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F742536"/>
    <w:multiLevelType w:val="hybridMultilevel"/>
    <w:tmpl w:val="82A4692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DB33AE5"/>
    <w:multiLevelType w:val="hybridMultilevel"/>
    <w:tmpl w:val="B0BC8FA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7C593BB8"/>
    <w:multiLevelType w:val="hybridMultilevel"/>
    <w:tmpl w:val="5F0836E2"/>
    <w:lvl w:ilvl="0" w:tplc="D6066170">
      <w:numFmt w:val="bullet"/>
      <w:lvlText w:val=""/>
      <w:lvlJc w:val="left"/>
      <w:pPr>
        <w:ind w:left="720" w:hanging="360"/>
      </w:pPr>
      <w:rPr>
        <w:rFonts w:ascii="Symbol" w:eastAsia="Times New Roman"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3"/>
  </w:num>
  <w:num w:numId="5">
    <w:abstractNumId w:val="1"/>
  </w:num>
  <w:num w:numId="6">
    <w:abstractNumId w:val="11"/>
  </w:num>
  <w:num w:numId="7">
    <w:abstractNumId w:val="5"/>
  </w:num>
  <w:num w:numId="8">
    <w:abstractNumId w:val="10"/>
  </w:num>
  <w:num w:numId="9">
    <w:abstractNumId w:val="8"/>
  </w:num>
  <w:num w:numId="10">
    <w:abstractNumId w:val="7"/>
  </w:num>
  <w:num w:numId="11">
    <w:abstractNumId w:val="2"/>
  </w:num>
  <w:num w:numId="12">
    <w:abstractNumId w:val="12"/>
  </w:num>
  <w:num w:numId="13">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AF3"/>
    <w:rsid w:val="000014D1"/>
    <w:rsid w:val="000019C0"/>
    <w:rsid w:val="000115F0"/>
    <w:rsid w:val="00041717"/>
    <w:rsid w:val="00043D65"/>
    <w:rsid w:val="000472A8"/>
    <w:rsid w:val="000A0B2C"/>
    <w:rsid w:val="000D1103"/>
    <w:rsid w:val="000E7FB8"/>
    <w:rsid w:val="000F0F01"/>
    <w:rsid w:val="00115F28"/>
    <w:rsid w:val="00117C8B"/>
    <w:rsid w:val="001428F6"/>
    <w:rsid w:val="00176A41"/>
    <w:rsid w:val="0018159D"/>
    <w:rsid w:val="001B3740"/>
    <w:rsid w:val="001E7906"/>
    <w:rsid w:val="0020178D"/>
    <w:rsid w:val="00226EC2"/>
    <w:rsid w:val="00251C9A"/>
    <w:rsid w:val="0027024E"/>
    <w:rsid w:val="00270D9C"/>
    <w:rsid w:val="002A2AC2"/>
    <w:rsid w:val="002B7743"/>
    <w:rsid w:val="002E6AE4"/>
    <w:rsid w:val="00313D7D"/>
    <w:rsid w:val="003152C9"/>
    <w:rsid w:val="00316517"/>
    <w:rsid w:val="00332AA4"/>
    <w:rsid w:val="00342D52"/>
    <w:rsid w:val="00364FB3"/>
    <w:rsid w:val="00393B3D"/>
    <w:rsid w:val="00394E4E"/>
    <w:rsid w:val="003A27D9"/>
    <w:rsid w:val="003A402E"/>
    <w:rsid w:val="003B50CA"/>
    <w:rsid w:val="003C0D3A"/>
    <w:rsid w:val="003D3441"/>
    <w:rsid w:val="003D4166"/>
    <w:rsid w:val="003F6346"/>
    <w:rsid w:val="004058D3"/>
    <w:rsid w:val="004059B6"/>
    <w:rsid w:val="0041086F"/>
    <w:rsid w:val="004157A8"/>
    <w:rsid w:val="00437A0B"/>
    <w:rsid w:val="00437F44"/>
    <w:rsid w:val="00445D8C"/>
    <w:rsid w:val="004462B7"/>
    <w:rsid w:val="00490D34"/>
    <w:rsid w:val="00490F45"/>
    <w:rsid w:val="00492753"/>
    <w:rsid w:val="004B5271"/>
    <w:rsid w:val="004C556F"/>
    <w:rsid w:val="004C6DB6"/>
    <w:rsid w:val="004E4BE0"/>
    <w:rsid w:val="004F4C72"/>
    <w:rsid w:val="004F677E"/>
    <w:rsid w:val="00504F22"/>
    <w:rsid w:val="00524468"/>
    <w:rsid w:val="00527819"/>
    <w:rsid w:val="0054522F"/>
    <w:rsid w:val="005525B8"/>
    <w:rsid w:val="005612EF"/>
    <w:rsid w:val="00583603"/>
    <w:rsid w:val="00584309"/>
    <w:rsid w:val="0058702A"/>
    <w:rsid w:val="00591324"/>
    <w:rsid w:val="00595AC4"/>
    <w:rsid w:val="005A3109"/>
    <w:rsid w:val="005F40F4"/>
    <w:rsid w:val="00600C5E"/>
    <w:rsid w:val="006336FB"/>
    <w:rsid w:val="00642CD0"/>
    <w:rsid w:val="0068330D"/>
    <w:rsid w:val="00696EA9"/>
    <w:rsid w:val="006A4B07"/>
    <w:rsid w:val="006B1317"/>
    <w:rsid w:val="006C3ABA"/>
    <w:rsid w:val="006D1290"/>
    <w:rsid w:val="006D5F37"/>
    <w:rsid w:val="006F0953"/>
    <w:rsid w:val="006F1756"/>
    <w:rsid w:val="00710F7F"/>
    <w:rsid w:val="00715D9A"/>
    <w:rsid w:val="00723AEE"/>
    <w:rsid w:val="007363FD"/>
    <w:rsid w:val="00746AF3"/>
    <w:rsid w:val="00782ABE"/>
    <w:rsid w:val="00786A68"/>
    <w:rsid w:val="00797AD7"/>
    <w:rsid w:val="007A6D5B"/>
    <w:rsid w:val="007C4CD2"/>
    <w:rsid w:val="007F234E"/>
    <w:rsid w:val="00807E3F"/>
    <w:rsid w:val="0081089A"/>
    <w:rsid w:val="008530A9"/>
    <w:rsid w:val="00857A6C"/>
    <w:rsid w:val="00882AAE"/>
    <w:rsid w:val="00887FDC"/>
    <w:rsid w:val="008D3151"/>
    <w:rsid w:val="008F0B67"/>
    <w:rsid w:val="00900D10"/>
    <w:rsid w:val="009028E5"/>
    <w:rsid w:val="00907412"/>
    <w:rsid w:val="00925430"/>
    <w:rsid w:val="00937475"/>
    <w:rsid w:val="00951048"/>
    <w:rsid w:val="009B626D"/>
    <w:rsid w:val="00A1094D"/>
    <w:rsid w:val="00A111D4"/>
    <w:rsid w:val="00A13CE4"/>
    <w:rsid w:val="00A146FD"/>
    <w:rsid w:val="00A345C2"/>
    <w:rsid w:val="00A3692C"/>
    <w:rsid w:val="00A73252"/>
    <w:rsid w:val="00A92524"/>
    <w:rsid w:val="00A92EA3"/>
    <w:rsid w:val="00A95562"/>
    <w:rsid w:val="00AA7F0E"/>
    <w:rsid w:val="00AC2E98"/>
    <w:rsid w:val="00AC34C7"/>
    <w:rsid w:val="00AD1562"/>
    <w:rsid w:val="00AF31F0"/>
    <w:rsid w:val="00AF4C40"/>
    <w:rsid w:val="00B0001F"/>
    <w:rsid w:val="00B03C4A"/>
    <w:rsid w:val="00B06E3E"/>
    <w:rsid w:val="00B17E7D"/>
    <w:rsid w:val="00B37652"/>
    <w:rsid w:val="00B91DD3"/>
    <w:rsid w:val="00B9308A"/>
    <w:rsid w:val="00BB3F4D"/>
    <w:rsid w:val="00BD122A"/>
    <w:rsid w:val="00C2575B"/>
    <w:rsid w:val="00C86CEB"/>
    <w:rsid w:val="00C90E32"/>
    <w:rsid w:val="00CA36B1"/>
    <w:rsid w:val="00CD4C16"/>
    <w:rsid w:val="00CE42D6"/>
    <w:rsid w:val="00CE6691"/>
    <w:rsid w:val="00CF79EE"/>
    <w:rsid w:val="00D0502C"/>
    <w:rsid w:val="00D0535B"/>
    <w:rsid w:val="00D06245"/>
    <w:rsid w:val="00D10C16"/>
    <w:rsid w:val="00D2505A"/>
    <w:rsid w:val="00D37E34"/>
    <w:rsid w:val="00D50E98"/>
    <w:rsid w:val="00D62250"/>
    <w:rsid w:val="00D6319A"/>
    <w:rsid w:val="00D648A6"/>
    <w:rsid w:val="00D64F0A"/>
    <w:rsid w:val="00D877DD"/>
    <w:rsid w:val="00D905C9"/>
    <w:rsid w:val="00D94657"/>
    <w:rsid w:val="00D95B0C"/>
    <w:rsid w:val="00D96BE8"/>
    <w:rsid w:val="00DA773D"/>
    <w:rsid w:val="00DC1698"/>
    <w:rsid w:val="00DD721E"/>
    <w:rsid w:val="00DE267D"/>
    <w:rsid w:val="00DF2160"/>
    <w:rsid w:val="00DF5A86"/>
    <w:rsid w:val="00DF6395"/>
    <w:rsid w:val="00E20B44"/>
    <w:rsid w:val="00E62347"/>
    <w:rsid w:val="00E84F3C"/>
    <w:rsid w:val="00EA466B"/>
    <w:rsid w:val="00EB7EB1"/>
    <w:rsid w:val="00EC0E2A"/>
    <w:rsid w:val="00F05778"/>
    <w:rsid w:val="00F16E67"/>
    <w:rsid w:val="00F20A18"/>
    <w:rsid w:val="00F26D83"/>
    <w:rsid w:val="00F27F76"/>
    <w:rsid w:val="00F306DF"/>
    <w:rsid w:val="00F752B2"/>
    <w:rsid w:val="00FA606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EA89A"/>
  <w15:chartTrackingRefBased/>
  <w15:docId w15:val="{B0120DAF-CB44-45A3-961E-D93B03331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D8C"/>
    <w:rPr>
      <w:rFonts w:ascii="Arial" w:eastAsia="Times New Roman" w:hAnsi="Arial" w:cs="Time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46AF3"/>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rsid w:val="00746AF3"/>
    <w:pPr>
      <w:spacing w:before="120" w:after="120"/>
    </w:pPr>
  </w:style>
  <w:style w:type="paragraph" w:styleId="ListParagraph">
    <w:name w:val="List Paragraph"/>
    <w:basedOn w:val="Normal"/>
    <w:uiPriority w:val="34"/>
    <w:qFormat/>
    <w:rsid w:val="00746AF3"/>
    <w:pPr>
      <w:ind w:left="720"/>
      <w:contextualSpacing/>
    </w:pPr>
  </w:style>
  <w:style w:type="character" w:styleId="CommentReference">
    <w:name w:val="annotation reference"/>
    <w:basedOn w:val="DefaultParagraphFont"/>
    <w:uiPriority w:val="99"/>
    <w:semiHidden/>
    <w:unhideWhenUsed/>
    <w:rsid w:val="00907412"/>
    <w:rPr>
      <w:sz w:val="16"/>
      <w:szCs w:val="16"/>
    </w:rPr>
  </w:style>
  <w:style w:type="paragraph" w:styleId="CommentText">
    <w:name w:val="annotation text"/>
    <w:basedOn w:val="Normal"/>
    <w:link w:val="CommentTextChar"/>
    <w:uiPriority w:val="99"/>
    <w:semiHidden/>
    <w:unhideWhenUsed/>
    <w:rsid w:val="00907412"/>
    <w:rPr>
      <w:sz w:val="20"/>
      <w:szCs w:val="20"/>
    </w:rPr>
  </w:style>
  <w:style w:type="character" w:customStyle="1" w:styleId="CommentTextChar">
    <w:name w:val="Comment Text Char"/>
    <w:basedOn w:val="DefaultParagraphFont"/>
    <w:link w:val="CommentText"/>
    <w:uiPriority w:val="99"/>
    <w:semiHidden/>
    <w:rsid w:val="00907412"/>
    <w:rPr>
      <w:rFonts w:ascii="Arial" w:eastAsia="Times New Roman" w:hAnsi="Arial" w:cs="Times"/>
      <w:sz w:val="20"/>
      <w:szCs w:val="20"/>
      <w:lang w:eastAsia="en-GB"/>
    </w:rPr>
  </w:style>
  <w:style w:type="paragraph" w:styleId="CommentSubject">
    <w:name w:val="annotation subject"/>
    <w:basedOn w:val="CommentText"/>
    <w:next w:val="CommentText"/>
    <w:link w:val="CommentSubjectChar"/>
    <w:uiPriority w:val="99"/>
    <w:semiHidden/>
    <w:unhideWhenUsed/>
    <w:rsid w:val="00907412"/>
    <w:rPr>
      <w:b/>
      <w:bCs/>
    </w:rPr>
  </w:style>
  <w:style w:type="character" w:customStyle="1" w:styleId="CommentSubjectChar">
    <w:name w:val="Comment Subject Char"/>
    <w:basedOn w:val="CommentTextChar"/>
    <w:link w:val="CommentSubject"/>
    <w:uiPriority w:val="99"/>
    <w:semiHidden/>
    <w:rsid w:val="00907412"/>
    <w:rPr>
      <w:rFonts w:ascii="Arial" w:eastAsia="Times New Roman" w:hAnsi="Arial" w:cs="Times"/>
      <w:b/>
      <w:bCs/>
      <w:sz w:val="20"/>
      <w:szCs w:val="20"/>
      <w:lang w:eastAsia="en-GB"/>
    </w:rPr>
  </w:style>
  <w:style w:type="paragraph" w:styleId="BalloonText">
    <w:name w:val="Balloon Text"/>
    <w:basedOn w:val="Normal"/>
    <w:link w:val="BalloonTextChar"/>
    <w:uiPriority w:val="99"/>
    <w:semiHidden/>
    <w:unhideWhenUsed/>
    <w:rsid w:val="009074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412"/>
    <w:rPr>
      <w:rFonts w:ascii="Segoe UI" w:eastAsia="Times New Roman" w:hAnsi="Segoe UI" w:cs="Segoe UI"/>
      <w:sz w:val="18"/>
      <w:szCs w:val="18"/>
      <w:lang w:eastAsia="en-GB"/>
    </w:rPr>
  </w:style>
  <w:style w:type="paragraph" w:styleId="Revision">
    <w:name w:val="Revision"/>
    <w:hidden/>
    <w:uiPriority w:val="99"/>
    <w:semiHidden/>
    <w:rsid w:val="00D6319A"/>
    <w:rPr>
      <w:rFonts w:ascii="Arial" w:eastAsia="Times New Roman" w:hAnsi="Arial" w:cs="Time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77872">
      <w:bodyDiv w:val="1"/>
      <w:marLeft w:val="0"/>
      <w:marRight w:val="0"/>
      <w:marTop w:val="0"/>
      <w:marBottom w:val="0"/>
      <w:divBdr>
        <w:top w:val="none" w:sz="0" w:space="0" w:color="auto"/>
        <w:left w:val="none" w:sz="0" w:space="0" w:color="auto"/>
        <w:bottom w:val="none" w:sz="0" w:space="0" w:color="auto"/>
        <w:right w:val="none" w:sz="0" w:space="0" w:color="auto"/>
      </w:divBdr>
      <w:divsChild>
        <w:div w:id="1793212008">
          <w:marLeft w:val="1138"/>
          <w:marRight w:val="0"/>
          <w:marTop w:val="432"/>
          <w:marBottom w:val="0"/>
          <w:divBdr>
            <w:top w:val="none" w:sz="0" w:space="0" w:color="auto"/>
            <w:left w:val="none" w:sz="0" w:space="0" w:color="auto"/>
            <w:bottom w:val="none" w:sz="0" w:space="0" w:color="auto"/>
            <w:right w:val="none" w:sz="0" w:space="0" w:color="auto"/>
          </w:divBdr>
        </w:div>
        <w:div w:id="1580941450">
          <w:marLeft w:val="1138"/>
          <w:marRight w:val="0"/>
          <w:marTop w:val="288"/>
          <w:marBottom w:val="0"/>
          <w:divBdr>
            <w:top w:val="none" w:sz="0" w:space="0" w:color="auto"/>
            <w:left w:val="none" w:sz="0" w:space="0" w:color="auto"/>
            <w:bottom w:val="none" w:sz="0" w:space="0" w:color="auto"/>
            <w:right w:val="none" w:sz="0" w:space="0" w:color="auto"/>
          </w:divBdr>
        </w:div>
      </w:divsChild>
    </w:div>
    <w:div w:id="784229745">
      <w:bodyDiv w:val="1"/>
      <w:marLeft w:val="0"/>
      <w:marRight w:val="0"/>
      <w:marTop w:val="0"/>
      <w:marBottom w:val="0"/>
      <w:divBdr>
        <w:top w:val="none" w:sz="0" w:space="0" w:color="auto"/>
        <w:left w:val="none" w:sz="0" w:space="0" w:color="auto"/>
        <w:bottom w:val="none" w:sz="0" w:space="0" w:color="auto"/>
        <w:right w:val="none" w:sz="0" w:space="0" w:color="auto"/>
      </w:divBdr>
      <w:divsChild>
        <w:div w:id="298268894">
          <w:marLeft w:val="0"/>
          <w:marRight w:val="0"/>
          <w:marTop w:val="0"/>
          <w:marBottom w:val="0"/>
          <w:divBdr>
            <w:top w:val="none" w:sz="0" w:space="0" w:color="auto"/>
            <w:left w:val="none" w:sz="0" w:space="0" w:color="auto"/>
            <w:bottom w:val="none" w:sz="0" w:space="0" w:color="auto"/>
            <w:right w:val="none" w:sz="0" w:space="0" w:color="auto"/>
          </w:divBdr>
          <w:divsChild>
            <w:div w:id="2105613678">
              <w:marLeft w:val="0"/>
              <w:marRight w:val="0"/>
              <w:marTop w:val="0"/>
              <w:marBottom w:val="0"/>
              <w:divBdr>
                <w:top w:val="none" w:sz="0" w:space="0" w:color="auto"/>
                <w:left w:val="none" w:sz="0" w:space="0" w:color="auto"/>
                <w:bottom w:val="none" w:sz="0" w:space="0" w:color="auto"/>
                <w:right w:val="none" w:sz="0" w:space="0" w:color="auto"/>
              </w:divBdr>
              <w:divsChild>
                <w:div w:id="1547715668">
                  <w:marLeft w:val="0"/>
                  <w:marRight w:val="0"/>
                  <w:marTop w:val="0"/>
                  <w:marBottom w:val="0"/>
                  <w:divBdr>
                    <w:top w:val="none" w:sz="0" w:space="0" w:color="auto"/>
                    <w:left w:val="none" w:sz="0" w:space="0" w:color="auto"/>
                    <w:bottom w:val="none" w:sz="0" w:space="0" w:color="auto"/>
                    <w:right w:val="none" w:sz="0" w:space="0" w:color="auto"/>
                  </w:divBdr>
                </w:div>
                <w:div w:id="2005233450">
                  <w:marLeft w:val="0"/>
                  <w:marRight w:val="0"/>
                  <w:marTop w:val="0"/>
                  <w:marBottom w:val="0"/>
                  <w:divBdr>
                    <w:top w:val="none" w:sz="0" w:space="0" w:color="auto"/>
                    <w:left w:val="none" w:sz="0" w:space="0" w:color="auto"/>
                    <w:bottom w:val="none" w:sz="0" w:space="0" w:color="auto"/>
                    <w:right w:val="none" w:sz="0" w:space="0" w:color="auto"/>
                  </w:divBdr>
                </w:div>
                <w:div w:id="969750272">
                  <w:marLeft w:val="0"/>
                  <w:marRight w:val="0"/>
                  <w:marTop w:val="0"/>
                  <w:marBottom w:val="0"/>
                  <w:divBdr>
                    <w:top w:val="none" w:sz="0" w:space="0" w:color="auto"/>
                    <w:left w:val="none" w:sz="0" w:space="0" w:color="auto"/>
                    <w:bottom w:val="none" w:sz="0" w:space="0" w:color="auto"/>
                    <w:right w:val="none" w:sz="0" w:space="0" w:color="auto"/>
                  </w:divBdr>
                </w:div>
                <w:div w:id="782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18919">
      <w:bodyDiv w:val="1"/>
      <w:marLeft w:val="0"/>
      <w:marRight w:val="0"/>
      <w:marTop w:val="0"/>
      <w:marBottom w:val="0"/>
      <w:divBdr>
        <w:top w:val="none" w:sz="0" w:space="0" w:color="auto"/>
        <w:left w:val="none" w:sz="0" w:space="0" w:color="auto"/>
        <w:bottom w:val="none" w:sz="0" w:space="0" w:color="auto"/>
        <w:right w:val="none" w:sz="0" w:space="0" w:color="auto"/>
      </w:divBdr>
      <w:divsChild>
        <w:div w:id="182985313">
          <w:marLeft w:val="0"/>
          <w:marRight w:val="0"/>
          <w:marTop w:val="0"/>
          <w:marBottom w:val="0"/>
          <w:divBdr>
            <w:top w:val="none" w:sz="0" w:space="0" w:color="auto"/>
            <w:left w:val="none" w:sz="0" w:space="0" w:color="auto"/>
            <w:bottom w:val="none" w:sz="0" w:space="0" w:color="auto"/>
            <w:right w:val="none" w:sz="0" w:space="0" w:color="auto"/>
          </w:divBdr>
          <w:divsChild>
            <w:div w:id="1669400470">
              <w:marLeft w:val="0"/>
              <w:marRight w:val="0"/>
              <w:marTop w:val="0"/>
              <w:marBottom w:val="0"/>
              <w:divBdr>
                <w:top w:val="none" w:sz="0" w:space="0" w:color="auto"/>
                <w:left w:val="none" w:sz="0" w:space="0" w:color="auto"/>
                <w:bottom w:val="none" w:sz="0" w:space="0" w:color="auto"/>
                <w:right w:val="none" w:sz="0" w:space="0" w:color="auto"/>
              </w:divBdr>
              <w:divsChild>
                <w:div w:id="1718965983">
                  <w:marLeft w:val="0"/>
                  <w:marRight w:val="0"/>
                  <w:marTop w:val="0"/>
                  <w:marBottom w:val="0"/>
                  <w:divBdr>
                    <w:top w:val="none" w:sz="0" w:space="0" w:color="auto"/>
                    <w:left w:val="none" w:sz="0" w:space="0" w:color="auto"/>
                    <w:bottom w:val="none" w:sz="0" w:space="0" w:color="auto"/>
                    <w:right w:val="none" w:sz="0" w:space="0" w:color="auto"/>
                  </w:divBdr>
                </w:div>
                <w:div w:id="1213955472">
                  <w:marLeft w:val="0"/>
                  <w:marRight w:val="0"/>
                  <w:marTop w:val="0"/>
                  <w:marBottom w:val="0"/>
                  <w:divBdr>
                    <w:top w:val="none" w:sz="0" w:space="0" w:color="auto"/>
                    <w:left w:val="none" w:sz="0" w:space="0" w:color="auto"/>
                    <w:bottom w:val="none" w:sz="0" w:space="0" w:color="auto"/>
                    <w:right w:val="none" w:sz="0" w:space="0" w:color="auto"/>
                  </w:divBdr>
                </w:div>
                <w:div w:id="691145683">
                  <w:marLeft w:val="0"/>
                  <w:marRight w:val="0"/>
                  <w:marTop w:val="0"/>
                  <w:marBottom w:val="0"/>
                  <w:divBdr>
                    <w:top w:val="none" w:sz="0" w:space="0" w:color="auto"/>
                    <w:left w:val="none" w:sz="0" w:space="0" w:color="auto"/>
                    <w:bottom w:val="none" w:sz="0" w:space="0" w:color="auto"/>
                    <w:right w:val="none" w:sz="0" w:space="0" w:color="auto"/>
                  </w:divBdr>
                </w:div>
                <w:div w:id="42816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13708">
      <w:bodyDiv w:val="1"/>
      <w:marLeft w:val="0"/>
      <w:marRight w:val="0"/>
      <w:marTop w:val="0"/>
      <w:marBottom w:val="0"/>
      <w:divBdr>
        <w:top w:val="none" w:sz="0" w:space="0" w:color="auto"/>
        <w:left w:val="none" w:sz="0" w:space="0" w:color="auto"/>
        <w:bottom w:val="none" w:sz="0" w:space="0" w:color="auto"/>
        <w:right w:val="none" w:sz="0" w:space="0" w:color="auto"/>
      </w:divBdr>
      <w:divsChild>
        <w:div w:id="185289146">
          <w:marLeft w:val="1138"/>
          <w:marRight w:val="0"/>
          <w:marTop w:val="288"/>
          <w:marBottom w:val="0"/>
          <w:divBdr>
            <w:top w:val="none" w:sz="0" w:space="0" w:color="auto"/>
            <w:left w:val="none" w:sz="0" w:space="0" w:color="auto"/>
            <w:bottom w:val="none" w:sz="0" w:space="0" w:color="auto"/>
            <w:right w:val="none" w:sz="0" w:space="0" w:color="auto"/>
          </w:divBdr>
        </w:div>
        <w:div w:id="1406218940">
          <w:marLeft w:val="1138"/>
          <w:marRight w:val="0"/>
          <w:marTop w:val="288"/>
          <w:marBottom w:val="0"/>
          <w:divBdr>
            <w:top w:val="none" w:sz="0" w:space="0" w:color="auto"/>
            <w:left w:val="none" w:sz="0" w:space="0" w:color="auto"/>
            <w:bottom w:val="none" w:sz="0" w:space="0" w:color="auto"/>
            <w:right w:val="none" w:sz="0" w:space="0" w:color="auto"/>
          </w:divBdr>
        </w:div>
        <w:div w:id="1838765168">
          <w:marLeft w:val="1138"/>
          <w:marRight w:val="0"/>
          <w:marTop w:val="28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CFBB8-A4AA-4778-AD66-DC8564310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B57AE7F4</Template>
  <TotalTime>49</TotalTime>
  <Pages>5</Pages>
  <Words>1975</Words>
  <Characters>11262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Cook</dc:creator>
  <cp:keywords/>
  <dc:description/>
  <cp:lastModifiedBy>Kayla Cook</cp:lastModifiedBy>
  <cp:revision>16</cp:revision>
  <cp:lastPrinted>2019-07-15T01:57:00Z</cp:lastPrinted>
  <dcterms:created xsi:type="dcterms:W3CDTF">2019-07-16T11:24:00Z</dcterms:created>
  <dcterms:modified xsi:type="dcterms:W3CDTF">2019-08-14T23:42:00Z</dcterms:modified>
</cp:coreProperties>
</file>