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93BE6" w14:textId="7253126D" w:rsidR="000943F6" w:rsidRDefault="000943F6" w:rsidP="00AC6E34">
      <w:pPr>
        <w:spacing w:before="240"/>
        <w:rPr>
          <w:rFonts w:ascii="Georgia" w:hAnsi="Georgia"/>
          <w:b/>
          <w:sz w:val="40"/>
          <w:szCs w:val="40"/>
        </w:rPr>
      </w:pPr>
      <w:r w:rsidRPr="00A409A5">
        <w:rPr>
          <w:noProof/>
          <w:sz w:val="40"/>
          <w:szCs w:val="40"/>
          <w:lang w:eastAsia="en-NZ"/>
        </w:rPr>
        <w:drawing>
          <wp:anchor distT="0" distB="0" distL="114300" distR="114300" simplePos="0" relativeHeight="251658240" behindDoc="1" locked="0" layoutInCell="1" allowOverlap="1" wp14:anchorId="427A8083" wp14:editId="7A4DB9C2">
            <wp:simplePos x="0" y="0"/>
            <wp:positionH relativeFrom="margin">
              <wp:align>right</wp:align>
            </wp:positionH>
            <wp:positionV relativeFrom="paragraph">
              <wp:posOffset>0</wp:posOffset>
            </wp:positionV>
            <wp:extent cx="989330" cy="481965"/>
            <wp:effectExtent l="0" t="0" r="1270" b="0"/>
            <wp:wrapTight wrapText="bothSides">
              <wp:wrapPolygon edited="0">
                <wp:start x="0" y="0"/>
                <wp:lineTo x="0" y="20490"/>
                <wp:lineTo x="21212" y="20490"/>
                <wp:lineTo x="21212" y="0"/>
                <wp:lineTo x="0" y="0"/>
              </wp:wrapPolygon>
            </wp:wrapTight>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6" cstate="print">
                      <a:extLst>
                        <a:ext uri="{28A0092B-C50C-407E-A947-70E740481C1C}">
                          <a14:useLocalDpi xmlns:a14="http://schemas.microsoft.com/office/drawing/2010/main" val="0"/>
                        </a:ext>
                      </a:extLst>
                    </a:blip>
                    <a:srcRect l="6610" t="43289" r="79724" b="11005"/>
                    <a:stretch>
                      <a:fillRect/>
                    </a:stretch>
                  </pic:blipFill>
                  <pic:spPr bwMode="auto">
                    <a:xfrm>
                      <a:off x="0" y="0"/>
                      <a:ext cx="989330" cy="481965"/>
                    </a:xfrm>
                    <a:prstGeom prst="rect">
                      <a:avLst/>
                    </a:prstGeom>
                    <a:noFill/>
                    <a:ln>
                      <a:noFill/>
                    </a:ln>
                  </pic:spPr>
                </pic:pic>
              </a:graphicData>
            </a:graphic>
          </wp:anchor>
        </w:drawing>
      </w:r>
      <w:r w:rsidR="00FA0D8E">
        <w:rPr>
          <w:rFonts w:ascii="Georgia" w:hAnsi="Georgia"/>
          <w:b/>
          <w:sz w:val="40"/>
          <w:szCs w:val="40"/>
        </w:rPr>
        <w:tab/>
      </w:r>
      <w:r w:rsidR="00FA0D8E">
        <w:rPr>
          <w:rFonts w:ascii="Georgia" w:hAnsi="Georgia"/>
          <w:b/>
          <w:sz w:val="40"/>
          <w:szCs w:val="40"/>
        </w:rPr>
        <w:tab/>
      </w:r>
      <w:r w:rsidR="00FA0D8E">
        <w:rPr>
          <w:rFonts w:ascii="Georgia" w:hAnsi="Georgia"/>
          <w:b/>
          <w:sz w:val="40"/>
          <w:szCs w:val="40"/>
        </w:rPr>
        <w:tab/>
      </w:r>
      <w:r w:rsidR="00FA0D8E">
        <w:rPr>
          <w:rFonts w:ascii="Georgia" w:hAnsi="Georgia"/>
          <w:b/>
          <w:sz w:val="40"/>
          <w:szCs w:val="40"/>
        </w:rPr>
        <w:tab/>
      </w:r>
      <w:r>
        <w:rPr>
          <w:rFonts w:ascii="Georgia" w:hAnsi="Georgia"/>
          <w:b/>
          <w:sz w:val="40"/>
          <w:szCs w:val="40"/>
        </w:rPr>
        <w:tab/>
      </w:r>
      <w:r>
        <w:rPr>
          <w:rFonts w:ascii="Georgia" w:hAnsi="Georgia"/>
          <w:b/>
          <w:sz w:val="40"/>
          <w:szCs w:val="40"/>
        </w:rPr>
        <w:tab/>
      </w:r>
    </w:p>
    <w:p w14:paraId="007BD0BB" w14:textId="6D76F768" w:rsidR="00746AF3" w:rsidRPr="00A409A5" w:rsidRDefault="00014C5E" w:rsidP="00AC6E34">
      <w:pPr>
        <w:spacing w:after="360"/>
        <w:rPr>
          <w:rFonts w:ascii="Georgia" w:hAnsi="Georgia"/>
          <w:b/>
          <w:sz w:val="40"/>
          <w:szCs w:val="40"/>
        </w:rPr>
      </w:pPr>
      <w:r>
        <w:rPr>
          <w:rFonts w:ascii="Georgia" w:hAnsi="Georgia"/>
          <w:b/>
          <w:sz w:val="40"/>
          <w:szCs w:val="40"/>
        </w:rPr>
        <w:t xml:space="preserve">Medicinal Cannabis Advisory Group </w:t>
      </w:r>
      <w:bookmarkStart w:id="0" w:name="_GoBack"/>
      <w:bookmarkEnd w:id="0"/>
      <w:r>
        <w:rPr>
          <w:rFonts w:ascii="Georgia" w:hAnsi="Georgia"/>
          <w:b/>
          <w:sz w:val="40"/>
          <w:szCs w:val="40"/>
        </w:rPr>
        <w:t>Meeting Minutes</w:t>
      </w:r>
    </w:p>
    <w:tbl>
      <w:tblPr>
        <w:tblStyle w:val="TableGrid"/>
        <w:tblW w:w="9900" w:type="dxa"/>
        <w:tblInd w:w="108" w:type="dxa"/>
        <w:tblBorders>
          <w:left w:val="none" w:sz="0" w:space="0" w:color="auto"/>
          <w:right w:val="none" w:sz="0" w:space="0" w:color="auto"/>
        </w:tblBorders>
        <w:tblLayout w:type="fixed"/>
        <w:tblLook w:val="01E0" w:firstRow="1" w:lastRow="1" w:firstColumn="1" w:lastColumn="1" w:noHBand="0" w:noVBand="0"/>
      </w:tblPr>
      <w:tblGrid>
        <w:gridCol w:w="1440"/>
        <w:gridCol w:w="8460"/>
      </w:tblGrid>
      <w:tr w:rsidR="00746AF3" w:rsidRPr="00006665" w14:paraId="1368A72C" w14:textId="77777777" w:rsidTr="006A4320">
        <w:trPr>
          <w:cantSplit/>
        </w:trPr>
        <w:tc>
          <w:tcPr>
            <w:tcW w:w="1440" w:type="dxa"/>
            <w:tcBorders>
              <w:top w:val="single" w:sz="12" w:space="0" w:color="auto"/>
              <w:bottom w:val="single" w:sz="2" w:space="0" w:color="auto"/>
              <w:right w:val="nil"/>
            </w:tcBorders>
          </w:tcPr>
          <w:p w14:paraId="2903583F" w14:textId="77777777" w:rsidR="00746AF3" w:rsidRPr="00EF0B2D" w:rsidRDefault="00746AF3" w:rsidP="00AC6E34">
            <w:pPr>
              <w:pStyle w:val="TableText"/>
              <w:rPr>
                <w:rFonts w:cs="Arial"/>
                <w:b/>
                <w:sz w:val="22"/>
                <w:szCs w:val="22"/>
              </w:rPr>
            </w:pPr>
            <w:r w:rsidRPr="00EF0B2D">
              <w:rPr>
                <w:rFonts w:cs="Arial"/>
                <w:b/>
                <w:sz w:val="22"/>
                <w:szCs w:val="22"/>
              </w:rPr>
              <w:t>Date:</w:t>
            </w:r>
            <w:r>
              <w:rPr>
                <w:rFonts w:cs="Arial"/>
                <w:b/>
                <w:sz w:val="22"/>
                <w:szCs w:val="22"/>
              </w:rPr>
              <w:t xml:space="preserve"> </w:t>
            </w:r>
          </w:p>
        </w:tc>
        <w:tc>
          <w:tcPr>
            <w:tcW w:w="8460" w:type="dxa"/>
            <w:tcBorders>
              <w:top w:val="single" w:sz="12" w:space="0" w:color="auto"/>
              <w:left w:val="nil"/>
              <w:bottom w:val="single" w:sz="2" w:space="0" w:color="auto"/>
              <w:right w:val="nil"/>
            </w:tcBorders>
          </w:tcPr>
          <w:p w14:paraId="005D3937" w14:textId="77777777" w:rsidR="00746AF3" w:rsidRPr="004F4DCC" w:rsidRDefault="00A63F63" w:rsidP="00AC6E34">
            <w:pPr>
              <w:pStyle w:val="TableText"/>
              <w:rPr>
                <w:rFonts w:cs="Arial"/>
                <w:sz w:val="22"/>
                <w:szCs w:val="22"/>
              </w:rPr>
            </w:pPr>
            <w:r>
              <w:rPr>
                <w:rFonts w:cs="Arial"/>
                <w:sz w:val="22"/>
                <w:szCs w:val="22"/>
              </w:rPr>
              <w:t>Wednesday 4 September</w:t>
            </w:r>
            <w:r w:rsidR="00746AF3">
              <w:rPr>
                <w:rFonts w:cs="Arial"/>
                <w:sz w:val="22"/>
                <w:szCs w:val="22"/>
              </w:rPr>
              <w:t xml:space="preserve"> 2019</w:t>
            </w:r>
          </w:p>
        </w:tc>
      </w:tr>
      <w:tr w:rsidR="00746AF3" w:rsidRPr="00006665" w14:paraId="092F0D00" w14:textId="77777777" w:rsidTr="006A4320">
        <w:trPr>
          <w:cantSplit/>
        </w:trPr>
        <w:tc>
          <w:tcPr>
            <w:tcW w:w="1440" w:type="dxa"/>
            <w:tcBorders>
              <w:top w:val="single" w:sz="12" w:space="0" w:color="auto"/>
              <w:bottom w:val="single" w:sz="2" w:space="0" w:color="auto"/>
              <w:right w:val="nil"/>
            </w:tcBorders>
          </w:tcPr>
          <w:p w14:paraId="30E1F6F3" w14:textId="77777777" w:rsidR="00746AF3" w:rsidRPr="00EF0B2D" w:rsidRDefault="00746AF3" w:rsidP="00AC6E34">
            <w:pPr>
              <w:pStyle w:val="TableText"/>
              <w:rPr>
                <w:rFonts w:cs="Arial"/>
                <w:b/>
                <w:sz w:val="22"/>
                <w:szCs w:val="22"/>
              </w:rPr>
            </w:pPr>
            <w:r w:rsidRPr="00EF0B2D">
              <w:rPr>
                <w:rFonts w:cs="Arial"/>
                <w:b/>
                <w:sz w:val="22"/>
                <w:szCs w:val="22"/>
              </w:rPr>
              <w:t>Time:</w:t>
            </w:r>
          </w:p>
        </w:tc>
        <w:tc>
          <w:tcPr>
            <w:tcW w:w="8460" w:type="dxa"/>
            <w:tcBorders>
              <w:top w:val="single" w:sz="12" w:space="0" w:color="auto"/>
              <w:left w:val="nil"/>
              <w:bottom w:val="single" w:sz="2" w:space="0" w:color="auto"/>
              <w:right w:val="nil"/>
            </w:tcBorders>
          </w:tcPr>
          <w:p w14:paraId="67CB9C10" w14:textId="7E625F1C" w:rsidR="00746AF3" w:rsidRPr="004F4DCC" w:rsidRDefault="00A63F63" w:rsidP="00AC6E34">
            <w:pPr>
              <w:pStyle w:val="TableText"/>
              <w:rPr>
                <w:rFonts w:cs="Arial"/>
                <w:sz w:val="22"/>
                <w:szCs w:val="22"/>
              </w:rPr>
            </w:pPr>
            <w:r>
              <w:rPr>
                <w:rFonts w:cs="Arial"/>
                <w:sz w:val="22"/>
                <w:szCs w:val="22"/>
              </w:rPr>
              <w:t>9.30am</w:t>
            </w:r>
            <w:r w:rsidR="0010101F" w:rsidRPr="0010101F">
              <w:rPr>
                <w:rFonts w:cs="Arial"/>
                <w:sz w:val="22"/>
                <w:szCs w:val="22"/>
              </w:rPr>
              <w:t>–</w:t>
            </w:r>
            <w:r w:rsidR="00746AF3">
              <w:rPr>
                <w:rFonts w:cs="Arial"/>
                <w:sz w:val="22"/>
                <w:szCs w:val="22"/>
              </w:rPr>
              <w:t>4</w:t>
            </w:r>
            <w:r>
              <w:rPr>
                <w:rFonts w:cs="Arial"/>
                <w:sz w:val="22"/>
                <w:szCs w:val="22"/>
              </w:rPr>
              <w:t>.00</w:t>
            </w:r>
            <w:r w:rsidR="00746AF3">
              <w:rPr>
                <w:rFonts w:cs="Arial"/>
                <w:sz w:val="22"/>
                <w:szCs w:val="22"/>
              </w:rPr>
              <w:t>pm</w:t>
            </w:r>
          </w:p>
        </w:tc>
      </w:tr>
      <w:tr w:rsidR="00746AF3" w:rsidRPr="00006665" w14:paraId="767EB83D" w14:textId="77777777" w:rsidTr="006A4320">
        <w:trPr>
          <w:cantSplit/>
        </w:trPr>
        <w:tc>
          <w:tcPr>
            <w:tcW w:w="1440" w:type="dxa"/>
            <w:tcBorders>
              <w:top w:val="single" w:sz="12" w:space="0" w:color="auto"/>
              <w:bottom w:val="single" w:sz="2" w:space="0" w:color="auto"/>
              <w:right w:val="nil"/>
            </w:tcBorders>
          </w:tcPr>
          <w:p w14:paraId="6D125DCA" w14:textId="77777777" w:rsidR="00746AF3" w:rsidRPr="00EF0B2D" w:rsidRDefault="00746AF3" w:rsidP="00AC6E34">
            <w:pPr>
              <w:pStyle w:val="TableText"/>
              <w:rPr>
                <w:rFonts w:cs="Arial"/>
                <w:b/>
                <w:sz w:val="22"/>
                <w:szCs w:val="22"/>
              </w:rPr>
            </w:pPr>
            <w:r w:rsidRPr="00EF0B2D">
              <w:rPr>
                <w:rFonts w:cs="Arial"/>
                <w:b/>
                <w:sz w:val="22"/>
                <w:szCs w:val="22"/>
              </w:rPr>
              <w:t>Location:</w:t>
            </w:r>
          </w:p>
        </w:tc>
        <w:tc>
          <w:tcPr>
            <w:tcW w:w="8460" w:type="dxa"/>
            <w:tcBorders>
              <w:top w:val="single" w:sz="12" w:space="0" w:color="auto"/>
              <w:left w:val="nil"/>
              <w:bottom w:val="single" w:sz="2" w:space="0" w:color="auto"/>
              <w:right w:val="nil"/>
            </w:tcBorders>
          </w:tcPr>
          <w:p w14:paraId="74A4EF56" w14:textId="77777777" w:rsidR="00746AF3" w:rsidRPr="004F4DCC" w:rsidRDefault="00A63F63" w:rsidP="00AC6E34">
            <w:pPr>
              <w:pStyle w:val="TableText"/>
              <w:rPr>
                <w:rFonts w:cs="Arial"/>
                <w:sz w:val="22"/>
                <w:szCs w:val="22"/>
              </w:rPr>
            </w:pPr>
            <w:r>
              <w:rPr>
                <w:rFonts w:cs="Arial"/>
                <w:sz w:val="22"/>
                <w:szCs w:val="22"/>
              </w:rPr>
              <w:t>Brentwood Hotel</w:t>
            </w:r>
            <w:r w:rsidR="00746AF3">
              <w:rPr>
                <w:rFonts w:cs="Arial"/>
                <w:sz w:val="22"/>
                <w:szCs w:val="22"/>
              </w:rPr>
              <w:t xml:space="preserve">, </w:t>
            </w:r>
            <w:r>
              <w:rPr>
                <w:rFonts w:cs="Arial"/>
                <w:sz w:val="22"/>
                <w:szCs w:val="22"/>
              </w:rPr>
              <w:t>16 Kemp Street</w:t>
            </w:r>
            <w:r w:rsidR="00746AF3">
              <w:rPr>
                <w:rFonts w:cs="Arial"/>
                <w:sz w:val="22"/>
                <w:szCs w:val="22"/>
              </w:rPr>
              <w:t>, Wellington</w:t>
            </w:r>
          </w:p>
        </w:tc>
      </w:tr>
      <w:tr w:rsidR="00746AF3" w:rsidRPr="00006665" w14:paraId="1A96AA88" w14:textId="77777777" w:rsidTr="006A4320">
        <w:trPr>
          <w:cantSplit/>
        </w:trPr>
        <w:tc>
          <w:tcPr>
            <w:tcW w:w="1440" w:type="dxa"/>
            <w:tcBorders>
              <w:top w:val="single" w:sz="12" w:space="0" w:color="auto"/>
              <w:bottom w:val="single" w:sz="2" w:space="0" w:color="auto"/>
              <w:right w:val="nil"/>
            </w:tcBorders>
          </w:tcPr>
          <w:p w14:paraId="766F020E" w14:textId="77777777" w:rsidR="00746AF3" w:rsidRPr="00EF0B2D" w:rsidRDefault="00746AF3" w:rsidP="00AC6E34">
            <w:pPr>
              <w:pStyle w:val="TableText"/>
              <w:rPr>
                <w:rFonts w:cs="Arial"/>
                <w:b/>
                <w:sz w:val="22"/>
                <w:szCs w:val="22"/>
              </w:rPr>
            </w:pPr>
            <w:r w:rsidRPr="00EF0B2D">
              <w:rPr>
                <w:rFonts w:cs="Arial"/>
                <w:b/>
                <w:sz w:val="22"/>
                <w:szCs w:val="22"/>
              </w:rPr>
              <w:t>Chair:</w:t>
            </w:r>
          </w:p>
        </w:tc>
        <w:tc>
          <w:tcPr>
            <w:tcW w:w="8460" w:type="dxa"/>
            <w:tcBorders>
              <w:top w:val="single" w:sz="12" w:space="0" w:color="auto"/>
              <w:left w:val="nil"/>
              <w:bottom w:val="single" w:sz="2" w:space="0" w:color="auto"/>
              <w:right w:val="nil"/>
            </w:tcBorders>
          </w:tcPr>
          <w:p w14:paraId="1BAEC3B5" w14:textId="77777777" w:rsidR="00746AF3" w:rsidRPr="00DA4128" w:rsidRDefault="00746AF3" w:rsidP="00AC6E34">
            <w:pPr>
              <w:pStyle w:val="TableText"/>
              <w:rPr>
                <w:rFonts w:cs="Arial"/>
                <w:sz w:val="22"/>
                <w:szCs w:val="22"/>
              </w:rPr>
            </w:pPr>
            <w:r>
              <w:rPr>
                <w:rFonts w:cs="Arial"/>
                <w:color w:val="000000"/>
                <w:sz w:val="22"/>
                <w:szCs w:val="22"/>
              </w:rPr>
              <w:t>Dr Russell Wills</w:t>
            </w:r>
          </w:p>
        </w:tc>
      </w:tr>
      <w:tr w:rsidR="00746AF3" w:rsidRPr="00006665" w14:paraId="708DED40" w14:textId="77777777" w:rsidTr="006A4320">
        <w:trPr>
          <w:cantSplit/>
        </w:trPr>
        <w:tc>
          <w:tcPr>
            <w:tcW w:w="1440" w:type="dxa"/>
            <w:tcBorders>
              <w:top w:val="single" w:sz="12" w:space="0" w:color="auto"/>
              <w:bottom w:val="single" w:sz="2" w:space="0" w:color="auto"/>
              <w:right w:val="nil"/>
            </w:tcBorders>
          </w:tcPr>
          <w:p w14:paraId="2118EA97" w14:textId="77777777" w:rsidR="00746AF3" w:rsidRPr="00EF0B2D" w:rsidRDefault="00746AF3" w:rsidP="00AC6E34">
            <w:pPr>
              <w:pStyle w:val="TableText"/>
              <w:rPr>
                <w:rFonts w:cs="Arial"/>
                <w:b/>
                <w:sz w:val="22"/>
                <w:szCs w:val="22"/>
              </w:rPr>
            </w:pPr>
            <w:r w:rsidRPr="00EF0B2D">
              <w:rPr>
                <w:rFonts w:cs="Arial"/>
                <w:b/>
                <w:sz w:val="22"/>
                <w:szCs w:val="22"/>
              </w:rPr>
              <w:t>Attendees:</w:t>
            </w:r>
          </w:p>
        </w:tc>
        <w:tc>
          <w:tcPr>
            <w:tcW w:w="8460" w:type="dxa"/>
            <w:tcBorders>
              <w:top w:val="single" w:sz="12" w:space="0" w:color="auto"/>
              <w:left w:val="nil"/>
              <w:bottom w:val="single" w:sz="2" w:space="0" w:color="auto"/>
              <w:right w:val="nil"/>
            </w:tcBorders>
          </w:tcPr>
          <w:p w14:paraId="53EC6BC3" w14:textId="726408B6" w:rsidR="00746AF3" w:rsidRPr="00F80CEC" w:rsidRDefault="00746AF3" w:rsidP="00AC6E34">
            <w:pPr>
              <w:autoSpaceDE w:val="0"/>
              <w:autoSpaceDN w:val="0"/>
              <w:adjustRightInd w:val="0"/>
              <w:rPr>
                <w:rFonts w:cs="Arial"/>
                <w:sz w:val="22"/>
                <w:szCs w:val="22"/>
              </w:rPr>
            </w:pPr>
            <w:r w:rsidRPr="0006110E">
              <w:rPr>
                <w:rFonts w:cs="Arial"/>
                <w:sz w:val="22"/>
                <w:szCs w:val="22"/>
              </w:rPr>
              <w:t xml:space="preserve">Committee </w:t>
            </w:r>
            <w:r>
              <w:rPr>
                <w:rFonts w:cs="Arial"/>
                <w:sz w:val="22"/>
                <w:szCs w:val="22"/>
              </w:rPr>
              <w:t>– Dr Brian Ensor, Judy Leader, Professor Michelle Glass,</w:t>
            </w:r>
            <w:r w:rsidR="00A63F63">
              <w:rPr>
                <w:rFonts w:cs="Arial"/>
                <w:sz w:val="22"/>
                <w:szCs w:val="22"/>
              </w:rPr>
              <w:t xml:space="preserve"> Dr David Burrell</w:t>
            </w:r>
            <w:r>
              <w:rPr>
                <w:rFonts w:cs="Arial"/>
                <w:sz w:val="22"/>
                <w:szCs w:val="22"/>
              </w:rPr>
              <w:t xml:space="preserve">, Manu Caddie, Kali Mercier, Tara </w:t>
            </w:r>
            <w:proofErr w:type="spellStart"/>
            <w:r>
              <w:rPr>
                <w:rFonts w:cs="Arial"/>
                <w:sz w:val="22"/>
                <w:szCs w:val="22"/>
              </w:rPr>
              <w:t>Creaven</w:t>
            </w:r>
            <w:r w:rsidR="00A63F63">
              <w:rPr>
                <w:rFonts w:cs="Arial"/>
                <w:sz w:val="22"/>
                <w:szCs w:val="22"/>
              </w:rPr>
              <w:t>-Capasso</w:t>
            </w:r>
            <w:proofErr w:type="spellEnd"/>
            <w:r w:rsidR="00A63F63">
              <w:rPr>
                <w:rFonts w:cs="Arial"/>
                <w:sz w:val="22"/>
                <w:szCs w:val="22"/>
              </w:rPr>
              <w:t>, Dr Andrew Butler, Suzy Barber, Simon Royal</w:t>
            </w:r>
            <w:r w:rsidR="00F80CEC">
              <w:rPr>
                <w:rFonts w:cs="Arial"/>
                <w:sz w:val="22"/>
                <w:szCs w:val="22"/>
              </w:rPr>
              <w:t xml:space="preserve">, Rebecca </w:t>
            </w:r>
            <w:proofErr w:type="spellStart"/>
            <w:r w:rsidR="00F80CEC">
              <w:rPr>
                <w:rFonts w:cs="Arial"/>
                <w:sz w:val="22"/>
                <w:szCs w:val="22"/>
              </w:rPr>
              <w:t>Reider</w:t>
            </w:r>
            <w:proofErr w:type="spellEnd"/>
            <w:r w:rsidR="00F80CEC">
              <w:rPr>
                <w:rFonts w:cs="Arial"/>
                <w:sz w:val="22"/>
                <w:szCs w:val="22"/>
              </w:rPr>
              <w:t xml:space="preserve"> (</w:t>
            </w:r>
            <w:r w:rsidR="005F5E1E">
              <w:rPr>
                <w:rFonts w:cs="Arial"/>
                <w:sz w:val="22"/>
                <w:szCs w:val="22"/>
              </w:rPr>
              <w:t>by</w:t>
            </w:r>
            <w:r w:rsidR="00F80CEC">
              <w:rPr>
                <w:rFonts w:cs="Arial"/>
                <w:sz w:val="22"/>
                <w:szCs w:val="22"/>
              </w:rPr>
              <w:t xml:space="preserve"> videoconference)</w:t>
            </w:r>
          </w:p>
          <w:p w14:paraId="2FEEE791" w14:textId="77777777" w:rsidR="00EB2DAC" w:rsidRDefault="00746AF3" w:rsidP="00AC6E34">
            <w:pPr>
              <w:pStyle w:val="TableText"/>
              <w:rPr>
                <w:rFonts w:cs="Arial"/>
                <w:sz w:val="22"/>
                <w:szCs w:val="22"/>
              </w:rPr>
            </w:pPr>
            <w:r w:rsidRPr="004F4DCC">
              <w:rPr>
                <w:rFonts w:cs="Arial"/>
                <w:sz w:val="22"/>
                <w:szCs w:val="22"/>
              </w:rPr>
              <w:t xml:space="preserve">Secretariat – </w:t>
            </w:r>
            <w:r>
              <w:rPr>
                <w:rFonts w:cs="Arial"/>
                <w:sz w:val="22"/>
                <w:szCs w:val="22"/>
              </w:rPr>
              <w:t xml:space="preserve">Andrea </w:t>
            </w:r>
            <w:proofErr w:type="spellStart"/>
            <w:r>
              <w:rPr>
                <w:rFonts w:cs="Arial"/>
                <w:sz w:val="22"/>
                <w:szCs w:val="22"/>
              </w:rPr>
              <w:t>Eng</w:t>
            </w:r>
            <w:proofErr w:type="spellEnd"/>
            <w:r w:rsidRPr="004F4DCC">
              <w:rPr>
                <w:rFonts w:cs="Arial"/>
                <w:sz w:val="22"/>
                <w:szCs w:val="22"/>
              </w:rPr>
              <w:t xml:space="preserve">, </w:t>
            </w:r>
            <w:r>
              <w:rPr>
                <w:rFonts w:cs="Arial"/>
                <w:sz w:val="22"/>
                <w:szCs w:val="22"/>
              </w:rPr>
              <w:t>Kayla Cook, Cherish Low, Valerie Mills</w:t>
            </w:r>
            <w:r w:rsidR="00EB2DAC">
              <w:rPr>
                <w:rFonts w:cs="Arial"/>
                <w:sz w:val="22"/>
                <w:szCs w:val="22"/>
              </w:rPr>
              <w:t xml:space="preserve">, </w:t>
            </w:r>
            <w:r w:rsidR="00AD689B">
              <w:rPr>
                <w:rFonts w:cs="Arial"/>
                <w:sz w:val="22"/>
                <w:szCs w:val="22"/>
              </w:rPr>
              <w:t>Susan Thomson</w:t>
            </w:r>
          </w:p>
          <w:p w14:paraId="7B366357" w14:textId="77777777" w:rsidR="00746AF3" w:rsidRPr="00006665" w:rsidRDefault="00EB2DAC" w:rsidP="00AC6E34">
            <w:pPr>
              <w:pStyle w:val="TableText"/>
              <w:rPr>
                <w:rFonts w:cs="Arial"/>
                <w:sz w:val="22"/>
                <w:szCs w:val="22"/>
              </w:rPr>
            </w:pPr>
            <w:r>
              <w:rPr>
                <w:rFonts w:cs="Arial"/>
                <w:sz w:val="22"/>
                <w:szCs w:val="22"/>
              </w:rPr>
              <w:t xml:space="preserve">Ministry of Health – </w:t>
            </w:r>
            <w:r w:rsidR="00F80CEC">
              <w:rPr>
                <w:rFonts w:cs="Arial"/>
                <w:sz w:val="22"/>
                <w:szCs w:val="22"/>
              </w:rPr>
              <w:t xml:space="preserve">Chris James, </w:t>
            </w:r>
            <w:r>
              <w:rPr>
                <w:rFonts w:cs="Arial"/>
                <w:sz w:val="22"/>
                <w:szCs w:val="22"/>
              </w:rPr>
              <w:t xml:space="preserve">Jane Hubbard, Sharon </w:t>
            </w:r>
            <w:proofErr w:type="spellStart"/>
            <w:r>
              <w:rPr>
                <w:rFonts w:cs="Arial"/>
                <w:sz w:val="22"/>
                <w:szCs w:val="22"/>
              </w:rPr>
              <w:t>Woollaston</w:t>
            </w:r>
            <w:proofErr w:type="spellEnd"/>
            <w:r w:rsidR="000943F6">
              <w:rPr>
                <w:rFonts w:cs="Arial"/>
                <w:sz w:val="22"/>
                <w:szCs w:val="22"/>
              </w:rPr>
              <w:t xml:space="preserve">, Emma Hindson, Leonard </w:t>
            </w:r>
            <w:proofErr w:type="spellStart"/>
            <w:r w:rsidR="000943F6">
              <w:rPr>
                <w:rFonts w:cs="Arial"/>
                <w:sz w:val="22"/>
                <w:szCs w:val="22"/>
              </w:rPr>
              <w:t>Hewa</w:t>
            </w:r>
            <w:proofErr w:type="spellEnd"/>
          </w:p>
        </w:tc>
      </w:tr>
      <w:tr w:rsidR="00746AF3" w:rsidRPr="00692620" w14:paraId="57F3E65F" w14:textId="77777777" w:rsidTr="006A4320">
        <w:trPr>
          <w:cantSplit/>
          <w:trHeight w:val="475"/>
        </w:trPr>
        <w:tc>
          <w:tcPr>
            <w:tcW w:w="1440" w:type="dxa"/>
            <w:tcBorders>
              <w:top w:val="single" w:sz="12" w:space="0" w:color="auto"/>
              <w:bottom w:val="single" w:sz="2" w:space="0" w:color="auto"/>
              <w:right w:val="nil"/>
            </w:tcBorders>
          </w:tcPr>
          <w:p w14:paraId="0FD398C7" w14:textId="77777777" w:rsidR="00746AF3" w:rsidRPr="00EF0B2D" w:rsidRDefault="00746AF3" w:rsidP="00AC6E34">
            <w:pPr>
              <w:pStyle w:val="TableText"/>
              <w:rPr>
                <w:rFonts w:cs="Arial"/>
                <w:b/>
                <w:sz w:val="22"/>
                <w:szCs w:val="22"/>
              </w:rPr>
            </w:pPr>
            <w:r w:rsidRPr="00EF0B2D">
              <w:rPr>
                <w:rFonts w:cs="Arial"/>
                <w:b/>
                <w:sz w:val="22"/>
                <w:szCs w:val="22"/>
              </w:rPr>
              <w:t>Apologies:</w:t>
            </w:r>
          </w:p>
        </w:tc>
        <w:tc>
          <w:tcPr>
            <w:tcW w:w="8460" w:type="dxa"/>
            <w:tcBorders>
              <w:top w:val="single" w:sz="12" w:space="0" w:color="auto"/>
              <w:left w:val="nil"/>
              <w:bottom w:val="single" w:sz="2" w:space="0" w:color="auto"/>
              <w:right w:val="nil"/>
            </w:tcBorders>
          </w:tcPr>
          <w:p w14:paraId="4398CCC1" w14:textId="77777777" w:rsidR="00746AF3" w:rsidRPr="00006665" w:rsidRDefault="00244A86" w:rsidP="00AC6E34">
            <w:pPr>
              <w:pStyle w:val="TableText"/>
              <w:rPr>
                <w:rFonts w:cs="Arial"/>
                <w:sz w:val="22"/>
                <w:szCs w:val="22"/>
              </w:rPr>
            </w:pPr>
            <w:r>
              <w:rPr>
                <w:rFonts w:cs="Arial"/>
                <w:sz w:val="22"/>
                <w:szCs w:val="22"/>
              </w:rPr>
              <w:t xml:space="preserve">Dr </w:t>
            </w:r>
            <w:r w:rsidR="00F80CEC">
              <w:rPr>
                <w:rFonts w:cs="Arial"/>
                <w:sz w:val="22"/>
                <w:szCs w:val="22"/>
              </w:rPr>
              <w:t>Cynthia Sharpe</w:t>
            </w:r>
          </w:p>
        </w:tc>
      </w:tr>
    </w:tbl>
    <w:p w14:paraId="42D9B7AF" w14:textId="77777777" w:rsidR="00746AF3" w:rsidRDefault="00746AF3" w:rsidP="00AC6E34">
      <w:pPr>
        <w:rPr>
          <w:sz w:val="22"/>
          <w:szCs w:val="22"/>
        </w:rPr>
      </w:pPr>
    </w:p>
    <w:tbl>
      <w:tblPr>
        <w:tblStyle w:val="TableGrid"/>
        <w:tblW w:w="9877" w:type="dxa"/>
        <w:tblInd w:w="108" w:type="dxa"/>
        <w:tblLook w:val="01E0" w:firstRow="1" w:lastRow="1" w:firstColumn="1" w:lastColumn="1" w:noHBand="0" w:noVBand="0"/>
      </w:tblPr>
      <w:tblGrid>
        <w:gridCol w:w="669"/>
        <w:gridCol w:w="9208"/>
      </w:tblGrid>
      <w:tr w:rsidR="006A4320" w:rsidRPr="00FA0D8E" w14:paraId="2DEA95AC" w14:textId="77777777" w:rsidTr="00E643CE">
        <w:trPr>
          <w:tblHeader/>
        </w:trPr>
        <w:tc>
          <w:tcPr>
            <w:tcW w:w="669" w:type="dxa"/>
            <w:shd w:val="clear" w:color="auto" w:fill="DEEAF6" w:themeFill="accent1" w:themeFillTint="33"/>
          </w:tcPr>
          <w:p w14:paraId="35688101" w14:textId="77777777" w:rsidR="006A4320" w:rsidRPr="00D92E55" w:rsidRDefault="00D92E55" w:rsidP="00AC6E34">
            <w:pPr>
              <w:tabs>
                <w:tab w:val="right" w:leader="underscore" w:pos="5670"/>
                <w:tab w:val="left" w:pos="6237"/>
              </w:tabs>
              <w:spacing w:before="60" w:after="60"/>
              <w:jc w:val="center"/>
              <w:rPr>
                <w:rFonts w:cs="Arial"/>
                <w:b/>
                <w:sz w:val="22"/>
                <w:szCs w:val="22"/>
              </w:rPr>
            </w:pPr>
            <w:r w:rsidRPr="00D92E55">
              <w:rPr>
                <w:rFonts w:cs="Arial"/>
                <w:b/>
                <w:sz w:val="22"/>
                <w:szCs w:val="22"/>
              </w:rPr>
              <w:t>Item</w:t>
            </w:r>
          </w:p>
        </w:tc>
        <w:tc>
          <w:tcPr>
            <w:tcW w:w="9208" w:type="dxa"/>
            <w:shd w:val="clear" w:color="auto" w:fill="DEEAF6" w:themeFill="accent1" w:themeFillTint="33"/>
          </w:tcPr>
          <w:p w14:paraId="0529C155" w14:textId="77777777" w:rsidR="006A4320" w:rsidRPr="00FA0D8E" w:rsidRDefault="006A4320" w:rsidP="00AC6E34">
            <w:pPr>
              <w:tabs>
                <w:tab w:val="right" w:leader="underscore" w:pos="5670"/>
                <w:tab w:val="left" w:pos="6237"/>
              </w:tabs>
              <w:spacing w:before="60" w:after="60"/>
              <w:rPr>
                <w:rFonts w:cs="Arial"/>
                <w:sz w:val="22"/>
                <w:szCs w:val="22"/>
              </w:rPr>
            </w:pPr>
            <w:r>
              <w:rPr>
                <w:rFonts w:cs="Arial"/>
                <w:b/>
                <w:sz w:val="22"/>
                <w:szCs w:val="22"/>
              </w:rPr>
              <w:t>Notes</w:t>
            </w:r>
          </w:p>
        </w:tc>
      </w:tr>
      <w:tr w:rsidR="00D92E55" w:rsidRPr="00FA0D8E" w14:paraId="2E48DCE3" w14:textId="77777777" w:rsidTr="00E643CE">
        <w:tc>
          <w:tcPr>
            <w:tcW w:w="669" w:type="dxa"/>
          </w:tcPr>
          <w:p w14:paraId="1B7CBF61" w14:textId="77777777" w:rsidR="00D92E55" w:rsidRPr="006A4320" w:rsidRDefault="00D92E55"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1BC6A230" w14:textId="1EE7AC63" w:rsidR="00D92E55" w:rsidRPr="006A4320" w:rsidRDefault="00D92E55" w:rsidP="00AC6E34">
            <w:pPr>
              <w:tabs>
                <w:tab w:val="right" w:leader="underscore" w:pos="5670"/>
                <w:tab w:val="left" w:pos="6237"/>
              </w:tabs>
              <w:spacing w:before="60" w:after="60"/>
              <w:ind w:left="23"/>
              <w:rPr>
                <w:rFonts w:cs="Arial"/>
                <w:b/>
                <w:sz w:val="22"/>
                <w:szCs w:val="22"/>
              </w:rPr>
            </w:pPr>
            <w:r>
              <w:rPr>
                <w:rFonts w:cs="Arial"/>
                <w:b/>
                <w:sz w:val="22"/>
                <w:szCs w:val="22"/>
              </w:rPr>
              <w:t xml:space="preserve">Meeting </w:t>
            </w:r>
            <w:r w:rsidR="000456F2">
              <w:rPr>
                <w:rFonts w:cs="Arial"/>
                <w:b/>
                <w:sz w:val="22"/>
                <w:szCs w:val="22"/>
              </w:rPr>
              <w:t>commenced</w:t>
            </w:r>
            <w:r>
              <w:rPr>
                <w:rFonts w:cs="Arial"/>
                <w:b/>
                <w:sz w:val="22"/>
                <w:szCs w:val="22"/>
              </w:rPr>
              <w:t xml:space="preserve"> 9.40am</w:t>
            </w:r>
          </w:p>
        </w:tc>
      </w:tr>
      <w:tr w:rsidR="006A4320" w:rsidRPr="00FA0D8E" w14:paraId="440A0AE1" w14:textId="77777777" w:rsidTr="00E643CE">
        <w:tc>
          <w:tcPr>
            <w:tcW w:w="669" w:type="dxa"/>
          </w:tcPr>
          <w:p w14:paraId="3C4EB4F3" w14:textId="77777777" w:rsidR="006A4320" w:rsidRPr="006A4320" w:rsidRDefault="006A4320"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3280A8DE" w14:textId="77777777" w:rsidR="006A4320" w:rsidRDefault="006A4320" w:rsidP="00AC6E34">
            <w:pPr>
              <w:tabs>
                <w:tab w:val="right" w:leader="underscore" w:pos="5670"/>
                <w:tab w:val="left" w:pos="6237"/>
              </w:tabs>
              <w:spacing w:before="60" w:after="60"/>
              <w:ind w:left="23"/>
              <w:rPr>
                <w:rFonts w:cs="Arial"/>
                <w:b/>
                <w:sz w:val="22"/>
                <w:szCs w:val="22"/>
              </w:rPr>
            </w:pPr>
            <w:r w:rsidRPr="006A4320">
              <w:rPr>
                <w:rFonts w:cs="Arial"/>
                <w:b/>
                <w:sz w:val="22"/>
                <w:szCs w:val="22"/>
              </w:rPr>
              <w:t>Overview of Medicinal Cannabis Scheme Proposals</w:t>
            </w:r>
          </w:p>
          <w:p w14:paraId="0CDB1748" w14:textId="1520B682" w:rsidR="000456F2" w:rsidRDefault="000456F2" w:rsidP="00AC6E34">
            <w:pPr>
              <w:tabs>
                <w:tab w:val="right" w:leader="underscore" w:pos="5670"/>
                <w:tab w:val="left" w:pos="6237"/>
              </w:tabs>
              <w:spacing w:before="60" w:after="60"/>
              <w:ind w:left="23"/>
              <w:rPr>
                <w:rFonts w:cs="Arial"/>
                <w:sz w:val="22"/>
                <w:szCs w:val="22"/>
              </w:rPr>
            </w:pPr>
            <w:r>
              <w:rPr>
                <w:rFonts w:cs="Arial"/>
                <w:sz w:val="22"/>
                <w:szCs w:val="22"/>
              </w:rPr>
              <w:t>The Secretariat gave a brief overview of the Medicinal Cannabis Sc</w:t>
            </w:r>
            <w:r w:rsidR="003331A6">
              <w:rPr>
                <w:rFonts w:cs="Arial"/>
                <w:sz w:val="22"/>
                <w:szCs w:val="22"/>
              </w:rPr>
              <w:t xml:space="preserve">heme Proposals (the Proposals) </w:t>
            </w:r>
            <w:r>
              <w:rPr>
                <w:rFonts w:cs="Arial"/>
                <w:sz w:val="22"/>
                <w:szCs w:val="22"/>
              </w:rPr>
              <w:t>outlining</w:t>
            </w:r>
            <w:r w:rsidR="003331A6">
              <w:rPr>
                <w:rFonts w:cs="Arial"/>
                <w:sz w:val="22"/>
                <w:szCs w:val="22"/>
              </w:rPr>
              <w:t>:</w:t>
            </w:r>
            <w:r>
              <w:rPr>
                <w:rFonts w:cs="Arial"/>
                <w:sz w:val="22"/>
                <w:szCs w:val="22"/>
              </w:rPr>
              <w:t xml:space="preserve"> quality standards for cultivation, manufactu</w:t>
            </w:r>
            <w:r w:rsidR="003331A6">
              <w:rPr>
                <w:rFonts w:cs="Arial"/>
                <w:sz w:val="22"/>
                <w:szCs w:val="22"/>
              </w:rPr>
              <w:t xml:space="preserve">re, API, and finished products, </w:t>
            </w:r>
            <w:r>
              <w:rPr>
                <w:rFonts w:cs="Arial"/>
                <w:sz w:val="22"/>
                <w:szCs w:val="22"/>
              </w:rPr>
              <w:t xml:space="preserve">licencing requirements, the interface between medicinal cannabis and industrial hemp, small scale vs. large scale licences, limits on declaring seed, limits on transfer between researchers, licence conditions, prescribing requirements, and fees. </w:t>
            </w:r>
          </w:p>
          <w:p w14:paraId="4C18D556" w14:textId="77777777" w:rsidR="000456F2" w:rsidRDefault="000456F2" w:rsidP="00AC6E34">
            <w:pPr>
              <w:pStyle w:val="ListParagraph"/>
              <w:tabs>
                <w:tab w:val="right" w:leader="underscore" w:pos="5670"/>
                <w:tab w:val="left" w:pos="6237"/>
              </w:tabs>
              <w:spacing w:before="60" w:after="60"/>
              <w:ind w:left="383"/>
              <w:rPr>
                <w:rFonts w:cs="Arial"/>
                <w:sz w:val="22"/>
                <w:szCs w:val="22"/>
              </w:rPr>
            </w:pPr>
          </w:p>
          <w:p w14:paraId="6FBD1636" w14:textId="23065386" w:rsidR="006B7ACA" w:rsidRPr="000456F2" w:rsidRDefault="000456F2" w:rsidP="00AC6E34">
            <w:pPr>
              <w:tabs>
                <w:tab w:val="right" w:leader="underscore" w:pos="5670"/>
                <w:tab w:val="left" w:pos="6237"/>
              </w:tabs>
              <w:spacing w:before="60" w:after="60"/>
              <w:rPr>
                <w:rFonts w:cs="Arial"/>
                <w:sz w:val="22"/>
                <w:szCs w:val="22"/>
              </w:rPr>
            </w:pPr>
            <w:r>
              <w:rPr>
                <w:rFonts w:cs="Arial"/>
                <w:sz w:val="22"/>
                <w:szCs w:val="22"/>
              </w:rPr>
              <w:t>The Medicinal Cannabis Advisory Group (the Advisory Group) noted that they w</w:t>
            </w:r>
            <w:r w:rsidR="003331A6">
              <w:rPr>
                <w:rFonts w:cs="Arial"/>
                <w:sz w:val="22"/>
                <w:szCs w:val="22"/>
              </w:rPr>
              <w:t xml:space="preserve">ould like to continue discussion </w:t>
            </w:r>
            <w:r w:rsidR="00DE4233">
              <w:rPr>
                <w:rFonts w:cs="Arial"/>
                <w:sz w:val="22"/>
                <w:szCs w:val="22"/>
              </w:rPr>
              <w:t xml:space="preserve">during this meeting </w:t>
            </w:r>
            <w:r w:rsidR="003331A6">
              <w:rPr>
                <w:rFonts w:cs="Arial"/>
                <w:sz w:val="22"/>
                <w:szCs w:val="22"/>
              </w:rPr>
              <w:t>regarding</w:t>
            </w:r>
            <w:r>
              <w:rPr>
                <w:rFonts w:cs="Arial"/>
                <w:sz w:val="22"/>
                <w:szCs w:val="22"/>
              </w:rPr>
              <w:t xml:space="preserve"> t</w:t>
            </w:r>
            <w:r w:rsidR="006B7ACA" w:rsidRPr="000456F2">
              <w:rPr>
                <w:rFonts w:cs="Arial"/>
                <w:sz w:val="22"/>
                <w:szCs w:val="22"/>
              </w:rPr>
              <w:t>hree policy issues</w:t>
            </w:r>
            <w:r>
              <w:rPr>
                <w:rFonts w:cs="Arial"/>
                <w:sz w:val="22"/>
                <w:szCs w:val="22"/>
              </w:rPr>
              <w:t>:</w:t>
            </w:r>
            <w:r w:rsidR="006B7ACA" w:rsidRPr="000456F2">
              <w:rPr>
                <w:rFonts w:cs="Arial"/>
                <w:sz w:val="22"/>
                <w:szCs w:val="22"/>
              </w:rPr>
              <w:t xml:space="preserve"> </w:t>
            </w:r>
            <w:r>
              <w:rPr>
                <w:rFonts w:cs="Arial"/>
                <w:sz w:val="22"/>
                <w:szCs w:val="22"/>
              </w:rPr>
              <w:t>f</w:t>
            </w:r>
            <w:r w:rsidR="006B7ACA" w:rsidRPr="000456F2">
              <w:rPr>
                <w:rFonts w:cs="Arial"/>
                <w:sz w:val="22"/>
                <w:szCs w:val="22"/>
              </w:rPr>
              <w:t xml:space="preserve">unding, equity, </w:t>
            </w:r>
            <w:r>
              <w:rPr>
                <w:rFonts w:cs="Arial"/>
                <w:sz w:val="22"/>
                <w:szCs w:val="22"/>
              </w:rPr>
              <w:t xml:space="preserve">and </w:t>
            </w:r>
            <w:r w:rsidR="006B7ACA" w:rsidRPr="000456F2">
              <w:rPr>
                <w:rFonts w:cs="Arial"/>
                <w:sz w:val="22"/>
                <w:szCs w:val="22"/>
              </w:rPr>
              <w:t>education for prescribers.</w:t>
            </w:r>
          </w:p>
        </w:tc>
      </w:tr>
      <w:tr w:rsidR="006A4320" w:rsidRPr="00FA0D8E" w14:paraId="6C4264FC" w14:textId="77777777" w:rsidTr="00E643CE">
        <w:tc>
          <w:tcPr>
            <w:tcW w:w="669" w:type="dxa"/>
          </w:tcPr>
          <w:p w14:paraId="50503DEB" w14:textId="77777777" w:rsidR="006A4320" w:rsidRPr="006A4320" w:rsidRDefault="006A4320"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31643497" w14:textId="2C4B123E" w:rsidR="006A4320" w:rsidRPr="006A4320" w:rsidRDefault="006A4320" w:rsidP="00AC6E34">
            <w:pPr>
              <w:spacing w:before="60" w:after="60"/>
              <w:rPr>
                <w:rFonts w:cs="Arial"/>
                <w:b/>
                <w:sz w:val="22"/>
                <w:szCs w:val="22"/>
              </w:rPr>
            </w:pPr>
            <w:r w:rsidRPr="006A4320">
              <w:rPr>
                <w:rFonts w:cs="Arial"/>
                <w:b/>
                <w:sz w:val="22"/>
                <w:szCs w:val="22"/>
              </w:rPr>
              <w:t>Morning tea break</w:t>
            </w:r>
            <w:r w:rsidR="003331A6">
              <w:rPr>
                <w:rFonts w:cs="Arial"/>
                <w:b/>
                <w:sz w:val="22"/>
                <w:szCs w:val="22"/>
              </w:rPr>
              <w:t xml:space="preserve"> 10.50am</w:t>
            </w:r>
            <w:r w:rsidR="0010101F" w:rsidRPr="0010101F">
              <w:rPr>
                <w:rFonts w:cs="Arial"/>
                <w:b/>
                <w:sz w:val="22"/>
                <w:szCs w:val="22"/>
              </w:rPr>
              <w:t>–</w:t>
            </w:r>
            <w:r w:rsidR="003331A6">
              <w:rPr>
                <w:rFonts w:cs="Arial"/>
                <w:b/>
                <w:sz w:val="22"/>
                <w:szCs w:val="22"/>
              </w:rPr>
              <w:t>11.00am</w:t>
            </w:r>
          </w:p>
        </w:tc>
      </w:tr>
      <w:tr w:rsidR="006A4320" w:rsidRPr="00FA0D8E" w14:paraId="218AFF18" w14:textId="77777777" w:rsidTr="00E643CE">
        <w:tc>
          <w:tcPr>
            <w:tcW w:w="669" w:type="dxa"/>
          </w:tcPr>
          <w:p w14:paraId="4A291979" w14:textId="77777777" w:rsidR="006A4320" w:rsidRPr="006A4320" w:rsidRDefault="006A4320"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473A35DA" w14:textId="77777777" w:rsidR="003331A6" w:rsidRPr="003331A6" w:rsidRDefault="003331A6" w:rsidP="00AC6E34">
            <w:pPr>
              <w:tabs>
                <w:tab w:val="right" w:leader="underscore" w:pos="5670"/>
                <w:tab w:val="left" w:pos="6237"/>
              </w:tabs>
              <w:spacing w:before="60" w:after="60"/>
              <w:rPr>
                <w:rFonts w:cs="Arial"/>
                <w:sz w:val="22"/>
                <w:szCs w:val="22"/>
              </w:rPr>
            </w:pPr>
            <w:r>
              <w:rPr>
                <w:rFonts w:cs="Arial"/>
                <w:sz w:val="22"/>
                <w:szCs w:val="22"/>
              </w:rPr>
              <w:t>The Secretariat presented the proposals for quality standards:</w:t>
            </w:r>
          </w:p>
          <w:p w14:paraId="1F30BACC" w14:textId="77777777" w:rsidR="006A4320" w:rsidRDefault="003331A6" w:rsidP="00AC6E34">
            <w:pPr>
              <w:tabs>
                <w:tab w:val="right" w:leader="underscore" w:pos="5670"/>
                <w:tab w:val="left" w:pos="6237"/>
              </w:tabs>
              <w:spacing w:before="60" w:after="60"/>
              <w:rPr>
                <w:rFonts w:cs="Arial"/>
                <w:b/>
                <w:sz w:val="22"/>
                <w:szCs w:val="22"/>
              </w:rPr>
            </w:pPr>
            <w:r>
              <w:rPr>
                <w:rFonts w:cs="Arial"/>
                <w:b/>
                <w:sz w:val="22"/>
                <w:szCs w:val="22"/>
              </w:rPr>
              <w:t>Quality standards for c</w:t>
            </w:r>
            <w:r w:rsidR="006A4320" w:rsidRPr="003331A6">
              <w:rPr>
                <w:rFonts w:cs="Arial"/>
                <w:b/>
                <w:sz w:val="22"/>
                <w:szCs w:val="22"/>
              </w:rPr>
              <w:t>ultivation</w:t>
            </w:r>
          </w:p>
          <w:p w14:paraId="2B7AEC58" w14:textId="701EF627" w:rsidR="007A13D9" w:rsidRPr="007A13D9" w:rsidRDefault="007A13D9" w:rsidP="00AC6E34">
            <w:pPr>
              <w:tabs>
                <w:tab w:val="right" w:leader="underscore" w:pos="5670"/>
                <w:tab w:val="left" w:pos="6237"/>
              </w:tabs>
              <w:spacing w:before="60" w:after="60"/>
              <w:rPr>
                <w:rFonts w:cs="Arial"/>
                <w:sz w:val="22"/>
                <w:szCs w:val="22"/>
              </w:rPr>
            </w:pPr>
            <w:r>
              <w:rPr>
                <w:rFonts w:cs="Arial"/>
                <w:sz w:val="22"/>
                <w:szCs w:val="22"/>
              </w:rPr>
              <w:t xml:space="preserve">The Advisory Group noted that there was a strong preference in the </w:t>
            </w:r>
            <w:r w:rsidR="00451573" w:rsidRPr="00451573">
              <w:rPr>
                <w:rFonts w:cs="Arial"/>
                <w:sz w:val="22"/>
                <w:szCs w:val="22"/>
              </w:rPr>
              <w:t>Medicinal Scheme Consultation (the Consultation)</w:t>
            </w:r>
            <w:r>
              <w:rPr>
                <w:rFonts w:cs="Arial"/>
                <w:sz w:val="22"/>
                <w:szCs w:val="22"/>
              </w:rPr>
              <w:t xml:space="preserve"> feedback in support of the cultivator meeting the manufacturer’s quality standard.</w:t>
            </w:r>
          </w:p>
          <w:p w14:paraId="25C9A358" w14:textId="77777777" w:rsidR="007A13D9" w:rsidRDefault="007A13D9" w:rsidP="00AC6E34">
            <w:pPr>
              <w:tabs>
                <w:tab w:val="right" w:leader="underscore" w:pos="5670"/>
                <w:tab w:val="left" w:pos="6237"/>
              </w:tabs>
              <w:spacing w:before="60" w:after="60"/>
              <w:rPr>
                <w:rFonts w:cs="Arial"/>
                <w:sz w:val="22"/>
                <w:szCs w:val="22"/>
              </w:rPr>
            </w:pPr>
          </w:p>
          <w:p w14:paraId="438C235C" w14:textId="77777777" w:rsidR="000A32B3" w:rsidRDefault="007A13D9" w:rsidP="00AC6E34">
            <w:pPr>
              <w:tabs>
                <w:tab w:val="right" w:leader="underscore" w:pos="5670"/>
                <w:tab w:val="left" w:pos="6237"/>
              </w:tabs>
              <w:spacing w:before="60" w:after="60"/>
              <w:rPr>
                <w:rFonts w:cs="Arial"/>
                <w:sz w:val="22"/>
                <w:szCs w:val="22"/>
              </w:rPr>
            </w:pPr>
            <w:r>
              <w:rPr>
                <w:rFonts w:cs="Arial"/>
                <w:sz w:val="22"/>
                <w:szCs w:val="22"/>
              </w:rPr>
              <w:t>A question was raised as to what the limits on pesticides would be. The Secretariat advised that they were currently working with both the Ministry for Primary Industries (MPI) and the Institute of Environmental Science and Research (ESR) to develop a New Zealand specific pesticide standard.</w:t>
            </w:r>
          </w:p>
          <w:p w14:paraId="723569B2" w14:textId="77777777" w:rsidR="007A13D9" w:rsidRPr="007A13D9" w:rsidRDefault="007A13D9" w:rsidP="00AC6E34">
            <w:pPr>
              <w:tabs>
                <w:tab w:val="right" w:leader="underscore" w:pos="5670"/>
                <w:tab w:val="left" w:pos="6237"/>
              </w:tabs>
              <w:spacing w:before="60" w:after="60"/>
              <w:rPr>
                <w:rFonts w:cs="Arial"/>
                <w:sz w:val="22"/>
                <w:szCs w:val="22"/>
              </w:rPr>
            </w:pPr>
          </w:p>
          <w:p w14:paraId="0624B360" w14:textId="77777777" w:rsidR="000A32B3" w:rsidRDefault="007A13D9" w:rsidP="00AC6E34">
            <w:pPr>
              <w:tabs>
                <w:tab w:val="right" w:leader="underscore" w:pos="5670"/>
                <w:tab w:val="left" w:pos="6237"/>
              </w:tabs>
              <w:spacing w:before="60" w:after="60"/>
              <w:rPr>
                <w:rFonts w:cs="Arial"/>
                <w:b/>
                <w:sz w:val="22"/>
                <w:szCs w:val="22"/>
              </w:rPr>
            </w:pPr>
            <w:r>
              <w:rPr>
                <w:rFonts w:cs="Arial"/>
                <w:b/>
                <w:sz w:val="22"/>
                <w:szCs w:val="22"/>
              </w:rPr>
              <w:t>Quality standards for m</w:t>
            </w:r>
            <w:r w:rsidR="006A4320" w:rsidRPr="007A13D9">
              <w:rPr>
                <w:rFonts w:cs="Arial"/>
                <w:b/>
                <w:sz w:val="22"/>
                <w:szCs w:val="22"/>
              </w:rPr>
              <w:t>anufactur</w:t>
            </w:r>
            <w:r>
              <w:rPr>
                <w:rFonts w:cs="Arial"/>
                <w:b/>
                <w:sz w:val="22"/>
                <w:szCs w:val="22"/>
              </w:rPr>
              <w:t>ing</w:t>
            </w:r>
          </w:p>
          <w:p w14:paraId="490217F5" w14:textId="282D8C13" w:rsidR="007A13D9" w:rsidRDefault="007A13D9" w:rsidP="00AC6E34">
            <w:pPr>
              <w:tabs>
                <w:tab w:val="right" w:leader="underscore" w:pos="5670"/>
                <w:tab w:val="left" w:pos="6237"/>
              </w:tabs>
              <w:spacing w:before="60" w:after="60"/>
              <w:rPr>
                <w:rFonts w:cs="Arial"/>
                <w:sz w:val="22"/>
                <w:szCs w:val="22"/>
              </w:rPr>
            </w:pPr>
            <w:r>
              <w:rPr>
                <w:rFonts w:cs="Arial"/>
                <w:sz w:val="22"/>
                <w:szCs w:val="22"/>
              </w:rPr>
              <w:t xml:space="preserve">The Advisory Group discussed </w:t>
            </w:r>
            <w:r w:rsidR="00486AF5">
              <w:rPr>
                <w:rFonts w:cs="Arial"/>
                <w:sz w:val="22"/>
                <w:szCs w:val="22"/>
              </w:rPr>
              <w:t>the feedback</w:t>
            </w:r>
            <w:r w:rsidR="00AF21C7">
              <w:rPr>
                <w:rFonts w:cs="Arial"/>
                <w:sz w:val="22"/>
                <w:szCs w:val="22"/>
              </w:rPr>
              <w:t xml:space="preserve"> from the Consultation</w:t>
            </w:r>
            <w:r w:rsidR="00486AF5">
              <w:rPr>
                <w:rFonts w:cs="Arial"/>
                <w:sz w:val="22"/>
                <w:szCs w:val="22"/>
              </w:rPr>
              <w:t xml:space="preserve"> </w:t>
            </w:r>
            <w:r w:rsidR="004E0A8A">
              <w:rPr>
                <w:rFonts w:cs="Arial"/>
                <w:sz w:val="22"/>
                <w:szCs w:val="22"/>
              </w:rPr>
              <w:t>on</w:t>
            </w:r>
            <w:r w:rsidR="00486AF5">
              <w:rPr>
                <w:rFonts w:cs="Arial"/>
                <w:sz w:val="22"/>
                <w:szCs w:val="22"/>
              </w:rPr>
              <w:t xml:space="preserve"> the quality standard for manufacturing. In general, </w:t>
            </w:r>
            <w:r w:rsidR="004E0A8A">
              <w:rPr>
                <w:rFonts w:cs="Arial"/>
                <w:sz w:val="22"/>
                <w:szCs w:val="22"/>
              </w:rPr>
              <w:t>feedback from i</w:t>
            </w:r>
            <w:r w:rsidR="00486AF5">
              <w:rPr>
                <w:rFonts w:cs="Arial"/>
                <w:sz w:val="22"/>
                <w:szCs w:val="22"/>
              </w:rPr>
              <w:t xml:space="preserve">ndustry stakeholders </w:t>
            </w:r>
            <w:r w:rsidR="004E0A8A">
              <w:rPr>
                <w:rFonts w:cs="Arial"/>
                <w:sz w:val="22"/>
                <w:szCs w:val="22"/>
              </w:rPr>
              <w:t>indicated a preference for</w:t>
            </w:r>
            <w:r w:rsidR="00486AF5">
              <w:rPr>
                <w:rFonts w:cs="Arial"/>
                <w:sz w:val="22"/>
                <w:szCs w:val="22"/>
              </w:rPr>
              <w:t xml:space="preserve"> </w:t>
            </w:r>
            <w:r w:rsidR="00451573">
              <w:rPr>
                <w:rFonts w:cs="Arial"/>
                <w:sz w:val="22"/>
                <w:szCs w:val="22"/>
              </w:rPr>
              <w:t xml:space="preserve">the </w:t>
            </w:r>
            <w:r w:rsidR="00486AF5">
              <w:rPr>
                <w:rFonts w:cs="Arial"/>
                <w:sz w:val="22"/>
                <w:szCs w:val="22"/>
              </w:rPr>
              <w:t>Good Manufacturing Practice (GMP)</w:t>
            </w:r>
            <w:r w:rsidR="00D24919">
              <w:rPr>
                <w:rFonts w:cs="Arial"/>
                <w:sz w:val="22"/>
                <w:szCs w:val="22"/>
              </w:rPr>
              <w:t xml:space="preserve"> standard</w:t>
            </w:r>
            <w:r w:rsidR="00486AF5">
              <w:rPr>
                <w:rFonts w:cs="Arial"/>
                <w:sz w:val="22"/>
                <w:szCs w:val="22"/>
              </w:rPr>
              <w:t xml:space="preserve">. Consumers/patients indicated a strong preference for a combination of GMP and </w:t>
            </w:r>
            <w:r w:rsidR="004E0A8A">
              <w:rPr>
                <w:rFonts w:cs="Arial"/>
                <w:sz w:val="22"/>
                <w:szCs w:val="22"/>
              </w:rPr>
              <w:t xml:space="preserve">a New Zealand specific </w:t>
            </w:r>
            <w:r w:rsidR="00486AF5">
              <w:rPr>
                <w:rFonts w:cs="Arial"/>
                <w:sz w:val="22"/>
                <w:szCs w:val="22"/>
              </w:rPr>
              <w:t xml:space="preserve">Good Production </w:t>
            </w:r>
            <w:r w:rsidR="00486AF5">
              <w:rPr>
                <w:rFonts w:cs="Arial"/>
                <w:sz w:val="22"/>
                <w:szCs w:val="22"/>
              </w:rPr>
              <w:lastRenderedPageBreak/>
              <w:t>Practice</w:t>
            </w:r>
            <w:r w:rsidR="00451573">
              <w:rPr>
                <w:rFonts w:cs="Arial"/>
                <w:sz w:val="22"/>
                <w:szCs w:val="22"/>
              </w:rPr>
              <w:t>s</w:t>
            </w:r>
            <w:r w:rsidR="004E0A8A">
              <w:rPr>
                <w:rFonts w:cs="Arial"/>
                <w:sz w:val="22"/>
                <w:szCs w:val="22"/>
              </w:rPr>
              <w:t xml:space="preserve"> </w:t>
            </w:r>
            <w:r w:rsidR="00486AF5">
              <w:rPr>
                <w:rFonts w:cs="Arial"/>
                <w:sz w:val="22"/>
                <w:szCs w:val="22"/>
              </w:rPr>
              <w:t>(GPP)</w:t>
            </w:r>
            <w:r w:rsidR="00D24919">
              <w:rPr>
                <w:rFonts w:cs="Arial"/>
                <w:sz w:val="22"/>
                <w:szCs w:val="22"/>
              </w:rPr>
              <w:t xml:space="preserve"> standard</w:t>
            </w:r>
            <w:r w:rsidR="00486AF5">
              <w:rPr>
                <w:rFonts w:cs="Arial"/>
                <w:sz w:val="22"/>
                <w:szCs w:val="22"/>
              </w:rPr>
              <w:t>, while medical practitioners strongly indicated that medicinal cannabis products should only be manufactured to GMP.</w:t>
            </w:r>
          </w:p>
          <w:p w14:paraId="705DE0AD" w14:textId="77777777" w:rsidR="00486AF5" w:rsidRDefault="00486AF5" w:rsidP="00AC6E34">
            <w:pPr>
              <w:tabs>
                <w:tab w:val="right" w:leader="underscore" w:pos="5670"/>
                <w:tab w:val="left" w:pos="6237"/>
              </w:tabs>
              <w:spacing w:before="60" w:after="60"/>
              <w:rPr>
                <w:rFonts w:cs="Arial"/>
                <w:sz w:val="22"/>
                <w:szCs w:val="22"/>
              </w:rPr>
            </w:pPr>
          </w:p>
          <w:p w14:paraId="5C814269" w14:textId="01BA39CC" w:rsidR="00486AF5" w:rsidRDefault="00486AF5" w:rsidP="00AC6E34">
            <w:pPr>
              <w:tabs>
                <w:tab w:val="right" w:leader="underscore" w:pos="5670"/>
                <w:tab w:val="left" w:pos="6237"/>
              </w:tabs>
              <w:spacing w:before="60" w:after="60"/>
              <w:rPr>
                <w:rFonts w:cs="Arial"/>
                <w:sz w:val="22"/>
                <w:szCs w:val="22"/>
              </w:rPr>
            </w:pPr>
            <w:r>
              <w:rPr>
                <w:rFonts w:cs="Arial"/>
                <w:sz w:val="22"/>
                <w:szCs w:val="22"/>
              </w:rPr>
              <w:t>It was noted that although every</w:t>
            </w:r>
            <w:r w:rsidR="006C1E2F">
              <w:rPr>
                <w:rFonts w:cs="Arial"/>
                <w:sz w:val="22"/>
                <w:szCs w:val="22"/>
              </w:rPr>
              <w:t xml:space="preserve">one’s feedback is important, </w:t>
            </w:r>
            <w:r>
              <w:rPr>
                <w:rFonts w:cs="Arial"/>
                <w:sz w:val="22"/>
                <w:szCs w:val="22"/>
              </w:rPr>
              <w:t>medical practitioners would be prescribing medicinal cannabis products</w:t>
            </w:r>
            <w:r w:rsidR="00D24919">
              <w:rPr>
                <w:rFonts w:cs="Arial"/>
                <w:sz w:val="22"/>
                <w:szCs w:val="22"/>
              </w:rPr>
              <w:t>. Consultation feedback suggested they</w:t>
            </w:r>
            <w:r w:rsidR="000B6DC3">
              <w:rPr>
                <w:rFonts w:cs="Arial"/>
                <w:sz w:val="22"/>
                <w:szCs w:val="22"/>
              </w:rPr>
              <w:t xml:space="preserve"> </w:t>
            </w:r>
            <w:r w:rsidR="00FA6A9F">
              <w:rPr>
                <w:rFonts w:cs="Arial"/>
                <w:sz w:val="22"/>
                <w:szCs w:val="22"/>
              </w:rPr>
              <w:t>are highly unlikely to prescribe</w:t>
            </w:r>
            <w:r>
              <w:rPr>
                <w:rFonts w:cs="Arial"/>
                <w:sz w:val="22"/>
                <w:szCs w:val="22"/>
              </w:rPr>
              <w:t xml:space="preserve"> products </w:t>
            </w:r>
            <w:r w:rsidR="00FA6A9F">
              <w:rPr>
                <w:rFonts w:cs="Arial"/>
                <w:sz w:val="22"/>
                <w:szCs w:val="22"/>
              </w:rPr>
              <w:t>that are not manufactured to GMP, and the objective of increasing access to products would not be met.</w:t>
            </w:r>
          </w:p>
          <w:p w14:paraId="65DD8FD5" w14:textId="77777777" w:rsidR="00486AF5" w:rsidRDefault="00486AF5" w:rsidP="00AC6E34">
            <w:pPr>
              <w:tabs>
                <w:tab w:val="right" w:leader="underscore" w:pos="5670"/>
                <w:tab w:val="left" w:pos="6237"/>
              </w:tabs>
              <w:spacing w:before="60" w:after="60"/>
              <w:rPr>
                <w:rFonts w:cs="Arial"/>
                <w:sz w:val="22"/>
                <w:szCs w:val="22"/>
              </w:rPr>
            </w:pPr>
          </w:p>
          <w:p w14:paraId="7FE3C879" w14:textId="4186EFA1" w:rsidR="00486AF5" w:rsidRPr="007A13D9" w:rsidRDefault="00486AF5" w:rsidP="00AC6E34">
            <w:pPr>
              <w:tabs>
                <w:tab w:val="right" w:leader="underscore" w:pos="5670"/>
                <w:tab w:val="left" w:pos="6237"/>
              </w:tabs>
              <w:spacing w:before="60" w:after="60"/>
              <w:rPr>
                <w:rFonts w:cs="Arial"/>
                <w:sz w:val="22"/>
                <w:szCs w:val="22"/>
              </w:rPr>
            </w:pPr>
            <w:r>
              <w:rPr>
                <w:rFonts w:cs="Arial"/>
                <w:sz w:val="22"/>
                <w:szCs w:val="22"/>
              </w:rPr>
              <w:t xml:space="preserve">The Advisory Group and the Secretariat discussed the reasons </w:t>
            </w:r>
            <w:r w:rsidR="00FA6A9F">
              <w:rPr>
                <w:rFonts w:cs="Arial"/>
                <w:sz w:val="22"/>
                <w:szCs w:val="22"/>
              </w:rPr>
              <w:t>w</w:t>
            </w:r>
            <w:r>
              <w:rPr>
                <w:rFonts w:cs="Arial"/>
                <w:sz w:val="22"/>
                <w:szCs w:val="22"/>
              </w:rPr>
              <w:t xml:space="preserve">hy Health Canada decided </w:t>
            </w:r>
            <w:r w:rsidR="00451573">
              <w:rPr>
                <w:rFonts w:cs="Arial"/>
                <w:sz w:val="22"/>
                <w:szCs w:val="22"/>
              </w:rPr>
              <w:t xml:space="preserve">to </w:t>
            </w:r>
            <w:r w:rsidR="00FA6A9F">
              <w:rPr>
                <w:rFonts w:cs="Arial"/>
                <w:sz w:val="22"/>
                <w:szCs w:val="22"/>
              </w:rPr>
              <w:t>opt for</w:t>
            </w:r>
            <w:r>
              <w:rPr>
                <w:rFonts w:cs="Arial"/>
                <w:sz w:val="22"/>
                <w:szCs w:val="22"/>
              </w:rPr>
              <w:t xml:space="preserve"> GPP </w:t>
            </w:r>
            <w:r w:rsidR="00FA6A9F">
              <w:rPr>
                <w:rFonts w:cs="Arial"/>
                <w:sz w:val="22"/>
                <w:szCs w:val="22"/>
              </w:rPr>
              <w:t xml:space="preserve">as </w:t>
            </w:r>
            <w:r>
              <w:rPr>
                <w:rFonts w:cs="Arial"/>
                <w:sz w:val="22"/>
                <w:szCs w:val="22"/>
              </w:rPr>
              <w:t>their manufacturing standard</w:t>
            </w:r>
            <w:r w:rsidR="00FA6A9F">
              <w:rPr>
                <w:rFonts w:cs="Arial"/>
                <w:sz w:val="22"/>
                <w:szCs w:val="22"/>
              </w:rPr>
              <w:t>,</w:t>
            </w:r>
            <w:r>
              <w:rPr>
                <w:rFonts w:cs="Arial"/>
                <w:sz w:val="22"/>
                <w:szCs w:val="22"/>
              </w:rPr>
              <w:t xml:space="preserve"> and the differences between the r</w:t>
            </w:r>
            <w:r w:rsidR="006C1E2F">
              <w:rPr>
                <w:rFonts w:cs="Arial"/>
                <w:sz w:val="22"/>
                <w:szCs w:val="22"/>
              </w:rPr>
              <w:t>egulatory environments in Canada co</w:t>
            </w:r>
            <w:r>
              <w:rPr>
                <w:rFonts w:cs="Arial"/>
                <w:sz w:val="22"/>
                <w:szCs w:val="22"/>
              </w:rPr>
              <w:t>mpared with New Zealand.</w:t>
            </w:r>
          </w:p>
          <w:p w14:paraId="608ED1F3" w14:textId="77777777" w:rsidR="00486AF5" w:rsidRDefault="00486AF5" w:rsidP="00AC6E34">
            <w:pPr>
              <w:tabs>
                <w:tab w:val="right" w:leader="underscore" w:pos="5670"/>
                <w:tab w:val="left" w:pos="6237"/>
              </w:tabs>
              <w:spacing w:before="60" w:after="60"/>
              <w:rPr>
                <w:rFonts w:cs="Arial"/>
                <w:b/>
                <w:sz w:val="22"/>
                <w:szCs w:val="22"/>
              </w:rPr>
            </w:pPr>
          </w:p>
          <w:p w14:paraId="62194B31" w14:textId="29747438" w:rsidR="00486AF5" w:rsidRPr="00486AF5" w:rsidRDefault="00486AF5" w:rsidP="00AC6E34">
            <w:pPr>
              <w:tabs>
                <w:tab w:val="right" w:leader="underscore" w:pos="5670"/>
                <w:tab w:val="left" w:pos="6237"/>
              </w:tabs>
              <w:spacing w:before="60" w:after="60"/>
              <w:rPr>
                <w:rFonts w:cs="Arial"/>
                <w:sz w:val="22"/>
                <w:szCs w:val="22"/>
              </w:rPr>
            </w:pPr>
            <w:r>
              <w:rPr>
                <w:rFonts w:cs="Arial"/>
                <w:sz w:val="22"/>
                <w:szCs w:val="22"/>
              </w:rPr>
              <w:t>The Advisory Group acknowledged why GMP would be the preferred manufacturing standard by stakeholders</w:t>
            </w:r>
            <w:r w:rsidR="00451573">
              <w:rPr>
                <w:rFonts w:cs="Arial"/>
                <w:sz w:val="22"/>
                <w:szCs w:val="22"/>
              </w:rPr>
              <w:t>,</w:t>
            </w:r>
            <w:r>
              <w:rPr>
                <w:rFonts w:cs="Arial"/>
                <w:sz w:val="22"/>
                <w:szCs w:val="22"/>
              </w:rPr>
              <w:t xml:space="preserve"> but some Advisory Group members noted that T</w:t>
            </w:r>
            <w:r w:rsidR="00DE4233">
              <w:rPr>
                <w:rFonts w:cs="Arial"/>
                <w:sz w:val="22"/>
                <w:szCs w:val="22"/>
              </w:rPr>
              <w:t>h</w:t>
            </w:r>
            <w:r>
              <w:rPr>
                <w:rFonts w:cs="Arial"/>
                <w:sz w:val="22"/>
                <w:szCs w:val="22"/>
              </w:rPr>
              <w:t xml:space="preserve">e Ministry of Health (the Ministry) should consider </w:t>
            </w:r>
            <w:r w:rsidR="006C1E2F">
              <w:rPr>
                <w:rFonts w:cs="Arial"/>
                <w:sz w:val="22"/>
                <w:szCs w:val="22"/>
              </w:rPr>
              <w:t>an</w:t>
            </w:r>
            <w:r>
              <w:rPr>
                <w:rFonts w:cs="Arial"/>
                <w:sz w:val="22"/>
                <w:szCs w:val="22"/>
              </w:rPr>
              <w:t xml:space="preserve"> interim</w:t>
            </w:r>
            <w:r w:rsidR="006C1E2F">
              <w:rPr>
                <w:rFonts w:cs="Arial"/>
                <w:sz w:val="22"/>
                <w:szCs w:val="22"/>
              </w:rPr>
              <w:t xml:space="preserve"> measure</w:t>
            </w:r>
            <w:r w:rsidR="00DE4233">
              <w:rPr>
                <w:rFonts w:cs="Arial"/>
                <w:sz w:val="22"/>
                <w:szCs w:val="22"/>
              </w:rPr>
              <w:t xml:space="preserve">, such as </w:t>
            </w:r>
            <w:r w:rsidR="00E50F8E">
              <w:rPr>
                <w:rFonts w:cs="Arial"/>
                <w:sz w:val="22"/>
                <w:szCs w:val="22"/>
              </w:rPr>
              <w:t>permitting personal cultivatio</w:t>
            </w:r>
            <w:r w:rsidR="00126E95">
              <w:rPr>
                <w:rFonts w:cs="Arial"/>
                <w:sz w:val="22"/>
                <w:szCs w:val="22"/>
              </w:rPr>
              <w:t xml:space="preserve">n </w:t>
            </w:r>
            <w:r w:rsidR="00E50F8E">
              <w:rPr>
                <w:rFonts w:cs="Arial"/>
                <w:sz w:val="22"/>
                <w:szCs w:val="22"/>
              </w:rPr>
              <w:t>”</w:t>
            </w:r>
            <w:r w:rsidR="00DE4233">
              <w:rPr>
                <w:rFonts w:cs="Arial"/>
                <w:sz w:val="22"/>
                <w:szCs w:val="22"/>
              </w:rPr>
              <w:t>grow your own</w:t>
            </w:r>
            <w:r w:rsidR="00E50F8E">
              <w:rPr>
                <w:rFonts w:cs="Arial"/>
                <w:sz w:val="22"/>
                <w:szCs w:val="22"/>
              </w:rPr>
              <w:t>”</w:t>
            </w:r>
            <w:r w:rsidR="00DE4233">
              <w:rPr>
                <w:rFonts w:cs="Arial"/>
                <w:sz w:val="22"/>
                <w:szCs w:val="22"/>
              </w:rPr>
              <w:t>,</w:t>
            </w:r>
            <w:r>
              <w:rPr>
                <w:rFonts w:cs="Arial"/>
                <w:sz w:val="22"/>
                <w:szCs w:val="22"/>
              </w:rPr>
              <w:t xml:space="preserve"> </w:t>
            </w:r>
            <w:r w:rsidR="00451573">
              <w:rPr>
                <w:rFonts w:cs="Arial"/>
                <w:sz w:val="22"/>
                <w:szCs w:val="22"/>
              </w:rPr>
              <w:t xml:space="preserve">to </w:t>
            </w:r>
            <w:r w:rsidR="00EB2751">
              <w:rPr>
                <w:rFonts w:cs="Arial"/>
                <w:sz w:val="22"/>
                <w:szCs w:val="22"/>
              </w:rPr>
              <w:t>enable quicker access to products</w:t>
            </w:r>
            <w:r w:rsidR="006C1E2F">
              <w:rPr>
                <w:rFonts w:cs="Arial"/>
                <w:sz w:val="22"/>
                <w:szCs w:val="22"/>
              </w:rPr>
              <w:t xml:space="preserve"> whilst</w:t>
            </w:r>
            <w:r>
              <w:rPr>
                <w:rFonts w:cs="Arial"/>
                <w:sz w:val="22"/>
                <w:szCs w:val="22"/>
              </w:rPr>
              <w:t xml:space="preserve"> manufacturers were preparing and manufacturing products to the GMP standard.</w:t>
            </w:r>
          </w:p>
          <w:p w14:paraId="7F667090" w14:textId="77777777" w:rsidR="00486AF5" w:rsidRDefault="00486AF5" w:rsidP="00AC6E34">
            <w:pPr>
              <w:tabs>
                <w:tab w:val="right" w:leader="underscore" w:pos="5670"/>
                <w:tab w:val="left" w:pos="6237"/>
              </w:tabs>
              <w:spacing w:before="60" w:after="60"/>
              <w:rPr>
                <w:rFonts w:cs="Arial"/>
                <w:b/>
                <w:sz w:val="22"/>
                <w:szCs w:val="22"/>
              </w:rPr>
            </w:pPr>
          </w:p>
          <w:p w14:paraId="17F93562" w14:textId="209ABBE0" w:rsidR="00486AF5" w:rsidRPr="00486AF5" w:rsidRDefault="00486AF5" w:rsidP="00AC6E34">
            <w:pPr>
              <w:tabs>
                <w:tab w:val="right" w:leader="underscore" w:pos="5670"/>
                <w:tab w:val="left" w:pos="6237"/>
              </w:tabs>
              <w:spacing w:before="60" w:after="60"/>
              <w:rPr>
                <w:rFonts w:cs="Arial"/>
                <w:sz w:val="22"/>
                <w:szCs w:val="22"/>
              </w:rPr>
            </w:pPr>
            <w:r>
              <w:rPr>
                <w:rFonts w:cs="Arial"/>
                <w:sz w:val="22"/>
                <w:szCs w:val="22"/>
              </w:rPr>
              <w:t>Timelines as to how long it would realistically take medicinal cannabis products that were manufactured to GMP to get to market</w:t>
            </w:r>
            <w:r w:rsidR="002C2528">
              <w:t xml:space="preserve"> </w:t>
            </w:r>
            <w:r w:rsidR="002C2528" w:rsidRPr="002C2528">
              <w:rPr>
                <w:rFonts w:cs="Arial"/>
                <w:sz w:val="22"/>
                <w:szCs w:val="22"/>
              </w:rPr>
              <w:t>were discussed</w:t>
            </w:r>
            <w:r>
              <w:rPr>
                <w:rFonts w:cs="Arial"/>
                <w:sz w:val="22"/>
                <w:szCs w:val="22"/>
              </w:rPr>
              <w:t xml:space="preserve">, with </w:t>
            </w:r>
            <w:r w:rsidRPr="00DE4233">
              <w:rPr>
                <w:rFonts w:cs="Arial"/>
                <w:sz w:val="22"/>
                <w:szCs w:val="22"/>
              </w:rPr>
              <w:t>one</w:t>
            </w:r>
            <w:r w:rsidR="00E50F8E">
              <w:rPr>
                <w:rFonts w:cs="Arial"/>
                <w:sz w:val="22"/>
                <w:szCs w:val="22"/>
              </w:rPr>
              <w:t xml:space="preserve"> member of the </w:t>
            </w:r>
            <w:r w:rsidR="0010101F">
              <w:rPr>
                <w:rFonts w:cs="Arial"/>
                <w:sz w:val="22"/>
                <w:szCs w:val="22"/>
              </w:rPr>
              <w:t>Advisory Group</w:t>
            </w:r>
            <w:r w:rsidR="00E50F8E">
              <w:rPr>
                <w:rFonts w:cs="Arial"/>
                <w:sz w:val="22"/>
                <w:szCs w:val="22"/>
              </w:rPr>
              <w:t xml:space="preserve"> suggesting</w:t>
            </w:r>
            <w:r w:rsidR="002C2528" w:rsidRPr="00DE4233">
              <w:rPr>
                <w:rFonts w:cs="Arial"/>
                <w:sz w:val="22"/>
                <w:szCs w:val="22"/>
              </w:rPr>
              <w:t xml:space="preserve"> </w:t>
            </w:r>
            <w:r>
              <w:rPr>
                <w:rFonts w:cs="Arial"/>
                <w:sz w:val="22"/>
                <w:szCs w:val="22"/>
              </w:rPr>
              <w:t>that it could be as soon as the middle of</w:t>
            </w:r>
            <w:r w:rsidR="006C1E2F">
              <w:rPr>
                <w:rFonts w:cs="Arial"/>
                <w:sz w:val="22"/>
                <w:szCs w:val="22"/>
              </w:rPr>
              <w:t xml:space="preserve"> 2020. The Secretariat highlighted</w:t>
            </w:r>
            <w:r>
              <w:rPr>
                <w:rFonts w:cs="Arial"/>
                <w:sz w:val="22"/>
                <w:szCs w:val="22"/>
              </w:rPr>
              <w:t xml:space="preserve"> that it took Australia 2</w:t>
            </w:r>
            <w:r w:rsidR="0010101F">
              <w:rPr>
                <w:rFonts w:cs="Arial"/>
                <w:sz w:val="22"/>
                <w:szCs w:val="22"/>
              </w:rPr>
              <w:t xml:space="preserve"> and a half </w:t>
            </w:r>
            <w:r>
              <w:rPr>
                <w:rFonts w:cs="Arial"/>
                <w:sz w:val="22"/>
                <w:szCs w:val="22"/>
              </w:rPr>
              <w:t>years to get medicinal cannabis products to market</w:t>
            </w:r>
            <w:r w:rsidR="00451573">
              <w:rPr>
                <w:rFonts w:cs="Arial"/>
                <w:sz w:val="22"/>
                <w:szCs w:val="22"/>
              </w:rPr>
              <w:t xml:space="preserve">. The Secretariat is </w:t>
            </w:r>
            <w:r w:rsidR="006C1E2F">
              <w:rPr>
                <w:rFonts w:cs="Arial"/>
                <w:sz w:val="22"/>
                <w:szCs w:val="22"/>
              </w:rPr>
              <w:t xml:space="preserve">currently </w:t>
            </w:r>
            <w:r>
              <w:rPr>
                <w:rFonts w:cs="Arial"/>
                <w:sz w:val="22"/>
                <w:szCs w:val="22"/>
              </w:rPr>
              <w:t>discussing</w:t>
            </w:r>
            <w:r w:rsidR="006C1E2F">
              <w:rPr>
                <w:rFonts w:cs="Arial"/>
                <w:sz w:val="22"/>
                <w:szCs w:val="22"/>
              </w:rPr>
              <w:t xml:space="preserve"> with Australia the</w:t>
            </w:r>
            <w:r w:rsidR="007C435C">
              <w:rPr>
                <w:rFonts w:cs="Arial"/>
                <w:sz w:val="22"/>
                <w:szCs w:val="22"/>
              </w:rPr>
              <w:t xml:space="preserve"> reasons</w:t>
            </w:r>
            <w:r w:rsidR="006C1E2F">
              <w:rPr>
                <w:rFonts w:cs="Arial"/>
                <w:sz w:val="22"/>
                <w:szCs w:val="22"/>
              </w:rPr>
              <w:t xml:space="preserve"> behind why it took so long</w:t>
            </w:r>
            <w:r w:rsidR="00451573">
              <w:rPr>
                <w:rFonts w:cs="Arial"/>
                <w:sz w:val="22"/>
                <w:szCs w:val="22"/>
              </w:rPr>
              <w:t>,</w:t>
            </w:r>
            <w:r w:rsidR="006C1E2F">
              <w:rPr>
                <w:rFonts w:cs="Arial"/>
                <w:sz w:val="22"/>
                <w:szCs w:val="22"/>
              </w:rPr>
              <w:t xml:space="preserve"> as well as steps that the Ministry could</w:t>
            </w:r>
            <w:r w:rsidR="007C435C">
              <w:rPr>
                <w:rFonts w:cs="Arial"/>
                <w:sz w:val="22"/>
                <w:szCs w:val="22"/>
              </w:rPr>
              <w:t xml:space="preserve"> put in place to ensure that it does not take as long in New Zealand.</w:t>
            </w:r>
          </w:p>
          <w:p w14:paraId="4E81A7D3" w14:textId="77777777" w:rsidR="001E060C" w:rsidRDefault="001E060C" w:rsidP="00AC6E34">
            <w:pPr>
              <w:tabs>
                <w:tab w:val="right" w:leader="underscore" w:pos="5670"/>
                <w:tab w:val="left" w:pos="6237"/>
              </w:tabs>
              <w:spacing w:before="60" w:after="60"/>
              <w:rPr>
                <w:rFonts w:cs="Arial"/>
                <w:b/>
                <w:sz w:val="22"/>
                <w:szCs w:val="22"/>
              </w:rPr>
            </w:pPr>
          </w:p>
          <w:p w14:paraId="5F101E78" w14:textId="124CC8D0" w:rsidR="00E643CE" w:rsidRDefault="007C435C" w:rsidP="00AC6E34">
            <w:pPr>
              <w:tabs>
                <w:tab w:val="right" w:leader="underscore" w:pos="5670"/>
                <w:tab w:val="left" w:pos="6237"/>
              </w:tabs>
              <w:spacing w:before="60" w:after="60"/>
              <w:rPr>
                <w:rFonts w:cs="Arial"/>
                <w:b/>
                <w:sz w:val="22"/>
                <w:szCs w:val="22"/>
              </w:rPr>
            </w:pPr>
            <w:r>
              <w:rPr>
                <w:rFonts w:cs="Arial"/>
                <w:b/>
                <w:sz w:val="22"/>
                <w:szCs w:val="22"/>
              </w:rPr>
              <w:t xml:space="preserve">Quality standards for </w:t>
            </w:r>
            <w:r w:rsidR="0010101F">
              <w:rPr>
                <w:rFonts w:cs="Arial"/>
                <w:b/>
                <w:sz w:val="22"/>
                <w:szCs w:val="22"/>
              </w:rPr>
              <w:t>A</w:t>
            </w:r>
            <w:r>
              <w:rPr>
                <w:rFonts w:cs="Arial"/>
                <w:b/>
                <w:sz w:val="22"/>
                <w:szCs w:val="22"/>
              </w:rPr>
              <w:t xml:space="preserve">ctive </w:t>
            </w:r>
            <w:r w:rsidR="0010101F">
              <w:rPr>
                <w:rFonts w:cs="Arial"/>
                <w:b/>
                <w:sz w:val="22"/>
                <w:szCs w:val="22"/>
              </w:rPr>
              <w:t>P</w:t>
            </w:r>
            <w:r>
              <w:rPr>
                <w:rFonts w:cs="Arial"/>
                <w:b/>
                <w:sz w:val="22"/>
                <w:szCs w:val="22"/>
              </w:rPr>
              <w:t xml:space="preserve">harmaceutical </w:t>
            </w:r>
            <w:r w:rsidR="0010101F">
              <w:rPr>
                <w:rFonts w:cs="Arial"/>
                <w:b/>
                <w:sz w:val="22"/>
                <w:szCs w:val="22"/>
              </w:rPr>
              <w:t>I</w:t>
            </w:r>
            <w:r>
              <w:rPr>
                <w:rFonts w:cs="Arial"/>
                <w:b/>
                <w:sz w:val="22"/>
                <w:szCs w:val="22"/>
              </w:rPr>
              <w:t>ngredients (APIs)</w:t>
            </w:r>
            <w:r w:rsidR="00A7133A">
              <w:rPr>
                <w:rFonts w:cs="Arial"/>
                <w:b/>
                <w:sz w:val="22"/>
                <w:szCs w:val="22"/>
              </w:rPr>
              <w:t xml:space="preserve"> and finished products</w:t>
            </w:r>
          </w:p>
          <w:p w14:paraId="086DD31D" w14:textId="426020FF" w:rsidR="00A7133A" w:rsidRDefault="00E643CE" w:rsidP="00AC6E34">
            <w:pPr>
              <w:tabs>
                <w:tab w:val="right" w:leader="underscore" w:pos="5670"/>
                <w:tab w:val="left" w:pos="6237"/>
              </w:tabs>
              <w:spacing w:before="60" w:after="60"/>
              <w:rPr>
                <w:rFonts w:cs="Arial"/>
                <w:sz w:val="22"/>
                <w:szCs w:val="22"/>
              </w:rPr>
            </w:pPr>
            <w:r>
              <w:rPr>
                <w:rFonts w:cs="Arial"/>
                <w:sz w:val="22"/>
                <w:szCs w:val="22"/>
              </w:rPr>
              <w:t>The Advisory Group discussed what dose forms would be permitted under the Scheme and in particular, what dose forms could be exported to other</w:t>
            </w:r>
            <w:r w:rsidR="00D24919">
              <w:rPr>
                <w:rFonts w:cs="Arial"/>
                <w:sz w:val="22"/>
                <w:szCs w:val="22"/>
              </w:rPr>
              <w:t xml:space="preserve"> </w:t>
            </w:r>
            <w:r w:rsidR="00D876A8">
              <w:rPr>
                <w:rFonts w:cs="Arial"/>
                <w:sz w:val="22"/>
                <w:szCs w:val="22"/>
              </w:rPr>
              <w:t>countries</w:t>
            </w:r>
            <w:r>
              <w:rPr>
                <w:rFonts w:cs="Arial"/>
                <w:sz w:val="22"/>
                <w:szCs w:val="22"/>
              </w:rPr>
              <w:t>.</w:t>
            </w:r>
          </w:p>
          <w:p w14:paraId="7848BA20" w14:textId="77777777" w:rsidR="00A7133A" w:rsidRDefault="00A7133A" w:rsidP="00AC6E34">
            <w:pPr>
              <w:tabs>
                <w:tab w:val="right" w:leader="underscore" w:pos="5670"/>
                <w:tab w:val="left" w:pos="6237"/>
              </w:tabs>
              <w:spacing w:before="60" w:after="60"/>
              <w:rPr>
                <w:rFonts w:cs="Arial"/>
                <w:sz w:val="22"/>
                <w:szCs w:val="22"/>
              </w:rPr>
            </w:pPr>
          </w:p>
          <w:p w14:paraId="19195F7A" w14:textId="3273A5DB" w:rsidR="00C52242" w:rsidRDefault="00A7133A" w:rsidP="00AC6E34">
            <w:pPr>
              <w:tabs>
                <w:tab w:val="right" w:leader="underscore" w:pos="5670"/>
                <w:tab w:val="left" w:pos="6237"/>
              </w:tabs>
              <w:spacing w:before="60" w:after="60"/>
              <w:rPr>
                <w:rFonts w:cs="Arial"/>
                <w:sz w:val="22"/>
                <w:szCs w:val="22"/>
              </w:rPr>
            </w:pPr>
            <w:r>
              <w:rPr>
                <w:rFonts w:cs="Arial"/>
                <w:sz w:val="22"/>
                <w:szCs w:val="22"/>
              </w:rPr>
              <w:t xml:space="preserve">Some members of the Advisory Group expressed concerns about permitting </w:t>
            </w:r>
            <w:r w:rsidR="00D876A8">
              <w:rPr>
                <w:rFonts w:cs="Arial"/>
                <w:sz w:val="22"/>
                <w:szCs w:val="22"/>
              </w:rPr>
              <w:t xml:space="preserve">vaporisation </w:t>
            </w:r>
            <w:r>
              <w:rPr>
                <w:rFonts w:cs="Arial"/>
                <w:sz w:val="22"/>
                <w:szCs w:val="22"/>
              </w:rPr>
              <w:t>o</w:t>
            </w:r>
            <w:r w:rsidR="006C1E2F">
              <w:rPr>
                <w:rFonts w:cs="Arial"/>
                <w:sz w:val="22"/>
                <w:szCs w:val="22"/>
              </w:rPr>
              <w:t>f medicinal cannabis products</w:t>
            </w:r>
            <w:r w:rsidR="00D876A8">
              <w:rPr>
                <w:rFonts w:cs="Arial"/>
                <w:sz w:val="22"/>
                <w:szCs w:val="22"/>
              </w:rPr>
              <w:t>. O</w:t>
            </w:r>
            <w:r>
              <w:rPr>
                <w:rFonts w:cs="Arial"/>
                <w:sz w:val="22"/>
                <w:szCs w:val="22"/>
              </w:rPr>
              <w:t>ther members noted that vap</w:t>
            </w:r>
            <w:r w:rsidR="00D876A8">
              <w:rPr>
                <w:rFonts w:cs="Arial"/>
                <w:sz w:val="22"/>
                <w:szCs w:val="22"/>
              </w:rPr>
              <w:t>orising</w:t>
            </w:r>
            <w:r>
              <w:rPr>
                <w:rFonts w:cs="Arial"/>
                <w:sz w:val="22"/>
                <w:szCs w:val="22"/>
              </w:rPr>
              <w:t xml:space="preserve"> dry herb (via a vaporiser) is a relatively standardised way of admini</w:t>
            </w:r>
            <w:r w:rsidR="00C52242">
              <w:rPr>
                <w:rFonts w:cs="Arial"/>
                <w:sz w:val="22"/>
                <w:szCs w:val="22"/>
              </w:rPr>
              <w:t>stering medication</w:t>
            </w:r>
            <w:r w:rsidR="00D876A8">
              <w:rPr>
                <w:rFonts w:cs="Arial"/>
                <w:sz w:val="22"/>
                <w:szCs w:val="22"/>
              </w:rPr>
              <w:t>s to</w:t>
            </w:r>
            <w:r w:rsidR="00C52242">
              <w:rPr>
                <w:rFonts w:cs="Arial"/>
                <w:sz w:val="22"/>
                <w:szCs w:val="22"/>
              </w:rPr>
              <w:t xml:space="preserve"> patients. Discussion took place around the devices that could be used to administer the vaporisation of dry medicinal cannabis herb and how these could be regulated. </w:t>
            </w:r>
          </w:p>
          <w:p w14:paraId="7D709CEA" w14:textId="77777777" w:rsidR="00C52242" w:rsidRDefault="00C52242" w:rsidP="00AC6E34">
            <w:pPr>
              <w:tabs>
                <w:tab w:val="right" w:leader="underscore" w:pos="5670"/>
                <w:tab w:val="left" w:pos="6237"/>
              </w:tabs>
              <w:spacing w:before="60" w:after="60"/>
              <w:rPr>
                <w:rFonts w:cs="Arial"/>
                <w:sz w:val="22"/>
                <w:szCs w:val="22"/>
              </w:rPr>
            </w:pPr>
          </w:p>
          <w:p w14:paraId="6440B5CA" w14:textId="5620DB5C" w:rsidR="00A53A0C" w:rsidRPr="00C52242" w:rsidRDefault="00A7133A" w:rsidP="00BC32E7">
            <w:pPr>
              <w:tabs>
                <w:tab w:val="right" w:leader="underscore" w:pos="5670"/>
                <w:tab w:val="left" w:pos="6237"/>
              </w:tabs>
              <w:spacing w:before="60" w:after="60"/>
              <w:rPr>
                <w:rFonts w:cs="Arial"/>
                <w:sz w:val="22"/>
                <w:szCs w:val="22"/>
              </w:rPr>
            </w:pPr>
            <w:r>
              <w:rPr>
                <w:rFonts w:cs="Arial"/>
                <w:b/>
                <w:sz w:val="22"/>
                <w:szCs w:val="22"/>
              </w:rPr>
              <w:t xml:space="preserve">Action: </w:t>
            </w:r>
            <w:r>
              <w:rPr>
                <w:rFonts w:cs="Arial"/>
                <w:sz w:val="22"/>
                <w:szCs w:val="22"/>
              </w:rPr>
              <w:t xml:space="preserve">Secretariat to clarify what is meant by </w:t>
            </w:r>
            <w:r w:rsidR="00BC32E7">
              <w:rPr>
                <w:rFonts w:cs="Arial"/>
                <w:sz w:val="22"/>
                <w:szCs w:val="22"/>
              </w:rPr>
              <w:t xml:space="preserve">vaporising </w:t>
            </w:r>
            <w:r>
              <w:rPr>
                <w:rFonts w:cs="Arial"/>
                <w:sz w:val="22"/>
                <w:szCs w:val="22"/>
              </w:rPr>
              <w:t xml:space="preserve">medicinal cannabis products and what form of </w:t>
            </w:r>
            <w:r w:rsidR="00BC32E7">
              <w:rPr>
                <w:rFonts w:cs="Arial"/>
                <w:sz w:val="22"/>
                <w:szCs w:val="22"/>
              </w:rPr>
              <w:t xml:space="preserve">vaporisation </w:t>
            </w:r>
            <w:r>
              <w:rPr>
                <w:rFonts w:cs="Arial"/>
                <w:sz w:val="22"/>
                <w:szCs w:val="22"/>
              </w:rPr>
              <w:t>is proposed to be permitted under the Scheme.</w:t>
            </w:r>
            <w:r w:rsidR="00A53A0C" w:rsidRPr="00C52242">
              <w:rPr>
                <w:rFonts w:cs="Arial"/>
                <w:sz w:val="22"/>
                <w:szCs w:val="22"/>
              </w:rPr>
              <w:t xml:space="preserve"> </w:t>
            </w:r>
          </w:p>
        </w:tc>
      </w:tr>
      <w:tr w:rsidR="006A4320" w:rsidRPr="00FA0D8E" w14:paraId="52C23D9E" w14:textId="77777777" w:rsidTr="00E643CE">
        <w:tc>
          <w:tcPr>
            <w:tcW w:w="669" w:type="dxa"/>
          </w:tcPr>
          <w:p w14:paraId="6C690718" w14:textId="77777777" w:rsidR="006A4320" w:rsidRPr="006A4320" w:rsidRDefault="006A4320"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14421995" w14:textId="77777777" w:rsidR="0028782C" w:rsidRDefault="0028782C" w:rsidP="00AC6E34">
            <w:pPr>
              <w:tabs>
                <w:tab w:val="right" w:leader="underscore" w:pos="5670"/>
                <w:tab w:val="left" w:pos="6237"/>
              </w:tabs>
              <w:spacing w:before="60" w:after="60"/>
              <w:rPr>
                <w:rFonts w:cs="Arial"/>
                <w:b/>
                <w:sz w:val="22"/>
                <w:szCs w:val="22"/>
              </w:rPr>
            </w:pPr>
            <w:r>
              <w:rPr>
                <w:rFonts w:cs="Arial"/>
                <w:b/>
                <w:sz w:val="22"/>
                <w:szCs w:val="22"/>
              </w:rPr>
              <w:t>Licence to Cultivate</w:t>
            </w:r>
          </w:p>
          <w:p w14:paraId="3A2F7D1E" w14:textId="7A3A00C4" w:rsidR="00C52242" w:rsidRDefault="00C52242" w:rsidP="00AC6E34">
            <w:pPr>
              <w:tabs>
                <w:tab w:val="right" w:leader="underscore" w:pos="5670"/>
                <w:tab w:val="left" w:pos="6237"/>
              </w:tabs>
              <w:spacing w:before="60" w:after="60"/>
              <w:rPr>
                <w:rFonts w:cs="Arial"/>
                <w:sz w:val="22"/>
                <w:szCs w:val="22"/>
              </w:rPr>
            </w:pPr>
            <w:r>
              <w:rPr>
                <w:rFonts w:cs="Arial"/>
                <w:sz w:val="22"/>
                <w:szCs w:val="22"/>
              </w:rPr>
              <w:t xml:space="preserve">The Advisory Group discussed </w:t>
            </w:r>
            <w:r w:rsidR="00C20987">
              <w:rPr>
                <w:rFonts w:cs="Arial"/>
                <w:sz w:val="22"/>
                <w:szCs w:val="22"/>
              </w:rPr>
              <w:t xml:space="preserve">the requirement </w:t>
            </w:r>
            <w:r w:rsidR="00516584">
              <w:rPr>
                <w:rFonts w:cs="Arial"/>
                <w:sz w:val="22"/>
                <w:szCs w:val="22"/>
              </w:rPr>
              <w:t xml:space="preserve">for licence holders, directors, and partners to have </w:t>
            </w:r>
            <w:r w:rsidR="00C20987">
              <w:rPr>
                <w:rFonts w:cs="Arial"/>
                <w:sz w:val="22"/>
                <w:szCs w:val="22"/>
              </w:rPr>
              <w:t xml:space="preserve">no </w:t>
            </w:r>
            <w:r w:rsidR="00516584">
              <w:rPr>
                <w:rFonts w:cs="Arial"/>
                <w:sz w:val="22"/>
                <w:szCs w:val="22"/>
              </w:rPr>
              <w:t>convictions against the Misuse of Drugs Act 1975 or any other drug-related offence</w:t>
            </w:r>
            <w:r w:rsidR="00BC32E7">
              <w:rPr>
                <w:rFonts w:cs="Arial"/>
                <w:sz w:val="22"/>
                <w:szCs w:val="22"/>
              </w:rPr>
              <w:t>. The Advisory Group also discussed</w:t>
            </w:r>
            <w:r w:rsidR="00516584">
              <w:rPr>
                <w:rFonts w:cs="Arial"/>
                <w:sz w:val="22"/>
                <w:szCs w:val="22"/>
              </w:rPr>
              <w:t xml:space="preserve"> conviction</w:t>
            </w:r>
            <w:r w:rsidR="00BC32E7">
              <w:rPr>
                <w:rFonts w:cs="Arial"/>
                <w:sz w:val="22"/>
                <w:szCs w:val="22"/>
              </w:rPr>
              <w:t>s</w:t>
            </w:r>
            <w:r w:rsidR="00516584">
              <w:rPr>
                <w:rFonts w:cs="Arial"/>
                <w:sz w:val="22"/>
                <w:szCs w:val="22"/>
              </w:rPr>
              <w:t xml:space="preserve"> involving dishonesty under the Crimes Act 1961 and the barriers this may pose.</w:t>
            </w:r>
            <w:r w:rsidR="009A7DEA">
              <w:rPr>
                <w:rFonts w:cs="Arial"/>
                <w:sz w:val="22"/>
                <w:szCs w:val="22"/>
              </w:rPr>
              <w:t xml:space="preserve"> </w:t>
            </w:r>
          </w:p>
          <w:p w14:paraId="4ADFCDA7" w14:textId="77777777" w:rsidR="00516584" w:rsidRDefault="00516584" w:rsidP="00AC6E34">
            <w:pPr>
              <w:tabs>
                <w:tab w:val="right" w:leader="underscore" w:pos="5670"/>
                <w:tab w:val="left" w:pos="6237"/>
              </w:tabs>
              <w:spacing w:before="60" w:after="60"/>
              <w:rPr>
                <w:rFonts w:cs="Arial"/>
                <w:sz w:val="22"/>
                <w:szCs w:val="22"/>
              </w:rPr>
            </w:pPr>
          </w:p>
          <w:p w14:paraId="06E14CC6" w14:textId="69DB3D7A" w:rsidR="00516584" w:rsidRDefault="00516584" w:rsidP="00AC6E34">
            <w:pPr>
              <w:tabs>
                <w:tab w:val="right" w:leader="underscore" w:pos="5670"/>
                <w:tab w:val="left" w:pos="6237"/>
              </w:tabs>
              <w:rPr>
                <w:rFonts w:cs="Arial"/>
                <w:sz w:val="22"/>
                <w:szCs w:val="22"/>
              </w:rPr>
            </w:pPr>
            <w:r>
              <w:rPr>
                <w:rFonts w:cs="Arial"/>
                <w:sz w:val="22"/>
                <w:szCs w:val="22"/>
              </w:rPr>
              <w:t xml:space="preserve">The Secretariat advised that people with drug convictions could apply for a licence, but the granting of a licence is at the Minister’s discretion. The Secretariat agreed to look into </w:t>
            </w:r>
            <w:r w:rsidR="00451573">
              <w:rPr>
                <w:rFonts w:cs="Arial"/>
                <w:sz w:val="22"/>
                <w:szCs w:val="22"/>
              </w:rPr>
              <w:t xml:space="preserve">the </w:t>
            </w:r>
            <w:r>
              <w:rPr>
                <w:rFonts w:cs="Arial"/>
                <w:sz w:val="22"/>
                <w:szCs w:val="22"/>
              </w:rPr>
              <w:t>appli</w:t>
            </w:r>
            <w:r w:rsidR="00451573">
              <w:rPr>
                <w:rFonts w:cs="Arial"/>
                <w:sz w:val="22"/>
                <w:szCs w:val="22"/>
              </w:rPr>
              <w:t xml:space="preserve">cation of </w:t>
            </w:r>
            <w:r>
              <w:rPr>
                <w:rFonts w:cs="Arial"/>
                <w:sz w:val="22"/>
                <w:szCs w:val="22"/>
              </w:rPr>
              <w:t xml:space="preserve">the </w:t>
            </w:r>
            <w:r w:rsidR="009A7DEA">
              <w:rPr>
                <w:rFonts w:cs="Arial"/>
                <w:sz w:val="22"/>
                <w:szCs w:val="22"/>
              </w:rPr>
              <w:t>Ministers</w:t>
            </w:r>
            <w:r>
              <w:rPr>
                <w:rFonts w:cs="Arial"/>
                <w:sz w:val="22"/>
                <w:szCs w:val="22"/>
              </w:rPr>
              <w:t xml:space="preserve"> discretion </w:t>
            </w:r>
            <w:r w:rsidR="00451573">
              <w:rPr>
                <w:rFonts w:cs="Arial"/>
                <w:sz w:val="22"/>
                <w:szCs w:val="22"/>
              </w:rPr>
              <w:t>to</w:t>
            </w:r>
            <w:r>
              <w:rPr>
                <w:rFonts w:cs="Arial"/>
                <w:sz w:val="22"/>
                <w:szCs w:val="22"/>
              </w:rPr>
              <w:t xml:space="preserve"> people convicted </w:t>
            </w:r>
            <w:r w:rsidR="00451573">
              <w:rPr>
                <w:rFonts w:cs="Arial"/>
                <w:sz w:val="22"/>
                <w:szCs w:val="22"/>
              </w:rPr>
              <w:t xml:space="preserve">of </w:t>
            </w:r>
            <w:r w:rsidR="009A7DEA">
              <w:rPr>
                <w:rFonts w:cs="Arial"/>
                <w:sz w:val="22"/>
                <w:szCs w:val="22"/>
              </w:rPr>
              <w:t>a crime involving dishonesty within the</w:t>
            </w:r>
            <w:r w:rsidR="00C20987">
              <w:rPr>
                <w:rFonts w:cs="Arial"/>
                <w:sz w:val="22"/>
                <w:szCs w:val="22"/>
              </w:rPr>
              <w:t xml:space="preserve"> meaning of the Crimes Act 1961 </w:t>
            </w:r>
            <w:r w:rsidR="00451573">
              <w:rPr>
                <w:rFonts w:cs="Arial"/>
                <w:sz w:val="22"/>
                <w:szCs w:val="22"/>
              </w:rPr>
              <w:t xml:space="preserve">in order </w:t>
            </w:r>
            <w:r w:rsidR="00C20987">
              <w:rPr>
                <w:rFonts w:cs="Arial"/>
                <w:sz w:val="22"/>
                <w:szCs w:val="22"/>
              </w:rPr>
              <w:t>to prevent any inequities this requirement may cause.</w:t>
            </w:r>
          </w:p>
          <w:p w14:paraId="0C4AF7E3" w14:textId="77777777" w:rsidR="009A7DEA" w:rsidRDefault="009A7DEA" w:rsidP="00AC6E34">
            <w:pPr>
              <w:tabs>
                <w:tab w:val="right" w:leader="underscore" w:pos="5670"/>
                <w:tab w:val="left" w:pos="6237"/>
              </w:tabs>
              <w:rPr>
                <w:rFonts w:cs="Arial"/>
                <w:sz w:val="22"/>
                <w:szCs w:val="22"/>
              </w:rPr>
            </w:pPr>
          </w:p>
          <w:p w14:paraId="33147C88" w14:textId="0704EECD" w:rsidR="00D855A7" w:rsidRDefault="00D855A7" w:rsidP="00AC6E34">
            <w:pPr>
              <w:tabs>
                <w:tab w:val="right" w:leader="underscore" w:pos="5670"/>
                <w:tab w:val="left" w:pos="6237"/>
              </w:tabs>
              <w:rPr>
                <w:rFonts w:cs="Arial"/>
                <w:sz w:val="22"/>
                <w:szCs w:val="22"/>
              </w:rPr>
            </w:pPr>
            <w:r>
              <w:rPr>
                <w:rFonts w:cs="Arial"/>
                <w:sz w:val="22"/>
                <w:szCs w:val="22"/>
              </w:rPr>
              <w:t xml:space="preserve">Questions were raised as to what the Minister took into account when looking at allowing an exemption. The Secretariat stated that </w:t>
            </w:r>
            <w:r w:rsidR="00E50F8E">
              <w:rPr>
                <w:rFonts w:cs="Arial"/>
                <w:sz w:val="22"/>
                <w:szCs w:val="22"/>
              </w:rPr>
              <w:t>an exemption had not been considered before</w:t>
            </w:r>
            <w:r w:rsidR="00BC32E7">
              <w:rPr>
                <w:rFonts w:cs="Arial"/>
                <w:sz w:val="22"/>
                <w:szCs w:val="22"/>
              </w:rPr>
              <w:t>.</w:t>
            </w:r>
            <w:r>
              <w:rPr>
                <w:rFonts w:cs="Arial"/>
                <w:sz w:val="22"/>
                <w:szCs w:val="22"/>
              </w:rPr>
              <w:t xml:space="preserve"> </w:t>
            </w:r>
          </w:p>
          <w:p w14:paraId="33FA48AC" w14:textId="77777777" w:rsidR="00D855A7" w:rsidRDefault="00D855A7" w:rsidP="00AC6E34">
            <w:pPr>
              <w:tabs>
                <w:tab w:val="right" w:leader="underscore" w:pos="5670"/>
                <w:tab w:val="left" w:pos="6237"/>
              </w:tabs>
              <w:spacing w:before="60" w:after="60"/>
              <w:rPr>
                <w:rFonts w:cs="Arial"/>
                <w:sz w:val="22"/>
                <w:szCs w:val="22"/>
              </w:rPr>
            </w:pPr>
          </w:p>
          <w:p w14:paraId="23C2AB1A" w14:textId="55B36039" w:rsidR="00AE776A" w:rsidRDefault="00D855A7" w:rsidP="00AC6E34">
            <w:pPr>
              <w:tabs>
                <w:tab w:val="right" w:leader="underscore" w:pos="5670"/>
                <w:tab w:val="left" w:pos="6237"/>
              </w:tabs>
              <w:spacing w:before="60" w:after="60"/>
              <w:rPr>
                <w:rFonts w:cs="Arial"/>
                <w:sz w:val="22"/>
                <w:szCs w:val="22"/>
              </w:rPr>
            </w:pPr>
            <w:r>
              <w:rPr>
                <w:rFonts w:cs="Arial"/>
                <w:sz w:val="22"/>
                <w:szCs w:val="22"/>
              </w:rPr>
              <w:lastRenderedPageBreak/>
              <w:t xml:space="preserve">The Advisory Group further noted that there </w:t>
            </w:r>
            <w:r w:rsidR="0056106E">
              <w:rPr>
                <w:rFonts w:cs="Arial"/>
                <w:sz w:val="22"/>
                <w:szCs w:val="22"/>
              </w:rPr>
              <w:t xml:space="preserve">should </w:t>
            </w:r>
            <w:r>
              <w:rPr>
                <w:rFonts w:cs="Arial"/>
                <w:sz w:val="22"/>
                <w:szCs w:val="22"/>
              </w:rPr>
              <w:t xml:space="preserve">be </w:t>
            </w:r>
            <w:r w:rsidR="00E50F8E">
              <w:rPr>
                <w:rFonts w:cs="Arial"/>
                <w:sz w:val="22"/>
                <w:szCs w:val="22"/>
              </w:rPr>
              <w:t>other means by which inequities could be addressed in relation to</w:t>
            </w:r>
            <w:r>
              <w:rPr>
                <w:rFonts w:cs="Arial"/>
                <w:sz w:val="22"/>
                <w:szCs w:val="22"/>
              </w:rPr>
              <w:t xml:space="preserve"> </w:t>
            </w:r>
            <w:r w:rsidR="0056106E">
              <w:rPr>
                <w:rFonts w:cs="Arial"/>
                <w:sz w:val="22"/>
                <w:szCs w:val="22"/>
              </w:rPr>
              <w:t xml:space="preserve">conviction </w:t>
            </w:r>
            <w:r>
              <w:rPr>
                <w:rFonts w:cs="Arial"/>
                <w:sz w:val="22"/>
                <w:szCs w:val="22"/>
              </w:rPr>
              <w:t xml:space="preserve">requirements for those that don’t meet them and a </w:t>
            </w:r>
            <w:r w:rsidR="00451573">
              <w:rPr>
                <w:rFonts w:cs="Arial"/>
                <w:sz w:val="22"/>
                <w:szCs w:val="22"/>
              </w:rPr>
              <w:t xml:space="preserve">two </w:t>
            </w:r>
            <w:r>
              <w:rPr>
                <w:rFonts w:cs="Arial"/>
                <w:sz w:val="22"/>
                <w:szCs w:val="22"/>
              </w:rPr>
              <w:t>year imprisonment threshold for licence holders, director</w:t>
            </w:r>
            <w:r w:rsidR="00C20987">
              <w:rPr>
                <w:rFonts w:cs="Arial"/>
                <w:sz w:val="22"/>
                <w:szCs w:val="22"/>
              </w:rPr>
              <w:t>s and partners should be looked</w:t>
            </w:r>
            <w:r>
              <w:rPr>
                <w:rFonts w:cs="Arial"/>
                <w:sz w:val="22"/>
                <w:szCs w:val="22"/>
              </w:rPr>
              <w:t xml:space="preserve"> into.</w:t>
            </w:r>
          </w:p>
          <w:p w14:paraId="7E2ADC42" w14:textId="77777777" w:rsidR="00D855A7" w:rsidRDefault="00D855A7" w:rsidP="00AC6E34">
            <w:pPr>
              <w:tabs>
                <w:tab w:val="right" w:leader="underscore" w:pos="5670"/>
                <w:tab w:val="left" w:pos="6237"/>
              </w:tabs>
              <w:spacing w:before="60" w:after="60"/>
              <w:rPr>
                <w:rFonts w:cs="Arial"/>
                <w:sz w:val="22"/>
                <w:szCs w:val="22"/>
              </w:rPr>
            </w:pPr>
          </w:p>
          <w:p w14:paraId="4D50CBAF" w14:textId="436E4D91" w:rsidR="0028782C" w:rsidRDefault="00C20987" w:rsidP="00AC6E34">
            <w:pPr>
              <w:tabs>
                <w:tab w:val="right" w:leader="underscore" w:pos="5670"/>
                <w:tab w:val="left" w:pos="6237"/>
              </w:tabs>
              <w:spacing w:before="60" w:after="60"/>
              <w:rPr>
                <w:rFonts w:cs="Arial"/>
                <w:b/>
                <w:sz w:val="22"/>
                <w:szCs w:val="22"/>
              </w:rPr>
            </w:pPr>
            <w:r>
              <w:rPr>
                <w:rFonts w:cs="Arial"/>
                <w:b/>
                <w:sz w:val="22"/>
                <w:szCs w:val="22"/>
              </w:rPr>
              <w:t>T</w:t>
            </w:r>
            <w:r w:rsidRPr="00C20987">
              <w:rPr>
                <w:rFonts w:cs="Arial"/>
                <w:b/>
                <w:sz w:val="22"/>
                <w:szCs w:val="22"/>
              </w:rPr>
              <w:t>etrahydrocannabinol (THC)</w:t>
            </w:r>
            <w:r w:rsidR="00D855A7">
              <w:rPr>
                <w:rFonts w:cs="Arial"/>
                <w:b/>
                <w:sz w:val="22"/>
                <w:szCs w:val="22"/>
              </w:rPr>
              <w:t xml:space="preserve"> requirements</w:t>
            </w:r>
          </w:p>
          <w:p w14:paraId="2FA2CE38" w14:textId="5FCFC09A" w:rsidR="00D855A7" w:rsidRDefault="00D855A7" w:rsidP="00AC6E34">
            <w:pPr>
              <w:tabs>
                <w:tab w:val="right" w:leader="underscore" w:pos="5670"/>
                <w:tab w:val="left" w:pos="6237"/>
              </w:tabs>
              <w:spacing w:before="60" w:after="60"/>
              <w:rPr>
                <w:rFonts w:cs="Arial"/>
                <w:sz w:val="22"/>
                <w:szCs w:val="22"/>
              </w:rPr>
            </w:pPr>
            <w:r>
              <w:rPr>
                <w:rFonts w:cs="Arial"/>
                <w:sz w:val="22"/>
                <w:szCs w:val="22"/>
              </w:rPr>
              <w:t>Some member</w:t>
            </w:r>
            <w:r w:rsidR="00C20987">
              <w:rPr>
                <w:rFonts w:cs="Arial"/>
                <w:sz w:val="22"/>
                <w:szCs w:val="22"/>
              </w:rPr>
              <w:t>s</w:t>
            </w:r>
            <w:r>
              <w:rPr>
                <w:rFonts w:cs="Arial"/>
                <w:sz w:val="22"/>
                <w:szCs w:val="22"/>
              </w:rPr>
              <w:t xml:space="preserve"> of the Advisory Group mentioned that they would like the limit for</w:t>
            </w:r>
            <w:r w:rsidR="00C20987">
              <w:rPr>
                <w:rFonts w:cs="Arial"/>
                <w:sz w:val="22"/>
                <w:szCs w:val="22"/>
              </w:rPr>
              <w:t xml:space="preserve"> THC</w:t>
            </w:r>
            <w:r>
              <w:rPr>
                <w:rFonts w:cs="Arial"/>
                <w:sz w:val="22"/>
                <w:szCs w:val="22"/>
              </w:rPr>
              <w:t xml:space="preserve"> to be raised from 0.35</w:t>
            </w:r>
            <w:r w:rsidR="00451573">
              <w:rPr>
                <w:rFonts w:cs="Arial"/>
                <w:sz w:val="22"/>
                <w:szCs w:val="22"/>
              </w:rPr>
              <w:t xml:space="preserve"> percent</w:t>
            </w:r>
            <w:r>
              <w:rPr>
                <w:rFonts w:cs="Arial"/>
                <w:sz w:val="22"/>
                <w:szCs w:val="22"/>
              </w:rPr>
              <w:t xml:space="preserve"> to </w:t>
            </w:r>
            <w:r w:rsidR="0010101F">
              <w:rPr>
                <w:rFonts w:cs="Arial"/>
                <w:sz w:val="22"/>
                <w:szCs w:val="22"/>
              </w:rPr>
              <w:t>one</w:t>
            </w:r>
            <w:r w:rsidR="00451573">
              <w:rPr>
                <w:rFonts w:cs="Arial"/>
                <w:sz w:val="22"/>
                <w:szCs w:val="22"/>
              </w:rPr>
              <w:t xml:space="preserve"> percent</w:t>
            </w:r>
            <w:r>
              <w:rPr>
                <w:rFonts w:cs="Arial"/>
                <w:sz w:val="22"/>
                <w:szCs w:val="22"/>
              </w:rPr>
              <w:t>.</w:t>
            </w:r>
          </w:p>
          <w:p w14:paraId="13CE056D" w14:textId="77777777" w:rsidR="00D855A7" w:rsidRDefault="00D855A7" w:rsidP="00AC6E34">
            <w:pPr>
              <w:tabs>
                <w:tab w:val="right" w:leader="underscore" w:pos="5670"/>
                <w:tab w:val="left" w:pos="6237"/>
              </w:tabs>
              <w:spacing w:before="60" w:after="60"/>
              <w:rPr>
                <w:rFonts w:cs="Arial"/>
                <w:sz w:val="22"/>
                <w:szCs w:val="22"/>
              </w:rPr>
            </w:pPr>
          </w:p>
          <w:p w14:paraId="61B2DA39" w14:textId="5A1D432A" w:rsidR="00D855A7" w:rsidRPr="00D855A7" w:rsidRDefault="00D855A7" w:rsidP="00AC6E34">
            <w:pPr>
              <w:tabs>
                <w:tab w:val="right" w:leader="underscore" w:pos="5670"/>
                <w:tab w:val="left" w:pos="6237"/>
              </w:tabs>
              <w:spacing w:before="60" w:after="60"/>
              <w:rPr>
                <w:rFonts w:cs="Arial"/>
                <w:sz w:val="22"/>
                <w:szCs w:val="22"/>
              </w:rPr>
            </w:pPr>
            <w:r>
              <w:rPr>
                <w:rFonts w:cs="Arial"/>
                <w:sz w:val="22"/>
                <w:szCs w:val="22"/>
              </w:rPr>
              <w:t xml:space="preserve">The Secretariat advised that </w:t>
            </w:r>
            <w:r w:rsidR="004C4861">
              <w:rPr>
                <w:rFonts w:cs="Arial"/>
                <w:sz w:val="22"/>
                <w:szCs w:val="22"/>
              </w:rPr>
              <w:t xml:space="preserve">the </w:t>
            </w:r>
            <w:r>
              <w:rPr>
                <w:rFonts w:cs="Arial"/>
                <w:sz w:val="22"/>
                <w:szCs w:val="22"/>
              </w:rPr>
              <w:t>0.35</w:t>
            </w:r>
            <w:r w:rsidR="00451573">
              <w:rPr>
                <w:rFonts w:cs="Arial"/>
                <w:sz w:val="22"/>
                <w:szCs w:val="22"/>
              </w:rPr>
              <w:t xml:space="preserve"> percent</w:t>
            </w:r>
            <w:r>
              <w:rPr>
                <w:rFonts w:cs="Arial"/>
                <w:sz w:val="22"/>
                <w:szCs w:val="22"/>
              </w:rPr>
              <w:t xml:space="preserve"> limit was consistent with </w:t>
            </w:r>
            <w:r w:rsidR="009C7D0F">
              <w:rPr>
                <w:rFonts w:cs="Arial"/>
                <w:sz w:val="22"/>
                <w:szCs w:val="22"/>
              </w:rPr>
              <w:t xml:space="preserve">how </w:t>
            </w:r>
            <w:r>
              <w:rPr>
                <w:rFonts w:cs="Arial"/>
                <w:sz w:val="22"/>
                <w:szCs w:val="22"/>
              </w:rPr>
              <w:t xml:space="preserve">industrial hemp </w:t>
            </w:r>
            <w:r w:rsidR="009C7D0F">
              <w:rPr>
                <w:rFonts w:cs="Arial"/>
                <w:sz w:val="22"/>
                <w:szCs w:val="22"/>
              </w:rPr>
              <w:t>is regulated. If</w:t>
            </w:r>
            <w:r>
              <w:rPr>
                <w:rFonts w:cs="Arial"/>
                <w:sz w:val="22"/>
                <w:szCs w:val="22"/>
              </w:rPr>
              <w:t xml:space="preserve"> this limit was in</w:t>
            </w:r>
            <w:r w:rsidR="00C20987">
              <w:rPr>
                <w:rFonts w:cs="Arial"/>
                <w:sz w:val="22"/>
                <w:szCs w:val="22"/>
              </w:rPr>
              <w:t>creased then the</w:t>
            </w:r>
            <w:r w:rsidR="00D903F3">
              <w:rPr>
                <w:rFonts w:cs="Arial"/>
                <w:sz w:val="22"/>
                <w:szCs w:val="22"/>
              </w:rPr>
              <w:t xml:space="preserve"> Ministry</w:t>
            </w:r>
            <w:r w:rsidR="002E2ED1">
              <w:rPr>
                <w:rFonts w:cs="Arial"/>
                <w:sz w:val="22"/>
                <w:szCs w:val="22"/>
              </w:rPr>
              <w:t xml:space="preserve"> would need to </w:t>
            </w:r>
            <w:r w:rsidR="00E50F8E">
              <w:rPr>
                <w:rFonts w:cs="Arial"/>
                <w:sz w:val="22"/>
                <w:szCs w:val="22"/>
              </w:rPr>
              <w:t xml:space="preserve">change legislation as well as </w:t>
            </w:r>
            <w:r w:rsidR="002E2ED1">
              <w:rPr>
                <w:rFonts w:cs="Arial"/>
                <w:sz w:val="22"/>
                <w:szCs w:val="22"/>
              </w:rPr>
              <w:t xml:space="preserve">develop and implement testing to ensure that the THC </w:t>
            </w:r>
            <w:r w:rsidR="009C7D0F">
              <w:rPr>
                <w:rFonts w:cs="Arial"/>
                <w:sz w:val="22"/>
                <w:szCs w:val="22"/>
              </w:rPr>
              <w:t xml:space="preserve">level </w:t>
            </w:r>
            <w:r w:rsidR="002E2ED1">
              <w:rPr>
                <w:rFonts w:cs="Arial"/>
                <w:sz w:val="22"/>
                <w:szCs w:val="22"/>
              </w:rPr>
              <w:t xml:space="preserve">is under </w:t>
            </w:r>
            <w:r w:rsidR="009C7D0F">
              <w:rPr>
                <w:rFonts w:cs="Arial"/>
                <w:sz w:val="22"/>
                <w:szCs w:val="22"/>
              </w:rPr>
              <w:t>one</w:t>
            </w:r>
            <w:r w:rsidR="00451573">
              <w:rPr>
                <w:rFonts w:cs="Arial"/>
                <w:sz w:val="22"/>
                <w:szCs w:val="22"/>
              </w:rPr>
              <w:t xml:space="preserve"> percent</w:t>
            </w:r>
            <w:r w:rsidR="002E2ED1">
              <w:rPr>
                <w:rFonts w:cs="Arial"/>
                <w:sz w:val="22"/>
                <w:szCs w:val="22"/>
              </w:rPr>
              <w:t>.</w:t>
            </w:r>
          </w:p>
          <w:p w14:paraId="256A9C51" w14:textId="77777777" w:rsidR="0028782C" w:rsidRDefault="0028782C" w:rsidP="00AC6E34">
            <w:pPr>
              <w:tabs>
                <w:tab w:val="right" w:leader="underscore" w:pos="5670"/>
                <w:tab w:val="left" w:pos="6237"/>
              </w:tabs>
              <w:spacing w:before="60" w:after="60"/>
              <w:rPr>
                <w:rFonts w:cs="Arial"/>
                <w:b/>
                <w:sz w:val="22"/>
                <w:szCs w:val="22"/>
              </w:rPr>
            </w:pPr>
          </w:p>
          <w:p w14:paraId="05FBA094" w14:textId="77777777" w:rsidR="0028782C" w:rsidRDefault="00D71C97" w:rsidP="00AC6E34">
            <w:pPr>
              <w:tabs>
                <w:tab w:val="right" w:leader="underscore" w:pos="5670"/>
                <w:tab w:val="left" w:pos="6237"/>
              </w:tabs>
              <w:spacing w:before="60" w:after="60"/>
              <w:rPr>
                <w:rFonts w:cs="Arial"/>
                <w:b/>
                <w:sz w:val="22"/>
                <w:szCs w:val="22"/>
              </w:rPr>
            </w:pPr>
            <w:r>
              <w:rPr>
                <w:rFonts w:cs="Arial"/>
                <w:b/>
                <w:sz w:val="22"/>
                <w:szCs w:val="22"/>
              </w:rPr>
              <w:t>Interface between the industrial hemp regime and the medicinal cannabis regime</w:t>
            </w:r>
          </w:p>
          <w:p w14:paraId="214BF661" w14:textId="7198409A" w:rsidR="00D71C97" w:rsidRDefault="00D71C97" w:rsidP="00AC6E34">
            <w:pPr>
              <w:tabs>
                <w:tab w:val="right" w:leader="underscore" w:pos="5670"/>
                <w:tab w:val="left" w:pos="6237"/>
              </w:tabs>
              <w:spacing w:before="60" w:after="60"/>
              <w:rPr>
                <w:rFonts w:cs="Arial"/>
                <w:sz w:val="22"/>
                <w:szCs w:val="22"/>
              </w:rPr>
            </w:pPr>
            <w:r>
              <w:rPr>
                <w:rFonts w:cs="Arial"/>
                <w:sz w:val="22"/>
                <w:szCs w:val="22"/>
              </w:rPr>
              <w:t>The Advisory Group asked for the rationale behind</w:t>
            </w:r>
            <w:r w:rsidR="009C7D0F">
              <w:rPr>
                <w:rFonts w:cs="Arial"/>
                <w:sz w:val="22"/>
                <w:szCs w:val="22"/>
              </w:rPr>
              <w:t xml:space="preserve"> the proposal to </w:t>
            </w:r>
            <w:r>
              <w:rPr>
                <w:rFonts w:cs="Arial"/>
                <w:sz w:val="22"/>
                <w:szCs w:val="22"/>
              </w:rPr>
              <w:t xml:space="preserve">limit the number of industrial hemp seeds that </w:t>
            </w:r>
            <w:r w:rsidR="009C7D0F">
              <w:rPr>
                <w:rFonts w:cs="Arial"/>
                <w:sz w:val="22"/>
                <w:szCs w:val="22"/>
              </w:rPr>
              <w:t xml:space="preserve">could be </w:t>
            </w:r>
            <w:r>
              <w:rPr>
                <w:rFonts w:cs="Arial"/>
                <w:sz w:val="22"/>
                <w:szCs w:val="22"/>
              </w:rPr>
              <w:t xml:space="preserve">transferred to the </w:t>
            </w:r>
            <w:r w:rsidR="00C20987">
              <w:rPr>
                <w:rFonts w:cs="Arial"/>
                <w:sz w:val="22"/>
                <w:szCs w:val="22"/>
              </w:rPr>
              <w:t>Scheme</w:t>
            </w:r>
            <w:r>
              <w:rPr>
                <w:rFonts w:cs="Arial"/>
                <w:sz w:val="22"/>
                <w:szCs w:val="22"/>
              </w:rPr>
              <w:t xml:space="preserve"> to 50 seeds or 20 seedlings.</w:t>
            </w:r>
          </w:p>
          <w:p w14:paraId="7A37ABF2" w14:textId="77777777" w:rsidR="00D71C97" w:rsidRDefault="00D71C97" w:rsidP="00AC6E34">
            <w:pPr>
              <w:tabs>
                <w:tab w:val="right" w:leader="underscore" w:pos="5670"/>
                <w:tab w:val="left" w:pos="6237"/>
              </w:tabs>
              <w:spacing w:before="60" w:after="60"/>
              <w:rPr>
                <w:rFonts w:cs="Arial"/>
                <w:sz w:val="22"/>
                <w:szCs w:val="22"/>
              </w:rPr>
            </w:pPr>
          </w:p>
          <w:p w14:paraId="44CC5268" w14:textId="55E883E7" w:rsidR="00D71C97" w:rsidRDefault="00D71C97" w:rsidP="00AC6E34">
            <w:pPr>
              <w:tabs>
                <w:tab w:val="right" w:leader="underscore" w:pos="5670"/>
                <w:tab w:val="left" w:pos="6237"/>
              </w:tabs>
              <w:spacing w:before="60" w:after="60"/>
              <w:rPr>
                <w:rFonts w:cs="Arial"/>
                <w:sz w:val="22"/>
                <w:szCs w:val="22"/>
              </w:rPr>
            </w:pPr>
            <w:r>
              <w:rPr>
                <w:rFonts w:cs="Arial"/>
                <w:sz w:val="22"/>
                <w:szCs w:val="22"/>
              </w:rPr>
              <w:t xml:space="preserve">The Secretariat advised that this limit was to make sure no one was </w:t>
            </w:r>
            <w:r w:rsidR="004C4861">
              <w:rPr>
                <w:rFonts w:cs="Arial"/>
                <w:sz w:val="22"/>
                <w:szCs w:val="22"/>
              </w:rPr>
              <w:t xml:space="preserve">unfairly </w:t>
            </w:r>
            <w:r w:rsidR="009C7D0F">
              <w:rPr>
                <w:rFonts w:cs="Arial"/>
                <w:sz w:val="22"/>
                <w:szCs w:val="22"/>
              </w:rPr>
              <w:t>dis</w:t>
            </w:r>
            <w:r w:rsidR="004C4861">
              <w:rPr>
                <w:rFonts w:cs="Arial"/>
                <w:sz w:val="22"/>
                <w:szCs w:val="22"/>
              </w:rPr>
              <w:t xml:space="preserve">advantaged </w:t>
            </w:r>
            <w:r>
              <w:rPr>
                <w:rFonts w:cs="Arial"/>
                <w:sz w:val="22"/>
                <w:szCs w:val="22"/>
              </w:rPr>
              <w:t>and ensure</w:t>
            </w:r>
            <w:r w:rsidR="00C20987">
              <w:rPr>
                <w:rFonts w:cs="Arial"/>
                <w:sz w:val="22"/>
                <w:szCs w:val="22"/>
              </w:rPr>
              <w:t xml:space="preserve"> that</w:t>
            </w:r>
            <w:r>
              <w:rPr>
                <w:rFonts w:cs="Arial"/>
                <w:sz w:val="22"/>
                <w:szCs w:val="22"/>
              </w:rPr>
              <w:t xml:space="preserve"> there was a level playing field for all people wanting to enter the medicinal cannabis industry. Seed transfer limits throughout the Scheme have been kept uniform for consistency.</w:t>
            </w:r>
          </w:p>
          <w:p w14:paraId="6D824468" w14:textId="77777777" w:rsidR="00D71C97" w:rsidRDefault="00D71C97" w:rsidP="00AC6E34">
            <w:pPr>
              <w:tabs>
                <w:tab w:val="right" w:leader="underscore" w:pos="5670"/>
                <w:tab w:val="left" w:pos="6237"/>
              </w:tabs>
              <w:spacing w:before="60" w:after="60"/>
              <w:rPr>
                <w:rFonts w:cs="Arial"/>
                <w:sz w:val="22"/>
                <w:szCs w:val="22"/>
              </w:rPr>
            </w:pPr>
          </w:p>
          <w:p w14:paraId="398747D0" w14:textId="7A92385E" w:rsidR="00D71C97" w:rsidRDefault="00D71C97" w:rsidP="00AC6E34">
            <w:pPr>
              <w:tabs>
                <w:tab w:val="right" w:leader="underscore" w:pos="5670"/>
                <w:tab w:val="left" w:pos="6237"/>
              </w:tabs>
              <w:spacing w:before="60" w:after="60"/>
              <w:rPr>
                <w:rFonts w:cs="Arial"/>
                <w:sz w:val="22"/>
                <w:szCs w:val="22"/>
              </w:rPr>
            </w:pPr>
            <w:r>
              <w:rPr>
                <w:rFonts w:cs="Arial"/>
                <w:sz w:val="22"/>
                <w:szCs w:val="22"/>
              </w:rPr>
              <w:t>Some members of the Advisory Group argued that giving some people</w:t>
            </w:r>
            <w:r w:rsidR="00C20987">
              <w:rPr>
                <w:rFonts w:cs="Arial"/>
                <w:sz w:val="22"/>
                <w:szCs w:val="22"/>
              </w:rPr>
              <w:t xml:space="preserve"> or companies</w:t>
            </w:r>
            <w:r>
              <w:rPr>
                <w:rFonts w:cs="Arial"/>
                <w:sz w:val="22"/>
                <w:szCs w:val="22"/>
              </w:rPr>
              <w:t xml:space="preserve"> a</w:t>
            </w:r>
            <w:r w:rsidR="004C4861">
              <w:rPr>
                <w:rFonts w:cs="Arial"/>
                <w:sz w:val="22"/>
                <w:szCs w:val="22"/>
              </w:rPr>
              <w:t>n advantage</w:t>
            </w:r>
            <w:r>
              <w:rPr>
                <w:rFonts w:cs="Arial"/>
                <w:sz w:val="22"/>
                <w:szCs w:val="22"/>
              </w:rPr>
              <w:t xml:space="preserve"> would be a good thing as products </w:t>
            </w:r>
            <w:r w:rsidR="009B2F05">
              <w:rPr>
                <w:rFonts w:cs="Arial"/>
                <w:sz w:val="22"/>
                <w:szCs w:val="22"/>
              </w:rPr>
              <w:t>will end up on the market faster.</w:t>
            </w:r>
            <w:r>
              <w:rPr>
                <w:rFonts w:cs="Arial"/>
                <w:sz w:val="22"/>
                <w:szCs w:val="22"/>
              </w:rPr>
              <w:t xml:space="preserve"> </w:t>
            </w:r>
          </w:p>
          <w:p w14:paraId="15DABE1F" w14:textId="77777777" w:rsidR="00854C9A" w:rsidRDefault="00854C9A" w:rsidP="00AC6E34">
            <w:pPr>
              <w:tabs>
                <w:tab w:val="right" w:leader="underscore" w:pos="5670"/>
                <w:tab w:val="left" w:pos="6237"/>
              </w:tabs>
              <w:spacing w:before="60" w:after="60"/>
              <w:rPr>
                <w:rFonts w:cs="Arial"/>
                <w:sz w:val="22"/>
                <w:szCs w:val="22"/>
              </w:rPr>
            </w:pPr>
          </w:p>
          <w:p w14:paraId="03BC70A6" w14:textId="365E65B6" w:rsidR="0025752A" w:rsidRDefault="00854C9A" w:rsidP="00AC6E34">
            <w:pPr>
              <w:tabs>
                <w:tab w:val="right" w:leader="underscore" w:pos="5670"/>
                <w:tab w:val="left" w:pos="6237"/>
              </w:tabs>
              <w:spacing w:before="60" w:after="60"/>
              <w:rPr>
                <w:rFonts w:cs="Arial"/>
                <w:b/>
                <w:sz w:val="22"/>
                <w:szCs w:val="22"/>
              </w:rPr>
            </w:pPr>
            <w:r>
              <w:rPr>
                <w:rFonts w:cs="Arial"/>
                <w:b/>
                <w:sz w:val="22"/>
                <w:szCs w:val="22"/>
              </w:rPr>
              <w:t>Licences for small scale v</w:t>
            </w:r>
            <w:r w:rsidR="00C20987">
              <w:rPr>
                <w:rFonts w:cs="Arial"/>
                <w:b/>
                <w:sz w:val="22"/>
                <w:szCs w:val="22"/>
              </w:rPr>
              <w:t>ersu</w:t>
            </w:r>
            <w:r>
              <w:rPr>
                <w:rFonts w:cs="Arial"/>
                <w:b/>
                <w:sz w:val="22"/>
                <w:szCs w:val="22"/>
              </w:rPr>
              <w:t>s large s</w:t>
            </w:r>
            <w:r w:rsidR="0025752A">
              <w:rPr>
                <w:rFonts w:cs="Arial"/>
                <w:b/>
                <w:sz w:val="22"/>
                <w:szCs w:val="22"/>
              </w:rPr>
              <w:t>cale</w:t>
            </w:r>
            <w:r>
              <w:rPr>
                <w:rFonts w:cs="Arial"/>
                <w:b/>
                <w:sz w:val="22"/>
                <w:szCs w:val="22"/>
              </w:rPr>
              <w:t xml:space="preserve"> cultivation</w:t>
            </w:r>
          </w:p>
          <w:p w14:paraId="6F3A4B6C" w14:textId="51B02E16" w:rsidR="00854C9A" w:rsidRDefault="00854C9A" w:rsidP="00AC6E34">
            <w:pPr>
              <w:tabs>
                <w:tab w:val="right" w:leader="underscore" w:pos="5670"/>
                <w:tab w:val="left" w:pos="6237"/>
              </w:tabs>
              <w:spacing w:before="60" w:after="60"/>
              <w:rPr>
                <w:rFonts w:cs="Arial"/>
                <w:sz w:val="22"/>
                <w:szCs w:val="22"/>
              </w:rPr>
            </w:pPr>
            <w:r>
              <w:rPr>
                <w:rFonts w:cs="Arial"/>
                <w:sz w:val="22"/>
                <w:szCs w:val="22"/>
              </w:rPr>
              <w:t>The Advisory Group questioned why a 200</w:t>
            </w:r>
            <w:r w:rsidR="0010101F">
              <w:rPr>
                <w:rFonts w:cs="Arial"/>
                <w:sz w:val="22"/>
                <w:szCs w:val="22"/>
              </w:rPr>
              <w:t xml:space="preserve"> square metre</w:t>
            </w:r>
            <w:r>
              <w:rPr>
                <w:rFonts w:cs="Arial"/>
                <w:sz w:val="22"/>
                <w:szCs w:val="22"/>
              </w:rPr>
              <w:t xml:space="preserve"> limit was identified as the threshold between small</w:t>
            </w:r>
            <w:r w:rsidR="0010101F">
              <w:rPr>
                <w:rFonts w:cs="Arial"/>
                <w:sz w:val="22"/>
                <w:szCs w:val="22"/>
              </w:rPr>
              <w:t>-</w:t>
            </w:r>
            <w:r>
              <w:rPr>
                <w:rFonts w:cs="Arial"/>
                <w:sz w:val="22"/>
                <w:szCs w:val="22"/>
              </w:rPr>
              <w:t xml:space="preserve">scale and </w:t>
            </w:r>
            <w:r w:rsidR="0010101F">
              <w:rPr>
                <w:rFonts w:cs="Arial"/>
                <w:sz w:val="22"/>
                <w:szCs w:val="22"/>
              </w:rPr>
              <w:t>large-scale</w:t>
            </w:r>
            <w:r>
              <w:rPr>
                <w:rFonts w:cs="Arial"/>
                <w:sz w:val="22"/>
                <w:szCs w:val="22"/>
              </w:rPr>
              <w:t xml:space="preserve"> cultivation.</w:t>
            </w:r>
          </w:p>
          <w:p w14:paraId="2A6C5423" w14:textId="77777777" w:rsidR="00854C9A" w:rsidRDefault="00854C9A" w:rsidP="00AC6E34">
            <w:pPr>
              <w:tabs>
                <w:tab w:val="right" w:leader="underscore" w:pos="5670"/>
                <w:tab w:val="left" w:pos="6237"/>
              </w:tabs>
              <w:spacing w:before="60" w:after="60"/>
              <w:rPr>
                <w:rFonts w:cs="Arial"/>
                <w:sz w:val="22"/>
                <w:szCs w:val="22"/>
              </w:rPr>
            </w:pPr>
          </w:p>
          <w:p w14:paraId="18E49DC1" w14:textId="341A8953" w:rsidR="00854C9A" w:rsidRPr="00854C9A" w:rsidRDefault="00CD6F44" w:rsidP="00AC6E34">
            <w:pPr>
              <w:tabs>
                <w:tab w:val="right" w:leader="underscore" w:pos="5670"/>
                <w:tab w:val="left" w:pos="6237"/>
              </w:tabs>
              <w:spacing w:before="60" w:after="60"/>
              <w:rPr>
                <w:rFonts w:cs="Arial"/>
                <w:sz w:val="22"/>
                <w:szCs w:val="22"/>
              </w:rPr>
            </w:pPr>
            <w:r>
              <w:rPr>
                <w:rFonts w:cs="Arial"/>
                <w:sz w:val="22"/>
                <w:szCs w:val="22"/>
              </w:rPr>
              <w:t>The Secretariat advised</w:t>
            </w:r>
            <w:r w:rsidR="00854C9A">
              <w:rPr>
                <w:rFonts w:cs="Arial"/>
                <w:sz w:val="22"/>
                <w:szCs w:val="22"/>
              </w:rPr>
              <w:t xml:space="preserve"> that </w:t>
            </w:r>
            <w:r w:rsidR="00E05514">
              <w:rPr>
                <w:rFonts w:cs="Arial"/>
                <w:sz w:val="22"/>
                <w:szCs w:val="22"/>
              </w:rPr>
              <w:t xml:space="preserve">distinguishing </w:t>
            </w:r>
            <w:r w:rsidR="00854C9A">
              <w:rPr>
                <w:rFonts w:cs="Arial"/>
                <w:sz w:val="22"/>
                <w:szCs w:val="22"/>
              </w:rPr>
              <w:t xml:space="preserve">between large and small cultivators </w:t>
            </w:r>
            <w:r w:rsidR="00E05514">
              <w:rPr>
                <w:rFonts w:cs="Arial"/>
                <w:sz w:val="22"/>
                <w:szCs w:val="22"/>
              </w:rPr>
              <w:t xml:space="preserve">was </w:t>
            </w:r>
            <w:r w:rsidR="00E05514" w:rsidRPr="00E05514">
              <w:rPr>
                <w:rFonts w:cs="Arial"/>
                <w:sz w:val="22"/>
                <w:szCs w:val="22"/>
              </w:rPr>
              <w:t>based on a risk proportionate approach</w:t>
            </w:r>
            <w:r w:rsidR="00E05514">
              <w:rPr>
                <w:rFonts w:cs="Arial"/>
                <w:sz w:val="22"/>
                <w:szCs w:val="22"/>
              </w:rPr>
              <w:t xml:space="preserve">, and subject to </w:t>
            </w:r>
            <w:r w:rsidR="00854C9A">
              <w:rPr>
                <w:rFonts w:cs="Arial"/>
                <w:sz w:val="22"/>
                <w:szCs w:val="22"/>
              </w:rPr>
              <w:t>different licencing</w:t>
            </w:r>
            <w:r w:rsidR="00E05514">
              <w:rPr>
                <w:rFonts w:cs="Arial"/>
                <w:sz w:val="22"/>
                <w:szCs w:val="22"/>
              </w:rPr>
              <w:t xml:space="preserve"> fees</w:t>
            </w:r>
            <w:r w:rsidR="003C7CF0">
              <w:rPr>
                <w:rFonts w:cs="Arial"/>
                <w:sz w:val="22"/>
                <w:szCs w:val="22"/>
              </w:rPr>
              <w:t xml:space="preserve"> </w:t>
            </w:r>
            <w:r w:rsidR="002C2528">
              <w:rPr>
                <w:rFonts w:cs="Arial"/>
                <w:sz w:val="22"/>
                <w:szCs w:val="22"/>
              </w:rPr>
              <w:t>accordingly</w:t>
            </w:r>
            <w:r w:rsidR="00854C9A">
              <w:rPr>
                <w:rFonts w:cs="Arial"/>
                <w:sz w:val="22"/>
                <w:szCs w:val="22"/>
              </w:rPr>
              <w:t xml:space="preserve">. It was highlighted that </w:t>
            </w:r>
            <w:r w:rsidR="00AF21C7">
              <w:rPr>
                <w:rFonts w:cs="Arial"/>
                <w:sz w:val="22"/>
                <w:szCs w:val="22"/>
              </w:rPr>
              <w:t>a third of respondents from the Consultation</w:t>
            </w:r>
            <w:r w:rsidR="00854C9A">
              <w:rPr>
                <w:rFonts w:cs="Arial"/>
                <w:sz w:val="22"/>
                <w:szCs w:val="22"/>
              </w:rPr>
              <w:t xml:space="preserve"> identified that they would be cultivating an area </w:t>
            </w:r>
            <w:r w:rsidR="00E05514">
              <w:rPr>
                <w:rFonts w:cs="Arial"/>
                <w:sz w:val="22"/>
                <w:szCs w:val="22"/>
              </w:rPr>
              <w:t xml:space="preserve">of </w:t>
            </w:r>
            <w:r w:rsidR="00854C9A">
              <w:rPr>
                <w:rFonts w:cs="Arial"/>
                <w:sz w:val="22"/>
                <w:szCs w:val="22"/>
              </w:rPr>
              <w:t>under 200</w:t>
            </w:r>
            <w:r w:rsidR="0010101F">
              <w:rPr>
                <w:rFonts w:cs="Arial"/>
                <w:sz w:val="22"/>
                <w:szCs w:val="22"/>
              </w:rPr>
              <w:t xml:space="preserve"> square metres.</w:t>
            </w:r>
          </w:p>
          <w:p w14:paraId="1584C331" w14:textId="77777777" w:rsidR="00854C9A" w:rsidRDefault="00854C9A" w:rsidP="00AC6E34">
            <w:pPr>
              <w:tabs>
                <w:tab w:val="right" w:leader="underscore" w:pos="5670"/>
                <w:tab w:val="left" w:pos="6237"/>
              </w:tabs>
              <w:spacing w:before="60" w:after="60"/>
              <w:rPr>
                <w:rFonts w:cs="Arial"/>
                <w:sz w:val="22"/>
                <w:szCs w:val="22"/>
              </w:rPr>
            </w:pPr>
          </w:p>
          <w:p w14:paraId="2140EC9E" w14:textId="6D147FC0" w:rsidR="00651B6F" w:rsidRPr="00854C9A" w:rsidRDefault="00854C9A" w:rsidP="00AC6E34">
            <w:pPr>
              <w:tabs>
                <w:tab w:val="right" w:leader="underscore" w:pos="5670"/>
                <w:tab w:val="left" w:pos="6237"/>
              </w:tabs>
              <w:spacing w:before="60" w:after="60"/>
              <w:rPr>
                <w:rFonts w:cs="Arial"/>
                <w:sz w:val="22"/>
                <w:szCs w:val="22"/>
              </w:rPr>
            </w:pPr>
            <w:r>
              <w:rPr>
                <w:rFonts w:cs="Arial"/>
                <w:sz w:val="22"/>
                <w:szCs w:val="22"/>
              </w:rPr>
              <w:t>Some members of the Advisory Group questioned the economic viability of having a 200</w:t>
            </w:r>
            <w:r w:rsidR="0010101F">
              <w:rPr>
                <w:rFonts w:cs="Arial"/>
                <w:sz w:val="22"/>
                <w:szCs w:val="22"/>
              </w:rPr>
              <w:t xml:space="preserve"> square metre</w:t>
            </w:r>
            <w:r>
              <w:rPr>
                <w:rFonts w:cs="Arial"/>
                <w:sz w:val="22"/>
                <w:szCs w:val="22"/>
              </w:rPr>
              <w:t xml:space="preserve"> </w:t>
            </w:r>
            <w:r w:rsidR="0010101F">
              <w:rPr>
                <w:rFonts w:cs="Arial"/>
                <w:sz w:val="22"/>
                <w:szCs w:val="22"/>
              </w:rPr>
              <w:t>threshold but</w:t>
            </w:r>
            <w:r>
              <w:rPr>
                <w:rFonts w:cs="Arial"/>
                <w:sz w:val="22"/>
                <w:szCs w:val="22"/>
              </w:rPr>
              <w:t xml:space="preserve"> identified that this may not be relevant for all applicants as it would depend on their intent when applying for a licence under the Scheme.</w:t>
            </w:r>
          </w:p>
        </w:tc>
      </w:tr>
      <w:tr w:rsidR="006A4320" w:rsidRPr="00FA0D8E" w14:paraId="086BB497" w14:textId="77777777" w:rsidTr="00E643CE">
        <w:tc>
          <w:tcPr>
            <w:tcW w:w="669" w:type="dxa"/>
          </w:tcPr>
          <w:p w14:paraId="00C2B689" w14:textId="77777777" w:rsidR="006A4320" w:rsidRPr="006A4320" w:rsidRDefault="006A4320"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48E15AF8" w14:textId="3DB2C9CA" w:rsidR="006A4320" w:rsidRPr="006A4320" w:rsidRDefault="00E643CE" w:rsidP="00AC6E34">
            <w:pPr>
              <w:tabs>
                <w:tab w:val="right" w:leader="underscore" w:pos="5670"/>
                <w:tab w:val="left" w:pos="6237"/>
              </w:tabs>
              <w:spacing w:before="60" w:after="60"/>
              <w:rPr>
                <w:rFonts w:cs="Arial"/>
                <w:b/>
                <w:sz w:val="22"/>
                <w:szCs w:val="22"/>
              </w:rPr>
            </w:pPr>
            <w:r>
              <w:rPr>
                <w:rFonts w:cs="Arial"/>
                <w:b/>
                <w:sz w:val="22"/>
                <w:szCs w:val="22"/>
              </w:rPr>
              <w:t>Break for lunch 12.00pm</w:t>
            </w:r>
            <w:r w:rsidR="0010101F" w:rsidRPr="0010101F">
              <w:rPr>
                <w:rFonts w:cs="Arial"/>
                <w:b/>
                <w:sz w:val="22"/>
                <w:szCs w:val="22"/>
              </w:rPr>
              <w:t>–</w:t>
            </w:r>
            <w:r>
              <w:rPr>
                <w:rFonts w:cs="Arial"/>
                <w:b/>
                <w:sz w:val="22"/>
                <w:szCs w:val="22"/>
              </w:rPr>
              <w:t>12.30pm</w:t>
            </w:r>
          </w:p>
        </w:tc>
      </w:tr>
      <w:tr w:rsidR="006A4320" w:rsidRPr="00FA0D8E" w14:paraId="084B1C25" w14:textId="77777777" w:rsidTr="00E643CE">
        <w:tc>
          <w:tcPr>
            <w:tcW w:w="669" w:type="dxa"/>
          </w:tcPr>
          <w:p w14:paraId="26FBB14A" w14:textId="77777777" w:rsidR="006A4320" w:rsidRPr="006A4320" w:rsidRDefault="006A4320"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20CD32B6" w14:textId="77777777" w:rsidR="000973AC" w:rsidRDefault="00854C9A" w:rsidP="00AC6E34">
            <w:pPr>
              <w:tabs>
                <w:tab w:val="right" w:leader="underscore" w:pos="5670"/>
                <w:tab w:val="left" w:pos="6237"/>
              </w:tabs>
              <w:spacing w:before="60" w:after="60"/>
              <w:rPr>
                <w:rFonts w:cs="Arial"/>
                <w:b/>
                <w:sz w:val="22"/>
                <w:szCs w:val="22"/>
              </w:rPr>
            </w:pPr>
            <w:r>
              <w:rPr>
                <w:rFonts w:cs="Arial"/>
                <w:b/>
                <w:sz w:val="22"/>
                <w:szCs w:val="22"/>
              </w:rPr>
              <w:t>Security Requirements</w:t>
            </w:r>
          </w:p>
          <w:p w14:paraId="7B1F26E3" w14:textId="77777777" w:rsidR="00854C9A" w:rsidRDefault="00854C9A" w:rsidP="00AC6E34">
            <w:pPr>
              <w:tabs>
                <w:tab w:val="right" w:leader="underscore" w:pos="5670"/>
                <w:tab w:val="left" w:pos="6237"/>
              </w:tabs>
              <w:spacing w:before="60" w:after="60"/>
              <w:rPr>
                <w:rFonts w:cs="Arial"/>
                <w:sz w:val="22"/>
                <w:szCs w:val="22"/>
              </w:rPr>
            </w:pPr>
            <w:r>
              <w:rPr>
                <w:rFonts w:cs="Arial"/>
                <w:sz w:val="22"/>
                <w:szCs w:val="22"/>
              </w:rPr>
              <w:t>Members of the Advisory Group noted that they would like the security requirements for low THC and high THC crops explained.</w:t>
            </w:r>
          </w:p>
          <w:p w14:paraId="7523CA33" w14:textId="77777777" w:rsidR="00854C9A" w:rsidRDefault="00854C9A" w:rsidP="00AC6E34">
            <w:pPr>
              <w:tabs>
                <w:tab w:val="right" w:leader="underscore" w:pos="5670"/>
                <w:tab w:val="left" w:pos="6237"/>
              </w:tabs>
              <w:spacing w:before="60" w:after="60"/>
              <w:rPr>
                <w:rFonts w:cs="Arial"/>
                <w:sz w:val="22"/>
                <w:szCs w:val="22"/>
              </w:rPr>
            </w:pPr>
          </w:p>
          <w:p w14:paraId="1903364F" w14:textId="28EC716E" w:rsidR="00DE6846" w:rsidRDefault="00854C9A" w:rsidP="00AC6E34">
            <w:pPr>
              <w:tabs>
                <w:tab w:val="right" w:leader="underscore" w:pos="5670"/>
                <w:tab w:val="left" w:pos="6237"/>
              </w:tabs>
              <w:spacing w:before="60" w:after="60"/>
              <w:rPr>
                <w:rFonts w:cs="Arial"/>
                <w:sz w:val="22"/>
                <w:szCs w:val="22"/>
              </w:rPr>
            </w:pPr>
            <w:r>
              <w:rPr>
                <w:rFonts w:cs="Arial"/>
                <w:sz w:val="22"/>
                <w:szCs w:val="22"/>
              </w:rPr>
              <w:t xml:space="preserve">The Secretariat stated that for high THC crops, </w:t>
            </w:r>
            <w:r w:rsidR="00E05514">
              <w:rPr>
                <w:rFonts w:cs="Arial"/>
                <w:sz w:val="22"/>
                <w:szCs w:val="22"/>
              </w:rPr>
              <w:t xml:space="preserve">it is important to prevent access to the crop by </w:t>
            </w:r>
            <w:r>
              <w:rPr>
                <w:rFonts w:cs="Arial"/>
                <w:sz w:val="22"/>
                <w:szCs w:val="22"/>
              </w:rPr>
              <w:t>unauthorised people</w:t>
            </w:r>
            <w:r w:rsidR="008C71B0">
              <w:rPr>
                <w:rFonts w:cs="Arial"/>
                <w:sz w:val="22"/>
                <w:szCs w:val="22"/>
              </w:rPr>
              <w:t>, but further work needed to be done in this area</w:t>
            </w:r>
            <w:r>
              <w:rPr>
                <w:rFonts w:cs="Arial"/>
                <w:sz w:val="22"/>
                <w:szCs w:val="22"/>
              </w:rPr>
              <w:t xml:space="preserve">. </w:t>
            </w:r>
            <w:r w:rsidR="004C4861">
              <w:rPr>
                <w:rFonts w:cs="Arial"/>
                <w:sz w:val="22"/>
                <w:szCs w:val="22"/>
              </w:rPr>
              <w:t>The Secretariat also</w:t>
            </w:r>
            <w:r>
              <w:rPr>
                <w:rFonts w:cs="Arial"/>
                <w:sz w:val="22"/>
                <w:szCs w:val="22"/>
              </w:rPr>
              <w:t xml:space="preserve"> advised that </w:t>
            </w:r>
            <w:r w:rsidR="004C4861">
              <w:rPr>
                <w:rFonts w:cs="Arial"/>
                <w:sz w:val="22"/>
                <w:szCs w:val="22"/>
              </w:rPr>
              <w:t>work was underway to develop guidance</w:t>
            </w:r>
            <w:r w:rsidR="009B2F05">
              <w:rPr>
                <w:rFonts w:cs="Arial"/>
                <w:sz w:val="22"/>
                <w:szCs w:val="22"/>
              </w:rPr>
              <w:t>,</w:t>
            </w:r>
            <w:r w:rsidR="004C4861">
              <w:rPr>
                <w:rFonts w:cs="Arial"/>
                <w:sz w:val="22"/>
                <w:szCs w:val="22"/>
              </w:rPr>
              <w:t xml:space="preserve"> application forms</w:t>
            </w:r>
            <w:r w:rsidR="009B2F05">
              <w:rPr>
                <w:rFonts w:cs="Arial"/>
                <w:sz w:val="22"/>
                <w:szCs w:val="22"/>
              </w:rPr>
              <w:t xml:space="preserve"> and workshops</w:t>
            </w:r>
            <w:r w:rsidR="00AD556A">
              <w:rPr>
                <w:rFonts w:cs="Arial"/>
                <w:sz w:val="22"/>
                <w:szCs w:val="22"/>
              </w:rPr>
              <w:t xml:space="preserve"> to facilitate industry and Māori with the application process.</w:t>
            </w:r>
            <w:r w:rsidR="008C71B0">
              <w:rPr>
                <w:rFonts w:cs="Arial"/>
                <w:sz w:val="22"/>
                <w:szCs w:val="22"/>
              </w:rPr>
              <w:t xml:space="preserve"> </w:t>
            </w:r>
          </w:p>
          <w:p w14:paraId="68F5C2D6" w14:textId="77777777" w:rsidR="0056106E" w:rsidRDefault="0056106E" w:rsidP="00AC6E34">
            <w:pPr>
              <w:tabs>
                <w:tab w:val="right" w:leader="underscore" w:pos="5670"/>
                <w:tab w:val="left" w:pos="6237"/>
              </w:tabs>
              <w:spacing w:before="60" w:after="60"/>
              <w:rPr>
                <w:rFonts w:cs="Arial"/>
                <w:sz w:val="22"/>
                <w:szCs w:val="22"/>
              </w:rPr>
            </w:pPr>
          </w:p>
          <w:p w14:paraId="37407159" w14:textId="16BD40B3" w:rsidR="0056106E" w:rsidRPr="0056106E" w:rsidRDefault="0056106E" w:rsidP="00AC6E34">
            <w:pPr>
              <w:tabs>
                <w:tab w:val="right" w:leader="underscore" w:pos="5670"/>
                <w:tab w:val="left" w:pos="6237"/>
              </w:tabs>
              <w:spacing w:before="60" w:after="60"/>
              <w:rPr>
                <w:rFonts w:cs="Arial"/>
                <w:sz w:val="22"/>
                <w:szCs w:val="22"/>
              </w:rPr>
            </w:pPr>
            <w:r>
              <w:rPr>
                <w:rFonts w:cs="Arial"/>
                <w:b/>
                <w:sz w:val="22"/>
                <w:szCs w:val="22"/>
              </w:rPr>
              <w:t xml:space="preserve">Action: </w:t>
            </w:r>
            <w:r>
              <w:rPr>
                <w:rFonts w:cs="Arial"/>
                <w:sz w:val="22"/>
                <w:szCs w:val="22"/>
              </w:rPr>
              <w:t>Secretariat to do more work into the differing security requirements for a high THC crop versus a low THC crop.</w:t>
            </w:r>
          </w:p>
          <w:p w14:paraId="19D40787" w14:textId="77777777" w:rsidR="007647F3" w:rsidRPr="007647F3" w:rsidRDefault="007647F3" w:rsidP="00AC6E34">
            <w:pPr>
              <w:tabs>
                <w:tab w:val="right" w:leader="underscore" w:pos="5670"/>
                <w:tab w:val="left" w:pos="6237"/>
              </w:tabs>
              <w:spacing w:before="60" w:after="60"/>
              <w:rPr>
                <w:rFonts w:cs="Arial"/>
                <w:sz w:val="22"/>
                <w:szCs w:val="22"/>
              </w:rPr>
            </w:pPr>
          </w:p>
          <w:p w14:paraId="2B473DC2" w14:textId="77777777" w:rsidR="00DE6846" w:rsidRDefault="00DE6846" w:rsidP="00AC6E34">
            <w:pPr>
              <w:tabs>
                <w:tab w:val="right" w:leader="underscore" w:pos="5670"/>
                <w:tab w:val="left" w:pos="6237"/>
              </w:tabs>
              <w:spacing w:before="60" w:after="60"/>
              <w:rPr>
                <w:rFonts w:cs="Arial"/>
                <w:b/>
                <w:sz w:val="22"/>
                <w:szCs w:val="22"/>
              </w:rPr>
            </w:pPr>
            <w:r>
              <w:rPr>
                <w:rFonts w:cs="Arial"/>
                <w:b/>
                <w:sz w:val="22"/>
                <w:szCs w:val="22"/>
              </w:rPr>
              <w:t xml:space="preserve">Declaration of </w:t>
            </w:r>
            <w:r w:rsidR="008C71B0">
              <w:rPr>
                <w:rFonts w:cs="Arial"/>
                <w:b/>
                <w:sz w:val="22"/>
                <w:szCs w:val="22"/>
              </w:rPr>
              <w:t>illicit New Zealand seed</w:t>
            </w:r>
          </w:p>
          <w:p w14:paraId="49C4D1FB" w14:textId="5BB75A34" w:rsidR="004F2F23" w:rsidRDefault="008C71B0" w:rsidP="00AC6E34">
            <w:pPr>
              <w:tabs>
                <w:tab w:val="right" w:leader="underscore" w:pos="5670"/>
                <w:tab w:val="left" w:pos="6237"/>
              </w:tabs>
              <w:spacing w:before="60" w:after="60"/>
              <w:rPr>
                <w:rFonts w:cs="Arial"/>
                <w:sz w:val="22"/>
                <w:szCs w:val="22"/>
              </w:rPr>
            </w:pPr>
            <w:r>
              <w:rPr>
                <w:rFonts w:cs="Arial"/>
                <w:sz w:val="22"/>
                <w:szCs w:val="22"/>
              </w:rPr>
              <w:lastRenderedPageBreak/>
              <w:t xml:space="preserve">Some members of the Advisory Group questioned why there was a </w:t>
            </w:r>
            <w:r w:rsidR="002C2528">
              <w:rPr>
                <w:rFonts w:cs="Arial"/>
                <w:sz w:val="22"/>
                <w:szCs w:val="22"/>
              </w:rPr>
              <w:t xml:space="preserve">proposed </w:t>
            </w:r>
            <w:r>
              <w:rPr>
                <w:rFonts w:cs="Arial"/>
                <w:sz w:val="22"/>
                <w:szCs w:val="22"/>
              </w:rPr>
              <w:t>limit on the number of seeds being declared at any one time</w:t>
            </w:r>
            <w:r w:rsidR="00E05514">
              <w:rPr>
                <w:rFonts w:cs="Arial"/>
                <w:sz w:val="22"/>
                <w:szCs w:val="22"/>
              </w:rPr>
              <w:t xml:space="preserve"> and </w:t>
            </w:r>
            <w:r>
              <w:rPr>
                <w:rFonts w:cs="Arial"/>
                <w:sz w:val="22"/>
                <w:szCs w:val="22"/>
              </w:rPr>
              <w:t>not a limit on the number of declarations</w:t>
            </w:r>
            <w:r w:rsidR="00E05514">
              <w:rPr>
                <w:rFonts w:cs="Arial"/>
                <w:sz w:val="22"/>
                <w:szCs w:val="22"/>
              </w:rPr>
              <w:t>,</w:t>
            </w:r>
            <w:r>
              <w:rPr>
                <w:rFonts w:cs="Arial"/>
                <w:sz w:val="22"/>
                <w:szCs w:val="22"/>
              </w:rPr>
              <w:t xml:space="preserve"> </w:t>
            </w:r>
            <w:r w:rsidRPr="00921101">
              <w:rPr>
                <w:rFonts w:cs="Arial"/>
                <w:sz w:val="22"/>
                <w:szCs w:val="22"/>
              </w:rPr>
              <w:t xml:space="preserve">considering that it is not intended to be an ongoing </w:t>
            </w:r>
            <w:r w:rsidR="004F2F23">
              <w:rPr>
                <w:rFonts w:cs="Arial"/>
                <w:sz w:val="22"/>
                <w:szCs w:val="22"/>
              </w:rPr>
              <w:t>source of supply from the illicit market.</w:t>
            </w:r>
          </w:p>
          <w:p w14:paraId="432671B8" w14:textId="77777777" w:rsidR="008C71B0" w:rsidRDefault="008C71B0" w:rsidP="00AC6E34">
            <w:pPr>
              <w:tabs>
                <w:tab w:val="right" w:leader="underscore" w:pos="5670"/>
                <w:tab w:val="left" w:pos="6237"/>
              </w:tabs>
              <w:spacing w:before="60" w:after="60"/>
              <w:rPr>
                <w:rFonts w:cs="Arial"/>
                <w:sz w:val="22"/>
                <w:szCs w:val="22"/>
              </w:rPr>
            </w:pPr>
          </w:p>
          <w:p w14:paraId="34E566E0" w14:textId="0A227E59" w:rsidR="008C71B0" w:rsidRDefault="008C71B0" w:rsidP="00AC6E34">
            <w:pPr>
              <w:tabs>
                <w:tab w:val="right" w:leader="underscore" w:pos="5670"/>
                <w:tab w:val="left" w:pos="6237"/>
              </w:tabs>
              <w:spacing w:before="60" w:after="60"/>
              <w:rPr>
                <w:rFonts w:cs="Arial"/>
                <w:sz w:val="22"/>
                <w:szCs w:val="22"/>
              </w:rPr>
            </w:pPr>
            <w:r>
              <w:rPr>
                <w:rFonts w:cs="Arial"/>
                <w:sz w:val="22"/>
                <w:szCs w:val="22"/>
              </w:rPr>
              <w:t xml:space="preserve">Discussion occurred around the varying times that cultivators </w:t>
            </w:r>
            <w:r w:rsidR="00E50F8E">
              <w:rPr>
                <w:rFonts w:cs="Arial"/>
                <w:sz w:val="22"/>
                <w:szCs w:val="22"/>
              </w:rPr>
              <w:t xml:space="preserve">may enter the medicinal cannabis </w:t>
            </w:r>
            <w:r w:rsidR="00C75145">
              <w:rPr>
                <w:rFonts w:cs="Arial"/>
                <w:sz w:val="22"/>
                <w:szCs w:val="22"/>
              </w:rPr>
              <w:t>industry or</w:t>
            </w:r>
            <w:r w:rsidR="00E50F8E">
              <w:rPr>
                <w:rFonts w:cs="Arial"/>
                <w:sz w:val="22"/>
                <w:szCs w:val="22"/>
              </w:rPr>
              <w:t xml:space="preserve"> set up</w:t>
            </w:r>
            <w:r>
              <w:rPr>
                <w:rFonts w:cs="Arial"/>
                <w:sz w:val="22"/>
                <w:szCs w:val="22"/>
              </w:rPr>
              <w:t xml:space="preserve"> and declare illicit seeds</w:t>
            </w:r>
            <w:r w:rsidR="009B2F05">
              <w:rPr>
                <w:rFonts w:cs="Arial"/>
                <w:sz w:val="22"/>
                <w:szCs w:val="22"/>
              </w:rPr>
              <w:t>.</w:t>
            </w:r>
            <w:r>
              <w:rPr>
                <w:rFonts w:cs="Arial"/>
                <w:sz w:val="22"/>
                <w:szCs w:val="22"/>
              </w:rPr>
              <w:t xml:space="preserve"> </w:t>
            </w:r>
            <w:r w:rsidR="009B2F05">
              <w:rPr>
                <w:rFonts w:cs="Arial"/>
                <w:sz w:val="22"/>
                <w:szCs w:val="22"/>
              </w:rPr>
              <w:t>Concerns were raised</w:t>
            </w:r>
            <w:r w:rsidR="00877DA8">
              <w:rPr>
                <w:rFonts w:cs="Arial"/>
                <w:sz w:val="22"/>
                <w:szCs w:val="22"/>
              </w:rPr>
              <w:t xml:space="preserve"> </w:t>
            </w:r>
            <w:r w:rsidR="00CF45CD">
              <w:rPr>
                <w:rFonts w:cs="Arial"/>
                <w:sz w:val="22"/>
                <w:szCs w:val="22"/>
              </w:rPr>
              <w:t>around having any</w:t>
            </w:r>
            <w:r w:rsidR="00877DA8">
              <w:rPr>
                <w:rFonts w:cs="Arial"/>
                <w:sz w:val="22"/>
                <w:szCs w:val="22"/>
              </w:rPr>
              <w:t xml:space="preserve"> time limit</w:t>
            </w:r>
            <w:r w:rsidR="00CF45CD">
              <w:rPr>
                <w:rFonts w:cs="Arial"/>
                <w:sz w:val="22"/>
                <w:szCs w:val="22"/>
              </w:rPr>
              <w:t>s</w:t>
            </w:r>
            <w:r w:rsidR="00877DA8">
              <w:rPr>
                <w:rFonts w:cs="Arial"/>
                <w:sz w:val="22"/>
                <w:szCs w:val="22"/>
              </w:rPr>
              <w:t xml:space="preserve"> on </w:t>
            </w:r>
            <w:r w:rsidR="00C75145">
              <w:rPr>
                <w:rFonts w:cs="Arial"/>
                <w:sz w:val="22"/>
                <w:szCs w:val="22"/>
              </w:rPr>
              <w:t>declarations or</w:t>
            </w:r>
            <w:r w:rsidR="00877DA8">
              <w:rPr>
                <w:rFonts w:cs="Arial"/>
                <w:sz w:val="22"/>
                <w:szCs w:val="22"/>
              </w:rPr>
              <w:t xml:space="preserve"> allow</w:t>
            </w:r>
            <w:r w:rsidR="00CF45CD">
              <w:rPr>
                <w:rFonts w:cs="Arial"/>
                <w:sz w:val="22"/>
                <w:szCs w:val="22"/>
              </w:rPr>
              <w:t>ing</w:t>
            </w:r>
            <w:r w:rsidR="00877DA8">
              <w:rPr>
                <w:rFonts w:cs="Arial"/>
                <w:sz w:val="22"/>
                <w:szCs w:val="22"/>
              </w:rPr>
              <w:t xml:space="preserve"> illicit growers to be taken advantage of.</w:t>
            </w:r>
          </w:p>
          <w:p w14:paraId="47ACB391" w14:textId="77777777" w:rsidR="00A63A47" w:rsidRDefault="00A63A47" w:rsidP="00AC6E34">
            <w:pPr>
              <w:tabs>
                <w:tab w:val="right" w:leader="underscore" w:pos="5670"/>
                <w:tab w:val="left" w:pos="6237"/>
              </w:tabs>
              <w:spacing w:before="60" w:after="60"/>
              <w:rPr>
                <w:rFonts w:cs="Arial"/>
                <w:b/>
                <w:sz w:val="22"/>
                <w:szCs w:val="22"/>
              </w:rPr>
            </w:pPr>
          </w:p>
          <w:p w14:paraId="1F3684EE" w14:textId="4D7AD0D2" w:rsidR="003C625F" w:rsidRDefault="00A63A47" w:rsidP="00AC6E34">
            <w:pPr>
              <w:tabs>
                <w:tab w:val="right" w:leader="underscore" w:pos="5670"/>
                <w:tab w:val="left" w:pos="6237"/>
              </w:tabs>
              <w:spacing w:before="60" w:after="60"/>
              <w:rPr>
                <w:rFonts w:cs="Arial"/>
                <w:b/>
                <w:sz w:val="22"/>
                <w:szCs w:val="22"/>
              </w:rPr>
            </w:pPr>
            <w:r>
              <w:rPr>
                <w:rFonts w:cs="Arial"/>
                <w:b/>
                <w:sz w:val="22"/>
                <w:szCs w:val="22"/>
              </w:rPr>
              <w:t>Transition of plants fr</w:t>
            </w:r>
            <w:r w:rsidR="00395AF6">
              <w:rPr>
                <w:rFonts w:cs="Arial"/>
                <w:b/>
                <w:sz w:val="22"/>
                <w:szCs w:val="22"/>
              </w:rPr>
              <w:t>om current cultivation licences</w:t>
            </w:r>
          </w:p>
          <w:p w14:paraId="49F22148" w14:textId="6855C085" w:rsidR="003C625F" w:rsidRDefault="00395AF6" w:rsidP="00AC6E34">
            <w:pPr>
              <w:tabs>
                <w:tab w:val="right" w:leader="underscore" w:pos="5670"/>
                <w:tab w:val="left" w:pos="6237"/>
              </w:tabs>
              <w:spacing w:before="60" w:after="60"/>
              <w:rPr>
                <w:rFonts w:cs="Arial"/>
                <w:sz w:val="22"/>
                <w:szCs w:val="22"/>
              </w:rPr>
            </w:pPr>
            <w:r>
              <w:rPr>
                <w:rFonts w:cs="Arial"/>
                <w:sz w:val="22"/>
                <w:szCs w:val="22"/>
              </w:rPr>
              <w:t xml:space="preserve">Some members of the Advisory Group argued that </w:t>
            </w:r>
            <w:r w:rsidR="00305959">
              <w:rPr>
                <w:rFonts w:cs="Arial"/>
                <w:sz w:val="22"/>
                <w:szCs w:val="22"/>
              </w:rPr>
              <w:t xml:space="preserve">a limit of </w:t>
            </w:r>
            <w:r>
              <w:rPr>
                <w:rFonts w:cs="Arial"/>
                <w:sz w:val="22"/>
                <w:szCs w:val="22"/>
              </w:rPr>
              <w:t>50 seeds or</w:t>
            </w:r>
            <w:r w:rsidR="00E05514">
              <w:rPr>
                <w:rFonts w:cs="Arial"/>
                <w:sz w:val="22"/>
                <w:szCs w:val="22"/>
              </w:rPr>
              <w:t xml:space="preserve"> </w:t>
            </w:r>
            <w:r>
              <w:rPr>
                <w:rFonts w:cs="Arial"/>
                <w:sz w:val="22"/>
                <w:szCs w:val="22"/>
              </w:rPr>
              <w:t>20 seedling</w:t>
            </w:r>
            <w:r w:rsidR="00305959">
              <w:rPr>
                <w:rFonts w:cs="Arial"/>
                <w:sz w:val="22"/>
                <w:szCs w:val="22"/>
              </w:rPr>
              <w:t>s</w:t>
            </w:r>
            <w:r>
              <w:rPr>
                <w:rFonts w:cs="Arial"/>
                <w:sz w:val="22"/>
                <w:szCs w:val="22"/>
              </w:rPr>
              <w:t xml:space="preserve"> for </w:t>
            </w:r>
            <w:r w:rsidR="00305959">
              <w:rPr>
                <w:rFonts w:cs="Arial"/>
                <w:sz w:val="22"/>
                <w:szCs w:val="22"/>
              </w:rPr>
              <w:t xml:space="preserve">the </w:t>
            </w:r>
            <w:r>
              <w:rPr>
                <w:rFonts w:cs="Arial"/>
                <w:sz w:val="22"/>
                <w:szCs w:val="22"/>
              </w:rPr>
              <w:t>transfer of genetic material from the current Licence to Cultivate to the Scheme w</w:t>
            </w:r>
            <w:r w:rsidR="00E05514">
              <w:rPr>
                <w:rFonts w:cs="Arial"/>
                <w:sz w:val="22"/>
                <w:szCs w:val="22"/>
              </w:rPr>
              <w:t xml:space="preserve">ould </w:t>
            </w:r>
            <w:r w:rsidR="00305959">
              <w:rPr>
                <w:rFonts w:cs="Arial"/>
                <w:sz w:val="22"/>
                <w:szCs w:val="22"/>
              </w:rPr>
              <w:t>be</w:t>
            </w:r>
            <w:r>
              <w:rPr>
                <w:rFonts w:cs="Arial"/>
                <w:sz w:val="22"/>
                <w:szCs w:val="22"/>
              </w:rPr>
              <w:t xml:space="preserve"> a barrier</w:t>
            </w:r>
            <w:r w:rsidR="00E05514">
              <w:rPr>
                <w:rFonts w:cs="Arial"/>
                <w:sz w:val="22"/>
                <w:szCs w:val="22"/>
              </w:rPr>
              <w:t>,</w:t>
            </w:r>
            <w:r>
              <w:rPr>
                <w:rFonts w:cs="Arial"/>
                <w:sz w:val="22"/>
                <w:szCs w:val="22"/>
              </w:rPr>
              <w:t xml:space="preserve"> as the bulk of research would have to be destroyed. It was suggested by some members that the Scheme should</w:t>
            </w:r>
            <w:r w:rsidR="003C625F">
              <w:rPr>
                <w:rFonts w:cs="Arial"/>
                <w:sz w:val="22"/>
                <w:szCs w:val="22"/>
              </w:rPr>
              <w:t xml:space="preserve"> allow those who currently have a Licence to Cultivate to be able to continue breeding and transfer all of their material over to the </w:t>
            </w:r>
            <w:r w:rsidR="00305959">
              <w:rPr>
                <w:rFonts w:cs="Arial"/>
                <w:sz w:val="22"/>
                <w:szCs w:val="22"/>
              </w:rPr>
              <w:t>S</w:t>
            </w:r>
            <w:r w:rsidR="003C625F">
              <w:rPr>
                <w:rFonts w:cs="Arial"/>
                <w:sz w:val="22"/>
                <w:szCs w:val="22"/>
              </w:rPr>
              <w:t xml:space="preserve">cheme. The Secretariat </w:t>
            </w:r>
            <w:r w:rsidR="004C4861">
              <w:rPr>
                <w:rFonts w:cs="Arial"/>
                <w:sz w:val="22"/>
                <w:szCs w:val="22"/>
              </w:rPr>
              <w:t xml:space="preserve">advised </w:t>
            </w:r>
            <w:r w:rsidR="003C625F">
              <w:rPr>
                <w:rFonts w:cs="Arial"/>
                <w:sz w:val="22"/>
                <w:szCs w:val="22"/>
              </w:rPr>
              <w:t xml:space="preserve">that this </w:t>
            </w:r>
            <w:r w:rsidR="00015AB8">
              <w:rPr>
                <w:rFonts w:cs="Arial"/>
                <w:sz w:val="22"/>
                <w:szCs w:val="22"/>
              </w:rPr>
              <w:t>would be a</w:t>
            </w:r>
            <w:r w:rsidR="003C625F">
              <w:rPr>
                <w:rFonts w:cs="Arial"/>
                <w:sz w:val="22"/>
                <w:szCs w:val="22"/>
              </w:rPr>
              <w:t xml:space="preserve"> breach of</w:t>
            </w:r>
            <w:r w:rsidR="00305959">
              <w:rPr>
                <w:rFonts w:cs="Arial"/>
                <w:sz w:val="22"/>
                <w:szCs w:val="22"/>
              </w:rPr>
              <w:t xml:space="preserve"> the</w:t>
            </w:r>
            <w:r w:rsidR="003C625F">
              <w:rPr>
                <w:rFonts w:cs="Arial"/>
                <w:sz w:val="22"/>
                <w:szCs w:val="22"/>
              </w:rPr>
              <w:t xml:space="preserve"> current licence </w:t>
            </w:r>
            <w:r w:rsidR="00305959">
              <w:rPr>
                <w:rFonts w:cs="Arial"/>
                <w:sz w:val="22"/>
                <w:szCs w:val="22"/>
              </w:rPr>
              <w:t xml:space="preserve">purpose </w:t>
            </w:r>
            <w:r w:rsidR="003C625F">
              <w:rPr>
                <w:rFonts w:cs="Arial"/>
                <w:sz w:val="22"/>
                <w:szCs w:val="22"/>
              </w:rPr>
              <w:t>which</w:t>
            </w:r>
            <w:r w:rsidR="00305959">
              <w:rPr>
                <w:rFonts w:cs="Arial"/>
                <w:sz w:val="22"/>
                <w:szCs w:val="22"/>
              </w:rPr>
              <w:t xml:space="preserve"> is</w:t>
            </w:r>
            <w:r w:rsidR="003C625F">
              <w:rPr>
                <w:rFonts w:cs="Arial"/>
                <w:sz w:val="22"/>
                <w:szCs w:val="22"/>
              </w:rPr>
              <w:t xml:space="preserve"> for research</w:t>
            </w:r>
            <w:r w:rsidR="00015AB8">
              <w:rPr>
                <w:rFonts w:cs="Arial"/>
                <w:sz w:val="22"/>
                <w:szCs w:val="22"/>
              </w:rPr>
              <w:t>,</w:t>
            </w:r>
            <w:r w:rsidR="003C625F">
              <w:rPr>
                <w:rFonts w:cs="Arial"/>
                <w:sz w:val="22"/>
                <w:szCs w:val="22"/>
              </w:rPr>
              <w:t xml:space="preserve"> and not for preparing to grow medicinal cannabis for a commercial purpose</w:t>
            </w:r>
            <w:r w:rsidR="00305959">
              <w:rPr>
                <w:rFonts w:cs="Arial"/>
                <w:sz w:val="22"/>
                <w:szCs w:val="22"/>
              </w:rPr>
              <w:t xml:space="preserve">, as stipulated </w:t>
            </w:r>
            <w:r w:rsidR="003C625F">
              <w:rPr>
                <w:rFonts w:cs="Arial"/>
                <w:sz w:val="22"/>
                <w:szCs w:val="22"/>
              </w:rPr>
              <w:t>under the United Nation</w:t>
            </w:r>
            <w:r>
              <w:rPr>
                <w:rFonts w:cs="Arial"/>
                <w:sz w:val="22"/>
                <w:szCs w:val="22"/>
              </w:rPr>
              <w:t>s</w:t>
            </w:r>
            <w:r w:rsidR="003C625F">
              <w:rPr>
                <w:rFonts w:cs="Arial"/>
                <w:sz w:val="22"/>
                <w:szCs w:val="22"/>
              </w:rPr>
              <w:t xml:space="preserve"> Single Convention</w:t>
            </w:r>
            <w:r w:rsidR="004C4861">
              <w:rPr>
                <w:rFonts w:cs="Arial"/>
                <w:sz w:val="22"/>
                <w:szCs w:val="22"/>
              </w:rPr>
              <w:t xml:space="preserve"> on Narcotic Drugs 1961</w:t>
            </w:r>
            <w:r w:rsidR="003C625F">
              <w:rPr>
                <w:rFonts w:cs="Arial"/>
                <w:sz w:val="22"/>
                <w:szCs w:val="22"/>
              </w:rPr>
              <w:t>.</w:t>
            </w:r>
          </w:p>
          <w:p w14:paraId="0A3D44E3" w14:textId="77777777" w:rsidR="00395AF6" w:rsidRDefault="00395AF6" w:rsidP="00AC6E34">
            <w:pPr>
              <w:tabs>
                <w:tab w:val="right" w:leader="underscore" w:pos="5670"/>
                <w:tab w:val="left" w:pos="6237"/>
              </w:tabs>
              <w:spacing w:before="60" w:after="60"/>
              <w:rPr>
                <w:rFonts w:cs="Arial"/>
                <w:sz w:val="22"/>
                <w:szCs w:val="22"/>
              </w:rPr>
            </w:pPr>
          </w:p>
          <w:p w14:paraId="0EA9CDE4" w14:textId="4A15D830" w:rsidR="007948B0" w:rsidRDefault="00395AF6" w:rsidP="00AC6E34">
            <w:pPr>
              <w:tabs>
                <w:tab w:val="right" w:leader="underscore" w:pos="5670"/>
                <w:tab w:val="left" w:pos="6237"/>
              </w:tabs>
              <w:spacing w:before="60" w:after="60"/>
              <w:rPr>
                <w:rFonts w:cs="Arial"/>
                <w:b/>
                <w:sz w:val="22"/>
                <w:szCs w:val="22"/>
              </w:rPr>
            </w:pPr>
            <w:r>
              <w:rPr>
                <w:rFonts w:cs="Arial"/>
                <w:sz w:val="22"/>
                <w:szCs w:val="22"/>
              </w:rPr>
              <w:t xml:space="preserve">Discussion took place around how those who are currently undertaking medicinal cannabis research could be able to continue this </w:t>
            </w:r>
            <w:r w:rsidR="002C2528">
              <w:rPr>
                <w:rFonts w:cs="Arial"/>
                <w:sz w:val="22"/>
                <w:szCs w:val="22"/>
              </w:rPr>
              <w:t xml:space="preserve">activity </w:t>
            </w:r>
            <w:r>
              <w:rPr>
                <w:rFonts w:cs="Arial"/>
                <w:sz w:val="22"/>
                <w:szCs w:val="22"/>
              </w:rPr>
              <w:t>whilst also having a commercial licence and how this could be enforced.</w:t>
            </w:r>
          </w:p>
          <w:p w14:paraId="3A724B03" w14:textId="77777777" w:rsidR="00395AF6" w:rsidRPr="00395AF6" w:rsidRDefault="00395AF6" w:rsidP="00AC6E34">
            <w:pPr>
              <w:tabs>
                <w:tab w:val="right" w:leader="underscore" w:pos="5670"/>
                <w:tab w:val="left" w:pos="6237"/>
              </w:tabs>
              <w:spacing w:before="60" w:after="60"/>
              <w:rPr>
                <w:rFonts w:cs="Arial"/>
                <w:b/>
                <w:sz w:val="22"/>
                <w:szCs w:val="22"/>
              </w:rPr>
            </w:pPr>
          </w:p>
          <w:p w14:paraId="234C5489" w14:textId="4DB48C61" w:rsidR="007948B0" w:rsidRDefault="007948B0" w:rsidP="00AC6E34">
            <w:pPr>
              <w:tabs>
                <w:tab w:val="right" w:leader="underscore" w:pos="5670"/>
                <w:tab w:val="left" w:pos="6237"/>
              </w:tabs>
              <w:spacing w:before="60" w:after="60"/>
              <w:rPr>
                <w:rFonts w:cs="Arial"/>
                <w:b/>
                <w:sz w:val="22"/>
                <w:szCs w:val="22"/>
              </w:rPr>
            </w:pPr>
            <w:r>
              <w:rPr>
                <w:rFonts w:cs="Arial"/>
                <w:b/>
                <w:sz w:val="22"/>
                <w:szCs w:val="22"/>
              </w:rPr>
              <w:t>Licence to Manufacture</w:t>
            </w:r>
          </w:p>
          <w:p w14:paraId="227A3A5C" w14:textId="3712C177" w:rsidR="00395AF6" w:rsidRDefault="00395AF6" w:rsidP="00AC6E34">
            <w:pPr>
              <w:tabs>
                <w:tab w:val="right" w:leader="underscore" w:pos="5670"/>
                <w:tab w:val="left" w:pos="6237"/>
              </w:tabs>
              <w:spacing w:before="60" w:after="60"/>
              <w:rPr>
                <w:rFonts w:cs="Arial"/>
                <w:sz w:val="22"/>
                <w:szCs w:val="22"/>
              </w:rPr>
            </w:pPr>
            <w:r>
              <w:rPr>
                <w:rFonts w:cs="Arial"/>
                <w:sz w:val="22"/>
                <w:szCs w:val="22"/>
              </w:rPr>
              <w:t>Some members of the Advisory Group questioned why the Licence to Manufacture under the Scheme will be issued for only one year, stating that this may pose a barrier to some companies</w:t>
            </w:r>
            <w:r w:rsidR="006D1FF8">
              <w:rPr>
                <w:rFonts w:cs="Arial"/>
                <w:sz w:val="22"/>
                <w:szCs w:val="22"/>
              </w:rPr>
              <w:t>/investors</w:t>
            </w:r>
            <w:r>
              <w:rPr>
                <w:rFonts w:cs="Arial"/>
                <w:sz w:val="22"/>
                <w:szCs w:val="22"/>
              </w:rPr>
              <w:t xml:space="preserve"> who are wishing to enter the medicinal cannabis industry. The Secretariat advised that this was consistent with all of the other licences that are currently issued</w:t>
            </w:r>
            <w:r w:rsidR="00015AB8">
              <w:rPr>
                <w:rFonts w:cs="Arial"/>
                <w:sz w:val="22"/>
                <w:szCs w:val="22"/>
              </w:rPr>
              <w:t>,</w:t>
            </w:r>
            <w:r>
              <w:rPr>
                <w:rFonts w:cs="Arial"/>
                <w:sz w:val="22"/>
                <w:szCs w:val="22"/>
              </w:rPr>
              <w:t xml:space="preserve"> and if the licences were increased to two years then the fees</w:t>
            </w:r>
            <w:r w:rsidR="00327324">
              <w:rPr>
                <w:rFonts w:cs="Arial"/>
                <w:sz w:val="22"/>
                <w:szCs w:val="22"/>
              </w:rPr>
              <w:t xml:space="preserve"> would also increase</w:t>
            </w:r>
            <w:r w:rsidR="002C2528">
              <w:rPr>
                <w:rFonts w:cs="Arial"/>
                <w:sz w:val="22"/>
                <w:szCs w:val="22"/>
              </w:rPr>
              <w:t>,</w:t>
            </w:r>
            <w:r w:rsidR="00327324">
              <w:rPr>
                <w:rFonts w:cs="Arial"/>
                <w:sz w:val="22"/>
                <w:szCs w:val="22"/>
              </w:rPr>
              <w:t xml:space="preserve"> which</w:t>
            </w:r>
            <w:r>
              <w:rPr>
                <w:rFonts w:cs="Arial"/>
                <w:sz w:val="22"/>
                <w:szCs w:val="22"/>
              </w:rPr>
              <w:t xml:space="preserve"> may pose additional economic barriers for some companies wanting to enter the industry.</w:t>
            </w:r>
          </w:p>
          <w:p w14:paraId="6B09FA3A" w14:textId="77777777" w:rsidR="006D1FF8" w:rsidRDefault="006D1FF8" w:rsidP="00AC6E34">
            <w:pPr>
              <w:tabs>
                <w:tab w:val="right" w:leader="underscore" w:pos="5670"/>
                <w:tab w:val="left" w:pos="6237"/>
              </w:tabs>
              <w:spacing w:before="60" w:after="60"/>
              <w:rPr>
                <w:rFonts w:cs="Arial"/>
                <w:sz w:val="22"/>
                <w:szCs w:val="22"/>
              </w:rPr>
            </w:pPr>
          </w:p>
          <w:p w14:paraId="4A8ACACC" w14:textId="246A587E" w:rsidR="00EE1661" w:rsidRDefault="006D1FF8" w:rsidP="00AC6E34">
            <w:pPr>
              <w:tabs>
                <w:tab w:val="right" w:leader="underscore" w:pos="5670"/>
                <w:tab w:val="left" w:pos="6237"/>
              </w:tabs>
              <w:spacing w:before="60" w:after="60"/>
              <w:rPr>
                <w:rFonts w:cs="Arial"/>
                <w:sz w:val="22"/>
                <w:szCs w:val="22"/>
              </w:rPr>
            </w:pPr>
            <w:r>
              <w:rPr>
                <w:rFonts w:cs="Arial"/>
                <w:sz w:val="22"/>
                <w:szCs w:val="22"/>
              </w:rPr>
              <w:t>Discussion took place around what would be required to renew a licence under the Scheme</w:t>
            </w:r>
            <w:r w:rsidR="00EE1661">
              <w:rPr>
                <w:rFonts w:cs="Arial"/>
                <w:sz w:val="22"/>
                <w:szCs w:val="22"/>
              </w:rPr>
              <w:t>, comparing this to what is currently done in Canada and what economic barriers to access this may cause. The Secretariat acknowledged that the current fees had not been modelled on likely financial return and that more work will go into this.</w:t>
            </w:r>
          </w:p>
          <w:p w14:paraId="1ED1A647" w14:textId="77777777" w:rsidR="00EE1661" w:rsidRDefault="00EE1661" w:rsidP="00AC6E34">
            <w:pPr>
              <w:tabs>
                <w:tab w:val="right" w:leader="underscore" w:pos="5670"/>
                <w:tab w:val="left" w:pos="6237"/>
              </w:tabs>
              <w:spacing w:before="60" w:after="60"/>
              <w:rPr>
                <w:rFonts w:cs="Arial"/>
                <w:sz w:val="22"/>
                <w:szCs w:val="22"/>
              </w:rPr>
            </w:pPr>
          </w:p>
          <w:p w14:paraId="4042DB9B" w14:textId="07193D11" w:rsidR="00EE1661" w:rsidRPr="00EE1661" w:rsidRDefault="00EE1661" w:rsidP="00AC6E34">
            <w:pPr>
              <w:tabs>
                <w:tab w:val="right" w:leader="underscore" w:pos="5670"/>
                <w:tab w:val="left" w:pos="6237"/>
              </w:tabs>
              <w:spacing w:before="60" w:after="60"/>
              <w:rPr>
                <w:rFonts w:cs="Arial"/>
                <w:sz w:val="22"/>
                <w:szCs w:val="22"/>
              </w:rPr>
            </w:pPr>
            <w:r>
              <w:rPr>
                <w:rFonts w:cs="Arial"/>
                <w:b/>
                <w:sz w:val="22"/>
                <w:szCs w:val="22"/>
              </w:rPr>
              <w:t xml:space="preserve">Action: </w:t>
            </w:r>
            <w:r>
              <w:rPr>
                <w:rFonts w:cs="Arial"/>
                <w:sz w:val="22"/>
                <w:szCs w:val="22"/>
              </w:rPr>
              <w:t>Secretariat to look into fees and the barriers one year licences may have.</w:t>
            </w:r>
          </w:p>
          <w:p w14:paraId="736D0C11" w14:textId="77777777" w:rsidR="008754A7" w:rsidRDefault="008754A7" w:rsidP="00AC6E34">
            <w:pPr>
              <w:tabs>
                <w:tab w:val="right" w:leader="underscore" w:pos="5670"/>
                <w:tab w:val="left" w:pos="6237"/>
              </w:tabs>
              <w:spacing w:before="60" w:after="60"/>
              <w:rPr>
                <w:rFonts w:cs="Arial"/>
                <w:sz w:val="22"/>
                <w:szCs w:val="22"/>
              </w:rPr>
            </w:pPr>
          </w:p>
          <w:p w14:paraId="3974E4A2" w14:textId="63A8CB91" w:rsidR="008754A7" w:rsidRDefault="00476BAB" w:rsidP="00AC6E34">
            <w:pPr>
              <w:tabs>
                <w:tab w:val="right" w:leader="underscore" w:pos="5670"/>
                <w:tab w:val="left" w:pos="6237"/>
              </w:tabs>
              <w:spacing w:before="60" w:after="60"/>
              <w:rPr>
                <w:rFonts w:cs="Arial"/>
                <w:b/>
                <w:sz w:val="22"/>
                <w:szCs w:val="22"/>
              </w:rPr>
            </w:pPr>
            <w:r>
              <w:rPr>
                <w:rFonts w:cs="Arial"/>
                <w:b/>
                <w:sz w:val="22"/>
                <w:szCs w:val="22"/>
              </w:rPr>
              <w:t>Unapproved m</w:t>
            </w:r>
            <w:r w:rsidR="008754A7">
              <w:rPr>
                <w:rFonts w:cs="Arial"/>
                <w:b/>
                <w:sz w:val="22"/>
                <w:szCs w:val="22"/>
              </w:rPr>
              <w:t>edicinal canna</w:t>
            </w:r>
            <w:r>
              <w:rPr>
                <w:rFonts w:cs="Arial"/>
                <w:b/>
                <w:sz w:val="22"/>
                <w:szCs w:val="22"/>
              </w:rPr>
              <w:t>bis products under the Misuse of Drugs Act</w:t>
            </w:r>
          </w:p>
          <w:p w14:paraId="5D966C17" w14:textId="1207EA96" w:rsidR="00476BAB" w:rsidRDefault="00476BAB" w:rsidP="00AC6E34">
            <w:pPr>
              <w:tabs>
                <w:tab w:val="right" w:leader="underscore" w:pos="5670"/>
                <w:tab w:val="left" w:pos="6237"/>
              </w:tabs>
              <w:spacing w:before="60" w:after="60"/>
              <w:rPr>
                <w:rFonts w:cs="Arial"/>
                <w:sz w:val="22"/>
                <w:szCs w:val="22"/>
              </w:rPr>
            </w:pPr>
            <w:r>
              <w:rPr>
                <w:rFonts w:cs="Arial"/>
                <w:sz w:val="22"/>
                <w:szCs w:val="22"/>
              </w:rPr>
              <w:t>Discussion took place around who would be able to prescribe unapproved medicinal cannabis products. The Secretariat advised that due to the Medicines Act 1981, only medical practitioners would be able to prescribe these</w:t>
            </w:r>
            <w:r w:rsidR="00BA63FA">
              <w:rPr>
                <w:rFonts w:cs="Arial"/>
                <w:sz w:val="22"/>
                <w:szCs w:val="22"/>
              </w:rPr>
              <w:t>,</w:t>
            </w:r>
            <w:r>
              <w:rPr>
                <w:rFonts w:cs="Arial"/>
                <w:sz w:val="22"/>
                <w:szCs w:val="22"/>
              </w:rPr>
              <w:t xml:space="preserve"> but this may </w:t>
            </w:r>
            <w:r w:rsidR="00327324">
              <w:rPr>
                <w:rFonts w:cs="Arial"/>
                <w:sz w:val="22"/>
                <w:szCs w:val="22"/>
              </w:rPr>
              <w:t>change</w:t>
            </w:r>
            <w:r>
              <w:rPr>
                <w:rFonts w:cs="Arial"/>
                <w:sz w:val="22"/>
                <w:szCs w:val="22"/>
              </w:rPr>
              <w:t xml:space="preserve"> when the Therapeutic Products Bill comes into force.</w:t>
            </w:r>
          </w:p>
          <w:p w14:paraId="6ED19146" w14:textId="77777777" w:rsidR="00476BAB" w:rsidRDefault="00476BAB" w:rsidP="00AC6E34">
            <w:pPr>
              <w:tabs>
                <w:tab w:val="right" w:leader="underscore" w:pos="5670"/>
                <w:tab w:val="left" w:pos="6237"/>
              </w:tabs>
              <w:spacing w:before="60" w:after="60"/>
              <w:rPr>
                <w:rFonts w:cs="Arial"/>
                <w:sz w:val="22"/>
                <w:szCs w:val="22"/>
              </w:rPr>
            </w:pPr>
          </w:p>
          <w:p w14:paraId="1270B136" w14:textId="43AFF6A7" w:rsidR="00BF192C" w:rsidRPr="00476BAB" w:rsidRDefault="00476BAB" w:rsidP="00AC6E34">
            <w:pPr>
              <w:tabs>
                <w:tab w:val="right" w:leader="underscore" w:pos="5670"/>
                <w:tab w:val="left" w:pos="6237"/>
              </w:tabs>
              <w:spacing w:before="60" w:after="60"/>
              <w:rPr>
                <w:rFonts w:cs="Arial"/>
                <w:sz w:val="22"/>
                <w:szCs w:val="22"/>
              </w:rPr>
            </w:pPr>
            <w:r>
              <w:rPr>
                <w:rFonts w:cs="Arial"/>
                <w:sz w:val="22"/>
                <w:szCs w:val="22"/>
              </w:rPr>
              <w:t xml:space="preserve">Some members of the Advisory Group raised concerns about the equity issues this may cause, especially for those prescribers who are in low decile and/or rural areas, stating that the </w:t>
            </w:r>
            <w:r w:rsidR="00327324">
              <w:rPr>
                <w:rFonts w:cs="Arial"/>
                <w:sz w:val="22"/>
                <w:szCs w:val="22"/>
              </w:rPr>
              <w:t>Ministry</w:t>
            </w:r>
            <w:r>
              <w:rPr>
                <w:rFonts w:cs="Arial"/>
                <w:sz w:val="22"/>
                <w:szCs w:val="22"/>
              </w:rPr>
              <w:t xml:space="preserve"> should include this as part of their education to prescribers and consumers as most may not be familiar with the </w:t>
            </w:r>
            <w:r w:rsidR="0056106E">
              <w:rPr>
                <w:rFonts w:cs="Arial"/>
                <w:sz w:val="22"/>
                <w:szCs w:val="22"/>
              </w:rPr>
              <w:t xml:space="preserve">prescribing restrictions in place due to </w:t>
            </w:r>
            <w:r>
              <w:rPr>
                <w:rFonts w:cs="Arial"/>
                <w:sz w:val="22"/>
                <w:szCs w:val="22"/>
              </w:rPr>
              <w:t>current legislation.</w:t>
            </w:r>
          </w:p>
        </w:tc>
      </w:tr>
      <w:tr w:rsidR="006A4320" w:rsidRPr="00FA0D8E" w14:paraId="76CBA002" w14:textId="77777777" w:rsidTr="00E643CE">
        <w:tc>
          <w:tcPr>
            <w:tcW w:w="669" w:type="dxa"/>
          </w:tcPr>
          <w:p w14:paraId="44835B68" w14:textId="4C468E10" w:rsidR="006A4320" w:rsidRPr="006A4320" w:rsidRDefault="006A4320"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58585F04" w14:textId="004DAC06" w:rsidR="00BF192C" w:rsidRPr="00476BAB" w:rsidRDefault="00476BAB" w:rsidP="00AC6E34">
            <w:pPr>
              <w:pStyle w:val="ListParagraph"/>
              <w:tabs>
                <w:tab w:val="right" w:leader="underscore" w:pos="5670"/>
                <w:tab w:val="left" w:pos="6237"/>
              </w:tabs>
              <w:spacing w:before="60" w:after="60"/>
              <w:ind w:left="0"/>
              <w:contextualSpacing w:val="0"/>
              <w:rPr>
                <w:rFonts w:cs="Arial"/>
                <w:b/>
                <w:sz w:val="22"/>
                <w:szCs w:val="22"/>
              </w:rPr>
            </w:pPr>
            <w:r>
              <w:rPr>
                <w:rFonts w:cs="Arial"/>
                <w:b/>
                <w:sz w:val="22"/>
                <w:szCs w:val="22"/>
              </w:rPr>
              <w:t>Prescribing of unapproved medicinal cannabis</w:t>
            </w:r>
            <w:r w:rsidR="00C04C70" w:rsidRPr="003D11F2">
              <w:rPr>
                <w:rFonts w:cs="Arial"/>
                <w:b/>
                <w:sz w:val="22"/>
                <w:szCs w:val="22"/>
              </w:rPr>
              <w:t xml:space="preserve"> products that </w:t>
            </w:r>
            <w:r w:rsidR="00A36A4D">
              <w:rPr>
                <w:rFonts w:cs="Arial"/>
                <w:b/>
                <w:sz w:val="22"/>
                <w:szCs w:val="22"/>
              </w:rPr>
              <w:t xml:space="preserve">are controlled drugs that </w:t>
            </w:r>
            <w:r w:rsidR="00C04C70" w:rsidRPr="003D11F2">
              <w:rPr>
                <w:rFonts w:cs="Arial"/>
                <w:b/>
                <w:sz w:val="22"/>
                <w:szCs w:val="22"/>
              </w:rPr>
              <w:t xml:space="preserve">don’t meet </w:t>
            </w:r>
            <w:r>
              <w:rPr>
                <w:rFonts w:cs="Arial"/>
                <w:b/>
                <w:sz w:val="22"/>
                <w:szCs w:val="22"/>
              </w:rPr>
              <w:t xml:space="preserve">the </w:t>
            </w:r>
            <w:r w:rsidR="00C04C70" w:rsidRPr="003D11F2">
              <w:rPr>
                <w:rFonts w:cs="Arial"/>
                <w:b/>
                <w:sz w:val="22"/>
                <w:szCs w:val="22"/>
              </w:rPr>
              <w:t>quality standards</w:t>
            </w:r>
          </w:p>
          <w:p w14:paraId="4545E9C7" w14:textId="145B502E" w:rsidR="00A36A4D" w:rsidRDefault="00A36A4D" w:rsidP="00AC6E34">
            <w:pPr>
              <w:tabs>
                <w:tab w:val="right" w:leader="underscore" w:pos="5670"/>
                <w:tab w:val="left" w:pos="6237"/>
              </w:tabs>
              <w:spacing w:before="60" w:after="60"/>
              <w:rPr>
                <w:rFonts w:cs="Arial"/>
                <w:sz w:val="22"/>
                <w:szCs w:val="22"/>
              </w:rPr>
            </w:pPr>
            <w:r>
              <w:rPr>
                <w:rFonts w:cs="Arial"/>
                <w:sz w:val="22"/>
                <w:szCs w:val="22"/>
              </w:rPr>
              <w:t>Discussion occurred about what a specialist is and how this applied against the Good Prescribing Practices issues by the Medical Council.</w:t>
            </w:r>
          </w:p>
          <w:p w14:paraId="042F3415" w14:textId="77777777" w:rsidR="004210F5" w:rsidRDefault="004210F5" w:rsidP="00AC6E34">
            <w:pPr>
              <w:tabs>
                <w:tab w:val="right" w:leader="underscore" w:pos="5670"/>
                <w:tab w:val="left" w:pos="6237"/>
              </w:tabs>
              <w:spacing w:before="60" w:after="60"/>
              <w:rPr>
                <w:rFonts w:cs="Arial"/>
                <w:sz w:val="22"/>
                <w:szCs w:val="22"/>
              </w:rPr>
            </w:pPr>
          </w:p>
          <w:p w14:paraId="444B279B" w14:textId="09422213" w:rsidR="003D11F2" w:rsidRDefault="00476BAB" w:rsidP="00AC6E34">
            <w:pPr>
              <w:tabs>
                <w:tab w:val="right" w:leader="underscore" w:pos="5670"/>
                <w:tab w:val="left" w:pos="6237"/>
              </w:tabs>
              <w:spacing w:before="60" w:after="60"/>
              <w:rPr>
                <w:rFonts w:cs="Arial"/>
                <w:b/>
                <w:sz w:val="22"/>
                <w:szCs w:val="22"/>
              </w:rPr>
            </w:pPr>
            <w:r>
              <w:rPr>
                <w:rFonts w:cs="Arial"/>
                <w:b/>
                <w:sz w:val="22"/>
                <w:szCs w:val="22"/>
              </w:rPr>
              <w:t>Prescribing of unapproved medicinal cannabis</w:t>
            </w:r>
            <w:r w:rsidR="003D11F2">
              <w:rPr>
                <w:rFonts w:cs="Arial"/>
                <w:b/>
                <w:sz w:val="22"/>
                <w:szCs w:val="22"/>
              </w:rPr>
              <w:t xml:space="preserve"> products that meet the quality standards</w:t>
            </w:r>
          </w:p>
          <w:p w14:paraId="5E1791D4" w14:textId="5C1794F1" w:rsidR="00C012C0" w:rsidRDefault="00A36A4D" w:rsidP="00AC6E34">
            <w:pPr>
              <w:tabs>
                <w:tab w:val="right" w:leader="underscore" w:pos="5670"/>
                <w:tab w:val="left" w:pos="6237"/>
              </w:tabs>
              <w:spacing w:before="60" w:after="60"/>
              <w:rPr>
                <w:rFonts w:cs="Arial"/>
                <w:sz w:val="22"/>
                <w:szCs w:val="22"/>
              </w:rPr>
            </w:pPr>
            <w:r>
              <w:rPr>
                <w:rFonts w:cs="Arial"/>
                <w:sz w:val="22"/>
                <w:szCs w:val="22"/>
              </w:rPr>
              <w:t xml:space="preserve">Discussion occurred around the requirement to </w:t>
            </w:r>
            <w:r w:rsidR="00513E7C">
              <w:rPr>
                <w:rFonts w:cs="Arial"/>
                <w:sz w:val="22"/>
                <w:szCs w:val="22"/>
              </w:rPr>
              <w:t>remove specialist approval for unapproved medicinal cannabis products that meet the quality standards.</w:t>
            </w:r>
            <w:r w:rsidR="00C012C0">
              <w:rPr>
                <w:rFonts w:cs="Arial"/>
                <w:sz w:val="22"/>
                <w:szCs w:val="22"/>
              </w:rPr>
              <w:t xml:space="preserve"> Some Advisory Group members expressed concern over removing specialist requirements and what this would mean for general practitioners,</w:t>
            </w:r>
            <w:r w:rsidR="00BA63FA">
              <w:rPr>
                <w:rFonts w:cs="Arial"/>
                <w:sz w:val="22"/>
                <w:szCs w:val="22"/>
              </w:rPr>
              <w:t xml:space="preserve"> while</w:t>
            </w:r>
            <w:r w:rsidR="00C012C0">
              <w:rPr>
                <w:rFonts w:cs="Arial"/>
                <w:sz w:val="22"/>
                <w:szCs w:val="22"/>
              </w:rPr>
              <w:t xml:space="preserve"> other Advisory Group members disagreed stating that it is a barrier and feedback from the </w:t>
            </w:r>
            <w:r w:rsidR="0010101F">
              <w:rPr>
                <w:rFonts w:cs="Arial"/>
                <w:sz w:val="22"/>
                <w:szCs w:val="22"/>
              </w:rPr>
              <w:t>C</w:t>
            </w:r>
            <w:r w:rsidR="00C012C0">
              <w:rPr>
                <w:rFonts w:cs="Arial"/>
                <w:sz w:val="22"/>
                <w:szCs w:val="22"/>
              </w:rPr>
              <w:t>onsultation was nearly uniformly in favour of removing this requirement.</w:t>
            </w:r>
          </w:p>
          <w:p w14:paraId="11282DEE" w14:textId="77777777" w:rsidR="00C012C0" w:rsidRDefault="00C012C0" w:rsidP="00AC6E34">
            <w:pPr>
              <w:tabs>
                <w:tab w:val="right" w:leader="underscore" w:pos="5670"/>
                <w:tab w:val="left" w:pos="6237"/>
              </w:tabs>
              <w:spacing w:before="60" w:after="60"/>
              <w:rPr>
                <w:rFonts w:cs="Arial"/>
                <w:sz w:val="22"/>
                <w:szCs w:val="22"/>
              </w:rPr>
            </w:pPr>
          </w:p>
          <w:p w14:paraId="4CD7438A" w14:textId="16102384" w:rsidR="00A36A4D" w:rsidRDefault="00513E7C" w:rsidP="00AC6E34">
            <w:pPr>
              <w:tabs>
                <w:tab w:val="right" w:leader="underscore" w:pos="5670"/>
                <w:tab w:val="left" w:pos="6237"/>
              </w:tabs>
              <w:spacing w:before="60" w:after="60"/>
              <w:rPr>
                <w:rFonts w:cs="Arial"/>
                <w:sz w:val="22"/>
                <w:szCs w:val="22"/>
              </w:rPr>
            </w:pPr>
            <w:r>
              <w:rPr>
                <w:rFonts w:cs="Arial"/>
                <w:sz w:val="22"/>
                <w:szCs w:val="22"/>
              </w:rPr>
              <w:t xml:space="preserve">A concern was raised by some members of the Advisory Group that </w:t>
            </w:r>
            <w:r w:rsidR="00C012C0">
              <w:rPr>
                <w:rFonts w:cs="Arial"/>
                <w:sz w:val="22"/>
                <w:szCs w:val="22"/>
              </w:rPr>
              <w:t>some of the proposals of the Scheme may not align with the New Zealand Medical Council</w:t>
            </w:r>
            <w:r w:rsidR="004F2F23">
              <w:rPr>
                <w:rFonts w:cs="Arial"/>
                <w:sz w:val="22"/>
                <w:szCs w:val="22"/>
              </w:rPr>
              <w:t>’s</w:t>
            </w:r>
            <w:r w:rsidR="004210F5">
              <w:rPr>
                <w:rFonts w:cs="Arial"/>
                <w:sz w:val="22"/>
                <w:szCs w:val="22"/>
              </w:rPr>
              <w:t xml:space="preserve"> </w:t>
            </w:r>
            <w:r>
              <w:rPr>
                <w:rFonts w:cs="Arial"/>
                <w:sz w:val="22"/>
                <w:szCs w:val="22"/>
              </w:rPr>
              <w:t>Good Prescribing Practices</w:t>
            </w:r>
            <w:r w:rsidR="004210F5">
              <w:rPr>
                <w:rFonts w:cs="Arial"/>
                <w:sz w:val="22"/>
                <w:szCs w:val="22"/>
              </w:rPr>
              <w:t>. According to these,</w:t>
            </w:r>
            <w:r>
              <w:rPr>
                <w:rFonts w:cs="Arial"/>
                <w:sz w:val="22"/>
                <w:szCs w:val="22"/>
              </w:rPr>
              <w:t xml:space="preserve"> </w:t>
            </w:r>
            <w:r w:rsidR="004F2F23">
              <w:rPr>
                <w:rFonts w:cs="Arial"/>
                <w:sz w:val="22"/>
                <w:szCs w:val="22"/>
              </w:rPr>
              <w:t>medicinal cannabis products</w:t>
            </w:r>
            <w:r>
              <w:rPr>
                <w:rFonts w:cs="Arial"/>
                <w:sz w:val="22"/>
                <w:szCs w:val="22"/>
              </w:rPr>
              <w:t xml:space="preserve"> may not be able to be prescribed by general practitioners</w:t>
            </w:r>
            <w:r w:rsidR="004F2F23">
              <w:rPr>
                <w:rFonts w:cs="Arial"/>
                <w:sz w:val="22"/>
                <w:szCs w:val="22"/>
              </w:rPr>
              <w:t>,</w:t>
            </w:r>
            <w:r>
              <w:rPr>
                <w:rFonts w:cs="Arial"/>
                <w:sz w:val="22"/>
                <w:szCs w:val="22"/>
              </w:rPr>
              <w:t xml:space="preserve"> as </w:t>
            </w:r>
            <w:r w:rsidR="004F2F23">
              <w:rPr>
                <w:rFonts w:cs="Arial"/>
                <w:sz w:val="22"/>
                <w:szCs w:val="22"/>
              </w:rPr>
              <w:t>they</w:t>
            </w:r>
            <w:r>
              <w:rPr>
                <w:rFonts w:cs="Arial"/>
                <w:sz w:val="22"/>
                <w:szCs w:val="22"/>
              </w:rPr>
              <w:t xml:space="preserve"> may not fall into their scope of practice to prescribe.</w:t>
            </w:r>
          </w:p>
          <w:p w14:paraId="7946E616" w14:textId="77777777" w:rsidR="00A36A4D" w:rsidRDefault="00A36A4D" w:rsidP="00AC6E34">
            <w:pPr>
              <w:tabs>
                <w:tab w:val="right" w:leader="underscore" w:pos="5670"/>
                <w:tab w:val="left" w:pos="6237"/>
              </w:tabs>
              <w:spacing w:before="60" w:after="60"/>
              <w:rPr>
                <w:rFonts w:cs="Arial"/>
                <w:sz w:val="22"/>
                <w:szCs w:val="22"/>
              </w:rPr>
            </w:pPr>
          </w:p>
          <w:p w14:paraId="2FF5DBD8" w14:textId="335FC0B6" w:rsidR="00A36A4D" w:rsidRDefault="00C012C0" w:rsidP="00AC6E34">
            <w:pPr>
              <w:tabs>
                <w:tab w:val="right" w:leader="underscore" w:pos="5670"/>
                <w:tab w:val="left" w:pos="6237"/>
              </w:tabs>
              <w:spacing w:before="60" w:after="60"/>
              <w:rPr>
                <w:rFonts w:cs="Arial"/>
                <w:sz w:val="22"/>
                <w:szCs w:val="22"/>
              </w:rPr>
            </w:pPr>
            <w:r>
              <w:rPr>
                <w:rFonts w:cs="Arial"/>
                <w:sz w:val="22"/>
                <w:szCs w:val="22"/>
              </w:rPr>
              <w:t>Some members of the Advisory Group thought that the Ministry should consider incorporating the Medical Council’s definition of scope of practice into the cabinet paper so that it is aligned.</w:t>
            </w:r>
          </w:p>
          <w:p w14:paraId="7BCB2D2D" w14:textId="77777777" w:rsidR="00C012C0" w:rsidRDefault="00C012C0" w:rsidP="00AC6E34">
            <w:pPr>
              <w:tabs>
                <w:tab w:val="right" w:leader="underscore" w:pos="5670"/>
                <w:tab w:val="left" w:pos="6237"/>
              </w:tabs>
              <w:spacing w:before="60" w:after="60"/>
              <w:rPr>
                <w:rFonts w:cs="Arial"/>
                <w:sz w:val="22"/>
                <w:szCs w:val="22"/>
              </w:rPr>
            </w:pPr>
          </w:p>
          <w:p w14:paraId="6C8649D7" w14:textId="0FB9C343" w:rsidR="00DD24E0" w:rsidRPr="00C012C0" w:rsidRDefault="00C012C0" w:rsidP="00AC6E34">
            <w:pPr>
              <w:tabs>
                <w:tab w:val="right" w:leader="underscore" w:pos="5670"/>
                <w:tab w:val="left" w:pos="6237"/>
              </w:tabs>
              <w:spacing w:before="60" w:after="60"/>
              <w:rPr>
                <w:rFonts w:cs="Arial"/>
                <w:sz w:val="22"/>
                <w:szCs w:val="22"/>
              </w:rPr>
            </w:pPr>
            <w:r>
              <w:rPr>
                <w:rFonts w:cs="Arial"/>
                <w:sz w:val="22"/>
                <w:szCs w:val="22"/>
              </w:rPr>
              <w:t>The proposal to allow all medical practitioners to prescribe approved and unapproved medicinal cannabis products that me</w:t>
            </w:r>
            <w:r w:rsidR="0010101F">
              <w:rPr>
                <w:rFonts w:cs="Arial"/>
                <w:sz w:val="22"/>
                <w:szCs w:val="22"/>
              </w:rPr>
              <w:t>e</w:t>
            </w:r>
            <w:r>
              <w:rPr>
                <w:rFonts w:cs="Arial"/>
                <w:sz w:val="22"/>
                <w:szCs w:val="22"/>
              </w:rPr>
              <w:t>t the quality standards</w:t>
            </w:r>
            <w:r w:rsidR="00015AB8">
              <w:rPr>
                <w:rFonts w:cs="Arial"/>
                <w:sz w:val="22"/>
                <w:szCs w:val="22"/>
              </w:rPr>
              <w:t>,</w:t>
            </w:r>
            <w:r>
              <w:rPr>
                <w:rFonts w:cs="Arial"/>
                <w:sz w:val="22"/>
                <w:szCs w:val="22"/>
              </w:rPr>
              <w:t xml:space="preserve"> except for where the products are being prescribed for paediatric patients</w:t>
            </w:r>
            <w:r w:rsidR="00015AB8">
              <w:rPr>
                <w:rFonts w:cs="Arial"/>
                <w:sz w:val="22"/>
                <w:szCs w:val="22"/>
              </w:rPr>
              <w:t>,</w:t>
            </w:r>
            <w:r>
              <w:rPr>
                <w:rFonts w:cs="Arial"/>
                <w:sz w:val="22"/>
                <w:szCs w:val="22"/>
              </w:rPr>
              <w:t xml:space="preserve"> was highlighted. Some Advisory Group members raised a point as to whether or not this would be required for other vulnerable populations such as geriatric patients.</w:t>
            </w:r>
          </w:p>
        </w:tc>
      </w:tr>
      <w:tr w:rsidR="00683C32" w:rsidRPr="00FA0D8E" w14:paraId="0883A968" w14:textId="77777777" w:rsidTr="00E643CE">
        <w:tc>
          <w:tcPr>
            <w:tcW w:w="669" w:type="dxa"/>
          </w:tcPr>
          <w:p w14:paraId="7AF68337" w14:textId="77777777" w:rsidR="00683C32" w:rsidRPr="006A4320" w:rsidRDefault="00683C32"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5E14CB97" w14:textId="77777777" w:rsidR="00683C32" w:rsidRDefault="00683C32" w:rsidP="00AC6E34">
            <w:pPr>
              <w:tabs>
                <w:tab w:val="right" w:leader="underscore" w:pos="5670"/>
                <w:tab w:val="left" w:pos="6237"/>
              </w:tabs>
              <w:spacing w:before="60" w:after="60"/>
              <w:rPr>
                <w:rFonts w:cs="Arial"/>
                <w:b/>
                <w:sz w:val="22"/>
                <w:szCs w:val="22"/>
              </w:rPr>
            </w:pPr>
            <w:r>
              <w:rPr>
                <w:rFonts w:cs="Arial"/>
                <w:b/>
                <w:sz w:val="22"/>
                <w:szCs w:val="22"/>
              </w:rPr>
              <w:t>Education</w:t>
            </w:r>
          </w:p>
          <w:p w14:paraId="372A0672" w14:textId="55DA0883" w:rsidR="001B3D6E" w:rsidRDefault="001B3D6E" w:rsidP="00AC6E34">
            <w:pPr>
              <w:tabs>
                <w:tab w:val="right" w:leader="underscore" w:pos="5670"/>
                <w:tab w:val="left" w:pos="6237"/>
              </w:tabs>
              <w:spacing w:before="60" w:after="60"/>
              <w:rPr>
                <w:rFonts w:cs="Arial"/>
                <w:sz w:val="22"/>
                <w:szCs w:val="22"/>
              </w:rPr>
            </w:pPr>
            <w:r>
              <w:rPr>
                <w:rFonts w:cs="Arial"/>
                <w:sz w:val="22"/>
                <w:szCs w:val="22"/>
              </w:rPr>
              <w:t xml:space="preserve">Discussion took place around the implementation of reliable and credible education </w:t>
            </w:r>
            <w:r w:rsidR="00BA63FA">
              <w:rPr>
                <w:rFonts w:cs="Arial"/>
                <w:sz w:val="22"/>
                <w:szCs w:val="22"/>
              </w:rPr>
              <w:t xml:space="preserve">information </w:t>
            </w:r>
            <w:r>
              <w:rPr>
                <w:rFonts w:cs="Arial"/>
                <w:sz w:val="22"/>
                <w:szCs w:val="22"/>
              </w:rPr>
              <w:t>to prescribers, industry, and consumers.</w:t>
            </w:r>
          </w:p>
          <w:p w14:paraId="6E608125" w14:textId="77777777" w:rsidR="00B65EA6" w:rsidRDefault="00B65EA6" w:rsidP="00AC6E34">
            <w:pPr>
              <w:tabs>
                <w:tab w:val="right" w:leader="underscore" w:pos="5670"/>
                <w:tab w:val="left" w:pos="6237"/>
              </w:tabs>
              <w:spacing w:before="60" w:after="60"/>
              <w:rPr>
                <w:rFonts w:cs="Arial"/>
                <w:sz w:val="22"/>
                <w:szCs w:val="22"/>
              </w:rPr>
            </w:pPr>
          </w:p>
          <w:p w14:paraId="07476833" w14:textId="4DB958E8" w:rsidR="00B65EA6" w:rsidRDefault="00B65EA6" w:rsidP="00AC6E34">
            <w:pPr>
              <w:tabs>
                <w:tab w:val="right" w:leader="underscore" w:pos="5670"/>
                <w:tab w:val="left" w:pos="6237"/>
              </w:tabs>
              <w:spacing w:before="60" w:after="60"/>
              <w:rPr>
                <w:rFonts w:cs="Arial"/>
                <w:sz w:val="22"/>
                <w:szCs w:val="22"/>
              </w:rPr>
            </w:pPr>
            <w:r>
              <w:rPr>
                <w:rFonts w:cs="Arial"/>
                <w:sz w:val="22"/>
                <w:szCs w:val="22"/>
              </w:rPr>
              <w:t xml:space="preserve">The Advisory Group supported the idea of </w:t>
            </w:r>
            <w:r w:rsidR="000B0E94">
              <w:rPr>
                <w:rFonts w:cs="Arial"/>
                <w:sz w:val="22"/>
                <w:szCs w:val="22"/>
              </w:rPr>
              <w:t>an education programme</w:t>
            </w:r>
            <w:r>
              <w:rPr>
                <w:rFonts w:cs="Arial"/>
                <w:sz w:val="22"/>
                <w:szCs w:val="22"/>
              </w:rPr>
              <w:t xml:space="preserve"> </w:t>
            </w:r>
            <w:r w:rsidR="00BA63FA">
              <w:rPr>
                <w:rFonts w:cs="Arial"/>
                <w:sz w:val="22"/>
                <w:szCs w:val="22"/>
              </w:rPr>
              <w:t xml:space="preserve">to be </w:t>
            </w:r>
            <w:r>
              <w:rPr>
                <w:rFonts w:cs="Arial"/>
                <w:sz w:val="22"/>
                <w:szCs w:val="22"/>
              </w:rPr>
              <w:t>written with the input of senior practitioners, industry a</w:t>
            </w:r>
            <w:r w:rsidR="00C312F2">
              <w:rPr>
                <w:rFonts w:cs="Arial"/>
                <w:sz w:val="22"/>
                <w:szCs w:val="22"/>
              </w:rPr>
              <w:t>nd consumers to ensure balance</w:t>
            </w:r>
            <w:r w:rsidR="0010101F">
              <w:rPr>
                <w:rFonts w:cs="Arial"/>
                <w:sz w:val="22"/>
                <w:szCs w:val="22"/>
              </w:rPr>
              <w:t>. The Advisory Group</w:t>
            </w:r>
            <w:r w:rsidR="00C312F2">
              <w:rPr>
                <w:rFonts w:cs="Arial"/>
                <w:sz w:val="22"/>
                <w:szCs w:val="22"/>
              </w:rPr>
              <w:t xml:space="preserve"> not</w:t>
            </w:r>
            <w:r w:rsidR="0010101F">
              <w:rPr>
                <w:rFonts w:cs="Arial"/>
                <w:sz w:val="22"/>
                <w:szCs w:val="22"/>
              </w:rPr>
              <w:t>ed</w:t>
            </w:r>
            <w:r w:rsidR="00C312F2">
              <w:rPr>
                <w:rFonts w:cs="Arial"/>
                <w:sz w:val="22"/>
                <w:szCs w:val="22"/>
              </w:rPr>
              <w:t xml:space="preserve"> education </w:t>
            </w:r>
            <w:r w:rsidR="000B0E94">
              <w:rPr>
                <w:rFonts w:cs="Arial"/>
                <w:sz w:val="22"/>
                <w:szCs w:val="22"/>
              </w:rPr>
              <w:t>is</w:t>
            </w:r>
            <w:r w:rsidR="00C312F2">
              <w:rPr>
                <w:rFonts w:cs="Arial"/>
                <w:sz w:val="22"/>
                <w:szCs w:val="22"/>
              </w:rPr>
              <w:t xml:space="preserve"> an important and necessary aspect of the Scheme.</w:t>
            </w:r>
          </w:p>
          <w:p w14:paraId="1D14E1A9" w14:textId="77777777" w:rsidR="00B65EA6" w:rsidRDefault="00B65EA6" w:rsidP="00AC6E34">
            <w:pPr>
              <w:tabs>
                <w:tab w:val="right" w:leader="underscore" w:pos="5670"/>
                <w:tab w:val="left" w:pos="6237"/>
              </w:tabs>
              <w:spacing w:before="60" w:after="60"/>
              <w:rPr>
                <w:rFonts w:cs="Arial"/>
                <w:sz w:val="22"/>
                <w:szCs w:val="22"/>
              </w:rPr>
            </w:pPr>
          </w:p>
          <w:p w14:paraId="4521C2E5" w14:textId="2DC4B5DB" w:rsidR="00B65EA6" w:rsidRDefault="00B65EA6" w:rsidP="00AC6E34">
            <w:pPr>
              <w:tabs>
                <w:tab w:val="right" w:leader="underscore" w:pos="5670"/>
                <w:tab w:val="left" w:pos="6237"/>
              </w:tabs>
              <w:spacing w:before="60" w:after="60"/>
              <w:rPr>
                <w:rFonts w:cs="Arial"/>
                <w:sz w:val="22"/>
                <w:szCs w:val="22"/>
              </w:rPr>
            </w:pPr>
            <w:r>
              <w:rPr>
                <w:rFonts w:cs="Arial"/>
                <w:sz w:val="22"/>
                <w:szCs w:val="22"/>
              </w:rPr>
              <w:t>Some members raised the concern that the majority of products under the Scheme will be unapproved and therefore will not be able to be advertised to prescribers. Discussion took place as to how prescribers can be informed of these products in order to increase access to patients without undermining existing legislation.</w:t>
            </w:r>
          </w:p>
          <w:p w14:paraId="48FB47AB" w14:textId="77777777" w:rsidR="00B65EA6" w:rsidRDefault="00B65EA6" w:rsidP="00AC6E34">
            <w:pPr>
              <w:tabs>
                <w:tab w:val="right" w:leader="underscore" w:pos="5670"/>
                <w:tab w:val="left" w:pos="6237"/>
              </w:tabs>
              <w:spacing w:before="60" w:after="60"/>
              <w:rPr>
                <w:rFonts w:cs="Arial"/>
                <w:sz w:val="22"/>
                <w:szCs w:val="22"/>
              </w:rPr>
            </w:pPr>
          </w:p>
          <w:p w14:paraId="7E2FC54C" w14:textId="34387B38" w:rsidR="00582A4B" w:rsidRDefault="00C312F2" w:rsidP="00AC6E34">
            <w:pPr>
              <w:tabs>
                <w:tab w:val="right" w:leader="underscore" w:pos="5670"/>
                <w:tab w:val="left" w:pos="6237"/>
              </w:tabs>
              <w:spacing w:before="60" w:after="60"/>
              <w:rPr>
                <w:rFonts w:cs="Arial"/>
                <w:sz w:val="22"/>
                <w:szCs w:val="22"/>
              </w:rPr>
            </w:pPr>
            <w:r>
              <w:rPr>
                <w:rFonts w:cs="Arial"/>
                <w:sz w:val="22"/>
                <w:szCs w:val="22"/>
              </w:rPr>
              <w:t>Some members of the Advisory Group highlighted that the Therapeutic Goods Administration (TGA) have published medicinal cannabis guidance documents for prescribers to give them dosing information.</w:t>
            </w:r>
          </w:p>
          <w:p w14:paraId="7C0B4B40" w14:textId="77777777" w:rsidR="000B0E94" w:rsidRDefault="000B0E94" w:rsidP="00AC6E34">
            <w:pPr>
              <w:tabs>
                <w:tab w:val="right" w:leader="underscore" w:pos="5670"/>
                <w:tab w:val="left" w:pos="6237"/>
              </w:tabs>
              <w:spacing w:before="60" w:after="60"/>
              <w:rPr>
                <w:rFonts w:cs="Arial"/>
                <w:sz w:val="22"/>
                <w:szCs w:val="22"/>
              </w:rPr>
            </w:pPr>
          </w:p>
          <w:p w14:paraId="5852C2E5" w14:textId="2696E914" w:rsidR="000B0E94" w:rsidRDefault="000B0E94" w:rsidP="00AC6E34">
            <w:pPr>
              <w:tabs>
                <w:tab w:val="right" w:leader="underscore" w:pos="5670"/>
                <w:tab w:val="left" w:pos="6237"/>
              </w:tabs>
              <w:spacing w:before="60" w:after="60"/>
              <w:rPr>
                <w:rFonts w:cs="Arial"/>
                <w:sz w:val="22"/>
                <w:szCs w:val="22"/>
              </w:rPr>
            </w:pPr>
            <w:r>
              <w:rPr>
                <w:rFonts w:cs="Arial"/>
                <w:sz w:val="22"/>
                <w:szCs w:val="22"/>
              </w:rPr>
              <w:t>Legislation requirements around refrigerated controlled drugs were discussed, noting that there is a current exemption for a medicinal cannabis product, Sativex</w:t>
            </w:r>
            <w:r w:rsidR="00E25476">
              <w:rPr>
                <w:rFonts w:cs="Arial"/>
                <w:sz w:val="22"/>
                <w:szCs w:val="22"/>
              </w:rPr>
              <w:t>.</w:t>
            </w:r>
          </w:p>
          <w:p w14:paraId="26ADFE8E" w14:textId="77777777" w:rsidR="000B0E94" w:rsidRDefault="000B0E94" w:rsidP="00AC6E34">
            <w:pPr>
              <w:tabs>
                <w:tab w:val="right" w:leader="underscore" w:pos="5670"/>
                <w:tab w:val="left" w:pos="6237"/>
              </w:tabs>
              <w:spacing w:before="60" w:after="60"/>
              <w:rPr>
                <w:rFonts w:cs="Arial"/>
                <w:sz w:val="22"/>
                <w:szCs w:val="22"/>
              </w:rPr>
            </w:pPr>
          </w:p>
          <w:p w14:paraId="2967A723" w14:textId="5804043A" w:rsidR="00B05FEF" w:rsidRPr="000B0E94" w:rsidRDefault="00B65EA6" w:rsidP="00AC6E34">
            <w:pPr>
              <w:tabs>
                <w:tab w:val="right" w:leader="underscore" w:pos="5670"/>
                <w:tab w:val="left" w:pos="6237"/>
              </w:tabs>
              <w:spacing w:before="60" w:after="60"/>
              <w:rPr>
                <w:rFonts w:cs="Arial"/>
                <w:sz w:val="22"/>
                <w:szCs w:val="22"/>
              </w:rPr>
            </w:pPr>
            <w:r>
              <w:rPr>
                <w:rFonts w:cs="Arial"/>
                <w:b/>
                <w:sz w:val="22"/>
                <w:szCs w:val="22"/>
              </w:rPr>
              <w:t xml:space="preserve">Action: </w:t>
            </w:r>
            <w:r>
              <w:rPr>
                <w:rFonts w:cs="Arial"/>
                <w:sz w:val="22"/>
                <w:szCs w:val="22"/>
              </w:rPr>
              <w:t>Secretariat to look into how prescribers can be made aware of the products that are available under the Scheme.</w:t>
            </w:r>
          </w:p>
        </w:tc>
      </w:tr>
      <w:tr w:rsidR="006A4320" w:rsidRPr="00FA0D8E" w14:paraId="4887A69C" w14:textId="77777777" w:rsidTr="00E643CE">
        <w:tc>
          <w:tcPr>
            <w:tcW w:w="669" w:type="dxa"/>
          </w:tcPr>
          <w:p w14:paraId="3E06BD65" w14:textId="77777777" w:rsidR="006A4320" w:rsidRPr="006A4320" w:rsidRDefault="006A4320"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239C9187" w14:textId="339DA717" w:rsidR="006A4320" w:rsidRPr="006A4320" w:rsidRDefault="00E643CE" w:rsidP="00AC6E34">
            <w:pPr>
              <w:tabs>
                <w:tab w:val="right" w:leader="underscore" w:pos="5670"/>
                <w:tab w:val="left" w:pos="6237"/>
              </w:tabs>
              <w:spacing w:before="60" w:after="60"/>
              <w:rPr>
                <w:rFonts w:cs="Arial"/>
                <w:b/>
                <w:sz w:val="22"/>
                <w:szCs w:val="22"/>
              </w:rPr>
            </w:pPr>
            <w:r>
              <w:rPr>
                <w:rFonts w:cs="Arial"/>
                <w:b/>
                <w:sz w:val="22"/>
                <w:szCs w:val="22"/>
              </w:rPr>
              <w:t>Break for Afternoon Tea 3.00pm</w:t>
            </w:r>
            <w:r w:rsidR="0010101F" w:rsidRPr="0010101F">
              <w:rPr>
                <w:rFonts w:cs="Arial"/>
                <w:b/>
                <w:sz w:val="22"/>
                <w:szCs w:val="22"/>
              </w:rPr>
              <w:t>–</w:t>
            </w:r>
            <w:r>
              <w:rPr>
                <w:rFonts w:cs="Arial"/>
                <w:b/>
                <w:sz w:val="22"/>
                <w:szCs w:val="22"/>
              </w:rPr>
              <w:t>3.10pm</w:t>
            </w:r>
          </w:p>
        </w:tc>
      </w:tr>
      <w:tr w:rsidR="006A4320" w:rsidRPr="00FA0D8E" w14:paraId="42142077" w14:textId="77777777" w:rsidTr="00E643CE">
        <w:tc>
          <w:tcPr>
            <w:tcW w:w="669" w:type="dxa"/>
          </w:tcPr>
          <w:p w14:paraId="170F7BDA" w14:textId="77777777" w:rsidR="006A4320" w:rsidRPr="006A4320" w:rsidRDefault="006A4320"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55C31264" w14:textId="1FE527E0" w:rsidR="000B0E94" w:rsidRPr="00A350FD" w:rsidRDefault="006A4320" w:rsidP="00AC6E34">
            <w:pPr>
              <w:tabs>
                <w:tab w:val="right" w:leader="underscore" w:pos="5670"/>
                <w:tab w:val="left" w:pos="6237"/>
              </w:tabs>
              <w:spacing w:before="60" w:after="60"/>
              <w:rPr>
                <w:rFonts w:cs="Arial"/>
                <w:b/>
                <w:sz w:val="22"/>
                <w:szCs w:val="22"/>
              </w:rPr>
            </w:pPr>
            <w:r w:rsidRPr="006A4320">
              <w:rPr>
                <w:rFonts w:cs="Arial"/>
                <w:b/>
                <w:sz w:val="22"/>
                <w:szCs w:val="22"/>
              </w:rPr>
              <w:t xml:space="preserve">Feedback on key issues </w:t>
            </w:r>
          </w:p>
          <w:p w14:paraId="6385D0DF" w14:textId="7898FB14" w:rsidR="000B0E94" w:rsidRPr="000B0E94" w:rsidRDefault="000B0E94" w:rsidP="00AC6E34">
            <w:pPr>
              <w:tabs>
                <w:tab w:val="right" w:leader="underscore" w:pos="5670"/>
                <w:tab w:val="left" w:pos="6237"/>
              </w:tabs>
              <w:spacing w:before="60" w:after="60"/>
              <w:rPr>
                <w:rFonts w:cs="Arial"/>
                <w:sz w:val="22"/>
                <w:szCs w:val="22"/>
              </w:rPr>
            </w:pPr>
            <w:r>
              <w:rPr>
                <w:rFonts w:cs="Arial"/>
                <w:sz w:val="22"/>
                <w:szCs w:val="22"/>
              </w:rPr>
              <w:t xml:space="preserve">Some members of the Advisory Group suggested that there </w:t>
            </w:r>
            <w:r w:rsidR="00A350FD">
              <w:rPr>
                <w:rFonts w:cs="Arial"/>
                <w:sz w:val="22"/>
                <w:szCs w:val="22"/>
              </w:rPr>
              <w:t>could be a five year review incorporated into the regulations in order to monitor the progress of the Scheme as well as ensure public confidence.</w:t>
            </w:r>
          </w:p>
          <w:p w14:paraId="5105EFED" w14:textId="77777777" w:rsidR="00B05FEF" w:rsidRDefault="00B05FEF" w:rsidP="00AC6E34">
            <w:pPr>
              <w:tabs>
                <w:tab w:val="right" w:leader="underscore" w:pos="5670"/>
                <w:tab w:val="left" w:pos="6237"/>
              </w:tabs>
              <w:spacing w:before="60" w:after="60"/>
              <w:rPr>
                <w:rFonts w:cs="Arial"/>
                <w:sz w:val="22"/>
                <w:szCs w:val="22"/>
              </w:rPr>
            </w:pPr>
          </w:p>
          <w:p w14:paraId="6BD2452A" w14:textId="3AE7BBFE" w:rsidR="00B05FEF" w:rsidRDefault="00A350FD" w:rsidP="00AC6E34">
            <w:pPr>
              <w:tabs>
                <w:tab w:val="right" w:leader="underscore" w:pos="5670"/>
                <w:tab w:val="left" w:pos="6237"/>
              </w:tabs>
              <w:spacing w:before="60" w:after="60"/>
              <w:rPr>
                <w:rFonts w:cs="Arial"/>
                <w:b/>
                <w:sz w:val="22"/>
                <w:szCs w:val="22"/>
              </w:rPr>
            </w:pPr>
            <w:r>
              <w:rPr>
                <w:rFonts w:cs="Arial"/>
                <w:b/>
                <w:sz w:val="22"/>
                <w:szCs w:val="22"/>
              </w:rPr>
              <w:t>Equity</w:t>
            </w:r>
          </w:p>
          <w:p w14:paraId="4BAB94DC" w14:textId="3A8462B9" w:rsidR="00E25476" w:rsidRDefault="00E25476" w:rsidP="00AC6E34">
            <w:pPr>
              <w:tabs>
                <w:tab w:val="right" w:leader="underscore" w:pos="5670"/>
                <w:tab w:val="left" w:pos="6237"/>
              </w:tabs>
              <w:spacing w:before="60" w:after="60"/>
              <w:rPr>
                <w:rFonts w:cs="Arial"/>
                <w:sz w:val="22"/>
                <w:szCs w:val="22"/>
              </w:rPr>
            </w:pPr>
            <w:r>
              <w:rPr>
                <w:rFonts w:cs="Arial"/>
                <w:sz w:val="22"/>
                <w:szCs w:val="22"/>
              </w:rPr>
              <w:t>The</w:t>
            </w:r>
            <w:r w:rsidR="003E6BF8">
              <w:rPr>
                <w:rFonts w:cs="Arial"/>
                <w:sz w:val="22"/>
                <w:szCs w:val="22"/>
              </w:rPr>
              <w:t xml:space="preserve"> Advisory Group noted that they would like an update from the Secretariat as to the work they were doing to address any potential equity issues that the Scheme may cause. The </w:t>
            </w:r>
            <w:r w:rsidR="003340B1">
              <w:rPr>
                <w:rFonts w:cs="Arial"/>
                <w:sz w:val="22"/>
                <w:szCs w:val="22"/>
              </w:rPr>
              <w:t>Secretariat</w:t>
            </w:r>
            <w:r w:rsidR="003E6BF8">
              <w:rPr>
                <w:rFonts w:cs="Arial"/>
                <w:sz w:val="22"/>
                <w:szCs w:val="22"/>
              </w:rPr>
              <w:t xml:space="preserve"> advised that they have had conversations regarding the development of </w:t>
            </w:r>
            <w:r w:rsidR="003B549A">
              <w:rPr>
                <w:rFonts w:cs="Arial"/>
                <w:sz w:val="22"/>
                <w:szCs w:val="22"/>
              </w:rPr>
              <w:t xml:space="preserve">a </w:t>
            </w:r>
            <w:r w:rsidR="003E6BF8">
              <w:rPr>
                <w:rFonts w:cs="Arial"/>
                <w:sz w:val="22"/>
                <w:szCs w:val="22"/>
              </w:rPr>
              <w:t>M</w:t>
            </w:r>
            <w:r w:rsidR="003E6BF8" w:rsidRPr="003E6BF8">
              <w:rPr>
                <w:rFonts w:cs="Arial"/>
                <w:bCs/>
                <w:sz w:val="22"/>
                <w:szCs w:val="22"/>
              </w:rPr>
              <w:t>ā</w:t>
            </w:r>
            <w:r w:rsidR="003E6BF8">
              <w:rPr>
                <w:rFonts w:cs="Arial"/>
                <w:bCs/>
                <w:sz w:val="22"/>
                <w:szCs w:val="22"/>
              </w:rPr>
              <w:t>ori</w:t>
            </w:r>
            <w:r w:rsidR="003B549A">
              <w:rPr>
                <w:rFonts w:cs="Arial"/>
                <w:bCs/>
                <w:sz w:val="22"/>
                <w:szCs w:val="22"/>
              </w:rPr>
              <w:t xml:space="preserve"> specific workshop as well as conversations with the Deputy Director-General of </w:t>
            </w:r>
            <w:r w:rsidR="003B549A">
              <w:rPr>
                <w:rFonts w:cs="Arial"/>
                <w:sz w:val="22"/>
                <w:szCs w:val="22"/>
              </w:rPr>
              <w:t>M</w:t>
            </w:r>
            <w:r w:rsidR="003B549A" w:rsidRPr="003E6BF8">
              <w:rPr>
                <w:rFonts w:cs="Arial"/>
                <w:bCs/>
                <w:sz w:val="22"/>
                <w:szCs w:val="22"/>
              </w:rPr>
              <w:t>ā</w:t>
            </w:r>
            <w:r w:rsidR="003B549A">
              <w:rPr>
                <w:rFonts w:cs="Arial"/>
                <w:bCs/>
                <w:sz w:val="22"/>
                <w:szCs w:val="22"/>
              </w:rPr>
              <w:t xml:space="preserve">ori Health in order to address the </w:t>
            </w:r>
            <w:proofErr w:type="spellStart"/>
            <w:r w:rsidR="003B549A" w:rsidRPr="003B549A">
              <w:rPr>
                <w:rFonts w:cs="Arial"/>
                <w:bCs/>
                <w:sz w:val="22"/>
                <w:szCs w:val="22"/>
              </w:rPr>
              <w:t>Te</w:t>
            </w:r>
            <w:proofErr w:type="spellEnd"/>
            <w:r w:rsidR="003B549A" w:rsidRPr="003B549A">
              <w:rPr>
                <w:rFonts w:cs="Arial"/>
                <w:bCs/>
                <w:sz w:val="22"/>
                <w:szCs w:val="22"/>
              </w:rPr>
              <w:t xml:space="preserve"> </w:t>
            </w:r>
            <w:proofErr w:type="spellStart"/>
            <w:r w:rsidR="003B549A" w:rsidRPr="003B549A">
              <w:rPr>
                <w:rFonts w:cs="Arial"/>
                <w:bCs/>
                <w:sz w:val="22"/>
                <w:szCs w:val="22"/>
              </w:rPr>
              <w:t>Tiriti</w:t>
            </w:r>
            <w:proofErr w:type="spellEnd"/>
            <w:r w:rsidR="003B549A" w:rsidRPr="003B549A">
              <w:rPr>
                <w:rFonts w:cs="Arial"/>
                <w:bCs/>
                <w:sz w:val="22"/>
                <w:szCs w:val="22"/>
              </w:rPr>
              <w:t xml:space="preserve"> o Waitangi</w:t>
            </w:r>
            <w:r w:rsidR="003B549A">
              <w:rPr>
                <w:rFonts w:cs="Arial"/>
                <w:bCs/>
                <w:sz w:val="22"/>
                <w:szCs w:val="22"/>
              </w:rPr>
              <w:t xml:space="preserve"> issues regarding participation and </w:t>
            </w:r>
            <w:r w:rsidR="003340B1">
              <w:rPr>
                <w:rFonts w:cs="Arial"/>
                <w:bCs/>
                <w:sz w:val="22"/>
                <w:szCs w:val="22"/>
              </w:rPr>
              <w:t>partnership</w:t>
            </w:r>
            <w:r w:rsidR="003B549A">
              <w:rPr>
                <w:rFonts w:cs="Arial"/>
                <w:bCs/>
                <w:sz w:val="22"/>
                <w:szCs w:val="22"/>
              </w:rPr>
              <w:t>.</w:t>
            </w:r>
          </w:p>
          <w:p w14:paraId="37D0471C" w14:textId="77777777" w:rsidR="00B05FEF" w:rsidRDefault="00B05FEF" w:rsidP="00AC6E34">
            <w:pPr>
              <w:tabs>
                <w:tab w:val="right" w:leader="underscore" w:pos="5670"/>
                <w:tab w:val="left" w:pos="6237"/>
              </w:tabs>
              <w:spacing w:before="60" w:after="60"/>
              <w:rPr>
                <w:rFonts w:cs="Arial"/>
                <w:sz w:val="22"/>
                <w:szCs w:val="22"/>
              </w:rPr>
            </w:pPr>
          </w:p>
          <w:p w14:paraId="4C44D822" w14:textId="02AA8CE4" w:rsidR="00B05FEF" w:rsidRDefault="00A350FD" w:rsidP="00AC6E34">
            <w:pPr>
              <w:tabs>
                <w:tab w:val="right" w:leader="underscore" w:pos="5670"/>
                <w:tab w:val="left" w:pos="6237"/>
              </w:tabs>
              <w:spacing w:before="60" w:after="60"/>
              <w:rPr>
                <w:rFonts w:cs="Arial"/>
                <w:b/>
                <w:sz w:val="22"/>
                <w:szCs w:val="22"/>
              </w:rPr>
            </w:pPr>
            <w:r>
              <w:rPr>
                <w:rFonts w:cs="Arial"/>
                <w:b/>
                <w:sz w:val="22"/>
                <w:szCs w:val="22"/>
              </w:rPr>
              <w:t>Finished product costs</w:t>
            </w:r>
          </w:p>
          <w:p w14:paraId="63EBB163" w14:textId="1BDDFB91" w:rsidR="00974000" w:rsidRDefault="00974000" w:rsidP="00AC6E34">
            <w:pPr>
              <w:tabs>
                <w:tab w:val="right" w:leader="underscore" w:pos="5670"/>
                <w:tab w:val="left" w:pos="6237"/>
              </w:tabs>
              <w:spacing w:before="60" w:after="60"/>
              <w:rPr>
                <w:rFonts w:cs="Arial"/>
                <w:sz w:val="22"/>
                <w:szCs w:val="22"/>
              </w:rPr>
            </w:pPr>
            <w:r>
              <w:rPr>
                <w:rFonts w:cs="Arial"/>
                <w:sz w:val="22"/>
                <w:szCs w:val="22"/>
              </w:rPr>
              <w:t xml:space="preserve">Discussion occurred around the overriding equity issue that high mark-ups from pharmacies are likely to be a barrier for patients who are prescribed medicinal cannabis products. Some members disagreed with this, stating that more pharmacies don’t put much of a mark-up on expensive medicines as pharmacists recognise that most patients can’t afford </w:t>
            </w:r>
            <w:r w:rsidR="00E25476">
              <w:rPr>
                <w:rFonts w:cs="Arial"/>
                <w:sz w:val="22"/>
                <w:szCs w:val="22"/>
              </w:rPr>
              <w:t>these and market will likely manage most of the varying costs of medicines.</w:t>
            </w:r>
          </w:p>
          <w:p w14:paraId="3FA72FB4" w14:textId="77777777" w:rsidR="00B05FEF" w:rsidRDefault="00B05FEF" w:rsidP="00AC6E34">
            <w:pPr>
              <w:tabs>
                <w:tab w:val="right" w:leader="underscore" w:pos="5670"/>
                <w:tab w:val="left" w:pos="6237"/>
              </w:tabs>
              <w:spacing w:before="60" w:after="60"/>
              <w:rPr>
                <w:rFonts w:cs="Arial"/>
                <w:sz w:val="22"/>
                <w:szCs w:val="22"/>
              </w:rPr>
            </w:pPr>
          </w:p>
          <w:p w14:paraId="0BDDD3A7" w14:textId="77777777" w:rsidR="00B05FEF" w:rsidRDefault="00B05FEF" w:rsidP="00AC6E34">
            <w:pPr>
              <w:tabs>
                <w:tab w:val="right" w:leader="underscore" w:pos="5670"/>
                <w:tab w:val="left" w:pos="6237"/>
              </w:tabs>
              <w:spacing w:before="60" w:after="60"/>
              <w:rPr>
                <w:rFonts w:cs="Arial"/>
                <w:b/>
                <w:sz w:val="22"/>
                <w:szCs w:val="22"/>
              </w:rPr>
            </w:pPr>
            <w:r>
              <w:rPr>
                <w:rFonts w:cs="Arial"/>
                <w:b/>
                <w:sz w:val="22"/>
                <w:szCs w:val="22"/>
              </w:rPr>
              <w:t>Post market surveillance</w:t>
            </w:r>
          </w:p>
          <w:p w14:paraId="12D64B51" w14:textId="30112F43" w:rsidR="00B05FEF" w:rsidRPr="006A4320" w:rsidRDefault="00A350FD" w:rsidP="00AC6E34">
            <w:pPr>
              <w:tabs>
                <w:tab w:val="right" w:leader="underscore" w:pos="5670"/>
                <w:tab w:val="left" w:pos="6237"/>
              </w:tabs>
              <w:spacing w:before="60" w:after="60"/>
              <w:rPr>
                <w:rFonts w:cs="Arial"/>
                <w:b/>
                <w:sz w:val="22"/>
                <w:szCs w:val="22"/>
              </w:rPr>
            </w:pPr>
            <w:r>
              <w:rPr>
                <w:rFonts w:cs="Arial"/>
                <w:sz w:val="22"/>
                <w:szCs w:val="22"/>
              </w:rPr>
              <w:t xml:space="preserve">Some members of the Advisory Group supported the notion to include post-market surveillance as </w:t>
            </w:r>
            <w:r w:rsidR="00974000">
              <w:rPr>
                <w:rFonts w:cs="Arial"/>
                <w:sz w:val="22"/>
                <w:szCs w:val="22"/>
              </w:rPr>
              <w:t>part of the education programme.</w:t>
            </w:r>
          </w:p>
        </w:tc>
      </w:tr>
      <w:tr w:rsidR="00E643CE" w:rsidRPr="00FA0D8E" w14:paraId="2680C051" w14:textId="77777777" w:rsidTr="00E643CE">
        <w:tc>
          <w:tcPr>
            <w:tcW w:w="669" w:type="dxa"/>
          </w:tcPr>
          <w:p w14:paraId="192E5E5C" w14:textId="4016E283" w:rsidR="00E643CE" w:rsidRPr="006A4320" w:rsidRDefault="00E643CE" w:rsidP="00AC6E34">
            <w:pPr>
              <w:pStyle w:val="ListParagraph"/>
              <w:numPr>
                <w:ilvl w:val="0"/>
                <w:numId w:val="1"/>
              </w:numPr>
              <w:tabs>
                <w:tab w:val="right" w:leader="underscore" w:pos="5670"/>
                <w:tab w:val="left" w:pos="6237"/>
              </w:tabs>
              <w:spacing w:before="60" w:after="60"/>
              <w:contextualSpacing w:val="0"/>
              <w:jc w:val="center"/>
              <w:rPr>
                <w:rFonts w:cs="Arial"/>
                <w:b/>
                <w:sz w:val="22"/>
                <w:szCs w:val="22"/>
              </w:rPr>
            </w:pPr>
          </w:p>
        </w:tc>
        <w:tc>
          <w:tcPr>
            <w:tcW w:w="9208" w:type="dxa"/>
          </w:tcPr>
          <w:p w14:paraId="1E4EF190" w14:textId="77777777" w:rsidR="000B0E94" w:rsidRDefault="000B0E94" w:rsidP="00AC6E34">
            <w:pPr>
              <w:tabs>
                <w:tab w:val="right" w:leader="underscore" w:pos="5670"/>
                <w:tab w:val="left" w:pos="6237"/>
              </w:tabs>
              <w:spacing w:before="60" w:after="60"/>
              <w:rPr>
                <w:rFonts w:cs="Arial"/>
                <w:b/>
                <w:sz w:val="22"/>
                <w:szCs w:val="22"/>
              </w:rPr>
            </w:pPr>
            <w:r>
              <w:rPr>
                <w:rFonts w:cs="Arial"/>
                <w:b/>
                <w:sz w:val="22"/>
                <w:szCs w:val="22"/>
              </w:rPr>
              <w:t>Next Steps</w:t>
            </w:r>
          </w:p>
          <w:p w14:paraId="041B4DB5" w14:textId="2F664D27" w:rsidR="00974000" w:rsidRPr="00974000" w:rsidRDefault="00974000" w:rsidP="00AC6E34">
            <w:pPr>
              <w:tabs>
                <w:tab w:val="right" w:leader="underscore" w:pos="5670"/>
                <w:tab w:val="left" w:pos="6237"/>
              </w:tabs>
              <w:spacing w:before="60" w:after="60"/>
              <w:rPr>
                <w:rFonts w:cs="Arial"/>
                <w:sz w:val="22"/>
                <w:szCs w:val="22"/>
              </w:rPr>
            </w:pPr>
            <w:r>
              <w:rPr>
                <w:rFonts w:cs="Arial"/>
                <w:sz w:val="22"/>
                <w:szCs w:val="22"/>
              </w:rPr>
              <w:t>The Secretariat will include feedback from the Advisory Group and the Consultation into a Cabinet paper to go to the Minister of Health.</w:t>
            </w:r>
          </w:p>
        </w:tc>
      </w:tr>
    </w:tbl>
    <w:p w14:paraId="345EB9AB" w14:textId="77777777" w:rsidR="00332AA4" w:rsidRDefault="00332AA4" w:rsidP="00AC6E34">
      <w:pPr>
        <w:spacing w:before="60"/>
        <w:rPr>
          <w:sz w:val="22"/>
          <w:szCs w:val="22"/>
        </w:rPr>
      </w:pPr>
    </w:p>
    <w:p w14:paraId="3105B195" w14:textId="30DA445A" w:rsidR="006A4320" w:rsidRPr="006A4320" w:rsidRDefault="006A4320" w:rsidP="00AC6E34">
      <w:pPr>
        <w:spacing w:before="60"/>
        <w:rPr>
          <w:sz w:val="22"/>
          <w:szCs w:val="22"/>
        </w:rPr>
      </w:pPr>
      <w:r>
        <w:rPr>
          <w:sz w:val="22"/>
          <w:szCs w:val="22"/>
        </w:rPr>
        <w:t xml:space="preserve">Meeting closed </w:t>
      </w:r>
      <w:r w:rsidR="00B05FEF">
        <w:rPr>
          <w:sz w:val="22"/>
          <w:szCs w:val="22"/>
        </w:rPr>
        <w:t>4.20</w:t>
      </w:r>
      <w:r w:rsidR="008964A9">
        <w:rPr>
          <w:sz w:val="22"/>
          <w:szCs w:val="22"/>
        </w:rPr>
        <w:t xml:space="preserve"> </w:t>
      </w:r>
      <w:r w:rsidR="00B05FEF">
        <w:rPr>
          <w:sz w:val="22"/>
          <w:szCs w:val="22"/>
        </w:rPr>
        <w:t>pm</w:t>
      </w:r>
    </w:p>
    <w:sectPr w:rsidR="006A4320" w:rsidRPr="006A4320" w:rsidSect="006A4320">
      <w:pgSz w:w="11907" w:h="16840" w:code="9"/>
      <w:pgMar w:top="567" w:right="992" w:bottom="992" w:left="992" w:header="567" w:footer="567"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6B7"/>
    <w:multiLevelType w:val="hybridMultilevel"/>
    <w:tmpl w:val="1D4C3564"/>
    <w:lvl w:ilvl="0" w:tplc="D73478DC">
      <w:start w:val="10"/>
      <w:numFmt w:val="bullet"/>
      <w:lvlText w:val=""/>
      <w:lvlJc w:val="left"/>
      <w:pPr>
        <w:ind w:left="720" w:hanging="360"/>
      </w:pPr>
      <w:rPr>
        <w:rFonts w:ascii="Symbol" w:eastAsia="Times New Roman"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8D08A3"/>
    <w:multiLevelType w:val="hybridMultilevel"/>
    <w:tmpl w:val="10841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4D5B6F"/>
    <w:multiLevelType w:val="hybridMultilevel"/>
    <w:tmpl w:val="B3148D2A"/>
    <w:lvl w:ilvl="0" w:tplc="20AE0A98">
      <w:numFmt w:val="bullet"/>
      <w:lvlText w:val=""/>
      <w:lvlJc w:val="left"/>
      <w:pPr>
        <w:ind w:left="383" w:hanging="360"/>
      </w:pPr>
      <w:rPr>
        <w:rFonts w:ascii="Symbol" w:eastAsia="Times New Roman" w:hAnsi="Symbol" w:cs="Arial" w:hint="default"/>
      </w:rPr>
    </w:lvl>
    <w:lvl w:ilvl="1" w:tplc="14090003">
      <w:start w:val="1"/>
      <w:numFmt w:val="bullet"/>
      <w:lvlText w:val="o"/>
      <w:lvlJc w:val="left"/>
      <w:pPr>
        <w:ind w:left="1103" w:hanging="360"/>
      </w:pPr>
      <w:rPr>
        <w:rFonts w:ascii="Courier New" w:hAnsi="Courier New" w:cs="Courier New" w:hint="default"/>
      </w:rPr>
    </w:lvl>
    <w:lvl w:ilvl="2" w:tplc="14090005">
      <w:start w:val="1"/>
      <w:numFmt w:val="bullet"/>
      <w:lvlText w:val=""/>
      <w:lvlJc w:val="left"/>
      <w:pPr>
        <w:ind w:left="1823" w:hanging="360"/>
      </w:pPr>
      <w:rPr>
        <w:rFonts w:ascii="Wingdings" w:hAnsi="Wingdings" w:hint="default"/>
      </w:rPr>
    </w:lvl>
    <w:lvl w:ilvl="3" w:tplc="14090001" w:tentative="1">
      <w:start w:val="1"/>
      <w:numFmt w:val="bullet"/>
      <w:lvlText w:val=""/>
      <w:lvlJc w:val="left"/>
      <w:pPr>
        <w:ind w:left="2543" w:hanging="360"/>
      </w:pPr>
      <w:rPr>
        <w:rFonts w:ascii="Symbol" w:hAnsi="Symbol" w:hint="default"/>
      </w:rPr>
    </w:lvl>
    <w:lvl w:ilvl="4" w:tplc="14090003" w:tentative="1">
      <w:start w:val="1"/>
      <w:numFmt w:val="bullet"/>
      <w:lvlText w:val="o"/>
      <w:lvlJc w:val="left"/>
      <w:pPr>
        <w:ind w:left="3263" w:hanging="360"/>
      </w:pPr>
      <w:rPr>
        <w:rFonts w:ascii="Courier New" w:hAnsi="Courier New" w:cs="Courier New" w:hint="default"/>
      </w:rPr>
    </w:lvl>
    <w:lvl w:ilvl="5" w:tplc="14090005" w:tentative="1">
      <w:start w:val="1"/>
      <w:numFmt w:val="bullet"/>
      <w:lvlText w:val=""/>
      <w:lvlJc w:val="left"/>
      <w:pPr>
        <w:ind w:left="3983" w:hanging="360"/>
      </w:pPr>
      <w:rPr>
        <w:rFonts w:ascii="Wingdings" w:hAnsi="Wingdings" w:hint="default"/>
      </w:rPr>
    </w:lvl>
    <w:lvl w:ilvl="6" w:tplc="14090001" w:tentative="1">
      <w:start w:val="1"/>
      <w:numFmt w:val="bullet"/>
      <w:lvlText w:val=""/>
      <w:lvlJc w:val="left"/>
      <w:pPr>
        <w:ind w:left="4703" w:hanging="360"/>
      </w:pPr>
      <w:rPr>
        <w:rFonts w:ascii="Symbol" w:hAnsi="Symbol" w:hint="default"/>
      </w:rPr>
    </w:lvl>
    <w:lvl w:ilvl="7" w:tplc="14090003" w:tentative="1">
      <w:start w:val="1"/>
      <w:numFmt w:val="bullet"/>
      <w:lvlText w:val="o"/>
      <w:lvlJc w:val="left"/>
      <w:pPr>
        <w:ind w:left="5423" w:hanging="360"/>
      </w:pPr>
      <w:rPr>
        <w:rFonts w:ascii="Courier New" w:hAnsi="Courier New" w:cs="Courier New" w:hint="default"/>
      </w:rPr>
    </w:lvl>
    <w:lvl w:ilvl="8" w:tplc="14090005" w:tentative="1">
      <w:start w:val="1"/>
      <w:numFmt w:val="bullet"/>
      <w:lvlText w:val=""/>
      <w:lvlJc w:val="left"/>
      <w:pPr>
        <w:ind w:left="6143" w:hanging="360"/>
      </w:pPr>
      <w:rPr>
        <w:rFonts w:ascii="Wingdings" w:hAnsi="Wingdings" w:hint="default"/>
      </w:rPr>
    </w:lvl>
  </w:abstractNum>
  <w:abstractNum w:abstractNumId="3" w15:restartNumberingAfterBreak="0">
    <w:nsid w:val="2CA622A9"/>
    <w:multiLevelType w:val="hybridMultilevel"/>
    <w:tmpl w:val="B7107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8B48B7"/>
    <w:multiLevelType w:val="hybridMultilevel"/>
    <w:tmpl w:val="914EC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A3B6FFF"/>
    <w:multiLevelType w:val="hybridMultilevel"/>
    <w:tmpl w:val="AA309B36"/>
    <w:lvl w:ilvl="0" w:tplc="8E3C115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5C9A4BDA"/>
    <w:multiLevelType w:val="hybridMultilevel"/>
    <w:tmpl w:val="E9ACE8A8"/>
    <w:lvl w:ilvl="0" w:tplc="28F6CD92">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F3"/>
    <w:rsid w:val="00014C5E"/>
    <w:rsid w:val="00015AB8"/>
    <w:rsid w:val="00022BAF"/>
    <w:rsid w:val="00041C5F"/>
    <w:rsid w:val="000456F2"/>
    <w:rsid w:val="00057FFD"/>
    <w:rsid w:val="000943F6"/>
    <w:rsid w:val="000973AC"/>
    <w:rsid w:val="000A32B3"/>
    <w:rsid w:val="000A67AE"/>
    <w:rsid w:val="000B0E94"/>
    <w:rsid w:val="000B6DC3"/>
    <w:rsid w:val="0010101F"/>
    <w:rsid w:val="00126E95"/>
    <w:rsid w:val="0014034B"/>
    <w:rsid w:val="00180147"/>
    <w:rsid w:val="00183D28"/>
    <w:rsid w:val="001B3D6E"/>
    <w:rsid w:val="001D65A0"/>
    <w:rsid w:val="001E060C"/>
    <w:rsid w:val="00244A86"/>
    <w:rsid w:val="00256743"/>
    <w:rsid w:val="0025752A"/>
    <w:rsid w:val="0026296A"/>
    <w:rsid w:val="00265A02"/>
    <w:rsid w:val="0027024E"/>
    <w:rsid w:val="0028782C"/>
    <w:rsid w:val="002B594E"/>
    <w:rsid w:val="002C2528"/>
    <w:rsid w:val="002E2ED1"/>
    <w:rsid w:val="002F7447"/>
    <w:rsid w:val="00305959"/>
    <w:rsid w:val="00323D60"/>
    <w:rsid w:val="00327324"/>
    <w:rsid w:val="00332AA4"/>
    <w:rsid w:val="003331A6"/>
    <w:rsid w:val="003340B1"/>
    <w:rsid w:val="00354643"/>
    <w:rsid w:val="00395AF6"/>
    <w:rsid w:val="003B5195"/>
    <w:rsid w:val="003B549A"/>
    <w:rsid w:val="003C625F"/>
    <w:rsid w:val="003C7CF0"/>
    <w:rsid w:val="003D11F2"/>
    <w:rsid w:val="003E6BF8"/>
    <w:rsid w:val="004210F5"/>
    <w:rsid w:val="00451573"/>
    <w:rsid w:val="004552F2"/>
    <w:rsid w:val="00476BAB"/>
    <w:rsid w:val="00486AF5"/>
    <w:rsid w:val="00490576"/>
    <w:rsid w:val="004C4861"/>
    <w:rsid w:val="004E0A8A"/>
    <w:rsid w:val="004F2F23"/>
    <w:rsid w:val="00513E7C"/>
    <w:rsid w:val="00516584"/>
    <w:rsid w:val="00560A2B"/>
    <w:rsid w:val="0056106E"/>
    <w:rsid w:val="00582A4B"/>
    <w:rsid w:val="005A75D1"/>
    <w:rsid w:val="005C6BFD"/>
    <w:rsid w:val="005D0164"/>
    <w:rsid w:val="005F5E1E"/>
    <w:rsid w:val="0061576E"/>
    <w:rsid w:val="00640E9D"/>
    <w:rsid w:val="00651B6F"/>
    <w:rsid w:val="00683C32"/>
    <w:rsid w:val="006A4320"/>
    <w:rsid w:val="006B7ACA"/>
    <w:rsid w:val="006C1E2F"/>
    <w:rsid w:val="006C5AC2"/>
    <w:rsid w:val="006D1FF8"/>
    <w:rsid w:val="00746AF3"/>
    <w:rsid w:val="00763B05"/>
    <w:rsid w:val="007647F3"/>
    <w:rsid w:val="007948B0"/>
    <w:rsid w:val="007A13D9"/>
    <w:rsid w:val="007C435C"/>
    <w:rsid w:val="00845AE3"/>
    <w:rsid w:val="00854C9A"/>
    <w:rsid w:val="00865887"/>
    <w:rsid w:val="008754A7"/>
    <w:rsid w:val="00877DA8"/>
    <w:rsid w:val="008811B2"/>
    <w:rsid w:val="008964A9"/>
    <w:rsid w:val="00897E43"/>
    <w:rsid w:val="008C71B0"/>
    <w:rsid w:val="008E26EF"/>
    <w:rsid w:val="00900E8E"/>
    <w:rsid w:val="00921101"/>
    <w:rsid w:val="00974000"/>
    <w:rsid w:val="009A7DEA"/>
    <w:rsid w:val="009B2F05"/>
    <w:rsid w:val="009C7D0F"/>
    <w:rsid w:val="009D1AD6"/>
    <w:rsid w:val="00A15221"/>
    <w:rsid w:val="00A16C06"/>
    <w:rsid w:val="00A350FD"/>
    <w:rsid w:val="00A36A4D"/>
    <w:rsid w:val="00A53A0C"/>
    <w:rsid w:val="00A600F9"/>
    <w:rsid w:val="00A63A47"/>
    <w:rsid w:val="00A63F63"/>
    <w:rsid w:val="00A7133A"/>
    <w:rsid w:val="00AC6E34"/>
    <w:rsid w:val="00AD556A"/>
    <w:rsid w:val="00AD689B"/>
    <w:rsid w:val="00AE776A"/>
    <w:rsid w:val="00AF21C7"/>
    <w:rsid w:val="00B02B25"/>
    <w:rsid w:val="00B05FEF"/>
    <w:rsid w:val="00B14CF2"/>
    <w:rsid w:val="00B50BCD"/>
    <w:rsid w:val="00B65EA6"/>
    <w:rsid w:val="00B8697B"/>
    <w:rsid w:val="00BA63FA"/>
    <w:rsid w:val="00BC32E7"/>
    <w:rsid w:val="00BF192C"/>
    <w:rsid w:val="00BF5ADA"/>
    <w:rsid w:val="00C012C0"/>
    <w:rsid w:val="00C04C70"/>
    <w:rsid w:val="00C20987"/>
    <w:rsid w:val="00C25F70"/>
    <w:rsid w:val="00C312F2"/>
    <w:rsid w:val="00C52242"/>
    <w:rsid w:val="00C720CE"/>
    <w:rsid w:val="00C75145"/>
    <w:rsid w:val="00C915A5"/>
    <w:rsid w:val="00CD5E79"/>
    <w:rsid w:val="00CD6F44"/>
    <w:rsid w:val="00CE1C21"/>
    <w:rsid w:val="00CF1905"/>
    <w:rsid w:val="00CF45CD"/>
    <w:rsid w:val="00D24919"/>
    <w:rsid w:val="00D71C97"/>
    <w:rsid w:val="00D855A7"/>
    <w:rsid w:val="00D868A8"/>
    <w:rsid w:val="00D876A8"/>
    <w:rsid w:val="00D903F3"/>
    <w:rsid w:val="00D92E55"/>
    <w:rsid w:val="00DD24E0"/>
    <w:rsid w:val="00DE4233"/>
    <w:rsid w:val="00DE6846"/>
    <w:rsid w:val="00E05514"/>
    <w:rsid w:val="00E25476"/>
    <w:rsid w:val="00E50F8E"/>
    <w:rsid w:val="00E643CE"/>
    <w:rsid w:val="00EB2751"/>
    <w:rsid w:val="00EB2DAC"/>
    <w:rsid w:val="00EE1661"/>
    <w:rsid w:val="00F015C7"/>
    <w:rsid w:val="00F70C0E"/>
    <w:rsid w:val="00F80CEC"/>
    <w:rsid w:val="00F943A3"/>
    <w:rsid w:val="00FA0D8E"/>
    <w:rsid w:val="00FA6A9F"/>
    <w:rsid w:val="00FC6063"/>
    <w:rsid w:val="00FE6E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E1B5"/>
  <w15:chartTrackingRefBased/>
  <w15:docId w15:val="{7D60371E-75B0-4E3E-A5A6-7C0124C3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AF3"/>
    <w:pPr>
      <w:spacing w:after="0" w:line="240" w:lineRule="auto"/>
    </w:pPr>
    <w:rPr>
      <w:rFonts w:ascii="Arial" w:eastAsia="Times New Roman" w:hAnsi="Arial" w:cs="Time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6AF3"/>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746AF3"/>
    <w:pPr>
      <w:spacing w:before="120" w:after="120"/>
    </w:pPr>
  </w:style>
  <w:style w:type="paragraph" w:styleId="ListParagraph">
    <w:name w:val="List Paragraph"/>
    <w:basedOn w:val="Normal"/>
    <w:uiPriority w:val="1"/>
    <w:qFormat/>
    <w:rsid w:val="00746AF3"/>
    <w:pPr>
      <w:ind w:left="720"/>
      <w:contextualSpacing/>
    </w:pPr>
  </w:style>
  <w:style w:type="character" w:styleId="CommentReference">
    <w:name w:val="annotation reference"/>
    <w:basedOn w:val="DefaultParagraphFont"/>
    <w:uiPriority w:val="99"/>
    <w:semiHidden/>
    <w:unhideWhenUsed/>
    <w:rsid w:val="00854C9A"/>
    <w:rPr>
      <w:sz w:val="16"/>
      <w:szCs w:val="16"/>
    </w:rPr>
  </w:style>
  <w:style w:type="paragraph" w:styleId="CommentText">
    <w:name w:val="annotation text"/>
    <w:basedOn w:val="Normal"/>
    <w:link w:val="CommentTextChar"/>
    <w:uiPriority w:val="99"/>
    <w:semiHidden/>
    <w:unhideWhenUsed/>
    <w:rsid w:val="00854C9A"/>
    <w:rPr>
      <w:sz w:val="20"/>
      <w:szCs w:val="20"/>
    </w:rPr>
  </w:style>
  <w:style w:type="character" w:customStyle="1" w:styleId="CommentTextChar">
    <w:name w:val="Comment Text Char"/>
    <w:basedOn w:val="DefaultParagraphFont"/>
    <w:link w:val="CommentText"/>
    <w:uiPriority w:val="99"/>
    <w:semiHidden/>
    <w:rsid w:val="00854C9A"/>
    <w:rPr>
      <w:rFonts w:ascii="Arial" w:eastAsia="Times New Roman" w:hAnsi="Arial" w:cs="Times"/>
      <w:sz w:val="20"/>
      <w:szCs w:val="20"/>
      <w:lang w:eastAsia="en-GB"/>
    </w:rPr>
  </w:style>
  <w:style w:type="paragraph" w:styleId="CommentSubject">
    <w:name w:val="annotation subject"/>
    <w:basedOn w:val="CommentText"/>
    <w:next w:val="CommentText"/>
    <w:link w:val="CommentSubjectChar"/>
    <w:uiPriority w:val="99"/>
    <w:semiHidden/>
    <w:unhideWhenUsed/>
    <w:rsid w:val="00854C9A"/>
    <w:rPr>
      <w:b/>
      <w:bCs/>
    </w:rPr>
  </w:style>
  <w:style w:type="character" w:customStyle="1" w:styleId="CommentSubjectChar">
    <w:name w:val="Comment Subject Char"/>
    <w:basedOn w:val="CommentTextChar"/>
    <w:link w:val="CommentSubject"/>
    <w:uiPriority w:val="99"/>
    <w:semiHidden/>
    <w:rsid w:val="00854C9A"/>
    <w:rPr>
      <w:rFonts w:ascii="Arial" w:eastAsia="Times New Roman" w:hAnsi="Arial" w:cs="Times"/>
      <w:b/>
      <w:bCs/>
      <w:sz w:val="20"/>
      <w:szCs w:val="20"/>
      <w:lang w:eastAsia="en-GB"/>
    </w:rPr>
  </w:style>
  <w:style w:type="paragraph" w:styleId="BalloonText">
    <w:name w:val="Balloon Text"/>
    <w:basedOn w:val="Normal"/>
    <w:link w:val="BalloonTextChar"/>
    <w:uiPriority w:val="99"/>
    <w:semiHidden/>
    <w:unhideWhenUsed/>
    <w:rsid w:val="00854C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C9A"/>
    <w:rPr>
      <w:rFonts w:ascii="Segoe UI" w:eastAsia="Times New Roman" w:hAnsi="Segoe UI" w:cs="Segoe UI"/>
      <w:sz w:val="18"/>
      <w:szCs w:val="18"/>
      <w:lang w:eastAsia="en-GB"/>
    </w:rPr>
  </w:style>
  <w:style w:type="paragraph" w:styleId="Revision">
    <w:name w:val="Revision"/>
    <w:hidden/>
    <w:uiPriority w:val="99"/>
    <w:semiHidden/>
    <w:rsid w:val="00451573"/>
    <w:pPr>
      <w:spacing w:after="0" w:line="240" w:lineRule="auto"/>
    </w:pPr>
    <w:rPr>
      <w:rFonts w:ascii="Arial" w:eastAsia="Times New Roman" w:hAnsi="Arial" w:cs="Time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D80E5-3ADA-4718-8B16-6E5CC64C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A9913B8F.dotm</Template>
  <TotalTime>307</TotalTime>
  <Pages>6</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Eng</dc:creator>
  <cp:keywords/>
  <dc:description/>
  <cp:lastModifiedBy>Kayla Cook</cp:lastModifiedBy>
  <cp:revision>10</cp:revision>
  <dcterms:created xsi:type="dcterms:W3CDTF">2019-09-25T00:24:00Z</dcterms:created>
  <dcterms:modified xsi:type="dcterms:W3CDTF">2020-03-26T23:04:00Z</dcterms:modified>
</cp:coreProperties>
</file>