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28ED" w14:textId="77777777" w:rsidR="00FE3097" w:rsidRDefault="00FE3097" w:rsidP="00954036">
      <w:pPr>
        <w:pStyle w:val="NoSpacing"/>
      </w:pPr>
    </w:p>
    <w:p w14:paraId="6899D440" w14:textId="77777777" w:rsidR="00FE3097" w:rsidRDefault="00FE3097" w:rsidP="00954036">
      <w:pPr>
        <w:pStyle w:val="NoSpacing"/>
      </w:pPr>
    </w:p>
    <w:p w14:paraId="70709861" w14:textId="77777777" w:rsidR="00FE3097" w:rsidRDefault="00FE3097" w:rsidP="00954036">
      <w:pPr>
        <w:pStyle w:val="NoSpacing"/>
      </w:pPr>
    </w:p>
    <w:p w14:paraId="2A92A81E" w14:textId="77777777" w:rsidR="00954036" w:rsidRDefault="00954036" w:rsidP="00954036">
      <w:pPr>
        <w:pStyle w:val="NoSpacing"/>
      </w:pPr>
    </w:p>
    <w:p w14:paraId="57484982" w14:textId="77777777" w:rsidR="00954036" w:rsidRDefault="00954036" w:rsidP="00954036">
      <w:pPr>
        <w:pStyle w:val="NoSpacing"/>
      </w:pPr>
    </w:p>
    <w:p w14:paraId="0B38EC6D" w14:textId="77777777" w:rsidR="00954036" w:rsidRDefault="00954036" w:rsidP="00954036">
      <w:pPr>
        <w:pStyle w:val="NoSpacing"/>
      </w:pPr>
    </w:p>
    <w:p w14:paraId="21D2D02A" w14:textId="77777777" w:rsidR="00954036" w:rsidRDefault="00954036" w:rsidP="00954036">
      <w:pPr>
        <w:pStyle w:val="NoSpacing"/>
      </w:pPr>
    </w:p>
    <w:p w14:paraId="2F88A86F" w14:textId="77777777" w:rsidR="00954036" w:rsidRDefault="00954036" w:rsidP="00954036">
      <w:pPr>
        <w:pStyle w:val="NoSpacing"/>
      </w:pPr>
    </w:p>
    <w:p w14:paraId="28B2879D" w14:textId="77777777" w:rsidR="00954036" w:rsidRDefault="00954036" w:rsidP="00954036">
      <w:pPr>
        <w:pStyle w:val="NoSpacing"/>
      </w:pPr>
    </w:p>
    <w:p w14:paraId="64094AFB" w14:textId="77777777" w:rsidR="00954036" w:rsidRDefault="00954036" w:rsidP="00954036">
      <w:pPr>
        <w:pStyle w:val="NoSpacing"/>
      </w:pPr>
    </w:p>
    <w:p w14:paraId="538E5AD2" w14:textId="375B5B2B" w:rsidR="00FE3097" w:rsidRPr="00EF435A" w:rsidRDefault="00FE3097" w:rsidP="00EF435A">
      <w:pPr>
        <w:pStyle w:val="Title"/>
      </w:pPr>
      <w:r w:rsidRPr="00EF435A">
        <w:t xml:space="preserve">The </w:t>
      </w:r>
      <w:r w:rsidR="007A0C7E">
        <w:t>S</w:t>
      </w:r>
      <w:r w:rsidRPr="00EF435A">
        <w:t>tandards</w:t>
      </w:r>
      <w:r w:rsidR="00EF435A" w:rsidRPr="00EF435A">
        <w:br/>
      </w:r>
      <w:r w:rsidR="007A0C7E">
        <w:t>R</w:t>
      </w:r>
      <w:r w:rsidRPr="00EF435A">
        <w:t xml:space="preserve">eview </w:t>
      </w:r>
    </w:p>
    <w:p w14:paraId="173F09C0" w14:textId="77777777" w:rsidR="00FE3097" w:rsidRDefault="00FE3097" w:rsidP="00954036">
      <w:pPr>
        <w:pStyle w:val="NoSpacing"/>
      </w:pPr>
    </w:p>
    <w:p w14:paraId="6865CDF5" w14:textId="77777777" w:rsidR="00EF435A" w:rsidRPr="00EF435A" w:rsidRDefault="00EF435A" w:rsidP="00EF435A"/>
    <w:p w14:paraId="249B2D96" w14:textId="77777777" w:rsidR="00FE3097" w:rsidRDefault="00FE3097" w:rsidP="00EF435A">
      <w:pPr>
        <w:pStyle w:val="Subtitle"/>
        <w:rPr>
          <w:rFonts w:ascii="Arial" w:hAnsi="Arial" w:cs="Arial"/>
        </w:rPr>
      </w:pPr>
      <w:r w:rsidRPr="00EF435A">
        <w:t xml:space="preserve">Scoping Workshops - Summary </w:t>
      </w:r>
    </w:p>
    <w:p w14:paraId="70309773" w14:textId="77777777" w:rsidR="00FE3097" w:rsidRDefault="00FE3097" w:rsidP="00EF435A"/>
    <w:p w14:paraId="132F0D51" w14:textId="77777777" w:rsidR="00FE3097" w:rsidRDefault="00FE3097" w:rsidP="00EF435A"/>
    <w:p w14:paraId="0F1E9DB1" w14:textId="77777777" w:rsidR="007650E2" w:rsidRDefault="007650E2" w:rsidP="00EF435A"/>
    <w:p w14:paraId="24944ACC" w14:textId="77777777" w:rsidR="007650E2" w:rsidRDefault="007650E2" w:rsidP="00EF435A"/>
    <w:p w14:paraId="68063020" w14:textId="77777777" w:rsidR="007650E2" w:rsidRDefault="007650E2" w:rsidP="00EF435A"/>
    <w:p w14:paraId="5071286C" w14:textId="77777777" w:rsidR="007650E2" w:rsidRDefault="007650E2" w:rsidP="00EF435A"/>
    <w:p w14:paraId="2028872F" w14:textId="77777777" w:rsidR="007650E2" w:rsidRDefault="007650E2" w:rsidP="00EF435A"/>
    <w:p w14:paraId="4DD6E8A5" w14:textId="77777777" w:rsidR="007650E2" w:rsidRDefault="007650E2" w:rsidP="00EF435A"/>
    <w:p w14:paraId="48A7E239" w14:textId="77777777" w:rsidR="007650E2" w:rsidRDefault="007650E2" w:rsidP="00EF435A"/>
    <w:p w14:paraId="6B9E8E34" w14:textId="77777777" w:rsidR="007650E2" w:rsidRDefault="007650E2" w:rsidP="00EF435A"/>
    <w:p w14:paraId="3CC25781" w14:textId="77777777" w:rsidR="007650E2" w:rsidRDefault="007650E2" w:rsidP="00EF435A"/>
    <w:p w14:paraId="06A3B806" w14:textId="77777777" w:rsidR="007650E2" w:rsidRDefault="007650E2" w:rsidP="00EF435A"/>
    <w:p w14:paraId="51D76E95" w14:textId="77777777" w:rsidR="000A4A67" w:rsidRPr="000A4A67" w:rsidRDefault="007650E2" w:rsidP="000A4A67">
      <w:r w:rsidRPr="00EF435A">
        <w:t>August 2019</w:t>
      </w:r>
    </w:p>
    <w:p w14:paraId="50BA3101" w14:textId="77777777" w:rsidR="000A4A67" w:rsidRDefault="000A4A67" w:rsidP="000A4A67">
      <w:pPr>
        <w:ind w:firstLine="720"/>
        <w:rPr>
          <w:rStyle w:val="IntenseReference"/>
        </w:rPr>
      </w:pPr>
    </w:p>
    <w:p w14:paraId="11F6DC44" w14:textId="77777777" w:rsidR="000A4A67" w:rsidRDefault="000A4A67" w:rsidP="000A4A67">
      <w:pPr>
        <w:rPr>
          <w:rStyle w:val="IntenseReference"/>
        </w:rPr>
      </w:pPr>
    </w:p>
    <w:p w14:paraId="466CDB91" w14:textId="77777777" w:rsidR="000A4A67" w:rsidRPr="000A4A67" w:rsidRDefault="000A4A67" w:rsidP="000A4A67">
      <w:pPr>
        <w:sectPr w:rsidR="000A4A67" w:rsidRPr="000A4A67" w:rsidSect="00EF435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pPr>
    </w:p>
    <w:p w14:paraId="593032B9" w14:textId="77777777" w:rsidR="00EF435A" w:rsidRDefault="00EF435A" w:rsidP="00954036"/>
    <w:p w14:paraId="2916D660" w14:textId="77777777" w:rsidR="00EF435A" w:rsidRPr="005026EE" w:rsidRDefault="00EF435A" w:rsidP="00EF435A">
      <w:pPr>
        <w:pStyle w:val="IntroHead"/>
        <w:keepNext/>
        <w:pageBreakBefore w:val="0"/>
        <w:spacing w:before="600"/>
      </w:pPr>
      <w:r w:rsidRPr="00EB06C1">
        <w:t>Contents</w:t>
      </w:r>
    </w:p>
    <w:p w14:paraId="02F8BCB4" w14:textId="77777777" w:rsidR="0007242D" w:rsidRDefault="0007242D">
      <w:pPr>
        <w:pStyle w:val="TOC2"/>
        <w:rPr>
          <w:rFonts w:asciiTheme="minorHAnsi" w:eastAsiaTheme="minorEastAsia" w:hAnsiTheme="minorHAnsi" w:cstheme="minorBidi"/>
          <w:noProof/>
          <w:szCs w:val="22"/>
          <w:lang w:eastAsia="en-NZ"/>
        </w:rPr>
      </w:pPr>
      <w:r>
        <w:rPr>
          <w:b/>
          <w:color w:val="000000" w:themeColor="text1"/>
        </w:rPr>
        <w:fldChar w:fldCharType="begin"/>
      </w:r>
      <w:r>
        <w:rPr>
          <w:b/>
          <w:color w:val="000000" w:themeColor="text1"/>
        </w:rPr>
        <w:instrText xml:space="preserve"> TOC \o "1-3" \h \z \u </w:instrText>
      </w:r>
      <w:r>
        <w:rPr>
          <w:b/>
          <w:color w:val="000000" w:themeColor="text1"/>
        </w:rPr>
        <w:fldChar w:fldCharType="separate"/>
      </w:r>
      <w:hyperlink w:anchor="_Toc19179361" w:history="1">
        <w:r w:rsidRPr="00926107">
          <w:rPr>
            <w:rStyle w:val="Hyperlink"/>
            <w:noProof/>
          </w:rPr>
          <w:t>Executive Summary</w:t>
        </w:r>
        <w:r>
          <w:rPr>
            <w:noProof/>
            <w:webHidden/>
          </w:rPr>
          <w:tab/>
        </w:r>
        <w:r>
          <w:rPr>
            <w:noProof/>
            <w:webHidden/>
          </w:rPr>
          <w:fldChar w:fldCharType="begin"/>
        </w:r>
        <w:r>
          <w:rPr>
            <w:noProof/>
            <w:webHidden/>
          </w:rPr>
          <w:instrText xml:space="preserve"> PAGEREF _Toc19179361 \h </w:instrText>
        </w:r>
        <w:r>
          <w:rPr>
            <w:noProof/>
            <w:webHidden/>
          </w:rPr>
        </w:r>
        <w:r>
          <w:rPr>
            <w:noProof/>
            <w:webHidden/>
          </w:rPr>
          <w:fldChar w:fldCharType="separate"/>
        </w:r>
        <w:r w:rsidR="000B310E">
          <w:rPr>
            <w:noProof/>
            <w:webHidden/>
          </w:rPr>
          <w:t>2</w:t>
        </w:r>
        <w:r>
          <w:rPr>
            <w:noProof/>
            <w:webHidden/>
          </w:rPr>
          <w:fldChar w:fldCharType="end"/>
        </w:r>
      </w:hyperlink>
    </w:p>
    <w:p w14:paraId="1B6C07A1" w14:textId="77777777" w:rsidR="0007242D" w:rsidRDefault="000B310E">
      <w:pPr>
        <w:pStyle w:val="TOC2"/>
        <w:rPr>
          <w:rFonts w:asciiTheme="minorHAnsi" w:eastAsiaTheme="minorEastAsia" w:hAnsiTheme="minorHAnsi" w:cstheme="minorBidi"/>
          <w:noProof/>
          <w:szCs w:val="22"/>
          <w:lang w:eastAsia="en-NZ"/>
        </w:rPr>
      </w:pPr>
      <w:hyperlink w:anchor="_Toc19179362" w:history="1">
        <w:r w:rsidR="0007242D" w:rsidRPr="00926107">
          <w:rPr>
            <w:rStyle w:val="Hyperlink"/>
            <w:noProof/>
          </w:rPr>
          <w:t>Purpose</w:t>
        </w:r>
        <w:r w:rsidR="0007242D">
          <w:rPr>
            <w:noProof/>
            <w:webHidden/>
          </w:rPr>
          <w:tab/>
        </w:r>
        <w:r w:rsidR="0007242D">
          <w:rPr>
            <w:noProof/>
            <w:webHidden/>
          </w:rPr>
          <w:fldChar w:fldCharType="begin"/>
        </w:r>
        <w:r w:rsidR="0007242D">
          <w:rPr>
            <w:noProof/>
            <w:webHidden/>
          </w:rPr>
          <w:instrText xml:space="preserve"> PAGEREF _Toc19179362 \h </w:instrText>
        </w:r>
        <w:r w:rsidR="0007242D">
          <w:rPr>
            <w:noProof/>
            <w:webHidden/>
          </w:rPr>
        </w:r>
        <w:r w:rsidR="0007242D">
          <w:rPr>
            <w:noProof/>
            <w:webHidden/>
          </w:rPr>
          <w:fldChar w:fldCharType="separate"/>
        </w:r>
        <w:r>
          <w:rPr>
            <w:noProof/>
            <w:webHidden/>
          </w:rPr>
          <w:t>4</w:t>
        </w:r>
        <w:r w:rsidR="0007242D">
          <w:rPr>
            <w:noProof/>
            <w:webHidden/>
          </w:rPr>
          <w:fldChar w:fldCharType="end"/>
        </w:r>
      </w:hyperlink>
    </w:p>
    <w:p w14:paraId="1A6D74D9" w14:textId="77777777" w:rsidR="0007242D" w:rsidRDefault="000B310E">
      <w:pPr>
        <w:pStyle w:val="TOC2"/>
        <w:rPr>
          <w:rFonts w:asciiTheme="minorHAnsi" w:eastAsiaTheme="minorEastAsia" w:hAnsiTheme="minorHAnsi" w:cstheme="minorBidi"/>
          <w:noProof/>
          <w:szCs w:val="22"/>
          <w:lang w:eastAsia="en-NZ"/>
        </w:rPr>
      </w:pPr>
      <w:hyperlink w:anchor="_Toc19179363" w:history="1">
        <w:r w:rsidR="0007242D" w:rsidRPr="00926107">
          <w:rPr>
            <w:rStyle w:val="Hyperlink"/>
            <w:noProof/>
          </w:rPr>
          <w:t>Background</w:t>
        </w:r>
        <w:r w:rsidR="0007242D">
          <w:rPr>
            <w:noProof/>
            <w:webHidden/>
          </w:rPr>
          <w:tab/>
        </w:r>
        <w:r w:rsidR="0007242D">
          <w:rPr>
            <w:noProof/>
            <w:webHidden/>
          </w:rPr>
          <w:fldChar w:fldCharType="begin"/>
        </w:r>
        <w:r w:rsidR="0007242D">
          <w:rPr>
            <w:noProof/>
            <w:webHidden/>
          </w:rPr>
          <w:instrText xml:space="preserve"> PAGEREF _Toc19179363 \h </w:instrText>
        </w:r>
        <w:r w:rsidR="0007242D">
          <w:rPr>
            <w:noProof/>
            <w:webHidden/>
          </w:rPr>
        </w:r>
        <w:r w:rsidR="0007242D">
          <w:rPr>
            <w:noProof/>
            <w:webHidden/>
          </w:rPr>
          <w:fldChar w:fldCharType="separate"/>
        </w:r>
        <w:r>
          <w:rPr>
            <w:noProof/>
            <w:webHidden/>
          </w:rPr>
          <w:t>4</w:t>
        </w:r>
        <w:r w:rsidR="0007242D">
          <w:rPr>
            <w:noProof/>
            <w:webHidden/>
          </w:rPr>
          <w:fldChar w:fldCharType="end"/>
        </w:r>
      </w:hyperlink>
    </w:p>
    <w:p w14:paraId="74286CA4" w14:textId="77777777" w:rsidR="0007242D" w:rsidRDefault="000B310E">
      <w:pPr>
        <w:pStyle w:val="TOC2"/>
        <w:rPr>
          <w:rFonts w:asciiTheme="minorHAnsi" w:eastAsiaTheme="minorEastAsia" w:hAnsiTheme="minorHAnsi" w:cstheme="minorBidi"/>
          <w:noProof/>
          <w:szCs w:val="22"/>
          <w:lang w:eastAsia="en-NZ"/>
        </w:rPr>
      </w:pPr>
      <w:hyperlink w:anchor="_Toc19179364" w:history="1">
        <w:r w:rsidR="0007242D" w:rsidRPr="00926107">
          <w:rPr>
            <w:rStyle w:val="Hyperlink"/>
            <w:noProof/>
          </w:rPr>
          <w:t>The scoping workshops</w:t>
        </w:r>
        <w:r w:rsidR="0007242D">
          <w:rPr>
            <w:noProof/>
            <w:webHidden/>
          </w:rPr>
          <w:tab/>
        </w:r>
        <w:r w:rsidR="0007242D">
          <w:rPr>
            <w:noProof/>
            <w:webHidden/>
          </w:rPr>
          <w:fldChar w:fldCharType="begin"/>
        </w:r>
        <w:r w:rsidR="0007242D">
          <w:rPr>
            <w:noProof/>
            <w:webHidden/>
          </w:rPr>
          <w:instrText xml:space="preserve"> PAGEREF _Toc19179364 \h </w:instrText>
        </w:r>
        <w:r w:rsidR="0007242D">
          <w:rPr>
            <w:noProof/>
            <w:webHidden/>
          </w:rPr>
        </w:r>
        <w:r w:rsidR="0007242D">
          <w:rPr>
            <w:noProof/>
            <w:webHidden/>
          </w:rPr>
          <w:fldChar w:fldCharType="separate"/>
        </w:r>
        <w:r>
          <w:rPr>
            <w:noProof/>
            <w:webHidden/>
          </w:rPr>
          <w:t>4</w:t>
        </w:r>
        <w:r w:rsidR="0007242D">
          <w:rPr>
            <w:noProof/>
            <w:webHidden/>
          </w:rPr>
          <w:fldChar w:fldCharType="end"/>
        </w:r>
      </w:hyperlink>
    </w:p>
    <w:p w14:paraId="4DDCB82D" w14:textId="77777777" w:rsidR="0007242D" w:rsidRDefault="000B310E">
      <w:pPr>
        <w:pStyle w:val="TOC2"/>
        <w:rPr>
          <w:rFonts w:asciiTheme="minorHAnsi" w:eastAsiaTheme="minorEastAsia" w:hAnsiTheme="minorHAnsi" w:cstheme="minorBidi"/>
          <w:noProof/>
          <w:szCs w:val="22"/>
          <w:lang w:eastAsia="en-NZ"/>
        </w:rPr>
      </w:pPr>
      <w:hyperlink w:anchor="_Toc19179365" w:history="1">
        <w:r w:rsidR="0007242D" w:rsidRPr="00926107">
          <w:rPr>
            <w:rStyle w:val="Hyperlink"/>
            <w:noProof/>
          </w:rPr>
          <w:t>Fertility Services Standard</w:t>
        </w:r>
        <w:r w:rsidR="0007242D">
          <w:rPr>
            <w:noProof/>
            <w:webHidden/>
          </w:rPr>
          <w:tab/>
        </w:r>
        <w:r w:rsidR="0007242D">
          <w:rPr>
            <w:noProof/>
            <w:webHidden/>
          </w:rPr>
          <w:fldChar w:fldCharType="begin"/>
        </w:r>
        <w:r w:rsidR="0007242D">
          <w:rPr>
            <w:noProof/>
            <w:webHidden/>
          </w:rPr>
          <w:instrText xml:space="preserve"> PAGEREF _Toc19179365 \h </w:instrText>
        </w:r>
        <w:r w:rsidR="0007242D">
          <w:rPr>
            <w:noProof/>
            <w:webHidden/>
          </w:rPr>
        </w:r>
        <w:r w:rsidR="0007242D">
          <w:rPr>
            <w:noProof/>
            <w:webHidden/>
          </w:rPr>
          <w:fldChar w:fldCharType="separate"/>
        </w:r>
        <w:r>
          <w:rPr>
            <w:noProof/>
            <w:webHidden/>
          </w:rPr>
          <w:t>5</w:t>
        </w:r>
        <w:r w:rsidR="0007242D">
          <w:rPr>
            <w:noProof/>
            <w:webHidden/>
          </w:rPr>
          <w:fldChar w:fldCharType="end"/>
        </w:r>
      </w:hyperlink>
    </w:p>
    <w:p w14:paraId="27928611" w14:textId="77777777" w:rsidR="0007242D" w:rsidRDefault="000B310E">
      <w:pPr>
        <w:pStyle w:val="TOC2"/>
        <w:rPr>
          <w:rFonts w:asciiTheme="minorHAnsi" w:eastAsiaTheme="minorEastAsia" w:hAnsiTheme="minorHAnsi" w:cstheme="minorBidi"/>
          <w:noProof/>
          <w:szCs w:val="22"/>
          <w:lang w:eastAsia="en-NZ"/>
        </w:rPr>
      </w:pPr>
      <w:hyperlink w:anchor="_Toc19179366" w:history="1">
        <w:r w:rsidR="0007242D" w:rsidRPr="00926107">
          <w:rPr>
            <w:rStyle w:val="Hyperlink"/>
            <w:noProof/>
          </w:rPr>
          <w:t>Health and Disability Services Standards</w:t>
        </w:r>
        <w:r w:rsidR="0007242D">
          <w:rPr>
            <w:noProof/>
            <w:webHidden/>
          </w:rPr>
          <w:tab/>
        </w:r>
        <w:r w:rsidR="0007242D">
          <w:rPr>
            <w:noProof/>
            <w:webHidden/>
          </w:rPr>
          <w:fldChar w:fldCharType="begin"/>
        </w:r>
        <w:r w:rsidR="0007242D">
          <w:rPr>
            <w:noProof/>
            <w:webHidden/>
          </w:rPr>
          <w:instrText xml:space="preserve"> PAGEREF _Toc19179366 \h </w:instrText>
        </w:r>
        <w:r w:rsidR="0007242D">
          <w:rPr>
            <w:noProof/>
            <w:webHidden/>
          </w:rPr>
        </w:r>
        <w:r w:rsidR="0007242D">
          <w:rPr>
            <w:noProof/>
            <w:webHidden/>
          </w:rPr>
          <w:fldChar w:fldCharType="separate"/>
        </w:r>
        <w:r>
          <w:rPr>
            <w:noProof/>
            <w:webHidden/>
          </w:rPr>
          <w:t>6</w:t>
        </w:r>
        <w:r w:rsidR="0007242D">
          <w:rPr>
            <w:noProof/>
            <w:webHidden/>
          </w:rPr>
          <w:fldChar w:fldCharType="end"/>
        </w:r>
      </w:hyperlink>
    </w:p>
    <w:p w14:paraId="7DBE3FDA" w14:textId="77777777" w:rsidR="0007242D" w:rsidRDefault="000B310E">
      <w:pPr>
        <w:pStyle w:val="TOC2"/>
        <w:rPr>
          <w:rFonts w:asciiTheme="minorHAnsi" w:eastAsiaTheme="minorEastAsia" w:hAnsiTheme="minorHAnsi" w:cstheme="minorBidi"/>
          <w:noProof/>
          <w:szCs w:val="22"/>
          <w:lang w:eastAsia="en-NZ"/>
        </w:rPr>
      </w:pPr>
      <w:hyperlink w:anchor="_Toc19179374" w:history="1">
        <w:r w:rsidR="0007242D" w:rsidRPr="00926107">
          <w:rPr>
            <w:rStyle w:val="Hyperlink"/>
            <w:noProof/>
          </w:rPr>
          <w:t>Home and Community Support Services Standard</w:t>
        </w:r>
        <w:r w:rsidR="0007242D">
          <w:rPr>
            <w:noProof/>
            <w:webHidden/>
          </w:rPr>
          <w:tab/>
        </w:r>
        <w:r w:rsidR="0007242D">
          <w:rPr>
            <w:noProof/>
            <w:webHidden/>
          </w:rPr>
          <w:fldChar w:fldCharType="begin"/>
        </w:r>
        <w:r w:rsidR="0007242D">
          <w:rPr>
            <w:noProof/>
            <w:webHidden/>
          </w:rPr>
          <w:instrText xml:space="preserve"> PAGEREF _Toc19179374 \h </w:instrText>
        </w:r>
        <w:r w:rsidR="0007242D">
          <w:rPr>
            <w:noProof/>
            <w:webHidden/>
          </w:rPr>
        </w:r>
        <w:r w:rsidR="0007242D">
          <w:rPr>
            <w:noProof/>
            <w:webHidden/>
          </w:rPr>
          <w:fldChar w:fldCharType="separate"/>
        </w:r>
        <w:r>
          <w:rPr>
            <w:noProof/>
            <w:webHidden/>
          </w:rPr>
          <w:t>9</w:t>
        </w:r>
        <w:r w:rsidR="0007242D">
          <w:rPr>
            <w:noProof/>
            <w:webHidden/>
          </w:rPr>
          <w:fldChar w:fldCharType="end"/>
        </w:r>
      </w:hyperlink>
    </w:p>
    <w:p w14:paraId="22D0C323" w14:textId="77777777" w:rsidR="0007242D" w:rsidRDefault="000B310E">
      <w:pPr>
        <w:pStyle w:val="TOC2"/>
        <w:rPr>
          <w:rFonts w:asciiTheme="minorHAnsi" w:eastAsiaTheme="minorEastAsia" w:hAnsiTheme="minorHAnsi" w:cstheme="minorBidi"/>
          <w:noProof/>
          <w:szCs w:val="22"/>
          <w:lang w:eastAsia="en-NZ"/>
        </w:rPr>
      </w:pPr>
      <w:hyperlink w:anchor="_Toc19179378" w:history="1">
        <w:r w:rsidR="0007242D" w:rsidRPr="00926107">
          <w:rPr>
            <w:rStyle w:val="Hyperlink"/>
            <w:noProof/>
          </w:rPr>
          <w:t>Appendix A: Scoping Workshops pertaining to Health and Disability Services Standards</w:t>
        </w:r>
        <w:r w:rsidR="0007242D">
          <w:rPr>
            <w:noProof/>
            <w:webHidden/>
          </w:rPr>
          <w:tab/>
        </w:r>
        <w:r w:rsidR="0007242D">
          <w:rPr>
            <w:noProof/>
            <w:webHidden/>
          </w:rPr>
          <w:fldChar w:fldCharType="begin"/>
        </w:r>
        <w:r w:rsidR="0007242D">
          <w:rPr>
            <w:noProof/>
            <w:webHidden/>
          </w:rPr>
          <w:instrText xml:space="preserve"> PAGEREF _Toc19179378 \h </w:instrText>
        </w:r>
        <w:r w:rsidR="0007242D">
          <w:rPr>
            <w:noProof/>
            <w:webHidden/>
          </w:rPr>
        </w:r>
        <w:r w:rsidR="0007242D">
          <w:rPr>
            <w:noProof/>
            <w:webHidden/>
          </w:rPr>
          <w:fldChar w:fldCharType="separate"/>
        </w:r>
        <w:r>
          <w:rPr>
            <w:noProof/>
            <w:webHidden/>
          </w:rPr>
          <w:t>11</w:t>
        </w:r>
        <w:r w:rsidR="0007242D">
          <w:rPr>
            <w:noProof/>
            <w:webHidden/>
          </w:rPr>
          <w:fldChar w:fldCharType="end"/>
        </w:r>
      </w:hyperlink>
    </w:p>
    <w:p w14:paraId="0EF79C5F" w14:textId="77777777" w:rsidR="0007242D" w:rsidRDefault="000B310E">
      <w:pPr>
        <w:pStyle w:val="TOC2"/>
        <w:rPr>
          <w:rFonts w:asciiTheme="minorHAnsi" w:eastAsiaTheme="minorEastAsia" w:hAnsiTheme="minorHAnsi" w:cstheme="minorBidi"/>
          <w:noProof/>
          <w:szCs w:val="22"/>
          <w:lang w:eastAsia="en-NZ"/>
        </w:rPr>
      </w:pPr>
      <w:hyperlink w:anchor="_Toc19179380" w:history="1">
        <w:r w:rsidR="0007242D" w:rsidRPr="00926107">
          <w:rPr>
            <w:rStyle w:val="Hyperlink"/>
            <w:noProof/>
          </w:rPr>
          <w:t>Appendix B: Draft Workshop Discussion Document (HCSS)</w:t>
        </w:r>
        <w:r w:rsidR="0007242D">
          <w:rPr>
            <w:noProof/>
            <w:webHidden/>
          </w:rPr>
          <w:tab/>
        </w:r>
        <w:r w:rsidR="0007242D">
          <w:rPr>
            <w:noProof/>
            <w:webHidden/>
          </w:rPr>
          <w:fldChar w:fldCharType="begin"/>
        </w:r>
        <w:r w:rsidR="0007242D">
          <w:rPr>
            <w:noProof/>
            <w:webHidden/>
          </w:rPr>
          <w:instrText xml:space="preserve"> PAGEREF _Toc19179380 \h </w:instrText>
        </w:r>
        <w:r w:rsidR="0007242D">
          <w:rPr>
            <w:noProof/>
            <w:webHidden/>
          </w:rPr>
        </w:r>
        <w:r w:rsidR="0007242D">
          <w:rPr>
            <w:noProof/>
            <w:webHidden/>
          </w:rPr>
          <w:fldChar w:fldCharType="separate"/>
        </w:r>
        <w:r>
          <w:rPr>
            <w:noProof/>
            <w:webHidden/>
          </w:rPr>
          <w:t>61</w:t>
        </w:r>
        <w:r w:rsidR="0007242D">
          <w:rPr>
            <w:noProof/>
            <w:webHidden/>
          </w:rPr>
          <w:fldChar w:fldCharType="end"/>
        </w:r>
      </w:hyperlink>
    </w:p>
    <w:p w14:paraId="1AAAD3A7" w14:textId="65DBEB60" w:rsidR="007650E2" w:rsidRPr="00EF435A" w:rsidRDefault="0007242D" w:rsidP="00EF435A">
      <w:pPr>
        <w:sectPr w:rsidR="007650E2" w:rsidRPr="00EF435A" w:rsidSect="000A4A67">
          <w:footerReference w:type="default" r:id="rId14"/>
          <w:pgSz w:w="11906" w:h="16838" w:code="9"/>
          <w:pgMar w:top="1418" w:right="1418" w:bottom="1134" w:left="1418" w:header="709" w:footer="709" w:gutter="0"/>
          <w:pgNumType w:start="1"/>
          <w:cols w:space="708"/>
          <w:docGrid w:linePitch="360"/>
        </w:sectPr>
      </w:pPr>
      <w:r>
        <w:rPr>
          <w:rFonts w:eastAsia="Times New Roman" w:cs="Times New Roman"/>
          <w:b/>
          <w:color w:val="000000" w:themeColor="text1"/>
          <w:sz w:val="22"/>
          <w:szCs w:val="20"/>
          <w:lang w:eastAsia="en-GB"/>
        </w:rPr>
        <w:fldChar w:fldCharType="end"/>
      </w:r>
    </w:p>
    <w:p w14:paraId="26865D53" w14:textId="77777777" w:rsidR="00B72B71" w:rsidRPr="00EF435A" w:rsidRDefault="00EF435A" w:rsidP="00EF435A">
      <w:pPr>
        <w:pStyle w:val="Heading2"/>
        <w:rPr>
          <w:rStyle w:val="IntenseReference"/>
          <w:b/>
          <w:bCs w:val="0"/>
          <w:smallCaps w:val="0"/>
          <w:color w:val="0A6AB4"/>
          <w:spacing w:val="0"/>
        </w:rPr>
      </w:pPr>
      <w:bookmarkStart w:id="0" w:name="_Toc19179361"/>
      <w:r w:rsidRPr="00EF435A">
        <w:rPr>
          <w:rStyle w:val="IntenseReference"/>
          <w:b/>
          <w:bCs w:val="0"/>
          <w:smallCaps w:val="0"/>
          <w:color w:val="0A6AB4"/>
          <w:spacing w:val="0"/>
        </w:rPr>
        <w:lastRenderedPageBreak/>
        <w:t>Executive Summary</w:t>
      </w:r>
      <w:bookmarkEnd w:id="0"/>
    </w:p>
    <w:p w14:paraId="0BB700B6" w14:textId="77777777" w:rsidR="00B72B71" w:rsidRDefault="00320D31" w:rsidP="00EF435A">
      <w:r w:rsidRPr="00320D31">
        <w:t>Seven</w:t>
      </w:r>
      <w:r>
        <w:t xml:space="preserve"> scoping workshops have now been held exploring the breadth of change required to th</w:t>
      </w:r>
      <w:r w:rsidR="00915737">
        <w:t>ree standards considered as part of this review.</w:t>
      </w:r>
      <w:r w:rsidRPr="00320D31">
        <w:t xml:space="preserve"> </w:t>
      </w:r>
      <w:r w:rsidR="00915737">
        <w:t>Common themes have emerged across the stakeholder groups:</w:t>
      </w:r>
    </w:p>
    <w:p w14:paraId="06A30B81" w14:textId="77777777" w:rsidR="00915737" w:rsidRDefault="00915737" w:rsidP="000A4A67">
      <w:pPr>
        <w:pStyle w:val="Bullet"/>
      </w:pPr>
      <w:r>
        <w:t xml:space="preserve">A modular approach is supported – with outcome based standards and service specific guidance </w:t>
      </w:r>
    </w:p>
    <w:p w14:paraId="37FD0EFC" w14:textId="77777777" w:rsidR="00915737" w:rsidRDefault="00915737" w:rsidP="000A4A67">
      <w:pPr>
        <w:pStyle w:val="Bullet"/>
      </w:pPr>
      <w:r>
        <w:t>Interest in a ‘health’ standard and a ‘disability’ standard</w:t>
      </w:r>
    </w:p>
    <w:p w14:paraId="02349917" w14:textId="77777777" w:rsidR="00915737" w:rsidRPr="00915737" w:rsidRDefault="00915737" w:rsidP="000A4A67">
      <w:pPr>
        <w:pStyle w:val="Bullet"/>
      </w:pPr>
      <w:r>
        <w:t>Reviewed standard</w:t>
      </w:r>
      <w:r w:rsidR="002B5F4C">
        <w:t>s</w:t>
      </w:r>
      <w:r>
        <w:t xml:space="preserve"> are to incorporate ‘aspirational’ aspects of service delivery </w:t>
      </w:r>
    </w:p>
    <w:p w14:paraId="36E1BC08" w14:textId="4A9CD524" w:rsidR="00915737" w:rsidRDefault="00915737" w:rsidP="000A4A67">
      <w:pPr>
        <w:pStyle w:val="Bullet"/>
      </w:pPr>
      <w:r>
        <w:t>The language of the standards should be strengths based and person centric, examples include: safeguarding, spirit of care</w:t>
      </w:r>
      <w:r w:rsidR="007A0C7E">
        <w:t>,</w:t>
      </w:r>
      <w:r>
        <w:t xml:space="preserve"> overarching principles instead of standards and signposts instead of guidance</w:t>
      </w:r>
    </w:p>
    <w:p w14:paraId="0CF74CFD" w14:textId="77777777" w:rsidR="00915737" w:rsidRDefault="00915737" w:rsidP="000A4A67">
      <w:pPr>
        <w:pStyle w:val="Bullet"/>
      </w:pPr>
      <w:r>
        <w:t>Preference for a codesign approach, particularly within the people’s rights aspects of the standards</w:t>
      </w:r>
    </w:p>
    <w:p w14:paraId="0651345F" w14:textId="77777777" w:rsidR="00915737" w:rsidRDefault="00915737" w:rsidP="000A4A67">
      <w:pPr>
        <w:pStyle w:val="Bullet"/>
      </w:pPr>
      <w:r>
        <w:t xml:space="preserve">An overarching standard pertaining to the rights of </w:t>
      </w:r>
      <w:r w:rsidR="00891D9F">
        <w:t>Māori</w:t>
      </w:r>
      <w:r>
        <w:t xml:space="preserve">, with </w:t>
      </w:r>
      <w:r w:rsidR="00891D9F">
        <w:t>Māori</w:t>
      </w:r>
      <w:r>
        <w:t xml:space="preserve"> health being woven throughout the standards, there is interest in specific guidance being developed for Kaupapa services</w:t>
      </w:r>
    </w:p>
    <w:p w14:paraId="7452C54C" w14:textId="77777777" w:rsidR="00915737" w:rsidRDefault="00915737" w:rsidP="000A4A67">
      <w:pPr>
        <w:pStyle w:val="Bullet"/>
      </w:pPr>
      <w:r>
        <w:t>Strengthening governance within the standards to incorporate:</w:t>
      </w:r>
    </w:p>
    <w:p w14:paraId="2667FBEF" w14:textId="77777777" w:rsidR="00915737" w:rsidRDefault="00915737" w:rsidP="00681608">
      <w:pPr>
        <w:pStyle w:val="ListParagraph"/>
        <w:numPr>
          <w:ilvl w:val="1"/>
          <w:numId w:val="6"/>
        </w:numPr>
        <w:spacing w:before="60" w:after="60"/>
        <w:ind w:left="1077" w:hanging="357"/>
        <w:contextualSpacing w:val="0"/>
      </w:pPr>
      <w:r>
        <w:t>Clinical governance</w:t>
      </w:r>
    </w:p>
    <w:p w14:paraId="7E38B518" w14:textId="77777777" w:rsidR="00915737" w:rsidRDefault="00915737" w:rsidP="00681608">
      <w:pPr>
        <w:pStyle w:val="ListParagraph"/>
        <w:numPr>
          <w:ilvl w:val="1"/>
          <w:numId w:val="6"/>
        </w:numPr>
        <w:spacing w:before="60" w:after="60"/>
        <w:ind w:left="1077" w:hanging="357"/>
        <w:contextualSpacing w:val="0"/>
      </w:pPr>
      <w:r>
        <w:t xml:space="preserve">Cultural diversity – including feedback loops from consumers and </w:t>
      </w:r>
      <w:r w:rsidR="00891D9F">
        <w:t>whānau</w:t>
      </w:r>
    </w:p>
    <w:p w14:paraId="60885F8A" w14:textId="77777777" w:rsidR="00915737" w:rsidRDefault="00915737" w:rsidP="00681608">
      <w:pPr>
        <w:pStyle w:val="ListParagraph"/>
        <w:numPr>
          <w:ilvl w:val="1"/>
          <w:numId w:val="6"/>
        </w:numPr>
        <w:spacing w:before="60" w:after="60"/>
        <w:ind w:left="1077" w:hanging="357"/>
        <w:contextualSpacing w:val="0"/>
      </w:pPr>
      <w:r>
        <w:t>Requirement that the consumers voice is heard at governance level</w:t>
      </w:r>
    </w:p>
    <w:p w14:paraId="6AC61ADB" w14:textId="77777777" w:rsidR="00915737" w:rsidRDefault="00915737" w:rsidP="000A4A67">
      <w:pPr>
        <w:pStyle w:val="Bullet"/>
      </w:pPr>
      <w:r>
        <w:t xml:space="preserve">Communication aspects of the standards to be ‘fleshed-out’, with participants looking to inclusion of health literacy </w:t>
      </w:r>
    </w:p>
    <w:p w14:paraId="4D0128B6" w14:textId="77777777" w:rsidR="00915737" w:rsidRDefault="00915737" w:rsidP="000A4A67">
      <w:pPr>
        <w:pStyle w:val="Bullet"/>
      </w:pPr>
      <w:r>
        <w:t>Quality improvement methodology is to be woven throughout the standards with evaluation being focused on outcomes</w:t>
      </w:r>
    </w:p>
    <w:p w14:paraId="4083B059" w14:textId="77777777" w:rsidR="00915737" w:rsidRDefault="00915737" w:rsidP="000A4A67">
      <w:pPr>
        <w:pStyle w:val="Bullet"/>
      </w:pPr>
      <w:r>
        <w:t>Health and safety aspects of the standards to be strengthened incorporating new legislation</w:t>
      </w:r>
    </w:p>
    <w:p w14:paraId="17112532" w14:textId="77777777" w:rsidR="00915737" w:rsidRDefault="00750C94" w:rsidP="000A4A67">
      <w:pPr>
        <w:pStyle w:val="Bullet"/>
      </w:pPr>
      <w:r>
        <w:t>Critical thinking to be a component of training for the workforce</w:t>
      </w:r>
    </w:p>
    <w:p w14:paraId="07CCA0FF" w14:textId="77777777" w:rsidR="00750C94" w:rsidRDefault="00750C94" w:rsidP="000A4A67">
      <w:pPr>
        <w:pStyle w:val="Bullet"/>
      </w:pPr>
      <w:r>
        <w:t>Medication management, informed consent and restraint minimisation and safe practice need close consideration with involvement from specialist personnel</w:t>
      </w:r>
    </w:p>
    <w:p w14:paraId="50490218" w14:textId="77777777" w:rsidR="00750C94" w:rsidRDefault="00750C94" w:rsidP="000A4A67">
      <w:pPr>
        <w:pStyle w:val="Bullet"/>
      </w:pPr>
      <w:r>
        <w:t>A requirement for the inclusion of technology systems</w:t>
      </w:r>
    </w:p>
    <w:p w14:paraId="1BE23A0C" w14:textId="77777777" w:rsidR="00750C94" w:rsidRDefault="00750C94" w:rsidP="000A4A67">
      <w:pPr>
        <w:pStyle w:val="Bullet"/>
      </w:pPr>
      <w:r>
        <w:t>Review of the Infection Prevention and Control standards be undertaken by specialist staff</w:t>
      </w:r>
    </w:p>
    <w:p w14:paraId="50D9A457" w14:textId="77777777" w:rsidR="00750C94" w:rsidRDefault="00750C94" w:rsidP="000A4A67">
      <w:pPr>
        <w:pStyle w:val="Bullet"/>
      </w:pPr>
      <w:r>
        <w:t>Widen regulation to include day stay services (ie. Outpatient services)</w:t>
      </w:r>
    </w:p>
    <w:bookmarkStart w:id="1" w:name="_GoBack"/>
    <w:p w14:paraId="48829078" w14:textId="0C6EAFE8" w:rsidR="00DE7235" w:rsidRDefault="00EB4BFA" w:rsidP="00EF435A">
      <w:pPr>
        <w:rPr>
          <w:rStyle w:val="IntenseReference"/>
        </w:rPr>
      </w:pPr>
      <w:r>
        <w:object w:dxaOrig="8712" w:dyaOrig="6720" w14:anchorId="2156A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 chart, or decision tree, which helps determine guidance about the overarching outcome statement/principle/spirit of care." style="width:446.4pt;height:345.6pt" o:ole="">
            <v:imagedata r:id="rId15" o:title=""/>
          </v:shape>
          <o:OLEObject Type="Embed" ProgID="Visio.Drawing.15" ShapeID="_x0000_i1025" DrawAspect="Content" ObjectID="_1629792639" r:id="rId16"/>
        </w:object>
      </w:r>
      <w:bookmarkEnd w:id="1"/>
    </w:p>
    <w:p w14:paraId="53ED36E4" w14:textId="77777777" w:rsidR="000A5B8F" w:rsidRDefault="000A5B8F" w:rsidP="00EF435A">
      <w:pPr>
        <w:rPr>
          <w:rStyle w:val="IntenseReference"/>
        </w:rPr>
        <w:sectPr w:rsidR="000A5B8F" w:rsidSect="00EF435A">
          <w:pgSz w:w="11906" w:h="16838" w:code="9"/>
          <w:pgMar w:top="1418" w:right="1418" w:bottom="1134" w:left="1418" w:header="709" w:footer="709" w:gutter="0"/>
          <w:cols w:space="708"/>
          <w:docGrid w:linePitch="360"/>
        </w:sectPr>
      </w:pPr>
    </w:p>
    <w:p w14:paraId="4E5FA6DD" w14:textId="77777777" w:rsidR="00EA2AD0" w:rsidRPr="000A4A67" w:rsidRDefault="00EA2AD0" w:rsidP="00954036">
      <w:pPr>
        <w:pStyle w:val="Heading2"/>
        <w:spacing w:before="0"/>
        <w:rPr>
          <w:rStyle w:val="IntenseReference"/>
          <w:b/>
          <w:bCs w:val="0"/>
          <w:smallCaps w:val="0"/>
          <w:color w:val="0A6AB4"/>
          <w:spacing w:val="0"/>
        </w:rPr>
      </w:pPr>
      <w:bookmarkStart w:id="2" w:name="_Toc19179362"/>
      <w:r w:rsidRPr="000A4A67">
        <w:rPr>
          <w:rStyle w:val="IntenseReference"/>
          <w:b/>
          <w:bCs w:val="0"/>
          <w:smallCaps w:val="0"/>
          <w:color w:val="0A6AB4"/>
          <w:spacing w:val="0"/>
        </w:rPr>
        <w:lastRenderedPageBreak/>
        <w:t>Purpose</w:t>
      </w:r>
      <w:bookmarkEnd w:id="2"/>
    </w:p>
    <w:p w14:paraId="4691448D" w14:textId="77777777" w:rsidR="00EA2AD0" w:rsidRDefault="00EA2AD0" w:rsidP="000A4A67">
      <w:pPr>
        <w:rPr>
          <w:rStyle w:val="IntenseReference"/>
        </w:rPr>
      </w:pPr>
      <w:r>
        <w:t xml:space="preserve">The purpose of this document is to provide a </w:t>
      </w:r>
      <w:r w:rsidR="00516AEF">
        <w:t xml:space="preserve">high level </w:t>
      </w:r>
      <w:r>
        <w:t>summary of the feedback received across the scoping workshops</w:t>
      </w:r>
      <w:r w:rsidR="00516AEF">
        <w:t>. The aim being</w:t>
      </w:r>
      <w:r w:rsidR="00C179F9">
        <w:t xml:space="preserve"> to inform </w:t>
      </w:r>
      <w:r>
        <w:t>the Operative Alliance in the formation of working groups</w:t>
      </w:r>
      <w:r w:rsidR="002B5F4C">
        <w:t>.</w:t>
      </w:r>
      <w:r w:rsidR="00C179F9">
        <w:rPr>
          <w:rStyle w:val="FootnoteReference"/>
          <w:sz w:val="22"/>
        </w:rPr>
        <w:footnoteReference w:id="1"/>
      </w:r>
    </w:p>
    <w:p w14:paraId="4DFFAE03" w14:textId="77777777" w:rsidR="00FE3097" w:rsidRPr="000A4A67" w:rsidRDefault="00FE3097" w:rsidP="00954036">
      <w:pPr>
        <w:pStyle w:val="Heading2"/>
        <w:rPr>
          <w:rStyle w:val="IntenseReference"/>
          <w:b/>
          <w:bCs w:val="0"/>
          <w:smallCaps w:val="0"/>
          <w:color w:val="0A6AB4"/>
          <w:spacing w:val="0"/>
        </w:rPr>
      </w:pPr>
      <w:bookmarkStart w:id="3" w:name="_Toc19179363"/>
      <w:r w:rsidRPr="000A4A67">
        <w:rPr>
          <w:rStyle w:val="IntenseReference"/>
          <w:b/>
          <w:bCs w:val="0"/>
          <w:smallCaps w:val="0"/>
          <w:color w:val="0A6AB4"/>
          <w:spacing w:val="0"/>
        </w:rPr>
        <w:t>Background</w:t>
      </w:r>
      <w:bookmarkEnd w:id="3"/>
    </w:p>
    <w:p w14:paraId="64C38C4B" w14:textId="77777777" w:rsidR="00B72B71" w:rsidRDefault="00FE3097" w:rsidP="000A4A67">
      <w:r w:rsidRPr="00913A2A">
        <w:t>The Health and Disability Services (Safety) Act 2001 (the Act) prescribes the requirement to review the relevant standards</w:t>
      </w:r>
      <w:r w:rsidRPr="00913A2A">
        <w:rPr>
          <w:rStyle w:val="FootnoteReference"/>
          <w:sz w:val="22"/>
        </w:rPr>
        <w:footnoteReference w:id="2"/>
      </w:r>
      <w:r w:rsidRPr="00913A2A">
        <w:t xml:space="preserve"> at least every four years. The initial review undertaken in 2017 showed the standards require amendment in order to meet contemporary health practice.</w:t>
      </w:r>
      <w:r w:rsidR="00F02AC5">
        <w:t xml:space="preserve"> </w:t>
      </w:r>
      <w:r w:rsidR="00B72B71">
        <w:t xml:space="preserve">At this time </w:t>
      </w:r>
      <w:r w:rsidR="00B72B71" w:rsidRPr="00F751E0">
        <w:t>the Home &amp; Community Health Association</w:t>
      </w:r>
      <w:r w:rsidR="00B72B71">
        <w:t xml:space="preserve"> registered interest in considering the Home and community support service standard as part of this review</w:t>
      </w:r>
      <w:r w:rsidR="00516AEF">
        <w:t>, which was agreed</w:t>
      </w:r>
      <w:r w:rsidR="00B72B71">
        <w:t xml:space="preserve">. </w:t>
      </w:r>
      <w:r w:rsidRPr="00913A2A">
        <w:t>A two-year work prog</w:t>
      </w:r>
      <w:r>
        <w:t>r</w:t>
      </w:r>
      <w:r w:rsidRPr="00913A2A">
        <w:t xml:space="preserve">amme is now well underway. </w:t>
      </w:r>
    </w:p>
    <w:p w14:paraId="3CEA05F8" w14:textId="77777777" w:rsidR="00FD227B" w:rsidRPr="000A4A67" w:rsidRDefault="00FD227B" w:rsidP="00954036">
      <w:pPr>
        <w:pStyle w:val="Heading2"/>
        <w:rPr>
          <w:rStyle w:val="IntenseReference"/>
          <w:b/>
          <w:bCs w:val="0"/>
          <w:smallCaps w:val="0"/>
          <w:color w:val="0A6AB4"/>
          <w:spacing w:val="0"/>
        </w:rPr>
      </w:pPr>
      <w:bookmarkStart w:id="4" w:name="_Toc19179364"/>
      <w:r w:rsidRPr="000A4A67">
        <w:rPr>
          <w:rStyle w:val="IntenseReference"/>
          <w:b/>
          <w:bCs w:val="0"/>
          <w:smallCaps w:val="0"/>
          <w:color w:val="0A6AB4"/>
          <w:spacing w:val="0"/>
        </w:rPr>
        <w:t>The scoping workshops</w:t>
      </w:r>
      <w:bookmarkEnd w:id="4"/>
    </w:p>
    <w:p w14:paraId="78F3C412" w14:textId="77777777" w:rsidR="001E1757" w:rsidRPr="000A4A67" w:rsidRDefault="00FD227B" w:rsidP="00954036">
      <w:r>
        <w:t>Seven s</w:t>
      </w:r>
      <w:r w:rsidR="00FE3097" w:rsidRPr="00913A2A">
        <w:t xml:space="preserve">coping workshops </w:t>
      </w:r>
      <w:r w:rsidR="00C179F9">
        <w:t>were</w:t>
      </w:r>
      <w:r w:rsidR="00FE4395">
        <w:t xml:space="preserve"> </w:t>
      </w:r>
      <w:r w:rsidR="00FE3097" w:rsidRPr="00913A2A">
        <w:t>held</w:t>
      </w:r>
      <w:r>
        <w:t xml:space="preserve"> between April and August 2019</w:t>
      </w:r>
      <w:r w:rsidR="00FE3097" w:rsidRPr="00913A2A">
        <w:t xml:space="preserve"> to </w:t>
      </w:r>
      <w:r>
        <w:t>consider</w:t>
      </w:r>
      <w:r w:rsidRPr="00913A2A">
        <w:t xml:space="preserve"> </w:t>
      </w:r>
      <w:r w:rsidR="00FE3097" w:rsidRPr="00913A2A">
        <w:t>the breadth of change required to the standards</w:t>
      </w:r>
      <w:r w:rsidR="00B72B71">
        <w:rPr>
          <w:rStyle w:val="FootnoteReference"/>
          <w:sz w:val="22"/>
        </w:rPr>
        <w:footnoteReference w:id="3"/>
      </w:r>
      <w:r w:rsidR="00FE3097" w:rsidRPr="00913A2A">
        <w:t xml:space="preserve">. </w:t>
      </w:r>
      <w:r w:rsidR="001E1757">
        <w:t xml:space="preserve">Following each scoping workshop participants were sent a </w:t>
      </w:r>
      <w:r w:rsidR="00C179F9">
        <w:t xml:space="preserve">summary of the resulting discussion </w:t>
      </w:r>
      <w:r w:rsidR="001E1757">
        <w:t xml:space="preserve">with feedback </w:t>
      </w:r>
      <w:r w:rsidR="00C179F9">
        <w:t>required in</w:t>
      </w:r>
      <w:r w:rsidR="001E1757">
        <w:t xml:space="preserve"> five working days. </w:t>
      </w:r>
      <w:r w:rsidR="00C179F9">
        <w:t>A</w:t>
      </w:r>
      <w:r w:rsidR="001E1757">
        <w:t xml:space="preserve"> </w:t>
      </w:r>
      <w:r w:rsidR="00C179F9" w:rsidRPr="00E420B2">
        <w:rPr>
          <w:i/>
        </w:rPr>
        <w:t>F</w:t>
      </w:r>
      <w:r w:rsidR="001E1757" w:rsidRPr="00E420B2">
        <w:rPr>
          <w:i/>
        </w:rPr>
        <w:t xml:space="preserve">inal </w:t>
      </w:r>
      <w:r w:rsidR="00516AEF">
        <w:rPr>
          <w:i/>
        </w:rPr>
        <w:t>Scoping</w:t>
      </w:r>
      <w:r w:rsidR="00C179F9" w:rsidRPr="00E420B2">
        <w:rPr>
          <w:i/>
        </w:rPr>
        <w:t xml:space="preserve"> R</w:t>
      </w:r>
      <w:r w:rsidR="001E1757" w:rsidRPr="00E420B2">
        <w:rPr>
          <w:i/>
        </w:rPr>
        <w:t>eport</w:t>
      </w:r>
      <w:r w:rsidR="001E1757">
        <w:t xml:space="preserve"> was </w:t>
      </w:r>
      <w:r w:rsidR="00C179F9">
        <w:t xml:space="preserve">then </w:t>
      </w:r>
      <w:r w:rsidR="001E1757">
        <w:t xml:space="preserve">prepared for the Operative Alliance. </w:t>
      </w:r>
      <w:r w:rsidR="000A4A67" w:rsidRPr="000A4A67">
        <w:fldChar w:fldCharType="begin"/>
      </w:r>
      <w:r w:rsidR="000A4A67" w:rsidRPr="000A4A67">
        <w:instrText xml:space="preserve"> REF _Ref19012955 \h </w:instrText>
      </w:r>
      <w:r w:rsidR="000A4A67">
        <w:instrText xml:space="preserve"> \* MERGEFORMAT </w:instrText>
      </w:r>
      <w:r w:rsidR="000A4A67" w:rsidRPr="000A4A67">
        <w:fldChar w:fldCharType="separate"/>
      </w:r>
      <w:r w:rsidR="000B310E" w:rsidRPr="000A4A67">
        <w:t xml:space="preserve">Table </w:t>
      </w:r>
      <w:r w:rsidR="000B310E">
        <w:t>1</w:t>
      </w:r>
      <w:r w:rsidR="000A4A67" w:rsidRPr="000A4A67">
        <w:fldChar w:fldCharType="end"/>
      </w:r>
      <w:r w:rsidR="001E1757" w:rsidRPr="000A4A67">
        <w:t xml:space="preserve"> shows the scoping workshops held.</w:t>
      </w:r>
    </w:p>
    <w:p w14:paraId="3AB5E398" w14:textId="77777777" w:rsidR="00AA7BE9" w:rsidRPr="000A4A67" w:rsidRDefault="000A4A67" w:rsidP="00954036">
      <w:pPr>
        <w:pStyle w:val="Caption"/>
        <w:spacing w:after="120"/>
      </w:pPr>
      <w:bookmarkStart w:id="5" w:name="_Ref19012955"/>
      <w:r w:rsidRPr="000A4A67">
        <w:t xml:space="preserve">Table </w:t>
      </w:r>
      <w:fldSimple w:instr=" SEQ Table \* ARABIC ">
        <w:r w:rsidR="000B310E">
          <w:rPr>
            <w:noProof/>
          </w:rPr>
          <w:t>1</w:t>
        </w:r>
      </w:fldSimple>
      <w:bookmarkEnd w:id="5"/>
      <w:r w:rsidRPr="000A4A67">
        <w:t xml:space="preserve">: </w:t>
      </w:r>
      <w:r w:rsidR="00AA7BE9" w:rsidRPr="000A4A67">
        <w:t>Scoping workshops</w:t>
      </w:r>
    </w:p>
    <w:tbl>
      <w:tblPr>
        <w:tblStyle w:val="TableGrid"/>
        <w:tblW w:w="89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857"/>
      </w:tblGrid>
      <w:tr w:rsidR="003D35EF" w:rsidRPr="001E1757" w14:paraId="125A6EB0" w14:textId="77777777" w:rsidTr="000A4A67">
        <w:tc>
          <w:tcPr>
            <w:tcW w:w="7088" w:type="dxa"/>
            <w:shd w:val="clear" w:color="auto" w:fill="F2F2F2" w:themeFill="background1" w:themeFillShade="F2"/>
          </w:tcPr>
          <w:p w14:paraId="6EE91E33" w14:textId="77777777" w:rsidR="003D35EF" w:rsidRPr="00954036" w:rsidRDefault="003D35EF" w:rsidP="00954036">
            <w:pPr>
              <w:spacing w:before="80" w:after="80"/>
              <w:rPr>
                <w:b/>
              </w:rPr>
            </w:pPr>
          </w:p>
        </w:tc>
        <w:tc>
          <w:tcPr>
            <w:tcW w:w="1857" w:type="dxa"/>
            <w:shd w:val="clear" w:color="auto" w:fill="F2F2F2" w:themeFill="background1" w:themeFillShade="F2"/>
          </w:tcPr>
          <w:p w14:paraId="00387E85" w14:textId="77777777" w:rsidR="003D35EF" w:rsidRPr="00954036" w:rsidRDefault="003D35EF" w:rsidP="00954036">
            <w:pPr>
              <w:pStyle w:val="TableText"/>
              <w:spacing w:before="80" w:after="80"/>
              <w:rPr>
                <w:b/>
              </w:rPr>
            </w:pPr>
            <w:r w:rsidRPr="00954036">
              <w:rPr>
                <w:b/>
              </w:rPr>
              <w:t>Workshop Date</w:t>
            </w:r>
          </w:p>
        </w:tc>
      </w:tr>
      <w:tr w:rsidR="003D35EF" w:rsidRPr="001E1757" w14:paraId="14ECDC71" w14:textId="77777777" w:rsidTr="000A4A67">
        <w:tc>
          <w:tcPr>
            <w:tcW w:w="7088" w:type="dxa"/>
            <w:tcBorders>
              <w:bottom w:val="single" w:sz="4" w:space="0" w:color="808080" w:themeColor="background1" w:themeShade="80"/>
            </w:tcBorders>
          </w:tcPr>
          <w:p w14:paraId="32551C86" w14:textId="77777777" w:rsidR="003D35EF" w:rsidRPr="001E1757" w:rsidRDefault="003D35EF" w:rsidP="00954036">
            <w:pPr>
              <w:spacing w:before="80" w:after="80"/>
            </w:pPr>
            <w:r w:rsidRPr="001E1757">
              <w:t>Fertility services</w:t>
            </w:r>
          </w:p>
        </w:tc>
        <w:tc>
          <w:tcPr>
            <w:tcW w:w="1857" w:type="dxa"/>
            <w:tcBorders>
              <w:bottom w:val="single" w:sz="4" w:space="0" w:color="808080" w:themeColor="background1" w:themeShade="80"/>
            </w:tcBorders>
          </w:tcPr>
          <w:p w14:paraId="06340693" w14:textId="77777777" w:rsidR="003D35EF" w:rsidRPr="001E1757" w:rsidRDefault="003D35EF" w:rsidP="00954036">
            <w:pPr>
              <w:pStyle w:val="TableText"/>
              <w:spacing w:before="80" w:after="80"/>
            </w:pPr>
            <w:r w:rsidRPr="001E1757">
              <w:t>15 April 2019</w:t>
            </w:r>
          </w:p>
        </w:tc>
      </w:tr>
      <w:tr w:rsidR="003D35EF" w:rsidRPr="001E1757" w14:paraId="2EB48E56" w14:textId="77777777" w:rsidTr="000A4A67">
        <w:tc>
          <w:tcPr>
            <w:tcW w:w="7088" w:type="dxa"/>
            <w:tcBorders>
              <w:top w:val="single" w:sz="4" w:space="0" w:color="808080" w:themeColor="background1" w:themeShade="80"/>
              <w:bottom w:val="single" w:sz="4" w:space="0" w:color="808080" w:themeColor="background1" w:themeShade="80"/>
            </w:tcBorders>
          </w:tcPr>
          <w:p w14:paraId="5DD1A6E0" w14:textId="77777777" w:rsidR="003D35EF" w:rsidRPr="001E1757" w:rsidRDefault="003D35EF" w:rsidP="00954036">
            <w:pPr>
              <w:spacing w:before="80" w:after="80"/>
            </w:pPr>
            <w:r w:rsidRPr="001E1757">
              <w:t>District Health Board inpatient hospitals, Private Surgical Hospitals, Birthing Units, Hospices</w:t>
            </w:r>
            <w:r>
              <w:rPr>
                <w:rStyle w:val="FootnoteReference"/>
                <w:sz w:val="18"/>
                <w:szCs w:val="18"/>
              </w:rPr>
              <w:footnoteReference w:id="4"/>
            </w:r>
          </w:p>
        </w:tc>
        <w:tc>
          <w:tcPr>
            <w:tcW w:w="1857" w:type="dxa"/>
            <w:tcBorders>
              <w:top w:val="single" w:sz="4" w:space="0" w:color="808080" w:themeColor="background1" w:themeShade="80"/>
              <w:bottom w:val="single" w:sz="4" w:space="0" w:color="808080" w:themeColor="background1" w:themeShade="80"/>
            </w:tcBorders>
          </w:tcPr>
          <w:p w14:paraId="4EFBD8AF" w14:textId="77777777" w:rsidR="003D35EF" w:rsidRPr="001E1757" w:rsidRDefault="003D35EF" w:rsidP="00954036">
            <w:pPr>
              <w:pStyle w:val="TableText"/>
              <w:spacing w:before="80" w:after="80"/>
            </w:pPr>
            <w:r w:rsidRPr="001E1757">
              <w:t>20 May 2019</w:t>
            </w:r>
          </w:p>
        </w:tc>
      </w:tr>
      <w:tr w:rsidR="003D35EF" w:rsidRPr="001E1757" w14:paraId="2D9CFC94" w14:textId="77777777" w:rsidTr="000A4A67">
        <w:tc>
          <w:tcPr>
            <w:tcW w:w="7088" w:type="dxa"/>
            <w:tcBorders>
              <w:top w:val="single" w:sz="4" w:space="0" w:color="808080" w:themeColor="background1" w:themeShade="80"/>
              <w:bottom w:val="single" w:sz="4" w:space="0" w:color="808080" w:themeColor="background1" w:themeShade="80"/>
            </w:tcBorders>
          </w:tcPr>
          <w:p w14:paraId="5FC54E22" w14:textId="77777777" w:rsidR="003D35EF" w:rsidRPr="001E1757" w:rsidRDefault="003D35EF" w:rsidP="00954036">
            <w:pPr>
              <w:spacing w:before="80" w:after="80"/>
            </w:pPr>
            <w:r w:rsidRPr="001E1757">
              <w:t xml:space="preserve">Residential mental health and alcohol and addiction services </w:t>
            </w:r>
            <w:r>
              <w:t>(MHA)</w:t>
            </w:r>
          </w:p>
        </w:tc>
        <w:tc>
          <w:tcPr>
            <w:tcW w:w="1857" w:type="dxa"/>
            <w:tcBorders>
              <w:top w:val="single" w:sz="4" w:space="0" w:color="808080" w:themeColor="background1" w:themeShade="80"/>
              <w:bottom w:val="single" w:sz="4" w:space="0" w:color="808080" w:themeColor="background1" w:themeShade="80"/>
            </w:tcBorders>
          </w:tcPr>
          <w:p w14:paraId="2F5366D6" w14:textId="77777777" w:rsidR="003D35EF" w:rsidRPr="001E1757" w:rsidRDefault="003D35EF" w:rsidP="00954036">
            <w:pPr>
              <w:pStyle w:val="TableText"/>
              <w:spacing w:before="80" w:after="80"/>
            </w:pPr>
            <w:r w:rsidRPr="001E1757">
              <w:t>31 May 2019</w:t>
            </w:r>
          </w:p>
        </w:tc>
      </w:tr>
      <w:tr w:rsidR="003D35EF" w:rsidRPr="001E1757" w14:paraId="12F60BB3" w14:textId="77777777" w:rsidTr="000A4A67">
        <w:tc>
          <w:tcPr>
            <w:tcW w:w="7088" w:type="dxa"/>
            <w:tcBorders>
              <w:top w:val="single" w:sz="4" w:space="0" w:color="808080" w:themeColor="background1" w:themeShade="80"/>
              <w:bottom w:val="single" w:sz="4" w:space="0" w:color="808080" w:themeColor="background1" w:themeShade="80"/>
            </w:tcBorders>
          </w:tcPr>
          <w:p w14:paraId="7A9295A0" w14:textId="77777777" w:rsidR="003D35EF" w:rsidRPr="001E1757" w:rsidRDefault="003D35EF" w:rsidP="00954036">
            <w:pPr>
              <w:spacing w:before="80" w:after="80"/>
            </w:pPr>
            <w:r w:rsidRPr="001E1757">
              <w:t xml:space="preserve">Aged residential care </w:t>
            </w:r>
          </w:p>
        </w:tc>
        <w:tc>
          <w:tcPr>
            <w:tcW w:w="1857" w:type="dxa"/>
            <w:tcBorders>
              <w:top w:val="single" w:sz="4" w:space="0" w:color="808080" w:themeColor="background1" w:themeShade="80"/>
              <w:bottom w:val="single" w:sz="4" w:space="0" w:color="808080" w:themeColor="background1" w:themeShade="80"/>
            </w:tcBorders>
          </w:tcPr>
          <w:p w14:paraId="64830F7D" w14:textId="77777777" w:rsidR="003D35EF" w:rsidRPr="001E1757" w:rsidRDefault="003D35EF" w:rsidP="00954036">
            <w:pPr>
              <w:spacing w:before="80" w:after="80"/>
            </w:pPr>
            <w:r w:rsidRPr="001E1757">
              <w:t>31 July 2019</w:t>
            </w:r>
          </w:p>
        </w:tc>
      </w:tr>
      <w:tr w:rsidR="003D35EF" w:rsidRPr="001E1757" w14:paraId="4FE3CE2D" w14:textId="77777777" w:rsidTr="000A4A67">
        <w:tc>
          <w:tcPr>
            <w:tcW w:w="7088" w:type="dxa"/>
            <w:tcBorders>
              <w:top w:val="single" w:sz="4" w:space="0" w:color="808080" w:themeColor="background1" w:themeShade="80"/>
              <w:bottom w:val="single" w:sz="4" w:space="0" w:color="808080" w:themeColor="background1" w:themeShade="80"/>
            </w:tcBorders>
          </w:tcPr>
          <w:p w14:paraId="042B8AFA" w14:textId="77777777" w:rsidR="003D35EF" w:rsidRPr="001E1757" w:rsidRDefault="003D35EF" w:rsidP="00954036">
            <w:pPr>
              <w:spacing w:before="80" w:after="80"/>
            </w:pPr>
            <w:r w:rsidRPr="001E1757">
              <w:t xml:space="preserve">Residential Disability </w:t>
            </w:r>
          </w:p>
        </w:tc>
        <w:tc>
          <w:tcPr>
            <w:tcW w:w="1857" w:type="dxa"/>
            <w:tcBorders>
              <w:top w:val="single" w:sz="4" w:space="0" w:color="808080" w:themeColor="background1" w:themeShade="80"/>
              <w:bottom w:val="single" w:sz="4" w:space="0" w:color="808080" w:themeColor="background1" w:themeShade="80"/>
            </w:tcBorders>
          </w:tcPr>
          <w:p w14:paraId="157F4E19" w14:textId="77777777" w:rsidR="003D35EF" w:rsidRPr="001E1757" w:rsidRDefault="003D35EF" w:rsidP="00954036">
            <w:pPr>
              <w:spacing w:before="80" w:after="80"/>
            </w:pPr>
            <w:r w:rsidRPr="001E1757">
              <w:t>6 August 2019</w:t>
            </w:r>
          </w:p>
        </w:tc>
      </w:tr>
      <w:tr w:rsidR="003D35EF" w:rsidRPr="001E1757" w14:paraId="53885D9A" w14:textId="77777777" w:rsidTr="000A4A67">
        <w:tc>
          <w:tcPr>
            <w:tcW w:w="7088" w:type="dxa"/>
            <w:tcBorders>
              <w:top w:val="single" w:sz="4" w:space="0" w:color="808080" w:themeColor="background1" w:themeShade="80"/>
              <w:bottom w:val="single" w:sz="4" w:space="0" w:color="808080" w:themeColor="background1" w:themeShade="80"/>
            </w:tcBorders>
          </w:tcPr>
          <w:p w14:paraId="71697DEB" w14:textId="77777777" w:rsidR="003D35EF" w:rsidRPr="001E1757" w:rsidRDefault="003D35EF" w:rsidP="00954036">
            <w:pPr>
              <w:spacing w:before="80" w:after="80"/>
            </w:pPr>
            <w:r w:rsidRPr="001E1757">
              <w:t>Aged residential care</w:t>
            </w:r>
          </w:p>
        </w:tc>
        <w:tc>
          <w:tcPr>
            <w:tcW w:w="1857" w:type="dxa"/>
            <w:tcBorders>
              <w:top w:val="single" w:sz="4" w:space="0" w:color="808080" w:themeColor="background1" w:themeShade="80"/>
              <w:bottom w:val="single" w:sz="4" w:space="0" w:color="808080" w:themeColor="background1" w:themeShade="80"/>
            </w:tcBorders>
          </w:tcPr>
          <w:p w14:paraId="77109DF3" w14:textId="77777777" w:rsidR="003D35EF" w:rsidRPr="001E1757" w:rsidRDefault="003D35EF" w:rsidP="00954036">
            <w:pPr>
              <w:spacing w:before="80" w:after="80"/>
            </w:pPr>
            <w:r w:rsidRPr="001E1757">
              <w:t>9 August 2019</w:t>
            </w:r>
          </w:p>
        </w:tc>
      </w:tr>
      <w:tr w:rsidR="003D35EF" w:rsidRPr="001E1757" w14:paraId="2FAB83B0" w14:textId="77777777" w:rsidTr="000A4A67">
        <w:tc>
          <w:tcPr>
            <w:tcW w:w="7088" w:type="dxa"/>
            <w:tcBorders>
              <w:top w:val="single" w:sz="4" w:space="0" w:color="808080" w:themeColor="background1" w:themeShade="80"/>
              <w:bottom w:val="single" w:sz="4" w:space="0" w:color="808080" w:themeColor="background1" w:themeShade="80"/>
            </w:tcBorders>
          </w:tcPr>
          <w:p w14:paraId="317BAD32" w14:textId="77777777" w:rsidR="003D35EF" w:rsidRPr="001E1757" w:rsidRDefault="003D35EF" w:rsidP="00954036">
            <w:pPr>
              <w:spacing w:before="80" w:after="80"/>
            </w:pPr>
            <w:r w:rsidRPr="001E1757">
              <w:t>Home and community support sector</w:t>
            </w:r>
          </w:p>
        </w:tc>
        <w:tc>
          <w:tcPr>
            <w:tcW w:w="1857" w:type="dxa"/>
            <w:tcBorders>
              <w:top w:val="single" w:sz="4" w:space="0" w:color="808080" w:themeColor="background1" w:themeShade="80"/>
              <w:bottom w:val="single" w:sz="4" w:space="0" w:color="808080" w:themeColor="background1" w:themeShade="80"/>
            </w:tcBorders>
          </w:tcPr>
          <w:p w14:paraId="70B01F3E" w14:textId="77777777" w:rsidR="003D35EF" w:rsidRPr="001E1757" w:rsidRDefault="003D35EF" w:rsidP="00954036">
            <w:pPr>
              <w:spacing w:before="80" w:after="80"/>
            </w:pPr>
            <w:r w:rsidRPr="001E1757">
              <w:t>12 August 2019</w:t>
            </w:r>
          </w:p>
        </w:tc>
      </w:tr>
    </w:tbl>
    <w:p w14:paraId="61E7BBA5" w14:textId="77777777" w:rsidR="00861930" w:rsidRPr="00AA7BE9" w:rsidRDefault="00BC4E62" w:rsidP="00EF435A">
      <w:r>
        <w:t xml:space="preserve">A summary against each of the standards is provided in the following. </w:t>
      </w:r>
    </w:p>
    <w:p w14:paraId="12169870" w14:textId="77777777" w:rsidR="007B583A" w:rsidRPr="000A4A67" w:rsidRDefault="00BC4E62" w:rsidP="000A4A67">
      <w:pPr>
        <w:pStyle w:val="Heading2"/>
        <w:rPr>
          <w:rStyle w:val="IntenseReference"/>
          <w:b/>
          <w:bCs w:val="0"/>
          <w:smallCaps w:val="0"/>
          <w:color w:val="0A6AB4"/>
          <w:spacing w:val="0"/>
        </w:rPr>
      </w:pPr>
      <w:bookmarkStart w:id="6" w:name="_Toc19179365"/>
      <w:r w:rsidRPr="000A4A67">
        <w:rPr>
          <w:rStyle w:val="IntenseReference"/>
          <w:b/>
          <w:bCs w:val="0"/>
          <w:smallCaps w:val="0"/>
          <w:color w:val="0A6AB4"/>
          <w:spacing w:val="0"/>
        </w:rPr>
        <w:lastRenderedPageBreak/>
        <w:t>Fertility Services Standard</w:t>
      </w:r>
      <w:bookmarkEnd w:id="6"/>
      <w:r w:rsidRPr="000A4A67">
        <w:rPr>
          <w:rStyle w:val="IntenseReference"/>
          <w:b/>
          <w:bCs w:val="0"/>
          <w:smallCaps w:val="0"/>
          <w:color w:val="0A6AB4"/>
          <w:spacing w:val="0"/>
        </w:rPr>
        <w:t xml:space="preserve"> </w:t>
      </w:r>
    </w:p>
    <w:p w14:paraId="07E2BEF5" w14:textId="77777777" w:rsidR="007B583A" w:rsidRDefault="007B583A" w:rsidP="00EF435A">
      <w:r w:rsidRPr="007B583A">
        <w:t>The fertility services scoping workshop was held 15 April (2019)</w:t>
      </w:r>
      <w:r>
        <w:t xml:space="preserve"> </w:t>
      </w:r>
      <w:r w:rsidR="00BC4E62">
        <w:t>with feedback being</w:t>
      </w:r>
      <w:r>
        <w:t xml:space="preserve"> focus</w:t>
      </w:r>
      <w:r w:rsidR="00BC4E62">
        <w:t>ed</w:t>
      </w:r>
      <w:r>
        <w:t xml:space="preserve"> on </w:t>
      </w:r>
      <w:r w:rsidR="00007952">
        <w:t>three</w:t>
      </w:r>
      <w:r>
        <w:t xml:space="preserve"> </w:t>
      </w:r>
      <w:r w:rsidR="00BC4E62">
        <w:t xml:space="preserve">aspects </w:t>
      </w:r>
      <w:r w:rsidR="00237DF8">
        <w:t>summaris</w:t>
      </w:r>
      <w:r w:rsidR="00BC4E62">
        <w:t>ed below</w:t>
      </w:r>
      <w:r w:rsidR="00B54702">
        <w:t xml:space="preserve">. </w:t>
      </w:r>
    </w:p>
    <w:p w14:paraId="20C46E4F" w14:textId="77777777" w:rsidR="00FD2131" w:rsidRPr="00FD2131" w:rsidRDefault="00FD2131" w:rsidP="00EF435A">
      <w:pPr>
        <w:pStyle w:val="ListParagraph"/>
        <w:numPr>
          <w:ilvl w:val="0"/>
          <w:numId w:val="1"/>
        </w:numPr>
      </w:pPr>
      <w:r>
        <w:t>Amend</w:t>
      </w:r>
      <w:r w:rsidR="00A60673">
        <w:t>ment</w:t>
      </w:r>
    </w:p>
    <w:p w14:paraId="2AC8941C" w14:textId="77777777" w:rsidR="00CC275D" w:rsidRDefault="00CC275D" w:rsidP="000A4A67">
      <w:pPr>
        <w:ind w:left="360"/>
        <w:rPr>
          <w:rFonts w:cs="Arial"/>
          <w:i/>
        </w:rPr>
      </w:pPr>
      <w:r>
        <w:t xml:space="preserve">The current standard has not been reviewed since implementation, and workshop participants were unanimous that amendment is required to </w:t>
      </w:r>
      <w:r w:rsidRPr="00F509D6">
        <w:rPr>
          <w:rFonts w:cs="Arial"/>
          <w:i/>
        </w:rPr>
        <w:t xml:space="preserve">reflect the changing dynamic of family structures, </w:t>
      </w:r>
      <w:r>
        <w:rPr>
          <w:rFonts w:cs="Arial"/>
          <w:i/>
        </w:rPr>
        <w:t xml:space="preserve">… </w:t>
      </w:r>
      <w:r w:rsidRPr="00F509D6">
        <w:rPr>
          <w:rFonts w:cs="Arial"/>
          <w:i/>
        </w:rPr>
        <w:t>surrogacy and cross-border reproduction</w:t>
      </w:r>
      <w:r>
        <w:rPr>
          <w:rFonts w:cs="Arial"/>
          <w:i/>
        </w:rPr>
        <w:t>.</w:t>
      </w:r>
    </w:p>
    <w:p w14:paraId="6BE6AD9E" w14:textId="77777777" w:rsidR="00FD2131" w:rsidRDefault="00FD2131" w:rsidP="00EF435A">
      <w:pPr>
        <w:pStyle w:val="ListParagraph"/>
        <w:numPr>
          <w:ilvl w:val="0"/>
          <w:numId w:val="1"/>
        </w:numPr>
      </w:pPr>
      <w:r>
        <w:t xml:space="preserve">Reproductive Technology Accreditation Committee Code of Practice (the Code) </w:t>
      </w:r>
    </w:p>
    <w:p w14:paraId="0B9F7020" w14:textId="77777777" w:rsidR="00237DF8" w:rsidRDefault="00DF6014" w:rsidP="000A4A67">
      <w:pPr>
        <w:ind w:left="360"/>
      </w:pPr>
      <w:r>
        <w:t>W</w:t>
      </w:r>
      <w:r w:rsidR="00E80E85">
        <w:t>orkshop p</w:t>
      </w:r>
      <w:r w:rsidR="007B583A">
        <w:t xml:space="preserve">articipants </w:t>
      </w:r>
      <w:r w:rsidR="00237DF8">
        <w:t>discussed</w:t>
      </w:r>
      <w:r w:rsidR="007B583A">
        <w:t xml:space="preserve"> the duplication between </w:t>
      </w:r>
      <w:r w:rsidR="00E80E85">
        <w:t xml:space="preserve">the Code </w:t>
      </w:r>
      <w:r w:rsidR="007B583A">
        <w:t>and the F</w:t>
      </w:r>
      <w:r w:rsidR="00237DF8">
        <w:t>ertility services Standard</w:t>
      </w:r>
      <w:r w:rsidR="007B583A">
        <w:t>, but also acknowledged the specific</w:t>
      </w:r>
      <w:r w:rsidR="00E80E85">
        <w:t xml:space="preserve">ities </w:t>
      </w:r>
      <w:r w:rsidR="007B583A">
        <w:t>of the New Zealand context</w:t>
      </w:r>
      <w:r w:rsidR="00A60673">
        <w:t xml:space="preserve"> – </w:t>
      </w:r>
      <w:r w:rsidR="007B583A">
        <w:t>particular</w:t>
      </w:r>
      <w:r w:rsidR="00A60673">
        <w:t xml:space="preserve">ly </w:t>
      </w:r>
      <w:r w:rsidR="007B583A">
        <w:t xml:space="preserve">responsibility to </w:t>
      </w:r>
      <w:r w:rsidR="00891D9F">
        <w:t>Māori</w:t>
      </w:r>
      <w:r w:rsidR="00007952">
        <w:t>,</w:t>
      </w:r>
      <w:r w:rsidR="007B583A">
        <w:t xml:space="preserve"> and the Health and Disability Commissioner’s Office Code of </w:t>
      </w:r>
      <w:r w:rsidR="00007952">
        <w:t xml:space="preserve">Consumer </w:t>
      </w:r>
      <w:r w:rsidR="007B583A">
        <w:t>Rights</w:t>
      </w:r>
      <w:r w:rsidR="00007952">
        <w:t>, noting n</w:t>
      </w:r>
      <w:r w:rsidR="007B583A">
        <w:t xml:space="preserve">either are a component of </w:t>
      </w:r>
      <w:r w:rsidR="00007952">
        <w:t>the Code</w:t>
      </w:r>
      <w:r w:rsidR="007B583A">
        <w:t>.</w:t>
      </w:r>
      <w:r w:rsidR="00E80E85">
        <w:t xml:space="preserve"> </w:t>
      </w:r>
    </w:p>
    <w:p w14:paraId="7E9D3A7D" w14:textId="77777777" w:rsidR="00007952" w:rsidRDefault="00237DF8" w:rsidP="000A4A67">
      <w:pPr>
        <w:ind w:left="360"/>
      </w:pPr>
      <w:r>
        <w:t>T</w:t>
      </w:r>
      <w:r w:rsidR="00E80E85">
        <w:t xml:space="preserve">here </w:t>
      </w:r>
      <w:r>
        <w:t>was</w:t>
      </w:r>
      <w:r w:rsidR="00B82B54">
        <w:t xml:space="preserve"> general </w:t>
      </w:r>
      <w:r>
        <w:t>interest in using</w:t>
      </w:r>
      <w:r w:rsidR="00007952">
        <w:t xml:space="preserve"> </w:t>
      </w:r>
      <w:r w:rsidR="00E80E85">
        <w:t>the Code</w:t>
      </w:r>
      <w:r w:rsidR="007B583A">
        <w:t xml:space="preserve"> </w:t>
      </w:r>
      <w:r>
        <w:t>as the</w:t>
      </w:r>
      <w:r w:rsidR="00EE52EC">
        <w:t xml:space="preserve"> </w:t>
      </w:r>
      <w:r w:rsidR="00E80E85">
        <w:t>‘</w:t>
      </w:r>
      <w:r>
        <w:t xml:space="preserve">relevant </w:t>
      </w:r>
      <w:r w:rsidR="00EE52EC">
        <w:t>standard</w:t>
      </w:r>
      <w:r w:rsidR="00E80E85">
        <w:t>’</w:t>
      </w:r>
      <w:r>
        <w:t xml:space="preserve"> (as </w:t>
      </w:r>
      <w:r w:rsidR="00AB272E">
        <w:t xml:space="preserve">per </w:t>
      </w:r>
      <w:r>
        <w:t xml:space="preserve">the </w:t>
      </w:r>
      <w:r w:rsidR="00B82B54">
        <w:t>Act</w:t>
      </w:r>
      <w:r>
        <w:t>)</w:t>
      </w:r>
      <w:r w:rsidR="00B82B54">
        <w:t xml:space="preserve">. In response </w:t>
      </w:r>
      <w:r w:rsidR="00EE52EC">
        <w:t>the Ministry</w:t>
      </w:r>
      <w:r>
        <w:t xml:space="preserve"> of Health</w:t>
      </w:r>
      <w:r w:rsidR="00EE52EC">
        <w:t xml:space="preserve"> sought </w:t>
      </w:r>
      <w:r w:rsidR="00B82B54">
        <w:t xml:space="preserve">legal </w:t>
      </w:r>
      <w:r w:rsidR="00EE52EC">
        <w:t>advice</w:t>
      </w:r>
      <w:r w:rsidR="00A60673">
        <w:t xml:space="preserve"> to determine if the </w:t>
      </w:r>
      <w:r w:rsidR="00B82B54">
        <w:t>Act</w:t>
      </w:r>
      <w:r w:rsidR="00A60673">
        <w:t xml:space="preserve"> is sufficiently flexible to support </w:t>
      </w:r>
      <w:r w:rsidR="00B54702">
        <w:t>the concept</w:t>
      </w:r>
      <w:r w:rsidR="00EE52EC">
        <w:t>.</w:t>
      </w:r>
      <w:r w:rsidR="00007952">
        <w:t xml:space="preserve"> </w:t>
      </w:r>
      <w:r w:rsidR="002C151E">
        <w:t xml:space="preserve">The </w:t>
      </w:r>
      <w:r w:rsidR="00F42029">
        <w:t xml:space="preserve">legal </w:t>
      </w:r>
      <w:r w:rsidR="00007952">
        <w:t xml:space="preserve">team acknowledged </w:t>
      </w:r>
      <w:r w:rsidR="00F42029">
        <w:t>the purpose of the Code</w:t>
      </w:r>
      <w:r w:rsidR="00F42029">
        <w:rPr>
          <w:rStyle w:val="FootnoteReference"/>
          <w:sz w:val="22"/>
        </w:rPr>
        <w:footnoteReference w:id="5"/>
      </w:r>
      <w:r w:rsidR="00F42029">
        <w:t xml:space="preserve"> aligns well with the current fertility standard</w:t>
      </w:r>
      <w:r w:rsidR="004970D4">
        <w:t xml:space="preserve"> noting th</w:t>
      </w:r>
      <w:r w:rsidR="00A40138">
        <w:t>e standard</w:t>
      </w:r>
      <w:r w:rsidR="00F42029">
        <w:t xml:space="preserve"> was developed to be consistent with the 2005 version of the Code</w:t>
      </w:r>
      <w:r w:rsidR="004970D4">
        <w:t>. S</w:t>
      </w:r>
      <w:r w:rsidR="00F42029">
        <w:t>ince this time the Co</w:t>
      </w:r>
      <w:r w:rsidR="00B54702">
        <w:t>de has been reviewed five times.</w:t>
      </w:r>
      <w:r w:rsidR="00007952">
        <w:t xml:space="preserve"> In order for the Code to be used as the ‘</w:t>
      </w:r>
      <w:r w:rsidR="00A40138">
        <w:t xml:space="preserve">relevant </w:t>
      </w:r>
      <w:r w:rsidR="00AB272E">
        <w:t>standard’,</w:t>
      </w:r>
      <w:r w:rsidR="00A40138">
        <w:t xml:space="preserve"> </w:t>
      </w:r>
      <w:r w:rsidR="00007952">
        <w:t xml:space="preserve">approval from the Minister of Health would be required. This approval would be required each time the Code </w:t>
      </w:r>
      <w:r w:rsidR="00A40138">
        <w:t xml:space="preserve">is </w:t>
      </w:r>
      <w:r w:rsidR="00007952">
        <w:t xml:space="preserve">updated. The preference would therefore be to look to the Code as best practice guidelines that could be referenced within a reviewed standard ensuring the most current Code </w:t>
      </w:r>
      <w:r w:rsidR="00366013">
        <w:t>remains appropriate</w:t>
      </w:r>
      <w:r w:rsidR="00007952">
        <w:t>.</w:t>
      </w:r>
    </w:p>
    <w:p w14:paraId="70D9B675" w14:textId="77777777" w:rsidR="00B54702" w:rsidRPr="00007952" w:rsidRDefault="00007952" w:rsidP="00EF435A">
      <w:pPr>
        <w:pStyle w:val="ListParagraph"/>
        <w:numPr>
          <w:ilvl w:val="0"/>
          <w:numId w:val="1"/>
        </w:numPr>
      </w:pPr>
      <w:r>
        <w:t>Modular approach to standards review</w:t>
      </w:r>
    </w:p>
    <w:p w14:paraId="6B3999D1" w14:textId="77777777" w:rsidR="00007952" w:rsidRDefault="00007952" w:rsidP="000A4A67">
      <w:pPr>
        <w:ind w:left="360"/>
      </w:pPr>
      <w:r>
        <w:t xml:space="preserve">Workshop participants agreed in principle to the concept of modular standards, noting there are aspects of the </w:t>
      </w:r>
      <w:r w:rsidR="00366013">
        <w:t>Fertility services standard</w:t>
      </w:r>
      <w:r w:rsidR="00A42586">
        <w:t xml:space="preserve"> (FSS)</w:t>
      </w:r>
      <w:r w:rsidR="00366013">
        <w:t xml:space="preserve"> </w:t>
      </w:r>
      <w:r>
        <w:t xml:space="preserve">and </w:t>
      </w:r>
      <w:r w:rsidR="00366013">
        <w:t>the Health and disability services standard</w:t>
      </w:r>
      <w:r w:rsidR="00A42586">
        <w:t xml:space="preserve"> (HDSS)</w:t>
      </w:r>
      <w:r w:rsidR="00366013">
        <w:t xml:space="preserve"> </w:t>
      </w:r>
      <w:r>
        <w:t xml:space="preserve">that are the same </w:t>
      </w:r>
      <w:r w:rsidR="00366013">
        <w:t xml:space="preserve">- </w:t>
      </w:r>
      <w:r>
        <w:t xml:space="preserve">Table 2 </w:t>
      </w:r>
      <w:r w:rsidR="00366013">
        <w:t>offers an example</w:t>
      </w:r>
      <w:r>
        <w:t>.</w:t>
      </w:r>
    </w:p>
    <w:p w14:paraId="1BCED5BF" w14:textId="77777777" w:rsidR="000A4A67" w:rsidRDefault="000A4A67" w:rsidP="000A4A67">
      <w:pPr>
        <w:pStyle w:val="Caption"/>
        <w:sectPr w:rsidR="000A4A67" w:rsidSect="00EF435A">
          <w:pgSz w:w="11906" w:h="16838" w:code="9"/>
          <w:pgMar w:top="1418" w:right="1418" w:bottom="1134" w:left="1418" w:header="709" w:footer="709" w:gutter="0"/>
          <w:cols w:space="708"/>
          <w:docGrid w:linePitch="360"/>
        </w:sectPr>
      </w:pPr>
    </w:p>
    <w:p w14:paraId="68EACCBD" w14:textId="77777777" w:rsidR="00007952" w:rsidRDefault="000A4A67" w:rsidP="000A4A67">
      <w:pPr>
        <w:pStyle w:val="Caption"/>
      </w:pPr>
      <w:r w:rsidRPr="000A4A67">
        <w:lastRenderedPageBreak/>
        <w:t xml:space="preserve">Table </w:t>
      </w:r>
      <w:r w:rsidR="0007242D">
        <w:rPr>
          <w:noProof/>
        </w:rPr>
        <w:fldChar w:fldCharType="begin"/>
      </w:r>
      <w:r w:rsidR="0007242D">
        <w:rPr>
          <w:noProof/>
        </w:rPr>
        <w:instrText xml:space="preserve"> SEQ Table \* ARABIC </w:instrText>
      </w:r>
      <w:r w:rsidR="0007242D">
        <w:rPr>
          <w:noProof/>
        </w:rPr>
        <w:fldChar w:fldCharType="separate"/>
      </w:r>
      <w:r w:rsidR="000B310E">
        <w:rPr>
          <w:noProof/>
        </w:rPr>
        <w:t>2</w:t>
      </w:r>
      <w:r w:rsidR="0007242D">
        <w:rPr>
          <w:noProof/>
        </w:rPr>
        <w:fldChar w:fldCharType="end"/>
      </w:r>
      <w:r w:rsidRPr="000A4A67">
        <w:t xml:space="preserve">: </w:t>
      </w:r>
      <w:r w:rsidR="00007952" w:rsidRPr="000A4A67">
        <w:t>Standards that match across HDSS &amp; FSS</w:t>
      </w:r>
    </w:p>
    <w:tbl>
      <w:tblPr>
        <w:tblStyle w:val="TableGrid"/>
        <w:tblW w:w="9002" w:type="dxa"/>
        <w:tblInd w:w="65"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211"/>
        <w:gridCol w:w="7791"/>
      </w:tblGrid>
      <w:tr w:rsidR="00A90CDB" w:rsidRPr="00F448B4" w14:paraId="71065FA1" w14:textId="77777777" w:rsidTr="00A90CDB">
        <w:tc>
          <w:tcPr>
            <w:tcW w:w="1211" w:type="dxa"/>
            <w:shd w:val="clear" w:color="auto" w:fill="F2F2F2" w:themeFill="background1" w:themeFillShade="F2"/>
          </w:tcPr>
          <w:p w14:paraId="12BD4C06" w14:textId="77777777" w:rsidR="00A90CDB" w:rsidRPr="00954036" w:rsidRDefault="00A90CDB" w:rsidP="00913CCD">
            <w:pPr>
              <w:pStyle w:val="TableText"/>
              <w:rPr>
                <w:sz w:val="20"/>
                <w:szCs w:val="20"/>
              </w:rPr>
            </w:pPr>
            <w:r w:rsidRPr="00954036">
              <w:rPr>
                <w:sz w:val="20"/>
                <w:szCs w:val="20"/>
              </w:rPr>
              <w:t>HDSS</w:t>
            </w:r>
          </w:p>
        </w:tc>
        <w:tc>
          <w:tcPr>
            <w:tcW w:w="7791" w:type="dxa"/>
          </w:tcPr>
          <w:p w14:paraId="031A4219" w14:textId="77777777" w:rsidR="00A90CDB" w:rsidRPr="00954036" w:rsidRDefault="00A90CDB" w:rsidP="00913CCD">
            <w:pPr>
              <w:pStyle w:val="TableText"/>
              <w:rPr>
                <w:sz w:val="20"/>
                <w:szCs w:val="20"/>
              </w:rPr>
            </w:pPr>
            <w:r w:rsidRPr="00954036">
              <w:rPr>
                <w:sz w:val="20"/>
                <w:szCs w:val="20"/>
              </w:rPr>
              <w:t xml:space="preserve">1.1.3: Independence, Personal Privacy, Dignity, And Respect </w:t>
            </w:r>
          </w:p>
          <w:p w14:paraId="21666A3D" w14:textId="77777777" w:rsidR="00A90CDB" w:rsidRPr="00954036" w:rsidRDefault="00A90CDB" w:rsidP="00913CCD">
            <w:pPr>
              <w:pStyle w:val="TableText"/>
              <w:rPr>
                <w:sz w:val="20"/>
                <w:szCs w:val="20"/>
              </w:rPr>
            </w:pPr>
            <w:r w:rsidRPr="00954036">
              <w:rPr>
                <w:sz w:val="20"/>
                <w:szCs w:val="20"/>
              </w:rPr>
              <w:t>Consumers are treated with respect and receive services in a manner that has regard for their dignity, privacy, and independence</w:t>
            </w:r>
          </w:p>
        </w:tc>
      </w:tr>
      <w:tr w:rsidR="00A90CDB" w:rsidRPr="00F448B4" w14:paraId="3781F76F" w14:textId="77777777" w:rsidTr="00A90CDB">
        <w:tc>
          <w:tcPr>
            <w:tcW w:w="1211" w:type="dxa"/>
            <w:shd w:val="clear" w:color="auto" w:fill="F2F2F2" w:themeFill="background1" w:themeFillShade="F2"/>
          </w:tcPr>
          <w:p w14:paraId="1C8FA08C" w14:textId="77777777" w:rsidR="00A90CDB" w:rsidRPr="00954036" w:rsidRDefault="00A90CDB" w:rsidP="00913CCD">
            <w:pPr>
              <w:pStyle w:val="TableText"/>
              <w:rPr>
                <w:sz w:val="20"/>
                <w:szCs w:val="20"/>
              </w:rPr>
            </w:pPr>
            <w:r w:rsidRPr="00954036">
              <w:rPr>
                <w:sz w:val="20"/>
                <w:szCs w:val="20"/>
              </w:rPr>
              <w:t>FSS</w:t>
            </w:r>
          </w:p>
        </w:tc>
        <w:tc>
          <w:tcPr>
            <w:tcW w:w="7791" w:type="dxa"/>
          </w:tcPr>
          <w:p w14:paraId="4D0ED47B" w14:textId="77777777" w:rsidR="00A90CDB" w:rsidRPr="00954036" w:rsidRDefault="00A90CDB" w:rsidP="00913CCD">
            <w:pPr>
              <w:pStyle w:val="TableText"/>
              <w:rPr>
                <w:sz w:val="20"/>
                <w:szCs w:val="20"/>
              </w:rPr>
            </w:pPr>
            <w:r w:rsidRPr="00954036">
              <w:rPr>
                <w:sz w:val="20"/>
                <w:szCs w:val="20"/>
              </w:rPr>
              <w:t xml:space="preserve">1.5: Personal Privacy and Dignity  </w:t>
            </w:r>
          </w:p>
          <w:p w14:paraId="4CFA404F" w14:textId="77777777" w:rsidR="00A90CDB" w:rsidRPr="00954036" w:rsidRDefault="00A90CDB" w:rsidP="00913CCD">
            <w:pPr>
              <w:pStyle w:val="TableText"/>
              <w:rPr>
                <w:sz w:val="20"/>
                <w:szCs w:val="20"/>
              </w:rPr>
            </w:pPr>
            <w:r w:rsidRPr="00954036">
              <w:rPr>
                <w:sz w:val="20"/>
                <w:szCs w:val="20"/>
              </w:rPr>
              <w:t>The personal privacy and dignity of the consumer is respected and met during service provision</w:t>
            </w:r>
          </w:p>
        </w:tc>
      </w:tr>
    </w:tbl>
    <w:p w14:paraId="0FFE23E9" w14:textId="77777777" w:rsidR="00D6475C" w:rsidRPr="00A90CDB" w:rsidRDefault="00D6475C" w:rsidP="00A90CDB">
      <w:pPr>
        <w:pStyle w:val="Heading2"/>
        <w:rPr>
          <w:rStyle w:val="IntenseReference"/>
          <w:b/>
          <w:bCs w:val="0"/>
          <w:smallCaps w:val="0"/>
          <w:color w:val="0A6AB4"/>
          <w:spacing w:val="0"/>
        </w:rPr>
      </w:pPr>
      <w:bookmarkStart w:id="7" w:name="_Toc19179366"/>
      <w:r w:rsidRPr="00A90CDB">
        <w:rPr>
          <w:rStyle w:val="IntenseReference"/>
          <w:b/>
          <w:bCs w:val="0"/>
          <w:smallCaps w:val="0"/>
          <w:color w:val="0A6AB4"/>
          <w:spacing w:val="0"/>
        </w:rPr>
        <w:t>Health and Disability Services Standards</w:t>
      </w:r>
      <w:bookmarkEnd w:id="7"/>
    </w:p>
    <w:p w14:paraId="23B4592B" w14:textId="77777777" w:rsidR="00D6475C" w:rsidRDefault="00D6475C" w:rsidP="00A90CDB">
      <w:r w:rsidRPr="00D6475C">
        <w:t xml:space="preserve">Five </w:t>
      </w:r>
      <w:r>
        <w:t xml:space="preserve">scoping workshops were held </w:t>
      </w:r>
      <w:r w:rsidR="00D06E1F">
        <w:t xml:space="preserve">to discuss the breadth of change required to </w:t>
      </w:r>
      <w:r>
        <w:t>the HDSS. The workshops invited participa</w:t>
      </w:r>
      <w:r w:rsidR="00074FA7">
        <w:t>tion</w:t>
      </w:r>
      <w:r>
        <w:t xml:space="preserve"> from various </w:t>
      </w:r>
      <w:r w:rsidR="00D06E1F">
        <w:t xml:space="preserve">health and disability </w:t>
      </w:r>
      <w:r>
        <w:t xml:space="preserve">services. </w:t>
      </w:r>
      <w:r w:rsidR="00D06E1F">
        <w:t>W</w:t>
      </w:r>
      <w:r>
        <w:t xml:space="preserve">orkshops were held in Wellington, Christchurch, Auckland and Hamilton. </w:t>
      </w:r>
      <w:r w:rsidR="00D06E1F">
        <w:t xml:space="preserve">The feedback has been summarised against each ‘Part’ of the </w:t>
      </w:r>
      <w:r>
        <w:t>HDSS – eg. Part 1: Consumer Rights, Part 2: Organisational Management</w:t>
      </w:r>
      <w:r w:rsidR="00AB272E">
        <w:t xml:space="preserve">. The detailed </w:t>
      </w:r>
      <w:r w:rsidR="00D06E1F">
        <w:t>feed</w:t>
      </w:r>
      <w:r w:rsidR="007A4D7F">
        <w:t xml:space="preserve">back </w:t>
      </w:r>
      <w:r w:rsidR="00AB272E">
        <w:t xml:space="preserve">is attached </w:t>
      </w:r>
      <w:r w:rsidR="007A4D7F">
        <w:t xml:space="preserve">in Appendix </w:t>
      </w:r>
      <w:r w:rsidR="00FA00FF">
        <w:t>A</w:t>
      </w:r>
      <w:r w:rsidR="007A4D7F">
        <w:t xml:space="preserve">. </w:t>
      </w:r>
    </w:p>
    <w:p w14:paraId="58CD90F3" w14:textId="77777777" w:rsidR="00AB272E" w:rsidRPr="00A90CDB" w:rsidRDefault="00D6475C" w:rsidP="00A90CDB">
      <w:pPr>
        <w:pStyle w:val="Heading3"/>
      </w:pPr>
      <w:bookmarkStart w:id="8" w:name="_Toc19179367"/>
      <w:r w:rsidRPr="00A90CDB">
        <w:t>Part 1: Consumer rights</w:t>
      </w:r>
      <w:bookmarkEnd w:id="8"/>
    </w:p>
    <w:p w14:paraId="613E9B4F" w14:textId="77777777" w:rsidR="00AB272E" w:rsidRPr="00782B73" w:rsidRDefault="00D6475C" w:rsidP="00EF435A">
      <w:r w:rsidRPr="00913A2A">
        <w:t>Workshop participants</w:t>
      </w:r>
      <w:r>
        <w:t xml:space="preserve"> </w:t>
      </w:r>
      <w:r w:rsidR="00A2752A">
        <w:t>agreed the</w:t>
      </w:r>
      <w:r>
        <w:t xml:space="preserve"> reviewed standards should have </w:t>
      </w:r>
      <w:r w:rsidRPr="00913A2A">
        <w:t xml:space="preserve">a dedicated section on </w:t>
      </w:r>
      <w:r w:rsidRPr="00782B73">
        <w:t>consumer rights with the consumers’</w:t>
      </w:r>
      <w:r w:rsidRPr="00782B73">
        <w:rPr>
          <w:rStyle w:val="FootnoteReference"/>
          <w:sz w:val="22"/>
        </w:rPr>
        <w:footnoteReference w:id="6"/>
      </w:r>
      <w:r w:rsidRPr="00782B73">
        <w:t xml:space="preserve"> voice being foremost. The</w:t>
      </w:r>
      <w:r w:rsidR="00A2752A" w:rsidRPr="00782B73">
        <w:t xml:space="preserve">re was agreement that </w:t>
      </w:r>
      <w:r w:rsidRPr="00782B73">
        <w:t>overarching standards (</w:t>
      </w:r>
      <w:r w:rsidR="00A2752A" w:rsidRPr="00782B73">
        <w:t xml:space="preserve">or </w:t>
      </w:r>
      <w:r w:rsidRPr="00782B73">
        <w:t>high level principles</w:t>
      </w:r>
      <w:r w:rsidR="00A2752A" w:rsidRPr="00782B73">
        <w:t xml:space="preserve"> (</w:t>
      </w:r>
      <w:r w:rsidRPr="00782B73">
        <w:rPr>
          <w:i/>
        </w:rPr>
        <w:t>Disability</w:t>
      </w:r>
      <w:r w:rsidR="00625106" w:rsidRPr="00782B73">
        <w:rPr>
          <w:i/>
        </w:rPr>
        <w:t xml:space="preserve">, </w:t>
      </w:r>
      <w:r w:rsidRPr="00782B73">
        <w:rPr>
          <w:i/>
        </w:rPr>
        <w:t>Aged residential care)</w:t>
      </w:r>
      <w:r w:rsidR="00A2752A" w:rsidRPr="00782B73">
        <w:t>)</w:t>
      </w:r>
      <w:r w:rsidRPr="00782B73">
        <w:t xml:space="preserve"> could be acceptable for all</w:t>
      </w:r>
      <w:r>
        <w:t xml:space="preserve"> health and disability services with supporting guidance </w:t>
      </w:r>
      <w:r w:rsidR="000421CD">
        <w:t>being developed specific to each service type</w:t>
      </w:r>
      <w:r>
        <w:t xml:space="preserve">. </w:t>
      </w:r>
      <w:r w:rsidR="008A0462">
        <w:t xml:space="preserve">Participants at the Disability workshop were interested in this </w:t>
      </w:r>
      <w:r w:rsidR="008A0462" w:rsidRPr="00782B73">
        <w:t>section being titled ‘Human Rights’.</w:t>
      </w:r>
      <w:r w:rsidR="009C631C" w:rsidRPr="00782B73">
        <w:t xml:space="preserve"> </w:t>
      </w:r>
    </w:p>
    <w:p w14:paraId="39D90828" w14:textId="77777777" w:rsidR="00AB272E" w:rsidRPr="00782B73" w:rsidRDefault="009C631C" w:rsidP="00EF435A">
      <w:r w:rsidRPr="00782B73">
        <w:t xml:space="preserve">There was strong interest </w:t>
      </w:r>
      <w:r w:rsidR="00D6475C" w:rsidRPr="00782B73">
        <w:t xml:space="preserve">in a codesign approach to this section. </w:t>
      </w:r>
      <w:r w:rsidR="00660745" w:rsidRPr="00782B73">
        <w:t>W</w:t>
      </w:r>
      <w:r w:rsidR="00D6475C" w:rsidRPr="00782B73">
        <w:t>orkshop participants agreed</w:t>
      </w:r>
      <w:r w:rsidR="00867F5A" w:rsidRPr="00782B73">
        <w:t xml:space="preserve"> the powerful nature of</w:t>
      </w:r>
      <w:r w:rsidR="00D6475C" w:rsidRPr="00782B73">
        <w:t xml:space="preserve"> language and</w:t>
      </w:r>
      <w:r w:rsidR="00660745" w:rsidRPr="00782B73">
        <w:t xml:space="preserve"> want the</w:t>
      </w:r>
      <w:r w:rsidR="00D6475C" w:rsidRPr="00782B73">
        <w:t xml:space="preserve"> </w:t>
      </w:r>
      <w:r w:rsidR="00660745" w:rsidRPr="00782B73">
        <w:t xml:space="preserve">reviewed </w:t>
      </w:r>
      <w:r w:rsidR="00D6475C" w:rsidRPr="00782B73">
        <w:t>standards to</w:t>
      </w:r>
      <w:r w:rsidR="00660745" w:rsidRPr="00782B73">
        <w:t xml:space="preserve"> use</w:t>
      </w:r>
      <w:r w:rsidR="00D6475C" w:rsidRPr="00782B73">
        <w:t xml:space="preserve"> strengths based language incorporat</w:t>
      </w:r>
      <w:r w:rsidR="00660745" w:rsidRPr="00782B73">
        <w:t>ing</w:t>
      </w:r>
      <w:r w:rsidR="00D6475C" w:rsidRPr="00782B73">
        <w:t xml:space="preserve"> terms such as ‘The people we support..’ </w:t>
      </w:r>
      <w:r w:rsidR="00D6475C" w:rsidRPr="00782B73">
        <w:rPr>
          <w:i/>
        </w:rPr>
        <w:t>(Disability)</w:t>
      </w:r>
      <w:r w:rsidR="00D6475C" w:rsidRPr="00782B73">
        <w:t xml:space="preserve">, and ‘I can expect to </w:t>
      </w:r>
      <w:r w:rsidR="00867F5A" w:rsidRPr="00782B73">
        <w:t>receive  ...</w:t>
      </w:r>
      <w:r w:rsidR="00D6475C" w:rsidRPr="00782B73">
        <w:t xml:space="preserve">’ </w:t>
      </w:r>
      <w:r w:rsidR="00D6475C" w:rsidRPr="00782B73">
        <w:rPr>
          <w:i/>
        </w:rPr>
        <w:t>(Aged residential care)</w:t>
      </w:r>
      <w:r w:rsidR="004970D4">
        <w:rPr>
          <w:i/>
        </w:rPr>
        <w:t>;</w:t>
      </w:r>
      <w:r w:rsidR="00D6475C" w:rsidRPr="00782B73">
        <w:t xml:space="preserve"> </w:t>
      </w:r>
      <w:r w:rsidR="00625106" w:rsidRPr="00782B73">
        <w:t>ensuring</w:t>
      </w:r>
      <w:r w:rsidR="00867F5A" w:rsidRPr="00782B73">
        <w:t xml:space="preserve"> </w:t>
      </w:r>
      <w:r w:rsidR="00D6475C" w:rsidRPr="00782B73">
        <w:t>the ‘power’</w:t>
      </w:r>
      <w:r w:rsidR="00867F5A" w:rsidRPr="00782B73">
        <w:t xml:space="preserve"> of the relationship</w:t>
      </w:r>
      <w:r w:rsidR="00D6475C" w:rsidRPr="00782B73">
        <w:t xml:space="preserve"> remains with the consumer.</w:t>
      </w:r>
    </w:p>
    <w:p w14:paraId="561AB3EE" w14:textId="77777777" w:rsidR="008A0462" w:rsidRPr="00782B73" w:rsidRDefault="008A0462" w:rsidP="00A90CDB">
      <w:r w:rsidRPr="00782B73">
        <w:t xml:space="preserve">Within </w:t>
      </w:r>
      <w:r w:rsidR="00867F5A" w:rsidRPr="00782B73">
        <w:t>Part 1</w:t>
      </w:r>
      <w:r w:rsidRPr="00782B73">
        <w:t xml:space="preserve"> there </w:t>
      </w:r>
      <w:r w:rsidR="00867F5A" w:rsidRPr="00782B73">
        <w:t xml:space="preserve">was </w:t>
      </w:r>
      <w:r w:rsidRPr="00782B73">
        <w:t>discuss</w:t>
      </w:r>
      <w:r w:rsidR="00867F5A" w:rsidRPr="00782B73">
        <w:t xml:space="preserve">ion around </w:t>
      </w:r>
      <w:r w:rsidRPr="00782B73">
        <w:t xml:space="preserve">standard </w:t>
      </w:r>
      <w:r w:rsidR="00D6475C" w:rsidRPr="00782B73">
        <w:t xml:space="preserve">1.1.4 (Recognition of </w:t>
      </w:r>
      <w:r w:rsidR="00891D9F">
        <w:t>Māori</w:t>
      </w:r>
      <w:r w:rsidR="00D6475C" w:rsidRPr="00782B73">
        <w:t xml:space="preserve"> Values and Beliefs) </w:t>
      </w:r>
      <w:r w:rsidRPr="00782B73">
        <w:t>and standard 1.1.9 (Communication).</w:t>
      </w:r>
      <w:r w:rsidR="00F05147" w:rsidRPr="00782B73">
        <w:t xml:space="preserve"> </w:t>
      </w:r>
      <w:r w:rsidR="00867F5A" w:rsidRPr="00782B73">
        <w:t>A</w:t>
      </w:r>
      <w:r w:rsidR="00F05147" w:rsidRPr="00782B73">
        <w:t xml:space="preserve">ll </w:t>
      </w:r>
      <w:r w:rsidR="00867F5A" w:rsidRPr="00782B73">
        <w:t xml:space="preserve">participants agreed to </w:t>
      </w:r>
      <w:r w:rsidR="00F05147" w:rsidRPr="00782B73">
        <w:t>a</w:t>
      </w:r>
      <w:r w:rsidR="00867F5A" w:rsidRPr="00782B73">
        <w:t xml:space="preserve">n </w:t>
      </w:r>
      <w:r w:rsidR="00F05147" w:rsidRPr="00782B73">
        <w:t xml:space="preserve">overarching standard relating to </w:t>
      </w:r>
      <w:r w:rsidR="00891D9F">
        <w:t>Māori</w:t>
      </w:r>
      <w:r w:rsidR="00F05147" w:rsidRPr="00782B73">
        <w:t xml:space="preserve"> </w:t>
      </w:r>
      <w:r w:rsidR="004970D4">
        <w:t>with</w:t>
      </w:r>
      <w:r w:rsidR="00F05147" w:rsidRPr="00782B73">
        <w:t xml:space="preserve"> recognition of Tino Rangatiratanga </w:t>
      </w:r>
      <w:r w:rsidR="00F05147" w:rsidRPr="00782B73">
        <w:rPr>
          <w:i/>
        </w:rPr>
        <w:t>(Disability)</w:t>
      </w:r>
      <w:r w:rsidR="00867F5A" w:rsidRPr="00782B73">
        <w:rPr>
          <w:i/>
        </w:rPr>
        <w:t xml:space="preserve"> </w:t>
      </w:r>
      <w:r w:rsidR="004970D4">
        <w:t>and</w:t>
      </w:r>
      <w:r w:rsidR="00F05147" w:rsidRPr="00782B73">
        <w:t xml:space="preserve"> reference to </w:t>
      </w:r>
      <w:r w:rsidR="00891D9F">
        <w:t>Māori</w:t>
      </w:r>
      <w:r w:rsidR="00F05147" w:rsidRPr="00782B73">
        <w:t xml:space="preserve"> health </w:t>
      </w:r>
      <w:r w:rsidR="00867F5A" w:rsidRPr="00782B73">
        <w:t xml:space="preserve">being </w:t>
      </w:r>
      <w:r w:rsidR="00F05147" w:rsidRPr="00782B73">
        <w:t>woven throughout the standards</w:t>
      </w:r>
      <w:r w:rsidR="00867F5A" w:rsidRPr="00782B73">
        <w:t xml:space="preserve">. </w:t>
      </w:r>
      <w:r w:rsidR="00AB272E" w:rsidRPr="00782B73">
        <w:t xml:space="preserve">Te Tumu Whakarae </w:t>
      </w:r>
      <w:r w:rsidR="00AB272E" w:rsidRPr="00782B73">
        <w:rPr>
          <w:i/>
        </w:rPr>
        <w:t>(DHB et al)</w:t>
      </w:r>
      <w:r w:rsidR="00AB272E" w:rsidRPr="00782B73">
        <w:t xml:space="preserve"> reported: </w:t>
      </w:r>
      <w:r w:rsidR="00AB272E" w:rsidRPr="00782B73">
        <w:rPr>
          <w:i/>
        </w:rPr>
        <w:t xml:space="preserve">Te Tiriti o Waitangi needs to be weaved throughout the whole of the document, referring to and utilising the articles of Te Tiriti as the foundation and connection to Māori health and the health systems responsibility to meet the needs of Māori (including aspirations). </w:t>
      </w:r>
      <w:r w:rsidR="00F05147" w:rsidRPr="00782B73">
        <w:t xml:space="preserve">Communication was reported as being a key issue across health and disability services </w:t>
      </w:r>
      <w:r w:rsidR="007273FA" w:rsidRPr="00782B73">
        <w:t xml:space="preserve">particularly the notion of </w:t>
      </w:r>
      <w:r w:rsidR="00AB272E" w:rsidRPr="00782B73">
        <w:t xml:space="preserve">effective </w:t>
      </w:r>
      <w:r w:rsidR="00F05147" w:rsidRPr="00782B73">
        <w:t>communicati</w:t>
      </w:r>
      <w:r w:rsidR="00AB272E" w:rsidRPr="00782B73">
        <w:t>o</w:t>
      </w:r>
      <w:r w:rsidR="00F05147" w:rsidRPr="00782B73">
        <w:t xml:space="preserve">n </w:t>
      </w:r>
      <w:r w:rsidR="00F05147" w:rsidRPr="00782B73">
        <w:rPr>
          <w:i/>
        </w:rPr>
        <w:t>(Disability)</w:t>
      </w:r>
      <w:r w:rsidR="00F05147" w:rsidRPr="00782B73">
        <w:t xml:space="preserve">. All participants consider communication to be broader than is currently reported in the standard, and there was interest in exploring inter-professional communication, comprehension, and understanding into an overarching standard. </w:t>
      </w:r>
      <w:r w:rsidR="00A85298" w:rsidRPr="00782B73">
        <w:t>T</w:t>
      </w:r>
      <w:r w:rsidR="00F05147" w:rsidRPr="00782B73">
        <w:t>he importance of service specific guidance was emphasised.</w:t>
      </w:r>
    </w:p>
    <w:p w14:paraId="5975A3A7" w14:textId="77777777" w:rsidR="00F05147" w:rsidRPr="00782B73" w:rsidRDefault="00A85298" w:rsidP="00EF435A">
      <w:r w:rsidRPr="00782B73">
        <w:lastRenderedPageBreak/>
        <w:t xml:space="preserve">There is a </w:t>
      </w:r>
      <w:r w:rsidR="00FD7334" w:rsidRPr="00782B73">
        <w:t xml:space="preserve">reported </w:t>
      </w:r>
      <w:r w:rsidRPr="00782B73">
        <w:t>requirement to strengthen diversity within</w:t>
      </w:r>
      <w:r w:rsidR="002B5F4C">
        <w:t xml:space="preserve"> the</w:t>
      </w:r>
      <w:r w:rsidRPr="00782B73">
        <w:t xml:space="preserve"> reviewed standards with inclusion of age, gender, ethnicity and sexual orientation. This was thought to sit against current </w:t>
      </w:r>
      <w:r w:rsidR="003F7501" w:rsidRPr="00782B73">
        <w:t xml:space="preserve">standard 1.1.6 (Recognition and respect of the individual’s culture, values and beliefs). </w:t>
      </w:r>
      <w:r w:rsidR="00750C94">
        <w:t>Strengthening diversity was supported by the Rainbow community.</w:t>
      </w:r>
    </w:p>
    <w:p w14:paraId="1114109E" w14:textId="77777777" w:rsidR="00625106" w:rsidRPr="00782B73" w:rsidRDefault="00625106" w:rsidP="00EF435A">
      <w:r w:rsidRPr="00782B73">
        <w:t xml:space="preserve">Informed consent was an area of interest with participants wanting consent specific to resident ability </w:t>
      </w:r>
      <w:r w:rsidRPr="00782B73">
        <w:rPr>
          <w:i/>
        </w:rPr>
        <w:t xml:space="preserve">(Aged residential care). </w:t>
      </w:r>
      <w:r w:rsidRPr="00782B73">
        <w:t>Links to enduring power of attorney and decision making responsibilities were also considered important and requiring strengthening in reviewed standards (</w:t>
      </w:r>
      <w:r w:rsidRPr="00782B73">
        <w:rPr>
          <w:i/>
        </w:rPr>
        <w:t>Aged residential care)</w:t>
      </w:r>
      <w:r w:rsidRPr="00782B73">
        <w:t>.</w:t>
      </w:r>
      <w:r w:rsidR="00342B27" w:rsidRPr="00782B73">
        <w:t xml:space="preserve"> </w:t>
      </w:r>
      <w:r w:rsidR="004970D4">
        <w:t>Feedback indicated t</w:t>
      </w:r>
      <w:r w:rsidR="00342B27" w:rsidRPr="00782B73">
        <w:t>his is a complex standard and needs to be ‘unpacked’ (</w:t>
      </w:r>
      <w:r w:rsidR="00342B27" w:rsidRPr="00782B73">
        <w:rPr>
          <w:i/>
        </w:rPr>
        <w:t>Disability)</w:t>
      </w:r>
      <w:r w:rsidR="00342B27" w:rsidRPr="00782B73">
        <w:t xml:space="preserve">. </w:t>
      </w:r>
    </w:p>
    <w:p w14:paraId="49CE33CC" w14:textId="77777777" w:rsidR="00C6649C" w:rsidRPr="00782B73" w:rsidRDefault="00C6649C" w:rsidP="00A90CDB">
      <w:pPr>
        <w:pStyle w:val="Heading3"/>
      </w:pPr>
      <w:bookmarkStart w:id="9" w:name="_Toc19179368"/>
      <w:r w:rsidRPr="00782B73">
        <w:t>Part 2: Organisational Management</w:t>
      </w:r>
      <w:bookmarkEnd w:id="9"/>
    </w:p>
    <w:p w14:paraId="06A5EE02" w14:textId="77777777" w:rsidR="007341AA" w:rsidRDefault="00B94D3C" w:rsidP="00EF435A">
      <w:r w:rsidRPr="00782B73">
        <w:t>W</w:t>
      </w:r>
      <w:r w:rsidR="00C6649C" w:rsidRPr="00782B73">
        <w:t>orkshop participants</w:t>
      </w:r>
      <w:r w:rsidR="00050A54" w:rsidRPr="00782B73">
        <w:t xml:space="preserve"> agreed standards contained within Part 2 </w:t>
      </w:r>
      <w:r w:rsidRPr="00782B73">
        <w:t>are</w:t>
      </w:r>
      <w:r w:rsidR="00050A54" w:rsidRPr="00782B73">
        <w:t xml:space="preserve"> applicable to all </w:t>
      </w:r>
      <w:r w:rsidRPr="00782B73">
        <w:t xml:space="preserve">health and disability </w:t>
      </w:r>
      <w:r w:rsidR="00050A54" w:rsidRPr="00782B73">
        <w:t>service</w:t>
      </w:r>
      <w:r w:rsidRPr="00782B73">
        <w:t>s</w:t>
      </w:r>
      <w:r w:rsidR="004970D4">
        <w:t>. T</w:t>
      </w:r>
      <w:r w:rsidR="00050A54" w:rsidRPr="00782B73">
        <w:t xml:space="preserve">he language </w:t>
      </w:r>
      <w:r w:rsidRPr="00782B73">
        <w:t xml:space="preserve">used </w:t>
      </w:r>
      <w:r w:rsidR="00342B27" w:rsidRPr="00782B73">
        <w:t>need</w:t>
      </w:r>
      <w:r w:rsidR="004970D4">
        <w:t xml:space="preserve">s </w:t>
      </w:r>
      <w:r w:rsidR="00342B27" w:rsidRPr="00782B73">
        <w:t xml:space="preserve">to </w:t>
      </w:r>
      <w:r w:rsidR="00303978" w:rsidRPr="00782B73">
        <w:t>favour</w:t>
      </w:r>
      <w:r w:rsidR="00342B27" w:rsidRPr="00782B73">
        <w:t xml:space="preserve"> </w:t>
      </w:r>
      <w:r w:rsidR="00050A54" w:rsidRPr="00782B73">
        <w:t xml:space="preserve">a </w:t>
      </w:r>
      <w:r w:rsidR="00342B27" w:rsidRPr="00782B73">
        <w:t>people</w:t>
      </w:r>
      <w:r w:rsidR="00050A54" w:rsidRPr="00782B73">
        <w:t xml:space="preserve"> centric approa</w:t>
      </w:r>
      <w:r w:rsidR="00050A54">
        <w:t xml:space="preserve">ch </w:t>
      </w:r>
      <w:r w:rsidR="00050A54" w:rsidRPr="002F79C1">
        <w:rPr>
          <w:i/>
        </w:rPr>
        <w:t>(Disability)</w:t>
      </w:r>
      <w:r w:rsidR="007341AA">
        <w:rPr>
          <w:i/>
        </w:rPr>
        <w:t xml:space="preserve"> </w:t>
      </w:r>
      <w:r w:rsidR="007341AA">
        <w:t xml:space="preserve">with the use of ‘I’ statements and ‘quality of life’ ideation </w:t>
      </w:r>
      <w:r w:rsidR="007341AA" w:rsidRPr="002F79C1">
        <w:rPr>
          <w:i/>
        </w:rPr>
        <w:t>(Aged residential care)</w:t>
      </w:r>
      <w:r w:rsidR="00050A54">
        <w:t xml:space="preserve">. </w:t>
      </w:r>
      <w:r w:rsidR="007341AA">
        <w:t xml:space="preserve">A codesign approach was favoured by some </w:t>
      </w:r>
      <w:r w:rsidR="007341AA" w:rsidRPr="002F79C1">
        <w:rPr>
          <w:i/>
        </w:rPr>
        <w:t>(Aged residential care)</w:t>
      </w:r>
      <w:r w:rsidR="007341AA">
        <w:rPr>
          <w:i/>
        </w:rPr>
        <w:t>.</w:t>
      </w:r>
    </w:p>
    <w:p w14:paraId="26A86E7D" w14:textId="77777777" w:rsidR="00325574" w:rsidRDefault="00B94D3C" w:rsidP="00EF435A">
      <w:r>
        <w:t xml:space="preserve">Strengthening governance was a view of the majority of </w:t>
      </w:r>
      <w:r w:rsidR="007341AA">
        <w:t>participants</w:t>
      </w:r>
      <w:r>
        <w:t xml:space="preserve"> with inclusion of clinical governance </w:t>
      </w:r>
      <w:r w:rsidRPr="002F79C1">
        <w:rPr>
          <w:i/>
        </w:rPr>
        <w:t>(DHB</w:t>
      </w:r>
      <w:r w:rsidR="00F751E0">
        <w:rPr>
          <w:i/>
        </w:rPr>
        <w:t>, Aged residential care</w:t>
      </w:r>
      <w:r w:rsidRPr="002F79C1">
        <w:rPr>
          <w:i/>
        </w:rPr>
        <w:t>)</w:t>
      </w:r>
      <w:r>
        <w:t xml:space="preserve"> and a link between governance and cultural diversity</w:t>
      </w:r>
      <w:r w:rsidR="004970D4">
        <w:t xml:space="preserve"> </w:t>
      </w:r>
      <w:r w:rsidR="004970D4" w:rsidRPr="004970D4">
        <w:rPr>
          <w:i/>
        </w:rPr>
        <w:t>(Disability)</w:t>
      </w:r>
      <w:r>
        <w:t xml:space="preserve">, healthy workplace and staff safety </w:t>
      </w:r>
      <w:r w:rsidRPr="002F79C1">
        <w:rPr>
          <w:i/>
        </w:rPr>
        <w:t>(MHA</w:t>
      </w:r>
      <w:r w:rsidR="00E5306C">
        <w:rPr>
          <w:i/>
        </w:rPr>
        <w:t>, Disability</w:t>
      </w:r>
      <w:r w:rsidRPr="002F79C1">
        <w:rPr>
          <w:i/>
        </w:rPr>
        <w:t>)</w:t>
      </w:r>
      <w:r w:rsidR="00050A54">
        <w:t>.</w:t>
      </w:r>
      <w:r w:rsidR="00303978">
        <w:t xml:space="preserve"> </w:t>
      </w:r>
      <w:r w:rsidR="007341AA" w:rsidRPr="00782B73">
        <w:t>Quality improvement</w:t>
      </w:r>
      <w:r w:rsidR="007341AA">
        <w:t xml:space="preserve"> was a particular focus at all</w:t>
      </w:r>
      <w:r w:rsidR="00303978">
        <w:t xml:space="preserve"> workshops with </w:t>
      </w:r>
      <w:r w:rsidR="007341AA">
        <w:t>interest in seeing the inclusion of evaluation of outcomes</w:t>
      </w:r>
      <w:r w:rsidR="00303978">
        <w:t xml:space="preserve"> </w:t>
      </w:r>
      <w:r w:rsidR="00303978" w:rsidRPr="002F79C1">
        <w:rPr>
          <w:i/>
        </w:rPr>
        <w:t>(Aged residential care)</w:t>
      </w:r>
      <w:r w:rsidR="007341AA">
        <w:rPr>
          <w:i/>
        </w:rPr>
        <w:t xml:space="preserve">, </w:t>
      </w:r>
      <w:r w:rsidR="007341AA" w:rsidRPr="002F79C1">
        <w:t>and a sharing of learnings</w:t>
      </w:r>
      <w:r w:rsidR="007341AA">
        <w:rPr>
          <w:i/>
        </w:rPr>
        <w:t xml:space="preserve"> </w:t>
      </w:r>
      <w:r w:rsidR="007341AA">
        <w:t>in the reviewed standards</w:t>
      </w:r>
      <w:r w:rsidR="002F79C1">
        <w:t xml:space="preserve"> </w:t>
      </w:r>
      <w:r w:rsidR="002F79C1">
        <w:rPr>
          <w:i/>
        </w:rPr>
        <w:t>(DHB)</w:t>
      </w:r>
      <w:r w:rsidR="00303978">
        <w:t xml:space="preserve">. </w:t>
      </w:r>
      <w:r w:rsidR="00325574">
        <w:t xml:space="preserve">Each of the groups were asked if standards 1.2.5 </w:t>
      </w:r>
      <w:r w:rsidR="00325574" w:rsidRPr="00133524">
        <w:t>(Consumer participation) and 1.2.6 (</w:t>
      </w:r>
      <w:r w:rsidR="00891D9F">
        <w:t>Whānau</w:t>
      </w:r>
      <w:r w:rsidR="00325574" w:rsidRPr="00133524">
        <w:t xml:space="preserve"> participation)</w:t>
      </w:r>
      <w:r w:rsidR="00325574">
        <w:t xml:space="preserve"> –</w:t>
      </w:r>
      <w:r w:rsidR="00B90BE2">
        <w:t xml:space="preserve"> </w:t>
      </w:r>
      <w:r w:rsidR="00325574">
        <w:t xml:space="preserve">currently </w:t>
      </w:r>
      <w:r w:rsidR="00B90BE2">
        <w:t xml:space="preserve">MHA services </w:t>
      </w:r>
      <w:r w:rsidR="00325574">
        <w:t xml:space="preserve">only – </w:t>
      </w:r>
      <w:r w:rsidR="00B433E6">
        <w:t>should</w:t>
      </w:r>
      <w:r w:rsidR="00325574">
        <w:t xml:space="preserve"> be applied across all </w:t>
      </w:r>
      <w:r w:rsidR="00B433E6">
        <w:t xml:space="preserve">health and disability </w:t>
      </w:r>
      <w:r w:rsidR="00325574">
        <w:t>service</w:t>
      </w:r>
      <w:r w:rsidR="00B433E6">
        <w:t>s</w:t>
      </w:r>
      <w:r w:rsidR="00325574">
        <w:t xml:space="preserve">. </w:t>
      </w:r>
      <w:r w:rsidR="00B433E6">
        <w:t xml:space="preserve">There was </w:t>
      </w:r>
      <w:r w:rsidR="00342B27">
        <w:t xml:space="preserve">general </w:t>
      </w:r>
      <w:r w:rsidR="00B433E6">
        <w:t xml:space="preserve">agreement that consumer and </w:t>
      </w:r>
      <w:r w:rsidR="00891D9F">
        <w:t>whānau</w:t>
      </w:r>
      <w:r w:rsidR="00B433E6">
        <w:t xml:space="preserve"> participation </w:t>
      </w:r>
      <w:r w:rsidR="00366FDD">
        <w:t>is</w:t>
      </w:r>
      <w:r w:rsidR="00B433E6">
        <w:t xml:space="preserve"> relevant for all service types</w:t>
      </w:r>
      <w:r w:rsidR="00366FDD">
        <w:t xml:space="preserve"> with an interest in feedback from these groups being fed up to governance </w:t>
      </w:r>
      <w:r w:rsidR="00366FDD" w:rsidRPr="00366FDD">
        <w:rPr>
          <w:i/>
        </w:rPr>
        <w:t>(MHA)</w:t>
      </w:r>
      <w:r w:rsidR="00B433E6">
        <w:t xml:space="preserve">. </w:t>
      </w:r>
    </w:p>
    <w:p w14:paraId="26A367E3" w14:textId="77777777" w:rsidR="00A43CC9" w:rsidRDefault="00A43CC9" w:rsidP="00EF435A">
      <w:r>
        <w:t xml:space="preserve">When discussing standard 1.2.7 </w:t>
      </w:r>
      <w:r w:rsidRPr="00E420B2">
        <w:t xml:space="preserve">(Human resource management) </w:t>
      </w:r>
      <w:r>
        <w:t xml:space="preserve">participants would like to see the </w:t>
      </w:r>
      <w:r w:rsidR="002E7BAC">
        <w:t xml:space="preserve">inclusion of critical thinking in education programmes </w:t>
      </w:r>
      <w:r w:rsidR="002E7BAC" w:rsidRPr="00366FDD">
        <w:rPr>
          <w:i/>
        </w:rPr>
        <w:t>(Aged residential care)</w:t>
      </w:r>
      <w:r w:rsidR="002E7BAC">
        <w:t xml:space="preserve"> and the </w:t>
      </w:r>
      <w:r w:rsidRPr="00635567">
        <w:t>evaluat</w:t>
      </w:r>
      <w:r>
        <w:t>ion of training outcomes</w:t>
      </w:r>
      <w:r w:rsidR="002E7BAC">
        <w:t xml:space="preserve"> </w:t>
      </w:r>
      <w:r w:rsidR="0085031A">
        <w:t xml:space="preserve">being </w:t>
      </w:r>
      <w:r w:rsidR="002E7BAC">
        <w:t>strengthened</w:t>
      </w:r>
      <w:r w:rsidR="0085031A">
        <w:t xml:space="preserve"> in the standards</w:t>
      </w:r>
      <w:r>
        <w:t xml:space="preserve">. </w:t>
      </w:r>
      <w:r w:rsidR="002E7BAC" w:rsidRPr="00366FDD">
        <w:t>MHA</w:t>
      </w:r>
      <w:r>
        <w:t xml:space="preserve"> participants </w:t>
      </w:r>
      <w:r w:rsidR="002E7BAC">
        <w:t xml:space="preserve">want the peer support role </w:t>
      </w:r>
      <w:r>
        <w:t>retain</w:t>
      </w:r>
      <w:r w:rsidR="002E7BAC">
        <w:t>ed</w:t>
      </w:r>
      <w:r>
        <w:t xml:space="preserve"> being mindful not to over professionalise the workforce.</w:t>
      </w:r>
    </w:p>
    <w:p w14:paraId="65D524F6" w14:textId="77777777" w:rsidR="00325574" w:rsidRDefault="000821E0" w:rsidP="00EF435A">
      <w:r>
        <w:t xml:space="preserve">The emerging use of technology in health and disability services was well discussed across all workshops, with agreement there should be </w:t>
      </w:r>
      <w:r w:rsidR="00E5306C">
        <w:t>inclusion of</w:t>
      </w:r>
      <w:r w:rsidR="00325574">
        <w:t xml:space="preserve"> measuring and monitoring such technologies</w:t>
      </w:r>
      <w:r w:rsidR="00E5306C">
        <w:t xml:space="preserve"> in the standards</w:t>
      </w:r>
      <w:r w:rsidR="0085031A">
        <w:t xml:space="preserve"> </w:t>
      </w:r>
      <w:r w:rsidR="0085031A" w:rsidRPr="0085031A">
        <w:rPr>
          <w:i/>
        </w:rPr>
        <w:t>(</w:t>
      </w:r>
      <w:r w:rsidR="00E5306C">
        <w:rPr>
          <w:i/>
        </w:rPr>
        <w:t xml:space="preserve">DHB, </w:t>
      </w:r>
      <w:r w:rsidR="00342B27">
        <w:rPr>
          <w:i/>
        </w:rPr>
        <w:t xml:space="preserve">Disability, </w:t>
      </w:r>
      <w:r w:rsidR="0085031A" w:rsidRPr="0085031A">
        <w:rPr>
          <w:i/>
        </w:rPr>
        <w:t>Aged residential care)</w:t>
      </w:r>
      <w:r>
        <w:t>.</w:t>
      </w:r>
    </w:p>
    <w:p w14:paraId="3CF7E5BB" w14:textId="77777777" w:rsidR="00C6649C" w:rsidRPr="00635567" w:rsidRDefault="00C6649C" w:rsidP="00A90CDB">
      <w:pPr>
        <w:pStyle w:val="Heading3"/>
      </w:pPr>
      <w:bookmarkStart w:id="10" w:name="_Toc19179369"/>
      <w:r>
        <w:t>Part 3: Continuum of Care Delivery</w:t>
      </w:r>
      <w:bookmarkEnd w:id="10"/>
      <w:r w:rsidR="004E7FFA">
        <w:t xml:space="preserve"> </w:t>
      </w:r>
    </w:p>
    <w:p w14:paraId="0D351426" w14:textId="77777777" w:rsidR="00C6649C" w:rsidRDefault="001F408D" w:rsidP="00EF435A">
      <w:r w:rsidRPr="009D1639">
        <w:t xml:space="preserve">All workshop participants </w:t>
      </w:r>
      <w:r>
        <w:t>agreed to the concept of all health and disability services having the same outcome focused standards, with service specific guidance being developed</w:t>
      </w:r>
      <w:r w:rsidR="00CF3DC2">
        <w:t xml:space="preserve"> – acknowledging the notion of a ‘health standard’ and a ‘disability standard’ presented at the Disability workshop</w:t>
      </w:r>
      <w:r>
        <w:t>. T</w:t>
      </w:r>
      <w:r w:rsidR="00C6649C">
        <w:t xml:space="preserve">he importance of language </w:t>
      </w:r>
      <w:r>
        <w:t xml:space="preserve">was again raised </w:t>
      </w:r>
      <w:r w:rsidR="00E55C98">
        <w:t xml:space="preserve">suggesting the following: </w:t>
      </w:r>
      <w:r w:rsidR="00C6649C">
        <w:t xml:space="preserve"> patient centred and determined</w:t>
      </w:r>
      <w:r w:rsidR="00E55C98">
        <w:t xml:space="preserve"> </w:t>
      </w:r>
      <w:r w:rsidR="00E55C98" w:rsidRPr="0057795D">
        <w:rPr>
          <w:i/>
        </w:rPr>
        <w:t>(DHB, Aged residential care)</w:t>
      </w:r>
      <w:r w:rsidR="00E55C98">
        <w:t xml:space="preserve">, person centric </w:t>
      </w:r>
      <w:r w:rsidR="00E55C98" w:rsidRPr="0057795D">
        <w:rPr>
          <w:i/>
        </w:rPr>
        <w:t>(MHA</w:t>
      </w:r>
      <w:r w:rsidR="00766994">
        <w:rPr>
          <w:i/>
        </w:rPr>
        <w:t>, Disability</w:t>
      </w:r>
      <w:r w:rsidR="00E55C98" w:rsidRPr="0057795D">
        <w:rPr>
          <w:i/>
        </w:rPr>
        <w:t>)</w:t>
      </w:r>
      <w:r w:rsidR="00C6649C">
        <w:t xml:space="preserve">. There was </w:t>
      </w:r>
      <w:r w:rsidR="00805E27">
        <w:t xml:space="preserve">an interest in the development of specific criteria relating to Kaupapa services </w:t>
      </w:r>
      <w:r w:rsidR="00805E27" w:rsidRPr="0057795D">
        <w:rPr>
          <w:i/>
        </w:rPr>
        <w:t>(MHA)</w:t>
      </w:r>
      <w:r w:rsidR="00BC7CE6">
        <w:rPr>
          <w:i/>
        </w:rPr>
        <w:t>,</w:t>
      </w:r>
      <w:r w:rsidR="00C6649C">
        <w:t xml:space="preserve"> </w:t>
      </w:r>
      <w:r w:rsidR="00766994">
        <w:t xml:space="preserve">seeing </w:t>
      </w:r>
      <w:r w:rsidR="00C6649C">
        <w:t>an equity lens overlay</w:t>
      </w:r>
      <w:r w:rsidR="00766994">
        <w:t>ing</w:t>
      </w:r>
      <w:r w:rsidR="00C6649C">
        <w:t xml:space="preserve"> th</w:t>
      </w:r>
      <w:r w:rsidR="0057795D">
        <w:t>ese</w:t>
      </w:r>
      <w:r w:rsidR="00BC7CE6">
        <w:t xml:space="preserve"> </w:t>
      </w:r>
      <w:r w:rsidR="00C6649C">
        <w:t xml:space="preserve">standards </w:t>
      </w:r>
      <w:r w:rsidR="00805E27" w:rsidRPr="0057795D">
        <w:rPr>
          <w:i/>
        </w:rPr>
        <w:t>(DHB)</w:t>
      </w:r>
      <w:r w:rsidR="00BC7CE6">
        <w:rPr>
          <w:i/>
        </w:rPr>
        <w:t xml:space="preserve">, </w:t>
      </w:r>
      <w:r w:rsidR="00BC7CE6">
        <w:t xml:space="preserve">and </w:t>
      </w:r>
      <w:r>
        <w:t>having standards that are</w:t>
      </w:r>
      <w:r w:rsidR="00BC7CE6">
        <w:t xml:space="preserve"> sufficiently flexible to meet future models of care </w:t>
      </w:r>
      <w:r w:rsidR="00BC7CE6" w:rsidRPr="0057795D">
        <w:rPr>
          <w:i/>
        </w:rPr>
        <w:t>(Aged residential care)</w:t>
      </w:r>
      <w:r w:rsidR="00C6649C">
        <w:t>.</w:t>
      </w:r>
      <w:r w:rsidR="00805E27">
        <w:t xml:space="preserve"> </w:t>
      </w:r>
    </w:p>
    <w:p w14:paraId="4852A7C8" w14:textId="77777777" w:rsidR="000C4EF6" w:rsidRDefault="000C4EF6" w:rsidP="00EF435A">
      <w:r>
        <w:t xml:space="preserve">All workshops discussed the following standards as a ‘cluster’ - </w:t>
      </w:r>
      <w:r w:rsidR="002B5F4C">
        <w:t>s</w:t>
      </w:r>
      <w:r>
        <w:t xml:space="preserve">tandard 1.3.3 (Service provision requirements), </w:t>
      </w:r>
      <w:r w:rsidRPr="00E80FDD">
        <w:t>1.3.4 (Assessment), 1.3.5 (Planning), 1.3.6 (Intervention) and, 1.3.8 (Evaluation)</w:t>
      </w:r>
      <w:r>
        <w:t xml:space="preserve">. </w:t>
      </w:r>
      <w:r>
        <w:lastRenderedPageBreak/>
        <w:t>There was agreement that standard 1.3.3</w:t>
      </w:r>
      <w:r w:rsidR="00E5306C">
        <w:t xml:space="preserve"> could</w:t>
      </w:r>
      <w:r>
        <w:t xml:space="preserve"> be an overarching standard with the remaining sitting underneath. Specific guidance for different health and disability services is required. </w:t>
      </w:r>
    </w:p>
    <w:p w14:paraId="25FB836B" w14:textId="77777777" w:rsidR="00F13653" w:rsidRDefault="00F13653" w:rsidP="00EF435A">
      <w:r>
        <w:t xml:space="preserve">Standard </w:t>
      </w:r>
      <w:r w:rsidRPr="00B27186">
        <w:t>1.3.7 (Planned activities)</w:t>
      </w:r>
      <w:r>
        <w:t xml:space="preserve"> is the first identified that could be considered a ‘module’. The DHB workshop participants saw this as an ‘opt out’ standard. All other workshops saw the standard as relevant to their particular health and disability service setting. There was some thought that this standard should be moved to Part 1: Consumer rights to shift the focus from </w:t>
      </w:r>
      <w:r w:rsidRPr="00B27186">
        <w:t>provider led activities to meeting individual preferences</w:t>
      </w:r>
      <w:r>
        <w:t xml:space="preserve"> </w:t>
      </w:r>
      <w:r w:rsidRPr="00E52DBE">
        <w:rPr>
          <w:i/>
        </w:rPr>
        <w:t>(Aged residential care)</w:t>
      </w:r>
      <w:r>
        <w:t>. Participants were strong in the view the activities needed to be meaningful</w:t>
      </w:r>
      <w:r w:rsidR="00766994">
        <w:t xml:space="preserve"> </w:t>
      </w:r>
      <w:r w:rsidR="00766994" w:rsidRPr="00E52DBE">
        <w:rPr>
          <w:i/>
        </w:rPr>
        <w:t>(Disability, Aged residential care</w:t>
      </w:r>
      <w:r w:rsidR="00766994">
        <w:t>)</w:t>
      </w:r>
      <w:r>
        <w:t xml:space="preserve"> </w:t>
      </w:r>
      <w:r w:rsidR="00766994">
        <w:t xml:space="preserve">and fulfilling </w:t>
      </w:r>
      <w:r w:rsidR="00766994" w:rsidRPr="00E52DBE">
        <w:rPr>
          <w:i/>
        </w:rPr>
        <w:t>(D</w:t>
      </w:r>
      <w:r w:rsidR="00766994">
        <w:rPr>
          <w:i/>
        </w:rPr>
        <w:t>isability</w:t>
      </w:r>
      <w:r w:rsidR="00766994">
        <w:t xml:space="preserve">) </w:t>
      </w:r>
      <w:r>
        <w:t>to the individual</w:t>
      </w:r>
      <w:r w:rsidR="001B6BC5">
        <w:t>.</w:t>
      </w:r>
      <w:r>
        <w:t xml:space="preserve"> </w:t>
      </w:r>
      <w:r w:rsidR="00030B57">
        <w:t xml:space="preserve">The other current standard that was agreed as a service specific module was standard 1.3.11 </w:t>
      </w:r>
      <w:r w:rsidR="00030B57" w:rsidRPr="00831851">
        <w:t xml:space="preserve">(Electroconvulsive therapy (ECT)), </w:t>
      </w:r>
      <w:r w:rsidR="00E5306C">
        <w:t>noting</w:t>
      </w:r>
      <w:r w:rsidR="00030B57">
        <w:t xml:space="preserve"> the MHA group would be interested in guidance on Post ECT support.</w:t>
      </w:r>
    </w:p>
    <w:p w14:paraId="3CED5898" w14:textId="77777777" w:rsidR="00AE2936" w:rsidRDefault="00341959" w:rsidP="00EF435A">
      <w:r>
        <w:t xml:space="preserve">Standard 1.3.12 (Medication management) requires review – again the concept of an overarching standard with service specific guidance being the preference. The residential disability services </w:t>
      </w:r>
      <w:r w:rsidRPr="00E52DBE">
        <w:rPr>
          <w:i/>
        </w:rPr>
        <w:t xml:space="preserve">(MHA, </w:t>
      </w:r>
      <w:r w:rsidRPr="00E420B2">
        <w:rPr>
          <w:i/>
        </w:rPr>
        <w:t>Disability</w:t>
      </w:r>
      <w:r w:rsidRPr="00E52DBE">
        <w:rPr>
          <w:i/>
        </w:rPr>
        <w:t>)</w:t>
      </w:r>
      <w:r>
        <w:rPr>
          <w:i/>
        </w:rPr>
        <w:t xml:space="preserve"> </w:t>
      </w:r>
      <w:r>
        <w:t xml:space="preserve">raised the management of over the counter medications, and the use of ‘alternative’ health modalities (eg. Supplements) as current issues to be included in the reviewed standard/ guidance. </w:t>
      </w:r>
      <w:r w:rsidR="00993C6F">
        <w:t xml:space="preserve">There is an interest in strengthening the standard in respect of </w:t>
      </w:r>
      <w:r w:rsidR="00E5306C">
        <w:t>‘</w:t>
      </w:r>
      <w:r w:rsidR="00993C6F">
        <w:t>chemical restraint</w:t>
      </w:r>
      <w:r w:rsidR="00E5306C">
        <w:t>’</w:t>
      </w:r>
      <w:r w:rsidR="00993C6F">
        <w:t xml:space="preserve"> and covert administration </w:t>
      </w:r>
      <w:r w:rsidR="00993C6F" w:rsidRPr="00993C6F">
        <w:rPr>
          <w:i/>
        </w:rPr>
        <w:t>(Aged residential care)</w:t>
      </w:r>
      <w:r w:rsidR="00782B73">
        <w:rPr>
          <w:i/>
        </w:rPr>
        <w:t xml:space="preserve">, </w:t>
      </w:r>
      <w:r w:rsidR="00782B73">
        <w:t>noting ‘chemical restraint’ is both outdated and stigmati</w:t>
      </w:r>
      <w:r w:rsidR="002B5F4C">
        <w:t>s</w:t>
      </w:r>
      <w:r w:rsidR="00782B73">
        <w:t xml:space="preserve">ing </w:t>
      </w:r>
      <w:r w:rsidR="00782B73" w:rsidRPr="00782B73">
        <w:rPr>
          <w:i/>
        </w:rPr>
        <w:t>(Aged residential care)</w:t>
      </w:r>
      <w:r w:rsidR="00993C6F">
        <w:t xml:space="preserve">. </w:t>
      </w:r>
    </w:p>
    <w:p w14:paraId="786C85F3" w14:textId="77777777" w:rsidR="00954036" w:rsidRDefault="00FC14A0" w:rsidP="00954036">
      <w:r>
        <w:t xml:space="preserve">The last standard within the </w:t>
      </w:r>
      <w:r w:rsidR="00E5306C">
        <w:t>C</w:t>
      </w:r>
      <w:r>
        <w:t xml:space="preserve">ontinuum of Service Delivery - </w:t>
      </w:r>
      <w:r w:rsidR="00C6649C">
        <w:t xml:space="preserve">1.3.13 (Nutrition, Safe food, and Fluid Management) </w:t>
      </w:r>
      <w:r>
        <w:t xml:space="preserve">requires </w:t>
      </w:r>
      <w:r w:rsidR="00C6649C">
        <w:t>amendment.</w:t>
      </w:r>
      <w:r>
        <w:t xml:space="preserve"> </w:t>
      </w:r>
      <w:r w:rsidR="006805FF">
        <w:t xml:space="preserve">Workshop participants support </w:t>
      </w:r>
      <w:r>
        <w:t xml:space="preserve">the current standard </w:t>
      </w:r>
      <w:r w:rsidR="00E5306C">
        <w:t xml:space="preserve">being </w:t>
      </w:r>
      <w:r>
        <w:t xml:space="preserve">separated – one </w:t>
      </w:r>
      <w:r w:rsidR="00E52DBE">
        <w:t>to</w:t>
      </w:r>
      <w:r w:rsidR="00B8248A">
        <w:t xml:space="preserve"> </w:t>
      </w:r>
      <w:r>
        <w:t>guide nu</w:t>
      </w:r>
      <w:r w:rsidRPr="001D7ED3">
        <w:t>tritional support for the individual</w:t>
      </w:r>
      <w:r>
        <w:t>, the second food (and kitchen) safety and Food Control Plans</w:t>
      </w:r>
      <w:r w:rsidR="006805FF">
        <w:t xml:space="preserve"> </w:t>
      </w:r>
      <w:r w:rsidR="006805FF" w:rsidRPr="006805FF">
        <w:rPr>
          <w:i/>
        </w:rPr>
        <w:t>(Disability, Aged residential care)</w:t>
      </w:r>
      <w:r>
        <w:t>.</w:t>
      </w:r>
      <w:r w:rsidR="00B8248A">
        <w:t xml:space="preserve"> </w:t>
      </w:r>
      <w:r w:rsidR="006805FF">
        <w:t>Aged residential care</w:t>
      </w:r>
      <w:r w:rsidR="00B8248A">
        <w:t xml:space="preserve"> want stronger definition around </w:t>
      </w:r>
      <w:r w:rsidR="00B8248A" w:rsidRPr="001D7ED3">
        <w:t>intentional and unintentional weight loss</w:t>
      </w:r>
      <w:r w:rsidR="00E5306C">
        <w:t xml:space="preserve"> to be considered</w:t>
      </w:r>
      <w:r w:rsidR="00B8248A">
        <w:t xml:space="preserve">. </w:t>
      </w:r>
    </w:p>
    <w:p w14:paraId="765BA719" w14:textId="77777777" w:rsidR="00C6649C" w:rsidRDefault="00C6649C" w:rsidP="00954036">
      <w:pPr>
        <w:pStyle w:val="Heading3"/>
      </w:pPr>
      <w:bookmarkStart w:id="11" w:name="_Toc19179370"/>
      <w:r>
        <w:t>Part 4: Safe and Appropriate Environment</w:t>
      </w:r>
      <w:bookmarkEnd w:id="11"/>
    </w:p>
    <w:p w14:paraId="3526529C" w14:textId="77777777" w:rsidR="00C6649C" w:rsidRDefault="00D77965" w:rsidP="00EF435A">
      <w:r>
        <w:t xml:space="preserve">There was general agreement there are standards </w:t>
      </w:r>
      <w:r w:rsidR="00200C84">
        <w:t>within Part 4</w:t>
      </w:r>
      <w:r>
        <w:t xml:space="preserve"> that interface with infection prevention and control</w:t>
      </w:r>
      <w:r w:rsidR="00200C84">
        <w:t xml:space="preserve">. Participants want </w:t>
      </w:r>
      <w:r>
        <w:t xml:space="preserve">standard 1.4.1 (Management of waste and hazardous substances) </w:t>
      </w:r>
      <w:r w:rsidRPr="00E52DBE">
        <w:rPr>
          <w:i/>
        </w:rPr>
        <w:t>(Aged residential care)</w:t>
      </w:r>
      <w:r>
        <w:t xml:space="preserve"> and 1.4.6 (Cleaning and laundry) </w:t>
      </w:r>
      <w:r w:rsidRPr="00E52DBE">
        <w:rPr>
          <w:i/>
        </w:rPr>
        <w:t>(Aged residential care, DHB)</w:t>
      </w:r>
      <w:r>
        <w:t xml:space="preserve"> </w:t>
      </w:r>
      <w:r w:rsidR="00200C84">
        <w:t xml:space="preserve">moved </w:t>
      </w:r>
      <w:r>
        <w:t>into infection prevention and control standard/s.</w:t>
      </w:r>
      <w:r w:rsidR="00E52DBE">
        <w:t xml:space="preserve"> The</w:t>
      </w:r>
      <w:r w:rsidR="00616869">
        <w:t>re was general support for the</w:t>
      </w:r>
      <w:r w:rsidR="00616869" w:rsidRPr="00D42AD8">
        <w:t xml:space="preserve"> </w:t>
      </w:r>
      <w:r w:rsidR="00616869">
        <w:t xml:space="preserve">inclusion of </w:t>
      </w:r>
      <w:r w:rsidR="00616869" w:rsidRPr="00D42AD8">
        <w:t xml:space="preserve">sustainability and recycling </w:t>
      </w:r>
      <w:r w:rsidR="00616869">
        <w:t xml:space="preserve">practices </w:t>
      </w:r>
      <w:r w:rsidR="00616869" w:rsidRPr="00D42AD8">
        <w:t xml:space="preserve">in </w:t>
      </w:r>
      <w:r w:rsidR="00616869">
        <w:t xml:space="preserve">the </w:t>
      </w:r>
      <w:r w:rsidR="00E52DBE">
        <w:t xml:space="preserve">reviewed </w:t>
      </w:r>
      <w:r w:rsidR="00616869">
        <w:t xml:space="preserve">standards </w:t>
      </w:r>
      <w:r w:rsidR="00616869" w:rsidRPr="00E52DBE">
        <w:rPr>
          <w:i/>
        </w:rPr>
        <w:t>(MHA, DHB)</w:t>
      </w:r>
      <w:r w:rsidR="00E52DBE">
        <w:t>.</w:t>
      </w:r>
      <w:r w:rsidR="00616869">
        <w:t xml:space="preserve"> </w:t>
      </w:r>
    </w:p>
    <w:p w14:paraId="1A3BED23" w14:textId="77777777" w:rsidR="0039345A" w:rsidRDefault="00616869" w:rsidP="00EF435A">
      <w:r>
        <w:t xml:space="preserve">The residential workshops </w:t>
      </w:r>
      <w:r w:rsidR="0039345A">
        <w:t>emphasised the need for service relevant guidance</w:t>
      </w:r>
      <w:r>
        <w:t xml:space="preserve"> </w:t>
      </w:r>
      <w:r w:rsidRPr="00E52DBE">
        <w:rPr>
          <w:i/>
        </w:rPr>
        <w:t xml:space="preserve">(MHA, </w:t>
      </w:r>
      <w:r w:rsidRPr="00E420B2">
        <w:rPr>
          <w:i/>
        </w:rPr>
        <w:t>Disability</w:t>
      </w:r>
      <w:r w:rsidRPr="00E52DBE">
        <w:rPr>
          <w:i/>
        </w:rPr>
        <w:t>)</w:t>
      </w:r>
      <w:r w:rsidR="0039345A">
        <w:t xml:space="preserve"> to ensure the purported model</w:t>
      </w:r>
      <w:r w:rsidR="00E5306C">
        <w:t>s</w:t>
      </w:r>
      <w:r w:rsidR="0039345A">
        <w:t xml:space="preserve"> of care is being delivered</w:t>
      </w:r>
      <w:r>
        <w:t xml:space="preserve"> </w:t>
      </w:r>
      <w:r w:rsidRPr="00E52DBE">
        <w:rPr>
          <w:i/>
        </w:rPr>
        <w:t>(MHA)</w:t>
      </w:r>
      <w:r w:rsidR="0039345A">
        <w:t xml:space="preserve">. </w:t>
      </w:r>
      <w:r>
        <w:t>P</w:t>
      </w:r>
      <w:r w:rsidR="0039345A">
        <w:t xml:space="preserve">articipants stressed that residential </w:t>
      </w:r>
      <w:r>
        <w:t xml:space="preserve">services </w:t>
      </w:r>
      <w:r w:rsidR="0039345A">
        <w:t xml:space="preserve">are </w:t>
      </w:r>
      <w:r>
        <w:t>people’s</w:t>
      </w:r>
      <w:r w:rsidR="0039345A">
        <w:t xml:space="preserve"> homes and standards should be sufficiently flexible so as not to negatively impact this philosophy</w:t>
      </w:r>
      <w:r>
        <w:t xml:space="preserve"> </w:t>
      </w:r>
      <w:r w:rsidRPr="00E52DBE">
        <w:rPr>
          <w:i/>
        </w:rPr>
        <w:t>(MHA, Disability)</w:t>
      </w:r>
      <w:r w:rsidR="0039345A">
        <w:t xml:space="preserve">. </w:t>
      </w:r>
      <w:r w:rsidR="00B14F0A">
        <w:t>Aged residential care participants also reflected this notion: the environment standards need to reflect quality of life and individual needs, noting these services are the residents’ home.</w:t>
      </w:r>
    </w:p>
    <w:p w14:paraId="08050F9D" w14:textId="77777777" w:rsidR="00C6649C" w:rsidRPr="00A90CDB" w:rsidRDefault="00C6649C" w:rsidP="001536CF">
      <w:pPr>
        <w:pStyle w:val="Heading3"/>
      </w:pPr>
      <w:bookmarkStart w:id="12" w:name="_Toc19179371"/>
      <w:r w:rsidRPr="00A90CDB">
        <w:t>Restraint Minimisation and Safe Practice</w:t>
      </w:r>
      <w:bookmarkEnd w:id="12"/>
    </w:p>
    <w:p w14:paraId="4534C0D8" w14:textId="77777777" w:rsidR="008A3AAD" w:rsidRDefault="00775054" w:rsidP="00EF435A">
      <w:r>
        <w:t xml:space="preserve">All participants reported a restraint standard is required, noting the language needs to be reconsidered </w:t>
      </w:r>
      <w:r w:rsidR="00C6649C">
        <w:t>moving to a positive</w:t>
      </w:r>
      <w:r>
        <w:t xml:space="preserve"> framing eg. </w:t>
      </w:r>
      <w:r w:rsidR="00C6649C">
        <w:t>keeping safe (+ve) vs restraint (–ve)</w:t>
      </w:r>
      <w:r>
        <w:t xml:space="preserve"> </w:t>
      </w:r>
      <w:r w:rsidRPr="00ED42DB">
        <w:rPr>
          <w:i/>
        </w:rPr>
        <w:t>(DHB)</w:t>
      </w:r>
      <w:r w:rsidR="00C6649C">
        <w:t>.</w:t>
      </w:r>
      <w:r>
        <w:t xml:space="preserve"> MHA </w:t>
      </w:r>
      <w:r w:rsidR="008A3AAD">
        <w:t xml:space="preserve">workshop </w:t>
      </w:r>
      <w:r>
        <w:t>participants suggested terms such as: Safety for All, Harm Prevention, and Safety Support</w:t>
      </w:r>
      <w:r w:rsidR="008A3AAD">
        <w:t xml:space="preserve"> -</w:t>
      </w:r>
      <w:r>
        <w:t xml:space="preserve"> noting at the same workshop the consumer view was that the title should remain unchanged as it is the practice of restraint that is occurring</w:t>
      </w:r>
      <w:r w:rsidR="00ED42DB">
        <w:t>. The</w:t>
      </w:r>
      <w:r w:rsidR="008A3AAD">
        <w:t xml:space="preserve"> Disability workshop participants preferred</w:t>
      </w:r>
      <w:r w:rsidR="00ED42DB">
        <w:t xml:space="preserve"> language such as:</w:t>
      </w:r>
      <w:r w:rsidR="008A3AAD">
        <w:t xml:space="preserve"> positive behaviour support strategies</w:t>
      </w:r>
      <w:r>
        <w:t>.</w:t>
      </w:r>
      <w:r w:rsidR="008A3AAD">
        <w:t xml:space="preserve"> Workshop participants </w:t>
      </w:r>
      <w:r w:rsidR="008A3AAD">
        <w:lastRenderedPageBreak/>
        <w:t>remind</w:t>
      </w:r>
      <w:r w:rsidR="002B5F4C">
        <w:t>ed</w:t>
      </w:r>
      <w:r w:rsidR="00ED42DB">
        <w:t xml:space="preserve"> that</w:t>
      </w:r>
      <w:r w:rsidR="008A3AAD">
        <w:t xml:space="preserve"> the v</w:t>
      </w:r>
      <w:r w:rsidR="008A3AAD" w:rsidRPr="00ED42DB">
        <w:t xml:space="preserve">iews of the individual </w:t>
      </w:r>
      <w:r w:rsidR="008A3AAD">
        <w:t xml:space="preserve">are </w:t>
      </w:r>
      <w:r w:rsidR="008A3AAD" w:rsidRPr="00ED42DB">
        <w:t xml:space="preserve">paramount </w:t>
      </w:r>
      <w:r w:rsidR="008A3AAD">
        <w:t xml:space="preserve">particularly around the </w:t>
      </w:r>
      <w:r w:rsidR="008A3AAD" w:rsidRPr="00ED42DB">
        <w:t>use</w:t>
      </w:r>
      <w:r w:rsidR="008A3AAD">
        <w:t xml:space="preserve"> and</w:t>
      </w:r>
      <w:r w:rsidR="008A3AAD" w:rsidRPr="00ED42DB">
        <w:t xml:space="preserve"> duration</w:t>
      </w:r>
      <w:r w:rsidR="008A3AAD">
        <w:t xml:space="preserve"> of restraint </w:t>
      </w:r>
      <w:r w:rsidR="008A3AAD" w:rsidRPr="00ED42DB">
        <w:rPr>
          <w:i/>
        </w:rPr>
        <w:t>(</w:t>
      </w:r>
      <w:r w:rsidR="008A3AAD" w:rsidRPr="00E420B2">
        <w:rPr>
          <w:i/>
        </w:rPr>
        <w:t>Disability</w:t>
      </w:r>
      <w:r w:rsidR="008A3AAD" w:rsidRPr="00ED42DB">
        <w:rPr>
          <w:i/>
        </w:rPr>
        <w:t>)</w:t>
      </w:r>
      <w:r w:rsidR="008A3AAD">
        <w:rPr>
          <w:i/>
        </w:rPr>
        <w:t>.</w:t>
      </w:r>
      <w:r>
        <w:t xml:space="preserve"> </w:t>
      </w:r>
    </w:p>
    <w:p w14:paraId="13D6EAE6" w14:textId="77777777" w:rsidR="00775054" w:rsidRPr="00E420B2" w:rsidRDefault="00775054" w:rsidP="00EF435A">
      <w:r>
        <w:t xml:space="preserve">All participants </w:t>
      </w:r>
      <w:r w:rsidR="00ED42DB">
        <w:t xml:space="preserve">agree </w:t>
      </w:r>
      <w:r>
        <w:t xml:space="preserve">the definitions relating to restraint be reviewed as they are currently perceived </w:t>
      </w:r>
      <w:r w:rsidR="00E5306C">
        <w:t>to be</w:t>
      </w:r>
      <w:r>
        <w:t xml:space="preserve"> too narrow </w:t>
      </w:r>
      <w:r w:rsidRPr="00ED42DB">
        <w:rPr>
          <w:i/>
        </w:rPr>
        <w:t>(MHA</w:t>
      </w:r>
      <w:r w:rsidR="00831851">
        <w:rPr>
          <w:i/>
        </w:rPr>
        <w:t>, Aged residential care</w:t>
      </w:r>
      <w:r w:rsidRPr="00ED42DB">
        <w:rPr>
          <w:i/>
        </w:rPr>
        <w:t>)</w:t>
      </w:r>
      <w:r>
        <w:rPr>
          <w:i/>
        </w:rPr>
        <w:t xml:space="preserve">, </w:t>
      </w:r>
      <w:r>
        <w:t>and clarity is</w:t>
      </w:r>
      <w:r w:rsidR="00831851">
        <w:t xml:space="preserve"> to</w:t>
      </w:r>
      <w:r>
        <w:t xml:space="preserve"> be sought around restraint and enablers </w:t>
      </w:r>
      <w:r w:rsidRPr="00ED42DB">
        <w:rPr>
          <w:i/>
        </w:rPr>
        <w:t>(Aged residential care)</w:t>
      </w:r>
      <w:r>
        <w:rPr>
          <w:i/>
        </w:rPr>
        <w:t xml:space="preserve">. </w:t>
      </w:r>
      <w:r>
        <w:t>All participants want to see the current structure of the standards – ie. Approval of restraint, assessment, safe use (monitoring) and evaluation, remain</w:t>
      </w:r>
      <w:r w:rsidR="00E5306C">
        <w:t xml:space="preserve"> in some form</w:t>
      </w:r>
      <w:r>
        <w:t>.</w:t>
      </w:r>
    </w:p>
    <w:p w14:paraId="36FE3785" w14:textId="77777777" w:rsidR="007235B4" w:rsidRDefault="00775054" w:rsidP="00EF435A">
      <w:r>
        <w:t xml:space="preserve">There was discussion around the importance of training </w:t>
      </w:r>
      <w:r w:rsidR="00D70AC6">
        <w:t xml:space="preserve">with the inclusion of verbal de-escalation </w:t>
      </w:r>
      <w:r w:rsidR="00D70AC6" w:rsidRPr="000A0A26">
        <w:rPr>
          <w:i/>
        </w:rPr>
        <w:t>(DHB)</w:t>
      </w:r>
      <w:r w:rsidR="00D70AC6">
        <w:t xml:space="preserve">, and staff safety </w:t>
      </w:r>
      <w:r w:rsidR="00D70AC6" w:rsidRPr="000A0A26">
        <w:rPr>
          <w:i/>
        </w:rPr>
        <w:t>(MHA)</w:t>
      </w:r>
      <w:r w:rsidR="00D70AC6">
        <w:rPr>
          <w:i/>
        </w:rPr>
        <w:t xml:space="preserve">, </w:t>
      </w:r>
      <w:r w:rsidR="00D70AC6">
        <w:t>and</w:t>
      </w:r>
      <w:r w:rsidR="00E5306C">
        <w:t xml:space="preserve"> the requirement to</w:t>
      </w:r>
      <w:r w:rsidR="00D70AC6">
        <w:t xml:space="preserve"> hav</w:t>
      </w:r>
      <w:r w:rsidR="00E5306C">
        <w:t>e</w:t>
      </w:r>
      <w:r w:rsidR="00D70AC6">
        <w:t xml:space="preserve"> a workforce strategy to support staff competency </w:t>
      </w:r>
      <w:r w:rsidR="00D70AC6" w:rsidRPr="00ED42DB">
        <w:rPr>
          <w:i/>
        </w:rPr>
        <w:t>(Disability)</w:t>
      </w:r>
      <w:r w:rsidR="00D70AC6">
        <w:t xml:space="preserve"> included </w:t>
      </w:r>
      <w:r w:rsidR="00E5306C">
        <w:t>in</w:t>
      </w:r>
      <w:r>
        <w:t xml:space="preserve"> this standard</w:t>
      </w:r>
      <w:r w:rsidRPr="00ED42DB">
        <w:rPr>
          <w:i/>
        </w:rPr>
        <w:t>.</w:t>
      </w:r>
      <w:r>
        <w:t xml:space="preserve"> </w:t>
      </w:r>
      <w:r w:rsidR="00C52CDA">
        <w:t>There was general agreement that chemical restraint could hold a stronger profile in the reviewed standa</w:t>
      </w:r>
      <w:r w:rsidR="00760FAC">
        <w:t xml:space="preserve">rds </w:t>
      </w:r>
      <w:r w:rsidR="00760FAC" w:rsidRPr="00ED42DB">
        <w:rPr>
          <w:i/>
        </w:rPr>
        <w:t>(Aged residential care, MHA),</w:t>
      </w:r>
      <w:r w:rsidR="00760FAC">
        <w:t xml:space="preserve"> and the work of the Ombudsman’s Office should not be duplicated </w:t>
      </w:r>
      <w:r w:rsidR="00760FAC" w:rsidRPr="00ED42DB">
        <w:rPr>
          <w:i/>
        </w:rPr>
        <w:t>(Aged residential care)</w:t>
      </w:r>
      <w:r w:rsidR="00760FAC">
        <w:rPr>
          <w:i/>
        </w:rPr>
        <w:t>.</w:t>
      </w:r>
      <w:r w:rsidR="00760FAC">
        <w:t xml:space="preserve"> </w:t>
      </w:r>
    </w:p>
    <w:p w14:paraId="51A4CB79" w14:textId="77777777" w:rsidR="00C6649C" w:rsidRPr="00ED42DB" w:rsidRDefault="00C6649C" w:rsidP="001536CF">
      <w:pPr>
        <w:pStyle w:val="Heading3"/>
      </w:pPr>
      <w:bookmarkStart w:id="13" w:name="_Toc19179372"/>
      <w:r w:rsidRPr="00ED42DB">
        <w:t>Seclusion</w:t>
      </w:r>
      <w:bookmarkEnd w:id="13"/>
    </w:p>
    <w:p w14:paraId="3A1EB8D9" w14:textId="77777777" w:rsidR="003C414C" w:rsidRPr="00ED6CEF" w:rsidRDefault="00E248B2" w:rsidP="00EF435A">
      <w:r>
        <w:t xml:space="preserve">This is essentially a practice contained to the DHB health services and the general view is this should be a ‘module’ that can services can ‘opt out’ of. MHA workshop participants noted there may be instances where seclusion occurs and would therefore invite the </w:t>
      </w:r>
      <w:r w:rsidR="003C414C">
        <w:t>definition</w:t>
      </w:r>
      <w:r>
        <w:t xml:space="preserve"> to be</w:t>
      </w:r>
      <w:r w:rsidR="003C414C">
        <w:t xml:space="preserve"> extended to this group.</w:t>
      </w:r>
    </w:p>
    <w:p w14:paraId="47A63925" w14:textId="77777777" w:rsidR="00C6649C" w:rsidRPr="00ED42DB" w:rsidRDefault="00C6649C" w:rsidP="001536CF">
      <w:pPr>
        <w:pStyle w:val="Heading3"/>
      </w:pPr>
      <w:bookmarkStart w:id="14" w:name="_Toc19179373"/>
      <w:r w:rsidRPr="00ED42DB">
        <w:t>Infection Prevention &amp; Control</w:t>
      </w:r>
      <w:bookmarkEnd w:id="14"/>
    </w:p>
    <w:p w14:paraId="4EEB11E3" w14:textId="77777777" w:rsidR="00C6649C" w:rsidRDefault="006149C4" w:rsidP="00EF435A">
      <w:r>
        <w:t xml:space="preserve">All workshop participants agreed dedicated infection prevention and control standards </w:t>
      </w:r>
      <w:r w:rsidR="00DE398D">
        <w:t xml:space="preserve">are required </w:t>
      </w:r>
      <w:r>
        <w:t xml:space="preserve">for </w:t>
      </w:r>
      <w:r w:rsidR="00DE398D">
        <w:t xml:space="preserve">all health and disability services with guidance particular to service types </w:t>
      </w:r>
      <w:r w:rsidR="00DE398D" w:rsidRPr="00ED42DB">
        <w:rPr>
          <w:i/>
        </w:rPr>
        <w:t>(MHA, Disability)</w:t>
      </w:r>
      <w:r w:rsidR="00DE398D">
        <w:rPr>
          <w:i/>
        </w:rPr>
        <w:t xml:space="preserve">. </w:t>
      </w:r>
      <w:r w:rsidR="00DE398D">
        <w:t xml:space="preserve">There is interest in consideration being given to national initiatives </w:t>
      </w:r>
      <w:r w:rsidR="00DE398D" w:rsidRPr="00ED42DB">
        <w:rPr>
          <w:i/>
        </w:rPr>
        <w:t>(DHB)</w:t>
      </w:r>
      <w:r w:rsidR="00FF138A">
        <w:rPr>
          <w:i/>
        </w:rPr>
        <w:t xml:space="preserve"> </w:t>
      </w:r>
      <w:r w:rsidR="00FF138A">
        <w:t>and that the language of the standards include terms such as ‘evidenced based practice’ and ‘appropriate’</w:t>
      </w:r>
      <w:r w:rsidR="00FF138A" w:rsidRPr="00ED42DB">
        <w:rPr>
          <w:i/>
        </w:rPr>
        <w:t xml:space="preserve"> (Aged residential care)</w:t>
      </w:r>
      <w:r w:rsidR="00FF138A">
        <w:t xml:space="preserve">. </w:t>
      </w:r>
      <w:r w:rsidR="00C6649C">
        <w:t>It was recommended that a dedicated working group be formed specifically for IPC standards comprising IPC specialist staff</w:t>
      </w:r>
      <w:r w:rsidR="00FF138A">
        <w:t xml:space="preserve"> </w:t>
      </w:r>
      <w:r w:rsidR="00FF138A" w:rsidRPr="00ED42DB">
        <w:rPr>
          <w:i/>
        </w:rPr>
        <w:t>(DHB)</w:t>
      </w:r>
      <w:r w:rsidR="00C6649C">
        <w:t>.</w:t>
      </w:r>
    </w:p>
    <w:p w14:paraId="2B1A1C50" w14:textId="77777777" w:rsidR="00A90CDB" w:rsidRDefault="00A90CDB" w:rsidP="00A90CDB">
      <w:pPr>
        <w:pStyle w:val="Heading2"/>
      </w:pPr>
      <w:bookmarkStart w:id="15" w:name="_Toc19179374"/>
      <w:r w:rsidRPr="00A90CDB">
        <w:t>Home and Community Support Services Standard</w:t>
      </w:r>
      <w:bookmarkEnd w:id="15"/>
    </w:p>
    <w:p w14:paraId="23BD03A7" w14:textId="77777777" w:rsidR="00070ACE" w:rsidRDefault="00782B73" w:rsidP="00EF435A">
      <w:r w:rsidRPr="007B583A">
        <w:t xml:space="preserve">The </w:t>
      </w:r>
      <w:r>
        <w:t xml:space="preserve">home and community support </w:t>
      </w:r>
      <w:r w:rsidRPr="007B583A">
        <w:t>services scoping workshop was held 1</w:t>
      </w:r>
      <w:r>
        <w:t>2</w:t>
      </w:r>
      <w:r w:rsidRPr="007B583A">
        <w:t xml:space="preserve"> </w:t>
      </w:r>
      <w:r>
        <w:t>August</w:t>
      </w:r>
      <w:r w:rsidRPr="007B583A">
        <w:t xml:space="preserve"> (2019)</w:t>
      </w:r>
      <w:r>
        <w:t xml:space="preserve"> with workshop participants considering the suitability of adopting a modular approach to standards review. </w:t>
      </w:r>
      <w:r w:rsidR="003D35EF">
        <w:t>F</w:t>
      </w:r>
      <w:r w:rsidR="00FA00FF">
        <w:t xml:space="preserve">eedback can be seen as Appendix </w:t>
      </w:r>
      <w:r w:rsidR="00FA00FF" w:rsidRPr="00FA00FF">
        <w:t>B</w:t>
      </w:r>
      <w:r w:rsidR="00FA00FF">
        <w:t>.</w:t>
      </w:r>
      <w:r w:rsidR="00070ACE">
        <w:t xml:space="preserve"> </w:t>
      </w:r>
    </w:p>
    <w:p w14:paraId="2541E84C" w14:textId="77777777" w:rsidR="00070ACE" w:rsidRPr="00070ACE" w:rsidRDefault="00E5306C" w:rsidP="00A90CDB">
      <w:pPr>
        <w:pStyle w:val="Heading3"/>
      </w:pPr>
      <w:bookmarkStart w:id="16" w:name="_Toc19179375"/>
      <w:r w:rsidRPr="00070ACE">
        <w:t>Part 1: Consumer rights</w:t>
      </w:r>
      <w:bookmarkEnd w:id="16"/>
      <w:r w:rsidR="00070ACE" w:rsidRPr="00070ACE">
        <w:t xml:space="preserve"> </w:t>
      </w:r>
    </w:p>
    <w:p w14:paraId="6C798226" w14:textId="77777777" w:rsidR="00070ACE" w:rsidRDefault="00E5306C" w:rsidP="00EF435A">
      <w:r w:rsidRPr="000636AF">
        <w:t>Workshop participants agreed a dedicated section on consumer rights be part of a ne</w:t>
      </w:r>
      <w:r>
        <w:t xml:space="preserve">w suite of standards, noting standards need to be outcome focused. Throughout the workshop participants raised the emerging models of care, particularly individualised funding and the impact on audit/ monitoring against the standard. </w:t>
      </w:r>
    </w:p>
    <w:p w14:paraId="0C82E425" w14:textId="77777777" w:rsidR="00E5306C" w:rsidRPr="000636AF" w:rsidRDefault="00E5306C" w:rsidP="00EF435A">
      <w:pPr>
        <w:rPr>
          <w:b/>
          <w:bCs/>
        </w:rPr>
      </w:pPr>
      <w:r>
        <w:t>Workshop participants were</w:t>
      </w:r>
      <w:r w:rsidRPr="000636AF">
        <w:t xml:space="preserve"> interest</w:t>
      </w:r>
      <w:r>
        <w:t>ed</w:t>
      </w:r>
      <w:r w:rsidRPr="000636AF">
        <w:t xml:space="preserve"> in </w:t>
      </w:r>
      <w:r>
        <w:t xml:space="preserve">seeing </w:t>
      </w:r>
      <w:r w:rsidRPr="000636AF">
        <w:t xml:space="preserve">the language </w:t>
      </w:r>
      <w:r>
        <w:t xml:space="preserve">of the standards </w:t>
      </w:r>
      <w:r w:rsidRPr="000636AF">
        <w:t xml:space="preserve">reviewed </w:t>
      </w:r>
      <w:r>
        <w:t>with terms such as: overarching ‘</w:t>
      </w:r>
      <w:r w:rsidRPr="000636AF">
        <w:t>s</w:t>
      </w:r>
      <w:r>
        <w:t>pirit of care’ statements with ‘sign-posts’ to guidance particular to service types. There is agreement to a strengths based approach to language adopted.</w:t>
      </w:r>
    </w:p>
    <w:p w14:paraId="14770821" w14:textId="77777777" w:rsidR="00E5306C" w:rsidRPr="00B01339" w:rsidRDefault="00E5306C" w:rsidP="00A90CDB">
      <w:pPr>
        <w:rPr>
          <w:b/>
          <w:bCs/>
          <w:i/>
        </w:rPr>
      </w:pPr>
      <w:r w:rsidRPr="00B01339">
        <w:lastRenderedPageBreak/>
        <w:t xml:space="preserve">When discussing standard 1.1.4 (Recognition of </w:t>
      </w:r>
      <w:r w:rsidR="00891D9F">
        <w:t>Māori</w:t>
      </w:r>
      <w:r w:rsidRPr="00B01339">
        <w:t xml:space="preserve"> Values and Beliefs) participants supported a</w:t>
      </w:r>
      <w:r>
        <w:t>n</w:t>
      </w:r>
      <w:r w:rsidRPr="00B01339">
        <w:t xml:space="preserve"> overarching standard relating to </w:t>
      </w:r>
      <w:r w:rsidR="00891D9F">
        <w:t>Māori</w:t>
      </w:r>
      <w:r w:rsidRPr="00B01339">
        <w:t xml:space="preserve">, with </w:t>
      </w:r>
      <w:r>
        <w:t xml:space="preserve">inclusion across other </w:t>
      </w:r>
      <w:r w:rsidRPr="00B01339">
        <w:t>parts of the standard</w:t>
      </w:r>
      <w:r>
        <w:t>. There was also interest in strengthening the standards for Kaupapa services noting ACC are ‘doing a lot’ of work in this regard. The group were interested in standard 1.3 (Individual values and beliefs) being broadened to include all forms of diversity</w:t>
      </w:r>
      <w:r w:rsidRPr="00B01339">
        <w:rPr>
          <w:i/>
        </w:rPr>
        <w:t>.</w:t>
      </w:r>
    </w:p>
    <w:p w14:paraId="357FA5AB" w14:textId="77777777" w:rsidR="00E5306C" w:rsidRDefault="00E5306C" w:rsidP="00EF435A">
      <w:r w:rsidRPr="00F17E15">
        <w:t>Workshop</w:t>
      </w:r>
      <w:r w:rsidRPr="00B01339">
        <w:t xml:space="preserve"> participants discussed standard 1.</w:t>
      </w:r>
      <w:r>
        <w:t>6</w:t>
      </w:r>
      <w:r w:rsidRPr="00B01339">
        <w:t xml:space="preserve"> (Communication)</w:t>
      </w:r>
      <w:r>
        <w:t xml:space="preserve"> at length, noting communication is two-way, and the consumer needs to have a voice. There was general agreement that the quality and risk aspects of standard 1.9 (Complaints) could move to standard 2.3 (Quality and risk management).</w:t>
      </w:r>
    </w:p>
    <w:p w14:paraId="7D035620" w14:textId="77777777" w:rsidR="00E5306C" w:rsidRDefault="00E5306C" w:rsidP="00A90CDB">
      <w:pPr>
        <w:pStyle w:val="Heading3"/>
      </w:pPr>
      <w:bookmarkStart w:id="17" w:name="_Toc19179376"/>
      <w:r>
        <w:t>Part 2: Organisational Management &amp; Part 3: Human Resources</w:t>
      </w:r>
      <w:bookmarkEnd w:id="17"/>
    </w:p>
    <w:p w14:paraId="040C14FF" w14:textId="77777777" w:rsidR="00E5306C" w:rsidRDefault="00E5306C" w:rsidP="00EF435A">
      <w:r w:rsidRPr="00A25AEB">
        <w:t>Workshop participants</w:t>
      </w:r>
      <w:r>
        <w:t xml:space="preserve"> </w:t>
      </w:r>
      <w:r w:rsidR="00B81F1B">
        <w:t xml:space="preserve">want </w:t>
      </w:r>
      <w:r>
        <w:t xml:space="preserve">stronger guidance </w:t>
      </w:r>
      <w:r w:rsidR="00B81F1B">
        <w:t>around</w:t>
      </w:r>
      <w:r>
        <w:t xml:space="preserve"> standard 2.1 (Governance)</w:t>
      </w:r>
      <w:r w:rsidR="00B81F1B">
        <w:t xml:space="preserve"> and</w:t>
      </w:r>
      <w:r>
        <w:t xml:space="preserve"> interest in having complaints and adverse event processes embedded into current standard 2.3 (Quality and risk management) with measurement of the quality system demonstrating a participatory and outcome model.</w:t>
      </w:r>
    </w:p>
    <w:p w14:paraId="5E8E286B" w14:textId="77777777" w:rsidR="00E5306C" w:rsidRDefault="00E5306C" w:rsidP="00EF435A">
      <w:r>
        <w:t>The group thought standard 2.5 (Entry to and exit from services) should be aligned to Service Delivery (Part 4), and would prefer “access” in the title. The three standards within Part 3 relate to recruitment, induction and competency of the workforce, and health and safety. The group are looking for guidance within the standard that is inclusive of the new employment legislation. In addition there is interest in seeing health and safety being included at governance with agreed understanding of meaning and intent.</w:t>
      </w:r>
    </w:p>
    <w:p w14:paraId="0EB16A0A" w14:textId="77777777" w:rsidR="00E5306C" w:rsidRPr="00635567" w:rsidRDefault="00E5306C" w:rsidP="00A90CDB">
      <w:pPr>
        <w:pStyle w:val="Heading3"/>
      </w:pPr>
      <w:bookmarkStart w:id="18" w:name="_Toc19179377"/>
      <w:r>
        <w:t>Part 4: Service delivery</w:t>
      </w:r>
      <w:bookmarkEnd w:id="18"/>
    </w:p>
    <w:p w14:paraId="473DBAF4" w14:textId="77777777" w:rsidR="00E5306C" w:rsidRDefault="00E5306C" w:rsidP="00EF435A">
      <w:r w:rsidRPr="001036B9">
        <w:t xml:space="preserve">Workshop participants again emphasised the importance of the language used, recommending </w:t>
      </w:r>
      <w:r>
        <w:t xml:space="preserve">simplifying where able – suggested: ‘What matters to you’, ‘Living well’. The group believe reviewed standards should be sufficiently flexible to meet future models of care – in particular individualised funding. Participants noted </w:t>
      </w:r>
      <w:r w:rsidR="00891D9F">
        <w:t>whānau</w:t>
      </w:r>
      <w:r>
        <w:t xml:space="preserve"> is missing throughout the standards and the concept needs to be embedded with defined outcomes included.</w:t>
      </w:r>
    </w:p>
    <w:p w14:paraId="2639FAC2" w14:textId="77777777" w:rsidR="00E5306C" w:rsidRDefault="00E5306C" w:rsidP="00EF435A">
      <w:r>
        <w:t xml:space="preserve">Standard 4.1 (Service agreement) is a required standard noting the alignment with the contract. Discussion around consolidating standard 4.2 (Promoting and supporting independence) and 4.3 (links with other groups), however there was concern that by consolidating, important aspects may be ‘watered down’. A similar discussion was held around standards 4.4 (Service delivery planning), 4.5 (Implementation of individual service plan) and 4.11 (Review of service delivery), participants prefer these remain as dedicated standards with person focused language – “My plan”. </w:t>
      </w:r>
    </w:p>
    <w:p w14:paraId="1955AF55" w14:textId="77777777" w:rsidR="003866F3" w:rsidRDefault="00E5306C" w:rsidP="00EF435A">
      <w:r>
        <w:t>In respect of standard 4.6 (Medicine management) the group acknowledged this is a complex area that needs further discussion, with an interest in e-prescribing being implemented within this sector. There is also interest in retaining current standards 4.7 (Infection prevention and control), 4.9 (Nutrition and safe food management), 4.10 (Skin integrity) and 4.12 (Challenging behaviour).</w:t>
      </w:r>
    </w:p>
    <w:p w14:paraId="073414F7" w14:textId="77777777" w:rsidR="00FA00FF" w:rsidRDefault="00FA00FF" w:rsidP="00EF435A">
      <w:pPr>
        <w:sectPr w:rsidR="00FA00FF" w:rsidSect="00EF435A">
          <w:pgSz w:w="11906" w:h="16838" w:code="9"/>
          <w:pgMar w:top="1418" w:right="1418" w:bottom="1134" w:left="1418" w:header="709" w:footer="709" w:gutter="0"/>
          <w:cols w:space="708"/>
          <w:docGrid w:linePitch="360"/>
        </w:sectPr>
      </w:pPr>
    </w:p>
    <w:p w14:paraId="74150D56" w14:textId="77777777" w:rsidR="007A7079" w:rsidRDefault="007A7079" w:rsidP="007A7079"/>
    <w:p w14:paraId="66AD92A0" w14:textId="77777777" w:rsidR="007A7079" w:rsidRDefault="007A7079" w:rsidP="007A7079"/>
    <w:p w14:paraId="2BDF0407" w14:textId="77777777" w:rsidR="007A7079" w:rsidRDefault="007A7079" w:rsidP="007A7079"/>
    <w:p w14:paraId="25AA5CB5" w14:textId="77777777" w:rsidR="007A7079" w:rsidRDefault="007A7079" w:rsidP="007A7079"/>
    <w:p w14:paraId="13B34F44" w14:textId="77777777" w:rsidR="00FA00FF" w:rsidRDefault="00FA00FF" w:rsidP="00074E8E">
      <w:pPr>
        <w:pStyle w:val="Heading2"/>
      </w:pPr>
      <w:bookmarkStart w:id="19" w:name="_Toc19179378"/>
      <w:r w:rsidRPr="00BF2491">
        <w:t xml:space="preserve">Appendix A: </w:t>
      </w:r>
      <w:r w:rsidR="00BF2491">
        <w:t>Scoping Workshops pertaining to Health and Disability Services Standards</w:t>
      </w:r>
      <w:bookmarkEnd w:id="19"/>
    </w:p>
    <w:p w14:paraId="60F4B06E" w14:textId="77777777" w:rsidR="00BF2491" w:rsidRDefault="00BF2491" w:rsidP="00EF435A"/>
    <w:p w14:paraId="262145CD" w14:textId="77777777" w:rsidR="00AA40C1" w:rsidRDefault="00AA40C1" w:rsidP="00EF435A"/>
    <w:p w14:paraId="657F9B24" w14:textId="77777777" w:rsidR="00BF2491" w:rsidRDefault="00BF2491" w:rsidP="00EF435A"/>
    <w:p w14:paraId="6B6FB3D4" w14:textId="77777777" w:rsidR="00BF2491" w:rsidRDefault="00BF2491" w:rsidP="00074E8E">
      <w:pPr>
        <w:pStyle w:val="Subtitle"/>
      </w:pPr>
      <w:r w:rsidRPr="001346E7">
        <w:t xml:space="preserve">Scoping </w:t>
      </w:r>
      <w:r>
        <w:t>Workshops Summary</w:t>
      </w:r>
      <w:r w:rsidRPr="001346E7">
        <w:t>:</w:t>
      </w:r>
    </w:p>
    <w:p w14:paraId="3752C09B" w14:textId="77777777" w:rsidR="00BF2491" w:rsidRDefault="00BF2491" w:rsidP="00EF435A"/>
    <w:p w14:paraId="7CB3C60F" w14:textId="77777777" w:rsidR="00AA40C1" w:rsidRDefault="00AA40C1" w:rsidP="00EF435A"/>
    <w:p w14:paraId="17C21FCB" w14:textId="77777777" w:rsidR="00AA40C1" w:rsidRPr="00BF2491" w:rsidRDefault="00AA40C1" w:rsidP="00EF435A"/>
    <w:p w14:paraId="0D4A696B" w14:textId="77777777" w:rsidR="00BF2491" w:rsidRPr="001536CF" w:rsidRDefault="00BF2491" w:rsidP="00074E8E">
      <w:pPr>
        <w:pStyle w:val="Subtitle"/>
        <w:rPr>
          <w:b w:val="0"/>
          <w:sz w:val="20"/>
        </w:rPr>
      </w:pPr>
      <w:r w:rsidRPr="001536CF">
        <w:rPr>
          <w:b w:val="0"/>
          <w:sz w:val="20"/>
        </w:rPr>
        <w:t>District Health Board Inpatient Hospitals, Private Surgical Hospitals, Birthing Units, Hospices (20 May 2019)</w:t>
      </w:r>
    </w:p>
    <w:p w14:paraId="7ABAE9F6" w14:textId="77777777" w:rsidR="00BF2491" w:rsidRPr="00074E8E" w:rsidRDefault="00BF2491" w:rsidP="00074E8E">
      <w:pPr>
        <w:pStyle w:val="Subtitle"/>
        <w:rPr>
          <w:b w:val="0"/>
          <w:sz w:val="20"/>
        </w:rPr>
      </w:pPr>
      <w:r w:rsidRPr="00074E8E">
        <w:rPr>
          <w:b w:val="0"/>
          <w:sz w:val="20"/>
        </w:rPr>
        <w:t>Residential Mental Health and Residential Alcohol and Drug Addiction (31 May 2019)</w:t>
      </w:r>
    </w:p>
    <w:p w14:paraId="6FAE7621" w14:textId="77777777" w:rsidR="00BF2491" w:rsidRPr="00074E8E" w:rsidRDefault="00BF2491" w:rsidP="00074E8E">
      <w:pPr>
        <w:pStyle w:val="Subtitle"/>
        <w:rPr>
          <w:b w:val="0"/>
          <w:sz w:val="20"/>
        </w:rPr>
      </w:pPr>
      <w:r w:rsidRPr="00074E8E">
        <w:rPr>
          <w:b w:val="0"/>
          <w:sz w:val="20"/>
        </w:rPr>
        <w:t>Aged Residential Care – Christchurch (31 July 2019)</w:t>
      </w:r>
    </w:p>
    <w:p w14:paraId="12F6C242" w14:textId="77777777" w:rsidR="00BF2491" w:rsidRPr="00074E8E" w:rsidRDefault="00BF2491" w:rsidP="00074E8E">
      <w:pPr>
        <w:pStyle w:val="Subtitle"/>
        <w:rPr>
          <w:b w:val="0"/>
          <w:sz w:val="20"/>
        </w:rPr>
      </w:pPr>
      <w:r w:rsidRPr="00074E8E">
        <w:rPr>
          <w:b w:val="0"/>
          <w:sz w:val="20"/>
        </w:rPr>
        <w:t>Residential Disability (6 August 2019)</w:t>
      </w:r>
    </w:p>
    <w:p w14:paraId="1F87119B" w14:textId="77777777" w:rsidR="00BF2491" w:rsidRPr="00074E8E" w:rsidRDefault="00BF2491" w:rsidP="00074E8E">
      <w:pPr>
        <w:pStyle w:val="Subtitle"/>
        <w:rPr>
          <w:b w:val="0"/>
          <w:sz w:val="20"/>
        </w:rPr>
      </w:pPr>
      <w:r w:rsidRPr="00074E8E">
        <w:rPr>
          <w:b w:val="0"/>
          <w:sz w:val="20"/>
        </w:rPr>
        <w:t xml:space="preserve">Aged Residential Care – Hamilton (9 August 2019) </w:t>
      </w:r>
    </w:p>
    <w:p w14:paraId="1BBB208E" w14:textId="77777777" w:rsidR="00BF2491" w:rsidRDefault="00BF2491" w:rsidP="00EF435A"/>
    <w:p w14:paraId="74DCB8BB" w14:textId="77777777" w:rsidR="00BF2491" w:rsidRDefault="00BF2491" w:rsidP="00EF435A">
      <w:pPr>
        <w:sectPr w:rsidR="00BF2491" w:rsidSect="00EF435A">
          <w:pgSz w:w="11906" w:h="16838" w:code="9"/>
          <w:pgMar w:top="1418" w:right="1418" w:bottom="1134" w:left="1418" w:header="709" w:footer="709" w:gutter="0"/>
          <w:cols w:space="708"/>
          <w:docGrid w:linePitch="360"/>
        </w:sectPr>
      </w:pPr>
    </w:p>
    <w:p w14:paraId="52A7D345" w14:textId="77777777" w:rsidR="00BF2491" w:rsidRDefault="00BF2491" w:rsidP="00074E8E">
      <w:pPr>
        <w:pStyle w:val="Heading3"/>
      </w:pPr>
      <w:bookmarkStart w:id="20" w:name="_Toc19179379"/>
      <w:r>
        <w:lastRenderedPageBreak/>
        <w:t>General Comments</w:t>
      </w:r>
      <w:bookmarkEnd w:id="20"/>
    </w:p>
    <w:p w14:paraId="0B60E94B" w14:textId="77777777" w:rsidR="00BF2491" w:rsidRPr="00074E8E" w:rsidRDefault="00BF2491" w:rsidP="00074E8E">
      <w:pPr>
        <w:pStyle w:val="Heading5"/>
      </w:pPr>
      <w:r w:rsidRPr="00074E8E">
        <w:t>DHB Hospitals, Private Surgical Hospitals, Birthing Units, Hospices (20 May 2019)</w:t>
      </w:r>
    </w:p>
    <w:p w14:paraId="1FE292F4" w14:textId="77777777" w:rsidR="00BF2491" w:rsidRPr="00487751" w:rsidRDefault="00BF2491" w:rsidP="00074E8E">
      <w:pPr>
        <w:pStyle w:val="Bullet"/>
      </w:pPr>
      <w:r w:rsidRPr="00487751">
        <w:t>Thread Treaty and consumer (HQSC) throughout standards</w:t>
      </w:r>
      <w:r w:rsidR="00074E8E">
        <w:t>.</w:t>
      </w:r>
    </w:p>
    <w:p w14:paraId="522C50AA" w14:textId="77777777" w:rsidR="00BF2491" w:rsidRPr="00487751" w:rsidRDefault="00BF2491" w:rsidP="00074E8E">
      <w:pPr>
        <w:pStyle w:val="Bullet"/>
      </w:pPr>
      <w:r w:rsidRPr="00487751">
        <w:t>Update guidance with standards</w:t>
      </w:r>
      <w:r w:rsidR="00074E8E">
        <w:t>.</w:t>
      </w:r>
    </w:p>
    <w:p w14:paraId="091F622D" w14:textId="77777777" w:rsidR="00BF2491" w:rsidRPr="00487751" w:rsidRDefault="00BF2491" w:rsidP="00074E8E">
      <w:pPr>
        <w:pStyle w:val="Bullet"/>
      </w:pPr>
      <w:r w:rsidRPr="00487751">
        <w:t>Co-design approach to standards</w:t>
      </w:r>
      <w:r w:rsidR="00074E8E">
        <w:t>.</w:t>
      </w:r>
    </w:p>
    <w:p w14:paraId="140618B7" w14:textId="77777777" w:rsidR="00BF2491" w:rsidRPr="00487751" w:rsidRDefault="00BF2491" w:rsidP="00074E8E">
      <w:pPr>
        <w:pStyle w:val="Bullet"/>
      </w:pPr>
      <w:r w:rsidRPr="00487751">
        <w:t>There was agreement to suggested changes and improvements with all groups</w:t>
      </w:r>
      <w:r w:rsidR="00074E8E">
        <w:t>.</w:t>
      </w:r>
    </w:p>
    <w:p w14:paraId="48EED914" w14:textId="77777777" w:rsidR="00BF2491" w:rsidRPr="00487751" w:rsidRDefault="00BF2491" w:rsidP="00074E8E">
      <w:pPr>
        <w:pStyle w:val="Bullet"/>
      </w:pPr>
      <w:r w:rsidRPr="00487751">
        <w:t>Modular approach appealed</w:t>
      </w:r>
      <w:r w:rsidR="00074E8E">
        <w:t>.</w:t>
      </w:r>
    </w:p>
    <w:p w14:paraId="0E0AC1BD" w14:textId="77777777" w:rsidR="00BF2491" w:rsidRPr="00487751" w:rsidRDefault="00BF2491" w:rsidP="00074E8E">
      <w:pPr>
        <w:pStyle w:val="Bullet"/>
      </w:pPr>
      <w:r w:rsidRPr="00487751">
        <w:t>Language across the standards to better represent patient centred and self-management approach</w:t>
      </w:r>
      <w:r w:rsidR="00074E8E">
        <w:t>.</w:t>
      </w:r>
    </w:p>
    <w:p w14:paraId="4DB73199" w14:textId="77777777" w:rsidR="00BF2491" w:rsidRPr="00487751" w:rsidRDefault="00BF2491" w:rsidP="00074E8E">
      <w:pPr>
        <w:pStyle w:val="Bullet"/>
      </w:pPr>
      <w:r w:rsidRPr="00487751">
        <w:t>Can we keep this generic in some way as not all users of health service facilities are patients? (NZ College of Midwives)</w:t>
      </w:r>
      <w:r w:rsidR="00074E8E">
        <w:t>.</w:t>
      </w:r>
    </w:p>
    <w:p w14:paraId="07F68E6E" w14:textId="77777777" w:rsidR="00BF2491" w:rsidRPr="00487751" w:rsidRDefault="00BF2491" w:rsidP="00074E8E">
      <w:pPr>
        <w:pStyle w:val="Bullet"/>
      </w:pPr>
      <w:r w:rsidRPr="00487751">
        <w:t>Strong (HQSC) consideration be given to regulation of day stay and outpatient services and community based services (HQSC)</w:t>
      </w:r>
      <w:r w:rsidR="00074E8E">
        <w:t>.</w:t>
      </w:r>
    </w:p>
    <w:p w14:paraId="18C2CF41" w14:textId="77777777" w:rsidR="00BF2491" w:rsidRPr="00487751" w:rsidRDefault="00BF2491" w:rsidP="00074E8E">
      <w:pPr>
        <w:pStyle w:val="Bullet"/>
      </w:pPr>
      <w:r w:rsidRPr="00487751">
        <w:t>Growing focus on community based services (even though not regulated) therefore consideration of:</w:t>
      </w:r>
    </w:p>
    <w:p w14:paraId="0495BA6C" w14:textId="77777777" w:rsidR="00BF2491" w:rsidRPr="00487751" w:rsidRDefault="00BF2491" w:rsidP="00681608">
      <w:pPr>
        <w:pStyle w:val="ListParagraph"/>
        <w:numPr>
          <w:ilvl w:val="1"/>
          <w:numId w:val="7"/>
        </w:numPr>
      </w:pPr>
      <w:r w:rsidRPr="00487751">
        <w:t>Transition between services</w:t>
      </w:r>
      <w:r w:rsidR="00074E8E">
        <w:t>.</w:t>
      </w:r>
    </w:p>
    <w:p w14:paraId="7F1D717C" w14:textId="77777777" w:rsidR="00BF2491" w:rsidRPr="00487751" w:rsidRDefault="00BF2491" w:rsidP="00681608">
      <w:pPr>
        <w:pStyle w:val="ListParagraph"/>
        <w:numPr>
          <w:ilvl w:val="1"/>
          <w:numId w:val="7"/>
        </w:numPr>
      </w:pPr>
      <w:r w:rsidRPr="00487751">
        <w:t>Role of PHOs</w:t>
      </w:r>
      <w:r w:rsidR="00074E8E">
        <w:t>.</w:t>
      </w:r>
    </w:p>
    <w:p w14:paraId="2797A15A" w14:textId="77777777" w:rsidR="00BF2491" w:rsidRPr="00487751" w:rsidRDefault="00BF2491" w:rsidP="00681608">
      <w:pPr>
        <w:pStyle w:val="ListParagraph"/>
        <w:numPr>
          <w:ilvl w:val="1"/>
          <w:numId w:val="7"/>
        </w:numPr>
      </w:pPr>
      <w:r w:rsidRPr="00487751">
        <w:t>Interface between services</w:t>
      </w:r>
      <w:r w:rsidR="00074E8E">
        <w:t>.</w:t>
      </w:r>
    </w:p>
    <w:p w14:paraId="7F15C48C" w14:textId="77777777" w:rsidR="00BF2491" w:rsidRPr="00487751" w:rsidRDefault="00BF2491" w:rsidP="00681608">
      <w:pPr>
        <w:pStyle w:val="ListParagraph"/>
        <w:numPr>
          <w:ilvl w:val="1"/>
          <w:numId w:val="7"/>
        </w:numPr>
      </w:pPr>
      <w:r w:rsidRPr="00487751">
        <w:t>Transparency with patients – particularly in respect of communication, and ‘open records’</w:t>
      </w:r>
      <w:r w:rsidR="00074E8E">
        <w:t>.</w:t>
      </w:r>
    </w:p>
    <w:p w14:paraId="01221A50" w14:textId="77777777" w:rsidR="00BF2491" w:rsidRPr="00487751" w:rsidRDefault="00BF2491" w:rsidP="00681608">
      <w:pPr>
        <w:pStyle w:val="ListParagraph"/>
        <w:numPr>
          <w:ilvl w:val="1"/>
          <w:numId w:val="7"/>
        </w:numPr>
      </w:pPr>
      <w:r w:rsidRPr="00487751">
        <w:t>Future focused (technology) (HQSC)</w:t>
      </w:r>
      <w:r w:rsidR="00074E8E">
        <w:t>.</w:t>
      </w:r>
    </w:p>
    <w:p w14:paraId="14580E76" w14:textId="77777777" w:rsidR="00BF2491" w:rsidRPr="00487751" w:rsidRDefault="00BF2491" w:rsidP="00074E8E">
      <w:pPr>
        <w:pStyle w:val="Bullet"/>
      </w:pPr>
      <w:r w:rsidRPr="00487751">
        <w:t>Stronger emphasis on outputs as opposed to inputs when developing the standards (NZHPA)</w:t>
      </w:r>
      <w:r w:rsidR="00074E8E">
        <w:t>.</w:t>
      </w:r>
    </w:p>
    <w:p w14:paraId="112F7C78" w14:textId="77777777" w:rsidR="00BF2491" w:rsidRPr="00487751" w:rsidRDefault="00BF2491" w:rsidP="00074E8E">
      <w:pPr>
        <w:pStyle w:val="Bullet"/>
      </w:pPr>
      <w:r w:rsidRPr="00487751">
        <w:t>Weave consumer rights standard into expectation of all standards (HQSC)</w:t>
      </w:r>
      <w:r w:rsidR="00074E8E">
        <w:t>.</w:t>
      </w:r>
    </w:p>
    <w:p w14:paraId="65C6BE07" w14:textId="77777777" w:rsidR="00BF2491" w:rsidRPr="00487751" w:rsidRDefault="00BF2491" w:rsidP="00074E8E">
      <w:pPr>
        <w:pStyle w:val="Bullet"/>
      </w:pPr>
      <w:r w:rsidRPr="00487751">
        <w:t>Review auditing process to assist in greater standardisation and reduced cost (HQSC)</w:t>
      </w:r>
      <w:r w:rsidR="00074E8E">
        <w:t>.</w:t>
      </w:r>
    </w:p>
    <w:p w14:paraId="1474FE1B" w14:textId="77777777" w:rsidR="00BF2491" w:rsidRPr="00487751" w:rsidRDefault="00BF2491" w:rsidP="00074E8E">
      <w:pPr>
        <w:pStyle w:val="Bullet"/>
      </w:pPr>
      <w:r w:rsidRPr="00487751">
        <w:t>IPC standard to be reviewed with a specific working group (refer notes on standard) (HQSC)</w:t>
      </w:r>
      <w:r w:rsidR="00074E8E">
        <w:t>.</w:t>
      </w:r>
    </w:p>
    <w:p w14:paraId="67450EA6" w14:textId="77777777" w:rsidR="00BF2491" w:rsidRPr="00487751" w:rsidRDefault="00BF2491" w:rsidP="00074E8E">
      <w:pPr>
        <w:pStyle w:val="Bullet"/>
      </w:pPr>
      <w:r w:rsidRPr="00487751">
        <w:t>As the NZCOM (NZ College of Midwives) representative a key point of feedback is that there is also the need to consider human factors ‘thinking’ when considering operational systems. Human factors identifies that systems need to be designed to support the human’s working within them to work optimally. It can help identify the barriers and enables to optimal quality of care – which can be due to lack of staff, appropriate and up to date skills or difficulty in escalating concerns etc.  this may fit with standard 1.2.8 Service Provider availability but also under organizational management, human resources (Link: 1.2.3, 1.2.7, 1.2.8)</w:t>
      </w:r>
      <w:r w:rsidR="00074E8E">
        <w:t>.</w:t>
      </w:r>
    </w:p>
    <w:p w14:paraId="5F4FE306" w14:textId="77777777" w:rsidR="00BF2491" w:rsidRPr="00487751" w:rsidRDefault="00BF2491" w:rsidP="00074E8E">
      <w:pPr>
        <w:pStyle w:val="Bullet"/>
      </w:pPr>
      <w:r w:rsidRPr="00487751">
        <w:t>Agree Te Tiriti o Waitangi needs to be weaved throughout the whole of the document, referring to and utilising the articles of Te Tiriti as the foundation and connection to Māori health and the health systems responsibility to meet the needs of Māori (including aspirations). I also believe that rather than delete the specific section we should keep it as a specific focus.  Having both strengthens the place of Māori across. I would also like to see strength based language throughout the document (Te Tumu Whakarae)</w:t>
      </w:r>
      <w:r w:rsidR="00074E8E">
        <w:t>.</w:t>
      </w:r>
    </w:p>
    <w:p w14:paraId="16C54C87" w14:textId="77777777" w:rsidR="00BF2491" w:rsidRPr="00487751" w:rsidRDefault="00BF2491" w:rsidP="00EF435A"/>
    <w:p w14:paraId="2A158760" w14:textId="77777777" w:rsidR="00074E8E" w:rsidRDefault="00074E8E" w:rsidP="00EF435A">
      <w:pPr>
        <w:sectPr w:rsidR="00074E8E" w:rsidSect="00EF435A">
          <w:headerReference w:type="even" r:id="rId17"/>
          <w:headerReference w:type="default" r:id="rId18"/>
          <w:headerReference w:type="first" r:id="rId19"/>
          <w:pgSz w:w="11906" w:h="16838" w:code="9"/>
          <w:pgMar w:top="1418" w:right="1418" w:bottom="1134" w:left="1418" w:header="709" w:footer="709" w:gutter="0"/>
          <w:cols w:space="708"/>
          <w:docGrid w:linePitch="360"/>
        </w:sectPr>
      </w:pPr>
    </w:p>
    <w:p w14:paraId="16F7276C" w14:textId="77777777" w:rsidR="00BF2491" w:rsidRPr="00487751" w:rsidRDefault="00BF2491" w:rsidP="00074E8E">
      <w:pPr>
        <w:pStyle w:val="Heading5"/>
      </w:pPr>
      <w:r w:rsidRPr="00487751">
        <w:lastRenderedPageBreak/>
        <w:t>Residential Disability Mental Health &amp; Residential Alcohol and Drug Addiction (31 May 2019)</w:t>
      </w:r>
    </w:p>
    <w:p w14:paraId="22B020E5" w14:textId="77777777" w:rsidR="00BF2491" w:rsidRPr="00487751" w:rsidRDefault="00BF2491" w:rsidP="00074E8E">
      <w:pPr>
        <w:pStyle w:val="Bullet"/>
      </w:pPr>
      <w:r w:rsidRPr="00487751">
        <w:t xml:space="preserve">Strong emphasis on model of care influencing how providers can meet the standards – shared home – and </w:t>
      </w:r>
      <w:r w:rsidR="00074E8E" w:rsidRPr="00487751">
        <w:t>it’s</w:t>
      </w:r>
      <w:r w:rsidRPr="00487751">
        <w:t xml:space="preserve"> important for the auditors to understand this when they come on site. </w:t>
      </w:r>
    </w:p>
    <w:p w14:paraId="59EAAFAE" w14:textId="77777777" w:rsidR="00BF2491" w:rsidRPr="00487751" w:rsidRDefault="00BF2491" w:rsidP="00074E8E">
      <w:pPr>
        <w:pStyle w:val="Bullet"/>
      </w:pPr>
      <w:r w:rsidRPr="00487751">
        <w:t>Links and alignment with contracts – a number of these agencies are being audited multiple times by other government agencies – MSD, Corrections.</w:t>
      </w:r>
    </w:p>
    <w:p w14:paraId="1B6292C9" w14:textId="77777777" w:rsidR="00BF2491" w:rsidRPr="00487751" w:rsidRDefault="00BF2491" w:rsidP="00074E8E">
      <w:pPr>
        <w:pStyle w:val="Bullet"/>
      </w:pPr>
      <w:r w:rsidRPr="00487751">
        <w:t>Agree to use of modular approach to service types - contextualise to the service type.</w:t>
      </w:r>
    </w:p>
    <w:p w14:paraId="2FA5E410" w14:textId="77777777" w:rsidR="00BF2491" w:rsidRPr="00487751" w:rsidRDefault="00BF2491" w:rsidP="00074E8E">
      <w:pPr>
        <w:pStyle w:val="Bullet"/>
      </w:pPr>
      <w:r w:rsidRPr="00487751">
        <w:t xml:space="preserve">Engagement with </w:t>
      </w:r>
      <w:r w:rsidR="00891D9F">
        <w:t>Māori</w:t>
      </w:r>
      <w:r w:rsidRPr="00487751">
        <w:t xml:space="preserve"> is throughout standards. </w:t>
      </w:r>
    </w:p>
    <w:p w14:paraId="0A2B18C0" w14:textId="77777777" w:rsidR="00BF2491" w:rsidRPr="00487751" w:rsidRDefault="00BF2491" w:rsidP="00074E8E">
      <w:pPr>
        <w:pStyle w:val="Bullet"/>
      </w:pPr>
      <w:r w:rsidRPr="00487751">
        <w:t xml:space="preserve">Kaupapa services – should have a higher accountability for providing services to </w:t>
      </w:r>
      <w:r w:rsidR="00891D9F">
        <w:t>Māori</w:t>
      </w:r>
      <w:r w:rsidRPr="00487751">
        <w:t>.</w:t>
      </w:r>
    </w:p>
    <w:p w14:paraId="3261368C" w14:textId="77777777" w:rsidR="00BF2491" w:rsidRPr="00487751" w:rsidRDefault="00BF2491" w:rsidP="00074E8E">
      <w:pPr>
        <w:pStyle w:val="Bullet"/>
      </w:pPr>
      <w:r w:rsidRPr="00487751">
        <w:t xml:space="preserve">AoD need strong mental and physical health service. </w:t>
      </w:r>
    </w:p>
    <w:p w14:paraId="5676668F" w14:textId="77777777" w:rsidR="00BF2491" w:rsidRPr="00487751" w:rsidRDefault="00BF2491" w:rsidP="00074E8E">
      <w:pPr>
        <w:pStyle w:val="Bullet"/>
      </w:pPr>
      <w:r w:rsidRPr="00487751">
        <w:t>Recognition that there are multiple contracts and service types with this group, need to consider crises intervention, respite, social residential services – with some clients being under treatment orders.</w:t>
      </w:r>
    </w:p>
    <w:p w14:paraId="174963A7" w14:textId="77777777" w:rsidR="00BF2491" w:rsidRPr="00487751" w:rsidRDefault="00BF2491" w:rsidP="00074E8E">
      <w:pPr>
        <w:pStyle w:val="Bullet"/>
      </w:pPr>
      <w:r w:rsidRPr="00487751">
        <w:t xml:space="preserve">Mention about detoxifications services – it would seem it is varied out in the service delivery – need to consider non medication therapies related to this. </w:t>
      </w:r>
    </w:p>
    <w:p w14:paraId="7580C020" w14:textId="77777777" w:rsidR="00BF2491" w:rsidRPr="00487751" w:rsidRDefault="00BF2491" w:rsidP="00074E8E">
      <w:pPr>
        <w:pStyle w:val="Bullet"/>
      </w:pPr>
      <w:r w:rsidRPr="00487751">
        <w:t xml:space="preserve">Recovery focused programme. </w:t>
      </w:r>
    </w:p>
    <w:p w14:paraId="6757903F" w14:textId="77777777" w:rsidR="00BF2491" w:rsidRPr="00487751" w:rsidRDefault="00BF2491" w:rsidP="00074E8E">
      <w:pPr>
        <w:pStyle w:val="Bullet"/>
      </w:pPr>
      <w:r w:rsidRPr="00487751">
        <w:t>It is important that the standards are written in a way to ensure the appropriate requirements for all services, particularly to provide sufficient flexibility for different models of care and NGOs (hospital, community-based, small and large), not just DHB hospital settings which are larger and have specific teams (QA, IPC) and service user advisory groups at their disposal (Ashburn Clinic).</w:t>
      </w:r>
    </w:p>
    <w:p w14:paraId="2545AE36" w14:textId="77777777" w:rsidR="00BF2491" w:rsidRPr="00487751" w:rsidRDefault="00BF2491" w:rsidP="00074E8E">
      <w:pPr>
        <w:pStyle w:val="Bullet"/>
      </w:pPr>
      <w:r w:rsidRPr="00487751">
        <w:t xml:space="preserve">It is important that the standards are written in a way to ensure consistency of interpretation by auditors, with some capacity to determine level of relevance/applicability from service to service, e.g. infection control risks/requirements in a surgical setting versus a NGO MHA service (Ashburn Clinic). </w:t>
      </w:r>
    </w:p>
    <w:p w14:paraId="7D39019D" w14:textId="77777777" w:rsidR="00BF2491" w:rsidRPr="00487751" w:rsidRDefault="00BF2491" w:rsidP="00074E8E">
      <w:pPr>
        <w:pStyle w:val="Bullet"/>
      </w:pPr>
      <w:r w:rsidRPr="00487751">
        <w:t>Mental Health and Addictions facilities have additional standards/requirements, e.g. consumer and family/whānau participation  - ideally they would apply to all services, e.g. Standard 3.1.5 Prioritise referrals and asses consumer risks, Standard 3.3.5 provision of information to family/whānau re consumers, Standard 3.8.4 Service delivery evaluation? (Ashburn Clinic).</w:t>
      </w:r>
    </w:p>
    <w:p w14:paraId="0EFFE67D" w14:textId="77777777" w:rsidR="00BF2491" w:rsidRPr="00487751" w:rsidRDefault="00BF2491" w:rsidP="00074E8E">
      <w:pPr>
        <w:pStyle w:val="Bullet"/>
      </w:pPr>
      <w:r w:rsidRPr="00487751">
        <w:t>Consider duplication of audits of a single service, e.g. overlap between H&amp;DSS, contract, health and safety, and food safety audits. Are there ways of integrating or taking account of other audits to reduce the demands and costs of the many audits that services are required to complete? (Ashburn Clinic).</w:t>
      </w:r>
    </w:p>
    <w:p w14:paraId="0A3A0608" w14:textId="77777777" w:rsidR="00BF2491" w:rsidRPr="00487751" w:rsidRDefault="00BF2491" w:rsidP="00074E8E">
      <w:pPr>
        <w:pStyle w:val="Bullet"/>
        <w:rPr>
          <w:i/>
        </w:rPr>
      </w:pPr>
      <w:r w:rsidRPr="00487751">
        <w:t>Probably outside the scope of the review but there needs to be a link between the training required by the standards and training available through clinical (e.g. nursing) and other professional training, e.g. peer support provision/training is a requirement of the standards and DHB provider contracts, but it is up to the NGOs to find/fund it (Ashburn Clinic)</w:t>
      </w:r>
      <w:r w:rsidRPr="00487751">
        <w:rPr>
          <w:i/>
        </w:rPr>
        <w:t>.</w:t>
      </w:r>
    </w:p>
    <w:p w14:paraId="6F06125B" w14:textId="77777777" w:rsidR="00BF2491" w:rsidRPr="00487751" w:rsidRDefault="00BF2491" w:rsidP="00EF435A"/>
    <w:p w14:paraId="56FB28C4" w14:textId="77777777" w:rsidR="00074E8E" w:rsidRDefault="00074E8E" w:rsidP="00EF435A">
      <w:pPr>
        <w:sectPr w:rsidR="00074E8E" w:rsidSect="00EF435A">
          <w:pgSz w:w="11906" w:h="16838" w:code="9"/>
          <w:pgMar w:top="1418" w:right="1418" w:bottom="1134" w:left="1418" w:header="709" w:footer="709" w:gutter="0"/>
          <w:cols w:space="708"/>
          <w:docGrid w:linePitch="360"/>
        </w:sectPr>
      </w:pPr>
    </w:p>
    <w:p w14:paraId="7C57BCD8" w14:textId="77777777" w:rsidR="00BF2491" w:rsidRPr="00487751" w:rsidRDefault="00BF2491" w:rsidP="00074E8E">
      <w:pPr>
        <w:pStyle w:val="Heading5"/>
      </w:pPr>
      <w:r w:rsidRPr="00487751">
        <w:lastRenderedPageBreak/>
        <w:t>Aged Residential Care (31 July 2019)</w:t>
      </w:r>
    </w:p>
    <w:p w14:paraId="4CF49BE9" w14:textId="77777777" w:rsidR="00BF2491" w:rsidRPr="00487751" w:rsidRDefault="00BF2491" w:rsidP="00681608">
      <w:pPr>
        <w:pStyle w:val="ListParagraph"/>
        <w:numPr>
          <w:ilvl w:val="0"/>
          <w:numId w:val="3"/>
        </w:numPr>
      </w:pPr>
      <w:r w:rsidRPr="00487751">
        <w:t xml:space="preserve">Section on rights (for consumers): </w:t>
      </w:r>
    </w:p>
    <w:p w14:paraId="5F0E13C8" w14:textId="77777777" w:rsidR="00BF2491" w:rsidRPr="00487751" w:rsidRDefault="00BF2491" w:rsidP="00681608">
      <w:pPr>
        <w:pStyle w:val="ListParagraph"/>
        <w:numPr>
          <w:ilvl w:val="1"/>
          <w:numId w:val="8"/>
        </w:numPr>
      </w:pPr>
      <w:r w:rsidRPr="00487751">
        <w:t>Interest in co-design and</w:t>
      </w:r>
      <w:r w:rsidR="001536CF">
        <w:t>;</w:t>
      </w:r>
    </w:p>
    <w:p w14:paraId="3A19CD34" w14:textId="77777777" w:rsidR="00BF2491" w:rsidRPr="00487751" w:rsidRDefault="00BF2491" w:rsidP="00681608">
      <w:pPr>
        <w:pStyle w:val="ListParagraph"/>
        <w:numPr>
          <w:ilvl w:val="1"/>
          <w:numId w:val="8"/>
        </w:numPr>
      </w:pPr>
      <w:r w:rsidRPr="00487751">
        <w:t>Support use of ‘I’ statements</w:t>
      </w:r>
      <w:r w:rsidR="001536CF">
        <w:t>.</w:t>
      </w:r>
    </w:p>
    <w:p w14:paraId="0AE20CCD" w14:textId="77777777" w:rsidR="00BF2491" w:rsidRPr="00487751" w:rsidRDefault="00BF2491" w:rsidP="00681608">
      <w:pPr>
        <w:pStyle w:val="ListParagraph"/>
        <w:numPr>
          <w:ilvl w:val="0"/>
          <w:numId w:val="3"/>
        </w:numPr>
      </w:pPr>
      <w:r w:rsidRPr="00487751">
        <w:t>Need to be consumer centric</w:t>
      </w:r>
      <w:r w:rsidR="001536CF">
        <w:t>.</w:t>
      </w:r>
    </w:p>
    <w:p w14:paraId="1D11BDD6" w14:textId="77777777" w:rsidR="00BF2491" w:rsidRPr="00487751" w:rsidRDefault="00BF2491" w:rsidP="00681608">
      <w:pPr>
        <w:pStyle w:val="ListParagraph"/>
        <w:numPr>
          <w:ilvl w:val="0"/>
          <w:numId w:val="3"/>
        </w:numPr>
      </w:pPr>
      <w:r w:rsidRPr="00487751">
        <w:t>Health literacy individuals and staff in terms of understanding of intent</w:t>
      </w:r>
      <w:r w:rsidR="001536CF">
        <w:t>.</w:t>
      </w:r>
    </w:p>
    <w:p w14:paraId="4CAC7868" w14:textId="77777777" w:rsidR="00BF2491" w:rsidRPr="00487751" w:rsidRDefault="00891D9F" w:rsidP="00681608">
      <w:pPr>
        <w:pStyle w:val="ListParagraph"/>
        <w:numPr>
          <w:ilvl w:val="0"/>
          <w:numId w:val="3"/>
        </w:numPr>
      </w:pPr>
      <w:r>
        <w:t>Māori</w:t>
      </w:r>
      <w:r w:rsidR="00BF2491" w:rsidRPr="00487751">
        <w:t xml:space="preserve"> values and beliefs – support dedicated standard, however could be more robust and woven into other standards</w:t>
      </w:r>
      <w:r w:rsidR="001536CF">
        <w:t>.</w:t>
      </w:r>
    </w:p>
    <w:p w14:paraId="0F941A6E" w14:textId="77777777" w:rsidR="00BF2491" w:rsidRPr="00487751" w:rsidRDefault="00BF2491" w:rsidP="00681608">
      <w:pPr>
        <w:pStyle w:val="ListParagraph"/>
        <w:numPr>
          <w:ilvl w:val="0"/>
          <w:numId w:val="3"/>
        </w:numPr>
      </w:pPr>
      <w:r w:rsidRPr="00487751">
        <w:t>Interest in having overarching principles supporting the standards such as:</w:t>
      </w:r>
    </w:p>
    <w:p w14:paraId="3FC6AFF9" w14:textId="77777777" w:rsidR="00BF2491" w:rsidRPr="00487751" w:rsidRDefault="00BF2491" w:rsidP="00681608">
      <w:pPr>
        <w:pStyle w:val="ListParagraph"/>
        <w:numPr>
          <w:ilvl w:val="1"/>
          <w:numId w:val="9"/>
        </w:numPr>
      </w:pPr>
      <w:r w:rsidRPr="00487751">
        <w:t>Communication (including understanding)</w:t>
      </w:r>
    </w:p>
    <w:p w14:paraId="4459BE45" w14:textId="77777777" w:rsidR="00BF2491" w:rsidRPr="00487751" w:rsidRDefault="00BF2491" w:rsidP="00681608">
      <w:pPr>
        <w:pStyle w:val="ListParagraph"/>
        <w:numPr>
          <w:ilvl w:val="1"/>
          <w:numId w:val="9"/>
        </w:numPr>
      </w:pPr>
      <w:r w:rsidRPr="00487751">
        <w:t>Restorative care (and alignment to the overall health strategy)</w:t>
      </w:r>
    </w:p>
    <w:p w14:paraId="41E53C9A" w14:textId="77777777" w:rsidR="00BF2491" w:rsidRPr="00487751" w:rsidRDefault="00BF2491" w:rsidP="00681608">
      <w:pPr>
        <w:pStyle w:val="ListParagraph"/>
        <w:numPr>
          <w:ilvl w:val="0"/>
          <w:numId w:val="3"/>
        </w:numPr>
      </w:pPr>
      <w:r w:rsidRPr="00487751">
        <w:t>Consider language across the standards – interest in terms such as: ‘Community’s in which you belong’</w:t>
      </w:r>
      <w:r w:rsidR="001536CF">
        <w:t>.</w:t>
      </w:r>
    </w:p>
    <w:p w14:paraId="1252AA21" w14:textId="77777777" w:rsidR="00BF2491" w:rsidRPr="00487751" w:rsidRDefault="00BF2491" w:rsidP="00681608">
      <w:pPr>
        <w:pStyle w:val="ListParagraph"/>
        <w:numPr>
          <w:ilvl w:val="0"/>
          <w:numId w:val="3"/>
        </w:numPr>
      </w:pPr>
      <w:r w:rsidRPr="00487751">
        <w:t>Interest in reducing duplication</w:t>
      </w:r>
      <w:r w:rsidR="001536CF">
        <w:t>.</w:t>
      </w:r>
    </w:p>
    <w:p w14:paraId="085560B9" w14:textId="77777777" w:rsidR="00BF2491" w:rsidRPr="00487751" w:rsidRDefault="00BF2491" w:rsidP="00681608">
      <w:pPr>
        <w:pStyle w:val="ListParagraph"/>
        <w:numPr>
          <w:ilvl w:val="0"/>
          <w:numId w:val="3"/>
        </w:numPr>
      </w:pPr>
      <w:r w:rsidRPr="00487751">
        <w:t>Dental services looking for inclusion of oral health assessment (initial/ongoing)</w:t>
      </w:r>
      <w:r w:rsidR="001536CF">
        <w:t>.</w:t>
      </w:r>
    </w:p>
    <w:p w14:paraId="4E6C5D8B" w14:textId="77777777" w:rsidR="00BF2491" w:rsidRPr="00487751" w:rsidRDefault="00BF2491" w:rsidP="00681608">
      <w:pPr>
        <w:pStyle w:val="ListParagraph"/>
        <w:numPr>
          <w:ilvl w:val="0"/>
          <w:numId w:val="3"/>
        </w:numPr>
      </w:pPr>
      <w:r w:rsidRPr="00487751">
        <w:t>Funding and contractual issues – in particular re respites services, will be taken back to Association for follow-up with relevant agency’s</w:t>
      </w:r>
      <w:r w:rsidR="001536CF">
        <w:t>.</w:t>
      </w:r>
    </w:p>
    <w:p w14:paraId="2E4D6A26" w14:textId="77777777" w:rsidR="00BF2491" w:rsidRPr="00487751" w:rsidRDefault="00BF2491" w:rsidP="00681608">
      <w:pPr>
        <w:pStyle w:val="ListParagraph"/>
        <w:numPr>
          <w:ilvl w:val="0"/>
          <w:numId w:val="3"/>
        </w:numPr>
      </w:pPr>
      <w:r w:rsidRPr="00487751">
        <w:t>Interest in seeing aspirational aspects included in standards</w:t>
      </w:r>
      <w:r w:rsidR="001536CF">
        <w:t>.</w:t>
      </w:r>
    </w:p>
    <w:p w14:paraId="6AEE06AC" w14:textId="77777777" w:rsidR="00BF2491" w:rsidRPr="00487751" w:rsidRDefault="00BF2491" w:rsidP="00681608">
      <w:pPr>
        <w:pStyle w:val="ListParagraph"/>
        <w:numPr>
          <w:ilvl w:val="0"/>
          <w:numId w:val="3"/>
        </w:numPr>
      </w:pPr>
      <w:r w:rsidRPr="00487751">
        <w:t>Concept of ARC being an extension of DHB’s discussed – in particular when DHB moves into ‘code red’ residents transferred to ARC (implementation has funding implications)</w:t>
      </w:r>
      <w:r w:rsidR="001536CF">
        <w:t>.</w:t>
      </w:r>
    </w:p>
    <w:p w14:paraId="4882F0A4" w14:textId="77777777" w:rsidR="00BF2491" w:rsidRPr="00487751" w:rsidRDefault="00BF2491" w:rsidP="00681608">
      <w:pPr>
        <w:pStyle w:val="ListParagraph"/>
        <w:numPr>
          <w:ilvl w:val="0"/>
          <w:numId w:val="3"/>
        </w:numPr>
      </w:pPr>
      <w:r w:rsidRPr="00487751">
        <w:t>Flexible service delivery models require staff with critical thinking skills</w:t>
      </w:r>
      <w:r w:rsidR="001536CF">
        <w:t>.</w:t>
      </w:r>
    </w:p>
    <w:p w14:paraId="62569CAB" w14:textId="77777777" w:rsidR="00BF2491" w:rsidRPr="00487751" w:rsidRDefault="00BF2491" w:rsidP="00681608">
      <w:pPr>
        <w:pStyle w:val="ListParagraph"/>
        <w:numPr>
          <w:ilvl w:val="0"/>
          <w:numId w:val="3"/>
        </w:numPr>
      </w:pPr>
      <w:r w:rsidRPr="00487751">
        <w:t>Work being undertaken by Ombudsman to be incorporated into standards</w:t>
      </w:r>
      <w:r w:rsidR="001536CF">
        <w:t>.</w:t>
      </w:r>
    </w:p>
    <w:p w14:paraId="2FC524D6" w14:textId="77777777" w:rsidR="00BF2491" w:rsidRPr="00487751" w:rsidRDefault="00BF2491" w:rsidP="00681608">
      <w:pPr>
        <w:pStyle w:val="ListParagraph"/>
        <w:numPr>
          <w:ilvl w:val="0"/>
          <w:numId w:val="3"/>
        </w:numPr>
      </w:pPr>
      <w:r w:rsidRPr="00487751">
        <w:t>Alignment to contract/s</w:t>
      </w:r>
      <w:r w:rsidR="001536CF">
        <w:t>.</w:t>
      </w:r>
    </w:p>
    <w:p w14:paraId="392301FB" w14:textId="77777777" w:rsidR="00BF2491" w:rsidRPr="00487751" w:rsidRDefault="00BF2491" w:rsidP="00681608">
      <w:pPr>
        <w:pStyle w:val="ListParagraph"/>
        <w:numPr>
          <w:ilvl w:val="0"/>
          <w:numId w:val="3"/>
        </w:numPr>
      </w:pPr>
      <w:r w:rsidRPr="00487751">
        <w:t>Focus on Wellbeing and Quality of Life</w:t>
      </w:r>
      <w:r w:rsidR="001536CF">
        <w:t>.</w:t>
      </w:r>
    </w:p>
    <w:p w14:paraId="0F0FC4AA" w14:textId="77777777" w:rsidR="00BF2491" w:rsidRPr="00487751" w:rsidRDefault="00BF2491" w:rsidP="00681608">
      <w:pPr>
        <w:pStyle w:val="ListParagraph"/>
        <w:numPr>
          <w:ilvl w:val="0"/>
          <w:numId w:val="3"/>
        </w:numPr>
      </w:pPr>
      <w:r w:rsidRPr="00487751">
        <w:t>General comment: On behalf of the New Zealand Speech-language Therapists' Association, I would like to voice our interest in the Review and in participating in the next phase of workshops. One third of aged care residents have swallowing difficulties and receive modifications to their meal service and support with mealtimes. They are a high risk population due to choking risk and malnutrition. As speech-language therapists, we are aware of the inadequacies in current Standards and inadequacies in auditing of meal service for these at risk residents. Mandatory training and kitchen and dining room auditing is required to support the Aged Care sector to prioritise speech-language therapy input. Currently the only requirement is an annual off-site menu audit with a dietitan. This is not sufficient. We are very willing and able to support the current review and welcome the opportunity to provide a voice for aged care residents with communication and swallowing difficulties. (A.Miles, Senior Lecturer, Speech Science)</w:t>
      </w:r>
      <w:r w:rsidR="001536CF">
        <w:t>.</w:t>
      </w:r>
    </w:p>
    <w:p w14:paraId="6AF8765C" w14:textId="77777777" w:rsidR="00BF2491" w:rsidRPr="00487751" w:rsidRDefault="00BF2491" w:rsidP="00681608">
      <w:pPr>
        <w:pStyle w:val="ListParagraph"/>
        <w:numPr>
          <w:ilvl w:val="0"/>
          <w:numId w:val="3"/>
        </w:numPr>
      </w:pPr>
      <w:r w:rsidRPr="00487751">
        <w:t>General Comment: This didn’t come up at the scoping meeting, but we need to clarify 2.9.1 and 2.9.2. Many GPs have said that they do not feel that they should have to attend/admit a patient who is stable and is arriving in ARC within 48 hours. They feel that if they attend the facility once a week then this should be OK to see the patient then. When you look at 2.9.1 and 2.9.2 I am not sure that it actually says that the GP has to visit – just that the information regarding the patient needs to be entered within 48 hours. There is the question of who the responsible person is if something happens. Do we need to clarify…. -facility enter the information within 48 hours, -notify GP who becomes the lead carer (if they aren’t already), and they agree to be responsible for prescribing and be able to be notified in the event of any deterioration. Do the standards actually say that the GP must visit within 48hours or has that become “norm”, and something that ARC has just started doing? How is this actually audited-what is the actual measurement??? (R.McArthur, RNZCGP)</w:t>
      </w:r>
      <w:r w:rsidR="001536CF">
        <w:t>.</w:t>
      </w:r>
    </w:p>
    <w:p w14:paraId="58E1A7FF" w14:textId="77777777" w:rsidR="00BF2491" w:rsidRPr="00487751" w:rsidRDefault="00BF2491" w:rsidP="00681608">
      <w:pPr>
        <w:pStyle w:val="ListParagraph"/>
        <w:numPr>
          <w:ilvl w:val="0"/>
          <w:numId w:val="3"/>
        </w:numPr>
      </w:pPr>
      <w:r w:rsidRPr="00487751">
        <w:t>General Comment: There was some discussion re aspirational intentions. In order to reflect this I think several new issues need to be considered (no doubt I’ll think of others):</w:t>
      </w:r>
    </w:p>
    <w:p w14:paraId="63F6D626" w14:textId="77777777" w:rsidR="00BF2491" w:rsidRPr="00487751" w:rsidRDefault="00BF2491" w:rsidP="00681608">
      <w:pPr>
        <w:pStyle w:val="ListParagraph"/>
        <w:numPr>
          <w:ilvl w:val="1"/>
          <w:numId w:val="10"/>
        </w:numPr>
      </w:pPr>
      <w:r w:rsidRPr="00487751">
        <w:lastRenderedPageBreak/>
        <w:t>Having difficult conversations and delivering difficult messages</w:t>
      </w:r>
      <w:r w:rsidR="001536CF">
        <w:t>.</w:t>
      </w:r>
    </w:p>
    <w:p w14:paraId="0F825AF5" w14:textId="77777777" w:rsidR="00BF2491" w:rsidRPr="00487751" w:rsidRDefault="00BF2491" w:rsidP="00681608">
      <w:pPr>
        <w:pStyle w:val="ListParagraph"/>
        <w:numPr>
          <w:ilvl w:val="1"/>
          <w:numId w:val="10"/>
        </w:numPr>
      </w:pPr>
      <w:r w:rsidRPr="00487751">
        <w:t>Interagency protocols (especially when contemplating more movement between sectors and providers e.g. who is responsible at various parts of that process?)</w:t>
      </w:r>
      <w:r w:rsidR="001536CF">
        <w:t>.</w:t>
      </w:r>
    </w:p>
    <w:p w14:paraId="16E812BE" w14:textId="77777777" w:rsidR="00BF2491" w:rsidRPr="00487751" w:rsidRDefault="00BF2491" w:rsidP="00681608">
      <w:pPr>
        <w:pStyle w:val="ListParagraph"/>
        <w:numPr>
          <w:ilvl w:val="1"/>
          <w:numId w:val="10"/>
        </w:numPr>
      </w:pPr>
      <w:r w:rsidRPr="00487751">
        <w:t>The changing role of general practice (E.Boger, Eldernet)</w:t>
      </w:r>
      <w:r w:rsidR="001536CF">
        <w:t>.</w:t>
      </w:r>
    </w:p>
    <w:p w14:paraId="6023BD2B" w14:textId="77777777" w:rsidR="00BF2491" w:rsidRPr="00487751" w:rsidRDefault="00BF2491" w:rsidP="001536CF">
      <w:pPr>
        <w:pStyle w:val="Heading5"/>
      </w:pPr>
      <w:r w:rsidRPr="00487751">
        <w:t>Residential Disability (6 August 2019)</w:t>
      </w:r>
    </w:p>
    <w:p w14:paraId="561CF2A9" w14:textId="77777777" w:rsidR="00BF2491" w:rsidRPr="00487751" w:rsidRDefault="00BF2491" w:rsidP="00681608">
      <w:pPr>
        <w:pStyle w:val="ListParagraph"/>
        <w:numPr>
          <w:ilvl w:val="0"/>
          <w:numId w:val="3"/>
        </w:numPr>
      </w:pPr>
      <w:r w:rsidRPr="00487751">
        <w:t>Difference between health and disability discussed, noting disability often stems from a social model</w:t>
      </w:r>
      <w:r w:rsidR="001536CF">
        <w:t>.</w:t>
      </w:r>
    </w:p>
    <w:p w14:paraId="2F9627A5" w14:textId="77777777" w:rsidR="00BF2491" w:rsidRPr="00487751" w:rsidRDefault="00BF2491" w:rsidP="00681608">
      <w:pPr>
        <w:pStyle w:val="ListParagraph"/>
        <w:numPr>
          <w:ilvl w:val="0"/>
          <w:numId w:val="3"/>
        </w:numPr>
      </w:pPr>
      <w:r w:rsidRPr="00487751">
        <w:t>Interest in having a ‘health’ standard and a ‘disability’ standard, noting the view some folk who ‘straddle’ both may fall between both standards</w:t>
      </w:r>
      <w:r w:rsidR="001536CF">
        <w:t>.</w:t>
      </w:r>
    </w:p>
    <w:p w14:paraId="2E7BAE26" w14:textId="77777777" w:rsidR="00BF2491" w:rsidRPr="00487751" w:rsidRDefault="00BF2491" w:rsidP="00681608">
      <w:pPr>
        <w:pStyle w:val="ListParagraph"/>
        <w:numPr>
          <w:ilvl w:val="0"/>
          <w:numId w:val="3"/>
        </w:numPr>
      </w:pPr>
      <w:r w:rsidRPr="00487751">
        <w:t>Support for a modular approach – question around implementation where providers have dual services which fit into multiple modules</w:t>
      </w:r>
      <w:r w:rsidR="001536CF">
        <w:t>.</w:t>
      </w:r>
    </w:p>
    <w:p w14:paraId="59D4AD0A" w14:textId="77777777" w:rsidR="00BF2491" w:rsidRPr="00487751" w:rsidRDefault="00BF2491" w:rsidP="00681608">
      <w:pPr>
        <w:pStyle w:val="ListParagraph"/>
        <w:numPr>
          <w:ilvl w:val="0"/>
          <w:numId w:val="3"/>
        </w:numPr>
      </w:pPr>
      <w:r w:rsidRPr="00487751">
        <w:t>Language is powerful</w:t>
      </w:r>
      <w:r w:rsidR="001536CF">
        <w:t>.</w:t>
      </w:r>
    </w:p>
    <w:p w14:paraId="4EFF2C2D" w14:textId="77777777" w:rsidR="00BF2491" w:rsidRPr="00487751" w:rsidRDefault="00BF2491" w:rsidP="00681608">
      <w:pPr>
        <w:pStyle w:val="ListParagraph"/>
        <w:numPr>
          <w:ilvl w:val="0"/>
          <w:numId w:val="3"/>
        </w:numPr>
      </w:pPr>
      <w:r w:rsidRPr="00487751">
        <w:t>The rehabilitation model doesn’t fit with residential disability – a dedicated (certification) service type would be preferred – could include immediately post discharge (from injury) through to slow stream rehabilitation (could be up to 5 years)</w:t>
      </w:r>
      <w:r w:rsidR="001536CF">
        <w:t>.</w:t>
      </w:r>
    </w:p>
    <w:p w14:paraId="2E4EA87E" w14:textId="77777777" w:rsidR="00BF2491" w:rsidRPr="00487751" w:rsidRDefault="00BF2491" w:rsidP="00681608">
      <w:pPr>
        <w:pStyle w:val="ListParagraph"/>
        <w:numPr>
          <w:ilvl w:val="0"/>
          <w:numId w:val="3"/>
        </w:numPr>
      </w:pPr>
      <w:r w:rsidRPr="00487751">
        <w:t>Paediatric disability environment does not necessarily fit into current standards</w:t>
      </w:r>
      <w:r w:rsidR="001536CF">
        <w:t>.</w:t>
      </w:r>
    </w:p>
    <w:p w14:paraId="1AA2C411" w14:textId="77777777" w:rsidR="00BF2491" w:rsidRPr="00487751" w:rsidRDefault="00BF2491" w:rsidP="00681608">
      <w:pPr>
        <w:pStyle w:val="ListParagraph"/>
        <w:numPr>
          <w:ilvl w:val="0"/>
          <w:numId w:val="3"/>
        </w:numPr>
      </w:pPr>
      <w:r w:rsidRPr="00487751">
        <w:t>Standard needs to reflect a more needs based approach rather than one size fits all</w:t>
      </w:r>
      <w:r w:rsidR="001536CF">
        <w:t>.</w:t>
      </w:r>
      <w:r w:rsidRPr="00487751">
        <w:t xml:space="preserve"> </w:t>
      </w:r>
    </w:p>
    <w:p w14:paraId="71486EEE" w14:textId="77777777" w:rsidR="00BF2491" w:rsidRPr="00487751" w:rsidRDefault="00BF2491" w:rsidP="00681608">
      <w:pPr>
        <w:pStyle w:val="ListParagraph"/>
        <w:numPr>
          <w:ilvl w:val="0"/>
          <w:numId w:val="3"/>
        </w:numPr>
      </w:pPr>
      <w:r w:rsidRPr="00487751">
        <w:t>Language needs to be simplified and more reflective of the variety of settings the standards apply to</w:t>
      </w:r>
      <w:r w:rsidR="001536CF">
        <w:t>.</w:t>
      </w:r>
    </w:p>
    <w:p w14:paraId="02D4877E" w14:textId="77777777" w:rsidR="00BF2491" w:rsidRPr="00487751" w:rsidRDefault="00BF2491" w:rsidP="00681608">
      <w:pPr>
        <w:pStyle w:val="ListParagraph"/>
        <w:numPr>
          <w:ilvl w:val="0"/>
          <w:numId w:val="3"/>
        </w:numPr>
      </w:pPr>
      <w:r w:rsidRPr="00487751">
        <w:t>The language of the standards does not portray a consumer voice. Whilst it refers to items being inclusive of consumer need(s) it does not read like there is a consumer voice. Would be good to see how this is ‘languaged’ in other standards? (FM, IP&amp;C Nurse specialist)</w:t>
      </w:r>
      <w:r w:rsidR="001536CF">
        <w:t>.</w:t>
      </w:r>
    </w:p>
    <w:p w14:paraId="2E5E96F6" w14:textId="77777777" w:rsidR="00BF2491" w:rsidRDefault="00BF2491" w:rsidP="00681608">
      <w:pPr>
        <w:pStyle w:val="ListParagraph"/>
        <w:numPr>
          <w:ilvl w:val="0"/>
          <w:numId w:val="3"/>
        </w:numPr>
      </w:pPr>
      <w:r w:rsidRPr="00487751">
        <w:t>Quite a lot of the  Safe Environment standard could be transferred into the IPC Standard (FM, IP&amp;C Nurse specialist)</w:t>
      </w:r>
      <w:r w:rsidR="001536CF">
        <w:t>.</w:t>
      </w:r>
    </w:p>
    <w:p w14:paraId="7DD218F5" w14:textId="77777777" w:rsidR="00BF2491" w:rsidRPr="00487751" w:rsidRDefault="00BF2491" w:rsidP="00681608">
      <w:pPr>
        <w:pStyle w:val="ListParagraph"/>
        <w:numPr>
          <w:ilvl w:val="0"/>
          <w:numId w:val="3"/>
        </w:numPr>
      </w:pPr>
      <w:r w:rsidRPr="00487751">
        <w:t>I think captures the shift in thinking for future proofing the standards. Great to see and hear so much focus on individual choice and self-determination. Looking forward to see the developments and progress from here (A.Lucas, Ryder Cheshire Foundation)</w:t>
      </w:r>
      <w:r w:rsidR="001536CF">
        <w:t>.</w:t>
      </w:r>
    </w:p>
    <w:p w14:paraId="00146BB0" w14:textId="77777777" w:rsidR="00BF2491" w:rsidRPr="00487751" w:rsidRDefault="00BF2491" w:rsidP="001536CF">
      <w:pPr>
        <w:pStyle w:val="Heading5"/>
      </w:pPr>
      <w:r w:rsidRPr="00487751">
        <w:t>Aged Residential Care (9 August 2019)</w:t>
      </w:r>
    </w:p>
    <w:p w14:paraId="2A73FC01" w14:textId="77777777" w:rsidR="00BF2491" w:rsidRPr="00487751" w:rsidRDefault="00BF2491" w:rsidP="00681608">
      <w:pPr>
        <w:pStyle w:val="ListParagraph"/>
        <w:numPr>
          <w:ilvl w:val="0"/>
          <w:numId w:val="3"/>
        </w:numPr>
      </w:pPr>
      <w:r w:rsidRPr="00487751">
        <w:t>Aspirational standards</w:t>
      </w:r>
      <w:r w:rsidR="001536CF">
        <w:t>.</w:t>
      </w:r>
    </w:p>
    <w:p w14:paraId="3E978DA1" w14:textId="77777777" w:rsidR="00BF2491" w:rsidRPr="00487751" w:rsidRDefault="00BF2491" w:rsidP="00681608">
      <w:pPr>
        <w:pStyle w:val="ListParagraph"/>
        <w:numPr>
          <w:ilvl w:val="0"/>
          <w:numId w:val="3"/>
        </w:numPr>
      </w:pPr>
      <w:r w:rsidRPr="00487751">
        <w:t xml:space="preserve">Term consumer is singular – a broader term is preferred as ARC support </w:t>
      </w:r>
      <w:r w:rsidR="00891D9F">
        <w:t>whānau</w:t>
      </w:r>
      <w:r w:rsidR="001536CF">
        <w:t>.</w:t>
      </w:r>
    </w:p>
    <w:p w14:paraId="572123BE" w14:textId="77777777" w:rsidR="00BF2491" w:rsidRDefault="00BF2491" w:rsidP="00681608">
      <w:pPr>
        <w:pStyle w:val="ListParagraph"/>
        <w:numPr>
          <w:ilvl w:val="0"/>
          <w:numId w:val="3"/>
        </w:numPr>
      </w:pPr>
      <w:r w:rsidRPr="00487751">
        <w:t>How will the new standards be measured – ie. In the current fashion: FA, PA (etc) with a risk score (low, moderate)</w:t>
      </w:r>
      <w:r w:rsidR="001536CF">
        <w:t>.</w:t>
      </w:r>
    </w:p>
    <w:p w14:paraId="2D650A17" w14:textId="77777777" w:rsidR="001536CF" w:rsidRDefault="001536CF" w:rsidP="001536CF"/>
    <w:p w14:paraId="1840D492" w14:textId="77777777" w:rsidR="001536CF" w:rsidRDefault="001536CF" w:rsidP="001536CF">
      <w:pPr>
        <w:sectPr w:rsidR="001536CF" w:rsidSect="00EF435A">
          <w:pgSz w:w="11906" w:h="16838" w:code="9"/>
          <w:pgMar w:top="1418" w:right="1418" w:bottom="1134" w:left="1418" w:header="709" w:footer="709" w:gutter="0"/>
          <w:cols w:space="708"/>
          <w:docGrid w:linePitch="360"/>
        </w:sectPr>
      </w:pPr>
    </w:p>
    <w:tbl>
      <w:tblPr>
        <w:tblStyle w:val="TableGrid"/>
        <w:tblW w:w="14884"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5"/>
        <w:gridCol w:w="93"/>
        <w:gridCol w:w="28"/>
        <w:gridCol w:w="2734"/>
        <w:gridCol w:w="186"/>
        <w:gridCol w:w="57"/>
        <w:gridCol w:w="2612"/>
        <w:gridCol w:w="280"/>
        <w:gridCol w:w="85"/>
        <w:gridCol w:w="2490"/>
        <w:gridCol w:w="373"/>
        <w:gridCol w:w="114"/>
        <w:gridCol w:w="2369"/>
        <w:gridCol w:w="466"/>
        <w:gridCol w:w="142"/>
      </w:tblGrid>
      <w:tr w:rsidR="001536CF" w:rsidRPr="00716CC2" w14:paraId="2FE70587" w14:textId="77777777" w:rsidTr="007A7079">
        <w:trPr>
          <w:gridAfter w:val="1"/>
          <w:wAfter w:w="142" w:type="dxa"/>
        </w:trPr>
        <w:tc>
          <w:tcPr>
            <w:tcW w:w="14742" w:type="dxa"/>
            <w:gridSpan w:val="14"/>
            <w:shd w:val="clear" w:color="auto" w:fill="D9D9D9" w:themeFill="background1" w:themeFillShade="D9"/>
          </w:tcPr>
          <w:p w14:paraId="0A27B212" w14:textId="77777777" w:rsidR="001536CF" w:rsidRPr="00716CC2" w:rsidRDefault="001536CF" w:rsidP="00913CCD">
            <w:pPr>
              <w:pStyle w:val="TableText"/>
              <w:rPr>
                <w:b/>
                <w:szCs w:val="18"/>
              </w:rPr>
            </w:pPr>
            <w:r w:rsidRPr="00716CC2">
              <w:rPr>
                <w:b/>
                <w:szCs w:val="18"/>
              </w:rPr>
              <w:lastRenderedPageBreak/>
              <w:t xml:space="preserve">Outcome 1.1: </w:t>
            </w:r>
            <w:r w:rsidRPr="00716CC2">
              <w:rPr>
                <w:szCs w:val="18"/>
              </w:rPr>
              <w:t>Consumer Rights: Consumers receive safe services of an appropriate standard that comply with consumer rights legislation. Services are provided in a manner that is respectful of consumer rights, facilitates informed choice, minimises harm, and acknowledges cultural and individual values and belief</w:t>
            </w:r>
          </w:p>
        </w:tc>
      </w:tr>
      <w:tr w:rsidR="001536CF" w:rsidRPr="00716CC2" w14:paraId="4921C329" w14:textId="77777777" w:rsidTr="007A7079">
        <w:trPr>
          <w:gridAfter w:val="1"/>
          <w:wAfter w:w="142" w:type="dxa"/>
        </w:trPr>
        <w:tc>
          <w:tcPr>
            <w:tcW w:w="2948" w:type="dxa"/>
            <w:gridSpan w:val="2"/>
            <w:shd w:val="clear" w:color="auto" w:fill="FFFFFF" w:themeFill="background1"/>
          </w:tcPr>
          <w:p w14:paraId="4CCBCD3B" w14:textId="77777777" w:rsidR="001536CF" w:rsidRPr="00716CC2" w:rsidRDefault="001536CF" w:rsidP="006D5FE4">
            <w:pPr>
              <w:pStyle w:val="TableText"/>
              <w:spacing w:before="40" w:after="40"/>
              <w:rPr>
                <w:b/>
                <w:szCs w:val="18"/>
              </w:rPr>
            </w:pPr>
            <w:r w:rsidRPr="00716CC2">
              <w:rPr>
                <w:b/>
                <w:szCs w:val="18"/>
              </w:rPr>
              <w:t>DHB/PH/Hosp/BU</w:t>
            </w:r>
          </w:p>
        </w:tc>
        <w:tc>
          <w:tcPr>
            <w:tcW w:w="2948" w:type="dxa"/>
            <w:gridSpan w:val="3"/>
            <w:shd w:val="clear" w:color="auto" w:fill="FFFFFF" w:themeFill="background1"/>
          </w:tcPr>
          <w:p w14:paraId="418D2B52" w14:textId="77777777" w:rsidR="001536CF" w:rsidRPr="00716CC2" w:rsidRDefault="001536CF" w:rsidP="006D5FE4">
            <w:pPr>
              <w:pStyle w:val="TableText"/>
              <w:spacing w:before="40" w:after="40"/>
              <w:rPr>
                <w:b/>
                <w:szCs w:val="18"/>
              </w:rPr>
            </w:pPr>
            <w:r w:rsidRPr="00716CC2">
              <w:rPr>
                <w:b/>
                <w:szCs w:val="18"/>
              </w:rPr>
              <w:t>Residential MH/AoD</w:t>
            </w:r>
          </w:p>
        </w:tc>
        <w:tc>
          <w:tcPr>
            <w:tcW w:w="2949" w:type="dxa"/>
            <w:gridSpan w:val="3"/>
            <w:shd w:val="clear" w:color="auto" w:fill="FFFFFF" w:themeFill="background1"/>
          </w:tcPr>
          <w:p w14:paraId="5FC3CF4A" w14:textId="77777777" w:rsidR="001536CF" w:rsidRPr="00716CC2" w:rsidRDefault="001536CF" w:rsidP="006D5FE4">
            <w:pPr>
              <w:pStyle w:val="TableText"/>
              <w:spacing w:before="40" w:after="40"/>
              <w:rPr>
                <w:b/>
                <w:szCs w:val="18"/>
              </w:rPr>
            </w:pPr>
            <w:r w:rsidRPr="00716CC2">
              <w:rPr>
                <w:b/>
                <w:szCs w:val="18"/>
              </w:rPr>
              <w:t>ARC (31 July)</w:t>
            </w:r>
          </w:p>
        </w:tc>
        <w:tc>
          <w:tcPr>
            <w:tcW w:w="2948" w:type="dxa"/>
            <w:gridSpan w:val="3"/>
            <w:shd w:val="clear" w:color="auto" w:fill="FFFFFF" w:themeFill="background1"/>
          </w:tcPr>
          <w:p w14:paraId="75F4364D" w14:textId="77777777" w:rsidR="001536CF" w:rsidRPr="00716CC2" w:rsidRDefault="001536CF" w:rsidP="006D5FE4">
            <w:pPr>
              <w:pStyle w:val="TableText"/>
              <w:spacing w:before="40" w:after="40"/>
              <w:rPr>
                <w:b/>
                <w:szCs w:val="18"/>
              </w:rPr>
            </w:pPr>
            <w:r w:rsidRPr="00716CC2">
              <w:rPr>
                <w:b/>
                <w:szCs w:val="18"/>
              </w:rPr>
              <w:t xml:space="preserve">ARC (9 Aug) </w:t>
            </w:r>
          </w:p>
        </w:tc>
        <w:tc>
          <w:tcPr>
            <w:tcW w:w="2949" w:type="dxa"/>
            <w:gridSpan w:val="3"/>
            <w:shd w:val="clear" w:color="auto" w:fill="FFFFFF" w:themeFill="background1"/>
          </w:tcPr>
          <w:p w14:paraId="34D421CF" w14:textId="77777777" w:rsidR="001536CF" w:rsidRPr="00716CC2" w:rsidRDefault="001536CF" w:rsidP="006D5FE4">
            <w:pPr>
              <w:pStyle w:val="TableText"/>
              <w:spacing w:before="40" w:after="40"/>
              <w:rPr>
                <w:b/>
                <w:szCs w:val="18"/>
              </w:rPr>
            </w:pPr>
            <w:r w:rsidRPr="00716CC2">
              <w:rPr>
                <w:b/>
                <w:szCs w:val="18"/>
              </w:rPr>
              <w:t>Res Dis (6 Aug)</w:t>
            </w:r>
          </w:p>
        </w:tc>
      </w:tr>
      <w:tr w:rsidR="001536CF" w:rsidRPr="00716CC2" w14:paraId="62FCD3F0" w14:textId="77777777" w:rsidTr="007A7079">
        <w:trPr>
          <w:gridAfter w:val="1"/>
          <w:wAfter w:w="142" w:type="dxa"/>
        </w:trPr>
        <w:tc>
          <w:tcPr>
            <w:tcW w:w="2948" w:type="dxa"/>
            <w:gridSpan w:val="2"/>
          </w:tcPr>
          <w:p w14:paraId="2F48E83E" w14:textId="77777777" w:rsidR="001536CF" w:rsidRPr="00716CC2" w:rsidRDefault="001536CF" w:rsidP="00BE7218">
            <w:pPr>
              <w:pStyle w:val="Bullet"/>
              <w:spacing w:before="40" w:after="40"/>
              <w:rPr>
                <w:sz w:val="18"/>
                <w:szCs w:val="18"/>
              </w:rPr>
            </w:pPr>
            <w:r w:rsidRPr="00716CC2">
              <w:rPr>
                <w:sz w:val="18"/>
                <w:szCs w:val="18"/>
              </w:rPr>
              <w:t>Outcome around consumer rights agreed, however re-write to reflect patient centred approach</w:t>
            </w:r>
          </w:p>
        </w:tc>
        <w:tc>
          <w:tcPr>
            <w:tcW w:w="2948" w:type="dxa"/>
            <w:gridSpan w:val="3"/>
          </w:tcPr>
          <w:p w14:paraId="1B025F07" w14:textId="77777777" w:rsidR="001536CF" w:rsidRPr="00716CC2" w:rsidRDefault="001536CF" w:rsidP="00BE7218">
            <w:pPr>
              <w:pStyle w:val="Bullet"/>
              <w:spacing w:before="40" w:after="40"/>
              <w:rPr>
                <w:sz w:val="18"/>
                <w:szCs w:val="18"/>
              </w:rPr>
            </w:pPr>
            <w:r w:rsidRPr="00716CC2">
              <w:rPr>
                <w:sz w:val="18"/>
                <w:szCs w:val="18"/>
              </w:rPr>
              <w:t>Agree to section focusing on ‘consumer’</w:t>
            </w:r>
          </w:p>
          <w:p w14:paraId="4504547A" w14:textId="77777777" w:rsidR="001536CF" w:rsidRPr="00716CC2" w:rsidRDefault="001536CF" w:rsidP="00BE7218">
            <w:pPr>
              <w:pStyle w:val="Bullet"/>
              <w:spacing w:before="40" w:after="40"/>
              <w:rPr>
                <w:sz w:val="18"/>
                <w:szCs w:val="18"/>
              </w:rPr>
            </w:pPr>
            <w:r w:rsidRPr="00716CC2">
              <w:rPr>
                <w:sz w:val="18"/>
                <w:szCs w:val="18"/>
              </w:rPr>
              <w:t>People/whānau centred</w:t>
            </w:r>
          </w:p>
          <w:p w14:paraId="5229AA5B" w14:textId="77777777" w:rsidR="001536CF" w:rsidRPr="00716CC2" w:rsidRDefault="001536CF" w:rsidP="00BE7218">
            <w:pPr>
              <w:pStyle w:val="Bullet"/>
              <w:spacing w:before="40" w:after="40"/>
              <w:rPr>
                <w:sz w:val="18"/>
                <w:szCs w:val="18"/>
              </w:rPr>
            </w:pPr>
            <w:r w:rsidRPr="00716CC2">
              <w:rPr>
                <w:sz w:val="18"/>
                <w:szCs w:val="18"/>
              </w:rPr>
              <w:t>Consumer voice/consumer centric</w:t>
            </w:r>
          </w:p>
          <w:p w14:paraId="23793D54" w14:textId="77777777" w:rsidR="001536CF" w:rsidRPr="00716CC2" w:rsidRDefault="001536CF" w:rsidP="00BE7218">
            <w:pPr>
              <w:pStyle w:val="Bullet"/>
              <w:spacing w:before="40" w:after="40"/>
              <w:rPr>
                <w:sz w:val="18"/>
                <w:szCs w:val="18"/>
              </w:rPr>
            </w:pPr>
            <w:r w:rsidRPr="00716CC2">
              <w:rPr>
                <w:sz w:val="18"/>
                <w:szCs w:val="18"/>
              </w:rPr>
              <w:t>Describes experience of care</w:t>
            </w:r>
          </w:p>
          <w:p w14:paraId="7D3271F0" w14:textId="77777777" w:rsidR="001536CF" w:rsidRPr="00716CC2" w:rsidRDefault="001536CF" w:rsidP="00BE7218">
            <w:pPr>
              <w:pStyle w:val="Bullet"/>
              <w:spacing w:before="40" w:after="40"/>
              <w:rPr>
                <w:sz w:val="18"/>
                <w:szCs w:val="18"/>
              </w:rPr>
            </w:pPr>
            <w:r w:rsidRPr="00716CC2">
              <w:rPr>
                <w:sz w:val="18"/>
                <w:szCs w:val="18"/>
              </w:rPr>
              <w:t>Consumer integrated throughout – ‘what does it mean for the person’</w:t>
            </w:r>
          </w:p>
          <w:p w14:paraId="134A0DC2" w14:textId="77777777" w:rsidR="001536CF" w:rsidRPr="00716CC2" w:rsidRDefault="001536CF" w:rsidP="00BE7218">
            <w:pPr>
              <w:pStyle w:val="Bullet"/>
              <w:spacing w:before="40" w:after="40"/>
              <w:rPr>
                <w:sz w:val="18"/>
                <w:szCs w:val="18"/>
              </w:rPr>
            </w:pPr>
            <w:r w:rsidRPr="00716CC2">
              <w:rPr>
                <w:sz w:val="18"/>
                <w:szCs w:val="18"/>
              </w:rPr>
              <w:t>When crafting standards: put outcome statement first – I feel – then standards with supporting criteria</w:t>
            </w:r>
          </w:p>
          <w:p w14:paraId="1AFE91D6" w14:textId="77777777" w:rsidR="001536CF" w:rsidRPr="00716CC2" w:rsidRDefault="001536CF" w:rsidP="00BE7218">
            <w:pPr>
              <w:pStyle w:val="Bullet"/>
              <w:spacing w:before="40" w:after="40"/>
              <w:rPr>
                <w:sz w:val="18"/>
                <w:szCs w:val="18"/>
              </w:rPr>
            </w:pPr>
            <w:r w:rsidRPr="00716CC2">
              <w:rPr>
                <w:sz w:val="18"/>
                <w:szCs w:val="18"/>
              </w:rPr>
              <w:t>Need flexibility within guidance (rather than service specific)</w:t>
            </w:r>
          </w:p>
          <w:p w14:paraId="332D87B9" w14:textId="77777777" w:rsidR="001536CF" w:rsidRPr="00716CC2" w:rsidRDefault="001536CF" w:rsidP="00BE7218">
            <w:pPr>
              <w:pStyle w:val="Bullet"/>
              <w:spacing w:before="40" w:after="40"/>
              <w:rPr>
                <w:sz w:val="18"/>
                <w:szCs w:val="18"/>
              </w:rPr>
            </w:pPr>
            <w:r w:rsidRPr="00716CC2">
              <w:rPr>
                <w:sz w:val="18"/>
                <w:szCs w:val="18"/>
              </w:rPr>
              <w:t>Language may be different with different service types</w:t>
            </w:r>
          </w:p>
          <w:p w14:paraId="74BC9AE5" w14:textId="77777777" w:rsidR="001536CF" w:rsidRPr="00716CC2" w:rsidRDefault="001536CF" w:rsidP="00BE7218">
            <w:pPr>
              <w:pStyle w:val="Bullet"/>
              <w:spacing w:before="40" w:after="40"/>
              <w:rPr>
                <w:sz w:val="18"/>
                <w:szCs w:val="18"/>
              </w:rPr>
            </w:pPr>
            <w:r w:rsidRPr="00716CC2">
              <w:rPr>
                <w:sz w:val="18"/>
                <w:szCs w:val="18"/>
              </w:rPr>
              <w:t>Currently compartmentalising patients journey, consider framing standards to reflect journey</w:t>
            </w:r>
          </w:p>
        </w:tc>
        <w:tc>
          <w:tcPr>
            <w:tcW w:w="2949" w:type="dxa"/>
            <w:gridSpan w:val="3"/>
          </w:tcPr>
          <w:p w14:paraId="028F4978" w14:textId="77777777" w:rsidR="001536CF" w:rsidRPr="00716CC2" w:rsidRDefault="001536CF" w:rsidP="00BE7218">
            <w:pPr>
              <w:pStyle w:val="Bullet"/>
              <w:spacing w:before="40" w:after="40"/>
              <w:rPr>
                <w:sz w:val="18"/>
                <w:szCs w:val="18"/>
              </w:rPr>
            </w:pPr>
            <w:r w:rsidRPr="00716CC2">
              <w:rPr>
                <w:sz w:val="18"/>
                <w:szCs w:val="18"/>
              </w:rPr>
              <w:t xml:space="preserve">This section is required, reinforces focus as the resident </w:t>
            </w:r>
          </w:p>
          <w:p w14:paraId="4E0220E3" w14:textId="77777777" w:rsidR="001536CF" w:rsidRPr="00716CC2" w:rsidRDefault="001536CF" w:rsidP="00BE7218">
            <w:pPr>
              <w:pStyle w:val="Bullet"/>
              <w:spacing w:before="40" w:after="40"/>
              <w:rPr>
                <w:sz w:val="18"/>
                <w:szCs w:val="18"/>
              </w:rPr>
            </w:pPr>
            <w:r w:rsidRPr="00716CC2">
              <w:rPr>
                <w:sz w:val="18"/>
                <w:szCs w:val="18"/>
              </w:rPr>
              <w:t>Support for ‘I’ statements – more powerful/ respectful approach – consider weaving throughout</w:t>
            </w:r>
          </w:p>
          <w:p w14:paraId="42B48952" w14:textId="77777777" w:rsidR="001536CF" w:rsidRPr="00716CC2" w:rsidRDefault="001536CF" w:rsidP="00BE7218">
            <w:pPr>
              <w:pStyle w:val="Bullet"/>
              <w:spacing w:before="40" w:after="40"/>
              <w:rPr>
                <w:sz w:val="18"/>
                <w:szCs w:val="18"/>
              </w:rPr>
            </w:pPr>
            <w:r w:rsidRPr="00716CC2">
              <w:rPr>
                <w:sz w:val="18"/>
                <w:szCs w:val="18"/>
              </w:rPr>
              <w:t>Interest in co-design approach for this section</w:t>
            </w:r>
          </w:p>
          <w:p w14:paraId="2304EC00" w14:textId="77777777" w:rsidR="001536CF" w:rsidRPr="00716CC2" w:rsidRDefault="001536CF" w:rsidP="00BE7218">
            <w:pPr>
              <w:pStyle w:val="Bullet"/>
              <w:spacing w:before="40" w:after="40"/>
              <w:rPr>
                <w:sz w:val="18"/>
                <w:szCs w:val="18"/>
              </w:rPr>
            </w:pPr>
            <w:r w:rsidRPr="00716CC2">
              <w:rPr>
                <w:sz w:val="18"/>
                <w:szCs w:val="18"/>
              </w:rPr>
              <w:t>Be mindful of those with cognitive impairment – particularly in terms of implementation, there may be need for support in understanding for residents; and the evidence needed for providers (re audit)</w:t>
            </w:r>
          </w:p>
          <w:p w14:paraId="0EDE9458" w14:textId="77777777" w:rsidR="001536CF" w:rsidRPr="00716CC2" w:rsidRDefault="001536CF" w:rsidP="00BE7218">
            <w:pPr>
              <w:pStyle w:val="Bullet"/>
              <w:spacing w:before="40" w:after="40"/>
              <w:rPr>
                <w:sz w:val="18"/>
                <w:szCs w:val="18"/>
              </w:rPr>
            </w:pPr>
            <w:r w:rsidRPr="00716CC2">
              <w:rPr>
                <w:sz w:val="18"/>
                <w:szCs w:val="18"/>
              </w:rPr>
              <w:t>Health literacy an aspect for attention – resident, whānau, staff (note staff may not know standards or their meaning)</w:t>
            </w:r>
          </w:p>
          <w:p w14:paraId="0BEDAD5E" w14:textId="77777777" w:rsidR="001536CF" w:rsidRPr="00716CC2" w:rsidRDefault="001536CF" w:rsidP="00BE7218">
            <w:pPr>
              <w:pStyle w:val="Bullet"/>
              <w:spacing w:before="40" w:after="40"/>
              <w:rPr>
                <w:sz w:val="18"/>
                <w:szCs w:val="18"/>
              </w:rPr>
            </w:pPr>
            <w:r w:rsidRPr="00716CC2">
              <w:rPr>
                <w:sz w:val="18"/>
                <w:szCs w:val="18"/>
              </w:rPr>
              <w:t>I note this already aligns quite well with the HDC. When is code due to be reviewed? My thoughts follow (EB, Eldernet)</w:t>
            </w:r>
          </w:p>
        </w:tc>
        <w:tc>
          <w:tcPr>
            <w:tcW w:w="2948" w:type="dxa"/>
            <w:gridSpan w:val="3"/>
          </w:tcPr>
          <w:p w14:paraId="3820A7DF" w14:textId="77777777" w:rsidR="001536CF" w:rsidRPr="00716CC2" w:rsidRDefault="001536CF" w:rsidP="00BE7218">
            <w:pPr>
              <w:pStyle w:val="Bullet"/>
              <w:spacing w:before="40" w:after="40"/>
              <w:rPr>
                <w:sz w:val="18"/>
                <w:szCs w:val="18"/>
              </w:rPr>
            </w:pPr>
            <w:r w:rsidRPr="00716CC2">
              <w:rPr>
                <w:sz w:val="18"/>
                <w:szCs w:val="18"/>
              </w:rPr>
              <w:t>Agreed an dedicated section on rights</w:t>
            </w:r>
          </w:p>
          <w:p w14:paraId="57D4DCBE" w14:textId="77777777" w:rsidR="001536CF" w:rsidRPr="00716CC2" w:rsidRDefault="001536CF" w:rsidP="00BE7218">
            <w:pPr>
              <w:pStyle w:val="Bullet"/>
              <w:spacing w:before="40" w:after="40"/>
              <w:rPr>
                <w:sz w:val="18"/>
                <w:szCs w:val="18"/>
              </w:rPr>
            </w:pPr>
            <w:r w:rsidRPr="00716CC2">
              <w:rPr>
                <w:sz w:val="18"/>
                <w:szCs w:val="18"/>
              </w:rPr>
              <w:t>Language could be improved, (current) guidance good – language in ARC can be overwhelming</w:t>
            </w:r>
          </w:p>
          <w:p w14:paraId="1C2550D9" w14:textId="77777777" w:rsidR="001536CF" w:rsidRPr="00716CC2" w:rsidRDefault="001536CF" w:rsidP="00BE7218">
            <w:pPr>
              <w:pStyle w:val="Bullet"/>
              <w:spacing w:before="40" w:after="40"/>
              <w:rPr>
                <w:sz w:val="18"/>
                <w:szCs w:val="18"/>
              </w:rPr>
            </w:pPr>
            <w:r w:rsidRPr="00716CC2">
              <w:rPr>
                <w:sz w:val="18"/>
                <w:szCs w:val="18"/>
              </w:rPr>
              <w:t>Consumer means wider than individual – whānau</w:t>
            </w:r>
          </w:p>
          <w:p w14:paraId="5E9B56EB" w14:textId="77777777" w:rsidR="001536CF" w:rsidRPr="00716CC2" w:rsidRDefault="001536CF" w:rsidP="00BE7218">
            <w:pPr>
              <w:pStyle w:val="Bullet"/>
              <w:spacing w:before="40" w:after="40"/>
              <w:rPr>
                <w:sz w:val="18"/>
                <w:szCs w:val="18"/>
              </w:rPr>
            </w:pPr>
            <w:r w:rsidRPr="00716CC2">
              <w:rPr>
                <w:sz w:val="18"/>
                <w:szCs w:val="18"/>
              </w:rPr>
              <w:t>“I” statements considered – mixed view: could result in ‘lip service’ vs could ‘empower’ residents</w:t>
            </w:r>
          </w:p>
        </w:tc>
        <w:tc>
          <w:tcPr>
            <w:tcW w:w="2949" w:type="dxa"/>
            <w:gridSpan w:val="3"/>
          </w:tcPr>
          <w:p w14:paraId="08625728" w14:textId="77777777" w:rsidR="001536CF" w:rsidRPr="00716CC2" w:rsidRDefault="001536CF" w:rsidP="00BE7218">
            <w:pPr>
              <w:pStyle w:val="Bullet"/>
              <w:spacing w:before="40" w:after="40"/>
              <w:rPr>
                <w:sz w:val="18"/>
                <w:szCs w:val="18"/>
              </w:rPr>
            </w:pPr>
            <w:r w:rsidRPr="00716CC2">
              <w:rPr>
                <w:sz w:val="18"/>
                <w:szCs w:val="18"/>
              </w:rPr>
              <w:t>Duplication across some standards noted</w:t>
            </w:r>
          </w:p>
          <w:p w14:paraId="3FB64E95" w14:textId="77777777" w:rsidR="001536CF" w:rsidRPr="00716CC2" w:rsidRDefault="001536CF" w:rsidP="00BE7218">
            <w:pPr>
              <w:pStyle w:val="Bullet"/>
              <w:spacing w:before="40" w:after="40"/>
              <w:rPr>
                <w:sz w:val="18"/>
                <w:szCs w:val="18"/>
              </w:rPr>
            </w:pPr>
            <w:r w:rsidRPr="00716CC2">
              <w:rPr>
                <w:sz w:val="18"/>
                <w:szCs w:val="18"/>
              </w:rPr>
              <w:t>A section on people’s rights required – consider title of ‘Human Rights’ (for example)</w:t>
            </w:r>
          </w:p>
          <w:p w14:paraId="4FF174AF" w14:textId="77777777" w:rsidR="001536CF" w:rsidRPr="00716CC2" w:rsidRDefault="001536CF" w:rsidP="00BE7218">
            <w:pPr>
              <w:pStyle w:val="Bullet"/>
              <w:spacing w:before="40" w:after="40"/>
              <w:rPr>
                <w:sz w:val="18"/>
                <w:szCs w:val="18"/>
              </w:rPr>
            </w:pPr>
            <w:r w:rsidRPr="00716CC2">
              <w:rPr>
                <w:sz w:val="18"/>
                <w:szCs w:val="18"/>
              </w:rPr>
              <w:t>Interest in high level principles that apply across sector – and include:</w:t>
            </w:r>
          </w:p>
          <w:p w14:paraId="7D162D25" w14:textId="77777777" w:rsidR="001536CF" w:rsidRPr="00716CC2" w:rsidRDefault="001536CF" w:rsidP="00681608">
            <w:pPr>
              <w:pStyle w:val="Bullet"/>
              <w:numPr>
                <w:ilvl w:val="1"/>
                <w:numId w:val="2"/>
              </w:numPr>
              <w:spacing w:before="40" w:after="40"/>
              <w:ind w:left="716" w:hanging="294"/>
              <w:rPr>
                <w:sz w:val="18"/>
                <w:szCs w:val="18"/>
              </w:rPr>
            </w:pPr>
            <w:r w:rsidRPr="00716CC2">
              <w:rPr>
                <w:sz w:val="18"/>
                <w:szCs w:val="18"/>
              </w:rPr>
              <w:t>Include us in design</w:t>
            </w:r>
          </w:p>
          <w:p w14:paraId="56CEE0E5" w14:textId="77777777" w:rsidR="001536CF" w:rsidRPr="00716CC2" w:rsidRDefault="001536CF" w:rsidP="00681608">
            <w:pPr>
              <w:pStyle w:val="Bullet"/>
              <w:numPr>
                <w:ilvl w:val="1"/>
                <w:numId w:val="2"/>
              </w:numPr>
              <w:spacing w:before="40" w:after="40"/>
              <w:ind w:left="716" w:hanging="294"/>
              <w:rPr>
                <w:sz w:val="18"/>
                <w:szCs w:val="18"/>
              </w:rPr>
            </w:pPr>
            <w:r w:rsidRPr="00716CC2">
              <w:rPr>
                <w:sz w:val="18"/>
                <w:szCs w:val="18"/>
              </w:rPr>
              <w:t>Universal design</w:t>
            </w:r>
          </w:p>
          <w:p w14:paraId="5996A627" w14:textId="77777777" w:rsidR="001536CF" w:rsidRPr="00716CC2" w:rsidRDefault="001536CF" w:rsidP="00681608">
            <w:pPr>
              <w:pStyle w:val="Bullet"/>
              <w:numPr>
                <w:ilvl w:val="1"/>
                <w:numId w:val="2"/>
              </w:numPr>
              <w:spacing w:before="40" w:after="40"/>
              <w:ind w:left="716" w:hanging="294"/>
              <w:rPr>
                <w:sz w:val="18"/>
                <w:szCs w:val="18"/>
              </w:rPr>
            </w:pPr>
            <w:r w:rsidRPr="00716CC2">
              <w:rPr>
                <w:sz w:val="18"/>
                <w:szCs w:val="18"/>
              </w:rPr>
              <w:t>Support decision making</w:t>
            </w:r>
          </w:p>
          <w:p w14:paraId="037114C4" w14:textId="77777777" w:rsidR="001536CF" w:rsidRPr="00716CC2" w:rsidRDefault="001536CF" w:rsidP="00681608">
            <w:pPr>
              <w:pStyle w:val="Bullet"/>
              <w:numPr>
                <w:ilvl w:val="1"/>
                <w:numId w:val="2"/>
              </w:numPr>
              <w:spacing w:before="40" w:after="40"/>
              <w:ind w:left="716" w:hanging="294"/>
              <w:rPr>
                <w:sz w:val="18"/>
                <w:szCs w:val="18"/>
              </w:rPr>
            </w:pPr>
            <w:r w:rsidRPr="00716CC2">
              <w:rPr>
                <w:sz w:val="18"/>
                <w:szCs w:val="18"/>
              </w:rPr>
              <w:t>Reasonable accommodation</w:t>
            </w:r>
          </w:p>
          <w:p w14:paraId="24365A94" w14:textId="77777777" w:rsidR="001536CF" w:rsidRPr="00716CC2" w:rsidRDefault="001536CF" w:rsidP="00BE7218">
            <w:pPr>
              <w:pStyle w:val="Bullet"/>
              <w:spacing w:before="40" w:after="40"/>
              <w:rPr>
                <w:sz w:val="18"/>
                <w:szCs w:val="18"/>
              </w:rPr>
            </w:pPr>
            <w:r w:rsidRPr="00716CC2">
              <w:rPr>
                <w:sz w:val="18"/>
                <w:szCs w:val="18"/>
              </w:rPr>
              <w:t>Language is powerful and to be considered – eg. The person/people we support, My provider will, My understanding is</w:t>
            </w:r>
          </w:p>
          <w:p w14:paraId="543D9C28" w14:textId="77777777" w:rsidR="001536CF" w:rsidRPr="00716CC2" w:rsidRDefault="001536CF" w:rsidP="00BE7218">
            <w:pPr>
              <w:pStyle w:val="Bullet"/>
              <w:spacing w:before="40" w:after="40"/>
              <w:rPr>
                <w:sz w:val="18"/>
                <w:szCs w:val="18"/>
              </w:rPr>
            </w:pPr>
            <w:r w:rsidRPr="00716CC2">
              <w:rPr>
                <w:sz w:val="18"/>
                <w:szCs w:val="18"/>
              </w:rPr>
              <w:t>Disability – need to emphasise meaningful living (as opposed to health outcomes)</w:t>
            </w:r>
          </w:p>
          <w:p w14:paraId="5A9C93CE" w14:textId="77777777" w:rsidR="001536CF" w:rsidRPr="00716CC2" w:rsidRDefault="001536CF" w:rsidP="00BE7218">
            <w:pPr>
              <w:pStyle w:val="Bullet"/>
              <w:spacing w:before="40" w:after="40"/>
              <w:rPr>
                <w:sz w:val="18"/>
                <w:szCs w:val="18"/>
              </w:rPr>
            </w:pPr>
            <w:r w:rsidRPr="00716CC2">
              <w:rPr>
                <w:sz w:val="18"/>
                <w:szCs w:val="18"/>
              </w:rPr>
              <w:t>Interest in codesign</w:t>
            </w:r>
          </w:p>
          <w:p w14:paraId="43DF278B" w14:textId="77777777" w:rsidR="001536CF" w:rsidRPr="00716CC2" w:rsidRDefault="001536CF" w:rsidP="00BE7218">
            <w:pPr>
              <w:pStyle w:val="Bullet"/>
              <w:spacing w:before="40" w:after="40"/>
              <w:rPr>
                <w:sz w:val="18"/>
                <w:szCs w:val="18"/>
              </w:rPr>
            </w:pPr>
            <w:r w:rsidRPr="00716CC2">
              <w:rPr>
                <w:sz w:val="18"/>
                <w:szCs w:val="18"/>
              </w:rPr>
              <w:t>Overarching section on rights (ie. Same across all service types), differentiate service types through ‘guidance’</w:t>
            </w:r>
          </w:p>
        </w:tc>
      </w:tr>
      <w:tr w:rsidR="00913CCD" w:rsidRPr="00716CC2" w14:paraId="0C2BE746" w14:textId="77777777" w:rsidTr="007A7079">
        <w:trPr>
          <w:gridAfter w:val="1"/>
          <w:wAfter w:w="142" w:type="dxa"/>
        </w:trPr>
        <w:tc>
          <w:tcPr>
            <w:tcW w:w="14742" w:type="dxa"/>
            <w:gridSpan w:val="14"/>
            <w:shd w:val="clear" w:color="auto" w:fill="F2F2F2" w:themeFill="background1" w:themeFillShade="F2"/>
          </w:tcPr>
          <w:p w14:paraId="185B933A" w14:textId="77777777" w:rsidR="00913CCD" w:rsidRPr="00716CC2" w:rsidRDefault="00913CCD" w:rsidP="00913CCD">
            <w:pPr>
              <w:spacing w:before="40" w:after="40"/>
              <w:rPr>
                <w:sz w:val="18"/>
                <w:szCs w:val="18"/>
              </w:rPr>
            </w:pPr>
            <w:r w:rsidRPr="00716CC2">
              <w:rPr>
                <w:b/>
                <w:sz w:val="18"/>
                <w:szCs w:val="18"/>
              </w:rPr>
              <w:t xml:space="preserve">Standard 1.1.1: </w:t>
            </w:r>
            <w:r w:rsidRPr="00716CC2">
              <w:rPr>
                <w:sz w:val="18"/>
                <w:szCs w:val="18"/>
              </w:rPr>
              <w:t>Consumer Rights During Service Delivery HDSS(C)S.2008:1.1.1): Consumers receive services in accordance with consumer rights legislation.</w:t>
            </w:r>
          </w:p>
        </w:tc>
      </w:tr>
      <w:tr w:rsidR="00913CCD" w:rsidRPr="00716CC2" w14:paraId="25356212" w14:textId="77777777" w:rsidTr="007A7079">
        <w:trPr>
          <w:gridAfter w:val="1"/>
          <w:wAfter w:w="142" w:type="dxa"/>
        </w:trPr>
        <w:tc>
          <w:tcPr>
            <w:tcW w:w="2948" w:type="dxa"/>
            <w:gridSpan w:val="2"/>
            <w:shd w:val="clear" w:color="auto" w:fill="FFFFFF" w:themeFill="background1"/>
          </w:tcPr>
          <w:p w14:paraId="0B541BAF" w14:textId="77777777" w:rsidR="00913CCD" w:rsidRPr="00716CC2" w:rsidRDefault="00913CCD"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34B6C558" w14:textId="77777777" w:rsidR="00913CCD" w:rsidRPr="00716CC2" w:rsidRDefault="00913CCD"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62BD805B" w14:textId="77777777" w:rsidR="00913CCD" w:rsidRPr="00716CC2" w:rsidRDefault="00913CCD"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1AF21687" w14:textId="77777777" w:rsidR="00913CCD" w:rsidRPr="00716CC2" w:rsidRDefault="00913CCD"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5456E8FF" w14:textId="77777777" w:rsidR="00913CCD" w:rsidRPr="00716CC2" w:rsidRDefault="00913CCD" w:rsidP="006D5FE4">
            <w:pPr>
              <w:pStyle w:val="TableText"/>
              <w:spacing w:before="40" w:after="40"/>
              <w:rPr>
                <w:b/>
                <w:szCs w:val="18"/>
                <w:lang w:eastAsia="en-NZ"/>
              </w:rPr>
            </w:pPr>
            <w:r w:rsidRPr="00716CC2">
              <w:rPr>
                <w:b/>
                <w:szCs w:val="18"/>
                <w:lang w:eastAsia="en-NZ"/>
              </w:rPr>
              <w:t>Res Dis (6 Aug)</w:t>
            </w:r>
          </w:p>
        </w:tc>
      </w:tr>
      <w:tr w:rsidR="00913CCD" w:rsidRPr="00716CC2" w14:paraId="1ED5E015" w14:textId="77777777" w:rsidTr="007A7079">
        <w:trPr>
          <w:gridAfter w:val="1"/>
          <w:wAfter w:w="142" w:type="dxa"/>
        </w:trPr>
        <w:tc>
          <w:tcPr>
            <w:tcW w:w="2948" w:type="dxa"/>
            <w:gridSpan w:val="2"/>
          </w:tcPr>
          <w:p w14:paraId="0C000171" w14:textId="77777777" w:rsidR="00913CCD" w:rsidRPr="00716CC2" w:rsidRDefault="00913CCD" w:rsidP="00BE7218">
            <w:pPr>
              <w:pStyle w:val="Bullet"/>
              <w:spacing w:before="40" w:after="40"/>
              <w:rPr>
                <w:sz w:val="18"/>
                <w:szCs w:val="18"/>
                <w:lang w:eastAsia="en-NZ"/>
              </w:rPr>
            </w:pPr>
            <w:r w:rsidRPr="00716CC2">
              <w:rPr>
                <w:sz w:val="18"/>
                <w:szCs w:val="18"/>
                <w:lang w:eastAsia="en-NZ"/>
              </w:rPr>
              <w:lastRenderedPageBreak/>
              <w:t xml:space="preserve">Commitment to equity in respect of Tangata Whenua and other marginalised groups was discussed: Tangata Whenua: suggest a ‘stand-alone’ standard that includes responsibility in respect of the Treaty of Waitangi, then specific criteria embedded into each standard. Q: where do ‘whānau’ sit. Consideration of marginalised groups needs to factor into standards </w:t>
            </w:r>
          </w:p>
          <w:p w14:paraId="774408AA" w14:textId="77777777" w:rsidR="00913CCD" w:rsidRPr="00716CC2" w:rsidRDefault="00913CCD" w:rsidP="00BE7218">
            <w:pPr>
              <w:pStyle w:val="Bullet"/>
              <w:spacing w:before="40" w:after="40"/>
              <w:rPr>
                <w:sz w:val="18"/>
                <w:szCs w:val="18"/>
                <w:lang w:eastAsia="en-NZ"/>
              </w:rPr>
            </w:pPr>
            <w:r w:rsidRPr="00716CC2">
              <w:rPr>
                <w:sz w:val="18"/>
                <w:szCs w:val="18"/>
                <w:lang w:eastAsia="en-NZ"/>
              </w:rPr>
              <w:t>Link to Health and Disability Commissioner Code of Health and Disability Services Consumers’ Rights (HDC CoR) was noted, consideration be given to linking to the Code (rather than repeating in the standards)</w:t>
            </w:r>
          </w:p>
          <w:p w14:paraId="080D5FF1" w14:textId="77777777" w:rsidR="00913CCD" w:rsidRPr="00716CC2" w:rsidRDefault="00913CCD" w:rsidP="00BE7218">
            <w:pPr>
              <w:pStyle w:val="Bullet"/>
              <w:spacing w:before="40" w:after="40"/>
              <w:rPr>
                <w:sz w:val="18"/>
                <w:szCs w:val="18"/>
                <w:lang w:eastAsia="en-NZ"/>
              </w:rPr>
            </w:pPr>
            <w:r w:rsidRPr="00716CC2">
              <w:rPr>
                <w:sz w:val="18"/>
                <w:szCs w:val="18"/>
                <w:lang w:eastAsia="en-NZ"/>
              </w:rPr>
              <w:t>A consistent approach is needed – with particular attention to language: Patient centred so the patients voice is foremost. Link to United Nations re indigenous peoples</w:t>
            </w:r>
          </w:p>
          <w:p w14:paraId="04264F89" w14:textId="77777777" w:rsidR="00913CCD" w:rsidRPr="00716CC2" w:rsidRDefault="00913CCD" w:rsidP="00BE7218">
            <w:pPr>
              <w:pStyle w:val="Bullet"/>
              <w:spacing w:before="40" w:after="40"/>
              <w:rPr>
                <w:sz w:val="18"/>
                <w:szCs w:val="18"/>
                <w:lang w:eastAsia="en-NZ"/>
              </w:rPr>
            </w:pPr>
            <w:r w:rsidRPr="00716CC2">
              <w:rPr>
                <w:sz w:val="18"/>
                <w:szCs w:val="18"/>
                <w:lang w:eastAsia="en-NZ"/>
              </w:rPr>
              <w:t>Could merge Standard 1.1.1 and 1.1.2 (below) – when amending be cognisant of lanuaging with particular regard to patient/consumer and equity</w:t>
            </w:r>
          </w:p>
          <w:p w14:paraId="4CC5E9F9" w14:textId="77777777" w:rsidR="00913CCD" w:rsidRPr="00716CC2" w:rsidRDefault="00913CCD" w:rsidP="00BE7218">
            <w:pPr>
              <w:pStyle w:val="Bullet"/>
              <w:spacing w:before="40" w:after="40"/>
              <w:rPr>
                <w:sz w:val="18"/>
                <w:szCs w:val="18"/>
              </w:rPr>
            </w:pPr>
            <w:r w:rsidRPr="00716CC2">
              <w:rPr>
                <w:sz w:val="18"/>
                <w:szCs w:val="18"/>
              </w:rPr>
              <w:lastRenderedPageBreak/>
              <w:t>Co-design was tabled as concept, approach to be included (HQSC)</w:t>
            </w:r>
          </w:p>
          <w:p w14:paraId="5FADDFEE" w14:textId="77777777" w:rsidR="00913CCD" w:rsidRPr="00716CC2" w:rsidRDefault="00913CCD" w:rsidP="00BE7218">
            <w:pPr>
              <w:pStyle w:val="Bullet"/>
              <w:spacing w:before="40" w:after="40"/>
              <w:rPr>
                <w:rFonts w:ascii="Arial" w:hAnsi="Arial"/>
                <w:b/>
                <w:bCs/>
                <w:sz w:val="18"/>
                <w:szCs w:val="18"/>
                <w:lang w:eastAsia="en-NZ"/>
              </w:rPr>
            </w:pPr>
            <w:r w:rsidRPr="00716CC2">
              <w:rPr>
                <w:sz w:val="18"/>
                <w:szCs w:val="18"/>
              </w:rPr>
              <w:t>Demonstrate quality improvement from patient feedback (HQSC)</w:t>
            </w:r>
          </w:p>
        </w:tc>
        <w:tc>
          <w:tcPr>
            <w:tcW w:w="2948" w:type="dxa"/>
            <w:gridSpan w:val="3"/>
          </w:tcPr>
          <w:p w14:paraId="2C748B93" w14:textId="77777777" w:rsidR="00913CCD" w:rsidRPr="00716CC2" w:rsidRDefault="00913CCD" w:rsidP="00BE7218">
            <w:pPr>
              <w:pStyle w:val="Bullet"/>
              <w:spacing w:before="40" w:after="40"/>
              <w:rPr>
                <w:sz w:val="18"/>
                <w:szCs w:val="18"/>
                <w:lang w:eastAsia="en-NZ"/>
              </w:rPr>
            </w:pPr>
            <w:r w:rsidRPr="00716CC2">
              <w:rPr>
                <w:sz w:val="18"/>
                <w:szCs w:val="18"/>
                <w:lang w:eastAsia="en-NZ"/>
              </w:rPr>
              <w:lastRenderedPageBreak/>
              <w:t>Linked to Code of Rights</w:t>
            </w:r>
          </w:p>
          <w:p w14:paraId="0E1B3F47" w14:textId="77777777" w:rsidR="00913CCD" w:rsidRPr="00716CC2" w:rsidRDefault="00913CCD" w:rsidP="00BE7218">
            <w:pPr>
              <w:pStyle w:val="Bullet"/>
              <w:spacing w:before="40" w:after="40"/>
              <w:rPr>
                <w:sz w:val="18"/>
                <w:szCs w:val="18"/>
                <w:lang w:eastAsia="en-NZ"/>
              </w:rPr>
            </w:pPr>
            <w:r w:rsidRPr="00716CC2">
              <w:rPr>
                <w:sz w:val="18"/>
                <w:szCs w:val="18"/>
                <w:lang w:eastAsia="en-NZ"/>
              </w:rPr>
              <w:t>Q: how come mental health specific criteria do not apply to all service types</w:t>
            </w:r>
          </w:p>
          <w:p w14:paraId="46573519" w14:textId="77777777" w:rsidR="00913CCD" w:rsidRPr="00716CC2" w:rsidRDefault="00913CCD" w:rsidP="00BE7218">
            <w:pPr>
              <w:pStyle w:val="Bullet"/>
              <w:spacing w:before="40" w:after="40"/>
              <w:rPr>
                <w:sz w:val="18"/>
                <w:szCs w:val="18"/>
                <w:lang w:eastAsia="en-NZ"/>
              </w:rPr>
            </w:pPr>
            <w:r w:rsidRPr="00716CC2">
              <w:rPr>
                <w:sz w:val="18"/>
                <w:szCs w:val="18"/>
                <w:lang w:eastAsia="en-NZ"/>
              </w:rPr>
              <w:t>Standards to be adaptable to different models of care</w:t>
            </w:r>
          </w:p>
          <w:p w14:paraId="1A9CE3AA" w14:textId="77777777" w:rsidR="00913CCD" w:rsidRPr="00716CC2" w:rsidRDefault="00913CCD" w:rsidP="00BE7218">
            <w:pPr>
              <w:pStyle w:val="Bullet"/>
              <w:spacing w:before="40" w:after="40"/>
              <w:rPr>
                <w:sz w:val="18"/>
                <w:szCs w:val="18"/>
                <w:lang w:eastAsia="en-NZ"/>
              </w:rPr>
            </w:pPr>
            <w:r w:rsidRPr="00716CC2">
              <w:rPr>
                <w:sz w:val="18"/>
                <w:szCs w:val="18"/>
                <w:lang w:eastAsia="en-NZ"/>
              </w:rPr>
              <w:t>Flexible approach to hearing consumer view (eg. Committees)</w:t>
            </w:r>
          </w:p>
          <w:p w14:paraId="0FD6B399" w14:textId="77777777" w:rsidR="00913CCD" w:rsidRPr="00716CC2" w:rsidRDefault="00913CCD" w:rsidP="00BE7218">
            <w:pPr>
              <w:pStyle w:val="Bullet"/>
              <w:spacing w:before="40" w:after="40"/>
              <w:rPr>
                <w:sz w:val="18"/>
                <w:szCs w:val="18"/>
                <w:lang w:eastAsia="en-NZ"/>
              </w:rPr>
            </w:pPr>
            <w:r w:rsidRPr="00716CC2">
              <w:rPr>
                <w:sz w:val="18"/>
                <w:szCs w:val="18"/>
                <w:lang w:eastAsia="en-NZ"/>
              </w:rPr>
              <w:t>Guidelines currently too prescriptive (eg. Not all services have consumer advisory groups)</w:t>
            </w:r>
          </w:p>
          <w:p w14:paraId="3AB4A8F5" w14:textId="77777777" w:rsidR="00913CCD" w:rsidRPr="00716CC2" w:rsidRDefault="00913CCD" w:rsidP="00BE7218">
            <w:pPr>
              <w:pStyle w:val="Bullet"/>
              <w:spacing w:before="40" w:after="40"/>
              <w:rPr>
                <w:sz w:val="18"/>
                <w:szCs w:val="18"/>
                <w:lang w:eastAsia="en-NZ"/>
              </w:rPr>
            </w:pPr>
            <w:r w:rsidRPr="00716CC2">
              <w:rPr>
                <w:sz w:val="18"/>
                <w:szCs w:val="18"/>
                <w:lang w:eastAsia="en-NZ"/>
              </w:rPr>
              <w:t>Need to engage whānau</w:t>
            </w:r>
          </w:p>
          <w:p w14:paraId="3FC29792" w14:textId="77777777" w:rsidR="00913CCD" w:rsidRPr="00716CC2" w:rsidRDefault="00913CCD" w:rsidP="00BE7218">
            <w:pPr>
              <w:pStyle w:val="Bullet"/>
              <w:spacing w:before="40" w:after="40"/>
              <w:rPr>
                <w:sz w:val="18"/>
                <w:szCs w:val="18"/>
                <w:lang w:eastAsia="en-NZ"/>
              </w:rPr>
            </w:pPr>
            <w:r w:rsidRPr="00716CC2">
              <w:rPr>
                <w:sz w:val="18"/>
                <w:szCs w:val="18"/>
                <w:lang w:eastAsia="en-NZ"/>
              </w:rPr>
              <w:t>Concepts such as: respect, inclusion, consumer voice discussed</w:t>
            </w:r>
          </w:p>
          <w:p w14:paraId="273D8A57" w14:textId="77777777" w:rsidR="00913CCD" w:rsidRPr="00716CC2" w:rsidRDefault="00913CCD" w:rsidP="00BE7218">
            <w:pPr>
              <w:pStyle w:val="Bullet"/>
              <w:spacing w:before="40" w:after="40"/>
              <w:rPr>
                <w:sz w:val="18"/>
                <w:szCs w:val="18"/>
              </w:rPr>
            </w:pPr>
            <w:r w:rsidRPr="00716CC2">
              <w:rPr>
                <w:sz w:val="18"/>
                <w:szCs w:val="18"/>
              </w:rPr>
              <w:t>Need to consider a wider range of options for consumer feedback.</w:t>
            </w:r>
          </w:p>
        </w:tc>
        <w:tc>
          <w:tcPr>
            <w:tcW w:w="2949" w:type="dxa"/>
            <w:gridSpan w:val="3"/>
          </w:tcPr>
          <w:p w14:paraId="7EF0FE53" w14:textId="77777777" w:rsidR="00913CCD" w:rsidRPr="00716CC2" w:rsidRDefault="00913CCD" w:rsidP="00BE7218">
            <w:pPr>
              <w:pStyle w:val="Bullet"/>
              <w:spacing w:before="40" w:after="40"/>
              <w:rPr>
                <w:sz w:val="18"/>
                <w:szCs w:val="18"/>
                <w:lang w:eastAsia="en-NZ"/>
              </w:rPr>
            </w:pPr>
            <w:r w:rsidRPr="00716CC2">
              <w:rPr>
                <w:sz w:val="18"/>
                <w:szCs w:val="18"/>
                <w:lang w:eastAsia="en-NZ"/>
              </w:rPr>
              <w:t>Mixed view re merging with 1.1.2, mixed view, could combine at standard level with criteria specific to staff and resident below</w:t>
            </w:r>
          </w:p>
          <w:p w14:paraId="7E59A45E" w14:textId="77777777" w:rsidR="00913CCD" w:rsidRPr="00716CC2" w:rsidRDefault="00913CCD" w:rsidP="00BE7218">
            <w:pPr>
              <w:pStyle w:val="Bullet"/>
              <w:spacing w:before="40" w:after="40"/>
              <w:rPr>
                <w:sz w:val="18"/>
                <w:szCs w:val="18"/>
                <w:lang w:eastAsia="en-NZ"/>
              </w:rPr>
            </w:pPr>
            <w:r w:rsidRPr="00716CC2">
              <w:rPr>
                <w:sz w:val="18"/>
                <w:szCs w:val="18"/>
                <w:lang w:eastAsia="en-NZ"/>
              </w:rPr>
              <w:t>Be clear on who is being targeted – ie. Resident vs provider</w:t>
            </w:r>
          </w:p>
          <w:p w14:paraId="5003B1D8" w14:textId="77777777" w:rsidR="00913CCD" w:rsidRPr="00716CC2" w:rsidRDefault="00913CCD" w:rsidP="00BE7218">
            <w:pPr>
              <w:pStyle w:val="Bullet"/>
              <w:spacing w:before="40" w:after="40"/>
              <w:rPr>
                <w:sz w:val="18"/>
                <w:szCs w:val="18"/>
                <w:lang w:eastAsia="en-NZ"/>
              </w:rPr>
            </w:pPr>
            <w:r w:rsidRPr="00716CC2">
              <w:rPr>
                <w:sz w:val="18"/>
                <w:szCs w:val="18"/>
                <w:lang w:eastAsia="en-NZ"/>
              </w:rPr>
              <w:t xml:space="preserve">EPOA important issue </w:t>
            </w:r>
          </w:p>
          <w:p w14:paraId="38CA8383" w14:textId="77777777" w:rsidR="00913CCD" w:rsidRPr="00716CC2" w:rsidRDefault="00913CCD" w:rsidP="00BE7218">
            <w:pPr>
              <w:pStyle w:val="Bullet"/>
              <w:spacing w:before="40" w:after="40"/>
              <w:rPr>
                <w:sz w:val="18"/>
                <w:szCs w:val="18"/>
                <w:lang w:eastAsia="en-NZ"/>
              </w:rPr>
            </w:pPr>
            <w:r w:rsidRPr="00716CC2">
              <w:rPr>
                <w:sz w:val="18"/>
                <w:szCs w:val="18"/>
                <w:lang w:eastAsia="en-NZ"/>
              </w:rPr>
              <w:t>Also note comments above</w:t>
            </w:r>
          </w:p>
        </w:tc>
        <w:tc>
          <w:tcPr>
            <w:tcW w:w="2948" w:type="dxa"/>
            <w:gridSpan w:val="3"/>
          </w:tcPr>
          <w:p w14:paraId="4C23FC79" w14:textId="77777777" w:rsidR="00913CCD" w:rsidRPr="00716CC2" w:rsidRDefault="00913CCD" w:rsidP="00BE7218">
            <w:pPr>
              <w:pStyle w:val="Bullet"/>
              <w:spacing w:before="40" w:after="40"/>
              <w:rPr>
                <w:sz w:val="18"/>
                <w:szCs w:val="18"/>
                <w:lang w:eastAsia="en-NZ"/>
              </w:rPr>
            </w:pPr>
            <w:r w:rsidRPr="00716CC2">
              <w:rPr>
                <w:sz w:val="18"/>
                <w:szCs w:val="18"/>
                <w:lang w:eastAsia="en-NZ"/>
              </w:rPr>
              <w:t>Agree relevant standard</w:t>
            </w:r>
          </w:p>
          <w:p w14:paraId="1B999D87" w14:textId="77777777" w:rsidR="00913CCD" w:rsidRPr="00716CC2" w:rsidRDefault="00913CCD" w:rsidP="00BE7218">
            <w:pPr>
              <w:pStyle w:val="Bullet"/>
              <w:spacing w:before="40" w:after="40"/>
              <w:rPr>
                <w:sz w:val="18"/>
                <w:szCs w:val="18"/>
                <w:lang w:eastAsia="en-NZ"/>
              </w:rPr>
            </w:pPr>
            <w:r w:rsidRPr="00716CC2">
              <w:rPr>
                <w:sz w:val="18"/>
                <w:szCs w:val="18"/>
                <w:lang w:eastAsia="en-NZ"/>
              </w:rPr>
              <w:t>Could merge with 1.1.2 (and link to consent)</w:t>
            </w:r>
          </w:p>
          <w:p w14:paraId="6F3D0946" w14:textId="77777777" w:rsidR="00913CCD" w:rsidRPr="00716CC2" w:rsidRDefault="00913CCD" w:rsidP="00BE7218">
            <w:pPr>
              <w:pStyle w:val="Bullet"/>
              <w:spacing w:before="40" w:after="40"/>
              <w:rPr>
                <w:sz w:val="18"/>
                <w:szCs w:val="18"/>
                <w:lang w:eastAsia="en-NZ"/>
              </w:rPr>
            </w:pPr>
            <w:r w:rsidRPr="00716CC2">
              <w:rPr>
                <w:sz w:val="18"/>
                <w:szCs w:val="18"/>
                <w:lang w:eastAsia="en-NZ"/>
              </w:rPr>
              <w:t>Understanding is impacted by capacity (67% folk in ARC have cognition issues), compounded by international workforce</w:t>
            </w:r>
          </w:p>
          <w:p w14:paraId="1399BC57" w14:textId="77777777" w:rsidR="00913CCD" w:rsidRPr="00716CC2" w:rsidRDefault="00913CCD" w:rsidP="00BE7218">
            <w:pPr>
              <w:pStyle w:val="Bullet"/>
              <w:spacing w:before="40" w:after="40"/>
              <w:rPr>
                <w:sz w:val="18"/>
                <w:szCs w:val="18"/>
                <w:lang w:eastAsia="en-NZ"/>
              </w:rPr>
            </w:pPr>
            <w:r w:rsidRPr="00716CC2">
              <w:rPr>
                <w:sz w:val="18"/>
                <w:szCs w:val="18"/>
                <w:lang w:eastAsia="en-NZ"/>
              </w:rPr>
              <w:t>Need to consider different abilities re understanding and processing of information</w:t>
            </w:r>
          </w:p>
          <w:p w14:paraId="0BDB1D77" w14:textId="77777777" w:rsidR="00913CCD" w:rsidRPr="00716CC2" w:rsidRDefault="00913CCD" w:rsidP="00BE7218">
            <w:pPr>
              <w:pStyle w:val="Bullet"/>
              <w:spacing w:before="40" w:after="40"/>
              <w:rPr>
                <w:sz w:val="18"/>
                <w:szCs w:val="18"/>
                <w:lang w:eastAsia="en-NZ"/>
              </w:rPr>
            </w:pPr>
            <w:r w:rsidRPr="00716CC2">
              <w:rPr>
                <w:sz w:val="18"/>
                <w:szCs w:val="18"/>
                <w:lang w:eastAsia="en-NZ"/>
              </w:rPr>
              <w:t>Consider whānau involvement</w:t>
            </w:r>
          </w:p>
        </w:tc>
        <w:tc>
          <w:tcPr>
            <w:tcW w:w="2949" w:type="dxa"/>
            <w:gridSpan w:val="3"/>
          </w:tcPr>
          <w:p w14:paraId="7006191F" w14:textId="77777777" w:rsidR="00913CCD" w:rsidRPr="00716CC2" w:rsidRDefault="00913CCD" w:rsidP="00BE7218">
            <w:pPr>
              <w:pStyle w:val="Bullet"/>
              <w:spacing w:before="40" w:after="40"/>
              <w:rPr>
                <w:sz w:val="18"/>
                <w:szCs w:val="18"/>
                <w:lang w:eastAsia="en-NZ"/>
              </w:rPr>
            </w:pPr>
            <w:r w:rsidRPr="00716CC2">
              <w:rPr>
                <w:sz w:val="18"/>
                <w:szCs w:val="18"/>
                <w:lang w:eastAsia="en-NZ"/>
              </w:rPr>
              <w:t xml:space="preserve">1.1.1 &amp; 1.1.2 reflective of code – still need to consider both </w:t>
            </w:r>
          </w:p>
          <w:p w14:paraId="34FEB1A0" w14:textId="77777777" w:rsidR="00913CCD" w:rsidRPr="00716CC2" w:rsidRDefault="00913CCD" w:rsidP="00BE7218">
            <w:pPr>
              <w:pStyle w:val="Bullet"/>
              <w:spacing w:before="40" w:after="40"/>
              <w:rPr>
                <w:sz w:val="18"/>
                <w:szCs w:val="18"/>
                <w:lang w:eastAsia="en-NZ"/>
              </w:rPr>
            </w:pPr>
            <w:r w:rsidRPr="00716CC2">
              <w:rPr>
                <w:sz w:val="18"/>
                <w:szCs w:val="18"/>
                <w:lang w:eastAsia="en-NZ"/>
              </w:rPr>
              <w:t>Potential to merge 1.1.1 and 1.1.2 (with ‘criteria’ to support different service types) – for example the requirement to display the Code of Rights in a person’s home is not particularly relevant for residential services, need to move to an outcome based model and understand ‘how people are informed’</w:t>
            </w:r>
          </w:p>
          <w:p w14:paraId="29F1083D" w14:textId="77777777" w:rsidR="00913CCD" w:rsidRPr="00716CC2" w:rsidRDefault="00913CCD" w:rsidP="00BE7218">
            <w:pPr>
              <w:pStyle w:val="Bullet"/>
              <w:spacing w:before="40" w:after="40"/>
              <w:rPr>
                <w:sz w:val="18"/>
                <w:szCs w:val="18"/>
                <w:lang w:eastAsia="en-NZ"/>
              </w:rPr>
            </w:pPr>
            <w:r w:rsidRPr="00716CC2">
              <w:rPr>
                <w:sz w:val="18"/>
                <w:szCs w:val="18"/>
                <w:lang w:eastAsia="en-NZ"/>
              </w:rPr>
              <w:t>1.1.1 is audited more from service provider perspective, while 1.1.2 from people receiving services</w:t>
            </w:r>
          </w:p>
        </w:tc>
      </w:tr>
      <w:tr w:rsidR="00BA3435" w:rsidRPr="00716CC2" w14:paraId="08D97584" w14:textId="77777777" w:rsidTr="007A7079">
        <w:trPr>
          <w:gridAfter w:val="1"/>
          <w:wAfter w:w="142" w:type="dxa"/>
        </w:trPr>
        <w:tc>
          <w:tcPr>
            <w:tcW w:w="14742" w:type="dxa"/>
            <w:gridSpan w:val="14"/>
          </w:tcPr>
          <w:p w14:paraId="0E0249E4" w14:textId="77777777" w:rsidR="00BA3435" w:rsidRPr="00716CC2" w:rsidRDefault="00BA3435" w:rsidP="00BA3435">
            <w:pPr>
              <w:spacing w:before="0" w:after="0"/>
              <w:rPr>
                <w:sz w:val="18"/>
                <w:szCs w:val="18"/>
                <w:lang w:eastAsia="en-NZ"/>
              </w:rPr>
            </w:pPr>
          </w:p>
        </w:tc>
      </w:tr>
      <w:tr w:rsidR="00913CCD" w:rsidRPr="00716CC2" w14:paraId="10DC9E8D" w14:textId="77777777" w:rsidTr="007A7079">
        <w:trPr>
          <w:gridAfter w:val="1"/>
          <w:wAfter w:w="142" w:type="dxa"/>
        </w:trPr>
        <w:tc>
          <w:tcPr>
            <w:tcW w:w="14742" w:type="dxa"/>
            <w:gridSpan w:val="14"/>
            <w:shd w:val="clear" w:color="auto" w:fill="F2F2F2" w:themeFill="background1" w:themeFillShade="F2"/>
          </w:tcPr>
          <w:p w14:paraId="197DF996" w14:textId="77777777" w:rsidR="00913CCD" w:rsidRPr="00716CC2" w:rsidRDefault="00913CCD" w:rsidP="000E30F3">
            <w:pPr>
              <w:spacing w:before="40" w:after="40"/>
              <w:rPr>
                <w:sz w:val="18"/>
                <w:szCs w:val="18"/>
              </w:rPr>
            </w:pPr>
            <w:r w:rsidRPr="00716CC2">
              <w:rPr>
                <w:b/>
                <w:sz w:val="18"/>
                <w:szCs w:val="18"/>
              </w:rPr>
              <w:t xml:space="preserve">Standard 1.1.2: </w:t>
            </w:r>
            <w:r w:rsidRPr="00716CC2">
              <w:rPr>
                <w:sz w:val="18"/>
                <w:szCs w:val="18"/>
              </w:rPr>
              <w:t>Consumer Rights During Service Delivery (HDS(C)S.2008:1.1.2): Consumers are informed of their rights.</w:t>
            </w:r>
          </w:p>
        </w:tc>
      </w:tr>
      <w:tr w:rsidR="00913CCD" w:rsidRPr="00716CC2" w14:paraId="77B733A5" w14:textId="77777777" w:rsidTr="007A7079">
        <w:trPr>
          <w:gridAfter w:val="1"/>
          <w:wAfter w:w="142" w:type="dxa"/>
        </w:trPr>
        <w:tc>
          <w:tcPr>
            <w:tcW w:w="2948" w:type="dxa"/>
            <w:gridSpan w:val="2"/>
            <w:shd w:val="clear" w:color="auto" w:fill="FFFFFF" w:themeFill="background1"/>
          </w:tcPr>
          <w:p w14:paraId="7ABB3D64" w14:textId="77777777" w:rsidR="00913CCD" w:rsidRPr="00716CC2" w:rsidRDefault="00913CCD"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7C2F320A" w14:textId="77777777" w:rsidR="00913CCD" w:rsidRPr="00716CC2" w:rsidRDefault="00913CCD"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399FAEA2" w14:textId="77777777" w:rsidR="00913CCD" w:rsidRPr="00716CC2" w:rsidRDefault="00913CCD"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3DFB4036" w14:textId="77777777" w:rsidR="00913CCD" w:rsidRPr="00716CC2" w:rsidRDefault="00913CCD"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6ADB3CC5" w14:textId="77777777" w:rsidR="00913CCD" w:rsidRPr="00716CC2" w:rsidRDefault="00913CCD" w:rsidP="006D5FE4">
            <w:pPr>
              <w:pStyle w:val="TableText"/>
              <w:spacing w:before="40" w:after="40"/>
              <w:rPr>
                <w:b/>
                <w:szCs w:val="18"/>
                <w:lang w:eastAsia="en-NZ"/>
              </w:rPr>
            </w:pPr>
            <w:r w:rsidRPr="00716CC2">
              <w:rPr>
                <w:b/>
                <w:szCs w:val="18"/>
                <w:lang w:eastAsia="en-NZ"/>
              </w:rPr>
              <w:t>Res Dis (6 Aug)</w:t>
            </w:r>
          </w:p>
        </w:tc>
      </w:tr>
      <w:tr w:rsidR="0036440C" w:rsidRPr="00716CC2" w14:paraId="6E0D0A44" w14:textId="77777777" w:rsidTr="007A7079">
        <w:trPr>
          <w:gridAfter w:val="1"/>
          <w:wAfter w:w="142" w:type="dxa"/>
        </w:trPr>
        <w:tc>
          <w:tcPr>
            <w:tcW w:w="2948" w:type="dxa"/>
            <w:gridSpan w:val="2"/>
            <w:shd w:val="clear" w:color="auto" w:fill="auto"/>
          </w:tcPr>
          <w:p w14:paraId="4A45384D" w14:textId="77777777" w:rsidR="0036440C" w:rsidRPr="00716CC2" w:rsidRDefault="0036440C" w:rsidP="0036440C">
            <w:pPr>
              <w:pStyle w:val="Bullet"/>
              <w:spacing w:before="40" w:after="40"/>
              <w:rPr>
                <w:sz w:val="18"/>
                <w:szCs w:val="18"/>
              </w:rPr>
            </w:pPr>
            <w:r w:rsidRPr="00716CC2">
              <w:rPr>
                <w:sz w:val="18"/>
                <w:szCs w:val="18"/>
              </w:rPr>
              <w:t>Refer above narrative, potential merger of standard 1.1.1 &amp; 1.1.2</w:t>
            </w:r>
          </w:p>
          <w:p w14:paraId="5C8DC972" w14:textId="77777777" w:rsidR="0036440C" w:rsidRPr="00716CC2" w:rsidRDefault="0036440C" w:rsidP="0036440C">
            <w:pPr>
              <w:pStyle w:val="Bullet"/>
              <w:spacing w:before="40" w:after="40"/>
              <w:rPr>
                <w:sz w:val="18"/>
                <w:szCs w:val="18"/>
              </w:rPr>
            </w:pPr>
            <w:r w:rsidRPr="00716CC2">
              <w:rPr>
                <w:sz w:val="18"/>
                <w:szCs w:val="18"/>
              </w:rPr>
              <w:t>Note comment above re Tangata Whenua: suggest a ‘stand-alone’ standard that includes responsibility in respect of the Treaty of Waitangi, then specific criteria embedded into each standard.</w:t>
            </w:r>
          </w:p>
        </w:tc>
        <w:tc>
          <w:tcPr>
            <w:tcW w:w="2948" w:type="dxa"/>
            <w:gridSpan w:val="3"/>
            <w:shd w:val="clear" w:color="auto" w:fill="auto"/>
          </w:tcPr>
          <w:p w14:paraId="467614B2" w14:textId="77777777" w:rsidR="0036440C" w:rsidRPr="00716CC2" w:rsidRDefault="0036440C" w:rsidP="0036440C">
            <w:pPr>
              <w:pStyle w:val="Bullet"/>
              <w:spacing w:before="40" w:after="40"/>
              <w:rPr>
                <w:sz w:val="18"/>
                <w:szCs w:val="18"/>
              </w:rPr>
            </w:pPr>
            <w:r w:rsidRPr="00716CC2">
              <w:rPr>
                <w:sz w:val="18"/>
                <w:szCs w:val="18"/>
              </w:rPr>
              <w:t>Consolidate with Standard 1.1.1 and link to HDC.</w:t>
            </w:r>
          </w:p>
        </w:tc>
        <w:tc>
          <w:tcPr>
            <w:tcW w:w="2949" w:type="dxa"/>
            <w:gridSpan w:val="3"/>
            <w:shd w:val="clear" w:color="auto" w:fill="auto"/>
          </w:tcPr>
          <w:p w14:paraId="3B04DB4A" w14:textId="77777777" w:rsidR="0036440C" w:rsidRPr="00716CC2" w:rsidRDefault="0036440C" w:rsidP="0036440C">
            <w:pPr>
              <w:pStyle w:val="Bullet"/>
              <w:spacing w:before="40" w:after="40"/>
              <w:rPr>
                <w:sz w:val="18"/>
                <w:szCs w:val="18"/>
              </w:rPr>
            </w:pPr>
            <w:r w:rsidRPr="00716CC2">
              <w:rPr>
                <w:sz w:val="18"/>
                <w:szCs w:val="18"/>
              </w:rPr>
              <w:t>Note comments against 1.1.1</w:t>
            </w:r>
          </w:p>
          <w:p w14:paraId="445D6B91" w14:textId="77777777" w:rsidR="0036440C" w:rsidRPr="00716CC2" w:rsidRDefault="0036440C" w:rsidP="0036440C">
            <w:pPr>
              <w:pStyle w:val="Bullet"/>
              <w:spacing w:before="40" w:after="40"/>
              <w:rPr>
                <w:sz w:val="18"/>
                <w:szCs w:val="18"/>
              </w:rPr>
            </w:pPr>
            <w:r w:rsidRPr="00716CC2">
              <w:rPr>
                <w:sz w:val="18"/>
                <w:szCs w:val="18"/>
              </w:rPr>
              <w:t>Mixed view re combining, noting consumers being informed is complex</w:t>
            </w:r>
          </w:p>
          <w:p w14:paraId="4EF470AB" w14:textId="77777777" w:rsidR="0036440C" w:rsidRPr="00716CC2" w:rsidRDefault="0036440C" w:rsidP="00681608">
            <w:pPr>
              <w:pStyle w:val="Bullet"/>
              <w:numPr>
                <w:ilvl w:val="1"/>
                <w:numId w:val="2"/>
              </w:numPr>
              <w:spacing w:before="40" w:after="40"/>
              <w:ind w:left="665" w:hanging="294"/>
              <w:rPr>
                <w:sz w:val="18"/>
                <w:szCs w:val="18"/>
              </w:rPr>
            </w:pPr>
            <w:r w:rsidRPr="00716CC2">
              <w:rPr>
                <w:sz w:val="18"/>
                <w:szCs w:val="18"/>
              </w:rPr>
              <w:t>Welfare guardians &amp; whānau discussed and link to keeping cognitively impaired residents informed of rights -  I think this came out of a discussion about consent – the point I think was that even someone considered not competent overall and EPOA activated and/or Welfare Guardian appointed, consent should still be sought in all situations as the person might be competent in some situations but not others (LR, Alzheimers NZ).</w:t>
            </w:r>
          </w:p>
          <w:p w14:paraId="1293258B" w14:textId="77777777" w:rsidR="0036440C" w:rsidRPr="00716CC2" w:rsidRDefault="0036440C" w:rsidP="0036440C">
            <w:pPr>
              <w:pStyle w:val="Bullet"/>
              <w:spacing w:before="40" w:after="40"/>
              <w:rPr>
                <w:sz w:val="18"/>
                <w:szCs w:val="18"/>
              </w:rPr>
            </w:pPr>
            <w:r w:rsidRPr="00716CC2">
              <w:rPr>
                <w:sz w:val="18"/>
                <w:szCs w:val="18"/>
              </w:rPr>
              <w:t xml:space="preserve">Link to HDC, general agreement that standards could link to HDC Code so </w:t>
            </w:r>
            <w:r w:rsidRPr="00716CC2">
              <w:rPr>
                <w:sz w:val="18"/>
                <w:szCs w:val="18"/>
              </w:rPr>
              <w:lastRenderedPageBreak/>
              <w:t>that if changes occur to code these standards remain current</w:t>
            </w:r>
          </w:p>
        </w:tc>
        <w:tc>
          <w:tcPr>
            <w:tcW w:w="2948" w:type="dxa"/>
            <w:gridSpan w:val="3"/>
            <w:shd w:val="clear" w:color="auto" w:fill="auto"/>
          </w:tcPr>
          <w:p w14:paraId="3213FBAC" w14:textId="77777777" w:rsidR="0036440C" w:rsidRPr="00716CC2" w:rsidRDefault="0036440C" w:rsidP="0036440C">
            <w:pPr>
              <w:pStyle w:val="Bullet"/>
              <w:spacing w:before="40" w:after="40"/>
              <w:rPr>
                <w:sz w:val="18"/>
                <w:szCs w:val="18"/>
              </w:rPr>
            </w:pPr>
            <w:r w:rsidRPr="00716CC2">
              <w:rPr>
                <w:sz w:val="18"/>
                <w:szCs w:val="18"/>
              </w:rPr>
              <w:lastRenderedPageBreak/>
              <w:t>Refer comments against 1.1.1</w:t>
            </w:r>
          </w:p>
        </w:tc>
        <w:tc>
          <w:tcPr>
            <w:tcW w:w="2949" w:type="dxa"/>
            <w:gridSpan w:val="3"/>
            <w:shd w:val="clear" w:color="auto" w:fill="auto"/>
          </w:tcPr>
          <w:p w14:paraId="43AAB579" w14:textId="77777777" w:rsidR="0036440C" w:rsidRPr="00716CC2" w:rsidRDefault="0036440C" w:rsidP="0036440C">
            <w:pPr>
              <w:pStyle w:val="Bullet"/>
              <w:spacing w:before="40" w:after="40"/>
              <w:rPr>
                <w:sz w:val="18"/>
                <w:szCs w:val="18"/>
              </w:rPr>
            </w:pPr>
            <w:r w:rsidRPr="00716CC2">
              <w:rPr>
                <w:sz w:val="18"/>
                <w:szCs w:val="18"/>
              </w:rPr>
              <w:t>See 1.1.1</w:t>
            </w:r>
          </w:p>
          <w:p w14:paraId="0700C172" w14:textId="77777777" w:rsidR="0036440C" w:rsidRPr="00716CC2" w:rsidRDefault="0036440C" w:rsidP="0036440C">
            <w:pPr>
              <w:pStyle w:val="Bullet"/>
              <w:spacing w:before="40" w:after="40"/>
              <w:rPr>
                <w:sz w:val="18"/>
                <w:szCs w:val="18"/>
              </w:rPr>
            </w:pPr>
            <w:r w:rsidRPr="00716CC2">
              <w:rPr>
                <w:sz w:val="18"/>
                <w:szCs w:val="18"/>
              </w:rPr>
              <w:t>Standards are individual focus (ie. Consumer) rather than whānau</w:t>
            </w:r>
          </w:p>
          <w:p w14:paraId="4309E7C3" w14:textId="77777777" w:rsidR="0036440C" w:rsidRPr="00716CC2" w:rsidRDefault="0036440C" w:rsidP="0036440C">
            <w:pPr>
              <w:pStyle w:val="Bullet"/>
              <w:spacing w:before="40" w:after="40"/>
              <w:rPr>
                <w:sz w:val="18"/>
                <w:szCs w:val="18"/>
              </w:rPr>
            </w:pPr>
            <w:r w:rsidRPr="00716CC2">
              <w:rPr>
                <w:sz w:val="18"/>
                <w:szCs w:val="18"/>
              </w:rPr>
              <w:t>Q: How are people informed</w:t>
            </w:r>
          </w:p>
        </w:tc>
      </w:tr>
      <w:tr w:rsidR="0036440C" w:rsidRPr="00716CC2" w14:paraId="5E58AE45" w14:textId="77777777" w:rsidTr="007A7079">
        <w:trPr>
          <w:gridAfter w:val="1"/>
          <w:wAfter w:w="142" w:type="dxa"/>
        </w:trPr>
        <w:tc>
          <w:tcPr>
            <w:tcW w:w="14742" w:type="dxa"/>
            <w:gridSpan w:val="14"/>
            <w:shd w:val="clear" w:color="auto" w:fill="auto"/>
          </w:tcPr>
          <w:p w14:paraId="054FB829" w14:textId="77777777" w:rsidR="0036440C" w:rsidRPr="00716CC2" w:rsidRDefault="0036440C" w:rsidP="000E30F3">
            <w:pPr>
              <w:spacing w:before="40" w:after="40"/>
              <w:rPr>
                <w:b/>
                <w:sz w:val="18"/>
                <w:szCs w:val="18"/>
              </w:rPr>
            </w:pPr>
          </w:p>
        </w:tc>
      </w:tr>
      <w:tr w:rsidR="000E30F3" w:rsidRPr="00716CC2" w14:paraId="45DA9586" w14:textId="77777777" w:rsidTr="007A7079">
        <w:trPr>
          <w:gridAfter w:val="1"/>
          <w:wAfter w:w="142" w:type="dxa"/>
        </w:trPr>
        <w:tc>
          <w:tcPr>
            <w:tcW w:w="14742" w:type="dxa"/>
            <w:gridSpan w:val="14"/>
            <w:shd w:val="clear" w:color="auto" w:fill="F2F2F2" w:themeFill="background1" w:themeFillShade="F2"/>
          </w:tcPr>
          <w:p w14:paraId="0B2281CF" w14:textId="77777777" w:rsidR="000E30F3" w:rsidRPr="00716CC2" w:rsidRDefault="000E30F3" w:rsidP="000E30F3">
            <w:pPr>
              <w:spacing w:before="40" w:after="40"/>
              <w:rPr>
                <w:sz w:val="18"/>
                <w:szCs w:val="18"/>
              </w:rPr>
            </w:pPr>
            <w:r w:rsidRPr="00716CC2">
              <w:rPr>
                <w:b/>
                <w:sz w:val="18"/>
                <w:szCs w:val="18"/>
              </w:rPr>
              <w:t xml:space="preserve">Standard 1.1.3: </w:t>
            </w:r>
            <w:r w:rsidRPr="00716CC2">
              <w:rPr>
                <w:sz w:val="18"/>
                <w:szCs w:val="18"/>
              </w:rPr>
              <w:t xml:space="preserve">Independence, Personal Privacy, Dignity, And Respect (HDS(C)S.2008:1.1.3): Consumers are treated with respect and receive services in a manner that has regard for their dignity, privacy, and independence.  </w:t>
            </w:r>
          </w:p>
        </w:tc>
      </w:tr>
      <w:tr w:rsidR="000E30F3" w:rsidRPr="00716CC2" w14:paraId="43D1C5C6" w14:textId="77777777" w:rsidTr="007A7079">
        <w:trPr>
          <w:gridAfter w:val="1"/>
          <w:wAfter w:w="142" w:type="dxa"/>
        </w:trPr>
        <w:tc>
          <w:tcPr>
            <w:tcW w:w="2948" w:type="dxa"/>
            <w:gridSpan w:val="2"/>
            <w:shd w:val="clear" w:color="auto" w:fill="FFFFFF" w:themeFill="background1"/>
          </w:tcPr>
          <w:p w14:paraId="6DA71FC7" w14:textId="77777777" w:rsidR="000E30F3" w:rsidRPr="00716CC2" w:rsidRDefault="000E30F3"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3F7AF6ED" w14:textId="77777777" w:rsidR="000E30F3" w:rsidRPr="00716CC2" w:rsidRDefault="000E30F3"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6B5FAFA5" w14:textId="77777777" w:rsidR="000E30F3" w:rsidRPr="00716CC2" w:rsidRDefault="000E30F3"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50E24D11" w14:textId="77777777" w:rsidR="000E30F3" w:rsidRPr="00716CC2" w:rsidRDefault="000E30F3"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14B37665" w14:textId="77777777" w:rsidR="000E30F3" w:rsidRPr="00716CC2" w:rsidRDefault="000E30F3" w:rsidP="006D5FE4">
            <w:pPr>
              <w:pStyle w:val="TableText"/>
              <w:spacing w:before="40" w:after="40"/>
              <w:rPr>
                <w:b/>
                <w:szCs w:val="18"/>
                <w:lang w:eastAsia="en-NZ"/>
              </w:rPr>
            </w:pPr>
            <w:r w:rsidRPr="00716CC2">
              <w:rPr>
                <w:b/>
                <w:szCs w:val="18"/>
                <w:lang w:eastAsia="en-NZ"/>
              </w:rPr>
              <w:t>Res Dis (6 Aug)</w:t>
            </w:r>
          </w:p>
        </w:tc>
      </w:tr>
      <w:tr w:rsidR="000E30F3" w:rsidRPr="00716CC2" w14:paraId="6EECB544" w14:textId="77777777" w:rsidTr="007A7079">
        <w:trPr>
          <w:gridAfter w:val="1"/>
          <w:wAfter w:w="142" w:type="dxa"/>
          <w:trHeight w:val="2782"/>
        </w:trPr>
        <w:tc>
          <w:tcPr>
            <w:tcW w:w="2948" w:type="dxa"/>
            <w:gridSpan w:val="2"/>
          </w:tcPr>
          <w:p w14:paraId="619D28E6" w14:textId="77777777" w:rsidR="000E30F3" w:rsidRPr="00716CC2" w:rsidRDefault="000E30F3" w:rsidP="00BE7218">
            <w:pPr>
              <w:pStyle w:val="Bullet"/>
              <w:spacing w:before="40" w:after="40"/>
              <w:rPr>
                <w:sz w:val="18"/>
                <w:szCs w:val="18"/>
              </w:rPr>
            </w:pPr>
            <w:r w:rsidRPr="00716CC2">
              <w:rPr>
                <w:sz w:val="18"/>
                <w:szCs w:val="18"/>
              </w:rPr>
              <w:t>Standard needs rewording to include equity (Tangata Whenua &amp; equity for all) and the consumer voice</w:t>
            </w:r>
          </w:p>
          <w:p w14:paraId="6536F5F0" w14:textId="77777777" w:rsidR="000E30F3" w:rsidRPr="00716CC2" w:rsidRDefault="000E30F3" w:rsidP="00BE7218">
            <w:pPr>
              <w:pStyle w:val="Bullet"/>
              <w:spacing w:before="40" w:after="40"/>
              <w:rPr>
                <w:sz w:val="18"/>
                <w:szCs w:val="18"/>
              </w:rPr>
            </w:pPr>
            <w:r w:rsidRPr="00716CC2">
              <w:rPr>
                <w:sz w:val="18"/>
                <w:szCs w:val="18"/>
              </w:rPr>
              <w:t>Consider inclusion of culturally competent staff – what would this look like</w:t>
            </w:r>
          </w:p>
          <w:p w14:paraId="0885F818" w14:textId="77777777" w:rsidR="000E30F3" w:rsidRPr="00716CC2" w:rsidRDefault="000E30F3" w:rsidP="00BE7218">
            <w:pPr>
              <w:pStyle w:val="Bullet"/>
              <w:spacing w:before="40" w:after="40"/>
              <w:rPr>
                <w:sz w:val="18"/>
                <w:szCs w:val="18"/>
              </w:rPr>
            </w:pPr>
            <w:r w:rsidRPr="00716CC2">
              <w:rPr>
                <w:sz w:val="18"/>
                <w:szCs w:val="18"/>
              </w:rPr>
              <w:t xml:space="preserve">As currently written potentially difficult to measure </w:t>
            </w:r>
          </w:p>
          <w:p w14:paraId="168B6685" w14:textId="77777777" w:rsidR="000E30F3" w:rsidRPr="00716CC2" w:rsidRDefault="000E30F3" w:rsidP="00BE7218">
            <w:pPr>
              <w:pStyle w:val="Bullet"/>
              <w:spacing w:before="40" w:after="40"/>
              <w:rPr>
                <w:sz w:val="18"/>
                <w:szCs w:val="18"/>
              </w:rPr>
            </w:pPr>
            <w:r w:rsidRPr="00716CC2">
              <w:rPr>
                <w:sz w:val="18"/>
                <w:szCs w:val="18"/>
              </w:rPr>
              <w:t>Discussion around how the provider would measure meeting standard</w:t>
            </w:r>
          </w:p>
          <w:p w14:paraId="7CE8BFD3" w14:textId="77777777" w:rsidR="000E30F3" w:rsidRPr="00716CC2" w:rsidRDefault="000E30F3" w:rsidP="00BE7218">
            <w:pPr>
              <w:pStyle w:val="Bullet"/>
              <w:spacing w:before="40" w:after="40"/>
              <w:rPr>
                <w:sz w:val="18"/>
                <w:szCs w:val="18"/>
              </w:rPr>
            </w:pPr>
            <w:r w:rsidRPr="00716CC2">
              <w:rPr>
                <w:sz w:val="18"/>
                <w:szCs w:val="18"/>
              </w:rPr>
              <w:t>Note comment above re Tangata Whenua: suggest a ‘stand-alone’ standard that includes responsibility in respect of the Treaty of Waitangi, then specific criteria embedded into each standard.</w:t>
            </w:r>
          </w:p>
        </w:tc>
        <w:tc>
          <w:tcPr>
            <w:tcW w:w="2948" w:type="dxa"/>
            <w:gridSpan w:val="3"/>
          </w:tcPr>
          <w:p w14:paraId="0813F4BF" w14:textId="77777777" w:rsidR="000E30F3" w:rsidRPr="00716CC2" w:rsidRDefault="000E30F3" w:rsidP="00BE7218">
            <w:pPr>
              <w:pStyle w:val="Bullet"/>
              <w:spacing w:before="40" w:after="40"/>
              <w:rPr>
                <w:sz w:val="18"/>
                <w:szCs w:val="18"/>
              </w:rPr>
            </w:pPr>
            <w:r w:rsidRPr="00716CC2">
              <w:rPr>
                <w:sz w:val="18"/>
                <w:szCs w:val="18"/>
              </w:rPr>
              <w:t>Add consumer facing comment in every standard: eg, How consumer feels etc.</w:t>
            </w:r>
          </w:p>
          <w:p w14:paraId="00A0F6DE" w14:textId="77777777" w:rsidR="000E30F3" w:rsidRPr="00716CC2" w:rsidRDefault="000E30F3" w:rsidP="00BE7218">
            <w:pPr>
              <w:pStyle w:val="Bullet"/>
              <w:spacing w:before="40" w:after="40"/>
              <w:rPr>
                <w:sz w:val="18"/>
                <w:szCs w:val="18"/>
              </w:rPr>
            </w:pPr>
            <w:r w:rsidRPr="00716CC2">
              <w:rPr>
                <w:sz w:val="18"/>
                <w:szCs w:val="18"/>
              </w:rPr>
              <w:t>Add a cultural lens</w:t>
            </w:r>
          </w:p>
          <w:p w14:paraId="3A2B4DF5" w14:textId="77777777" w:rsidR="000E30F3" w:rsidRPr="00716CC2" w:rsidRDefault="000E30F3" w:rsidP="00BE7218">
            <w:pPr>
              <w:pStyle w:val="Bullet"/>
              <w:spacing w:before="40" w:after="40"/>
              <w:rPr>
                <w:sz w:val="18"/>
                <w:szCs w:val="18"/>
              </w:rPr>
            </w:pPr>
            <w:r w:rsidRPr="00716CC2">
              <w:rPr>
                <w:sz w:val="18"/>
                <w:szCs w:val="18"/>
              </w:rPr>
              <w:t>Add: compassion, kindness, respect: Q: what do these terms mean in the context of the standards</w:t>
            </w:r>
          </w:p>
          <w:p w14:paraId="2A5A8965" w14:textId="77777777" w:rsidR="000E30F3" w:rsidRPr="00716CC2" w:rsidRDefault="000E30F3" w:rsidP="00BE7218">
            <w:pPr>
              <w:pStyle w:val="Bullet"/>
              <w:spacing w:before="40" w:after="40"/>
              <w:rPr>
                <w:sz w:val="18"/>
                <w:szCs w:val="18"/>
              </w:rPr>
            </w:pPr>
            <w:r w:rsidRPr="00716CC2">
              <w:rPr>
                <w:sz w:val="18"/>
                <w:szCs w:val="18"/>
              </w:rPr>
              <w:t>Inclusion of spirituality (vs religion)</w:t>
            </w:r>
          </w:p>
          <w:p w14:paraId="6E55C161" w14:textId="77777777" w:rsidR="000E30F3" w:rsidRPr="00716CC2" w:rsidRDefault="000E30F3" w:rsidP="00BE7218">
            <w:pPr>
              <w:pStyle w:val="Bullet"/>
              <w:spacing w:before="40" w:after="40"/>
              <w:rPr>
                <w:sz w:val="18"/>
                <w:szCs w:val="18"/>
              </w:rPr>
            </w:pPr>
            <w:r w:rsidRPr="00716CC2">
              <w:rPr>
                <w:sz w:val="18"/>
                <w:szCs w:val="18"/>
              </w:rPr>
              <w:t>Consider gender identity (Q: does this link to standard 1.1.5).</w:t>
            </w:r>
          </w:p>
        </w:tc>
        <w:tc>
          <w:tcPr>
            <w:tcW w:w="2949" w:type="dxa"/>
            <w:gridSpan w:val="3"/>
          </w:tcPr>
          <w:p w14:paraId="6AE89056" w14:textId="77777777" w:rsidR="000E30F3" w:rsidRPr="00716CC2" w:rsidRDefault="000E30F3" w:rsidP="00BE7218">
            <w:pPr>
              <w:pStyle w:val="Bullet"/>
              <w:spacing w:before="40" w:after="40"/>
              <w:rPr>
                <w:sz w:val="18"/>
                <w:szCs w:val="18"/>
              </w:rPr>
            </w:pPr>
            <w:r w:rsidRPr="00716CC2">
              <w:rPr>
                <w:sz w:val="18"/>
                <w:szCs w:val="18"/>
              </w:rPr>
              <w:t>Need to keep as standard</w:t>
            </w:r>
          </w:p>
          <w:p w14:paraId="76F614DF" w14:textId="77777777" w:rsidR="000E30F3" w:rsidRPr="00716CC2" w:rsidRDefault="000E30F3" w:rsidP="00BE7218">
            <w:pPr>
              <w:pStyle w:val="Bullet"/>
              <w:spacing w:before="40" w:after="40"/>
              <w:rPr>
                <w:sz w:val="18"/>
                <w:szCs w:val="18"/>
              </w:rPr>
            </w:pPr>
            <w:r w:rsidRPr="00716CC2">
              <w:rPr>
                <w:sz w:val="18"/>
                <w:szCs w:val="18"/>
              </w:rPr>
              <w:t>Ensure written as consumer centric</w:t>
            </w:r>
          </w:p>
          <w:p w14:paraId="598BA2ED" w14:textId="77777777" w:rsidR="000E30F3" w:rsidRPr="00716CC2" w:rsidRDefault="000E30F3" w:rsidP="00BE7218">
            <w:pPr>
              <w:pStyle w:val="Bullet"/>
              <w:spacing w:before="40" w:after="40"/>
              <w:rPr>
                <w:sz w:val="18"/>
                <w:szCs w:val="18"/>
              </w:rPr>
            </w:pPr>
            <w:r w:rsidRPr="00716CC2">
              <w:rPr>
                <w:sz w:val="18"/>
                <w:szCs w:val="18"/>
              </w:rPr>
              <w:t>Q: is privacy an issue in sector – can be in respect of sexuality (further discussed against individual rights (1.1.6) and discrimination 1.1.7)</w:t>
            </w:r>
          </w:p>
          <w:p w14:paraId="5CF637EF" w14:textId="77777777" w:rsidR="000E30F3" w:rsidRPr="00716CC2" w:rsidRDefault="000E30F3" w:rsidP="00BE7218">
            <w:pPr>
              <w:pStyle w:val="Bullet"/>
              <w:spacing w:before="40" w:after="40"/>
              <w:rPr>
                <w:sz w:val="18"/>
                <w:szCs w:val="18"/>
              </w:rPr>
            </w:pPr>
            <w:r w:rsidRPr="00716CC2">
              <w:rPr>
                <w:sz w:val="18"/>
                <w:szCs w:val="18"/>
              </w:rPr>
              <w:t>Standard a good reflection of the Code</w:t>
            </w:r>
          </w:p>
        </w:tc>
        <w:tc>
          <w:tcPr>
            <w:tcW w:w="2948" w:type="dxa"/>
            <w:gridSpan w:val="3"/>
          </w:tcPr>
          <w:p w14:paraId="6CCCC3DB" w14:textId="77777777" w:rsidR="000E30F3" w:rsidRPr="00716CC2" w:rsidRDefault="000E30F3" w:rsidP="00BE7218">
            <w:pPr>
              <w:pStyle w:val="Bullet"/>
              <w:spacing w:before="40" w:after="40"/>
              <w:rPr>
                <w:sz w:val="18"/>
                <w:szCs w:val="18"/>
              </w:rPr>
            </w:pPr>
            <w:r w:rsidRPr="00716CC2">
              <w:rPr>
                <w:sz w:val="18"/>
                <w:szCs w:val="18"/>
              </w:rPr>
              <w:t>Comment: (eg. move standard to a different part, merge with a different standard)</w:t>
            </w:r>
          </w:p>
          <w:p w14:paraId="0682A851" w14:textId="77777777" w:rsidR="000E30F3" w:rsidRPr="00716CC2" w:rsidRDefault="000E30F3" w:rsidP="00BE7218">
            <w:pPr>
              <w:pStyle w:val="Bullet"/>
              <w:spacing w:before="40" w:after="40"/>
              <w:rPr>
                <w:sz w:val="18"/>
                <w:szCs w:val="18"/>
              </w:rPr>
            </w:pPr>
            <w:r w:rsidRPr="00716CC2">
              <w:rPr>
                <w:sz w:val="18"/>
                <w:szCs w:val="18"/>
              </w:rPr>
              <w:t>Discussed possibility of merging with 1.1.1 and 1.1.2 – question: is it important enough to have a dedicated standard</w:t>
            </w:r>
          </w:p>
          <w:p w14:paraId="5D7FD35C" w14:textId="77777777" w:rsidR="000E30F3" w:rsidRPr="00716CC2" w:rsidRDefault="000E30F3" w:rsidP="00BE7218">
            <w:pPr>
              <w:pStyle w:val="Bullet"/>
              <w:spacing w:before="40" w:after="40"/>
              <w:rPr>
                <w:sz w:val="18"/>
                <w:szCs w:val="18"/>
              </w:rPr>
            </w:pPr>
            <w:r w:rsidRPr="00716CC2">
              <w:rPr>
                <w:sz w:val="18"/>
                <w:szCs w:val="18"/>
              </w:rPr>
              <w:t>Use of ‘I’ supported with family and whānau inclusion</w:t>
            </w:r>
          </w:p>
          <w:p w14:paraId="0BDC6982" w14:textId="77777777" w:rsidR="000E30F3" w:rsidRPr="00716CC2" w:rsidRDefault="000E30F3" w:rsidP="00BE7218">
            <w:pPr>
              <w:pStyle w:val="Bullet"/>
              <w:spacing w:before="40" w:after="40"/>
              <w:rPr>
                <w:sz w:val="18"/>
                <w:szCs w:val="18"/>
              </w:rPr>
            </w:pPr>
            <w:r w:rsidRPr="00716CC2">
              <w:rPr>
                <w:sz w:val="18"/>
                <w:szCs w:val="18"/>
              </w:rPr>
              <w:t>Link to EPOA</w:t>
            </w:r>
          </w:p>
        </w:tc>
        <w:tc>
          <w:tcPr>
            <w:tcW w:w="2949" w:type="dxa"/>
            <w:gridSpan w:val="3"/>
          </w:tcPr>
          <w:p w14:paraId="21C86816" w14:textId="77777777" w:rsidR="000E30F3" w:rsidRPr="00716CC2" w:rsidRDefault="000E30F3" w:rsidP="00BE7218">
            <w:pPr>
              <w:pStyle w:val="Bullet"/>
              <w:spacing w:before="40" w:after="40"/>
              <w:rPr>
                <w:sz w:val="18"/>
                <w:szCs w:val="18"/>
              </w:rPr>
            </w:pPr>
            <w:r w:rsidRPr="00716CC2">
              <w:rPr>
                <w:sz w:val="18"/>
                <w:szCs w:val="18"/>
              </w:rPr>
              <w:t>Core to service delivery – noting language to reflect disability: could include terms such as Safeguarding…</w:t>
            </w:r>
          </w:p>
          <w:p w14:paraId="204DCEE3" w14:textId="77777777" w:rsidR="000E30F3" w:rsidRPr="00716CC2" w:rsidRDefault="000E30F3" w:rsidP="00BE7218">
            <w:pPr>
              <w:pStyle w:val="Bullet"/>
              <w:spacing w:before="40" w:after="40"/>
              <w:rPr>
                <w:sz w:val="18"/>
                <w:szCs w:val="18"/>
              </w:rPr>
            </w:pPr>
            <w:r w:rsidRPr="00716CC2">
              <w:rPr>
                <w:sz w:val="18"/>
                <w:szCs w:val="18"/>
              </w:rPr>
              <w:t>Interdependence is not really considered – eg. With folk with complex care and carers being heard, noting no one exits in isolation</w:t>
            </w:r>
          </w:p>
          <w:p w14:paraId="6406AB76" w14:textId="77777777" w:rsidR="000E30F3" w:rsidRPr="00716CC2" w:rsidRDefault="000E30F3" w:rsidP="00BE7218">
            <w:pPr>
              <w:pStyle w:val="Bullet"/>
              <w:spacing w:before="40" w:after="40"/>
              <w:rPr>
                <w:sz w:val="18"/>
                <w:szCs w:val="18"/>
              </w:rPr>
            </w:pPr>
            <w:r w:rsidRPr="00716CC2">
              <w:rPr>
                <w:sz w:val="18"/>
                <w:szCs w:val="18"/>
              </w:rPr>
              <w:t>Inclusion of whānau</w:t>
            </w:r>
          </w:p>
        </w:tc>
      </w:tr>
      <w:tr w:rsidR="00C84EE9" w:rsidRPr="00716CC2" w14:paraId="4648B946" w14:textId="77777777" w:rsidTr="007A7079">
        <w:trPr>
          <w:gridAfter w:val="1"/>
          <w:wAfter w:w="142" w:type="dxa"/>
          <w:trHeight w:val="388"/>
        </w:trPr>
        <w:tc>
          <w:tcPr>
            <w:tcW w:w="14742" w:type="dxa"/>
            <w:gridSpan w:val="14"/>
          </w:tcPr>
          <w:p w14:paraId="09F2E505" w14:textId="77777777" w:rsidR="00C84EE9" w:rsidRPr="00716CC2" w:rsidRDefault="00C84EE9" w:rsidP="00C84EE9">
            <w:pPr>
              <w:spacing w:before="0" w:after="0"/>
              <w:rPr>
                <w:sz w:val="18"/>
                <w:szCs w:val="18"/>
              </w:rPr>
            </w:pPr>
          </w:p>
        </w:tc>
      </w:tr>
      <w:tr w:rsidR="000E30F3" w:rsidRPr="00716CC2" w14:paraId="328B0C1E" w14:textId="77777777" w:rsidTr="007A7079">
        <w:trPr>
          <w:gridAfter w:val="1"/>
          <w:wAfter w:w="142" w:type="dxa"/>
        </w:trPr>
        <w:tc>
          <w:tcPr>
            <w:tcW w:w="14742" w:type="dxa"/>
            <w:gridSpan w:val="14"/>
            <w:shd w:val="clear" w:color="auto" w:fill="F2F2F2" w:themeFill="background1" w:themeFillShade="F2"/>
          </w:tcPr>
          <w:p w14:paraId="6EF87EB4" w14:textId="77777777" w:rsidR="000E30F3" w:rsidRPr="00716CC2" w:rsidRDefault="000E30F3" w:rsidP="000E30F3">
            <w:pPr>
              <w:spacing w:before="40" w:after="40"/>
              <w:rPr>
                <w:sz w:val="18"/>
                <w:szCs w:val="18"/>
              </w:rPr>
            </w:pPr>
            <w:r w:rsidRPr="00716CC2">
              <w:rPr>
                <w:b/>
                <w:sz w:val="18"/>
                <w:szCs w:val="18"/>
              </w:rPr>
              <w:t xml:space="preserve">Standard 1.1.4: </w:t>
            </w:r>
            <w:r w:rsidRPr="00716CC2">
              <w:rPr>
                <w:sz w:val="18"/>
                <w:szCs w:val="18"/>
              </w:rPr>
              <w:t>Recognition of Māori Values and Beliefs (HDS(C)S.2008:1.1.4): Consumers who identify as Māori have their health and disability needs met in a manner that respects and acknowledges their individual and cultural, values and beliefs.</w:t>
            </w:r>
          </w:p>
          <w:p w14:paraId="4E21BC25" w14:textId="77777777" w:rsidR="000E30F3" w:rsidRPr="00716CC2" w:rsidRDefault="000E30F3" w:rsidP="000E30F3">
            <w:pPr>
              <w:spacing w:before="40" w:after="40"/>
              <w:rPr>
                <w:sz w:val="18"/>
                <w:szCs w:val="18"/>
              </w:rPr>
            </w:pPr>
            <w:r w:rsidRPr="00716CC2">
              <w:rPr>
                <w:sz w:val="18"/>
                <w:szCs w:val="18"/>
              </w:rPr>
              <w:t>ARC: I thought our discussion outcome was that should be more than “acknowledgement” e.g. includes where practical/possible (LR, Alzheimers NZ)</w:t>
            </w:r>
          </w:p>
          <w:p w14:paraId="7F3BC1E9" w14:textId="77777777" w:rsidR="000E30F3" w:rsidRPr="00716CC2" w:rsidRDefault="000E30F3" w:rsidP="000E30F3">
            <w:pPr>
              <w:spacing w:before="40" w:after="40"/>
              <w:rPr>
                <w:sz w:val="18"/>
                <w:szCs w:val="18"/>
              </w:rPr>
            </w:pPr>
            <w:r w:rsidRPr="00716CC2">
              <w:rPr>
                <w:sz w:val="18"/>
                <w:szCs w:val="18"/>
              </w:rPr>
              <w:t>ARC: Option: ‘Recognition of Māori Values, Beliefs and Treaty obligations’. There is a primary relationship with Treaty partners that needs to be better managed (EB, Eldernet)</w:t>
            </w:r>
          </w:p>
        </w:tc>
      </w:tr>
      <w:tr w:rsidR="000E30F3" w:rsidRPr="00716CC2" w14:paraId="7922E53D" w14:textId="77777777" w:rsidTr="007A7079">
        <w:trPr>
          <w:gridAfter w:val="1"/>
          <w:wAfter w:w="142" w:type="dxa"/>
        </w:trPr>
        <w:tc>
          <w:tcPr>
            <w:tcW w:w="2948" w:type="dxa"/>
            <w:gridSpan w:val="2"/>
            <w:shd w:val="clear" w:color="auto" w:fill="FFFFFF" w:themeFill="background1"/>
          </w:tcPr>
          <w:p w14:paraId="1B5CBA23" w14:textId="77777777" w:rsidR="000E30F3" w:rsidRPr="00716CC2" w:rsidRDefault="000E30F3"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4F5D7F05" w14:textId="77777777" w:rsidR="000E30F3" w:rsidRPr="00716CC2" w:rsidRDefault="000E30F3"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50DEC665" w14:textId="77777777" w:rsidR="000E30F3" w:rsidRPr="00716CC2" w:rsidRDefault="000E30F3"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0D6DF9E5" w14:textId="77777777" w:rsidR="000E30F3" w:rsidRPr="00716CC2" w:rsidRDefault="000E30F3"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4F187A91" w14:textId="77777777" w:rsidR="000E30F3" w:rsidRPr="00716CC2" w:rsidRDefault="000E30F3" w:rsidP="006D5FE4">
            <w:pPr>
              <w:pStyle w:val="TableText"/>
              <w:spacing w:before="40" w:after="40"/>
              <w:rPr>
                <w:b/>
                <w:szCs w:val="18"/>
                <w:lang w:eastAsia="en-NZ"/>
              </w:rPr>
            </w:pPr>
            <w:r w:rsidRPr="00716CC2">
              <w:rPr>
                <w:b/>
                <w:szCs w:val="18"/>
                <w:lang w:eastAsia="en-NZ"/>
              </w:rPr>
              <w:t>Res Dis (6 Aug)</w:t>
            </w:r>
          </w:p>
        </w:tc>
      </w:tr>
      <w:tr w:rsidR="000E30F3" w:rsidRPr="00716CC2" w14:paraId="38B82ABA" w14:textId="77777777" w:rsidTr="007A7079">
        <w:trPr>
          <w:gridAfter w:val="1"/>
          <w:wAfter w:w="142" w:type="dxa"/>
          <w:trHeight w:val="1267"/>
        </w:trPr>
        <w:tc>
          <w:tcPr>
            <w:tcW w:w="2948" w:type="dxa"/>
            <w:gridSpan w:val="2"/>
          </w:tcPr>
          <w:p w14:paraId="4AC149D3" w14:textId="77777777" w:rsidR="000E30F3" w:rsidRPr="00716CC2" w:rsidRDefault="000E30F3" w:rsidP="00B257F2">
            <w:pPr>
              <w:pStyle w:val="TableBullet"/>
              <w:rPr>
                <w:szCs w:val="18"/>
              </w:rPr>
            </w:pPr>
            <w:r w:rsidRPr="00716CC2">
              <w:rPr>
                <w:szCs w:val="18"/>
              </w:rPr>
              <w:lastRenderedPageBreak/>
              <w:t>Remove as a dedicated standard (refer comment against standard 1.1.1 – ie. Dedicated standard plus integration across standards</w:t>
            </w:r>
          </w:p>
          <w:p w14:paraId="7439F672" w14:textId="77777777" w:rsidR="000E30F3" w:rsidRPr="00716CC2" w:rsidRDefault="000E30F3" w:rsidP="00B257F2">
            <w:pPr>
              <w:pStyle w:val="TableBullet"/>
              <w:rPr>
                <w:szCs w:val="18"/>
              </w:rPr>
            </w:pPr>
            <w:r w:rsidRPr="00716CC2">
              <w:rPr>
                <w:szCs w:val="18"/>
              </w:rPr>
              <w:t>Accessibility to services was discussed – refer Part 3 entry and exit to services.</w:t>
            </w:r>
          </w:p>
        </w:tc>
        <w:tc>
          <w:tcPr>
            <w:tcW w:w="2948" w:type="dxa"/>
            <w:gridSpan w:val="3"/>
          </w:tcPr>
          <w:p w14:paraId="6EB06899" w14:textId="77777777" w:rsidR="000E30F3" w:rsidRPr="00716CC2" w:rsidRDefault="000E30F3" w:rsidP="00B257F2">
            <w:pPr>
              <w:pStyle w:val="TableBullet"/>
              <w:rPr>
                <w:szCs w:val="18"/>
              </w:rPr>
            </w:pPr>
            <w:r w:rsidRPr="00716CC2">
              <w:rPr>
                <w:szCs w:val="18"/>
              </w:rPr>
              <w:t>Apply to all service types</w:t>
            </w:r>
          </w:p>
          <w:p w14:paraId="00A9B916" w14:textId="77777777" w:rsidR="000E30F3" w:rsidRPr="00716CC2" w:rsidRDefault="000E30F3" w:rsidP="00B257F2">
            <w:pPr>
              <w:pStyle w:val="TableBullet"/>
              <w:rPr>
                <w:szCs w:val="18"/>
              </w:rPr>
            </w:pPr>
            <w:r w:rsidRPr="00716CC2">
              <w:rPr>
                <w:szCs w:val="18"/>
              </w:rPr>
              <w:t>Recognition of Māori woven throughout the standards, with particular focus on equity</w:t>
            </w:r>
          </w:p>
          <w:p w14:paraId="0A2E2C14" w14:textId="77777777" w:rsidR="000E30F3" w:rsidRPr="00716CC2" w:rsidRDefault="000E30F3" w:rsidP="00B257F2">
            <w:pPr>
              <w:pStyle w:val="TableBullet"/>
              <w:rPr>
                <w:szCs w:val="18"/>
              </w:rPr>
            </w:pPr>
            <w:r w:rsidRPr="00716CC2">
              <w:rPr>
                <w:szCs w:val="18"/>
              </w:rPr>
              <w:t>Need to be confident to meet needs – the guidance should support</w:t>
            </w:r>
          </w:p>
          <w:p w14:paraId="285DBFC1" w14:textId="77777777" w:rsidR="000E30F3" w:rsidRPr="00716CC2" w:rsidRDefault="000E30F3" w:rsidP="00B257F2">
            <w:pPr>
              <w:pStyle w:val="TableBullet"/>
              <w:rPr>
                <w:szCs w:val="18"/>
              </w:rPr>
            </w:pPr>
            <w:r w:rsidRPr="00716CC2">
              <w:rPr>
                <w:szCs w:val="18"/>
              </w:rPr>
              <w:t>Language within guidance may need to be different with different service types</w:t>
            </w:r>
          </w:p>
          <w:p w14:paraId="2F920ED7" w14:textId="77777777" w:rsidR="000E30F3" w:rsidRPr="00716CC2" w:rsidRDefault="000E30F3" w:rsidP="00B257F2">
            <w:pPr>
              <w:pStyle w:val="TableBullet"/>
              <w:rPr>
                <w:szCs w:val="18"/>
              </w:rPr>
            </w:pPr>
            <w:r w:rsidRPr="00716CC2">
              <w:rPr>
                <w:szCs w:val="18"/>
              </w:rPr>
              <w:t>Difference between guidance and prescription was discussed</w:t>
            </w:r>
          </w:p>
          <w:p w14:paraId="11502763" w14:textId="77777777" w:rsidR="000E30F3" w:rsidRPr="00716CC2" w:rsidRDefault="000E30F3" w:rsidP="00B257F2">
            <w:pPr>
              <w:pStyle w:val="TableBullet"/>
              <w:rPr>
                <w:szCs w:val="18"/>
              </w:rPr>
            </w:pPr>
            <w:r w:rsidRPr="00716CC2">
              <w:rPr>
                <w:szCs w:val="18"/>
              </w:rPr>
              <w:t>Noted the number of Māori providers have reduced across time (last 10 years)</w:t>
            </w:r>
          </w:p>
          <w:p w14:paraId="4B03B18E" w14:textId="77777777" w:rsidR="000E30F3" w:rsidRPr="00716CC2" w:rsidRDefault="000E30F3" w:rsidP="00B257F2">
            <w:pPr>
              <w:pStyle w:val="TableBullet"/>
              <w:rPr>
                <w:szCs w:val="18"/>
              </w:rPr>
            </w:pPr>
            <w:r w:rsidRPr="00716CC2">
              <w:rPr>
                <w:szCs w:val="18"/>
              </w:rPr>
              <w:t>Current criterion 1.1.4.7 (the service provides education and support for tangata whaiora, whānau, hapu and iwi to promote Māori mental well-being) be applied to all service types.</w:t>
            </w:r>
          </w:p>
        </w:tc>
        <w:tc>
          <w:tcPr>
            <w:tcW w:w="2949" w:type="dxa"/>
            <w:gridSpan w:val="3"/>
          </w:tcPr>
          <w:p w14:paraId="67BF79B3" w14:textId="77777777" w:rsidR="000E30F3" w:rsidRPr="00716CC2" w:rsidRDefault="000E30F3" w:rsidP="00B257F2">
            <w:pPr>
              <w:pStyle w:val="TableBullet"/>
              <w:rPr>
                <w:szCs w:val="18"/>
              </w:rPr>
            </w:pPr>
            <w:r w:rsidRPr="00716CC2">
              <w:rPr>
                <w:szCs w:val="18"/>
              </w:rPr>
              <w:t>Support a dedicated standard, however could be more robust</w:t>
            </w:r>
          </w:p>
          <w:p w14:paraId="37ACB9C5" w14:textId="77777777" w:rsidR="000E30F3" w:rsidRPr="00716CC2" w:rsidRDefault="000E30F3" w:rsidP="00B257F2">
            <w:pPr>
              <w:pStyle w:val="TableBullet"/>
              <w:rPr>
                <w:szCs w:val="18"/>
              </w:rPr>
            </w:pPr>
            <w:r w:rsidRPr="00716CC2">
              <w:rPr>
                <w:szCs w:val="18"/>
              </w:rPr>
              <w:t>Interest in seeing inclusion of Māori across other areas of the standards – eg. Entry to services (1.3.1)</w:t>
            </w:r>
          </w:p>
          <w:p w14:paraId="785F8A10" w14:textId="77777777" w:rsidR="000E30F3" w:rsidRPr="00716CC2" w:rsidRDefault="000E30F3" w:rsidP="00B257F2">
            <w:pPr>
              <w:pStyle w:val="TableBullet"/>
              <w:rPr>
                <w:szCs w:val="18"/>
              </w:rPr>
            </w:pPr>
            <w:r w:rsidRPr="00716CC2">
              <w:rPr>
                <w:szCs w:val="18"/>
              </w:rPr>
              <w:t>Some regions are doing better than others – noting in some regions providers are not seeing Māori in ARC. Where there are no residents difficult to implement – therefore potential for a modular approach (opt in / opt out) – ie. If service has Māori resident’s implementation needs to be measured (at audit):  My concern was that if Māori are not represented in the facility population then why not? Maybe it is what the facility are/are not offering therefore some aspects of the standard should apply regardless of whether there are Māori residents in the ARC. I don’t think that has been captured (LR, Alzheimers NZ)</w:t>
            </w:r>
          </w:p>
          <w:p w14:paraId="04407D4E" w14:textId="77777777" w:rsidR="000E30F3" w:rsidRPr="00716CC2" w:rsidRDefault="000E30F3" w:rsidP="00B257F2">
            <w:pPr>
              <w:pStyle w:val="TableBullet"/>
              <w:rPr>
                <w:szCs w:val="18"/>
              </w:rPr>
            </w:pPr>
            <w:r w:rsidRPr="00716CC2">
              <w:rPr>
                <w:szCs w:val="18"/>
              </w:rPr>
              <w:t xml:space="preserve">I don’t think this should be an opt out. All providers should become more familiar with Māori protocol, and how values and beliefs are expressed.  This service type (with additional adaptations) may then become more relevant and better </w:t>
            </w:r>
            <w:r w:rsidRPr="00716CC2">
              <w:rPr>
                <w:szCs w:val="18"/>
              </w:rPr>
              <w:lastRenderedPageBreak/>
              <w:t>utilised in a way that fits with whānau (EB, Eldernet)</w:t>
            </w:r>
          </w:p>
          <w:p w14:paraId="3913C59F" w14:textId="77777777" w:rsidR="000E30F3" w:rsidRPr="00716CC2" w:rsidRDefault="000E30F3" w:rsidP="00B257F2">
            <w:pPr>
              <w:pStyle w:val="TableBullet"/>
              <w:rPr>
                <w:szCs w:val="18"/>
              </w:rPr>
            </w:pPr>
            <w:r w:rsidRPr="00716CC2">
              <w:rPr>
                <w:szCs w:val="18"/>
              </w:rPr>
              <w:t>Discussed movement from prescription/’tick’ box approach – ie. Have Māori plan and connection with local iwi, to a competence approach and what that may mean</w:t>
            </w:r>
          </w:p>
          <w:p w14:paraId="469125A6" w14:textId="77777777" w:rsidR="000E30F3" w:rsidRPr="00716CC2" w:rsidRDefault="000E30F3" w:rsidP="00B257F2">
            <w:pPr>
              <w:pStyle w:val="TableBullet"/>
              <w:rPr>
                <w:szCs w:val="18"/>
              </w:rPr>
            </w:pPr>
            <w:r w:rsidRPr="00716CC2">
              <w:rPr>
                <w:szCs w:val="18"/>
              </w:rPr>
              <w:t xml:space="preserve">New models of care may see more Māori in ARC – for example respite services </w:t>
            </w:r>
          </w:p>
          <w:p w14:paraId="495E36AF" w14:textId="77777777" w:rsidR="000E30F3" w:rsidRPr="00716CC2" w:rsidRDefault="000E30F3" w:rsidP="00B257F2">
            <w:pPr>
              <w:pStyle w:val="TableBullet"/>
              <w:rPr>
                <w:szCs w:val="18"/>
              </w:rPr>
            </w:pPr>
            <w:r w:rsidRPr="00716CC2">
              <w:rPr>
                <w:szCs w:val="18"/>
              </w:rPr>
              <w:t>but only if it is safe enough for them to use (EB, Eldernet)</w:t>
            </w:r>
          </w:p>
          <w:p w14:paraId="3E64A833" w14:textId="77777777" w:rsidR="000E30F3" w:rsidRPr="00716CC2" w:rsidRDefault="000E30F3" w:rsidP="00B257F2">
            <w:pPr>
              <w:pStyle w:val="TableBullet"/>
              <w:rPr>
                <w:szCs w:val="18"/>
              </w:rPr>
            </w:pPr>
            <w:r w:rsidRPr="00716CC2">
              <w:rPr>
                <w:szCs w:val="18"/>
              </w:rPr>
              <w:t>Access to support to be factored in</w:t>
            </w:r>
          </w:p>
          <w:p w14:paraId="36957116" w14:textId="77777777" w:rsidR="000E30F3" w:rsidRPr="00716CC2" w:rsidRDefault="000E30F3" w:rsidP="00B257F2">
            <w:pPr>
              <w:pStyle w:val="TableBullet"/>
              <w:rPr>
                <w:szCs w:val="18"/>
              </w:rPr>
            </w:pPr>
            <w:r w:rsidRPr="00716CC2">
              <w:rPr>
                <w:szCs w:val="18"/>
              </w:rPr>
              <w:t>Could be ‘aspirational’</w:t>
            </w:r>
          </w:p>
          <w:p w14:paraId="1E203A8D" w14:textId="77777777" w:rsidR="000E30F3" w:rsidRPr="00716CC2" w:rsidRDefault="000E30F3" w:rsidP="00B257F2">
            <w:pPr>
              <w:pStyle w:val="TableBullet"/>
              <w:rPr>
                <w:szCs w:val="18"/>
              </w:rPr>
            </w:pPr>
            <w:r w:rsidRPr="00716CC2">
              <w:rPr>
                <w:szCs w:val="18"/>
              </w:rPr>
              <w:t>Simplify – do not want standard to be too prescriptive, ensure there is the ability to cope with the variables being seen across models of care</w:t>
            </w:r>
          </w:p>
        </w:tc>
        <w:tc>
          <w:tcPr>
            <w:tcW w:w="2948" w:type="dxa"/>
            <w:gridSpan w:val="3"/>
          </w:tcPr>
          <w:p w14:paraId="5572F9BB" w14:textId="77777777" w:rsidR="000E30F3" w:rsidRPr="00716CC2" w:rsidRDefault="000E30F3" w:rsidP="00B257F2">
            <w:pPr>
              <w:pStyle w:val="TableBullet"/>
              <w:rPr>
                <w:szCs w:val="18"/>
              </w:rPr>
            </w:pPr>
            <w:r w:rsidRPr="00716CC2">
              <w:rPr>
                <w:szCs w:val="18"/>
              </w:rPr>
              <w:lastRenderedPageBreak/>
              <w:t>Māori are going into ARC as whānau structures change</w:t>
            </w:r>
          </w:p>
          <w:p w14:paraId="36E351DA" w14:textId="77777777" w:rsidR="000E30F3" w:rsidRPr="00716CC2" w:rsidRDefault="000E30F3" w:rsidP="00B257F2">
            <w:pPr>
              <w:pStyle w:val="TableBullet"/>
              <w:rPr>
                <w:szCs w:val="18"/>
              </w:rPr>
            </w:pPr>
            <w:r w:rsidRPr="00716CC2">
              <w:rPr>
                <w:szCs w:val="18"/>
              </w:rPr>
              <w:t>As health outcomes for Māori improve, may also result in increased Māori in ARC</w:t>
            </w:r>
          </w:p>
          <w:p w14:paraId="49C7E6A5" w14:textId="77777777" w:rsidR="000E30F3" w:rsidRPr="00716CC2" w:rsidRDefault="000E30F3" w:rsidP="00B257F2">
            <w:pPr>
              <w:pStyle w:val="TableBullet"/>
              <w:rPr>
                <w:szCs w:val="18"/>
              </w:rPr>
            </w:pPr>
            <w:r w:rsidRPr="00716CC2">
              <w:rPr>
                <w:szCs w:val="18"/>
              </w:rPr>
              <w:t xml:space="preserve">Do not fall into ‘lip service’ mode </w:t>
            </w:r>
          </w:p>
          <w:p w14:paraId="14E8289A" w14:textId="77777777" w:rsidR="000E30F3" w:rsidRPr="00716CC2" w:rsidRDefault="000E30F3" w:rsidP="00B257F2">
            <w:pPr>
              <w:pStyle w:val="TableBullet"/>
              <w:rPr>
                <w:szCs w:val="18"/>
              </w:rPr>
            </w:pPr>
            <w:r w:rsidRPr="00716CC2">
              <w:rPr>
                <w:szCs w:val="18"/>
              </w:rPr>
              <w:t>Underpins NZ</w:t>
            </w:r>
          </w:p>
          <w:p w14:paraId="296A5B90" w14:textId="77777777" w:rsidR="000E30F3" w:rsidRPr="00716CC2" w:rsidRDefault="000E30F3" w:rsidP="00B257F2">
            <w:pPr>
              <w:pStyle w:val="TableBullet"/>
              <w:rPr>
                <w:szCs w:val="18"/>
              </w:rPr>
            </w:pPr>
            <w:r w:rsidRPr="00716CC2">
              <w:rPr>
                <w:szCs w:val="18"/>
              </w:rPr>
              <w:t>Everyone lives their own culture their own way</w:t>
            </w:r>
          </w:p>
          <w:p w14:paraId="70475EF4" w14:textId="77777777" w:rsidR="000E30F3" w:rsidRPr="00716CC2" w:rsidRDefault="000E30F3" w:rsidP="00B257F2">
            <w:pPr>
              <w:pStyle w:val="TableBullet"/>
              <w:rPr>
                <w:szCs w:val="18"/>
              </w:rPr>
            </w:pPr>
            <w:r w:rsidRPr="00716CC2">
              <w:rPr>
                <w:szCs w:val="18"/>
              </w:rPr>
              <w:t>Needs to support the individual view (ie. What the individual aligns to)</w:t>
            </w:r>
          </w:p>
          <w:p w14:paraId="7D12A6F4" w14:textId="77777777" w:rsidR="000E30F3" w:rsidRPr="00716CC2" w:rsidRDefault="000E30F3" w:rsidP="00B257F2">
            <w:pPr>
              <w:pStyle w:val="TableBullet"/>
              <w:rPr>
                <w:szCs w:val="18"/>
              </w:rPr>
            </w:pPr>
            <w:r w:rsidRPr="00716CC2">
              <w:rPr>
                <w:szCs w:val="18"/>
              </w:rPr>
              <w:t>Differences nationally were discussed, agreed that a standard should at least demonstrate cultural preparedness – consider implementation at resident level a modular approach if no residents noting this approach may impact admission criteria (ie. Additional compliance)</w:t>
            </w:r>
          </w:p>
          <w:p w14:paraId="4F9BE9A2" w14:textId="77777777" w:rsidR="000E30F3" w:rsidRPr="00716CC2" w:rsidRDefault="000E30F3" w:rsidP="00B257F2">
            <w:pPr>
              <w:pStyle w:val="TableBullet"/>
              <w:rPr>
                <w:szCs w:val="18"/>
              </w:rPr>
            </w:pPr>
            <w:r w:rsidRPr="00716CC2">
              <w:rPr>
                <w:szCs w:val="18"/>
              </w:rPr>
              <w:t xml:space="preserve">There are environmental considerations </w:t>
            </w:r>
          </w:p>
          <w:p w14:paraId="2B5EC398" w14:textId="77777777" w:rsidR="000E30F3" w:rsidRPr="00716CC2" w:rsidRDefault="000E30F3" w:rsidP="00B257F2">
            <w:pPr>
              <w:pStyle w:val="TableBullet"/>
              <w:rPr>
                <w:szCs w:val="18"/>
              </w:rPr>
            </w:pPr>
            <w:r w:rsidRPr="00716CC2">
              <w:rPr>
                <w:szCs w:val="18"/>
              </w:rPr>
              <w:t>Support overarching standard then woven throughout – individual needs are paramount</w:t>
            </w:r>
          </w:p>
          <w:p w14:paraId="6D826C97" w14:textId="77777777" w:rsidR="000E30F3" w:rsidRPr="00716CC2" w:rsidRDefault="000E30F3" w:rsidP="00B257F2">
            <w:pPr>
              <w:pStyle w:val="TableBullet"/>
              <w:rPr>
                <w:szCs w:val="18"/>
              </w:rPr>
            </w:pPr>
            <w:r w:rsidRPr="00716CC2">
              <w:rPr>
                <w:szCs w:val="18"/>
              </w:rPr>
              <w:t>Reference to the audit work of TAS</w:t>
            </w:r>
          </w:p>
        </w:tc>
        <w:tc>
          <w:tcPr>
            <w:tcW w:w="2949" w:type="dxa"/>
            <w:gridSpan w:val="3"/>
          </w:tcPr>
          <w:p w14:paraId="3F8CDCE9" w14:textId="77777777" w:rsidR="000E30F3" w:rsidRPr="00716CC2" w:rsidRDefault="000E30F3" w:rsidP="00BE7218">
            <w:pPr>
              <w:pStyle w:val="Bullet"/>
              <w:spacing w:before="40" w:after="40"/>
              <w:rPr>
                <w:sz w:val="18"/>
                <w:szCs w:val="18"/>
              </w:rPr>
            </w:pPr>
            <w:r w:rsidRPr="00716CC2">
              <w:rPr>
                <w:sz w:val="18"/>
                <w:szCs w:val="18"/>
              </w:rPr>
              <w:t>Include equity</w:t>
            </w:r>
          </w:p>
          <w:p w14:paraId="1A039A75" w14:textId="77777777" w:rsidR="000E30F3" w:rsidRPr="00716CC2" w:rsidRDefault="000E30F3" w:rsidP="00BE7218">
            <w:pPr>
              <w:pStyle w:val="Bullet"/>
              <w:spacing w:before="40" w:after="40"/>
              <w:rPr>
                <w:sz w:val="18"/>
                <w:szCs w:val="18"/>
              </w:rPr>
            </w:pPr>
            <w:r w:rsidRPr="00716CC2">
              <w:rPr>
                <w:sz w:val="18"/>
                <w:szCs w:val="18"/>
              </w:rPr>
              <w:t>Support one overarching standard and then woven throughout</w:t>
            </w:r>
          </w:p>
          <w:p w14:paraId="17493CBE" w14:textId="77777777" w:rsidR="000E30F3" w:rsidRPr="00716CC2" w:rsidRDefault="000E30F3" w:rsidP="00BE7218">
            <w:pPr>
              <w:pStyle w:val="Bullet"/>
              <w:spacing w:before="40" w:after="40"/>
              <w:rPr>
                <w:sz w:val="18"/>
                <w:szCs w:val="18"/>
              </w:rPr>
            </w:pPr>
            <w:r w:rsidRPr="00716CC2">
              <w:rPr>
                <w:sz w:val="18"/>
                <w:szCs w:val="18"/>
              </w:rPr>
              <w:t>Recognition of Tino rangatiratanga (rather than values &amp; beliefs)</w:t>
            </w:r>
          </w:p>
          <w:p w14:paraId="6FAC0E60" w14:textId="77777777" w:rsidR="000E30F3" w:rsidRPr="00716CC2" w:rsidRDefault="000E30F3" w:rsidP="00BE7218">
            <w:pPr>
              <w:pStyle w:val="Bullet"/>
              <w:spacing w:before="40" w:after="40"/>
              <w:rPr>
                <w:sz w:val="18"/>
                <w:szCs w:val="18"/>
              </w:rPr>
            </w:pPr>
            <w:r w:rsidRPr="00716CC2">
              <w:rPr>
                <w:sz w:val="18"/>
                <w:szCs w:val="18"/>
              </w:rPr>
              <w:t>Include people in design – ie. Māori disabled</w:t>
            </w:r>
          </w:p>
          <w:p w14:paraId="36B07269" w14:textId="77777777" w:rsidR="000E30F3" w:rsidRPr="00716CC2" w:rsidRDefault="000E30F3" w:rsidP="00BE7218">
            <w:pPr>
              <w:pStyle w:val="Bullet"/>
              <w:spacing w:before="40" w:after="40"/>
              <w:rPr>
                <w:sz w:val="18"/>
                <w:szCs w:val="18"/>
              </w:rPr>
            </w:pPr>
            <w:r w:rsidRPr="00716CC2">
              <w:rPr>
                <w:sz w:val="18"/>
                <w:szCs w:val="18"/>
              </w:rPr>
              <w:t>Self determination to be included</w:t>
            </w:r>
          </w:p>
          <w:p w14:paraId="2A21F199" w14:textId="77777777" w:rsidR="000E30F3" w:rsidRPr="00716CC2" w:rsidRDefault="000E30F3" w:rsidP="00BE7218">
            <w:pPr>
              <w:pStyle w:val="Bullet"/>
              <w:spacing w:before="40" w:after="40"/>
              <w:rPr>
                <w:sz w:val="18"/>
                <w:szCs w:val="18"/>
              </w:rPr>
            </w:pPr>
            <w:r w:rsidRPr="00716CC2">
              <w:rPr>
                <w:sz w:val="18"/>
                <w:szCs w:val="18"/>
              </w:rPr>
              <w:t>Criteria need to be modified – to move from a ‘tick’ box approach</w:t>
            </w:r>
          </w:p>
          <w:p w14:paraId="733E510C" w14:textId="77777777" w:rsidR="000E30F3" w:rsidRPr="00716CC2" w:rsidRDefault="000E30F3" w:rsidP="00BE7218">
            <w:pPr>
              <w:pStyle w:val="Bullet"/>
              <w:spacing w:before="40" w:after="40"/>
              <w:rPr>
                <w:sz w:val="18"/>
                <w:szCs w:val="18"/>
              </w:rPr>
            </w:pPr>
            <w:r w:rsidRPr="00716CC2">
              <w:rPr>
                <w:sz w:val="18"/>
                <w:szCs w:val="18"/>
              </w:rPr>
              <w:t>Weave into organisational management particularly around cultural capability</w:t>
            </w:r>
          </w:p>
        </w:tc>
      </w:tr>
      <w:tr w:rsidR="00C84EE9" w:rsidRPr="00716CC2" w14:paraId="58F60874" w14:textId="77777777" w:rsidTr="007A7079">
        <w:trPr>
          <w:gridAfter w:val="1"/>
          <w:wAfter w:w="142" w:type="dxa"/>
        </w:trPr>
        <w:tc>
          <w:tcPr>
            <w:tcW w:w="14742" w:type="dxa"/>
            <w:gridSpan w:val="14"/>
            <w:shd w:val="clear" w:color="auto" w:fill="FFFFFF" w:themeFill="background1"/>
          </w:tcPr>
          <w:p w14:paraId="0C4BF4AB" w14:textId="77777777" w:rsidR="00C84EE9" w:rsidRPr="00716CC2" w:rsidRDefault="00C84EE9" w:rsidP="001E6EA5">
            <w:pPr>
              <w:spacing w:before="40" w:after="40"/>
              <w:rPr>
                <w:b/>
                <w:sz w:val="18"/>
                <w:szCs w:val="18"/>
              </w:rPr>
            </w:pPr>
          </w:p>
        </w:tc>
      </w:tr>
      <w:tr w:rsidR="001E6EA5" w:rsidRPr="00716CC2" w14:paraId="22C50B73" w14:textId="77777777" w:rsidTr="007A7079">
        <w:trPr>
          <w:gridAfter w:val="1"/>
          <w:wAfter w:w="142" w:type="dxa"/>
        </w:trPr>
        <w:tc>
          <w:tcPr>
            <w:tcW w:w="14742" w:type="dxa"/>
            <w:gridSpan w:val="14"/>
            <w:shd w:val="clear" w:color="auto" w:fill="F2F2F2" w:themeFill="background1" w:themeFillShade="F2"/>
          </w:tcPr>
          <w:p w14:paraId="71AF3D27" w14:textId="77777777" w:rsidR="001E6EA5" w:rsidRPr="00716CC2" w:rsidRDefault="001E6EA5" w:rsidP="001E6EA5">
            <w:pPr>
              <w:spacing w:before="40" w:after="40"/>
              <w:rPr>
                <w:b/>
                <w:sz w:val="18"/>
                <w:szCs w:val="18"/>
              </w:rPr>
            </w:pPr>
            <w:r w:rsidRPr="00716CC2">
              <w:rPr>
                <w:b/>
                <w:sz w:val="18"/>
                <w:szCs w:val="18"/>
              </w:rPr>
              <w:t>Standard 1.1.5:</w:t>
            </w:r>
            <w:r w:rsidRPr="00716CC2">
              <w:rPr>
                <w:sz w:val="18"/>
                <w:szCs w:val="18"/>
              </w:rPr>
              <w:t xml:space="preserve"> Recognition of Pacific Values And Beliefs (HDS(C)S.2008:1.1.5): Pacific consumers have their health and disability needs met in a manner that respects and acknowledges their individual and cultural, values and beliefs.</w:t>
            </w:r>
          </w:p>
          <w:p w14:paraId="6AC9FA66" w14:textId="77777777" w:rsidR="001E6EA5" w:rsidRPr="00716CC2" w:rsidRDefault="001E6EA5" w:rsidP="001E6EA5">
            <w:pPr>
              <w:spacing w:before="40" w:after="40"/>
              <w:rPr>
                <w:sz w:val="18"/>
                <w:szCs w:val="18"/>
              </w:rPr>
            </w:pPr>
            <w:r w:rsidRPr="00716CC2">
              <w:rPr>
                <w:sz w:val="18"/>
                <w:szCs w:val="18"/>
              </w:rPr>
              <w:t>ARC:  Same as comment above re Māori (LR, Alzheimers NZ)</w:t>
            </w:r>
          </w:p>
          <w:p w14:paraId="6198175C" w14:textId="77777777" w:rsidR="001E6EA5" w:rsidRPr="00716CC2" w:rsidRDefault="001E6EA5" w:rsidP="001E6EA5">
            <w:pPr>
              <w:spacing w:before="40" w:after="40"/>
              <w:rPr>
                <w:sz w:val="18"/>
                <w:szCs w:val="18"/>
              </w:rPr>
            </w:pPr>
            <w:r w:rsidRPr="00716CC2">
              <w:rPr>
                <w:sz w:val="18"/>
                <w:szCs w:val="18"/>
              </w:rPr>
              <w:t>ARC: Or: ‘recognition and respect of diversity and the individual’s culture, values and beliefs IEP, Eldernet)</w:t>
            </w:r>
          </w:p>
        </w:tc>
      </w:tr>
      <w:tr w:rsidR="001E6EA5" w:rsidRPr="00716CC2" w14:paraId="3E05B82D" w14:textId="77777777" w:rsidTr="007A7079">
        <w:trPr>
          <w:gridAfter w:val="1"/>
          <w:wAfter w:w="142" w:type="dxa"/>
        </w:trPr>
        <w:tc>
          <w:tcPr>
            <w:tcW w:w="2948" w:type="dxa"/>
            <w:gridSpan w:val="2"/>
            <w:shd w:val="clear" w:color="auto" w:fill="FFFFFF" w:themeFill="background1"/>
          </w:tcPr>
          <w:p w14:paraId="7C550B3F" w14:textId="77777777" w:rsidR="001E6EA5" w:rsidRPr="00716CC2" w:rsidRDefault="001E6EA5"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659D733C" w14:textId="77777777" w:rsidR="001E6EA5" w:rsidRPr="00716CC2" w:rsidRDefault="001E6EA5"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645AAEAB" w14:textId="77777777" w:rsidR="001E6EA5" w:rsidRPr="00716CC2" w:rsidRDefault="001E6EA5"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05EBC937" w14:textId="77777777" w:rsidR="001E6EA5" w:rsidRPr="00716CC2" w:rsidRDefault="001E6EA5"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4192F675" w14:textId="77777777" w:rsidR="001E6EA5" w:rsidRPr="00716CC2" w:rsidRDefault="001E6EA5" w:rsidP="006D5FE4">
            <w:pPr>
              <w:pStyle w:val="TableText"/>
              <w:spacing w:before="40" w:after="40"/>
              <w:rPr>
                <w:b/>
                <w:szCs w:val="18"/>
                <w:lang w:eastAsia="en-NZ"/>
              </w:rPr>
            </w:pPr>
            <w:r w:rsidRPr="00716CC2">
              <w:rPr>
                <w:b/>
                <w:szCs w:val="18"/>
                <w:lang w:eastAsia="en-NZ"/>
              </w:rPr>
              <w:t>Res Dis (6 Aug)</w:t>
            </w:r>
          </w:p>
        </w:tc>
      </w:tr>
      <w:tr w:rsidR="001E6EA5" w:rsidRPr="00716CC2" w14:paraId="5D2147D3" w14:textId="77777777" w:rsidTr="007A7079">
        <w:trPr>
          <w:gridAfter w:val="1"/>
          <w:wAfter w:w="142" w:type="dxa"/>
          <w:trHeight w:val="1693"/>
        </w:trPr>
        <w:tc>
          <w:tcPr>
            <w:tcW w:w="2948" w:type="dxa"/>
            <w:gridSpan w:val="2"/>
          </w:tcPr>
          <w:p w14:paraId="7C776FBC" w14:textId="77777777" w:rsidR="001E6EA5" w:rsidRPr="00716CC2" w:rsidRDefault="001E6EA5" w:rsidP="00B257F2">
            <w:pPr>
              <w:pStyle w:val="TableBullet"/>
              <w:rPr>
                <w:szCs w:val="18"/>
              </w:rPr>
            </w:pPr>
            <w:r w:rsidRPr="00716CC2">
              <w:rPr>
                <w:szCs w:val="18"/>
              </w:rPr>
              <w:t>Currently Mental Health and Addictions (MHA) services only – remove as service specific as relates to all service types</w:t>
            </w:r>
          </w:p>
          <w:p w14:paraId="0D0673E4" w14:textId="77777777" w:rsidR="001E6EA5" w:rsidRPr="00716CC2" w:rsidRDefault="001E6EA5" w:rsidP="00B257F2">
            <w:pPr>
              <w:pStyle w:val="TableBullet"/>
              <w:rPr>
                <w:szCs w:val="18"/>
              </w:rPr>
            </w:pPr>
            <w:r w:rsidRPr="00716CC2">
              <w:rPr>
                <w:szCs w:val="18"/>
              </w:rPr>
              <w:t>Potentially merge with 1.1.6 (below) - one standard to pertain to pacific and migrant populations</w:t>
            </w:r>
          </w:p>
          <w:p w14:paraId="4B989738" w14:textId="77777777" w:rsidR="001E6EA5" w:rsidRPr="00716CC2" w:rsidRDefault="001E6EA5" w:rsidP="00B257F2">
            <w:pPr>
              <w:pStyle w:val="TableBullet"/>
              <w:rPr>
                <w:szCs w:val="18"/>
              </w:rPr>
            </w:pPr>
            <w:r w:rsidRPr="00716CC2">
              <w:rPr>
                <w:szCs w:val="18"/>
              </w:rPr>
              <w:lastRenderedPageBreak/>
              <w:t>Language was noted – eg, Pacific consumers have their health and disability needs … standards are written with a negative connotation (‘disabled’ are also ‘abled’)</w:t>
            </w:r>
          </w:p>
          <w:p w14:paraId="37EE0B52" w14:textId="77777777" w:rsidR="001E6EA5" w:rsidRPr="00716CC2" w:rsidRDefault="001E6EA5" w:rsidP="00B257F2">
            <w:pPr>
              <w:pStyle w:val="TableBullet"/>
              <w:rPr>
                <w:szCs w:val="18"/>
              </w:rPr>
            </w:pPr>
            <w:r w:rsidRPr="00716CC2">
              <w:rPr>
                <w:szCs w:val="18"/>
              </w:rPr>
              <w:t>This (and 1.1.6) need to be revisited and further discussed</w:t>
            </w:r>
          </w:p>
        </w:tc>
        <w:tc>
          <w:tcPr>
            <w:tcW w:w="2948" w:type="dxa"/>
            <w:gridSpan w:val="3"/>
          </w:tcPr>
          <w:p w14:paraId="423529AC" w14:textId="77777777" w:rsidR="001E6EA5" w:rsidRPr="00716CC2" w:rsidRDefault="001E6EA5" w:rsidP="00B257F2">
            <w:pPr>
              <w:pStyle w:val="TableBullet"/>
              <w:rPr>
                <w:szCs w:val="18"/>
              </w:rPr>
            </w:pPr>
            <w:r w:rsidRPr="00716CC2">
              <w:rPr>
                <w:szCs w:val="18"/>
              </w:rPr>
              <w:lastRenderedPageBreak/>
              <w:t>Currently applies to mental health and addition services only: apply to all service types</w:t>
            </w:r>
          </w:p>
          <w:p w14:paraId="0C8C8002" w14:textId="77777777" w:rsidR="001E6EA5" w:rsidRPr="00716CC2" w:rsidRDefault="001E6EA5" w:rsidP="00B257F2">
            <w:pPr>
              <w:pStyle w:val="TableBullet"/>
              <w:rPr>
                <w:szCs w:val="18"/>
              </w:rPr>
            </w:pPr>
            <w:r w:rsidRPr="00716CC2">
              <w:rPr>
                <w:szCs w:val="18"/>
              </w:rPr>
              <w:t>Diversity to be represented – may be language</w:t>
            </w:r>
          </w:p>
          <w:p w14:paraId="05177C03" w14:textId="77777777" w:rsidR="001E6EA5" w:rsidRPr="00716CC2" w:rsidRDefault="001E6EA5" w:rsidP="00B257F2">
            <w:pPr>
              <w:pStyle w:val="TableBullet"/>
              <w:rPr>
                <w:szCs w:val="18"/>
              </w:rPr>
            </w:pPr>
            <w:r w:rsidRPr="00716CC2">
              <w:rPr>
                <w:szCs w:val="18"/>
              </w:rPr>
              <w:t>? consider wellbeing.</w:t>
            </w:r>
          </w:p>
        </w:tc>
        <w:tc>
          <w:tcPr>
            <w:tcW w:w="2949" w:type="dxa"/>
            <w:gridSpan w:val="3"/>
          </w:tcPr>
          <w:p w14:paraId="70FD23CD" w14:textId="77777777" w:rsidR="001E6EA5" w:rsidRPr="00716CC2" w:rsidRDefault="001E6EA5" w:rsidP="00B257F2">
            <w:pPr>
              <w:pStyle w:val="TableBullet"/>
              <w:rPr>
                <w:szCs w:val="18"/>
              </w:rPr>
            </w:pPr>
            <w:r w:rsidRPr="00716CC2">
              <w:rPr>
                <w:szCs w:val="18"/>
              </w:rPr>
              <w:t>Currently mental health only – general agreement applies to ARC</w:t>
            </w:r>
          </w:p>
          <w:p w14:paraId="3A536FD3" w14:textId="77777777" w:rsidR="001E6EA5" w:rsidRPr="00716CC2" w:rsidRDefault="001E6EA5" w:rsidP="00B257F2">
            <w:pPr>
              <w:pStyle w:val="TableBullet"/>
              <w:rPr>
                <w:szCs w:val="18"/>
              </w:rPr>
            </w:pPr>
            <w:r w:rsidRPr="00716CC2">
              <w:rPr>
                <w:szCs w:val="18"/>
              </w:rPr>
              <w:t xml:space="preserve">Consider merging with 1.1.6 looking at an overarching diversity standard with a breakdown of particular groups </w:t>
            </w:r>
            <w:r w:rsidRPr="00716CC2">
              <w:rPr>
                <w:szCs w:val="18"/>
              </w:rPr>
              <w:lastRenderedPageBreak/>
              <w:t>at criteria level – eg. LGBTIQA, ethnicity</w:t>
            </w:r>
          </w:p>
          <w:p w14:paraId="2DF5D156" w14:textId="77777777" w:rsidR="001E6EA5" w:rsidRPr="00716CC2" w:rsidRDefault="001E6EA5" w:rsidP="00B257F2">
            <w:pPr>
              <w:pStyle w:val="TableBullet"/>
              <w:rPr>
                <w:szCs w:val="18"/>
              </w:rPr>
            </w:pPr>
            <w:r w:rsidRPr="00716CC2">
              <w:rPr>
                <w:szCs w:val="18"/>
              </w:rPr>
              <w:t>Need to include sexuality (see dot point above)</w:t>
            </w:r>
          </w:p>
          <w:p w14:paraId="4A6CA85C" w14:textId="77777777" w:rsidR="001E6EA5" w:rsidRPr="00716CC2" w:rsidRDefault="001E6EA5" w:rsidP="00B257F2">
            <w:pPr>
              <w:pStyle w:val="TableBullet"/>
              <w:rPr>
                <w:szCs w:val="18"/>
              </w:rPr>
            </w:pPr>
            <w:r w:rsidRPr="00716CC2">
              <w:rPr>
                <w:szCs w:val="18"/>
              </w:rPr>
              <w:t>Consider title: Communities in which you belong</w:t>
            </w:r>
          </w:p>
          <w:p w14:paraId="45839C46" w14:textId="77777777" w:rsidR="001E6EA5" w:rsidRPr="00716CC2" w:rsidRDefault="001E6EA5" w:rsidP="00B257F2">
            <w:pPr>
              <w:pStyle w:val="TableBullet"/>
              <w:rPr>
                <w:szCs w:val="18"/>
              </w:rPr>
            </w:pPr>
            <w:r w:rsidRPr="00716CC2">
              <w:rPr>
                <w:szCs w:val="18"/>
              </w:rPr>
              <w:t>On reflection I think it’s problematic singling out Pacifica. We actually have a large number of Asian people in residential care especially in Auckland. I think this standard should be wide and inclusive. Primary relationship is between Māori and Pakeha. That needs to be addressed (EB, Eldernet)</w:t>
            </w:r>
          </w:p>
        </w:tc>
        <w:tc>
          <w:tcPr>
            <w:tcW w:w="2948" w:type="dxa"/>
            <w:gridSpan w:val="3"/>
          </w:tcPr>
          <w:p w14:paraId="650F14E0" w14:textId="77777777" w:rsidR="001E6EA5" w:rsidRPr="00716CC2" w:rsidRDefault="001E6EA5" w:rsidP="00B257F2">
            <w:pPr>
              <w:pStyle w:val="TableBullet"/>
              <w:rPr>
                <w:szCs w:val="18"/>
              </w:rPr>
            </w:pPr>
            <w:r w:rsidRPr="00716CC2">
              <w:rPr>
                <w:szCs w:val="18"/>
              </w:rPr>
              <w:lastRenderedPageBreak/>
              <w:t>Discussion around potential merging of 1.1.5 and 1.1.6 – the group questioned if we would then be doing a dis-service to the Pacific population</w:t>
            </w:r>
          </w:p>
          <w:p w14:paraId="0EA0C15A" w14:textId="77777777" w:rsidR="001E6EA5" w:rsidRPr="00716CC2" w:rsidRDefault="001E6EA5" w:rsidP="00B257F2">
            <w:pPr>
              <w:pStyle w:val="TableBullet"/>
              <w:rPr>
                <w:szCs w:val="18"/>
              </w:rPr>
            </w:pPr>
            <w:r w:rsidRPr="00716CC2">
              <w:rPr>
                <w:szCs w:val="18"/>
              </w:rPr>
              <w:t>The group questioned if the decision should be taken back to the population group</w:t>
            </w:r>
          </w:p>
          <w:p w14:paraId="4826435B" w14:textId="77777777" w:rsidR="001E6EA5" w:rsidRPr="00716CC2" w:rsidRDefault="001E6EA5" w:rsidP="00B257F2">
            <w:pPr>
              <w:pStyle w:val="TableBullet"/>
              <w:rPr>
                <w:szCs w:val="18"/>
              </w:rPr>
            </w:pPr>
            <w:r w:rsidRPr="00716CC2">
              <w:rPr>
                <w:szCs w:val="18"/>
              </w:rPr>
              <w:lastRenderedPageBreak/>
              <w:t>Reference to the CALD work</w:t>
            </w:r>
          </w:p>
          <w:p w14:paraId="7EF2D398" w14:textId="77777777" w:rsidR="001E6EA5" w:rsidRPr="00716CC2" w:rsidRDefault="001E6EA5" w:rsidP="00B257F2">
            <w:pPr>
              <w:pStyle w:val="TableBullet"/>
              <w:rPr>
                <w:szCs w:val="18"/>
              </w:rPr>
            </w:pPr>
            <w:r w:rsidRPr="00716CC2">
              <w:rPr>
                <w:szCs w:val="18"/>
              </w:rPr>
              <w:t>General agreement there by one overarching standard supporting diversity – culture, ethnicity, gender and sexual orientation</w:t>
            </w:r>
          </w:p>
        </w:tc>
        <w:tc>
          <w:tcPr>
            <w:tcW w:w="2949" w:type="dxa"/>
            <w:gridSpan w:val="3"/>
          </w:tcPr>
          <w:p w14:paraId="44AC70BE" w14:textId="77777777" w:rsidR="001E6EA5" w:rsidRPr="00716CC2" w:rsidRDefault="001E6EA5" w:rsidP="00B257F2">
            <w:pPr>
              <w:pStyle w:val="TableBullet"/>
              <w:rPr>
                <w:szCs w:val="18"/>
              </w:rPr>
            </w:pPr>
            <w:r w:rsidRPr="00716CC2">
              <w:rPr>
                <w:szCs w:val="18"/>
              </w:rPr>
              <w:lastRenderedPageBreak/>
              <w:t>Current MHA – agreed appropriate to disability</w:t>
            </w:r>
          </w:p>
          <w:p w14:paraId="266E130D" w14:textId="77777777" w:rsidR="001E6EA5" w:rsidRPr="00716CC2" w:rsidRDefault="001E6EA5" w:rsidP="00B257F2">
            <w:pPr>
              <w:pStyle w:val="TableBullet"/>
              <w:rPr>
                <w:szCs w:val="18"/>
              </w:rPr>
            </w:pPr>
            <w:r w:rsidRPr="00716CC2">
              <w:rPr>
                <w:szCs w:val="18"/>
              </w:rPr>
              <w:t>Need to adopt a global view of community</w:t>
            </w:r>
          </w:p>
          <w:p w14:paraId="67DD8E05" w14:textId="77777777" w:rsidR="001E6EA5" w:rsidRPr="00716CC2" w:rsidRDefault="001E6EA5" w:rsidP="00B257F2">
            <w:pPr>
              <w:pStyle w:val="TableBullet"/>
              <w:rPr>
                <w:szCs w:val="18"/>
              </w:rPr>
            </w:pPr>
            <w:r w:rsidRPr="00716CC2">
              <w:rPr>
                <w:szCs w:val="18"/>
              </w:rPr>
              <w:t>Retain a dedicated standard for Pacifica</w:t>
            </w:r>
          </w:p>
          <w:p w14:paraId="399E4DC7" w14:textId="77777777" w:rsidR="001E6EA5" w:rsidRPr="00716CC2" w:rsidRDefault="001E6EA5" w:rsidP="00B257F2">
            <w:pPr>
              <w:pStyle w:val="TableBullet"/>
              <w:rPr>
                <w:szCs w:val="18"/>
              </w:rPr>
            </w:pPr>
            <w:r w:rsidRPr="00716CC2">
              <w:rPr>
                <w:szCs w:val="18"/>
              </w:rPr>
              <w:t>Need standards that best meet the needs of the people</w:t>
            </w:r>
          </w:p>
          <w:p w14:paraId="091A9DB8" w14:textId="77777777" w:rsidR="001E6EA5" w:rsidRPr="00716CC2" w:rsidRDefault="001E6EA5" w:rsidP="00B257F2">
            <w:pPr>
              <w:pStyle w:val="TableBullet"/>
              <w:rPr>
                <w:szCs w:val="18"/>
              </w:rPr>
            </w:pPr>
            <w:r w:rsidRPr="00716CC2">
              <w:rPr>
                <w:szCs w:val="18"/>
              </w:rPr>
              <w:lastRenderedPageBreak/>
              <w:t>Just note the importance of consulting Pacific people around this standard (N.Berry, NZCare Group)</w:t>
            </w:r>
          </w:p>
        </w:tc>
      </w:tr>
      <w:tr w:rsidR="00C84EE9" w:rsidRPr="00716CC2" w14:paraId="41380131" w14:textId="77777777" w:rsidTr="007A7079">
        <w:trPr>
          <w:gridAfter w:val="1"/>
          <w:wAfter w:w="142" w:type="dxa"/>
        </w:trPr>
        <w:tc>
          <w:tcPr>
            <w:tcW w:w="14742" w:type="dxa"/>
            <w:gridSpan w:val="14"/>
            <w:shd w:val="clear" w:color="auto" w:fill="FFFFFF" w:themeFill="background1"/>
          </w:tcPr>
          <w:p w14:paraId="60CD5B64" w14:textId="77777777" w:rsidR="00C84EE9" w:rsidRPr="00716CC2" w:rsidRDefault="00C84EE9" w:rsidP="00BA3435">
            <w:pPr>
              <w:spacing w:before="40" w:after="40"/>
              <w:rPr>
                <w:b/>
                <w:sz w:val="18"/>
                <w:szCs w:val="18"/>
              </w:rPr>
            </w:pPr>
          </w:p>
        </w:tc>
      </w:tr>
      <w:tr w:rsidR="00BA3435" w:rsidRPr="00716CC2" w14:paraId="3BDBEDBF" w14:textId="77777777" w:rsidTr="007A7079">
        <w:trPr>
          <w:gridAfter w:val="1"/>
          <w:wAfter w:w="142" w:type="dxa"/>
        </w:trPr>
        <w:tc>
          <w:tcPr>
            <w:tcW w:w="14742" w:type="dxa"/>
            <w:gridSpan w:val="14"/>
            <w:shd w:val="clear" w:color="auto" w:fill="F2F2F2" w:themeFill="background1" w:themeFillShade="F2"/>
          </w:tcPr>
          <w:p w14:paraId="1C9283ED" w14:textId="77777777" w:rsidR="00BA3435" w:rsidRPr="00716CC2" w:rsidRDefault="00BA3435" w:rsidP="00BA3435">
            <w:pPr>
              <w:spacing w:before="40" w:after="40"/>
              <w:rPr>
                <w:b/>
                <w:sz w:val="18"/>
                <w:szCs w:val="18"/>
              </w:rPr>
            </w:pPr>
            <w:r w:rsidRPr="00716CC2">
              <w:rPr>
                <w:b/>
                <w:sz w:val="18"/>
                <w:szCs w:val="18"/>
              </w:rPr>
              <w:t xml:space="preserve">Standard 1.1.6: </w:t>
            </w:r>
            <w:r w:rsidRPr="00716CC2">
              <w:rPr>
                <w:sz w:val="18"/>
                <w:szCs w:val="18"/>
              </w:rPr>
              <w:t>Recognition and Respect of the Individual's Culture, Values, and Beliefs (HDS(C)S.2008:1.1.6): Consumers receive culturally safe services which recognise and respect their ethnic, cultural, spiritual values, and beliefs</w:t>
            </w:r>
          </w:p>
        </w:tc>
      </w:tr>
      <w:tr w:rsidR="00BA3435" w:rsidRPr="00716CC2" w14:paraId="17853510" w14:textId="77777777" w:rsidTr="007A7079">
        <w:trPr>
          <w:gridAfter w:val="1"/>
          <w:wAfter w:w="142" w:type="dxa"/>
        </w:trPr>
        <w:tc>
          <w:tcPr>
            <w:tcW w:w="2948" w:type="dxa"/>
            <w:gridSpan w:val="2"/>
            <w:shd w:val="clear" w:color="auto" w:fill="FFFFFF" w:themeFill="background1"/>
          </w:tcPr>
          <w:p w14:paraId="7F3C7945" w14:textId="77777777" w:rsidR="00BA3435" w:rsidRPr="00716CC2" w:rsidRDefault="00BA3435"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4E0557CF" w14:textId="77777777" w:rsidR="00BA3435" w:rsidRPr="00716CC2" w:rsidRDefault="00BA3435"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3E0670E6" w14:textId="77777777" w:rsidR="00BA3435" w:rsidRPr="00716CC2" w:rsidRDefault="00BA3435"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1825F316" w14:textId="77777777" w:rsidR="00BA3435" w:rsidRPr="00716CC2" w:rsidRDefault="00BA3435"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02EB4A12" w14:textId="77777777" w:rsidR="00BA3435" w:rsidRPr="00716CC2" w:rsidRDefault="00BA3435" w:rsidP="006D5FE4">
            <w:pPr>
              <w:pStyle w:val="TableText"/>
              <w:spacing w:before="40" w:after="40"/>
              <w:rPr>
                <w:b/>
                <w:szCs w:val="18"/>
                <w:lang w:eastAsia="en-NZ"/>
              </w:rPr>
            </w:pPr>
            <w:r w:rsidRPr="00716CC2">
              <w:rPr>
                <w:b/>
                <w:szCs w:val="18"/>
                <w:lang w:eastAsia="en-NZ"/>
              </w:rPr>
              <w:t>Res Dis (6 Aug)</w:t>
            </w:r>
          </w:p>
        </w:tc>
      </w:tr>
      <w:tr w:rsidR="00BA3435" w:rsidRPr="00716CC2" w14:paraId="017E066B" w14:textId="77777777" w:rsidTr="007A7079">
        <w:trPr>
          <w:gridAfter w:val="1"/>
          <w:wAfter w:w="142" w:type="dxa"/>
          <w:trHeight w:val="1567"/>
        </w:trPr>
        <w:tc>
          <w:tcPr>
            <w:tcW w:w="2948" w:type="dxa"/>
            <w:gridSpan w:val="2"/>
          </w:tcPr>
          <w:p w14:paraId="6C5153D8" w14:textId="77777777" w:rsidR="00BA3435" w:rsidRPr="00716CC2" w:rsidRDefault="00BA3435" w:rsidP="00B257F2">
            <w:pPr>
              <w:pStyle w:val="TableBullet"/>
              <w:rPr>
                <w:szCs w:val="18"/>
              </w:rPr>
            </w:pPr>
            <w:r w:rsidRPr="00716CC2">
              <w:rPr>
                <w:szCs w:val="18"/>
              </w:rPr>
              <w:t>Refer above narrative, potential merger of standard 1.1.5 &amp; 1.1.6</w:t>
            </w:r>
          </w:p>
        </w:tc>
        <w:tc>
          <w:tcPr>
            <w:tcW w:w="2948" w:type="dxa"/>
            <w:gridSpan w:val="3"/>
          </w:tcPr>
          <w:p w14:paraId="070A7CAF" w14:textId="77777777" w:rsidR="00BA3435" w:rsidRPr="00716CC2" w:rsidRDefault="00BA3435" w:rsidP="00B257F2">
            <w:pPr>
              <w:pStyle w:val="TableBullet"/>
              <w:rPr>
                <w:szCs w:val="18"/>
              </w:rPr>
            </w:pPr>
            <w:r w:rsidRPr="00716CC2">
              <w:rPr>
                <w:szCs w:val="18"/>
              </w:rPr>
              <w:t>Strengthen re diversity – migrant, gender</w:t>
            </w:r>
          </w:p>
          <w:p w14:paraId="385DF8C0" w14:textId="77777777" w:rsidR="00BA3435" w:rsidRPr="00716CC2" w:rsidRDefault="00BA3435" w:rsidP="00B257F2">
            <w:pPr>
              <w:pStyle w:val="TableBullet"/>
              <w:rPr>
                <w:szCs w:val="18"/>
              </w:rPr>
            </w:pPr>
            <w:r w:rsidRPr="00716CC2">
              <w:rPr>
                <w:szCs w:val="18"/>
              </w:rPr>
              <w:t>Language around immigrants fraught</w:t>
            </w:r>
          </w:p>
          <w:p w14:paraId="081CB9EA" w14:textId="77777777" w:rsidR="00BA3435" w:rsidRPr="00716CC2" w:rsidRDefault="00BA3435" w:rsidP="00B257F2">
            <w:pPr>
              <w:pStyle w:val="TableBullet"/>
              <w:rPr>
                <w:szCs w:val="18"/>
              </w:rPr>
            </w:pPr>
            <w:r w:rsidRPr="00716CC2">
              <w:rPr>
                <w:szCs w:val="18"/>
              </w:rPr>
              <w:t>Use of definitions to support/ clarify.</w:t>
            </w:r>
          </w:p>
        </w:tc>
        <w:tc>
          <w:tcPr>
            <w:tcW w:w="2949" w:type="dxa"/>
            <w:gridSpan w:val="3"/>
          </w:tcPr>
          <w:p w14:paraId="51150984" w14:textId="77777777" w:rsidR="00BA3435" w:rsidRPr="00716CC2" w:rsidRDefault="00BA3435" w:rsidP="00B257F2">
            <w:pPr>
              <w:pStyle w:val="TableBullet"/>
              <w:rPr>
                <w:szCs w:val="18"/>
              </w:rPr>
            </w:pPr>
            <w:r w:rsidRPr="00716CC2">
              <w:rPr>
                <w:szCs w:val="18"/>
              </w:rPr>
              <w:t>Refer 1.1.5</w:t>
            </w:r>
          </w:p>
        </w:tc>
        <w:tc>
          <w:tcPr>
            <w:tcW w:w="2948" w:type="dxa"/>
            <w:gridSpan w:val="3"/>
          </w:tcPr>
          <w:p w14:paraId="2F1B000B" w14:textId="77777777" w:rsidR="00BA3435" w:rsidRPr="00716CC2" w:rsidRDefault="00BA3435" w:rsidP="00B257F2">
            <w:pPr>
              <w:pStyle w:val="TableBullet"/>
              <w:rPr>
                <w:szCs w:val="18"/>
              </w:rPr>
            </w:pPr>
            <w:r w:rsidRPr="00716CC2">
              <w:rPr>
                <w:szCs w:val="18"/>
              </w:rPr>
              <w:t>Refer comments against 1.1.5</w:t>
            </w:r>
          </w:p>
        </w:tc>
        <w:tc>
          <w:tcPr>
            <w:tcW w:w="2949" w:type="dxa"/>
            <w:gridSpan w:val="3"/>
          </w:tcPr>
          <w:p w14:paraId="39DD7FD6" w14:textId="77777777" w:rsidR="00BA3435" w:rsidRPr="00716CC2" w:rsidRDefault="00BA3435" w:rsidP="00B257F2">
            <w:pPr>
              <w:pStyle w:val="TableBullet"/>
              <w:rPr>
                <w:szCs w:val="18"/>
              </w:rPr>
            </w:pPr>
            <w:r w:rsidRPr="00716CC2">
              <w:rPr>
                <w:szCs w:val="18"/>
              </w:rPr>
              <w:t>Consider diversity within this standard – ie. Sexual orientation, age, ethnicity, gender</w:t>
            </w:r>
          </w:p>
        </w:tc>
      </w:tr>
      <w:tr w:rsidR="00C84EE9" w:rsidRPr="00716CC2" w14:paraId="68C1EAC7" w14:textId="77777777" w:rsidTr="007A7079">
        <w:trPr>
          <w:gridAfter w:val="1"/>
          <w:wAfter w:w="142" w:type="dxa"/>
        </w:trPr>
        <w:tc>
          <w:tcPr>
            <w:tcW w:w="14742" w:type="dxa"/>
            <w:gridSpan w:val="14"/>
            <w:shd w:val="clear" w:color="auto" w:fill="FFFFFF" w:themeFill="background1"/>
          </w:tcPr>
          <w:p w14:paraId="5AC8E9E5" w14:textId="77777777" w:rsidR="00C84EE9" w:rsidRPr="00716CC2" w:rsidRDefault="00C84EE9" w:rsidP="00BA3435">
            <w:pPr>
              <w:spacing w:before="40" w:after="40"/>
              <w:rPr>
                <w:b/>
                <w:sz w:val="18"/>
                <w:szCs w:val="18"/>
              </w:rPr>
            </w:pPr>
          </w:p>
        </w:tc>
      </w:tr>
      <w:tr w:rsidR="00BA3435" w:rsidRPr="00716CC2" w14:paraId="54784256" w14:textId="77777777" w:rsidTr="007A7079">
        <w:trPr>
          <w:gridAfter w:val="1"/>
          <w:wAfter w:w="142" w:type="dxa"/>
        </w:trPr>
        <w:tc>
          <w:tcPr>
            <w:tcW w:w="14742" w:type="dxa"/>
            <w:gridSpan w:val="14"/>
            <w:shd w:val="clear" w:color="auto" w:fill="F2F2F2" w:themeFill="background1" w:themeFillShade="F2"/>
          </w:tcPr>
          <w:p w14:paraId="7258D1DF" w14:textId="77777777" w:rsidR="00BA3435" w:rsidRPr="00716CC2" w:rsidRDefault="00BA3435" w:rsidP="00BA3435">
            <w:pPr>
              <w:spacing w:before="40" w:after="40"/>
              <w:rPr>
                <w:b/>
                <w:sz w:val="18"/>
                <w:szCs w:val="18"/>
              </w:rPr>
            </w:pPr>
            <w:r w:rsidRPr="00716CC2">
              <w:rPr>
                <w:b/>
                <w:sz w:val="18"/>
                <w:szCs w:val="18"/>
              </w:rPr>
              <w:t xml:space="preserve">Standard 1.1.7: </w:t>
            </w:r>
            <w:r w:rsidRPr="00716CC2">
              <w:rPr>
                <w:sz w:val="18"/>
                <w:szCs w:val="18"/>
              </w:rPr>
              <w:t>Discrimination (HDS(C)S.2008:1.1.7): Consumers are free from any discrimination, coercion, harassment, sexual, financial, or other exploitation</w:t>
            </w:r>
          </w:p>
        </w:tc>
      </w:tr>
      <w:tr w:rsidR="00BA3435" w:rsidRPr="00716CC2" w14:paraId="408E6B6C" w14:textId="77777777" w:rsidTr="007A7079">
        <w:trPr>
          <w:gridAfter w:val="1"/>
          <w:wAfter w:w="142" w:type="dxa"/>
        </w:trPr>
        <w:tc>
          <w:tcPr>
            <w:tcW w:w="2948" w:type="dxa"/>
            <w:gridSpan w:val="2"/>
            <w:shd w:val="clear" w:color="auto" w:fill="FFFFFF" w:themeFill="background1"/>
          </w:tcPr>
          <w:p w14:paraId="2495AD7E" w14:textId="77777777" w:rsidR="00BA3435" w:rsidRPr="00716CC2" w:rsidRDefault="00BA3435" w:rsidP="006D5FE4">
            <w:pPr>
              <w:pStyle w:val="TableText"/>
              <w:spacing w:before="40" w:after="40"/>
              <w:rPr>
                <w:b/>
                <w:szCs w:val="18"/>
                <w:lang w:eastAsia="en-NZ"/>
              </w:rPr>
            </w:pPr>
            <w:r w:rsidRPr="00716CC2">
              <w:rPr>
                <w:b/>
                <w:szCs w:val="18"/>
                <w:lang w:eastAsia="en-NZ"/>
              </w:rPr>
              <w:t>DHB/PH/Hosp/BU</w:t>
            </w:r>
          </w:p>
        </w:tc>
        <w:tc>
          <w:tcPr>
            <w:tcW w:w="2948" w:type="dxa"/>
            <w:gridSpan w:val="3"/>
            <w:shd w:val="clear" w:color="auto" w:fill="FFFFFF" w:themeFill="background1"/>
          </w:tcPr>
          <w:p w14:paraId="1D2D82DB" w14:textId="77777777" w:rsidR="00BA3435" w:rsidRPr="00716CC2" w:rsidRDefault="00BA3435" w:rsidP="006D5FE4">
            <w:pPr>
              <w:pStyle w:val="TableText"/>
              <w:spacing w:before="40" w:after="40"/>
              <w:rPr>
                <w:b/>
                <w:szCs w:val="18"/>
                <w:lang w:eastAsia="en-NZ"/>
              </w:rPr>
            </w:pPr>
            <w:r w:rsidRPr="00716CC2">
              <w:rPr>
                <w:b/>
                <w:szCs w:val="18"/>
                <w:lang w:eastAsia="en-NZ"/>
              </w:rPr>
              <w:t>Residential MH/AoD</w:t>
            </w:r>
          </w:p>
        </w:tc>
        <w:tc>
          <w:tcPr>
            <w:tcW w:w="2949" w:type="dxa"/>
            <w:gridSpan w:val="3"/>
            <w:shd w:val="clear" w:color="auto" w:fill="FFFFFF" w:themeFill="background1"/>
          </w:tcPr>
          <w:p w14:paraId="7601DB5B" w14:textId="77777777" w:rsidR="00BA3435" w:rsidRPr="00716CC2" w:rsidRDefault="00BA3435" w:rsidP="006D5FE4">
            <w:pPr>
              <w:pStyle w:val="TableText"/>
              <w:spacing w:before="40" w:after="40"/>
              <w:rPr>
                <w:b/>
                <w:szCs w:val="18"/>
                <w:lang w:eastAsia="en-NZ"/>
              </w:rPr>
            </w:pPr>
            <w:r w:rsidRPr="00716CC2">
              <w:rPr>
                <w:b/>
                <w:szCs w:val="18"/>
                <w:lang w:eastAsia="en-NZ"/>
              </w:rPr>
              <w:t>ARC (31 July)</w:t>
            </w:r>
          </w:p>
        </w:tc>
        <w:tc>
          <w:tcPr>
            <w:tcW w:w="2948" w:type="dxa"/>
            <w:gridSpan w:val="3"/>
            <w:shd w:val="clear" w:color="auto" w:fill="FFFFFF" w:themeFill="background1"/>
          </w:tcPr>
          <w:p w14:paraId="40491D0E" w14:textId="77777777" w:rsidR="00BA3435" w:rsidRPr="00716CC2" w:rsidRDefault="00BA3435" w:rsidP="006D5FE4">
            <w:pPr>
              <w:pStyle w:val="TableText"/>
              <w:spacing w:before="40" w:after="40"/>
              <w:rPr>
                <w:b/>
                <w:szCs w:val="18"/>
                <w:lang w:eastAsia="en-NZ"/>
              </w:rPr>
            </w:pPr>
            <w:r w:rsidRPr="00716CC2">
              <w:rPr>
                <w:b/>
                <w:szCs w:val="18"/>
                <w:lang w:eastAsia="en-NZ"/>
              </w:rPr>
              <w:t xml:space="preserve">ARC (9 Aug) </w:t>
            </w:r>
          </w:p>
        </w:tc>
        <w:tc>
          <w:tcPr>
            <w:tcW w:w="2949" w:type="dxa"/>
            <w:gridSpan w:val="3"/>
            <w:shd w:val="clear" w:color="auto" w:fill="FFFFFF" w:themeFill="background1"/>
          </w:tcPr>
          <w:p w14:paraId="4FEC8A9C" w14:textId="77777777" w:rsidR="00BA3435" w:rsidRPr="00716CC2" w:rsidRDefault="00BA3435" w:rsidP="006D5FE4">
            <w:pPr>
              <w:pStyle w:val="TableText"/>
              <w:spacing w:before="40" w:after="40"/>
              <w:rPr>
                <w:b/>
                <w:szCs w:val="18"/>
                <w:lang w:eastAsia="en-NZ"/>
              </w:rPr>
            </w:pPr>
            <w:r w:rsidRPr="00716CC2">
              <w:rPr>
                <w:b/>
                <w:szCs w:val="18"/>
                <w:lang w:eastAsia="en-NZ"/>
              </w:rPr>
              <w:t>Res Dis (6 Aug)</w:t>
            </w:r>
          </w:p>
        </w:tc>
      </w:tr>
      <w:tr w:rsidR="00C84EE9" w:rsidRPr="00716CC2" w14:paraId="1892943E" w14:textId="77777777" w:rsidTr="007A7079">
        <w:trPr>
          <w:gridAfter w:val="1"/>
          <w:wAfter w:w="142" w:type="dxa"/>
        </w:trPr>
        <w:tc>
          <w:tcPr>
            <w:tcW w:w="2948" w:type="dxa"/>
            <w:gridSpan w:val="2"/>
            <w:shd w:val="clear" w:color="auto" w:fill="FFFFFF" w:themeFill="background1"/>
          </w:tcPr>
          <w:p w14:paraId="32BBE587" w14:textId="77777777" w:rsidR="00C84EE9" w:rsidRPr="00716CC2" w:rsidRDefault="00C84EE9" w:rsidP="00B257F2">
            <w:pPr>
              <w:pStyle w:val="TableBullet"/>
              <w:rPr>
                <w:szCs w:val="18"/>
              </w:rPr>
            </w:pPr>
            <w:r w:rsidRPr="00716CC2">
              <w:rPr>
                <w:szCs w:val="18"/>
              </w:rPr>
              <w:t>It was noted there are currently three criteria that are MHA only, potentially apply to all service types</w:t>
            </w:r>
          </w:p>
          <w:p w14:paraId="6D6136F8" w14:textId="77777777" w:rsidR="00C84EE9" w:rsidRPr="00716CC2" w:rsidRDefault="00C84EE9" w:rsidP="00B257F2">
            <w:pPr>
              <w:pStyle w:val="TableBullet"/>
              <w:rPr>
                <w:szCs w:val="18"/>
              </w:rPr>
            </w:pPr>
            <w:r w:rsidRPr="00716CC2">
              <w:rPr>
                <w:szCs w:val="18"/>
              </w:rPr>
              <w:lastRenderedPageBreak/>
              <w:t>The link to HDC CoR was discussed with potential to further align</w:t>
            </w:r>
          </w:p>
          <w:p w14:paraId="4586BA82" w14:textId="77777777" w:rsidR="00C84EE9" w:rsidRPr="00716CC2" w:rsidRDefault="00C84EE9" w:rsidP="00B257F2">
            <w:pPr>
              <w:pStyle w:val="TableBullet"/>
              <w:rPr>
                <w:szCs w:val="18"/>
              </w:rPr>
            </w:pPr>
            <w:r w:rsidRPr="00716CC2">
              <w:rPr>
                <w:szCs w:val="18"/>
              </w:rPr>
              <w:t>Language – noted that discrimination has a negative frame, suggest a positive reframe</w:t>
            </w:r>
          </w:p>
          <w:p w14:paraId="5CADF527" w14:textId="77777777" w:rsidR="00C84EE9" w:rsidRPr="00716CC2" w:rsidRDefault="00C84EE9" w:rsidP="00B257F2">
            <w:pPr>
              <w:pStyle w:val="TableBullet"/>
              <w:rPr>
                <w:szCs w:val="18"/>
              </w:rPr>
            </w:pPr>
            <w:r w:rsidRPr="00716CC2">
              <w:rPr>
                <w:szCs w:val="18"/>
              </w:rPr>
              <w:t>Potential to embed into 1.1.3</w:t>
            </w:r>
          </w:p>
          <w:p w14:paraId="18A2B089" w14:textId="77777777" w:rsidR="00C84EE9" w:rsidRPr="00716CC2" w:rsidRDefault="00C84EE9" w:rsidP="00B257F2">
            <w:pPr>
              <w:pStyle w:val="TableBullet"/>
              <w:rPr>
                <w:szCs w:val="18"/>
              </w:rPr>
            </w:pPr>
            <w:r w:rsidRPr="00716CC2">
              <w:rPr>
                <w:szCs w:val="18"/>
              </w:rPr>
              <w:t>Note comment above re Tangata Whenua: suggest a ‘stand-alone’ standard that includes responsibility in respect of the Treaty of Waitangi, then specific criteria embedded into each standard</w:t>
            </w:r>
          </w:p>
        </w:tc>
        <w:tc>
          <w:tcPr>
            <w:tcW w:w="2948" w:type="dxa"/>
            <w:gridSpan w:val="3"/>
            <w:shd w:val="clear" w:color="auto" w:fill="FFFFFF" w:themeFill="background1"/>
          </w:tcPr>
          <w:p w14:paraId="345B49AB" w14:textId="77777777" w:rsidR="00C84EE9" w:rsidRPr="00716CC2" w:rsidRDefault="00C84EE9" w:rsidP="00B257F2">
            <w:pPr>
              <w:pStyle w:val="TableBullet"/>
              <w:rPr>
                <w:szCs w:val="18"/>
              </w:rPr>
            </w:pPr>
            <w:r w:rsidRPr="00716CC2">
              <w:rPr>
                <w:szCs w:val="18"/>
              </w:rPr>
              <w:lastRenderedPageBreak/>
              <w:t>Consider language/title</w:t>
            </w:r>
          </w:p>
          <w:p w14:paraId="2D25ED0E" w14:textId="77777777" w:rsidR="00C84EE9" w:rsidRPr="00716CC2" w:rsidRDefault="00C84EE9" w:rsidP="00B257F2">
            <w:pPr>
              <w:pStyle w:val="TableBullet"/>
              <w:rPr>
                <w:szCs w:val="18"/>
              </w:rPr>
            </w:pPr>
            <w:r w:rsidRPr="00716CC2">
              <w:rPr>
                <w:szCs w:val="18"/>
              </w:rPr>
              <w:t>Criterion 1.1.7.2, 1.1.7.4 and 1.1.7.5 apply to all service types.</w:t>
            </w:r>
          </w:p>
        </w:tc>
        <w:tc>
          <w:tcPr>
            <w:tcW w:w="2949" w:type="dxa"/>
            <w:gridSpan w:val="3"/>
            <w:shd w:val="clear" w:color="auto" w:fill="FFFFFF" w:themeFill="background1"/>
          </w:tcPr>
          <w:p w14:paraId="2303F3F3" w14:textId="77777777" w:rsidR="00C84EE9" w:rsidRPr="00716CC2" w:rsidRDefault="00C84EE9" w:rsidP="00B257F2">
            <w:pPr>
              <w:pStyle w:val="TableBullet"/>
              <w:rPr>
                <w:szCs w:val="18"/>
              </w:rPr>
            </w:pPr>
            <w:r w:rsidRPr="00716CC2">
              <w:rPr>
                <w:szCs w:val="18"/>
              </w:rPr>
              <w:t>Important to include in reviewed standard/s</w:t>
            </w:r>
          </w:p>
          <w:p w14:paraId="69B27E27" w14:textId="77777777" w:rsidR="00C84EE9" w:rsidRPr="00716CC2" w:rsidRDefault="00C84EE9" w:rsidP="00B257F2">
            <w:pPr>
              <w:pStyle w:val="TableBullet"/>
              <w:rPr>
                <w:szCs w:val="18"/>
              </w:rPr>
            </w:pPr>
            <w:r w:rsidRPr="00716CC2">
              <w:rPr>
                <w:szCs w:val="18"/>
              </w:rPr>
              <w:t>Be cognisant of human rights and link to same</w:t>
            </w:r>
          </w:p>
          <w:p w14:paraId="7F9E85F1" w14:textId="77777777" w:rsidR="00C84EE9" w:rsidRPr="00716CC2" w:rsidRDefault="00C84EE9" w:rsidP="00B257F2">
            <w:pPr>
              <w:pStyle w:val="TableBullet"/>
              <w:rPr>
                <w:szCs w:val="18"/>
              </w:rPr>
            </w:pPr>
            <w:r w:rsidRPr="00716CC2">
              <w:rPr>
                <w:szCs w:val="18"/>
              </w:rPr>
              <w:lastRenderedPageBreak/>
              <w:t>Include terms such as ‘abuse’ and ‘neglect’</w:t>
            </w:r>
          </w:p>
          <w:p w14:paraId="7F855E57" w14:textId="77777777" w:rsidR="00C84EE9" w:rsidRPr="00716CC2" w:rsidRDefault="00C84EE9" w:rsidP="00B257F2">
            <w:pPr>
              <w:pStyle w:val="TableBullet"/>
              <w:rPr>
                <w:szCs w:val="18"/>
              </w:rPr>
            </w:pPr>
            <w:r w:rsidRPr="00716CC2">
              <w:rPr>
                <w:szCs w:val="18"/>
              </w:rPr>
              <w:t>Abuse – consider inclusion of intentional/ unintentional</w:t>
            </w:r>
          </w:p>
          <w:p w14:paraId="3A81301C" w14:textId="77777777" w:rsidR="00C84EE9" w:rsidRPr="00716CC2" w:rsidRDefault="00C84EE9" w:rsidP="00B257F2">
            <w:pPr>
              <w:pStyle w:val="TableBullet"/>
              <w:rPr>
                <w:szCs w:val="18"/>
              </w:rPr>
            </w:pPr>
            <w:r w:rsidRPr="00716CC2">
              <w:rPr>
                <w:szCs w:val="18"/>
              </w:rPr>
              <w:t>Title: or – Human rights upheld (EB, Eldernet)</w:t>
            </w:r>
          </w:p>
        </w:tc>
        <w:tc>
          <w:tcPr>
            <w:tcW w:w="2948" w:type="dxa"/>
            <w:gridSpan w:val="3"/>
            <w:shd w:val="clear" w:color="auto" w:fill="FFFFFF" w:themeFill="background1"/>
          </w:tcPr>
          <w:p w14:paraId="091F696F" w14:textId="77777777" w:rsidR="00C84EE9" w:rsidRPr="00716CC2" w:rsidRDefault="00C84EE9" w:rsidP="00B257F2">
            <w:pPr>
              <w:pStyle w:val="TableBullet"/>
              <w:rPr>
                <w:szCs w:val="18"/>
              </w:rPr>
            </w:pPr>
            <w:r w:rsidRPr="00716CC2">
              <w:rPr>
                <w:szCs w:val="18"/>
              </w:rPr>
              <w:lastRenderedPageBreak/>
              <w:t>Agreed relevant</w:t>
            </w:r>
          </w:p>
          <w:p w14:paraId="151C70D6" w14:textId="77777777" w:rsidR="00C84EE9" w:rsidRPr="00716CC2" w:rsidRDefault="00C84EE9" w:rsidP="00B257F2">
            <w:pPr>
              <w:pStyle w:val="TableBullet"/>
              <w:rPr>
                <w:szCs w:val="18"/>
              </w:rPr>
            </w:pPr>
            <w:r w:rsidRPr="00716CC2">
              <w:rPr>
                <w:szCs w:val="18"/>
              </w:rPr>
              <w:t>Need to use strengths based language (noting discrimination has a negative connotation)</w:t>
            </w:r>
          </w:p>
          <w:p w14:paraId="7F218D57" w14:textId="77777777" w:rsidR="00C84EE9" w:rsidRPr="00716CC2" w:rsidRDefault="00C84EE9" w:rsidP="00B257F2">
            <w:pPr>
              <w:pStyle w:val="TableBullet"/>
              <w:rPr>
                <w:szCs w:val="18"/>
              </w:rPr>
            </w:pPr>
            <w:r w:rsidRPr="00716CC2">
              <w:rPr>
                <w:szCs w:val="18"/>
              </w:rPr>
              <w:lastRenderedPageBreak/>
              <w:t>Discussion: if a provider demonstrates they are meeting stds 1.1.5 and 1.1.6 should they automatically meet this standard?</w:t>
            </w:r>
          </w:p>
        </w:tc>
        <w:tc>
          <w:tcPr>
            <w:tcW w:w="2949" w:type="dxa"/>
            <w:gridSpan w:val="3"/>
            <w:shd w:val="clear" w:color="auto" w:fill="FFFFFF" w:themeFill="background1"/>
          </w:tcPr>
          <w:p w14:paraId="45384D5F" w14:textId="77777777" w:rsidR="00C84EE9" w:rsidRPr="00716CC2" w:rsidRDefault="00C84EE9" w:rsidP="00B257F2">
            <w:pPr>
              <w:pStyle w:val="TableBullet"/>
              <w:rPr>
                <w:szCs w:val="18"/>
              </w:rPr>
            </w:pPr>
            <w:r w:rsidRPr="00716CC2">
              <w:rPr>
                <w:szCs w:val="18"/>
              </w:rPr>
              <w:lastRenderedPageBreak/>
              <w:t xml:space="preserve">Term discrimination too narrow – only one area of the barriers that exist, needs to relate to the context of people’s lives, </w:t>
            </w:r>
          </w:p>
          <w:p w14:paraId="1BFD1EA3" w14:textId="77777777" w:rsidR="00C84EE9" w:rsidRPr="00716CC2" w:rsidRDefault="00C84EE9" w:rsidP="00B257F2">
            <w:pPr>
              <w:pStyle w:val="TableBullet"/>
              <w:rPr>
                <w:szCs w:val="18"/>
              </w:rPr>
            </w:pPr>
            <w:r w:rsidRPr="00716CC2">
              <w:rPr>
                <w:szCs w:val="18"/>
              </w:rPr>
              <w:t>Language – ‘I am safe from …’</w:t>
            </w:r>
          </w:p>
          <w:p w14:paraId="588D26FC" w14:textId="77777777" w:rsidR="00C84EE9" w:rsidRPr="00716CC2" w:rsidRDefault="00C84EE9" w:rsidP="00B257F2">
            <w:pPr>
              <w:pStyle w:val="TableBullet"/>
              <w:rPr>
                <w:szCs w:val="18"/>
              </w:rPr>
            </w:pPr>
            <w:r w:rsidRPr="00716CC2">
              <w:rPr>
                <w:szCs w:val="18"/>
              </w:rPr>
              <w:lastRenderedPageBreak/>
              <w:t>Reframe to a positive (deficit working now)</w:t>
            </w:r>
          </w:p>
          <w:p w14:paraId="3A1D6E3C" w14:textId="77777777" w:rsidR="00C84EE9" w:rsidRPr="00716CC2" w:rsidRDefault="00C84EE9" w:rsidP="00B257F2">
            <w:pPr>
              <w:pStyle w:val="TableBullet"/>
              <w:rPr>
                <w:szCs w:val="18"/>
              </w:rPr>
            </w:pPr>
            <w:r w:rsidRPr="00716CC2">
              <w:rPr>
                <w:szCs w:val="18"/>
              </w:rPr>
              <w:t>In terms of merging with other standards in this section: be mindful of diluting if all are linked to the Code, therefore support dedicated standard</w:t>
            </w:r>
          </w:p>
          <w:p w14:paraId="161AC1BA" w14:textId="77777777" w:rsidR="00C84EE9" w:rsidRPr="00716CC2" w:rsidRDefault="00C84EE9" w:rsidP="00B257F2">
            <w:pPr>
              <w:pStyle w:val="TableBullet"/>
              <w:rPr>
                <w:szCs w:val="18"/>
              </w:rPr>
            </w:pPr>
            <w:r w:rsidRPr="00716CC2">
              <w:rPr>
                <w:szCs w:val="18"/>
              </w:rPr>
              <w:t>Consider: ‘safeguarding for people ..’</w:t>
            </w:r>
          </w:p>
          <w:p w14:paraId="1B86AC74" w14:textId="77777777" w:rsidR="00C84EE9" w:rsidRPr="00716CC2" w:rsidRDefault="00C84EE9" w:rsidP="00B257F2">
            <w:pPr>
              <w:pStyle w:val="TableBullet"/>
              <w:rPr>
                <w:szCs w:val="18"/>
              </w:rPr>
            </w:pPr>
            <w:r w:rsidRPr="00716CC2">
              <w:rPr>
                <w:szCs w:val="18"/>
              </w:rPr>
              <w:t>Should this include all aspects of abuse (N.Berry, NZCare Group)</w:t>
            </w:r>
          </w:p>
        </w:tc>
      </w:tr>
      <w:tr w:rsidR="00C84EE9" w:rsidRPr="00716CC2" w14:paraId="24ED021B" w14:textId="77777777" w:rsidTr="007A7079">
        <w:tc>
          <w:tcPr>
            <w:tcW w:w="14884" w:type="dxa"/>
            <w:gridSpan w:val="15"/>
            <w:shd w:val="clear" w:color="auto" w:fill="FFFFFF" w:themeFill="background1"/>
          </w:tcPr>
          <w:p w14:paraId="4A4DC78B" w14:textId="77777777" w:rsidR="00C84EE9" w:rsidRPr="00716CC2" w:rsidRDefault="00C84EE9" w:rsidP="00BA3435">
            <w:pPr>
              <w:spacing w:before="40" w:after="40"/>
              <w:rPr>
                <w:b/>
                <w:sz w:val="18"/>
                <w:szCs w:val="18"/>
              </w:rPr>
            </w:pPr>
          </w:p>
        </w:tc>
      </w:tr>
      <w:tr w:rsidR="00BA3435" w:rsidRPr="00716CC2" w14:paraId="6351349A" w14:textId="77777777" w:rsidTr="007A7079">
        <w:tc>
          <w:tcPr>
            <w:tcW w:w="14884" w:type="dxa"/>
            <w:gridSpan w:val="15"/>
            <w:shd w:val="clear" w:color="auto" w:fill="F2F2F2" w:themeFill="background1" w:themeFillShade="F2"/>
          </w:tcPr>
          <w:p w14:paraId="33767AC9" w14:textId="77777777" w:rsidR="00BA3435" w:rsidRPr="00716CC2" w:rsidRDefault="00BA3435" w:rsidP="00BA3435">
            <w:pPr>
              <w:spacing w:before="40" w:after="40"/>
              <w:rPr>
                <w:b/>
                <w:sz w:val="18"/>
                <w:szCs w:val="18"/>
              </w:rPr>
            </w:pPr>
            <w:r w:rsidRPr="00716CC2">
              <w:rPr>
                <w:b/>
                <w:sz w:val="18"/>
                <w:szCs w:val="18"/>
              </w:rPr>
              <w:t xml:space="preserve">Standard 1.1.8: </w:t>
            </w:r>
            <w:r w:rsidRPr="00716CC2">
              <w:rPr>
                <w:sz w:val="18"/>
                <w:szCs w:val="18"/>
              </w:rPr>
              <w:t>Good Practice (HDS(C)S.2008:1.1.8): Consumers receive services of an appropriate standard</w:t>
            </w:r>
          </w:p>
        </w:tc>
      </w:tr>
      <w:tr w:rsidR="00BA3435" w:rsidRPr="00716CC2" w14:paraId="54D4E999" w14:textId="77777777" w:rsidTr="007A7079">
        <w:tc>
          <w:tcPr>
            <w:tcW w:w="2976" w:type="dxa"/>
            <w:gridSpan w:val="3"/>
            <w:shd w:val="clear" w:color="auto" w:fill="FFFFFF" w:themeFill="background1"/>
          </w:tcPr>
          <w:p w14:paraId="3D5BF201" w14:textId="77777777" w:rsidR="00BA3435" w:rsidRPr="00716CC2" w:rsidRDefault="00BA3435"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0B5FE616" w14:textId="77777777" w:rsidR="00BA3435" w:rsidRPr="00716CC2" w:rsidRDefault="00BA3435"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790A85AC" w14:textId="77777777" w:rsidR="00BA3435" w:rsidRPr="00716CC2" w:rsidRDefault="00BA3435"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23B713B8" w14:textId="77777777" w:rsidR="00BA3435" w:rsidRPr="00716CC2" w:rsidRDefault="00BA3435"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417C339D" w14:textId="77777777" w:rsidR="00BA3435" w:rsidRPr="00716CC2" w:rsidRDefault="00BA3435" w:rsidP="006D5FE4">
            <w:pPr>
              <w:pStyle w:val="TableText"/>
              <w:spacing w:before="40" w:after="40"/>
              <w:rPr>
                <w:b/>
                <w:szCs w:val="18"/>
                <w:lang w:eastAsia="en-NZ"/>
              </w:rPr>
            </w:pPr>
            <w:r w:rsidRPr="00716CC2">
              <w:rPr>
                <w:b/>
                <w:szCs w:val="18"/>
                <w:lang w:eastAsia="en-NZ"/>
              </w:rPr>
              <w:t>Res Dis (6 Aug)</w:t>
            </w:r>
          </w:p>
        </w:tc>
      </w:tr>
      <w:tr w:rsidR="00BA3435" w:rsidRPr="00716CC2" w14:paraId="00F36EBF" w14:textId="77777777" w:rsidTr="007A7079">
        <w:trPr>
          <w:trHeight w:val="2198"/>
        </w:trPr>
        <w:tc>
          <w:tcPr>
            <w:tcW w:w="2976" w:type="dxa"/>
            <w:gridSpan w:val="3"/>
          </w:tcPr>
          <w:p w14:paraId="07126B13" w14:textId="77777777" w:rsidR="00BA3435" w:rsidRPr="00716CC2" w:rsidRDefault="00BA3435" w:rsidP="00B257F2">
            <w:pPr>
              <w:pStyle w:val="TableBullet"/>
              <w:rPr>
                <w:szCs w:val="18"/>
              </w:rPr>
            </w:pPr>
            <w:r w:rsidRPr="00716CC2">
              <w:rPr>
                <w:szCs w:val="18"/>
              </w:rPr>
              <w:t>Delete – incorporate into Part 3</w:t>
            </w:r>
          </w:p>
        </w:tc>
        <w:tc>
          <w:tcPr>
            <w:tcW w:w="2977" w:type="dxa"/>
            <w:gridSpan w:val="3"/>
          </w:tcPr>
          <w:p w14:paraId="68A27F3B" w14:textId="77777777" w:rsidR="00BA3435" w:rsidRPr="00716CC2" w:rsidRDefault="00BA3435" w:rsidP="00B257F2">
            <w:pPr>
              <w:pStyle w:val="TableBullet"/>
              <w:rPr>
                <w:szCs w:val="18"/>
              </w:rPr>
            </w:pPr>
            <w:r w:rsidRPr="00716CC2">
              <w:rPr>
                <w:szCs w:val="18"/>
              </w:rPr>
              <w:t>Move into other aspects – eg, Part 3 (continuum).</w:t>
            </w:r>
          </w:p>
        </w:tc>
        <w:tc>
          <w:tcPr>
            <w:tcW w:w="2977" w:type="dxa"/>
            <w:gridSpan w:val="3"/>
          </w:tcPr>
          <w:p w14:paraId="3CF7F7A4" w14:textId="77777777" w:rsidR="00BA3435" w:rsidRPr="00716CC2" w:rsidRDefault="00BA3435" w:rsidP="00B257F2">
            <w:pPr>
              <w:pStyle w:val="TableBullet"/>
              <w:rPr>
                <w:szCs w:val="18"/>
              </w:rPr>
            </w:pPr>
            <w:r w:rsidRPr="00716CC2">
              <w:rPr>
                <w:szCs w:val="18"/>
              </w:rPr>
              <w:t>Standard ‘bit vague’</w:t>
            </w:r>
          </w:p>
          <w:p w14:paraId="0FE41610" w14:textId="77777777" w:rsidR="00BA3435" w:rsidRPr="00716CC2" w:rsidRDefault="00BA3435" w:rsidP="00B257F2">
            <w:pPr>
              <w:pStyle w:val="TableBullet"/>
              <w:rPr>
                <w:szCs w:val="18"/>
              </w:rPr>
            </w:pPr>
            <w:r w:rsidRPr="00716CC2">
              <w:rPr>
                <w:szCs w:val="18"/>
              </w:rPr>
              <w:t>Could be merged – consider moving into Part 2 (Organisational Management) – in to quality &amp; risk – ie. Best practice needs to be led from top ie. Governance, who drive/ require evidence based practice</w:t>
            </w:r>
          </w:p>
        </w:tc>
        <w:tc>
          <w:tcPr>
            <w:tcW w:w="2977" w:type="dxa"/>
            <w:gridSpan w:val="3"/>
          </w:tcPr>
          <w:p w14:paraId="3C2F223A" w14:textId="77777777" w:rsidR="00BA3435" w:rsidRPr="00716CC2" w:rsidRDefault="00BA3435" w:rsidP="00B257F2">
            <w:pPr>
              <w:pStyle w:val="TableBullet"/>
              <w:rPr>
                <w:szCs w:val="18"/>
              </w:rPr>
            </w:pPr>
            <w:r w:rsidRPr="00716CC2">
              <w:rPr>
                <w:szCs w:val="18"/>
              </w:rPr>
              <w:t>Merge into Part 3</w:t>
            </w:r>
          </w:p>
        </w:tc>
        <w:tc>
          <w:tcPr>
            <w:tcW w:w="2977" w:type="dxa"/>
            <w:gridSpan w:val="3"/>
          </w:tcPr>
          <w:p w14:paraId="7740F0AC" w14:textId="77777777" w:rsidR="00BA3435" w:rsidRPr="00716CC2" w:rsidRDefault="00BA3435" w:rsidP="00B257F2">
            <w:pPr>
              <w:pStyle w:val="TableBullet"/>
              <w:rPr>
                <w:szCs w:val="18"/>
              </w:rPr>
            </w:pPr>
            <w:r w:rsidRPr="00716CC2">
              <w:rPr>
                <w:szCs w:val="18"/>
              </w:rPr>
              <w:t>Currently broad and essentially undefined</w:t>
            </w:r>
          </w:p>
          <w:p w14:paraId="115DDC04" w14:textId="77777777" w:rsidR="00BA3435" w:rsidRPr="00716CC2" w:rsidRDefault="00BA3435" w:rsidP="00B257F2">
            <w:pPr>
              <w:pStyle w:val="TableBullet"/>
              <w:rPr>
                <w:szCs w:val="18"/>
              </w:rPr>
            </w:pPr>
            <w:r w:rsidRPr="00716CC2">
              <w:rPr>
                <w:szCs w:val="18"/>
              </w:rPr>
              <w:t>Noted there is often auditor variability</w:t>
            </w:r>
          </w:p>
          <w:p w14:paraId="58CE3DB9" w14:textId="77777777" w:rsidR="00BA3435" w:rsidRPr="00716CC2" w:rsidRDefault="00BA3435" w:rsidP="00B257F2">
            <w:pPr>
              <w:pStyle w:val="TableBullet"/>
              <w:rPr>
                <w:szCs w:val="18"/>
              </w:rPr>
            </w:pPr>
            <w:r w:rsidRPr="00716CC2">
              <w:rPr>
                <w:szCs w:val="18"/>
              </w:rPr>
              <w:t>Q: where would innovative practice sit</w:t>
            </w:r>
          </w:p>
          <w:p w14:paraId="7B22CBDA" w14:textId="77777777" w:rsidR="00BA3435" w:rsidRPr="00716CC2" w:rsidRDefault="00BA3435" w:rsidP="00B257F2">
            <w:pPr>
              <w:pStyle w:val="TableBullet"/>
              <w:rPr>
                <w:szCs w:val="18"/>
              </w:rPr>
            </w:pPr>
            <w:r w:rsidRPr="00716CC2">
              <w:rPr>
                <w:szCs w:val="18"/>
              </w:rPr>
              <w:t>Could merge into service delivery (Part 3)</w:t>
            </w:r>
          </w:p>
        </w:tc>
      </w:tr>
      <w:tr w:rsidR="0036440C" w:rsidRPr="00716CC2" w14:paraId="2691427E" w14:textId="77777777" w:rsidTr="007A7079">
        <w:tc>
          <w:tcPr>
            <w:tcW w:w="14884" w:type="dxa"/>
            <w:gridSpan w:val="15"/>
            <w:shd w:val="clear" w:color="auto" w:fill="auto"/>
          </w:tcPr>
          <w:p w14:paraId="15EC554E" w14:textId="77777777" w:rsidR="0036440C" w:rsidRPr="00716CC2" w:rsidRDefault="0036440C" w:rsidP="00BA3435">
            <w:pPr>
              <w:spacing w:before="40" w:after="40"/>
              <w:rPr>
                <w:b/>
                <w:sz w:val="18"/>
                <w:szCs w:val="18"/>
              </w:rPr>
            </w:pPr>
          </w:p>
        </w:tc>
      </w:tr>
      <w:tr w:rsidR="00BA3435" w:rsidRPr="00716CC2" w14:paraId="6C138DB9" w14:textId="77777777" w:rsidTr="007A7079">
        <w:tc>
          <w:tcPr>
            <w:tcW w:w="14884" w:type="dxa"/>
            <w:gridSpan w:val="15"/>
            <w:shd w:val="clear" w:color="auto" w:fill="F2F2F2" w:themeFill="background1" w:themeFillShade="F2"/>
          </w:tcPr>
          <w:p w14:paraId="2DB0A0BF" w14:textId="77777777" w:rsidR="00BA3435" w:rsidRPr="00716CC2" w:rsidRDefault="00C84EE9" w:rsidP="00BA3435">
            <w:pPr>
              <w:spacing w:before="40" w:after="40"/>
              <w:rPr>
                <w:b/>
                <w:sz w:val="18"/>
                <w:szCs w:val="18"/>
              </w:rPr>
            </w:pPr>
            <w:r w:rsidRPr="00716CC2">
              <w:rPr>
                <w:b/>
                <w:sz w:val="18"/>
                <w:szCs w:val="18"/>
              </w:rPr>
              <w:t xml:space="preserve">Standard 1.1.9: </w:t>
            </w:r>
            <w:r w:rsidRPr="00716CC2">
              <w:rPr>
                <w:sz w:val="18"/>
                <w:szCs w:val="18"/>
              </w:rPr>
              <w:t>Communication (HDS(C)S.2008:1.1.9): Service providers communicate effectively with consumers and provide an environment conducive to effective communication.</w:t>
            </w:r>
          </w:p>
        </w:tc>
      </w:tr>
      <w:tr w:rsidR="00BA3435" w:rsidRPr="00716CC2" w14:paraId="365E2A41" w14:textId="77777777" w:rsidTr="007A7079">
        <w:tc>
          <w:tcPr>
            <w:tcW w:w="2976" w:type="dxa"/>
            <w:gridSpan w:val="3"/>
            <w:shd w:val="clear" w:color="auto" w:fill="FFFFFF" w:themeFill="background1"/>
          </w:tcPr>
          <w:p w14:paraId="4530DB98" w14:textId="77777777" w:rsidR="00BA3435" w:rsidRPr="00716CC2" w:rsidRDefault="00BA3435"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7E652F4E" w14:textId="77777777" w:rsidR="00BA3435" w:rsidRPr="00716CC2" w:rsidRDefault="00BA3435"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0AD4C26B" w14:textId="77777777" w:rsidR="00BA3435" w:rsidRPr="00716CC2" w:rsidRDefault="00BA3435"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1F3338BF" w14:textId="77777777" w:rsidR="00BA3435" w:rsidRPr="00716CC2" w:rsidRDefault="00BA3435"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0B14C1DE" w14:textId="77777777" w:rsidR="00BA3435" w:rsidRPr="00716CC2" w:rsidRDefault="00BA3435" w:rsidP="006D5FE4">
            <w:pPr>
              <w:pStyle w:val="TableText"/>
              <w:spacing w:before="40" w:after="40"/>
              <w:rPr>
                <w:b/>
                <w:szCs w:val="18"/>
                <w:lang w:eastAsia="en-NZ"/>
              </w:rPr>
            </w:pPr>
            <w:r w:rsidRPr="00716CC2">
              <w:rPr>
                <w:b/>
                <w:szCs w:val="18"/>
                <w:lang w:eastAsia="en-NZ"/>
              </w:rPr>
              <w:t>Res Dis (6 Aug)</w:t>
            </w:r>
          </w:p>
        </w:tc>
      </w:tr>
      <w:tr w:rsidR="00C84EE9" w:rsidRPr="00716CC2" w14:paraId="6CF2CA7F" w14:textId="77777777" w:rsidTr="007A7079">
        <w:trPr>
          <w:trHeight w:val="573"/>
        </w:trPr>
        <w:tc>
          <w:tcPr>
            <w:tcW w:w="2976" w:type="dxa"/>
            <w:gridSpan w:val="3"/>
          </w:tcPr>
          <w:p w14:paraId="5587D9D3" w14:textId="77777777" w:rsidR="00C84EE9" w:rsidRPr="00716CC2" w:rsidRDefault="00C84EE9" w:rsidP="00B257F2">
            <w:pPr>
              <w:pStyle w:val="TableBullet"/>
              <w:rPr>
                <w:szCs w:val="18"/>
              </w:rPr>
            </w:pPr>
            <w:r w:rsidRPr="00716CC2">
              <w:rPr>
                <w:szCs w:val="18"/>
              </w:rPr>
              <w:t xml:space="preserve">Discussion around having a dedicated standard vs having communication woven into all standards: it was agreed communication is too </w:t>
            </w:r>
            <w:r w:rsidRPr="00716CC2">
              <w:rPr>
                <w:szCs w:val="18"/>
              </w:rPr>
              <w:lastRenderedPageBreak/>
              <w:t>important to not have a dedicated standard</w:t>
            </w:r>
          </w:p>
          <w:p w14:paraId="57BC682A" w14:textId="77777777" w:rsidR="00C84EE9" w:rsidRPr="00716CC2" w:rsidRDefault="00C84EE9" w:rsidP="00B257F2">
            <w:pPr>
              <w:pStyle w:val="TableBullet"/>
              <w:rPr>
                <w:szCs w:val="18"/>
              </w:rPr>
            </w:pPr>
            <w:r w:rsidRPr="00716CC2">
              <w:rPr>
                <w:szCs w:val="18"/>
              </w:rPr>
              <w:t>Communication continues to be a key issue in respect of complaints</w:t>
            </w:r>
          </w:p>
          <w:p w14:paraId="71F4FE67" w14:textId="77777777" w:rsidR="00C84EE9" w:rsidRPr="00716CC2" w:rsidRDefault="00C84EE9" w:rsidP="00B257F2">
            <w:pPr>
              <w:pStyle w:val="TableBullet"/>
              <w:rPr>
                <w:szCs w:val="18"/>
              </w:rPr>
            </w:pPr>
            <w:r w:rsidRPr="00716CC2">
              <w:rPr>
                <w:szCs w:val="18"/>
              </w:rPr>
              <w:t>Not just about language – it is also the manner of delivery, non-verbal messaging, understanding</w:t>
            </w:r>
          </w:p>
          <w:p w14:paraId="5ED0ABE1" w14:textId="77777777" w:rsidR="00C84EE9" w:rsidRPr="00716CC2" w:rsidRDefault="00C84EE9" w:rsidP="00B257F2">
            <w:pPr>
              <w:pStyle w:val="TableBullet"/>
              <w:rPr>
                <w:szCs w:val="18"/>
              </w:rPr>
            </w:pPr>
            <w:r w:rsidRPr="00716CC2">
              <w:rPr>
                <w:szCs w:val="18"/>
              </w:rPr>
              <w:t>Link to health literacy</w:t>
            </w:r>
          </w:p>
          <w:p w14:paraId="065EB753" w14:textId="77777777" w:rsidR="00C84EE9" w:rsidRPr="00716CC2" w:rsidRDefault="00C84EE9" w:rsidP="00B257F2">
            <w:pPr>
              <w:pStyle w:val="TableBullet"/>
              <w:rPr>
                <w:szCs w:val="18"/>
              </w:rPr>
            </w:pPr>
            <w:r w:rsidRPr="00716CC2">
              <w:rPr>
                <w:szCs w:val="18"/>
              </w:rPr>
              <w:t>Language to give ‘power to the consumer’ – eg. I should expect ….., patient centred models of care need to be paramount, ‘sickness’ has negative connotation, is ‘consumer’ the right term, where does whānau sit</w:t>
            </w:r>
          </w:p>
          <w:p w14:paraId="7AABA3CB" w14:textId="77777777" w:rsidR="00C84EE9" w:rsidRPr="00716CC2" w:rsidRDefault="00C84EE9" w:rsidP="00B257F2">
            <w:pPr>
              <w:pStyle w:val="TableBullet"/>
              <w:rPr>
                <w:szCs w:val="18"/>
              </w:rPr>
            </w:pPr>
            <w:r w:rsidRPr="00716CC2">
              <w:rPr>
                <w:szCs w:val="18"/>
              </w:rPr>
              <w:t>It is not just contained to communication with patients, but crosses into inter-professional communication – eg. Handover, transfer of care</w:t>
            </w:r>
          </w:p>
          <w:p w14:paraId="25B7AF3D" w14:textId="77777777" w:rsidR="00C84EE9" w:rsidRPr="00716CC2" w:rsidRDefault="00C84EE9" w:rsidP="00B257F2">
            <w:pPr>
              <w:pStyle w:val="TableBullet"/>
              <w:rPr>
                <w:szCs w:val="18"/>
              </w:rPr>
            </w:pPr>
            <w:r w:rsidRPr="00716CC2">
              <w:rPr>
                <w:szCs w:val="18"/>
              </w:rPr>
              <w:t>Note comment above re Tangata Whenua: suggest a ‘stand-alone’ standard that includes responsibility in respect of the Treaty of Waitangi, then specific criteria embedded into each standard.</w:t>
            </w:r>
          </w:p>
        </w:tc>
        <w:tc>
          <w:tcPr>
            <w:tcW w:w="2977" w:type="dxa"/>
            <w:gridSpan w:val="3"/>
          </w:tcPr>
          <w:p w14:paraId="12CA80D1" w14:textId="77777777" w:rsidR="00C84EE9" w:rsidRPr="00716CC2" w:rsidRDefault="00C84EE9" w:rsidP="00B257F2">
            <w:pPr>
              <w:pStyle w:val="TableBullet"/>
              <w:rPr>
                <w:szCs w:val="18"/>
              </w:rPr>
            </w:pPr>
            <w:r w:rsidRPr="00716CC2">
              <w:rPr>
                <w:szCs w:val="18"/>
              </w:rPr>
              <w:lastRenderedPageBreak/>
              <w:t>Q: how is it measured</w:t>
            </w:r>
          </w:p>
          <w:p w14:paraId="7DBC9A9A" w14:textId="77777777" w:rsidR="00C84EE9" w:rsidRPr="00716CC2" w:rsidRDefault="00C84EE9" w:rsidP="00B257F2">
            <w:pPr>
              <w:pStyle w:val="TableBullet"/>
              <w:rPr>
                <w:szCs w:val="18"/>
              </w:rPr>
            </w:pPr>
            <w:r w:rsidRPr="00716CC2">
              <w:rPr>
                <w:szCs w:val="18"/>
              </w:rPr>
              <w:t>Common theme in reportable events</w:t>
            </w:r>
          </w:p>
          <w:p w14:paraId="47840D7E" w14:textId="77777777" w:rsidR="00C84EE9" w:rsidRPr="00716CC2" w:rsidRDefault="00C84EE9" w:rsidP="00B257F2">
            <w:pPr>
              <w:pStyle w:val="TableBullet"/>
              <w:rPr>
                <w:szCs w:val="18"/>
              </w:rPr>
            </w:pPr>
            <w:r w:rsidRPr="00716CC2">
              <w:rPr>
                <w:szCs w:val="18"/>
              </w:rPr>
              <w:lastRenderedPageBreak/>
              <w:t>Much broader than verbal communication</w:t>
            </w:r>
          </w:p>
          <w:p w14:paraId="300664E1" w14:textId="77777777" w:rsidR="00C84EE9" w:rsidRPr="00716CC2" w:rsidRDefault="00C84EE9" w:rsidP="00B257F2">
            <w:pPr>
              <w:pStyle w:val="TableBullet"/>
              <w:rPr>
                <w:szCs w:val="18"/>
              </w:rPr>
            </w:pPr>
            <w:r w:rsidRPr="00716CC2">
              <w:rPr>
                <w:szCs w:val="18"/>
              </w:rPr>
              <w:t>Guidance may not be relevant to all service types – eg. Wearing name badge</w:t>
            </w:r>
          </w:p>
          <w:p w14:paraId="0058D7DF" w14:textId="77777777" w:rsidR="00C84EE9" w:rsidRPr="00716CC2" w:rsidRDefault="00C84EE9" w:rsidP="00B257F2">
            <w:pPr>
              <w:pStyle w:val="TableBullet"/>
              <w:rPr>
                <w:szCs w:val="18"/>
              </w:rPr>
            </w:pPr>
            <w:r w:rsidRPr="00716CC2">
              <w:rPr>
                <w:szCs w:val="18"/>
              </w:rPr>
              <w:t>Language of health can be an issue</w:t>
            </w:r>
          </w:p>
          <w:p w14:paraId="6B5E281A" w14:textId="77777777" w:rsidR="00C84EE9" w:rsidRPr="00716CC2" w:rsidRDefault="00C84EE9" w:rsidP="00B257F2">
            <w:pPr>
              <w:pStyle w:val="TableBullet"/>
              <w:rPr>
                <w:szCs w:val="18"/>
              </w:rPr>
            </w:pPr>
            <w:r w:rsidRPr="00716CC2">
              <w:rPr>
                <w:szCs w:val="18"/>
              </w:rPr>
              <w:t>Need clear process so people feel heard and not ‘left in the dark’</w:t>
            </w:r>
          </w:p>
          <w:p w14:paraId="16356017" w14:textId="77777777" w:rsidR="00C84EE9" w:rsidRPr="00716CC2" w:rsidRDefault="00C84EE9" w:rsidP="00B257F2">
            <w:pPr>
              <w:pStyle w:val="TableBullet"/>
              <w:rPr>
                <w:szCs w:val="18"/>
              </w:rPr>
            </w:pPr>
            <w:r w:rsidRPr="00716CC2">
              <w:rPr>
                <w:szCs w:val="18"/>
              </w:rPr>
              <w:t>Expand to include checking understanding</w:t>
            </w:r>
          </w:p>
          <w:p w14:paraId="18B410C6" w14:textId="77777777" w:rsidR="00C84EE9" w:rsidRPr="00716CC2" w:rsidRDefault="00C84EE9" w:rsidP="00B257F2">
            <w:pPr>
              <w:pStyle w:val="TableBullet"/>
              <w:rPr>
                <w:szCs w:val="18"/>
              </w:rPr>
            </w:pPr>
            <w:r w:rsidRPr="00716CC2">
              <w:rPr>
                <w:szCs w:val="18"/>
              </w:rPr>
              <w:t>Need to consider patients being informed.</w:t>
            </w:r>
          </w:p>
        </w:tc>
        <w:tc>
          <w:tcPr>
            <w:tcW w:w="2977" w:type="dxa"/>
            <w:gridSpan w:val="3"/>
          </w:tcPr>
          <w:p w14:paraId="4EF43B2B" w14:textId="77777777" w:rsidR="00C84EE9" w:rsidRPr="00716CC2" w:rsidRDefault="00C84EE9" w:rsidP="00B257F2">
            <w:pPr>
              <w:pStyle w:val="TableBullet"/>
              <w:rPr>
                <w:szCs w:val="18"/>
              </w:rPr>
            </w:pPr>
            <w:r w:rsidRPr="00716CC2">
              <w:rPr>
                <w:szCs w:val="18"/>
              </w:rPr>
              <w:lastRenderedPageBreak/>
              <w:t>Communication could be an overarching principle</w:t>
            </w:r>
          </w:p>
          <w:p w14:paraId="0A8EC627" w14:textId="77777777" w:rsidR="00C84EE9" w:rsidRPr="00716CC2" w:rsidRDefault="00C84EE9" w:rsidP="00B257F2">
            <w:pPr>
              <w:pStyle w:val="TableBullet"/>
              <w:rPr>
                <w:szCs w:val="18"/>
              </w:rPr>
            </w:pPr>
            <w:r w:rsidRPr="00716CC2">
              <w:rPr>
                <w:szCs w:val="18"/>
              </w:rPr>
              <w:lastRenderedPageBreak/>
              <w:t>? does this standard need to be stand alone, or could be criteria across all standards</w:t>
            </w:r>
          </w:p>
          <w:p w14:paraId="22547E5E" w14:textId="77777777" w:rsidR="00C84EE9" w:rsidRPr="00716CC2" w:rsidRDefault="00C84EE9" w:rsidP="00B257F2">
            <w:pPr>
              <w:pStyle w:val="TableBullet"/>
              <w:rPr>
                <w:szCs w:val="18"/>
              </w:rPr>
            </w:pPr>
            <w:r w:rsidRPr="00716CC2">
              <w:rPr>
                <w:szCs w:val="18"/>
              </w:rPr>
              <w:t>Communication issue across a number of standards – eg. Link to 1.2.4 (Adverse Events)</w:t>
            </w:r>
          </w:p>
          <w:p w14:paraId="1E809878" w14:textId="77777777" w:rsidR="00C84EE9" w:rsidRPr="00716CC2" w:rsidRDefault="00C84EE9" w:rsidP="00B257F2">
            <w:pPr>
              <w:pStyle w:val="TableBullet"/>
              <w:rPr>
                <w:szCs w:val="18"/>
              </w:rPr>
            </w:pPr>
            <w:r w:rsidRPr="00716CC2">
              <w:rPr>
                <w:szCs w:val="18"/>
              </w:rPr>
              <w:t>Communication appears in complaints</w:t>
            </w:r>
          </w:p>
          <w:p w14:paraId="4665EF89" w14:textId="77777777" w:rsidR="00C84EE9" w:rsidRPr="00716CC2" w:rsidRDefault="00C84EE9" w:rsidP="00B257F2">
            <w:pPr>
              <w:pStyle w:val="TableBullet"/>
              <w:rPr>
                <w:szCs w:val="18"/>
              </w:rPr>
            </w:pPr>
            <w:r w:rsidRPr="00716CC2">
              <w:rPr>
                <w:szCs w:val="18"/>
              </w:rPr>
              <w:t>Be mindful of resident capacity in respect of understanding and communicating to – Q: can the standard be called ‘understanding’</w:t>
            </w:r>
          </w:p>
          <w:p w14:paraId="4FA34099" w14:textId="77777777" w:rsidR="00C84EE9" w:rsidRPr="00716CC2" w:rsidRDefault="00C84EE9" w:rsidP="00B257F2">
            <w:pPr>
              <w:pStyle w:val="TableBullet"/>
              <w:rPr>
                <w:szCs w:val="18"/>
              </w:rPr>
            </w:pPr>
            <w:r w:rsidRPr="00716CC2">
              <w:rPr>
                <w:szCs w:val="18"/>
              </w:rPr>
              <w:t>Language is important in terms of perception and understanding</w:t>
            </w:r>
          </w:p>
          <w:p w14:paraId="44F201A7" w14:textId="77777777" w:rsidR="00C84EE9" w:rsidRPr="00716CC2" w:rsidRDefault="00C84EE9" w:rsidP="00B257F2">
            <w:pPr>
              <w:pStyle w:val="TableBullet"/>
              <w:rPr>
                <w:szCs w:val="18"/>
              </w:rPr>
            </w:pPr>
            <w:r w:rsidRPr="00716CC2">
              <w:rPr>
                <w:szCs w:val="18"/>
              </w:rPr>
              <w:t>Needs to include communication with whānau (in broadest sense)</w:t>
            </w:r>
          </w:p>
          <w:p w14:paraId="133635DE" w14:textId="77777777" w:rsidR="00C84EE9" w:rsidRPr="00716CC2" w:rsidRDefault="00C84EE9" w:rsidP="00B257F2">
            <w:pPr>
              <w:pStyle w:val="TableBullet"/>
              <w:rPr>
                <w:szCs w:val="18"/>
              </w:rPr>
            </w:pPr>
            <w:r w:rsidRPr="00716CC2">
              <w:rPr>
                <w:szCs w:val="18"/>
              </w:rPr>
              <w:t xml:space="preserve">Interface with EPOA </w:t>
            </w:r>
          </w:p>
          <w:p w14:paraId="21BD4318" w14:textId="77777777" w:rsidR="00C84EE9" w:rsidRPr="00716CC2" w:rsidRDefault="00C84EE9" w:rsidP="00B257F2">
            <w:pPr>
              <w:pStyle w:val="TableBullet"/>
              <w:rPr>
                <w:szCs w:val="18"/>
              </w:rPr>
            </w:pPr>
            <w:r w:rsidRPr="00716CC2">
              <w:rPr>
                <w:szCs w:val="18"/>
              </w:rPr>
              <w:t>Noted: residents are relieved by honest and transparent communication</w:t>
            </w:r>
          </w:p>
          <w:p w14:paraId="74C3A118" w14:textId="77777777" w:rsidR="00C84EE9" w:rsidRPr="00716CC2" w:rsidRDefault="00C84EE9" w:rsidP="00B257F2">
            <w:pPr>
              <w:pStyle w:val="TableBullet"/>
              <w:rPr>
                <w:szCs w:val="18"/>
              </w:rPr>
            </w:pPr>
            <w:r w:rsidRPr="00716CC2">
              <w:rPr>
                <w:szCs w:val="18"/>
              </w:rPr>
              <w:t xml:space="preserve">Interdisciplinary communication to be considered in respect of for example referral to ARC (etc) </w:t>
            </w:r>
          </w:p>
          <w:p w14:paraId="10080A76" w14:textId="77777777" w:rsidR="00C84EE9" w:rsidRPr="00716CC2" w:rsidRDefault="00C84EE9" w:rsidP="00B257F2">
            <w:pPr>
              <w:pStyle w:val="TableBullet"/>
              <w:rPr>
                <w:szCs w:val="18"/>
              </w:rPr>
            </w:pPr>
            <w:r w:rsidRPr="00716CC2">
              <w:rPr>
                <w:szCs w:val="18"/>
              </w:rPr>
              <w:t xml:space="preserve">In terms of communication consider: language, timeliness, expectation: professional vs resident. </w:t>
            </w:r>
          </w:p>
          <w:p w14:paraId="1F860458" w14:textId="77777777" w:rsidR="00C84EE9" w:rsidRPr="00716CC2" w:rsidRDefault="00C84EE9" w:rsidP="00B257F2">
            <w:pPr>
              <w:pStyle w:val="TableBullet"/>
              <w:rPr>
                <w:szCs w:val="18"/>
              </w:rPr>
            </w:pPr>
            <w:r w:rsidRPr="00716CC2">
              <w:rPr>
                <w:szCs w:val="18"/>
              </w:rPr>
              <w:t>Resident – consider wants/needs, clear information, can be time intensive</w:t>
            </w:r>
          </w:p>
          <w:p w14:paraId="736175A3" w14:textId="77777777" w:rsidR="00C84EE9" w:rsidRPr="00716CC2" w:rsidRDefault="00C84EE9" w:rsidP="00B257F2">
            <w:pPr>
              <w:pStyle w:val="TableBullet"/>
              <w:rPr>
                <w:szCs w:val="18"/>
              </w:rPr>
            </w:pPr>
            <w:r w:rsidRPr="00716CC2">
              <w:rPr>
                <w:szCs w:val="18"/>
              </w:rPr>
              <w:t>Or: communication and understanding (EB, Eldernet)</w:t>
            </w:r>
          </w:p>
        </w:tc>
        <w:tc>
          <w:tcPr>
            <w:tcW w:w="2977" w:type="dxa"/>
            <w:gridSpan w:val="3"/>
          </w:tcPr>
          <w:p w14:paraId="7CEAEDF7" w14:textId="77777777" w:rsidR="00C84EE9" w:rsidRPr="00716CC2" w:rsidRDefault="00C84EE9" w:rsidP="00B257F2">
            <w:pPr>
              <w:pStyle w:val="TableBullet"/>
              <w:rPr>
                <w:szCs w:val="18"/>
              </w:rPr>
            </w:pPr>
            <w:r w:rsidRPr="00716CC2">
              <w:rPr>
                <w:szCs w:val="18"/>
              </w:rPr>
              <w:lastRenderedPageBreak/>
              <w:t>Agree the standard is relevant</w:t>
            </w:r>
          </w:p>
          <w:p w14:paraId="5BB81164" w14:textId="77777777" w:rsidR="00C84EE9" w:rsidRPr="00716CC2" w:rsidRDefault="00C84EE9" w:rsidP="00B257F2">
            <w:pPr>
              <w:pStyle w:val="TableBullet"/>
              <w:rPr>
                <w:szCs w:val="18"/>
              </w:rPr>
            </w:pPr>
            <w:r w:rsidRPr="00716CC2">
              <w:rPr>
                <w:szCs w:val="18"/>
              </w:rPr>
              <w:t>Noting communication is often part of complaints</w:t>
            </w:r>
          </w:p>
          <w:p w14:paraId="3F80227D" w14:textId="77777777" w:rsidR="00C84EE9" w:rsidRPr="00716CC2" w:rsidRDefault="00C84EE9" w:rsidP="00B257F2">
            <w:pPr>
              <w:pStyle w:val="TableBullet"/>
              <w:rPr>
                <w:szCs w:val="18"/>
              </w:rPr>
            </w:pPr>
            <w:r w:rsidRPr="00716CC2">
              <w:rPr>
                <w:szCs w:val="18"/>
              </w:rPr>
              <w:lastRenderedPageBreak/>
              <w:t>Good communication often de-escalates situations</w:t>
            </w:r>
          </w:p>
          <w:p w14:paraId="31B7E43C" w14:textId="77777777" w:rsidR="00C84EE9" w:rsidRPr="00716CC2" w:rsidRDefault="00C84EE9" w:rsidP="00B257F2">
            <w:pPr>
              <w:pStyle w:val="TableBullet"/>
              <w:rPr>
                <w:szCs w:val="18"/>
              </w:rPr>
            </w:pPr>
            <w:r w:rsidRPr="00716CC2">
              <w:rPr>
                <w:szCs w:val="18"/>
              </w:rPr>
              <w:t>Need to ‘flesh out’ meaning/ interpretation and what is measured at time of audit</w:t>
            </w:r>
          </w:p>
          <w:p w14:paraId="76BBAEEE" w14:textId="77777777" w:rsidR="00C84EE9" w:rsidRPr="00716CC2" w:rsidRDefault="00C84EE9" w:rsidP="00B257F2">
            <w:pPr>
              <w:pStyle w:val="TableBullet"/>
              <w:rPr>
                <w:szCs w:val="18"/>
              </w:rPr>
            </w:pPr>
            <w:r w:rsidRPr="00716CC2">
              <w:rPr>
                <w:szCs w:val="18"/>
              </w:rPr>
              <w:t>Health is a changing environment and level of communication needs to change to meet same</w:t>
            </w:r>
          </w:p>
          <w:p w14:paraId="1932D833" w14:textId="77777777" w:rsidR="00C84EE9" w:rsidRPr="00716CC2" w:rsidRDefault="00C84EE9" w:rsidP="00B257F2">
            <w:pPr>
              <w:pStyle w:val="TableBullet"/>
              <w:rPr>
                <w:szCs w:val="18"/>
              </w:rPr>
            </w:pPr>
            <w:r w:rsidRPr="00716CC2">
              <w:rPr>
                <w:szCs w:val="18"/>
              </w:rPr>
              <w:t>Need to ensure the mode of communication meets the understanding of the individual</w:t>
            </w:r>
          </w:p>
          <w:p w14:paraId="4E9CDA31" w14:textId="77777777" w:rsidR="00C84EE9" w:rsidRPr="00716CC2" w:rsidRDefault="00C84EE9" w:rsidP="00B257F2">
            <w:pPr>
              <w:pStyle w:val="TableBullet"/>
              <w:rPr>
                <w:szCs w:val="18"/>
              </w:rPr>
            </w:pPr>
            <w:r w:rsidRPr="00716CC2">
              <w:rPr>
                <w:szCs w:val="18"/>
              </w:rPr>
              <w:t>What is the interface with family, whānau and EPOA</w:t>
            </w:r>
          </w:p>
          <w:p w14:paraId="726B7672" w14:textId="77777777" w:rsidR="00C84EE9" w:rsidRPr="00716CC2" w:rsidRDefault="00C84EE9" w:rsidP="00B257F2">
            <w:pPr>
              <w:pStyle w:val="TableBullet"/>
              <w:rPr>
                <w:szCs w:val="18"/>
              </w:rPr>
            </w:pPr>
            <w:r w:rsidRPr="00716CC2">
              <w:rPr>
                <w:szCs w:val="18"/>
              </w:rPr>
              <w:t xml:space="preserve">As methods of communication change our ability to respond in various ways becomes important </w:t>
            </w:r>
          </w:p>
          <w:p w14:paraId="1FABDBCB" w14:textId="77777777" w:rsidR="00C84EE9" w:rsidRPr="00716CC2" w:rsidRDefault="00C84EE9" w:rsidP="00B257F2">
            <w:pPr>
              <w:pStyle w:val="TableBullet"/>
              <w:rPr>
                <w:szCs w:val="18"/>
              </w:rPr>
            </w:pPr>
            <w:r w:rsidRPr="00716CC2">
              <w:rPr>
                <w:szCs w:val="18"/>
              </w:rPr>
              <w:t>There is a staff interface with this standard</w:t>
            </w:r>
          </w:p>
          <w:p w14:paraId="1F1BAF46" w14:textId="77777777" w:rsidR="00C84EE9" w:rsidRPr="00716CC2" w:rsidRDefault="00C84EE9" w:rsidP="00B257F2">
            <w:pPr>
              <w:pStyle w:val="TableBullet"/>
              <w:rPr>
                <w:szCs w:val="18"/>
              </w:rPr>
            </w:pPr>
            <w:r w:rsidRPr="00716CC2">
              <w:rPr>
                <w:szCs w:val="18"/>
              </w:rPr>
              <w:t>Noted: communication is often linked to good relationships</w:t>
            </w:r>
          </w:p>
          <w:p w14:paraId="041FD093" w14:textId="77777777" w:rsidR="00C84EE9" w:rsidRPr="00716CC2" w:rsidRDefault="00C84EE9" w:rsidP="00B257F2">
            <w:pPr>
              <w:pStyle w:val="TableBullet"/>
              <w:rPr>
                <w:szCs w:val="18"/>
              </w:rPr>
            </w:pPr>
            <w:r w:rsidRPr="00716CC2">
              <w:rPr>
                <w:szCs w:val="18"/>
              </w:rPr>
              <w:t>Support notion of ‘resident’ centric language as may ‘flip’ the power base</w:t>
            </w:r>
          </w:p>
        </w:tc>
        <w:tc>
          <w:tcPr>
            <w:tcW w:w="2977" w:type="dxa"/>
            <w:gridSpan w:val="3"/>
          </w:tcPr>
          <w:p w14:paraId="53913719" w14:textId="77777777" w:rsidR="00C84EE9" w:rsidRPr="00716CC2" w:rsidRDefault="00C84EE9" w:rsidP="00B257F2">
            <w:pPr>
              <w:pStyle w:val="TableBullet"/>
              <w:rPr>
                <w:szCs w:val="18"/>
              </w:rPr>
            </w:pPr>
            <w:r w:rsidRPr="00716CC2">
              <w:rPr>
                <w:szCs w:val="18"/>
              </w:rPr>
              <w:lastRenderedPageBreak/>
              <w:t>Language to be considered</w:t>
            </w:r>
          </w:p>
          <w:p w14:paraId="04FB8D8E" w14:textId="77777777" w:rsidR="00C84EE9" w:rsidRPr="00716CC2" w:rsidRDefault="00C84EE9" w:rsidP="00B257F2">
            <w:pPr>
              <w:pStyle w:val="TableBullet"/>
              <w:rPr>
                <w:szCs w:val="18"/>
              </w:rPr>
            </w:pPr>
            <w:r w:rsidRPr="00716CC2">
              <w:rPr>
                <w:szCs w:val="18"/>
              </w:rPr>
              <w:t>‘Communicating effectively with consumers’ – change to: and with each other</w:t>
            </w:r>
          </w:p>
          <w:p w14:paraId="41724166" w14:textId="77777777" w:rsidR="00C84EE9" w:rsidRPr="00716CC2" w:rsidRDefault="00C84EE9" w:rsidP="00B257F2">
            <w:pPr>
              <w:pStyle w:val="TableBullet"/>
              <w:rPr>
                <w:szCs w:val="18"/>
              </w:rPr>
            </w:pPr>
            <w:r w:rsidRPr="00716CC2">
              <w:rPr>
                <w:szCs w:val="18"/>
              </w:rPr>
              <w:lastRenderedPageBreak/>
              <w:t>Effective communication has been silent on the impact of cognition</w:t>
            </w:r>
          </w:p>
          <w:p w14:paraId="5743C477" w14:textId="77777777" w:rsidR="00C84EE9" w:rsidRPr="00716CC2" w:rsidRDefault="00C84EE9" w:rsidP="00B257F2">
            <w:pPr>
              <w:pStyle w:val="TableBullet"/>
              <w:rPr>
                <w:szCs w:val="18"/>
              </w:rPr>
            </w:pPr>
            <w:r w:rsidRPr="00716CC2">
              <w:rPr>
                <w:szCs w:val="18"/>
              </w:rPr>
              <w:t>Standard need to include alternatives such as easy read, sign. Be mindful the people receiving service do not pay for such assistance</w:t>
            </w:r>
          </w:p>
          <w:p w14:paraId="5DD4DDF9" w14:textId="77777777" w:rsidR="00C84EE9" w:rsidRPr="00716CC2" w:rsidRDefault="00C84EE9" w:rsidP="00B257F2">
            <w:pPr>
              <w:pStyle w:val="TableBullet"/>
              <w:rPr>
                <w:szCs w:val="18"/>
              </w:rPr>
            </w:pPr>
            <w:r w:rsidRPr="00716CC2">
              <w:rPr>
                <w:szCs w:val="18"/>
              </w:rPr>
              <w:t>This could be perceived as the provider is then responsible for the cost of all alternative communication (A.Lucas, Ryder Cheshire Foundation)</w:t>
            </w:r>
          </w:p>
          <w:p w14:paraId="4A548401" w14:textId="77777777" w:rsidR="00C84EE9" w:rsidRPr="00716CC2" w:rsidRDefault="00C84EE9" w:rsidP="00B257F2">
            <w:pPr>
              <w:pStyle w:val="TableBullet"/>
              <w:rPr>
                <w:szCs w:val="18"/>
              </w:rPr>
            </w:pPr>
            <w:r w:rsidRPr="00716CC2">
              <w:rPr>
                <w:szCs w:val="18"/>
              </w:rPr>
              <w:t>Different styles of communication – eg. Speaking vs hearing, and listening vs understanding, there is an interest in being explicit around assistive technology</w:t>
            </w:r>
          </w:p>
          <w:p w14:paraId="2758FF72" w14:textId="77777777" w:rsidR="00C84EE9" w:rsidRPr="00716CC2" w:rsidRDefault="00C84EE9" w:rsidP="00B257F2">
            <w:pPr>
              <w:pStyle w:val="TableBullet"/>
              <w:rPr>
                <w:szCs w:val="18"/>
              </w:rPr>
            </w:pPr>
            <w:r w:rsidRPr="00716CC2">
              <w:rPr>
                <w:szCs w:val="18"/>
              </w:rPr>
              <w:t>The language of different cultures to be considered</w:t>
            </w:r>
          </w:p>
          <w:p w14:paraId="1C4C6D2B" w14:textId="77777777" w:rsidR="00C84EE9" w:rsidRPr="00716CC2" w:rsidRDefault="00C84EE9" w:rsidP="00B257F2">
            <w:pPr>
              <w:pStyle w:val="TableBullet"/>
              <w:rPr>
                <w:szCs w:val="18"/>
              </w:rPr>
            </w:pPr>
            <w:r w:rsidRPr="00716CC2">
              <w:rPr>
                <w:szCs w:val="18"/>
              </w:rPr>
              <w:t>Include wider whānau</w:t>
            </w:r>
          </w:p>
          <w:p w14:paraId="3B04B94D" w14:textId="77777777" w:rsidR="00C84EE9" w:rsidRPr="00716CC2" w:rsidRDefault="00C84EE9" w:rsidP="00B257F2">
            <w:pPr>
              <w:pStyle w:val="TableBullet"/>
              <w:rPr>
                <w:szCs w:val="18"/>
              </w:rPr>
            </w:pPr>
            <w:r w:rsidRPr="00716CC2">
              <w:rPr>
                <w:szCs w:val="18"/>
              </w:rPr>
              <w:t>Keep outcome focused with guidance having a disability focus</w:t>
            </w:r>
          </w:p>
          <w:p w14:paraId="3F459F08" w14:textId="77777777" w:rsidR="00C84EE9" w:rsidRPr="00716CC2" w:rsidRDefault="00C84EE9" w:rsidP="00B257F2">
            <w:pPr>
              <w:pStyle w:val="TableBullet"/>
              <w:rPr>
                <w:szCs w:val="18"/>
              </w:rPr>
            </w:pPr>
            <w:r w:rsidRPr="00716CC2">
              <w:rPr>
                <w:szCs w:val="18"/>
              </w:rPr>
              <w:t>Suggest the outcome needs to be rewritten to ensure this standard is interpreted appropriately (N.Berry, NZCare Group)</w:t>
            </w:r>
          </w:p>
        </w:tc>
      </w:tr>
      <w:tr w:rsidR="00C84EE9" w:rsidRPr="00716CC2" w14:paraId="3719B87E" w14:textId="77777777" w:rsidTr="007A7079">
        <w:tc>
          <w:tcPr>
            <w:tcW w:w="14884" w:type="dxa"/>
            <w:gridSpan w:val="15"/>
          </w:tcPr>
          <w:p w14:paraId="394F6D1D" w14:textId="77777777" w:rsidR="00C84EE9" w:rsidRPr="00716CC2" w:rsidRDefault="00C84EE9" w:rsidP="00C84EE9">
            <w:pPr>
              <w:pStyle w:val="TableText"/>
              <w:spacing w:before="40" w:after="40"/>
              <w:rPr>
                <w:b/>
                <w:szCs w:val="18"/>
              </w:rPr>
            </w:pPr>
          </w:p>
        </w:tc>
      </w:tr>
      <w:tr w:rsidR="00C84EE9" w:rsidRPr="00716CC2" w14:paraId="338ADECE" w14:textId="77777777" w:rsidTr="007A7079">
        <w:tc>
          <w:tcPr>
            <w:tcW w:w="14884" w:type="dxa"/>
            <w:gridSpan w:val="15"/>
            <w:shd w:val="clear" w:color="auto" w:fill="F2F2F2" w:themeFill="background1" w:themeFillShade="F2"/>
          </w:tcPr>
          <w:p w14:paraId="70C79422" w14:textId="77777777" w:rsidR="00C84EE9" w:rsidRPr="00716CC2" w:rsidRDefault="008E7324" w:rsidP="00192421">
            <w:pPr>
              <w:spacing w:before="40" w:after="40"/>
              <w:rPr>
                <w:b/>
                <w:sz w:val="18"/>
                <w:szCs w:val="18"/>
              </w:rPr>
            </w:pPr>
            <w:r w:rsidRPr="00716CC2">
              <w:rPr>
                <w:b/>
                <w:sz w:val="18"/>
                <w:szCs w:val="18"/>
              </w:rPr>
              <w:t>Standard 1.1.10:</w:t>
            </w:r>
            <w:r w:rsidRPr="00716CC2">
              <w:rPr>
                <w:sz w:val="18"/>
                <w:szCs w:val="18"/>
              </w:rPr>
              <w:t xml:space="preserve"> Informed Consent (HDS(C)S.2008:1.1.10): Consumers and where appropriate their family/whānau of choice are provided with the information they need to make informed choices and give informed consent.</w:t>
            </w:r>
          </w:p>
        </w:tc>
      </w:tr>
      <w:tr w:rsidR="00C84EE9" w:rsidRPr="00716CC2" w14:paraId="7A30B9A6" w14:textId="77777777" w:rsidTr="007A7079">
        <w:tc>
          <w:tcPr>
            <w:tcW w:w="2976" w:type="dxa"/>
            <w:gridSpan w:val="3"/>
            <w:shd w:val="clear" w:color="auto" w:fill="FFFFFF" w:themeFill="background1"/>
          </w:tcPr>
          <w:p w14:paraId="71924173" w14:textId="77777777" w:rsidR="00C84EE9" w:rsidRPr="00716CC2" w:rsidRDefault="00C84EE9"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12E5D6F6" w14:textId="77777777" w:rsidR="00C84EE9" w:rsidRPr="00716CC2" w:rsidRDefault="00C84EE9"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16744A5A" w14:textId="77777777" w:rsidR="00C84EE9" w:rsidRPr="00716CC2" w:rsidRDefault="00C84EE9"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06550DE7" w14:textId="77777777" w:rsidR="00C84EE9" w:rsidRPr="00716CC2" w:rsidRDefault="00C84EE9"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08031B08" w14:textId="77777777" w:rsidR="00C84EE9" w:rsidRPr="00716CC2" w:rsidRDefault="00C84EE9" w:rsidP="006D5FE4">
            <w:pPr>
              <w:pStyle w:val="TableText"/>
              <w:spacing w:before="40" w:after="40"/>
              <w:rPr>
                <w:b/>
                <w:szCs w:val="18"/>
                <w:lang w:eastAsia="en-NZ"/>
              </w:rPr>
            </w:pPr>
            <w:r w:rsidRPr="00716CC2">
              <w:rPr>
                <w:b/>
                <w:szCs w:val="18"/>
                <w:lang w:eastAsia="en-NZ"/>
              </w:rPr>
              <w:t>Res Dis (6 Aug)</w:t>
            </w:r>
          </w:p>
        </w:tc>
      </w:tr>
      <w:tr w:rsidR="008E7324" w:rsidRPr="00716CC2" w14:paraId="7526351B" w14:textId="77777777" w:rsidTr="007A7079">
        <w:tc>
          <w:tcPr>
            <w:tcW w:w="2976" w:type="dxa"/>
            <w:gridSpan w:val="3"/>
            <w:shd w:val="clear" w:color="auto" w:fill="FFFFFF" w:themeFill="background1"/>
          </w:tcPr>
          <w:p w14:paraId="3A4F1AE7" w14:textId="77777777" w:rsidR="008E7324" w:rsidRPr="00716CC2" w:rsidRDefault="008E7324" w:rsidP="00B257F2">
            <w:pPr>
              <w:pStyle w:val="TableBullet"/>
              <w:rPr>
                <w:szCs w:val="18"/>
              </w:rPr>
            </w:pPr>
            <w:r w:rsidRPr="00716CC2">
              <w:rPr>
                <w:szCs w:val="18"/>
              </w:rPr>
              <w:t>Consider two standards: Informed Choice, Informed Consent</w:t>
            </w:r>
          </w:p>
          <w:p w14:paraId="07C7E4AA" w14:textId="77777777" w:rsidR="008E7324" w:rsidRPr="00716CC2" w:rsidRDefault="008E7324" w:rsidP="00B257F2">
            <w:pPr>
              <w:pStyle w:val="TableBullet"/>
              <w:rPr>
                <w:szCs w:val="18"/>
              </w:rPr>
            </w:pPr>
            <w:r w:rsidRPr="00716CC2">
              <w:rPr>
                <w:szCs w:val="18"/>
              </w:rPr>
              <w:t>Noted: a national policy in respect of informed consent is preferred</w:t>
            </w:r>
          </w:p>
          <w:p w14:paraId="1A9C11F2" w14:textId="77777777" w:rsidR="008E7324" w:rsidRPr="00716CC2" w:rsidRDefault="008E7324" w:rsidP="00B257F2">
            <w:pPr>
              <w:pStyle w:val="TableBullet"/>
              <w:rPr>
                <w:szCs w:val="18"/>
              </w:rPr>
            </w:pPr>
            <w:r w:rsidRPr="00716CC2">
              <w:rPr>
                <w:szCs w:val="18"/>
              </w:rPr>
              <w:t>Link to advanced care planning</w:t>
            </w:r>
          </w:p>
          <w:p w14:paraId="70692FA0" w14:textId="77777777" w:rsidR="008E7324" w:rsidRPr="00716CC2" w:rsidRDefault="008E7324" w:rsidP="00B257F2">
            <w:pPr>
              <w:pStyle w:val="TableBullet"/>
              <w:rPr>
                <w:szCs w:val="18"/>
              </w:rPr>
            </w:pPr>
            <w:r w:rsidRPr="00716CC2">
              <w:rPr>
                <w:szCs w:val="18"/>
              </w:rPr>
              <w:t>The concept of ‘done too vs done with’ was explored, a relationship approach is required</w:t>
            </w:r>
          </w:p>
          <w:p w14:paraId="0E550E9B" w14:textId="77777777" w:rsidR="008E7324" w:rsidRPr="00716CC2" w:rsidRDefault="008E7324" w:rsidP="00B257F2">
            <w:pPr>
              <w:pStyle w:val="TableBullet"/>
              <w:rPr>
                <w:szCs w:val="18"/>
              </w:rPr>
            </w:pPr>
            <w:r w:rsidRPr="00716CC2">
              <w:rPr>
                <w:szCs w:val="18"/>
              </w:rPr>
              <w:t>Be cognisant of health literacy</w:t>
            </w:r>
          </w:p>
          <w:p w14:paraId="701DFEFC" w14:textId="77777777" w:rsidR="008E7324" w:rsidRPr="00716CC2" w:rsidRDefault="008E7324" w:rsidP="00B257F2">
            <w:pPr>
              <w:pStyle w:val="TableBullet"/>
              <w:rPr>
                <w:szCs w:val="18"/>
              </w:rPr>
            </w:pPr>
            <w:r w:rsidRPr="00716CC2">
              <w:rPr>
                <w:szCs w:val="18"/>
              </w:rPr>
              <w:t>Staff understand ‘how to’, but patient needs to understand (link to communication)</w:t>
            </w:r>
          </w:p>
          <w:p w14:paraId="49CC0FF8" w14:textId="77777777" w:rsidR="008E7324" w:rsidRPr="00716CC2" w:rsidRDefault="008E7324" w:rsidP="00B257F2">
            <w:pPr>
              <w:pStyle w:val="TableBullet"/>
              <w:rPr>
                <w:szCs w:val="18"/>
              </w:rPr>
            </w:pPr>
            <w:r w:rsidRPr="00716CC2">
              <w:rPr>
                <w:szCs w:val="18"/>
              </w:rPr>
              <w:t>Adopt a strength based approach</w:t>
            </w:r>
          </w:p>
          <w:p w14:paraId="348D71D7" w14:textId="77777777" w:rsidR="008E7324" w:rsidRPr="00716CC2" w:rsidRDefault="008E7324" w:rsidP="00B257F2">
            <w:pPr>
              <w:pStyle w:val="TableBullet"/>
              <w:rPr>
                <w:szCs w:val="18"/>
              </w:rPr>
            </w:pPr>
            <w:r w:rsidRPr="00716CC2">
              <w:rPr>
                <w:szCs w:val="18"/>
              </w:rPr>
              <w:t>Note comment above re Tangata Whenua: suggest a ‘stand-alone’ standard that includes responsibility in respect of the Treaty of Waitangi, then specific criteria embedded into each standard.</w:t>
            </w:r>
          </w:p>
        </w:tc>
        <w:tc>
          <w:tcPr>
            <w:tcW w:w="2977" w:type="dxa"/>
            <w:gridSpan w:val="3"/>
            <w:shd w:val="clear" w:color="auto" w:fill="FFFFFF" w:themeFill="background1"/>
          </w:tcPr>
          <w:p w14:paraId="3155094B" w14:textId="77777777" w:rsidR="008E7324" w:rsidRPr="00716CC2" w:rsidRDefault="008E7324" w:rsidP="00B257F2">
            <w:pPr>
              <w:pStyle w:val="TableBullet"/>
              <w:rPr>
                <w:szCs w:val="18"/>
              </w:rPr>
            </w:pPr>
            <w:r w:rsidRPr="00716CC2">
              <w:rPr>
                <w:szCs w:val="18"/>
              </w:rPr>
              <w:t>Need to involve family (and opposite is true)</w:t>
            </w:r>
          </w:p>
          <w:p w14:paraId="265240F7" w14:textId="77777777" w:rsidR="008E7324" w:rsidRPr="00716CC2" w:rsidRDefault="008E7324" w:rsidP="00B257F2">
            <w:pPr>
              <w:pStyle w:val="TableBullet"/>
              <w:rPr>
                <w:szCs w:val="18"/>
              </w:rPr>
            </w:pPr>
            <w:r w:rsidRPr="00716CC2">
              <w:rPr>
                <w:szCs w:val="18"/>
              </w:rPr>
              <w:t>What does the person want</w:t>
            </w:r>
          </w:p>
          <w:p w14:paraId="3C92F87B" w14:textId="77777777" w:rsidR="008E7324" w:rsidRPr="00716CC2" w:rsidRDefault="008E7324" w:rsidP="00B257F2">
            <w:pPr>
              <w:pStyle w:val="TableBullet"/>
              <w:rPr>
                <w:szCs w:val="18"/>
              </w:rPr>
            </w:pPr>
            <w:r w:rsidRPr="00716CC2">
              <w:rPr>
                <w:szCs w:val="18"/>
              </w:rPr>
              <w:t>Language – ‘I’ decide</w:t>
            </w:r>
          </w:p>
          <w:p w14:paraId="6D535BBA" w14:textId="77777777" w:rsidR="008E7324" w:rsidRPr="00716CC2" w:rsidRDefault="008E7324" w:rsidP="00B257F2">
            <w:pPr>
              <w:pStyle w:val="TableBullet"/>
              <w:rPr>
                <w:szCs w:val="18"/>
              </w:rPr>
            </w:pPr>
            <w:r w:rsidRPr="00716CC2">
              <w:rPr>
                <w:szCs w:val="18"/>
              </w:rPr>
              <w:t>Q: is written consent the norm for industry, should it be time framed – eg. 3/12</w:t>
            </w:r>
          </w:p>
          <w:p w14:paraId="31F2CEA1" w14:textId="77777777" w:rsidR="008E7324" w:rsidRPr="00716CC2" w:rsidRDefault="008E7324" w:rsidP="00B257F2">
            <w:pPr>
              <w:pStyle w:val="TableBullet"/>
              <w:rPr>
                <w:szCs w:val="18"/>
              </w:rPr>
            </w:pPr>
            <w:r w:rsidRPr="00716CC2">
              <w:rPr>
                <w:szCs w:val="18"/>
              </w:rPr>
              <w:t>Where appropriate allow ‘opting out’</w:t>
            </w:r>
          </w:p>
          <w:p w14:paraId="4AEDCB3B" w14:textId="77777777" w:rsidR="008E7324" w:rsidRPr="00716CC2" w:rsidRDefault="008E7324" w:rsidP="00B257F2">
            <w:pPr>
              <w:pStyle w:val="TableBullet"/>
              <w:rPr>
                <w:szCs w:val="18"/>
              </w:rPr>
            </w:pPr>
            <w:r w:rsidRPr="00716CC2">
              <w:rPr>
                <w:szCs w:val="18"/>
              </w:rPr>
              <w:t>1.1.10.8 and 1.1.10.9 – service specific (management of body parts).</w:t>
            </w:r>
          </w:p>
        </w:tc>
        <w:tc>
          <w:tcPr>
            <w:tcW w:w="2977" w:type="dxa"/>
            <w:gridSpan w:val="3"/>
            <w:shd w:val="clear" w:color="auto" w:fill="FFFFFF" w:themeFill="background1"/>
          </w:tcPr>
          <w:p w14:paraId="1F9A80FC" w14:textId="77777777" w:rsidR="008E7324" w:rsidRPr="00716CC2" w:rsidRDefault="008E7324" w:rsidP="00B257F2">
            <w:pPr>
              <w:pStyle w:val="TableBullet"/>
              <w:rPr>
                <w:szCs w:val="18"/>
              </w:rPr>
            </w:pPr>
            <w:r w:rsidRPr="00716CC2">
              <w:rPr>
                <w:szCs w:val="18"/>
              </w:rPr>
              <w:t>Service type specific criteria – could be applicable to ARC: consider opt in/ opt out, ie. Criterion related to keeping of body parts (noting the is often managed by funeral director services)</w:t>
            </w:r>
          </w:p>
          <w:p w14:paraId="05530244" w14:textId="77777777" w:rsidR="008E7324" w:rsidRPr="00716CC2" w:rsidRDefault="008E7324" w:rsidP="00B257F2">
            <w:pPr>
              <w:pStyle w:val="TableBullet"/>
              <w:rPr>
                <w:szCs w:val="18"/>
              </w:rPr>
            </w:pPr>
            <w:r w:rsidRPr="00716CC2">
              <w:rPr>
                <w:szCs w:val="18"/>
              </w:rPr>
              <w:t>Could include consideration of organ donation</w:t>
            </w:r>
          </w:p>
          <w:p w14:paraId="5C8A9F74" w14:textId="77777777" w:rsidR="008E7324" w:rsidRPr="00716CC2" w:rsidRDefault="008E7324" w:rsidP="00B257F2">
            <w:pPr>
              <w:pStyle w:val="TableBullet"/>
              <w:rPr>
                <w:szCs w:val="18"/>
              </w:rPr>
            </w:pPr>
            <w:r w:rsidRPr="00716CC2">
              <w:rPr>
                <w:szCs w:val="18"/>
              </w:rPr>
              <w:t>Consent specific to issues and resident ability:</w:t>
            </w:r>
          </w:p>
          <w:p w14:paraId="4D13FA2F" w14:textId="77777777" w:rsidR="008E7324" w:rsidRPr="00716CC2" w:rsidRDefault="008E7324" w:rsidP="00B257F2">
            <w:pPr>
              <w:pStyle w:val="TableBullet"/>
              <w:rPr>
                <w:szCs w:val="18"/>
              </w:rPr>
            </w:pPr>
            <w:r w:rsidRPr="00716CC2">
              <w:rPr>
                <w:szCs w:val="18"/>
              </w:rPr>
              <w:t>Outings – resident may be able to consent</w:t>
            </w:r>
          </w:p>
          <w:p w14:paraId="1271BD23" w14:textId="77777777" w:rsidR="008E7324" w:rsidRPr="00716CC2" w:rsidRDefault="008E7324" w:rsidP="00B257F2">
            <w:pPr>
              <w:pStyle w:val="TableBullet"/>
              <w:rPr>
                <w:szCs w:val="18"/>
              </w:rPr>
            </w:pPr>
            <w:r w:rsidRPr="00716CC2">
              <w:rPr>
                <w:szCs w:val="18"/>
              </w:rPr>
              <w:t>Other (eg. Health matters) that resident may not have competence to determine</w:t>
            </w:r>
          </w:p>
          <w:p w14:paraId="307195F2" w14:textId="77777777" w:rsidR="008E7324" w:rsidRPr="00716CC2" w:rsidRDefault="008E7324" w:rsidP="00B257F2">
            <w:pPr>
              <w:pStyle w:val="TableBullet"/>
              <w:rPr>
                <w:szCs w:val="18"/>
              </w:rPr>
            </w:pPr>
            <w:r w:rsidRPr="00716CC2">
              <w:rPr>
                <w:szCs w:val="18"/>
              </w:rPr>
              <w:t>Q: when is consent (and particularly written consent) required: eg. Catheter change: I would certainly say yes, this is invasive. But the question is wider and reflects the complexity around consent. i.e. does everything require consent and if so how is that recorded?, or if not then how do we determine what does/doesn’t require consent (LR. Alzheimer’s NZ</w:t>
            </w:r>
          </w:p>
        </w:tc>
        <w:tc>
          <w:tcPr>
            <w:tcW w:w="2977" w:type="dxa"/>
            <w:gridSpan w:val="3"/>
            <w:shd w:val="clear" w:color="auto" w:fill="FFFFFF" w:themeFill="background1"/>
          </w:tcPr>
          <w:p w14:paraId="10924187" w14:textId="77777777" w:rsidR="008E7324" w:rsidRPr="00716CC2" w:rsidRDefault="008E7324" w:rsidP="00B257F2">
            <w:pPr>
              <w:pStyle w:val="TableBullet"/>
              <w:rPr>
                <w:szCs w:val="18"/>
              </w:rPr>
            </w:pPr>
            <w:r w:rsidRPr="00716CC2">
              <w:rPr>
                <w:szCs w:val="18"/>
              </w:rPr>
              <w:t>When is consent required (and for what)</w:t>
            </w:r>
          </w:p>
          <w:p w14:paraId="55E89F00" w14:textId="77777777" w:rsidR="008E7324" w:rsidRPr="00716CC2" w:rsidRDefault="008E7324" w:rsidP="00B257F2">
            <w:pPr>
              <w:pStyle w:val="TableBullet"/>
              <w:rPr>
                <w:szCs w:val="18"/>
              </w:rPr>
            </w:pPr>
            <w:r w:rsidRPr="00716CC2">
              <w:rPr>
                <w:szCs w:val="18"/>
              </w:rPr>
              <w:t>Potentially two levels of consent – activity based vs health treatments/ procedures. Could be argued this can be viewed as a continuum</w:t>
            </w:r>
          </w:p>
          <w:p w14:paraId="58289D5D" w14:textId="77777777" w:rsidR="008E7324" w:rsidRPr="00716CC2" w:rsidRDefault="008E7324" w:rsidP="00B257F2">
            <w:pPr>
              <w:pStyle w:val="TableBullet"/>
              <w:rPr>
                <w:szCs w:val="18"/>
              </w:rPr>
            </w:pPr>
            <w:r w:rsidRPr="00716CC2">
              <w:rPr>
                <w:szCs w:val="18"/>
              </w:rPr>
              <w:t>Seeking clarification on areas currently perceived to be ‘grey’</w:t>
            </w:r>
          </w:p>
          <w:p w14:paraId="2929D4E0" w14:textId="77777777" w:rsidR="008E7324" w:rsidRPr="00716CC2" w:rsidRDefault="008E7324" w:rsidP="00B257F2">
            <w:pPr>
              <w:pStyle w:val="TableBullet"/>
              <w:rPr>
                <w:szCs w:val="18"/>
              </w:rPr>
            </w:pPr>
            <w:r w:rsidRPr="00716CC2">
              <w:rPr>
                <w:szCs w:val="18"/>
              </w:rPr>
              <w:t>Capacity should be woven into standard</w:t>
            </w:r>
          </w:p>
          <w:p w14:paraId="44D851EB" w14:textId="77777777" w:rsidR="008E7324" w:rsidRPr="00716CC2" w:rsidRDefault="008E7324" w:rsidP="00B257F2">
            <w:pPr>
              <w:pStyle w:val="TableBullet"/>
              <w:rPr>
                <w:szCs w:val="18"/>
              </w:rPr>
            </w:pPr>
            <w:r w:rsidRPr="00716CC2">
              <w:rPr>
                <w:szCs w:val="18"/>
              </w:rPr>
              <w:t>Re implementation: when is consent required to be reviewed (frequency)</w:t>
            </w:r>
          </w:p>
          <w:p w14:paraId="39CB7538" w14:textId="77777777" w:rsidR="008E7324" w:rsidRPr="00716CC2" w:rsidRDefault="008E7324" w:rsidP="00B257F2">
            <w:pPr>
              <w:pStyle w:val="TableBullet"/>
              <w:rPr>
                <w:szCs w:val="18"/>
              </w:rPr>
            </w:pPr>
            <w:r w:rsidRPr="00716CC2">
              <w:rPr>
                <w:szCs w:val="18"/>
              </w:rPr>
              <w:t>Noted: UK standards cover dementia well</w:t>
            </w:r>
          </w:p>
          <w:p w14:paraId="4D5CBECF" w14:textId="77777777" w:rsidR="008E7324" w:rsidRPr="00716CC2" w:rsidRDefault="008E7324" w:rsidP="00B257F2">
            <w:pPr>
              <w:pStyle w:val="TableBullet"/>
              <w:rPr>
                <w:szCs w:val="18"/>
              </w:rPr>
            </w:pPr>
            <w:r w:rsidRPr="00716CC2">
              <w:rPr>
                <w:szCs w:val="18"/>
              </w:rPr>
              <w:t>Resuscitation status: currently updated every year, considered to be poorly understood, clarify who can make the decision, potentially link to advanced care planning (Q: should this be a standard)</w:t>
            </w:r>
          </w:p>
          <w:p w14:paraId="7A10E064" w14:textId="77777777" w:rsidR="008E7324" w:rsidRPr="00716CC2" w:rsidRDefault="008E7324" w:rsidP="00B257F2">
            <w:pPr>
              <w:pStyle w:val="TableBullet"/>
              <w:rPr>
                <w:szCs w:val="18"/>
              </w:rPr>
            </w:pPr>
            <w:r w:rsidRPr="00716CC2">
              <w:rPr>
                <w:szCs w:val="18"/>
              </w:rPr>
              <w:t>It was agreed this is an important standard and time should be taken to further unpick the nuances allowing guidance to be clearer</w:t>
            </w:r>
          </w:p>
        </w:tc>
        <w:tc>
          <w:tcPr>
            <w:tcW w:w="2977" w:type="dxa"/>
            <w:gridSpan w:val="3"/>
            <w:shd w:val="clear" w:color="auto" w:fill="FFFFFF" w:themeFill="background1"/>
          </w:tcPr>
          <w:p w14:paraId="747D4A52" w14:textId="77777777" w:rsidR="008E7324" w:rsidRPr="00716CC2" w:rsidRDefault="008E7324" w:rsidP="00B257F2">
            <w:pPr>
              <w:pStyle w:val="TableBullet"/>
              <w:rPr>
                <w:szCs w:val="18"/>
              </w:rPr>
            </w:pPr>
            <w:r w:rsidRPr="00716CC2">
              <w:rPr>
                <w:szCs w:val="18"/>
              </w:rPr>
              <w:t>Currently not strong enough for disability</w:t>
            </w:r>
          </w:p>
          <w:p w14:paraId="05991E82" w14:textId="77777777" w:rsidR="008E7324" w:rsidRPr="00716CC2" w:rsidRDefault="008E7324" w:rsidP="00B257F2">
            <w:pPr>
              <w:pStyle w:val="TableBullet"/>
              <w:rPr>
                <w:szCs w:val="18"/>
              </w:rPr>
            </w:pPr>
            <w:r w:rsidRPr="00716CC2">
              <w:rPr>
                <w:szCs w:val="18"/>
              </w:rPr>
              <w:t>Language – agreement to participate, supported decision making (etc)</w:t>
            </w:r>
          </w:p>
          <w:p w14:paraId="5E34184C" w14:textId="77777777" w:rsidR="008E7324" w:rsidRPr="00716CC2" w:rsidRDefault="008E7324" w:rsidP="00B257F2">
            <w:pPr>
              <w:pStyle w:val="TableBullet"/>
              <w:rPr>
                <w:szCs w:val="18"/>
              </w:rPr>
            </w:pPr>
            <w:r w:rsidRPr="00716CC2">
              <w:rPr>
                <w:szCs w:val="18"/>
              </w:rPr>
              <w:t>Complex consenting for those that can’t – need to unpack current standard with guidance being particular to service type</w:t>
            </w:r>
          </w:p>
          <w:p w14:paraId="0F9508DC" w14:textId="77777777" w:rsidR="008E7324" w:rsidRPr="00716CC2" w:rsidRDefault="008E7324" w:rsidP="00B257F2">
            <w:pPr>
              <w:pStyle w:val="TableBullet"/>
              <w:rPr>
                <w:szCs w:val="18"/>
              </w:rPr>
            </w:pPr>
            <w:r w:rsidRPr="00716CC2">
              <w:rPr>
                <w:szCs w:val="18"/>
              </w:rPr>
              <w:t>Legal implications: ie. Who gets to decide in terms of consent, for example end of life decisions</w:t>
            </w:r>
          </w:p>
          <w:p w14:paraId="63818CF4" w14:textId="77777777" w:rsidR="008E7324" w:rsidRPr="00716CC2" w:rsidRDefault="008E7324" w:rsidP="00B257F2">
            <w:pPr>
              <w:pStyle w:val="TableBullet"/>
              <w:rPr>
                <w:szCs w:val="18"/>
              </w:rPr>
            </w:pPr>
            <w:r w:rsidRPr="00716CC2">
              <w:rPr>
                <w:szCs w:val="18"/>
              </w:rPr>
              <w:t>Q: what are we working with people to consent to</w:t>
            </w:r>
          </w:p>
          <w:p w14:paraId="7C094CD8" w14:textId="77777777" w:rsidR="008E7324" w:rsidRPr="00716CC2" w:rsidRDefault="008E7324" w:rsidP="00B257F2">
            <w:pPr>
              <w:pStyle w:val="TableBullet"/>
              <w:rPr>
                <w:szCs w:val="18"/>
              </w:rPr>
            </w:pPr>
            <w:r w:rsidRPr="00716CC2">
              <w:rPr>
                <w:szCs w:val="18"/>
              </w:rPr>
              <w:t>Link to ‘safeguarding’ (refer notes against 1.1.7)</w:t>
            </w:r>
          </w:p>
          <w:p w14:paraId="0BD6035E" w14:textId="77777777" w:rsidR="008E7324" w:rsidRPr="00716CC2" w:rsidRDefault="008E7324" w:rsidP="00B257F2">
            <w:pPr>
              <w:pStyle w:val="TableBullet"/>
              <w:rPr>
                <w:szCs w:val="18"/>
              </w:rPr>
            </w:pPr>
            <w:r w:rsidRPr="00716CC2">
              <w:rPr>
                <w:szCs w:val="18"/>
              </w:rPr>
              <w:t>People are living own life (what do I consent for in my own life) – choice, control, flexibility are particular considerations for disability</w:t>
            </w:r>
          </w:p>
          <w:p w14:paraId="2C4BDB3B" w14:textId="77777777" w:rsidR="008E7324" w:rsidRPr="00716CC2" w:rsidRDefault="008E7324" w:rsidP="00B257F2">
            <w:pPr>
              <w:pStyle w:val="TableBullet"/>
              <w:rPr>
                <w:szCs w:val="18"/>
              </w:rPr>
            </w:pPr>
            <w:r w:rsidRPr="00716CC2">
              <w:rPr>
                <w:szCs w:val="18"/>
              </w:rPr>
              <w:t>Agreed that this standard needs extensive legal review as per the comments recorded (N.Berry, NZCare Group)</w:t>
            </w:r>
          </w:p>
        </w:tc>
      </w:tr>
      <w:tr w:rsidR="00C84EE9" w:rsidRPr="00716CC2" w14:paraId="318F1034" w14:textId="77777777" w:rsidTr="007A7079">
        <w:tc>
          <w:tcPr>
            <w:tcW w:w="14884" w:type="dxa"/>
            <w:gridSpan w:val="15"/>
          </w:tcPr>
          <w:p w14:paraId="55D0425F" w14:textId="77777777" w:rsidR="00C84EE9" w:rsidRPr="00716CC2" w:rsidRDefault="00C84EE9" w:rsidP="00192421">
            <w:pPr>
              <w:pStyle w:val="TableText"/>
              <w:spacing w:before="40" w:after="40"/>
              <w:rPr>
                <w:b/>
                <w:szCs w:val="18"/>
              </w:rPr>
            </w:pPr>
          </w:p>
        </w:tc>
      </w:tr>
      <w:tr w:rsidR="0079616F" w:rsidRPr="00716CC2" w14:paraId="76D401C1" w14:textId="77777777" w:rsidTr="007A7079">
        <w:tc>
          <w:tcPr>
            <w:tcW w:w="14884" w:type="dxa"/>
            <w:gridSpan w:val="15"/>
            <w:shd w:val="clear" w:color="auto" w:fill="F2F2F2" w:themeFill="background1" w:themeFillShade="F2"/>
          </w:tcPr>
          <w:p w14:paraId="586D5EA0" w14:textId="77777777" w:rsidR="0079616F" w:rsidRPr="00716CC2" w:rsidRDefault="0079616F" w:rsidP="00192421">
            <w:pPr>
              <w:spacing w:before="40" w:after="40"/>
              <w:rPr>
                <w:b/>
                <w:sz w:val="18"/>
                <w:szCs w:val="18"/>
              </w:rPr>
            </w:pPr>
            <w:r w:rsidRPr="00716CC2">
              <w:rPr>
                <w:b/>
                <w:sz w:val="18"/>
                <w:szCs w:val="18"/>
              </w:rPr>
              <w:lastRenderedPageBreak/>
              <w:t>Standard 1.1.10:</w:t>
            </w:r>
            <w:r w:rsidRPr="00716CC2">
              <w:rPr>
                <w:sz w:val="18"/>
                <w:szCs w:val="18"/>
              </w:rPr>
              <w:t xml:space="preserve"> Informed Consent (HDS(C)S.2008:1.1.10): Consumers and where appropriate their family/whānau of choice are provided with the information they need to make informed choices and give informed consent.</w:t>
            </w:r>
          </w:p>
        </w:tc>
      </w:tr>
      <w:tr w:rsidR="0079616F" w:rsidRPr="00716CC2" w14:paraId="40A1E02B" w14:textId="77777777" w:rsidTr="007A7079">
        <w:tc>
          <w:tcPr>
            <w:tcW w:w="2976" w:type="dxa"/>
            <w:gridSpan w:val="3"/>
            <w:shd w:val="clear" w:color="auto" w:fill="FFFFFF" w:themeFill="background1"/>
          </w:tcPr>
          <w:p w14:paraId="3E543CF4"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40B32F96"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35356A41"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5D3A1481"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1831915A"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9616F" w:rsidRPr="00716CC2" w14:paraId="29893676" w14:textId="77777777" w:rsidTr="007A7079">
        <w:tc>
          <w:tcPr>
            <w:tcW w:w="2976" w:type="dxa"/>
            <w:gridSpan w:val="3"/>
            <w:shd w:val="clear" w:color="auto" w:fill="FFFFFF" w:themeFill="background1"/>
          </w:tcPr>
          <w:p w14:paraId="1D21AD7C" w14:textId="77777777" w:rsidR="0079616F" w:rsidRPr="00716CC2" w:rsidRDefault="0079616F" w:rsidP="00B257F2">
            <w:pPr>
              <w:pStyle w:val="TableBullet"/>
              <w:rPr>
                <w:szCs w:val="18"/>
              </w:rPr>
            </w:pPr>
            <w:r w:rsidRPr="00716CC2">
              <w:rPr>
                <w:szCs w:val="18"/>
              </w:rPr>
              <w:t>Consider two standards: Informed Choice, Informed Consent</w:t>
            </w:r>
          </w:p>
          <w:p w14:paraId="30093C0C" w14:textId="77777777" w:rsidR="0079616F" w:rsidRPr="00716CC2" w:rsidRDefault="0079616F" w:rsidP="00B257F2">
            <w:pPr>
              <w:pStyle w:val="TableBullet"/>
              <w:rPr>
                <w:szCs w:val="18"/>
              </w:rPr>
            </w:pPr>
            <w:r w:rsidRPr="00716CC2">
              <w:rPr>
                <w:szCs w:val="18"/>
              </w:rPr>
              <w:t>Noted: a national policy in respect of informed consent is preferred</w:t>
            </w:r>
          </w:p>
          <w:p w14:paraId="6D517591" w14:textId="77777777" w:rsidR="0079616F" w:rsidRPr="00716CC2" w:rsidRDefault="0079616F" w:rsidP="00B257F2">
            <w:pPr>
              <w:pStyle w:val="TableBullet"/>
              <w:rPr>
                <w:szCs w:val="18"/>
              </w:rPr>
            </w:pPr>
            <w:r w:rsidRPr="00716CC2">
              <w:rPr>
                <w:szCs w:val="18"/>
              </w:rPr>
              <w:t>Link to advanced care planning</w:t>
            </w:r>
          </w:p>
          <w:p w14:paraId="69183A61" w14:textId="77777777" w:rsidR="0079616F" w:rsidRPr="00716CC2" w:rsidRDefault="0079616F" w:rsidP="00B257F2">
            <w:pPr>
              <w:pStyle w:val="TableBullet"/>
              <w:rPr>
                <w:szCs w:val="18"/>
              </w:rPr>
            </w:pPr>
            <w:r w:rsidRPr="00716CC2">
              <w:rPr>
                <w:szCs w:val="18"/>
              </w:rPr>
              <w:t>The concept of ‘done too vs done with’ was explored, a relationship approach is required</w:t>
            </w:r>
          </w:p>
          <w:p w14:paraId="61847B12" w14:textId="77777777" w:rsidR="0079616F" w:rsidRPr="00716CC2" w:rsidRDefault="0079616F" w:rsidP="00B257F2">
            <w:pPr>
              <w:pStyle w:val="TableBullet"/>
              <w:rPr>
                <w:szCs w:val="18"/>
              </w:rPr>
            </w:pPr>
            <w:r w:rsidRPr="00716CC2">
              <w:rPr>
                <w:szCs w:val="18"/>
              </w:rPr>
              <w:t>Be cognisant of health literacy</w:t>
            </w:r>
          </w:p>
          <w:p w14:paraId="32724798" w14:textId="77777777" w:rsidR="0079616F" w:rsidRPr="00716CC2" w:rsidRDefault="0079616F" w:rsidP="00B257F2">
            <w:pPr>
              <w:pStyle w:val="TableBullet"/>
              <w:rPr>
                <w:szCs w:val="18"/>
              </w:rPr>
            </w:pPr>
            <w:r w:rsidRPr="00716CC2">
              <w:rPr>
                <w:szCs w:val="18"/>
              </w:rPr>
              <w:t>Staff understand ‘how to’, but patient needs to understand (link to communication)</w:t>
            </w:r>
          </w:p>
          <w:p w14:paraId="653154D4" w14:textId="77777777" w:rsidR="0079616F" w:rsidRPr="00716CC2" w:rsidRDefault="0079616F" w:rsidP="00B257F2">
            <w:pPr>
              <w:pStyle w:val="TableBullet"/>
              <w:rPr>
                <w:szCs w:val="18"/>
              </w:rPr>
            </w:pPr>
            <w:r w:rsidRPr="00716CC2">
              <w:rPr>
                <w:szCs w:val="18"/>
              </w:rPr>
              <w:t>Adopt a strength based approach</w:t>
            </w:r>
          </w:p>
          <w:p w14:paraId="30903537" w14:textId="77777777" w:rsidR="0079616F" w:rsidRPr="00716CC2" w:rsidRDefault="0079616F" w:rsidP="00B257F2">
            <w:pPr>
              <w:pStyle w:val="TableBullet"/>
              <w:rPr>
                <w:szCs w:val="18"/>
              </w:rPr>
            </w:pPr>
            <w:r w:rsidRPr="00716CC2">
              <w:rPr>
                <w:szCs w:val="18"/>
              </w:rPr>
              <w:t>Note comment above re Tangata Whenua: suggest a ‘stand-alone’ standard that includes responsibility in respect of the Treaty of Waitangi, then specific criteria embedded into each standard.</w:t>
            </w:r>
          </w:p>
        </w:tc>
        <w:tc>
          <w:tcPr>
            <w:tcW w:w="2977" w:type="dxa"/>
            <w:gridSpan w:val="3"/>
            <w:shd w:val="clear" w:color="auto" w:fill="FFFFFF" w:themeFill="background1"/>
          </w:tcPr>
          <w:p w14:paraId="27563D8C" w14:textId="77777777" w:rsidR="0079616F" w:rsidRPr="00716CC2" w:rsidRDefault="0079616F" w:rsidP="00B257F2">
            <w:pPr>
              <w:pStyle w:val="TableBullet"/>
              <w:rPr>
                <w:szCs w:val="18"/>
              </w:rPr>
            </w:pPr>
            <w:r w:rsidRPr="00716CC2">
              <w:rPr>
                <w:szCs w:val="18"/>
              </w:rPr>
              <w:t>Need to involve family (and opposite is true)</w:t>
            </w:r>
          </w:p>
          <w:p w14:paraId="3283F109" w14:textId="77777777" w:rsidR="0079616F" w:rsidRPr="00716CC2" w:rsidRDefault="0079616F" w:rsidP="00B257F2">
            <w:pPr>
              <w:pStyle w:val="TableBullet"/>
              <w:rPr>
                <w:szCs w:val="18"/>
              </w:rPr>
            </w:pPr>
            <w:r w:rsidRPr="00716CC2">
              <w:rPr>
                <w:szCs w:val="18"/>
              </w:rPr>
              <w:t>What does the person want</w:t>
            </w:r>
          </w:p>
          <w:p w14:paraId="0AC2C38F" w14:textId="77777777" w:rsidR="0079616F" w:rsidRPr="00716CC2" w:rsidRDefault="0079616F" w:rsidP="00B257F2">
            <w:pPr>
              <w:pStyle w:val="TableBullet"/>
              <w:rPr>
                <w:szCs w:val="18"/>
              </w:rPr>
            </w:pPr>
            <w:r w:rsidRPr="00716CC2">
              <w:rPr>
                <w:szCs w:val="18"/>
              </w:rPr>
              <w:t>Language – ‘I’ decide</w:t>
            </w:r>
          </w:p>
          <w:p w14:paraId="6CD4FDE4" w14:textId="77777777" w:rsidR="0079616F" w:rsidRPr="00716CC2" w:rsidRDefault="0079616F" w:rsidP="00B257F2">
            <w:pPr>
              <w:pStyle w:val="TableBullet"/>
              <w:rPr>
                <w:szCs w:val="18"/>
              </w:rPr>
            </w:pPr>
            <w:r w:rsidRPr="00716CC2">
              <w:rPr>
                <w:szCs w:val="18"/>
              </w:rPr>
              <w:t>Q: is written consent the norm for industry, should it be time framed – eg. 3/12</w:t>
            </w:r>
          </w:p>
          <w:p w14:paraId="421D15D4" w14:textId="77777777" w:rsidR="0079616F" w:rsidRPr="00716CC2" w:rsidRDefault="0079616F" w:rsidP="00B257F2">
            <w:pPr>
              <w:pStyle w:val="TableBullet"/>
              <w:rPr>
                <w:szCs w:val="18"/>
              </w:rPr>
            </w:pPr>
            <w:r w:rsidRPr="00716CC2">
              <w:rPr>
                <w:szCs w:val="18"/>
              </w:rPr>
              <w:t>Where appropriate allow ‘opting out’</w:t>
            </w:r>
          </w:p>
          <w:p w14:paraId="70DB458C" w14:textId="77777777" w:rsidR="0079616F" w:rsidRPr="00716CC2" w:rsidRDefault="0079616F" w:rsidP="00B257F2">
            <w:pPr>
              <w:pStyle w:val="TableBullet"/>
              <w:rPr>
                <w:szCs w:val="18"/>
              </w:rPr>
            </w:pPr>
            <w:r w:rsidRPr="00716CC2">
              <w:rPr>
                <w:szCs w:val="18"/>
              </w:rPr>
              <w:t>1.1.10.8 and 1.1.10.9 – service specific (management of body parts).</w:t>
            </w:r>
          </w:p>
        </w:tc>
        <w:tc>
          <w:tcPr>
            <w:tcW w:w="2977" w:type="dxa"/>
            <w:gridSpan w:val="3"/>
            <w:shd w:val="clear" w:color="auto" w:fill="FFFFFF" w:themeFill="background1"/>
          </w:tcPr>
          <w:p w14:paraId="2707FC67" w14:textId="77777777" w:rsidR="0079616F" w:rsidRPr="00716CC2" w:rsidRDefault="0079616F" w:rsidP="00B257F2">
            <w:pPr>
              <w:pStyle w:val="TableBullet"/>
              <w:rPr>
                <w:szCs w:val="18"/>
              </w:rPr>
            </w:pPr>
            <w:r w:rsidRPr="00716CC2">
              <w:rPr>
                <w:szCs w:val="18"/>
              </w:rPr>
              <w:t>Service type specific criteria – could be applicable to ARC: consider opt in/ opt out, ie. Criterion related to keeping of body parts (noting the is often managed by funeral director services)</w:t>
            </w:r>
          </w:p>
          <w:p w14:paraId="786ACEA9" w14:textId="77777777" w:rsidR="0079616F" w:rsidRPr="00716CC2" w:rsidRDefault="0079616F" w:rsidP="00B257F2">
            <w:pPr>
              <w:pStyle w:val="TableBullet"/>
              <w:rPr>
                <w:szCs w:val="18"/>
              </w:rPr>
            </w:pPr>
            <w:r w:rsidRPr="00716CC2">
              <w:rPr>
                <w:szCs w:val="18"/>
              </w:rPr>
              <w:t>Could include consideration of organ donation</w:t>
            </w:r>
          </w:p>
          <w:p w14:paraId="34872208" w14:textId="77777777" w:rsidR="0079616F" w:rsidRPr="00716CC2" w:rsidRDefault="0079616F" w:rsidP="00B257F2">
            <w:pPr>
              <w:pStyle w:val="TableBullet"/>
              <w:rPr>
                <w:szCs w:val="18"/>
              </w:rPr>
            </w:pPr>
            <w:r w:rsidRPr="00716CC2">
              <w:rPr>
                <w:szCs w:val="18"/>
              </w:rPr>
              <w:t>Consent specific to issues and resident ability:</w:t>
            </w:r>
          </w:p>
          <w:p w14:paraId="3F315177" w14:textId="77777777" w:rsidR="0079616F" w:rsidRPr="00716CC2" w:rsidRDefault="0079616F" w:rsidP="00B257F2">
            <w:pPr>
              <w:pStyle w:val="TableBullet"/>
              <w:rPr>
                <w:szCs w:val="18"/>
              </w:rPr>
            </w:pPr>
            <w:r w:rsidRPr="00716CC2">
              <w:rPr>
                <w:szCs w:val="18"/>
              </w:rPr>
              <w:t>Outings – resident may be able to consent</w:t>
            </w:r>
          </w:p>
          <w:p w14:paraId="620F23C9" w14:textId="77777777" w:rsidR="0079616F" w:rsidRPr="00716CC2" w:rsidRDefault="0079616F" w:rsidP="00B257F2">
            <w:pPr>
              <w:pStyle w:val="TableBullet"/>
              <w:rPr>
                <w:szCs w:val="18"/>
              </w:rPr>
            </w:pPr>
            <w:r w:rsidRPr="00716CC2">
              <w:rPr>
                <w:szCs w:val="18"/>
              </w:rPr>
              <w:t>Other (eg. Health matters) that resident may not have competence to determine</w:t>
            </w:r>
          </w:p>
          <w:p w14:paraId="79DCC2E3" w14:textId="77777777" w:rsidR="0079616F" w:rsidRPr="00716CC2" w:rsidRDefault="0079616F" w:rsidP="00B257F2">
            <w:pPr>
              <w:pStyle w:val="TableBullet"/>
              <w:rPr>
                <w:szCs w:val="18"/>
              </w:rPr>
            </w:pPr>
            <w:r w:rsidRPr="00716CC2">
              <w:rPr>
                <w:szCs w:val="18"/>
              </w:rPr>
              <w:t>Q: when is consent (and particularly written consent) required: eg. Catheter change: I would certainly say yes, this is invasive. But the question is wider and reflects the complexity around consent. i.e. does everything require consent and if so how is that recorded?, or if not then how do we determine what does/doesn’t require consent (LR. Alzheimer’s NZ</w:t>
            </w:r>
          </w:p>
        </w:tc>
        <w:tc>
          <w:tcPr>
            <w:tcW w:w="2977" w:type="dxa"/>
            <w:gridSpan w:val="3"/>
            <w:shd w:val="clear" w:color="auto" w:fill="FFFFFF" w:themeFill="background1"/>
          </w:tcPr>
          <w:p w14:paraId="252D7BBF" w14:textId="77777777" w:rsidR="0079616F" w:rsidRPr="00716CC2" w:rsidRDefault="0079616F" w:rsidP="00B257F2">
            <w:pPr>
              <w:pStyle w:val="TableBullet"/>
              <w:rPr>
                <w:szCs w:val="18"/>
              </w:rPr>
            </w:pPr>
            <w:r w:rsidRPr="00716CC2">
              <w:rPr>
                <w:szCs w:val="18"/>
              </w:rPr>
              <w:t>When is consent required (and for what)</w:t>
            </w:r>
          </w:p>
          <w:p w14:paraId="5CF11CD6" w14:textId="77777777" w:rsidR="0079616F" w:rsidRPr="00716CC2" w:rsidRDefault="0079616F" w:rsidP="00B257F2">
            <w:pPr>
              <w:pStyle w:val="TableBullet"/>
              <w:rPr>
                <w:szCs w:val="18"/>
              </w:rPr>
            </w:pPr>
            <w:r w:rsidRPr="00716CC2">
              <w:rPr>
                <w:szCs w:val="18"/>
              </w:rPr>
              <w:t>Potentially two levels of consent – activity based vs health treatments/ procedures. Could be argued this can be viewed as a continuum</w:t>
            </w:r>
          </w:p>
          <w:p w14:paraId="28EC1E67" w14:textId="77777777" w:rsidR="0079616F" w:rsidRPr="00716CC2" w:rsidRDefault="0079616F" w:rsidP="00B257F2">
            <w:pPr>
              <w:pStyle w:val="TableBullet"/>
              <w:rPr>
                <w:szCs w:val="18"/>
              </w:rPr>
            </w:pPr>
            <w:r w:rsidRPr="00716CC2">
              <w:rPr>
                <w:szCs w:val="18"/>
              </w:rPr>
              <w:t>Seeking clarification on areas currently perceived to be ‘grey’</w:t>
            </w:r>
          </w:p>
          <w:p w14:paraId="05571509" w14:textId="77777777" w:rsidR="0079616F" w:rsidRPr="00716CC2" w:rsidRDefault="0079616F" w:rsidP="00B257F2">
            <w:pPr>
              <w:pStyle w:val="TableBullet"/>
              <w:rPr>
                <w:szCs w:val="18"/>
              </w:rPr>
            </w:pPr>
            <w:r w:rsidRPr="00716CC2">
              <w:rPr>
                <w:szCs w:val="18"/>
              </w:rPr>
              <w:t>Capacity should be woven into standard</w:t>
            </w:r>
          </w:p>
          <w:p w14:paraId="78CEB5E9" w14:textId="77777777" w:rsidR="0079616F" w:rsidRPr="00716CC2" w:rsidRDefault="0079616F" w:rsidP="00B257F2">
            <w:pPr>
              <w:pStyle w:val="TableBullet"/>
              <w:rPr>
                <w:szCs w:val="18"/>
              </w:rPr>
            </w:pPr>
            <w:r w:rsidRPr="00716CC2">
              <w:rPr>
                <w:szCs w:val="18"/>
              </w:rPr>
              <w:t>Re implementation: when is consent required to be reviewed (frequency)</w:t>
            </w:r>
          </w:p>
          <w:p w14:paraId="2D259BF7" w14:textId="77777777" w:rsidR="0079616F" w:rsidRPr="00716CC2" w:rsidRDefault="0079616F" w:rsidP="00B257F2">
            <w:pPr>
              <w:pStyle w:val="TableBullet"/>
              <w:rPr>
                <w:szCs w:val="18"/>
              </w:rPr>
            </w:pPr>
            <w:r w:rsidRPr="00716CC2">
              <w:rPr>
                <w:szCs w:val="18"/>
              </w:rPr>
              <w:t>Noted: UK standards cover dementia well</w:t>
            </w:r>
          </w:p>
          <w:p w14:paraId="16DD1100" w14:textId="77777777" w:rsidR="0079616F" w:rsidRPr="00716CC2" w:rsidRDefault="0079616F" w:rsidP="00B257F2">
            <w:pPr>
              <w:pStyle w:val="TableBullet"/>
              <w:rPr>
                <w:szCs w:val="18"/>
              </w:rPr>
            </w:pPr>
            <w:r w:rsidRPr="00716CC2">
              <w:rPr>
                <w:szCs w:val="18"/>
              </w:rPr>
              <w:t>Resuscitation status: currently updated every year, considered to be poorly understood, clarify who can make the decision, potentially link to advanced care planning (Q: should this be a standard)</w:t>
            </w:r>
          </w:p>
          <w:p w14:paraId="39E1DE4E" w14:textId="77777777" w:rsidR="0079616F" w:rsidRPr="00716CC2" w:rsidRDefault="0079616F" w:rsidP="00B257F2">
            <w:pPr>
              <w:pStyle w:val="TableBullet"/>
              <w:rPr>
                <w:szCs w:val="18"/>
              </w:rPr>
            </w:pPr>
            <w:r w:rsidRPr="00716CC2">
              <w:rPr>
                <w:szCs w:val="18"/>
              </w:rPr>
              <w:t>It was agreed this is an important standard and time should be taken to further unpick the nuances allowing guidance to be clearer</w:t>
            </w:r>
          </w:p>
        </w:tc>
        <w:tc>
          <w:tcPr>
            <w:tcW w:w="2977" w:type="dxa"/>
            <w:gridSpan w:val="3"/>
            <w:shd w:val="clear" w:color="auto" w:fill="FFFFFF" w:themeFill="background1"/>
          </w:tcPr>
          <w:p w14:paraId="291A1DBF" w14:textId="77777777" w:rsidR="0079616F" w:rsidRPr="00716CC2" w:rsidRDefault="0079616F" w:rsidP="00B257F2">
            <w:pPr>
              <w:pStyle w:val="TableBullet"/>
              <w:rPr>
                <w:szCs w:val="18"/>
              </w:rPr>
            </w:pPr>
            <w:r w:rsidRPr="00716CC2">
              <w:rPr>
                <w:szCs w:val="18"/>
              </w:rPr>
              <w:t>Currently not strong enough for disability</w:t>
            </w:r>
          </w:p>
          <w:p w14:paraId="69F3DFD5" w14:textId="77777777" w:rsidR="0079616F" w:rsidRPr="00716CC2" w:rsidRDefault="0079616F" w:rsidP="00B257F2">
            <w:pPr>
              <w:pStyle w:val="TableBullet"/>
              <w:rPr>
                <w:szCs w:val="18"/>
              </w:rPr>
            </w:pPr>
            <w:r w:rsidRPr="00716CC2">
              <w:rPr>
                <w:szCs w:val="18"/>
              </w:rPr>
              <w:t>Language – agreement to participate, supported decision making (etc)</w:t>
            </w:r>
          </w:p>
          <w:p w14:paraId="4BDED81A" w14:textId="77777777" w:rsidR="0079616F" w:rsidRPr="00716CC2" w:rsidRDefault="0079616F" w:rsidP="00B257F2">
            <w:pPr>
              <w:pStyle w:val="TableBullet"/>
              <w:rPr>
                <w:szCs w:val="18"/>
              </w:rPr>
            </w:pPr>
            <w:r w:rsidRPr="00716CC2">
              <w:rPr>
                <w:szCs w:val="18"/>
              </w:rPr>
              <w:t>Complex consenting for those that can’t – need to unpack current standard with guidance being particular to service type</w:t>
            </w:r>
          </w:p>
          <w:p w14:paraId="3F154299" w14:textId="77777777" w:rsidR="0079616F" w:rsidRPr="00716CC2" w:rsidRDefault="0079616F" w:rsidP="00B257F2">
            <w:pPr>
              <w:pStyle w:val="TableBullet"/>
              <w:rPr>
                <w:szCs w:val="18"/>
              </w:rPr>
            </w:pPr>
            <w:r w:rsidRPr="00716CC2">
              <w:rPr>
                <w:szCs w:val="18"/>
              </w:rPr>
              <w:t>Legal implications: ie. Who gets to decide in terms of consent, for example end of life decisions</w:t>
            </w:r>
          </w:p>
          <w:p w14:paraId="2DA8C9AA" w14:textId="77777777" w:rsidR="0079616F" w:rsidRPr="00716CC2" w:rsidRDefault="0079616F" w:rsidP="00B257F2">
            <w:pPr>
              <w:pStyle w:val="TableBullet"/>
              <w:rPr>
                <w:szCs w:val="18"/>
              </w:rPr>
            </w:pPr>
            <w:r w:rsidRPr="00716CC2">
              <w:rPr>
                <w:szCs w:val="18"/>
              </w:rPr>
              <w:t>Q: what are we working with people to consent to</w:t>
            </w:r>
          </w:p>
          <w:p w14:paraId="3F4D4FAE" w14:textId="77777777" w:rsidR="0079616F" w:rsidRPr="00716CC2" w:rsidRDefault="0079616F" w:rsidP="00B257F2">
            <w:pPr>
              <w:pStyle w:val="TableBullet"/>
              <w:rPr>
                <w:szCs w:val="18"/>
              </w:rPr>
            </w:pPr>
            <w:r w:rsidRPr="00716CC2">
              <w:rPr>
                <w:szCs w:val="18"/>
              </w:rPr>
              <w:t>Link to ‘safeguarding’ (refer notes against 1.1.7)</w:t>
            </w:r>
          </w:p>
          <w:p w14:paraId="13F6A6A6" w14:textId="77777777" w:rsidR="0079616F" w:rsidRPr="00716CC2" w:rsidRDefault="0079616F" w:rsidP="00B257F2">
            <w:pPr>
              <w:pStyle w:val="TableBullet"/>
              <w:rPr>
                <w:szCs w:val="18"/>
              </w:rPr>
            </w:pPr>
            <w:r w:rsidRPr="00716CC2">
              <w:rPr>
                <w:szCs w:val="18"/>
              </w:rPr>
              <w:t>People are living own life (what do I consent for in my own life) – choice, control, flexibility are particular considerations for disability</w:t>
            </w:r>
          </w:p>
          <w:p w14:paraId="7863D903" w14:textId="77777777" w:rsidR="0079616F" w:rsidRPr="00716CC2" w:rsidRDefault="0079616F" w:rsidP="00B257F2">
            <w:pPr>
              <w:pStyle w:val="TableBullet"/>
              <w:rPr>
                <w:szCs w:val="18"/>
              </w:rPr>
            </w:pPr>
            <w:r w:rsidRPr="00716CC2">
              <w:rPr>
                <w:szCs w:val="18"/>
              </w:rPr>
              <w:t>Agreed that this standard needs extensive legal review as per the comments recorded (N.Berry, NZCare Group)</w:t>
            </w:r>
          </w:p>
        </w:tc>
      </w:tr>
      <w:tr w:rsidR="0079616F" w:rsidRPr="00716CC2" w14:paraId="2E7F1CA8" w14:textId="77777777" w:rsidTr="007A7079">
        <w:tc>
          <w:tcPr>
            <w:tcW w:w="14884" w:type="dxa"/>
            <w:gridSpan w:val="15"/>
            <w:shd w:val="clear" w:color="auto" w:fill="FFFFFF" w:themeFill="background1"/>
          </w:tcPr>
          <w:p w14:paraId="0FFB15C7" w14:textId="77777777" w:rsidR="0079616F" w:rsidRPr="00716CC2" w:rsidRDefault="0079616F" w:rsidP="00192421">
            <w:pPr>
              <w:spacing w:before="40" w:after="40"/>
              <w:rPr>
                <w:b/>
                <w:sz w:val="18"/>
                <w:szCs w:val="18"/>
              </w:rPr>
            </w:pPr>
          </w:p>
        </w:tc>
      </w:tr>
      <w:tr w:rsidR="0079616F" w:rsidRPr="00716CC2" w14:paraId="5622974F" w14:textId="77777777" w:rsidTr="007A7079">
        <w:tc>
          <w:tcPr>
            <w:tcW w:w="14884" w:type="dxa"/>
            <w:gridSpan w:val="15"/>
            <w:shd w:val="clear" w:color="auto" w:fill="F2F2F2" w:themeFill="background1" w:themeFillShade="F2"/>
          </w:tcPr>
          <w:p w14:paraId="5D7B16B2" w14:textId="77777777" w:rsidR="0079616F" w:rsidRPr="00716CC2" w:rsidRDefault="0079616F" w:rsidP="00192421">
            <w:pPr>
              <w:spacing w:before="40" w:after="40"/>
              <w:rPr>
                <w:b/>
                <w:sz w:val="18"/>
                <w:szCs w:val="18"/>
              </w:rPr>
            </w:pPr>
            <w:r w:rsidRPr="00716CC2">
              <w:rPr>
                <w:b/>
                <w:sz w:val="18"/>
                <w:szCs w:val="18"/>
              </w:rPr>
              <w:t xml:space="preserve">Standard 1.1.11: </w:t>
            </w:r>
            <w:r w:rsidRPr="00716CC2">
              <w:rPr>
                <w:sz w:val="18"/>
                <w:szCs w:val="18"/>
              </w:rPr>
              <w:t>Advocacy And Support (HDS(C)S.2008:1.1.11): Service providers recognise and facilitate the right of consumers to advocacy/support persons of their choice.</w:t>
            </w:r>
          </w:p>
        </w:tc>
      </w:tr>
      <w:tr w:rsidR="0079616F" w:rsidRPr="00716CC2" w14:paraId="5F81795F" w14:textId="77777777" w:rsidTr="007A7079">
        <w:tc>
          <w:tcPr>
            <w:tcW w:w="2976" w:type="dxa"/>
            <w:gridSpan w:val="3"/>
            <w:shd w:val="clear" w:color="auto" w:fill="FFFFFF" w:themeFill="background1"/>
          </w:tcPr>
          <w:p w14:paraId="08139A14"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730AA5B6"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7A843D03"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3E258CB5"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4193D5E5"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9616F" w:rsidRPr="00716CC2" w14:paraId="3BD42C58" w14:textId="77777777" w:rsidTr="007A7079">
        <w:tc>
          <w:tcPr>
            <w:tcW w:w="2976" w:type="dxa"/>
            <w:gridSpan w:val="3"/>
            <w:shd w:val="clear" w:color="auto" w:fill="FFFFFF" w:themeFill="background1"/>
          </w:tcPr>
          <w:p w14:paraId="051A20C9" w14:textId="77777777" w:rsidR="0079616F" w:rsidRPr="00716CC2" w:rsidRDefault="0079616F" w:rsidP="00B257F2">
            <w:pPr>
              <w:pStyle w:val="TableBullet"/>
              <w:rPr>
                <w:szCs w:val="18"/>
              </w:rPr>
            </w:pPr>
            <w:r w:rsidRPr="00716CC2">
              <w:rPr>
                <w:szCs w:val="18"/>
              </w:rPr>
              <w:lastRenderedPageBreak/>
              <w:t>Link to HDC CoR – delete as dedicated standard</w:t>
            </w:r>
          </w:p>
          <w:p w14:paraId="56686861" w14:textId="77777777" w:rsidR="0079616F" w:rsidRPr="00716CC2" w:rsidRDefault="0079616F" w:rsidP="00B257F2">
            <w:pPr>
              <w:pStyle w:val="TableBullet"/>
              <w:rPr>
                <w:szCs w:val="18"/>
              </w:rPr>
            </w:pPr>
            <w:r w:rsidRPr="00716CC2">
              <w:rPr>
                <w:szCs w:val="18"/>
              </w:rPr>
              <w:t>Perhaps merge with Informed Consent.</w:t>
            </w:r>
          </w:p>
        </w:tc>
        <w:tc>
          <w:tcPr>
            <w:tcW w:w="2977" w:type="dxa"/>
            <w:gridSpan w:val="3"/>
            <w:shd w:val="clear" w:color="auto" w:fill="FFFFFF" w:themeFill="background1"/>
          </w:tcPr>
          <w:p w14:paraId="7E793544" w14:textId="77777777" w:rsidR="0079616F" w:rsidRPr="00716CC2" w:rsidRDefault="0079616F" w:rsidP="00B257F2">
            <w:pPr>
              <w:pStyle w:val="TableBullet"/>
              <w:rPr>
                <w:szCs w:val="18"/>
              </w:rPr>
            </w:pPr>
            <w:r w:rsidRPr="00716CC2">
              <w:rPr>
                <w:szCs w:val="18"/>
              </w:rPr>
              <w:t>Re Mental Health Commissioner –this aspect should sit with them</w:t>
            </w:r>
          </w:p>
          <w:p w14:paraId="0AFD5E5A" w14:textId="77777777" w:rsidR="0079616F" w:rsidRPr="00716CC2" w:rsidRDefault="0079616F" w:rsidP="00B257F2">
            <w:pPr>
              <w:pStyle w:val="TableBullet"/>
              <w:rPr>
                <w:szCs w:val="18"/>
              </w:rPr>
            </w:pPr>
            <w:r w:rsidRPr="00716CC2">
              <w:rPr>
                <w:szCs w:val="18"/>
              </w:rPr>
              <w:t>District Commissioner interface</w:t>
            </w:r>
          </w:p>
          <w:p w14:paraId="351964DC" w14:textId="77777777" w:rsidR="0079616F" w:rsidRPr="00716CC2" w:rsidRDefault="0079616F" w:rsidP="00B257F2">
            <w:pPr>
              <w:pStyle w:val="TableBullet"/>
              <w:rPr>
                <w:szCs w:val="18"/>
              </w:rPr>
            </w:pPr>
            <w:r w:rsidRPr="00716CC2">
              <w:rPr>
                <w:szCs w:val="18"/>
              </w:rPr>
              <w:t>Legal requirement</w:t>
            </w:r>
          </w:p>
          <w:p w14:paraId="2A3F0E4F" w14:textId="77777777" w:rsidR="0079616F" w:rsidRPr="00716CC2" w:rsidRDefault="0079616F" w:rsidP="00B257F2">
            <w:pPr>
              <w:pStyle w:val="TableBullet"/>
              <w:rPr>
                <w:szCs w:val="18"/>
              </w:rPr>
            </w:pPr>
            <w:r w:rsidRPr="00716CC2">
              <w:rPr>
                <w:szCs w:val="18"/>
              </w:rPr>
              <w:t>Could potentially merge.</w:t>
            </w:r>
          </w:p>
        </w:tc>
        <w:tc>
          <w:tcPr>
            <w:tcW w:w="2977" w:type="dxa"/>
            <w:gridSpan w:val="3"/>
            <w:shd w:val="clear" w:color="auto" w:fill="FFFFFF" w:themeFill="background1"/>
          </w:tcPr>
          <w:p w14:paraId="5014C3FD" w14:textId="77777777" w:rsidR="0079616F" w:rsidRPr="00716CC2" w:rsidRDefault="0079616F" w:rsidP="00B257F2">
            <w:pPr>
              <w:pStyle w:val="TableBullet"/>
              <w:rPr>
                <w:szCs w:val="18"/>
              </w:rPr>
            </w:pPr>
            <w:r w:rsidRPr="00716CC2">
              <w:rPr>
                <w:szCs w:val="18"/>
              </w:rPr>
              <w:t>Potentially merge with earlier standards (ie. Link to HDC)</w:t>
            </w:r>
          </w:p>
        </w:tc>
        <w:tc>
          <w:tcPr>
            <w:tcW w:w="2977" w:type="dxa"/>
            <w:gridSpan w:val="3"/>
            <w:shd w:val="clear" w:color="auto" w:fill="FFFFFF" w:themeFill="background1"/>
          </w:tcPr>
          <w:p w14:paraId="47AFB234" w14:textId="77777777" w:rsidR="0079616F" w:rsidRPr="00716CC2" w:rsidRDefault="0079616F" w:rsidP="00B257F2">
            <w:pPr>
              <w:pStyle w:val="TableBullet"/>
              <w:rPr>
                <w:szCs w:val="18"/>
              </w:rPr>
            </w:pPr>
            <w:r w:rsidRPr="00716CC2">
              <w:rPr>
                <w:szCs w:val="18"/>
              </w:rPr>
              <w:t>Merge 1.1.11 and 1.1.12 and link to HDC</w:t>
            </w:r>
          </w:p>
        </w:tc>
        <w:tc>
          <w:tcPr>
            <w:tcW w:w="2977" w:type="dxa"/>
            <w:gridSpan w:val="3"/>
            <w:shd w:val="clear" w:color="auto" w:fill="FFFFFF" w:themeFill="background1"/>
          </w:tcPr>
          <w:p w14:paraId="3A5440F2" w14:textId="77777777" w:rsidR="0079616F" w:rsidRPr="00716CC2" w:rsidRDefault="0079616F" w:rsidP="00B257F2">
            <w:pPr>
              <w:pStyle w:val="TableBullet"/>
              <w:rPr>
                <w:szCs w:val="18"/>
              </w:rPr>
            </w:pPr>
            <w:r w:rsidRPr="00716CC2">
              <w:rPr>
                <w:szCs w:val="18"/>
              </w:rPr>
              <w:t>Recommend specific standard for disability services – need to consider open choice, and be non-prescriptive (such as a standard around ‘choice and control’</w:t>
            </w:r>
          </w:p>
          <w:p w14:paraId="4D4C4567" w14:textId="77777777" w:rsidR="0079616F" w:rsidRPr="00716CC2" w:rsidRDefault="0079616F" w:rsidP="00B257F2">
            <w:pPr>
              <w:pStyle w:val="TableBullet"/>
              <w:rPr>
                <w:szCs w:val="18"/>
              </w:rPr>
            </w:pPr>
            <w:r w:rsidRPr="00716CC2">
              <w:rPr>
                <w:szCs w:val="18"/>
              </w:rPr>
              <w:t>Self-advocacy to be included and strengthened</w:t>
            </w:r>
          </w:p>
          <w:p w14:paraId="020F50D2" w14:textId="77777777" w:rsidR="0079616F" w:rsidRPr="00716CC2" w:rsidRDefault="0079616F" w:rsidP="00B257F2">
            <w:pPr>
              <w:pStyle w:val="TableBullet"/>
              <w:rPr>
                <w:szCs w:val="18"/>
              </w:rPr>
            </w:pPr>
            <w:r w:rsidRPr="00716CC2">
              <w:rPr>
                <w:szCs w:val="18"/>
              </w:rPr>
              <w:t>Family can be advocates but this is not necessarily person determined</w:t>
            </w:r>
          </w:p>
          <w:p w14:paraId="209C37F2" w14:textId="77777777" w:rsidR="0079616F" w:rsidRPr="00716CC2" w:rsidRDefault="0079616F" w:rsidP="00B257F2">
            <w:pPr>
              <w:pStyle w:val="TableBullet"/>
              <w:rPr>
                <w:szCs w:val="18"/>
              </w:rPr>
            </w:pPr>
            <w:r w:rsidRPr="00716CC2">
              <w:rPr>
                <w:szCs w:val="18"/>
              </w:rPr>
              <w:t>Need access to independent trained advocates – choice and nonprescriptive</w:t>
            </w:r>
          </w:p>
          <w:p w14:paraId="241B067A" w14:textId="77777777" w:rsidR="0079616F" w:rsidRPr="00716CC2" w:rsidRDefault="0079616F" w:rsidP="00B257F2">
            <w:pPr>
              <w:pStyle w:val="TableBullet"/>
              <w:rPr>
                <w:szCs w:val="18"/>
              </w:rPr>
            </w:pPr>
            <w:r w:rsidRPr="00716CC2">
              <w:rPr>
                <w:szCs w:val="18"/>
              </w:rPr>
              <w:t>National advocacy – underutilised (and underfunded)</w:t>
            </w:r>
          </w:p>
        </w:tc>
      </w:tr>
      <w:tr w:rsidR="0079616F" w:rsidRPr="00716CC2" w14:paraId="42D30A54" w14:textId="77777777" w:rsidTr="007A7079">
        <w:tc>
          <w:tcPr>
            <w:tcW w:w="14884" w:type="dxa"/>
            <w:gridSpan w:val="15"/>
            <w:shd w:val="clear" w:color="auto" w:fill="FFFFFF" w:themeFill="background1"/>
          </w:tcPr>
          <w:p w14:paraId="55B60462" w14:textId="77777777" w:rsidR="0079616F" w:rsidRPr="00716CC2" w:rsidRDefault="0079616F" w:rsidP="00192421">
            <w:pPr>
              <w:spacing w:before="40" w:after="40"/>
              <w:rPr>
                <w:b/>
                <w:sz w:val="18"/>
                <w:szCs w:val="18"/>
              </w:rPr>
            </w:pPr>
          </w:p>
        </w:tc>
      </w:tr>
      <w:tr w:rsidR="0079616F" w:rsidRPr="00716CC2" w14:paraId="76381CCA" w14:textId="77777777" w:rsidTr="007A7079">
        <w:tc>
          <w:tcPr>
            <w:tcW w:w="14884" w:type="dxa"/>
            <w:gridSpan w:val="15"/>
            <w:shd w:val="clear" w:color="auto" w:fill="F2F2F2" w:themeFill="background1" w:themeFillShade="F2"/>
          </w:tcPr>
          <w:p w14:paraId="3540137B" w14:textId="77777777" w:rsidR="0079616F" w:rsidRPr="00716CC2" w:rsidRDefault="0079616F" w:rsidP="00192421">
            <w:pPr>
              <w:spacing w:before="40" w:after="40"/>
              <w:rPr>
                <w:b/>
                <w:sz w:val="18"/>
                <w:szCs w:val="18"/>
              </w:rPr>
            </w:pPr>
            <w:r w:rsidRPr="00716CC2">
              <w:rPr>
                <w:b/>
                <w:sz w:val="18"/>
                <w:szCs w:val="18"/>
              </w:rPr>
              <w:t xml:space="preserve">Standard 1.1.12: </w:t>
            </w:r>
            <w:r w:rsidRPr="00716CC2">
              <w:rPr>
                <w:sz w:val="18"/>
                <w:szCs w:val="18"/>
              </w:rPr>
              <w:t>Links with Family/Whānau and Other Community Resources (HDS(C)S.2008:1.1.12): Consumers are able to maintain links with their family/whānau and their community.</w:t>
            </w:r>
          </w:p>
        </w:tc>
      </w:tr>
      <w:tr w:rsidR="0079616F" w:rsidRPr="00716CC2" w14:paraId="2446E5B8" w14:textId="77777777" w:rsidTr="007A7079">
        <w:tc>
          <w:tcPr>
            <w:tcW w:w="2976" w:type="dxa"/>
            <w:gridSpan w:val="3"/>
            <w:shd w:val="clear" w:color="auto" w:fill="FFFFFF" w:themeFill="background1"/>
          </w:tcPr>
          <w:p w14:paraId="61B559AE"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053E626C"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45528687"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09FFB2DA"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317D0573"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9616F" w:rsidRPr="00716CC2" w14:paraId="20F1C1D1" w14:textId="77777777" w:rsidTr="007A7079">
        <w:tc>
          <w:tcPr>
            <w:tcW w:w="2976" w:type="dxa"/>
            <w:gridSpan w:val="3"/>
            <w:shd w:val="clear" w:color="auto" w:fill="FFFFFF" w:themeFill="background1"/>
          </w:tcPr>
          <w:p w14:paraId="4EE78E9F" w14:textId="77777777" w:rsidR="0079616F" w:rsidRPr="00716CC2" w:rsidRDefault="0079616F" w:rsidP="00B257F2">
            <w:pPr>
              <w:pStyle w:val="TableBullet"/>
              <w:rPr>
                <w:szCs w:val="18"/>
              </w:rPr>
            </w:pPr>
            <w:r w:rsidRPr="00716CC2">
              <w:rPr>
                <w:szCs w:val="18"/>
              </w:rPr>
              <w:t>Delete as dedicated standard</w:t>
            </w:r>
          </w:p>
          <w:p w14:paraId="24574E3E" w14:textId="77777777" w:rsidR="0079616F" w:rsidRPr="00716CC2" w:rsidRDefault="0079616F" w:rsidP="00B257F2">
            <w:pPr>
              <w:pStyle w:val="TableBullet"/>
              <w:rPr>
                <w:szCs w:val="18"/>
              </w:rPr>
            </w:pPr>
            <w:r w:rsidRPr="00716CC2">
              <w:rPr>
                <w:szCs w:val="18"/>
              </w:rPr>
              <w:t>Perhaps merge with earlier standard.</w:t>
            </w:r>
          </w:p>
        </w:tc>
        <w:tc>
          <w:tcPr>
            <w:tcW w:w="2977" w:type="dxa"/>
            <w:gridSpan w:val="3"/>
            <w:shd w:val="clear" w:color="auto" w:fill="FFFFFF" w:themeFill="background1"/>
          </w:tcPr>
          <w:p w14:paraId="44616A41" w14:textId="77777777" w:rsidR="0079616F" w:rsidRPr="00716CC2" w:rsidRDefault="0079616F" w:rsidP="00B257F2">
            <w:pPr>
              <w:pStyle w:val="TableBullet"/>
              <w:rPr>
                <w:szCs w:val="18"/>
              </w:rPr>
            </w:pPr>
            <w:r w:rsidRPr="00716CC2">
              <w:rPr>
                <w:szCs w:val="18"/>
              </w:rPr>
              <w:t>? link to 1.2.6 (Family/ whānau participation)</w:t>
            </w:r>
          </w:p>
          <w:p w14:paraId="68360F43" w14:textId="77777777" w:rsidR="0079616F" w:rsidRPr="00716CC2" w:rsidRDefault="0079616F" w:rsidP="00B257F2">
            <w:pPr>
              <w:pStyle w:val="TableBullet"/>
              <w:rPr>
                <w:szCs w:val="18"/>
              </w:rPr>
            </w:pPr>
            <w:r w:rsidRPr="00716CC2">
              <w:rPr>
                <w:szCs w:val="18"/>
              </w:rPr>
              <w:t>Consider forensic services (ie, Orders, legal constraints)</w:t>
            </w:r>
          </w:p>
          <w:p w14:paraId="7CF45A66" w14:textId="77777777" w:rsidR="0079616F" w:rsidRPr="00716CC2" w:rsidRDefault="0079616F" w:rsidP="00B257F2">
            <w:pPr>
              <w:pStyle w:val="TableBullet"/>
              <w:rPr>
                <w:szCs w:val="18"/>
              </w:rPr>
            </w:pPr>
            <w:r w:rsidRPr="00716CC2">
              <w:rPr>
                <w:szCs w:val="18"/>
              </w:rPr>
              <w:t>Definition of participation – person directed.</w:t>
            </w:r>
          </w:p>
        </w:tc>
        <w:tc>
          <w:tcPr>
            <w:tcW w:w="2977" w:type="dxa"/>
            <w:gridSpan w:val="3"/>
            <w:shd w:val="clear" w:color="auto" w:fill="FFFFFF" w:themeFill="background1"/>
          </w:tcPr>
          <w:p w14:paraId="453CEBD2" w14:textId="77777777" w:rsidR="0079616F" w:rsidRPr="00716CC2" w:rsidRDefault="0079616F" w:rsidP="00B257F2">
            <w:pPr>
              <w:pStyle w:val="TableBullet"/>
              <w:rPr>
                <w:szCs w:val="18"/>
              </w:rPr>
            </w:pPr>
            <w:r w:rsidRPr="00716CC2">
              <w:rPr>
                <w:szCs w:val="18"/>
              </w:rPr>
              <w:t>Essential standard</w:t>
            </w:r>
          </w:p>
          <w:p w14:paraId="4D2FBF5D" w14:textId="77777777" w:rsidR="0079616F" w:rsidRPr="00716CC2" w:rsidRDefault="0079616F" w:rsidP="00B257F2">
            <w:pPr>
              <w:pStyle w:val="TableBullet"/>
              <w:rPr>
                <w:szCs w:val="18"/>
              </w:rPr>
            </w:pPr>
            <w:r w:rsidRPr="00716CC2">
              <w:rPr>
                <w:szCs w:val="18"/>
              </w:rPr>
              <w:t>Requires strengthening</w:t>
            </w:r>
          </w:p>
        </w:tc>
        <w:tc>
          <w:tcPr>
            <w:tcW w:w="2977" w:type="dxa"/>
            <w:gridSpan w:val="3"/>
            <w:shd w:val="clear" w:color="auto" w:fill="FFFFFF" w:themeFill="background1"/>
          </w:tcPr>
          <w:p w14:paraId="3BCD3817" w14:textId="77777777" w:rsidR="0079616F" w:rsidRPr="00716CC2" w:rsidRDefault="0079616F" w:rsidP="00B257F2">
            <w:pPr>
              <w:pStyle w:val="TableBullet"/>
              <w:rPr>
                <w:szCs w:val="18"/>
              </w:rPr>
            </w:pPr>
            <w:r w:rsidRPr="00716CC2">
              <w:rPr>
                <w:szCs w:val="18"/>
              </w:rPr>
              <w:t>See entry 1.1.11</w:t>
            </w:r>
          </w:p>
        </w:tc>
        <w:tc>
          <w:tcPr>
            <w:tcW w:w="2977" w:type="dxa"/>
            <w:gridSpan w:val="3"/>
            <w:shd w:val="clear" w:color="auto" w:fill="FFFFFF" w:themeFill="background1"/>
          </w:tcPr>
          <w:p w14:paraId="4AED9402" w14:textId="77777777" w:rsidR="0079616F" w:rsidRPr="00716CC2" w:rsidRDefault="0079616F" w:rsidP="00B257F2">
            <w:pPr>
              <w:pStyle w:val="TableBullet"/>
              <w:rPr>
                <w:szCs w:val="18"/>
              </w:rPr>
            </w:pPr>
            <w:r w:rsidRPr="00716CC2">
              <w:rPr>
                <w:szCs w:val="18"/>
              </w:rPr>
              <w:t>Change language to active participation</w:t>
            </w:r>
          </w:p>
          <w:p w14:paraId="1753FFC6" w14:textId="77777777" w:rsidR="0079616F" w:rsidRPr="00716CC2" w:rsidRDefault="0079616F" w:rsidP="00B257F2">
            <w:pPr>
              <w:pStyle w:val="TableBullet"/>
              <w:rPr>
                <w:szCs w:val="18"/>
              </w:rPr>
            </w:pPr>
            <w:r w:rsidRPr="00716CC2">
              <w:rPr>
                <w:szCs w:val="18"/>
              </w:rPr>
              <w:t>Currently ‘light touch’ and fits more to a hospital based model</w:t>
            </w:r>
          </w:p>
          <w:p w14:paraId="0C8809C0" w14:textId="77777777" w:rsidR="0079616F" w:rsidRPr="00716CC2" w:rsidRDefault="0079616F" w:rsidP="00B257F2">
            <w:pPr>
              <w:pStyle w:val="TableBullet"/>
              <w:rPr>
                <w:szCs w:val="18"/>
              </w:rPr>
            </w:pPr>
            <w:r w:rsidRPr="00716CC2">
              <w:rPr>
                <w:szCs w:val="18"/>
              </w:rPr>
              <w:t>Consider that personal time can also be the person’s preference</w:t>
            </w:r>
          </w:p>
          <w:p w14:paraId="59EAD4C7" w14:textId="77777777" w:rsidR="0079616F" w:rsidRPr="00716CC2" w:rsidRDefault="0079616F" w:rsidP="00B257F2">
            <w:pPr>
              <w:pStyle w:val="TableBullet"/>
              <w:rPr>
                <w:szCs w:val="18"/>
              </w:rPr>
            </w:pPr>
            <w:r w:rsidRPr="00716CC2">
              <w:rPr>
                <w:szCs w:val="18"/>
              </w:rPr>
              <w:t>Change links to connections, Include - Forming connections, Need to include natural resources, consideration to connections to health and wellbeing resources (N.Berry, NZCare Group)</w:t>
            </w:r>
          </w:p>
        </w:tc>
      </w:tr>
      <w:tr w:rsidR="0079616F" w:rsidRPr="00716CC2" w14:paraId="5EE88FC4" w14:textId="77777777" w:rsidTr="007A7079">
        <w:tc>
          <w:tcPr>
            <w:tcW w:w="14884" w:type="dxa"/>
            <w:gridSpan w:val="15"/>
            <w:shd w:val="clear" w:color="auto" w:fill="FFFFFF" w:themeFill="background1"/>
          </w:tcPr>
          <w:p w14:paraId="75A53B80" w14:textId="77777777" w:rsidR="0079616F" w:rsidRPr="00716CC2" w:rsidRDefault="0079616F" w:rsidP="00192421">
            <w:pPr>
              <w:spacing w:before="40" w:after="40"/>
              <w:rPr>
                <w:b/>
                <w:sz w:val="18"/>
                <w:szCs w:val="18"/>
              </w:rPr>
            </w:pPr>
          </w:p>
        </w:tc>
      </w:tr>
      <w:tr w:rsidR="0079616F" w:rsidRPr="00716CC2" w14:paraId="250C3369" w14:textId="77777777" w:rsidTr="007A7079">
        <w:tc>
          <w:tcPr>
            <w:tcW w:w="14884" w:type="dxa"/>
            <w:gridSpan w:val="15"/>
            <w:shd w:val="clear" w:color="auto" w:fill="F2F2F2" w:themeFill="background1" w:themeFillShade="F2"/>
          </w:tcPr>
          <w:p w14:paraId="1AE02C32" w14:textId="77777777" w:rsidR="0079616F" w:rsidRPr="00716CC2" w:rsidRDefault="0079616F" w:rsidP="00192421">
            <w:pPr>
              <w:spacing w:before="40" w:after="40"/>
              <w:rPr>
                <w:b/>
                <w:sz w:val="18"/>
                <w:szCs w:val="18"/>
              </w:rPr>
            </w:pPr>
            <w:r w:rsidRPr="00716CC2">
              <w:rPr>
                <w:b/>
                <w:sz w:val="18"/>
                <w:szCs w:val="18"/>
              </w:rPr>
              <w:lastRenderedPageBreak/>
              <w:t xml:space="preserve">Standard 1.1.13: </w:t>
            </w:r>
            <w:r w:rsidRPr="00716CC2">
              <w:rPr>
                <w:sz w:val="18"/>
                <w:szCs w:val="18"/>
              </w:rPr>
              <w:t>Complaints Management  (HDS(C)S.2008:1.1.13): The right of the consumer to make a complaint is understood, respected, and upheld</w:t>
            </w:r>
          </w:p>
        </w:tc>
      </w:tr>
      <w:tr w:rsidR="0079616F" w:rsidRPr="00716CC2" w14:paraId="1A8A8928" w14:textId="77777777" w:rsidTr="007A7079">
        <w:tc>
          <w:tcPr>
            <w:tcW w:w="2976" w:type="dxa"/>
            <w:gridSpan w:val="3"/>
            <w:shd w:val="clear" w:color="auto" w:fill="FFFFFF" w:themeFill="background1"/>
          </w:tcPr>
          <w:p w14:paraId="601D144A"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56A05038"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5F325F6A"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2A835501"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0B60C5A2"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9616F" w:rsidRPr="00716CC2" w14:paraId="04A999EE" w14:textId="77777777" w:rsidTr="007A7079">
        <w:tc>
          <w:tcPr>
            <w:tcW w:w="2976" w:type="dxa"/>
            <w:gridSpan w:val="3"/>
            <w:shd w:val="clear" w:color="auto" w:fill="FFFFFF" w:themeFill="background1"/>
          </w:tcPr>
          <w:p w14:paraId="4FBC8AF0" w14:textId="77777777" w:rsidR="0079616F" w:rsidRPr="00716CC2" w:rsidRDefault="0079616F" w:rsidP="00B257F2">
            <w:pPr>
              <w:pStyle w:val="TableBullet"/>
              <w:rPr>
                <w:szCs w:val="18"/>
              </w:rPr>
            </w:pPr>
            <w:r w:rsidRPr="00716CC2">
              <w:rPr>
                <w:szCs w:val="18"/>
              </w:rPr>
              <w:t>Split complaints into two:</w:t>
            </w:r>
          </w:p>
          <w:p w14:paraId="0F2AF700" w14:textId="77777777" w:rsidR="0079616F" w:rsidRPr="00716CC2" w:rsidRDefault="0079616F" w:rsidP="00B257F2">
            <w:pPr>
              <w:pStyle w:val="TableBullet"/>
              <w:rPr>
                <w:szCs w:val="18"/>
              </w:rPr>
            </w:pPr>
            <w:r w:rsidRPr="00716CC2">
              <w:rPr>
                <w:szCs w:val="18"/>
              </w:rPr>
              <w:t>Process of managing + register to Part 2 (Organisational Management)</w:t>
            </w:r>
          </w:p>
          <w:p w14:paraId="7E527E5B" w14:textId="77777777" w:rsidR="0079616F" w:rsidRPr="00716CC2" w:rsidRDefault="0079616F" w:rsidP="00B257F2">
            <w:pPr>
              <w:pStyle w:val="TableBullet"/>
              <w:rPr>
                <w:szCs w:val="18"/>
              </w:rPr>
            </w:pPr>
            <w:r w:rsidRPr="00716CC2">
              <w:rPr>
                <w:szCs w:val="18"/>
              </w:rPr>
              <w:t xml:space="preserve">Focus on consumer stays – link to HDC CoR, add consumer ‘lens’ </w:t>
            </w:r>
          </w:p>
          <w:p w14:paraId="3DC67493" w14:textId="77777777" w:rsidR="0079616F" w:rsidRPr="00716CC2" w:rsidRDefault="0079616F" w:rsidP="00B257F2">
            <w:pPr>
              <w:pStyle w:val="TableBullet"/>
              <w:rPr>
                <w:szCs w:val="18"/>
              </w:rPr>
            </w:pPr>
            <w:r w:rsidRPr="00716CC2">
              <w:rPr>
                <w:szCs w:val="18"/>
              </w:rPr>
              <w:t>Note comment above re Tangata Whenua: suggest a ‘stand-alone’ standard that includes responsibility in respect of the Treaty of Waitangi, then specific criteria embedded into each standard.</w:t>
            </w:r>
          </w:p>
        </w:tc>
        <w:tc>
          <w:tcPr>
            <w:tcW w:w="2977" w:type="dxa"/>
            <w:gridSpan w:val="3"/>
            <w:shd w:val="clear" w:color="auto" w:fill="FFFFFF" w:themeFill="background1"/>
          </w:tcPr>
          <w:p w14:paraId="01730DA3" w14:textId="77777777" w:rsidR="0079616F" w:rsidRPr="00716CC2" w:rsidRDefault="0079616F" w:rsidP="00B257F2">
            <w:pPr>
              <w:pStyle w:val="TableBullet"/>
              <w:rPr>
                <w:szCs w:val="18"/>
              </w:rPr>
            </w:pPr>
            <w:r w:rsidRPr="00716CC2">
              <w:rPr>
                <w:szCs w:val="18"/>
              </w:rPr>
              <w:t>Relevant to all service types</w:t>
            </w:r>
          </w:p>
          <w:p w14:paraId="35DEDEB6" w14:textId="77777777" w:rsidR="0079616F" w:rsidRPr="00716CC2" w:rsidRDefault="0079616F" w:rsidP="00B257F2">
            <w:pPr>
              <w:pStyle w:val="TableBullet"/>
              <w:rPr>
                <w:szCs w:val="18"/>
              </w:rPr>
            </w:pPr>
            <w:r w:rsidRPr="00716CC2">
              <w:rPr>
                <w:szCs w:val="18"/>
              </w:rPr>
              <w:t>Current standard is OK</w:t>
            </w:r>
          </w:p>
          <w:p w14:paraId="4212C44F" w14:textId="77777777" w:rsidR="0079616F" w:rsidRPr="00716CC2" w:rsidRDefault="0079616F" w:rsidP="00B257F2">
            <w:pPr>
              <w:pStyle w:val="TableBullet"/>
              <w:rPr>
                <w:szCs w:val="18"/>
              </w:rPr>
            </w:pPr>
            <w:r w:rsidRPr="00716CC2">
              <w:rPr>
                <w:szCs w:val="18"/>
              </w:rPr>
              <w:t>Language to reflect consumer – ie. The right of the consumer to make a complaint is understood (by the consumer), ….</w:t>
            </w:r>
          </w:p>
        </w:tc>
        <w:tc>
          <w:tcPr>
            <w:tcW w:w="2977" w:type="dxa"/>
            <w:gridSpan w:val="3"/>
            <w:shd w:val="clear" w:color="auto" w:fill="FFFFFF" w:themeFill="background1"/>
          </w:tcPr>
          <w:p w14:paraId="6501E7FC" w14:textId="77777777" w:rsidR="0079616F" w:rsidRPr="00716CC2" w:rsidRDefault="0079616F" w:rsidP="00B257F2">
            <w:pPr>
              <w:pStyle w:val="TableBullet"/>
              <w:rPr>
                <w:szCs w:val="18"/>
              </w:rPr>
            </w:pPr>
            <w:r w:rsidRPr="00716CC2">
              <w:rPr>
                <w:szCs w:val="18"/>
              </w:rPr>
              <w:t>Potentially move to current Part 2 (Organisational Management) into quality and risk: as providers manage the process, embedded into Governance</w:t>
            </w:r>
          </w:p>
          <w:p w14:paraId="152D8DDC" w14:textId="77777777" w:rsidR="0079616F" w:rsidRPr="00716CC2" w:rsidRDefault="0079616F" w:rsidP="00B257F2">
            <w:pPr>
              <w:pStyle w:val="TableBullet"/>
              <w:rPr>
                <w:szCs w:val="18"/>
              </w:rPr>
            </w:pPr>
            <w:r w:rsidRPr="00716CC2">
              <w:rPr>
                <w:szCs w:val="18"/>
              </w:rPr>
              <w:t>If moved ensure inclusion into any HDC related standards (noting the right to complain is part of the Code)</w:t>
            </w:r>
          </w:p>
        </w:tc>
        <w:tc>
          <w:tcPr>
            <w:tcW w:w="2977" w:type="dxa"/>
            <w:gridSpan w:val="3"/>
            <w:shd w:val="clear" w:color="auto" w:fill="FFFFFF" w:themeFill="background1"/>
          </w:tcPr>
          <w:p w14:paraId="0FA7E633" w14:textId="77777777" w:rsidR="0079616F" w:rsidRPr="00716CC2" w:rsidRDefault="0079616F" w:rsidP="00B257F2">
            <w:pPr>
              <w:pStyle w:val="TableBullet"/>
              <w:rPr>
                <w:szCs w:val="18"/>
              </w:rPr>
            </w:pPr>
            <w:r w:rsidRPr="00716CC2">
              <w:rPr>
                <w:szCs w:val="18"/>
              </w:rPr>
              <w:t>Complaints could link into 1.1.9</w:t>
            </w:r>
          </w:p>
          <w:p w14:paraId="3736EBA0" w14:textId="77777777" w:rsidR="0079616F" w:rsidRPr="00716CC2" w:rsidRDefault="0079616F" w:rsidP="00B257F2">
            <w:pPr>
              <w:pStyle w:val="TableBullet"/>
              <w:rPr>
                <w:szCs w:val="18"/>
              </w:rPr>
            </w:pPr>
            <w:r w:rsidRPr="00716CC2">
              <w:rPr>
                <w:szCs w:val="18"/>
              </w:rPr>
              <w:t>Link to HDC</w:t>
            </w:r>
          </w:p>
          <w:p w14:paraId="50FA1C56" w14:textId="77777777" w:rsidR="0079616F" w:rsidRPr="00716CC2" w:rsidRDefault="0079616F" w:rsidP="00B257F2">
            <w:pPr>
              <w:pStyle w:val="TableBullet"/>
              <w:rPr>
                <w:szCs w:val="18"/>
              </w:rPr>
            </w:pPr>
            <w:r w:rsidRPr="00716CC2">
              <w:rPr>
                <w:szCs w:val="18"/>
              </w:rPr>
              <w:t>Consumer aspect could stay in Part 1 with the quality and risk aspects moved into Part 2</w:t>
            </w:r>
          </w:p>
        </w:tc>
        <w:tc>
          <w:tcPr>
            <w:tcW w:w="2977" w:type="dxa"/>
            <w:gridSpan w:val="3"/>
            <w:shd w:val="clear" w:color="auto" w:fill="FFFFFF" w:themeFill="background1"/>
          </w:tcPr>
          <w:p w14:paraId="261DE676" w14:textId="77777777" w:rsidR="0079616F" w:rsidRPr="00716CC2" w:rsidRDefault="0079616F" w:rsidP="00B257F2">
            <w:pPr>
              <w:pStyle w:val="TableBullet"/>
              <w:rPr>
                <w:szCs w:val="18"/>
              </w:rPr>
            </w:pPr>
            <w:r w:rsidRPr="00716CC2">
              <w:rPr>
                <w:szCs w:val="18"/>
              </w:rPr>
              <w:t>Two parts – complaints management, and the right to complaint. Could move the process to quality &amp; risk, plus add improvements and evaluation</w:t>
            </w:r>
          </w:p>
          <w:p w14:paraId="641F00D3" w14:textId="77777777" w:rsidR="0079616F" w:rsidRPr="00716CC2" w:rsidRDefault="0079616F" w:rsidP="00B257F2">
            <w:pPr>
              <w:pStyle w:val="TableBullet"/>
              <w:rPr>
                <w:szCs w:val="18"/>
              </w:rPr>
            </w:pPr>
            <w:r w:rsidRPr="00716CC2">
              <w:rPr>
                <w:szCs w:val="18"/>
              </w:rPr>
              <w:t>Want a robust process</w:t>
            </w:r>
          </w:p>
          <w:p w14:paraId="146F9531" w14:textId="77777777" w:rsidR="0079616F" w:rsidRPr="00716CC2" w:rsidRDefault="0079616F" w:rsidP="00B257F2">
            <w:pPr>
              <w:pStyle w:val="TableBullet"/>
              <w:rPr>
                <w:szCs w:val="18"/>
              </w:rPr>
            </w:pPr>
            <w:r w:rsidRPr="00716CC2">
              <w:rPr>
                <w:szCs w:val="18"/>
              </w:rPr>
              <w:t>Separation between internal and external complaints, also staff and people’s complaints</w:t>
            </w:r>
          </w:p>
          <w:p w14:paraId="17BB39EB" w14:textId="77777777" w:rsidR="0079616F" w:rsidRPr="00716CC2" w:rsidRDefault="0079616F" w:rsidP="00B257F2">
            <w:pPr>
              <w:pStyle w:val="TableBullet"/>
              <w:rPr>
                <w:szCs w:val="18"/>
              </w:rPr>
            </w:pPr>
            <w:r w:rsidRPr="00716CC2">
              <w:rPr>
                <w:szCs w:val="18"/>
              </w:rPr>
              <w:t>Need a standard supporting management of ‘disagreements’ and ‘disputes’ – eg. Disagreements at home level</w:t>
            </w:r>
          </w:p>
        </w:tc>
      </w:tr>
      <w:tr w:rsidR="0079616F" w:rsidRPr="00716CC2" w14:paraId="323295E4" w14:textId="77777777" w:rsidTr="007A7079">
        <w:tc>
          <w:tcPr>
            <w:tcW w:w="14884" w:type="dxa"/>
            <w:gridSpan w:val="15"/>
            <w:shd w:val="clear" w:color="auto" w:fill="FFFFFF" w:themeFill="background1"/>
          </w:tcPr>
          <w:p w14:paraId="798303B8" w14:textId="77777777" w:rsidR="0079616F" w:rsidRPr="00716CC2" w:rsidRDefault="0079616F" w:rsidP="00192421">
            <w:pPr>
              <w:spacing w:before="40" w:after="40"/>
              <w:rPr>
                <w:b/>
                <w:sz w:val="18"/>
                <w:szCs w:val="18"/>
              </w:rPr>
            </w:pPr>
          </w:p>
        </w:tc>
      </w:tr>
      <w:tr w:rsidR="0079616F" w:rsidRPr="00716CC2" w14:paraId="753248A3" w14:textId="77777777" w:rsidTr="007A7079">
        <w:tc>
          <w:tcPr>
            <w:tcW w:w="14884" w:type="dxa"/>
            <w:gridSpan w:val="15"/>
            <w:shd w:val="clear" w:color="auto" w:fill="D9D9D9" w:themeFill="background1" w:themeFillShade="D9"/>
          </w:tcPr>
          <w:p w14:paraId="59AD22F8" w14:textId="77777777" w:rsidR="00773C84" w:rsidRPr="00716CC2" w:rsidRDefault="00773C84" w:rsidP="00773C84">
            <w:pPr>
              <w:spacing w:before="40" w:after="40"/>
              <w:rPr>
                <w:b/>
                <w:sz w:val="18"/>
                <w:szCs w:val="18"/>
              </w:rPr>
            </w:pPr>
            <w:r w:rsidRPr="00716CC2">
              <w:rPr>
                <w:b/>
                <w:sz w:val="18"/>
                <w:szCs w:val="18"/>
              </w:rPr>
              <w:t xml:space="preserve">Outcome 1.2: </w:t>
            </w:r>
            <w:r w:rsidRPr="00716CC2">
              <w:rPr>
                <w:sz w:val="18"/>
                <w:szCs w:val="18"/>
              </w:rPr>
              <w:t>Organisational Management: Consumers receive services that comply with legislation and are managed in a safe, efficient, and effective manner</w:t>
            </w:r>
          </w:p>
          <w:p w14:paraId="62236772" w14:textId="77777777" w:rsidR="00773C84" w:rsidRPr="00716CC2" w:rsidRDefault="00773C84" w:rsidP="00773C84">
            <w:pPr>
              <w:spacing w:before="40" w:after="40"/>
              <w:rPr>
                <w:sz w:val="18"/>
                <w:szCs w:val="18"/>
              </w:rPr>
            </w:pPr>
            <w:r w:rsidRPr="00716CC2">
              <w:rPr>
                <w:sz w:val="18"/>
                <w:szCs w:val="18"/>
              </w:rPr>
              <w:t>ARC (31 July): Needs to be reflective/relevant to patient/client centric care</w:t>
            </w:r>
          </w:p>
          <w:p w14:paraId="03447B13" w14:textId="77777777" w:rsidR="0079616F" w:rsidRPr="00716CC2" w:rsidRDefault="00773C84" w:rsidP="00773C84">
            <w:pPr>
              <w:spacing w:before="40" w:after="40"/>
              <w:rPr>
                <w:b/>
                <w:sz w:val="18"/>
                <w:szCs w:val="18"/>
              </w:rPr>
            </w:pPr>
            <w:r w:rsidRPr="00716CC2">
              <w:rPr>
                <w:sz w:val="18"/>
                <w:szCs w:val="18"/>
              </w:rPr>
              <w:t>ARC (9 August): Relevant standard</w:t>
            </w:r>
          </w:p>
        </w:tc>
      </w:tr>
      <w:tr w:rsidR="00773C84" w:rsidRPr="00716CC2" w14:paraId="612A16AF" w14:textId="77777777" w:rsidTr="007A7079">
        <w:tc>
          <w:tcPr>
            <w:tcW w:w="14884" w:type="dxa"/>
            <w:gridSpan w:val="15"/>
            <w:shd w:val="clear" w:color="auto" w:fill="F2F2F2" w:themeFill="background1" w:themeFillShade="F2"/>
          </w:tcPr>
          <w:p w14:paraId="25199306" w14:textId="77777777" w:rsidR="00773C84" w:rsidRPr="00716CC2" w:rsidRDefault="00773C84" w:rsidP="00773C84">
            <w:pPr>
              <w:spacing w:before="40" w:after="40"/>
              <w:rPr>
                <w:b/>
                <w:sz w:val="18"/>
                <w:szCs w:val="18"/>
              </w:rPr>
            </w:pPr>
            <w:r w:rsidRPr="00716CC2">
              <w:rPr>
                <w:b/>
                <w:sz w:val="18"/>
                <w:szCs w:val="18"/>
              </w:rPr>
              <w:t xml:space="preserve">Standard 1.2.1: </w:t>
            </w:r>
            <w:r w:rsidRPr="00716CC2">
              <w:rPr>
                <w:sz w:val="18"/>
                <w:szCs w:val="18"/>
              </w:rPr>
              <w:t>Governance (HDS(C)S.2008:1.2.1): The governing body of the organisation ensures services are planned, coordinated, and appropriate to the needs of consumers</w:t>
            </w:r>
          </w:p>
        </w:tc>
      </w:tr>
      <w:tr w:rsidR="0079616F" w:rsidRPr="00716CC2" w14:paraId="5A924610" w14:textId="77777777" w:rsidTr="007A7079">
        <w:tc>
          <w:tcPr>
            <w:tcW w:w="2976" w:type="dxa"/>
            <w:gridSpan w:val="3"/>
            <w:shd w:val="clear" w:color="auto" w:fill="FFFFFF" w:themeFill="background1"/>
          </w:tcPr>
          <w:p w14:paraId="26B518AF"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0C80B4A3"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409E9A7F"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1F99C657"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695AC707"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0A65FC2B" w14:textId="77777777" w:rsidTr="007A7079">
        <w:tc>
          <w:tcPr>
            <w:tcW w:w="2976" w:type="dxa"/>
            <w:gridSpan w:val="3"/>
            <w:shd w:val="clear" w:color="auto" w:fill="FFFFFF" w:themeFill="background1"/>
          </w:tcPr>
          <w:p w14:paraId="3896AA95" w14:textId="77777777" w:rsidR="00773C84" w:rsidRPr="00716CC2" w:rsidRDefault="00773C84" w:rsidP="00B257F2">
            <w:pPr>
              <w:pStyle w:val="TableBullet"/>
              <w:rPr>
                <w:szCs w:val="18"/>
              </w:rPr>
            </w:pPr>
            <w:r w:rsidRPr="00716CC2">
              <w:rPr>
                <w:szCs w:val="18"/>
              </w:rPr>
              <w:t>Need to consider clinical governance engagement</w:t>
            </w:r>
          </w:p>
          <w:p w14:paraId="071AD6A5" w14:textId="77777777" w:rsidR="00773C84" w:rsidRPr="00716CC2" w:rsidRDefault="00773C84" w:rsidP="00B257F2">
            <w:pPr>
              <w:pStyle w:val="TableBullet"/>
              <w:rPr>
                <w:szCs w:val="18"/>
              </w:rPr>
            </w:pPr>
            <w:r w:rsidRPr="00716CC2">
              <w:rPr>
                <w:szCs w:val="18"/>
              </w:rPr>
              <w:t>Recognise residents receive care from two providers at one time eg. hospice/aged care – co-share relationships with providers</w:t>
            </w:r>
          </w:p>
          <w:p w14:paraId="2BA93A7B" w14:textId="77777777" w:rsidR="00773C84" w:rsidRPr="00716CC2" w:rsidRDefault="00773C84" w:rsidP="00B257F2">
            <w:pPr>
              <w:pStyle w:val="TableBullet"/>
              <w:rPr>
                <w:szCs w:val="18"/>
              </w:rPr>
            </w:pPr>
            <w:r w:rsidRPr="00716CC2">
              <w:rPr>
                <w:szCs w:val="18"/>
              </w:rPr>
              <w:t>Treaty threaded throughout standards rather than one standard</w:t>
            </w:r>
          </w:p>
        </w:tc>
        <w:tc>
          <w:tcPr>
            <w:tcW w:w="2977" w:type="dxa"/>
            <w:gridSpan w:val="3"/>
            <w:shd w:val="clear" w:color="auto" w:fill="FFFFFF" w:themeFill="background1"/>
          </w:tcPr>
          <w:p w14:paraId="16353F8D" w14:textId="77777777" w:rsidR="00773C84" w:rsidRPr="00716CC2" w:rsidRDefault="00773C84" w:rsidP="00B257F2">
            <w:pPr>
              <w:pStyle w:val="TableBullet"/>
              <w:rPr>
                <w:szCs w:val="18"/>
              </w:rPr>
            </w:pPr>
            <w:r w:rsidRPr="00716CC2">
              <w:rPr>
                <w:szCs w:val="18"/>
              </w:rPr>
              <w:t xml:space="preserve">Consider new Health and Safety legislation with focus on clients and staff </w:t>
            </w:r>
          </w:p>
          <w:p w14:paraId="13D3C6E9" w14:textId="77777777" w:rsidR="00773C84" w:rsidRPr="00716CC2" w:rsidRDefault="00773C84" w:rsidP="00B257F2">
            <w:pPr>
              <w:pStyle w:val="TableBullet"/>
              <w:rPr>
                <w:szCs w:val="18"/>
              </w:rPr>
            </w:pPr>
            <w:r w:rsidRPr="00716CC2">
              <w:rPr>
                <w:szCs w:val="18"/>
              </w:rPr>
              <w:t xml:space="preserve">Recognition that liability with the legislation is with Governance – being a safe and good employer  consider culture and diversity, healthy workplace and safety wellbeing – happy valued staff </w:t>
            </w:r>
          </w:p>
          <w:p w14:paraId="3E82A572" w14:textId="77777777" w:rsidR="00773C84" w:rsidRPr="00716CC2" w:rsidRDefault="00773C84" w:rsidP="00B257F2">
            <w:pPr>
              <w:pStyle w:val="TableBullet"/>
              <w:rPr>
                <w:szCs w:val="18"/>
              </w:rPr>
            </w:pPr>
            <w:r w:rsidRPr="00716CC2">
              <w:rPr>
                <w:szCs w:val="18"/>
              </w:rPr>
              <w:lastRenderedPageBreak/>
              <w:t xml:space="preserve">Key legislation to reflect how it looks </w:t>
            </w:r>
          </w:p>
          <w:p w14:paraId="3511E739" w14:textId="77777777" w:rsidR="00773C84" w:rsidRPr="00716CC2" w:rsidRDefault="00773C84" w:rsidP="00B257F2">
            <w:pPr>
              <w:pStyle w:val="TableBullet"/>
              <w:rPr>
                <w:szCs w:val="18"/>
              </w:rPr>
            </w:pPr>
            <w:r w:rsidRPr="00716CC2">
              <w:rPr>
                <w:szCs w:val="18"/>
              </w:rPr>
              <w:t xml:space="preserve">Inclusive of Treaty aspects client, family, whānau, make of governance – consumers and staff considered </w:t>
            </w:r>
          </w:p>
          <w:p w14:paraId="0AE04343" w14:textId="77777777" w:rsidR="00773C84" w:rsidRPr="00716CC2" w:rsidRDefault="00773C84" w:rsidP="00B257F2">
            <w:pPr>
              <w:pStyle w:val="TableBullet"/>
              <w:rPr>
                <w:szCs w:val="18"/>
              </w:rPr>
            </w:pPr>
            <w:r w:rsidRPr="00716CC2">
              <w:rPr>
                <w:szCs w:val="18"/>
              </w:rPr>
              <w:t xml:space="preserve">Equity -  Māori, pacific and other groups </w:t>
            </w:r>
          </w:p>
          <w:p w14:paraId="588114BD" w14:textId="77777777" w:rsidR="00773C84" w:rsidRPr="00716CC2" w:rsidRDefault="00773C84" w:rsidP="00B257F2">
            <w:pPr>
              <w:pStyle w:val="TableBullet"/>
              <w:rPr>
                <w:szCs w:val="18"/>
              </w:rPr>
            </w:pPr>
            <w:r w:rsidRPr="00716CC2">
              <w:rPr>
                <w:szCs w:val="18"/>
              </w:rPr>
              <w:t>Access inclusive here also</w:t>
            </w:r>
          </w:p>
          <w:p w14:paraId="6B0587BA" w14:textId="77777777" w:rsidR="00773C84" w:rsidRPr="00716CC2" w:rsidRDefault="00773C84" w:rsidP="00B257F2">
            <w:pPr>
              <w:pStyle w:val="TableBullet"/>
              <w:rPr>
                <w:szCs w:val="18"/>
              </w:rPr>
            </w:pPr>
            <w:r w:rsidRPr="00716CC2">
              <w:rPr>
                <w:szCs w:val="18"/>
              </w:rPr>
              <w:t xml:space="preserve">Audit for the ‘spirit of service’ –compassionate, aroha get feedback clients and families  </w:t>
            </w:r>
          </w:p>
          <w:p w14:paraId="4E34C815" w14:textId="77777777" w:rsidR="00773C84" w:rsidRPr="00716CC2" w:rsidRDefault="00773C84" w:rsidP="00B257F2">
            <w:pPr>
              <w:pStyle w:val="TableBullet"/>
              <w:rPr>
                <w:szCs w:val="18"/>
              </w:rPr>
            </w:pPr>
            <w:r w:rsidRPr="00716CC2">
              <w:rPr>
                <w:szCs w:val="18"/>
              </w:rPr>
              <w:t>Both groups very focused around governance.</w:t>
            </w:r>
          </w:p>
        </w:tc>
        <w:tc>
          <w:tcPr>
            <w:tcW w:w="2977" w:type="dxa"/>
            <w:gridSpan w:val="3"/>
            <w:shd w:val="clear" w:color="auto" w:fill="FFFFFF" w:themeFill="background1"/>
          </w:tcPr>
          <w:p w14:paraId="59EC9B7A" w14:textId="77777777" w:rsidR="00773C84" w:rsidRPr="00716CC2" w:rsidRDefault="00773C84" w:rsidP="00B257F2">
            <w:pPr>
              <w:pStyle w:val="TableBullet"/>
              <w:rPr>
                <w:szCs w:val="18"/>
              </w:rPr>
            </w:pPr>
            <w:r w:rsidRPr="00716CC2">
              <w:rPr>
                <w:szCs w:val="18"/>
              </w:rPr>
              <w:lastRenderedPageBreak/>
              <w:t xml:space="preserve">Interest in co-design approach </w:t>
            </w:r>
          </w:p>
          <w:p w14:paraId="65158CF5" w14:textId="77777777" w:rsidR="00773C84" w:rsidRPr="00716CC2" w:rsidRDefault="00773C84" w:rsidP="00B257F2">
            <w:pPr>
              <w:pStyle w:val="TableBullet"/>
              <w:rPr>
                <w:szCs w:val="18"/>
              </w:rPr>
            </w:pPr>
            <w:r w:rsidRPr="00716CC2">
              <w:rPr>
                <w:szCs w:val="18"/>
              </w:rPr>
              <w:t>Ensure subjectivity is captured and outcome focus</w:t>
            </w:r>
          </w:p>
        </w:tc>
        <w:tc>
          <w:tcPr>
            <w:tcW w:w="2977" w:type="dxa"/>
            <w:gridSpan w:val="3"/>
            <w:shd w:val="clear" w:color="auto" w:fill="FFFFFF" w:themeFill="background1"/>
          </w:tcPr>
          <w:p w14:paraId="06CD7397" w14:textId="77777777" w:rsidR="00773C84" w:rsidRPr="00716CC2" w:rsidRDefault="00773C84" w:rsidP="00B257F2">
            <w:pPr>
              <w:pStyle w:val="TableBullet"/>
              <w:rPr>
                <w:szCs w:val="18"/>
              </w:rPr>
            </w:pPr>
            <w:r w:rsidRPr="00716CC2">
              <w:rPr>
                <w:szCs w:val="18"/>
              </w:rPr>
              <w:t>Requires guidance on governance, roles and responsibilities, context, reference documents, outcome measures -noting that a number of the people sitting on the governance board of ARC are volunteers</w:t>
            </w:r>
          </w:p>
          <w:p w14:paraId="12D82081" w14:textId="77777777" w:rsidR="00773C84" w:rsidRPr="00716CC2" w:rsidRDefault="00773C84" w:rsidP="00B257F2">
            <w:pPr>
              <w:pStyle w:val="TableBullet"/>
              <w:rPr>
                <w:szCs w:val="18"/>
              </w:rPr>
            </w:pPr>
            <w:r w:rsidRPr="00716CC2">
              <w:rPr>
                <w:szCs w:val="18"/>
              </w:rPr>
              <w:t xml:space="preserve">Suggest clinical governance is separate to the governance of the organisation </w:t>
            </w:r>
          </w:p>
          <w:p w14:paraId="0863B4A2" w14:textId="77777777" w:rsidR="00773C84" w:rsidRPr="00716CC2" w:rsidRDefault="00773C84" w:rsidP="00B257F2">
            <w:pPr>
              <w:pStyle w:val="TableBullet"/>
              <w:rPr>
                <w:szCs w:val="18"/>
              </w:rPr>
            </w:pPr>
            <w:r w:rsidRPr="00716CC2">
              <w:rPr>
                <w:szCs w:val="18"/>
              </w:rPr>
              <w:lastRenderedPageBreak/>
              <w:t>Suggest explicit outcome measures for efficient and effective consumer services</w:t>
            </w:r>
          </w:p>
          <w:p w14:paraId="74154E11" w14:textId="77777777" w:rsidR="00773C84" w:rsidRPr="00716CC2" w:rsidRDefault="00773C84" w:rsidP="00B257F2">
            <w:pPr>
              <w:pStyle w:val="TableBullet"/>
              <w:rPr>
                <w:szCs w:val="18"/>
              </w:rPr>
            </w:pPr>
            <w:r w:rsidRPr="00716CC2">
              <w:rPr>
                <w:szCs w:val="18"/>
              </w:rPr>
              <w:t xml:space="preserve">Suggest consumers provide feedback on the performance, efficiency and effectiveness of the governing body </w:t>
            </w:r>
          </w:p>
          <w:p w14:paraId="7060CA40" w14:textId="77777777" w:rsidR="00773C84" w:rsidRPr="00716CC2" w:rsidRDefault="00773C84" w:rsidP="00B257F2">
            <w:pPr>
              <w:pStyle w:val="TableBullet"/>
              <w:rPr>
                <w:szCs w:val="18"/>
              </w:rPr>
            </w:pPr>
            <w:r w:rsidRPr="00716CC2">
              <w:rPr>
                <w:szCs w:val="18"/>
              </w:rPr>
              <w:t>Suggest consumers have a more active role in feeding back on planned services, coordination and appropriateness</w:t>
            </w:r>
          </w:p>
        </w:tc>
        <w:tc>
          <w:tcPr>
            <w:tcW w:w="2977" w:type="dxa"/>
            <w:gridSpan w:val="3"/>
            <w:shd w:val="clear" w:color="auto" w:fill="FFFFFF" w:themeFill="background1"/>
          </w:tcPr>
          <w:p w14:paraId="4C3BDEA1" w14:textId="77777777" w:rsidR="00773C84" w:rsidRPr="00716CC2" w:rsidRDefault="00773C84" w:rsidP="00B257F2">
            <w:pPr>
              <w:pStyle w:val="TableBullet"/>
              <w:rPr>
                <w:szCs w:val="18"/>
              </w:rPr>
            </w:pPr>
            <w:r w:rsidRPr="00716CC2">
              <w:rPr>
                <w:szCs w:val="18"/>
              </w:rPr>
              <w:lastRenderedPageBreak/>
              <w:t>Question ‘Governance’ – does this need to be defined as can be interpreted differently</w:t>
            </w:r>
          </w:p>
          <w:p w14:paraId="2FD89730" w14:textId="77777777" w:rsidR="00773C84" w:rsidRPr="00716CC2" w:rsidRDefault="00773C84" w:rsidP="00B257F2">
            <w:pPr>
              <w:pStyle w:val="TableBullet"/>
              <w:rPr>
                <w:szCs w:val="18"/>
              </w:rPr>
            </w:pPr>
            <w:r w:rsidRPr="00716CC2">
              <w:rPr>
                <w:szCs w:val="18"/>
              </w:rPr>
              <w:t>Needs to reflect quality of life</w:t>
            </w:r>
          </w:p>
          <w:p w14:paraId="232CD7F8" w14:textId="77777777" w:rsidR="00773C84" w:rsidRPr="00716CC2" w:rsidRDefault="00773C84" w:rsidP="00B257F2">
            <w:pPr>
              <w:pStyle w:val="TableBullet"/>
              <w:rPr>
                <w:szCs w:val="18"/>
              </w:rPr>
            </w:pPr>
            <w:r w:rsidRPr="00716CC2">
              <w:rPr>
                <w:szCs w:val="18"/>
              </w:rPr>
              <w:t xml:space="preserve">To add: the consumer needs to be included in the strategic planning discussions – there was some mention here about the standard being mandated and how good governance supports the mandate to </w:t>
            </w:r>
            <w:r w:rsidRPr="00716CC2">
              <w:rPr>
                <w:szCs w:val="18"/>
              </w:rPr>
              <w:lastRenderedPageBreak/>
              <w:t>comply with the standard (FM, IP&amp;C Nurse specialist)</w:t>
            </w:r>
          </w:p>
        </w:tc>
      </w:tr>
      <w:tr w:rsidR="0079616F" w:rsidRPr="00716CC2" w14:paraId="448A5C42" w14:textId="77777777" w:rsidTr="007A7079">
        <w:tc>
          <w:tcPr>
            <w:tcW w:w="14884" w:type="dxa"/>
            <w:gridSpan w:val="15"/>
            <w:shd w:val="clear" w:color="auto" w:fill="FFFFFF" w:themeFill="background1"/>
          </w:tcPr>
          <w:p w14:paraId="0587C482" w14:textId="77777777" w:rsidR="0079616F" w:rsidRPr="00716CC2" w:rsidRDefault="0079616F" w:rsidP="00192421">
            <w:pPr>
              <w:spacing w:before="40" w:after="40"/>
              <w:rPr>
                <w:b/>
                <w:sz w:val="18"/>
                <w:szCs w:val="18"/>
              </w:rPr>
            </w:pPr>
          </w:p>
        </w:tc>
      </w:tr>
      <w:tr w:rsidR="0079616F" w:rsidRPr="00716CC2" w14:paraId="6DFF5D9A" w14:textId="77777777" w:rsidTr="007A7079">
        <w:tc>
          <w:tcPr>
            <w:tcW w:w="14884" w:type="dxa"/>
            <w:gridSpan w:val="15"/>
            <w:shd w:val="clear" w:color="auto" w:fill="F2F2F2" w:themeFill="background1" w:themeFillShade="F2"/>
          </w:tcPr>
          <w:p w14:paraId="0B023030" w14:textId="77777777" w:rsidR="0079616F" w:rsidRPr="00716CC2" w:rsidRDefault="00773C84" w:rsidP="00192421">
            <w:pPr>
              <w:spacing w:before="40" w:after="40"/>
              <w:rPr>
                <w:b/>
                <w:sz w:val="18"/>
                <w:szCs w:val="18"/>
              </w:rPr>
            </w:pPr>
            <w:r w:rsidRPr="00716CC2">
              <w:rPr>
                <w:b/>
                <w:sz w:val="18"/>
                <w:szCs w:val="18"/>
              </w:rPr>
              <w:t xml:space="preserve">Standard 1.2.2: </w:t>
            </w:r>
            <w:r w:rsidRPr="00716CC2">
              <w:rPr>
                <w:sz w:val="18"/>
                <w:szCs w:val="18"/>
              </w:rPr>
              <w:t>Service Management (HDS(C)S.2008:1.2.2): The organisation ensures the day-to-day operation of the service is managed in an efficient and effective manner which ensures the provision of timely, appropriate, and safe services to consumers</w:t>
            </w:r>
          </w:p>
        </w:tc>
      </w:tr>
      <w:tr w:rsidR="0079616F" w:rsidRPr="00716CC2" w14:paraId="4A4783F4" w14:textId="77777777" w:rsidTr="007A7079">
        <w:tc>
          <w:tcPr>
            <w:tcW w:w="2976" w:type="dxa"/>
            <w:gridSpan w:val="3"/>
            <w:shd w:val="clear" w:color="auto" w:fill="FFFFFF" w:themeFill="background1"/>
          </w:tcPr>
          <w:p w14:paraId="78B6D7AD"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197CF612"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69F8CB81"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08A41232"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195AC515"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238D0C18" w14:textId="77777777" w:rsidTr="007A7079">
        <w:tc>
          <w:tcPr>
            <w:tcW w:w="2976" w:type="dxa"/>
            <w:gridSpan w:val="3"/>
            <w:shd w:val="clear" w:color="auto" w:fill="FFFFFF" w:themeFill="background1"/>
          </w:tcPr>
          <w:p w14:paraId="349E12DD" w14:textId="77777777" w:rsidR="00773C84" w:rsidRPr="00716CC2" w:rsidRDefault="00773C84" w:rsidP="00B257F2">
            <w:pPr>
              <w:pStyle w:val="TableBullet"/>
              <w:rPr>
                <w:szCs w:val="18"/>
              </w:rPr>
            </w:pPr>
            <w:r w:rsidRPr="00716CC2">
              <w:rPr>
                <w:szCs w:val="18"/>
              </w:rPr>
              <w:t>Delete and merge with 1.2.1</w:t>
            </w:r>
          </w:p>
        </w:tc>
        <w:tc>
          <w:tcPr>
            <w:tcW w:w="2977" w:type="dxa"/>
            <w:gridSpan w:val="3"/>
            <w:shd w:val="clear" w:color="auto" w:fill="FFFFFF" w:themeFill="background1"/>
          </w:tcPr>
          <w:p w14:paraId="2F467F5A" w14:textId="77777777" w:rsidR="00773C84" w:rsidRPr="00716CC2" w:rsidRDefault="00773C84" w:rsidP="00B257F2">
            <w:pPr>
              <w:pStyle w:val="TableBullet"/>
              <w:rPr>
                <w:szCs w:val="18"/>
              </w:rPr>
            </w:pPr>
            <w:r w:rsidRPr="00716CC2">
              <w:rPr>
                <w:szCs w:val="18"/>
              </w:rPr>
              <w:t>Could consider moving standard to 1.2.1</w:t>
            </w:r>
          </w:p>
        </w:tc>
        <w:tc>
          <w:tcPr>
            <w:tcW w:w="2977" w:type="dxa"/>
            <w:gridSpan w:val="3"/>
            <w:shd w:val="clear" w:color="auto" w:fill="FFFFFF" w:themeFill="background1"/>
          </w:tcPr>
          <w:p w14:paraId="3E907C15" w14:textId="77777777" w:rsidR="00773C84" w:rsidRPr="00716CC2" w:rsidRDefault="00773C84" w:rsidP="00B257F2">
            <w:pPr>
              <w:pStyle w:val="TableBullet"/>
              <w:rPr>
                <w:szCs w:val="18"/>
              </w:rPr>
            </w:pPr>
            <w:r w:rsidRPr="00716CC2">
              <w:rPr>
                <w:szCs w:val="18"/>
              </w:rPr>
              <w:t>Organisationally efficient- approach to individual care  “I”</w:t>
            </w:r>
          </w:p>
          <w:p w14:paraId="47F50A0B" w14:textId="77777777" w:rsidR="00773C84" w:rsidRPr="00716CC2" w:rsidRDefault="00773C84" w:rsidP="00B257F2">
            <w:pPr>
              <w:pStyle w:val="TableBullet"/>
              <w:rPr>
                <w:szCs w:val="18"/>
              </w:rPr>
            </w:pPr>
            <w:r w:rsidRPr="00716CC2">
              <w:rPr>
                <w:szCs w:val="18"/>
              </w:rPr>
              <w:t>Acknowledgement of “ Quality of Life”</w:t>
            </w:r>
          </w:p>
          <w:p w14:paraId="1E8F2EBA" w14:textId="77777777" w:rsidR="00773C84" w:rsidRPr="00716CC2" w:rsidRDefault="00773C84" w:rsidP="00B257F2">
            <w:pPr>
              <w:pStyle w:val="TableBullet"/>
              <w:rPr>
                <w:szCs w:val="18"/>
              </w:rPr>
            </w:pPr>
            <w:r w:rsidRPr="00716CC2">
              <w:rPr>
                <w:szCs w:val="18"/>
              </w:rPr>
              <w:t>Wording is of opinion not measurement, needs clarity for diverse services (NGO V Commercially large for profit etc)</w:t>
            </w:r>
          </w:p>
          <w:p w14:paraId="76004A2B" w14:textId="77777777" w:rsidR="00773C84" w:rsidRPr="00716CC2" w:rsidRDefault="00773C84" w:rsidP="00B257F2">
            <w:pPr>
              <w:pStyle w:val="TableBullet"/>
              <w:rPr>
                <w:szCs w:val="18"/>
              </w:rPr>
            </w:pPr>
            <w:r w:rsidRPr="00716CC2">
              <w:rPr>
                <w:szCs w:val="18"/>
              </w:rPr>
              <w:t>Wording too vague currently</w:t>
            </w:r>
          </w:p>
        </w:tc>
        <w:tc>
          <w:tcPr>
            <w:tcW w:w="2977" w:type="dxa"/>
            <w:gridSpan w:val="3"/>
            <w:shd w:val="clear" w:color="auto" w:fill="FFFFFF" w:themeFill="background1"/>
          </w:tcPr>
          <w:p w14:paraId="042A4118" w14:textId="77777777" w:rsidR="00773C84" w:rsidRPr="00716CC2" w:rsidRDefault="00773C84" w:rsidP="00B257F2">
            <w:pPr>
              <w:pStyle w:val="TableBullet"/>
              <w:rPr>
                <w:szCs w:val="18"/>
              </w:rPr>
            </w:pPr>
            <w:r w:rsidRPr="00716CC2">
              <w:rPr>
                <w:szCs w:val="18"/>
              </w:rPr>
              <w:t>Possible merger with standard 1.2.1 however, this could create governance and operational confusion</w:t>
            </w:r>
          </w:p>
          <w:p w14:paraId="640FF7BB" w14:textId="77777777" w:rsidR="00773C84" w:rsidRPr="00716CC2" w:rsidRDefault="00773C84" w:rsidP="00B257F2">
            <w:pPr>
              <w:pStyle w:val="TableBullet"/>
              <w:rPr>
                <w:szCs w:val="18"/>
              </w:rPr>
            </w:pPr>
            <w:r w:rsidRPr="00716CC2">
              <w:rPr>
                <w:szCs w:val="18"/>
              </w:rPr>
              <w:t xml:space="preserve">Suggest flipping the organisation on its head and having the consumer at the top of the pyramid </w:t>
            </w:r>
          </w:p>
          <w:p w14:paraId="539F9BBF" w14:textId="77777777" w:rsidR="00773C84" w:rsidRPr="00716CC2" w:rsidRDefault="00773C84" w:rsidP="00B257F2">
            <w:pPr>
              <w:pStyle w:val="TableBullet"/>
              <w:rPr>
                <w:szCs w:val="18"/>
              </w:rPr>
            </w:pPr>
            <w:r w:rsidRPr="00716CC2">
              <w:rPr>
                <w:szCs w:val="18"/>
              </w:rPr>
              <w:t>This should represent who we are as an organisation and how we meet the needs of the consumer</w:t>
            </w:r>
          </w:p>
          <w:p w14:paraId="2D26CDEC" w14:textId="77777777" w:rsidR="00773C84" w:rsidRPr="00716CC2" w:rsidRDefault="00773C84" w:rsidP="00B257F2">
            <w:pPr>
              <w:pStyle w:val="TableBullet"/>
              <w:rPr>
                <w:szCs w:val="18"/>
              </w:rPr>
            </w:pPr>
            <w:r w:rsidRPr="00716CC2">
              <w:rPr>
                <w:szCs w:val="18"/>
              </w:rPr>
              <w:t xml:space="preserve">Suggest explicit outcome measures for efficient and effective consumer services </w:t>
            </w:r>
          </w:p>
          <w:p w14:paraId="44B6A0EA" w14:textId="77777777" w:rsidR="00773C84" w:rsidRPr="00716CC2" w:rsidRDefault="00773C84" w:rsidP="00B257F2">
            <w:pPr>
              <w:pStyle w:val="TableBullet"/>
              <w:rPr>
                <w:szCs w:val="18"/>
              </w:rPr>
            </w:pPr>
            <w:r w:rsidRPr="00716CC2">
              <w:rPr>
                <w:szCs w:val="18"/>
              </w:rPr>
              <w:t xml:space="preserve">Suggest a service specification for ARC, and grand parenting </w:t>
            </w:r>
            <w:r w:rsidRPr="00716CC2">
              <w:rPr>
                <w:szCs w:val="18"/>
              </w:rPr>
              <w:lastRenderedPageBreak/>
              <w:t>the ARC agreement expect for funding and definition requirements</w:t>
            </w:r>
          </w:p>
        </w:tc>
        <w:tc>
          <w:tcPr>
            <w:tcW w:w="2977" w:type="dxa"/>
            <w:gridSpan w:val="3"/>
            <w:shd w:val="clear" w:color="auto" w:fill="FFFFFF" w:themeFill="background1"/>
          </w:tcPr>
          <w:p w14:paraId="2D48041B" w14:textId="77777777" w:rsidR="00773C84" w:rsidRPr="00716CC2" w:rsidRDefault="00773C84" w:rsidP="00B257F2">
            <w:pPr>
              <w:pStyle w:val="TableBullet"/>
              <w:rPr>
                <w:szCs w:val="18"/>
              </w:rPr>
            </w:pPr>
            <w:r w:rsidRPr="00716CC2">
              <w:rPr>
                <w:szCs w:val="18"/>
              </w:rPr>
              <w:lastRenderedPageBreak/>
              <w:t>Merge into 1.2.1</w:t>
            </w:r>
          </w:p>
          <w:p w14:paraId="3ED24425" w14:textId="77777777" w:rsidR="00773C84" w:rsidRPr="00716CC2" w:rsidRDefault="00773C84" w:rsidP="00B257F2">
            <w:pPr>
              <w:pStyle w:val="TableBullet"/>
              <w:rPr>
                <w:szCs w:val="18"/>
              </w:rPr>
            </w:pPr>
          </w:p>
        </w:tc>
      </w:tr>
      <w:tr w:rsidR="0079616F" w:rsidRPr="00716CC2" w14:paraId="5F96C1A6" w14:textId="77777777" w:rsidTr="007A7079">
        <w:tc>
          <w:tcPr>
            <w:tcW w:w="14884" w:type="dxa"/>
            <w:gridSpan w:val="15"/>
            <w:shd w:val="clear" w:color="auto" w:fill="FFFFFF" w:themeFill="background1"/>
          </w:tcPr>
          <w:p w14:paraId="7515C796" w14:textId="77777777" w:rsidR="0079616F" w:rsidRPr="00716CC2" w:rsidRDefault="0079616F" w:rsidP="00192421">
            <w:pPr>
              <w:spacing w:before="40" w:after="40"/>
              <w:rPr>
                <w:b/>
                <w:sz w:val="18"/>
                <w:szCs w:val="18"/>
              </w:rPr>
            </w:pPr>
          </w:p>
        </w:tc>
      </w:tr>
      <w:tr w:rsidR="0079616F" w:rsidRPr="00716CC2" w14:paraId="6A20B967" w14:textId="77777777" w:rsidTr="007A7079">
        <w:tc>
          <w:tcPr>
            <w:tcW w:w="14884" w:type="dxa"/>
            <w:gridSpan w:val="15"/>
            <w:shd w:val="clear" w:color="auto" w:fill="F2F2F2" w:themeFill="background1" w:themeFillShade="F2"/>
          </w:tcPr>
          <w:p w14:paraId="358FD665" w14:textId="77777777" w:rsidR="0079616F" w:rsidRPr="00716CC2" w:rsidRDefault="00773C84" w:rsidP="00192421">
            <w:pPr>
              <w:spacing w:before="40" w:after="40"/>
              <w:rPr>
                <w:b/>
                <w:sz w:val="18"/>
                <w:szCs w:val="18"/>
              </w:rPr>
            </w:pPr>
            <w:r w:rsidRPr="00716CC2">
              <w:rPr>
                <w:b/>
                <w:sz w:val="18"/>
                <w:szCs w:val="18"/>
              </w:rPr>
              <w:t xml:space="preserve">Standard 1.2.3: </w:t>
            </w:r>
            <w:r w:rsidRPr="00716CC2">
              <w:rPr>
                <w:sz w:val="18"/>
                <w:szCs w:val="18"/>
              </w:rPr>
              <w:t>Quality and Risk Management Systems (HDS(C)S.2008:1.2.3): The organisation has an established, documented, and maintained quality and risk management system that reflects continuous quality improvement principles.</w:t>
            </w:r>
          </w:p>
        </w:tc>
      </w:tr>
      <w:tr w:rsidR="0079616F" w:rsidRPr="00716CC2" w14:paraId="33047D36" w14:textId="77777777" w:rsidTr="007A7079">
        <w:tc>
          <w:tcPr>
            <w:tcW w:w="2976" w:type="dxa"/>
            <w:gridSpan w:val="3"/>
            <w:shd w:val="clear" w:color="auto" w:fill="FFFFFF" w:themeFill="background1"/>
          </w:tcPr>
          <w:p w14:paraId="0475A706"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3095354C"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672A6D36"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61ACB131"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39169951"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4EE6BA32" w14:textId="77777777" w:rsidTr="007A7079">
        <w:tc>
          <w:tcPr>
            <w:tcW w:w="2976" w:type="dxa"/>
            <w:gridSpan w:val="3"/>
            <w:shd w:val="clear" w:color="auto" w:fill="FFFFFF" w:themeFill="background1"/>
          </w:tcPr>
          <w:p w14:paraId="4E4450B7" w14:textId="77777777" w:rsidR="00773C84" w:rsidRPr="00716CC2" w:rsidRDefault="00773C84" w:rsidP="00B257F2">
            <w:pPr>
              <w:pStyle w:val="TableBullet"/>
              <w:rPr>
                <w:szCs w:val="18"/>
              </w:rPr>
            </w:pPr>
            <w:r w:rsidRPr="00716CC2">
              <w:rPr>
                <w:szCs w:val="18"/>
              </w:rPr>
              <w:t xml:space="preserve">Responsiveness to high risk issues – robustness of processes with dealing with internal and external risks (hospital /community). Focus should extend beyond inpatient issues. </w:t>
            </w:r>
          </w:p>
          <w:p w14:paraId="2DD95CFD" w14:textId="77777777" w:rsidR="00773C84" w:rsidRPr="00716CC2" w:rsidRDefault="00773C84" w:rsidP="00B257F2">
            <w:pPr>
              <w:pStyle w:val="TableBullet"/>
              <w:rPr>
                <w:szCs w:val="18"/>
              </w:rPr>
            </w:pPr>
            <w:r w:rsidRPr="00716CC2">
              <w:rPr>
                <w:szCs w:val="18"/>
              </w:rPr>
              <w:t xml:space="preserve">More focus on quality improvement methodology throughout criteria - lens on quality cycle activity – enlarge on how links between clinical activity can have a quality lens. </w:t>
            </w:r>
          </w:p>
          <w:p w14:paraId="06D12DF4" w14:textId="77777777" w:rsidR="00773C84" w:rsidRPr="00716CC2" w:rsidRDefault="00773C84" w:rsidP="00B257F2">
            <w:pPr>
              <w:pStyle w:val="TableBullet"/>
              <w:rPr>
                <w:szCs w:val="18"/>
              </w:rPr>
            </w:pPr>
            <w:r w:rsidRPr="00716CC2">
              <w:rPr>
                <w:szCs w:val="18"/>
              </w:rPr>
              <w:t>Does best or good practice terminology sit with quality management?</w:t>
            </w:r>
          </w:p>
          <w:p w14:paraId="21DCAD87" w14:textId="77777777" w:rsidR="00773C84" w:rsidRPr="00716CC2" w:rsidRDefault="00773C84" w:rsidP="00B257F2">
            <w:pPr>
              <w:pStyle w:val="TableBullet"/>
              <w:rPr>
                <w:szCs w:val="18"/>
              </w:rPr>
            </w:pPr>
            <w:r w:rsidRPr="00716CC2">
              <w:rPr>
                <w:szCs w:val="18"/>
              </w:rPr>
              <w:t>Ensure use or national definition – sharing.</w:t>
            </w:r>
          </w:p>
          <w:p w14:paraId="29F9DD40" w14:textId="77777777" w:rsidR="00773C84" w:rsidRPr="00716CC2" w:rsidRDefault="00773C84" w:rsidP="00B257F2">
            <w:pPr>
              <w:pStyle w:val="TableBullet"/>
              <w:rPr>
                <w:szCs w:val="18"/>
              </w:rPr>
            </w:pPr>
            <w:r w:rsidRPr="00716CC2">
              <w:rPr>
                <w:szCs w:val="18"/>
              </w:rPr>
              <w:t>Shared learnings – how do other areas within and external to DHB learn of improvement activities.</w:t>
            </w:r>
          </w:p>
          <w:p w14:paraId="71A9A57B" w14:textId="77777777" w:rsidR="00773C84" w:rsidRPr="00716CC2" w:rsidRDefault="00773C84" w:rsidP="00B257F2">
            <w:pPr>
              <w:pStyle w:val="TableBullet"/>
              <w:rPr>
                <w:szCs w:val="18"/>
              </w:rPr>
            </w:pPr>
            <w:r w:rsidRPr="00716CC2">
              <w:rPr>
                <w:szCs w:val="18"/>
              </w:rPr>
              <w:t>Risk Management guidance (ASNZS ISO Standard 31000:2009) (HQSC)</w:t>
            </w:r>
          </w:p>
          <w:p w14:paraId="143E5998" w14:textId="77777777" w:rsidR="00773C84" w:rsidRPr="00716CC2" w:rsidRDefault="00773C84" w:rsidP="00B257F2">
            <w:pPr>
              <w:pStyle w:val="TableBullet"/>
              <w:rPr>
                <w:szCs w:val="18"/>
              </w:rPr>
            </w:pPr>
            <w:r w:rsidRPr="00716CC2">
              <w:rPr>
                <w:szCs w:val="18"/>
              </w:rPr>
              <w:t>Potential for IPC focus in here (NZNO IPC)</w:t>
            </w:r>
          </w:p>
        </w:tc>
        <w:tc>
          <w:tcPr>
            <w:tcW w:w="2977" w:type="dxa"/>
            <w:gridSpan w:val="3"/>
            <w:shd w:val="clear" w:color="auto" w:fill="FFFFFF" w:themeFill="background1"/>
          </w:tcPr>
          <w:p w14:paraId="36FFE413" w14:textId="77777777" w:rsidR="00773C84" w:rsidRPr="00716CC2" w:rsidRDefault="00773C84" w:rsidP="00B257F2">
            <w:pPr>
              <w:pStyle w:val="TableBullet"/>
              <w:rPr>
                <w:szCs w:val="18"/>
              </w:rPr>
            </w:pPr>
            <w:r w:rsidRPr="00716CC2">
              <w:rPr>
                <w:szCs w:val="18"/>
              </w:rPr>
              <w:t>Strengthen implementation of and adoption of policy and procedures = change. Mention here about IT on line/hard copy/security and infrastructure</w:t>
            </w:r>
          </w:p>
          <w:p w14:paraId="11DD8E2A" w14:textId="77777777" w:rsidR="00773C84" w:rsidRPr="00716CC2" w:rsidRDefault="00773C84" w:rsidP="00B257F2">
            <w:pPr>
              <w:pStyle w:val="TableBullet"/>
              <w:rPr>
                <w:szCs w:val="18"/>
              </w:rPr>
            </w:pPr>
            <w:r w:rsidRPr="00716CC2">
              <w:rPr>
                <w:szCs w:val="18"/>
              </w:rPr>
              <w:t>Whole of risk monitoring.</w:t>
            </w:r>
          </w:p>
        </w:tc>
        <w:tc>
          <w:tcPr>
            <w:tcW w:w="2977" w:type="dxa"/>
            <w:gridSpan w:val="3"/>
            <w:shd w:val="clear" w:color="auto" w:fill="FFFFFF" w:themeFill="background1"/>
          </w:tcPr>
          <w:p w14:paraId="7BA38BE4" w14:textId="77777777" w:rsidR="00773C84" w:rsidRPr="00716CC2" w:rsidRDefault="00773C84" w:rsidP="00B257F2">
            <w:pPr>
              <w:pStyle w:val="TableBullet"/>
              <w:rPr>
                <w:szCs w:val="18"/>
              </w:rPr>
            </w:pPr>
            <w:r w:rsidRPr="00716CC2">
              <w:rPr>
                <w:szCs w:val="18"/>
              </w:rPr>
              <w:t>Clarity and definition between quality and risk systems and quality improvement principles – two separate areas</w:t>
            </w:r>
          </w:p>
        </w:tc>
        <w:tc>
          <w:tcPr>
            <w:tcW w:w="2977" w:type="dxa"/>
            <w:gridSpan w:val="3"/>
            <w:shd w:val="clear" w:color="auto" w:fill="FFFFFF" w:themeFill="background1"/>
          </w:tcPr>
          <w:p w14:paraId="4C3A913B" w14:textId="77777777" w:rsidR="00773C84" w:rsidRPr="00716CC2" w:rsidRDefault="00773C84" w:rsidP="00B257F2">
            <w:pPr>
              <w:pStyle w:val="TableBullet"/>
              <w:rPr>
                <w:szCs w:val="18"/>
              </w:rPr>
            </w:pPr>
            <w:r w:rsidRPr="00716CC2">
              <w:rPr>
                <w:szCs w:val="18"/>
              </w:rPr>
              <w:t xml:space="preserve">Currently, too much emphasis on policy </w:t>
            </w:r>
          </w:p>
          <w:p w14:paraId="7DE25162" w14:textId="77777777" w:rsidR="00773C84" w:rsidRPr="00716CC2" w:rsidRDefault="00773C84" w:rsidP="00B257F2">
            <w:pPr>
              <w:pStyle w:val="TableBullet"/>
              <w:rPr>
                <w:szCs w:val="18"/>
              </w:rPr>
            </w:pPr>
            <w:r w:rsidRPr="00716CC2">
              <w:rPr>
                <w:szCs w:val="18"/>
              </w:rPr>
              <w:t>Suggest developing quality indicators from a consumer perspective</w:t>
            </w:r>
          </w:p>
          <w:p w14:paraId="6E590B58" w14:textId="77777777" w:rsidR="00773C84" w:rsidRPr="00716CC2" w:rsidRDefault="00773C84" w:rsidP="00B257F2">
            <w:pPr>
              <w:pStyle w:val="TableBullet"/>
              <w:rPr>
                <w:szCs w:val="18"/>
              </w:rPr>
            </w:pPr>
            <w:r w:rsidRPr="00716CC2">
              <w:rPr>
                <w:szCs w:val="18"/>
              </w:rPr>
              <w:t>Climate of increased expectation</w:t>
            </w:r>
          </w:p>
          <w:p w14:paraId="69151ACA" w14:textId="77777777" w:rsidR="00773C84" w:rsidRPr="00716CC2" w:rsidRDefault="00773C84" w:rsidP="00B257F2">
            <w:pPr>
              <w:pStyle w:val="TableBullet"/>
              <w:rPr>
                <w:szCs w:val="18"/>
              </w:rPr>
            </w:pPr>
            <w:r w:rsidRPr="00716CC2">
              <w:rPr>
                <w:szCs w:val="18"/>
              </w:rPr>
              <w:t>Currently too prescriptive</w:t>
            </w:r>
          </w:p>
        </w:tc>
        <w:tc>
          <w:tcPr>
            <w:tcW w:w="2977" w:type="dxa"/>
            <w:gridSpan w:val="3"/>
            <w:shd w:val="clear" w:color="auto" w:fill="FFFFFF" w:themeFill="background1"/>
          </w:tcPr>
          <w:p w14:paraId="69B19FE8" w14:textId="77777777" w:rsidR="00773C84" w:rsidRPr="00716CC2" w:rsidRDefault="00773C84" w:rsidP="00B257F2">
            <w:pPr>
              <w:pStyle w:val="TableBullet"/>
              <w:rPr>
                <w:szCs w:val="18"/>
              </w:rPr>
            </w:pPr>
            <w:r w:rsidRPr="00716CC2">
              <w:rPr>
                <w:szCs w:val="18"/>
              </w:rPr>
              <w:t>Question – the word ‘risk’ has negative connotations could be replaced with ‘safeguard(ing)’ throughout the document</w:t>
            </w:r>
          </w:p>
          <w:p w14:paraId="5E507008" w14:textId="77777777" w:rsidR="00773C84" w:rsidRPr="00716CC2" w:rsidRDefault="00773C84" w:rsidP="00B257F2">
            <w:pPr>
              <w:pStyle w:val="TableBullet"/>
              <w:rPr>
                <w:szCs w:val="18"/>
              </w:rPr>
            </w:pPr>
            <w:r w:rsidRPr="00716CC2">
              <w:rPr>
                <w:szCs w:val="18"/>
              </w:rPr>
              <w:t>Question - Could incorporate H&amp;S aspect with regard to the consumer</w:t>
            </w:r>
          </w:p>
        </w:tc>
      </w:tr>
      <w:tr w:rsidR="0079616F" w:rsidRPr="00716CC2" w14:paraId="0A7EB18F" w14:textId="77777777" w:rsidTr="007A7079">
        <w:tc>
          <w:tcPr>
            <w:tcW w:w="14884" w:type="dxa"/>
            <w:gridSpan w:val="15"/>
            <w:shd w:val="clear" w:color="auto" w:fill="FFFFFF" w:themeFill="background1"/>
          </w:tcPr>
          <w:p w14:paraId="04820176" w14:textId="77777777" w:rsidR="0079616F" w:rsidRPr="00716CC2" w:rsidRDefault="0079616F" w:rsidP="00192421">
            <w:pPr>
              <w:spacing w:before="40" w:after="40"/>
              <w:rPr>
                <w:b/>
                <w:sz w:val="18"/>
                <w:szCs w:val="18"/>
              </w:rPr>
            </w:pPr>
          </w:p>
        </w:tc>
      </w:tr>
      <w:tr w:rsidR="0079616F" w:rsidRPr="00716CC2" w14:paraId="5EA8A516" w14:textId="77777777" w:rsidTr="007A7079">
        <w:tc>
          <w:tcPr>
            <w:tcW w:w="14884" w:type="dxa"/>
            <w:gridSpan w:val="15"/>
            <w:shd w:val="clear" w:color="auto" w:fill="F2F2F2" w:themeFill="background1" w:themeFillShade="F2"/>
          </w:tcPr>
          <w:p w14:paraId="396E7C70" w14:textId="77777777" w:rsidR="0079616F" w:rsidRPr="00716CC2" w:rsidRDefault="00773C84" w:rsidP="00192421">
            <w:pPr>
              <w:spacing w:before="40" w:after="40"/>
              <w:rPr>
                <w:b/>
                <w:sz w:val="18"/>
                <w:szCs w:val="18"/>
              </w:rPr>
            </w:pPr>
            <w:r w:rsidRPr="00716CC2">
              <w:rPr>
                <w:b/>
                <w:sz w:val="18"/>
                <w:szCs w:val="18"/>
              </w:rPr>
              <w:lastRenderedPageBreak/>
              <w:t xml:space="preserve">Standard 1.2.4: </w:t>
            </w:r>
            <w:r w:rsidRPr="00716CC2">
              <w:rPr>
                <w:sz w:val="18"/>
                <w:szCs w:val="18"/>
              </w:rPr>
              <w:t>Adverse Event Reporting (HDS(C)S.2008:1.2.4): All adverse, unplanned, or untoward events are systematically recorded by the service and reported to affected consumers and where appropriate their family/whānau of choice in an open manner</w:t>
            </w:r>
          </w:p>
        </w:tc>
      </w:tr>
      <w:tr w:rsidR="0079616F" w:rsidRPr="00716CC2" w14:paraId="24062FF8" w14:textId="77777777" w:rsidTr="007A7079">
        <w:tc>
          <w:tcPr>
            <w:tcW w:w="2976" w:type="dxa"/>
            <w:gridSpan w:val="3"/>
            <w:shd w:val="clear" w:color="auto" w:fill="FFFFFF" w:themeFill="background1"/>
          </w:tcPr>
          <w:p w14:paraId="06D21304"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443021A5"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0587A2B1"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3F791B6B"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241DBDC7"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7371EE97" w14:textId="77777777" w:rsidTr="007A7079">
        <w:tc>
          <w:tcPr>
            <w:tcW w:w="2976" w:type="dxa"/>
            <w:gridSpan w:val="3"/>
            <w:shd w:val="clear" w:color="auto" w:fill="FFFFFF" w:themeFill="background1"/>
          </w:tcPr>
          <w:p w14:paraId="1C6B0B2C" w14:textId="77777777" w:rsidR="00773C84" w:rsidRPr="00716CC2" w:rsidRDefault="00773C84" w:rsidP="00B257F2">
            <w:pPr>
              <w:pStyle w:val="TableBullet"/>
              <w:rPr>
                <w:szCs w:val="18"/>
              </w:rPr>
            </w:pPr>
            <w:r w:rsidRPr="00716CC2">
              <w:rPr>
                <w:szCs w:val="18"/>
              </w:rPr>
              <w:t>Ensure review and improvement has an educative not punitive focus</w:t>
            </w:r>
          </w:p>
          <w:p w14:paraId="519854CD" w14:textId="77777777" w:rsidR="00773C84" w:rsidRPr="00716CC2" w:rsidRDefault="00773C84" w:rsidP="00B257F2">
            <w:pPr>
              <w:pStyle w:val="TableBullet"/>
              <w:rPr>
                <w:szCs w:val="18"/>
              </w:rPr>
            </w:pPr>
            <w:r w:rsidRPr="00716CC2">
              <w:rPr>
                <w:szCs w:val="18"/>
              </w:rPr>
              <w:t xml:space="preserve">For most services in this group demonstrate (HQSC) use of National Adverse Event Reporting Policy 2017 (HQSC)  </w:t>
            </w:r>
          </w:p>
          <w:p w14:paraId="5BFA10B1" w14:textId="77777777" w:rsidR="00773C84" w:rsidRPr="00716CC2" w:rsidRDefault="00773C84" w:rsidP="00B257F2">
            <w:pPr>
              <w:pStyle w:val="TableBullet"/>
              <w:rPr>
                <w:szCs w:val="18"/>
              </w:rPr>
            </w:pPr>
            <w:r w:rsidRPr="00716CC2">
              <w:rPr>
                <w:szCs w:val="18"/>
              </w:rPr>
              <w:t>Consider open communication is completed and assessed within this area – (open disclosure)</w:t>
            </w:r>
          </w:p>
        </w:tc>
        <w:tc>
          <w:tcPr>
            <w:tcW w:w="2977" w:type="dxa"/>
            <w:gridSpan w:val="3"/>
            <w:shd w:val="clear" w:color="auto" w:fill="FFFFFF" w:themeFill="background1"/>
          </w:tcPr>
          <w:p w14:paraId="235F3670" w14:textId="77777777" w:rsidR="00773C84" w:rsidRPr="00716CC2" w:rsidRDefault="00773C84" w:rsidP="00B257F2">
            <w:pPr>
              <w:pStyle w:val="TableBullet"/>
              <w:rPr>
                <w:szCs w:val="18"/>
              </w:rPr>
            </w:pPr>
            <w:r w:rsidRPr="00716CC2">
              <w:rPr>
                <w:szCs w:val="18"/>
              </w:rPr>
              <w:t>Relevant standard – some provider may become risk adverse.</w:t>
            </w:r>
          </w:p>
        </w:tc>
        <w:tc>
          <w:tcPr>
            <w:tcW w:w="2977" w:type="dxa"/>
            <w:gridSpan w:val="3"/>
            <w:shd w:val="clear" w:color="auto" w:fill="FFFFFF" w:themeFill="background1"/>
          </w:tcPr>
          <w:p w14:paraId="16B81BE4" w14:textId="77777777" w:rsidR="00773C84" w:rsidRPr="00716CC2" w:rsidRDefault="00773C84" w:rsidP="00B257F2">
            <w:pPr>
              <w:pStyle w:val="TableBullet"/>
              <w:rPr>
                <w:szCs w:val="18"/>
              </w:rPr>
            </w:pPr>
            <w:r w:rsidRPr="00716CC2">
              <w:rPr>
                <w:szCs w:val="18"/>
              </w:rPr>
              <w:t xml:space="preserve">There is a gap here regarding “closing the loop” – it is just not reporting but change, evaluation outcome and report again process. Currently this is met by reporting with no action / outcome </w:t>
            </w:r>
          </w:p>
          <w:p w14:paraId="3012ABF5" w14:textId="77777777" w:rsidR="00773C84" w:rsidRPr="00716CC2" w:rsidRDefault="00773C84" w:rsidP="00B257F2">
            <w:pPr>
              <w:pStyle w:val="TableBullet"/>
              <w:rPr>
                <w:szCs w:val="18"/>
              </w:rPr>
            </w:pPr>
            <w:r w:rsidRPr="00716CC2">
              <w:rPr>
                <w:szCs w:val="18"/>
              </w:rPr>
              <w:t>Closing the loop following adverse events is covered in 1.2.3 around quality and risk, it would be repeated if in here as well, don’t believe there is a gap (LC, HDANZ)</w:t>
            </w:r>
          </w:p>
        </w:tc>
        <w:tc>
          <w:tcPr>
            <w:tcW w:w="2977" w:type="dxa"/>
            <w:gridSpan w:val="3"/>
            <w:shd w:val="clear" w:color="auto" w:fill="FFFFFF" w:themeFill="background1"/>
          </w:tcPr>
          <w:p w14:paraId="575B9D56" w14:textId="77777777" w:rsidR="00773C84" w:rsidRPr="00716CC2" w:rsidRDefault="00773C84" w:rsidP="00B257F2">
            <w:pPr>
              <w:pStyle w:val="TableBullet"/>
              <w:rPr>
                <w:szCs w:val="18"/>
              </w:rPr>
            </w:pPr>
            <w:r w:rsidRPr="00716CC2">
              <w:rPr>
                <w:szCs w:val="18"/>
              </w:rPr>
              <w:t xml:space="preserve">Suggest creating a dignity and risk measure for consumer to report on </w:t>
            </w:r>
          </w:p>
          <w:p w14:paraId="70AFC315" w14:textId="77777777" w:rsidR="00773C84" w:rsidRPr="00716CC2" w:rsidRDefault="00773C84" w:rsidP="00B257F2">
            <w:pPr>
              <w:pStyle w:val="TableBullet"/>
              <w:rPr>
                <w:szCs w:val="18"/>
              </w:rPr>
            </w:pPr>
            <w:r w:rsidRPr="00716CC2">
              <w:rPr>
                <w:szCs w:val="18"/>
              </w:rPr>
              <w:t>Current accountability and transparency-it works</w:t>
            </w:r>
          </w:p>
          <w:p w14:paraId="21DBEA7A" w14:textId="77777777" w:rsidR="00773C84" w:rsidRPr="00716CC2" w:rsidRDefault="00773C84" w:rsidP="00B257F2">
            <w:pPr>
              <w:pStyle w:val="TableBullet"/>
              <w:rPr>
                <w:szCs w:val="18"/>
              </w:rPr>
            </w:pPr>
            <w:r w:rsidRPr="00716CC2">
              <w:rPr>
                <w:szCs w:val="18"/>
              </w:rPr>
              <w:t>Linked to improvement</w:t>
            </w:r>
          </w:p>
          <w:p w14:paraId="0CBF08E4" w14:textId="77777777" w:rsidR="00773C84" w:rsidRPr="00716CC2" w:rsidRDefault="00773C84" w:rsidP="00B257F2">
            <w:pPr>
              <w:pStyle w:val="TableBullet"/>
              <w:rPr>
                <w:szCs w:val="18"/>
              </w:rPr>
            </w:pPr>
            <w:r w:rsidRPr="00716CC2">
              <w:rPr>
                <w:szCs w:val="18"/>
              </w:rPr>
              <w:t xml:space="preserve">Missing the reporting of near misses </w:t>
            </w:r>
          </w:p>
          <w:p w14:paraId="17C4B9A5" w14:textId="77777777" w:rsidR="00773C84" w:rsidRPr="00716CC2" w:rsidRDefault="00773C84" w:rsidP="00B257F2">
            <w:pPr>
              <w:pStyle w:val="TableBullet"/>
              <w:rPr>
                <w:szCs w:val="18"/>
              </w:rPr>
            </w:pPr>
            <w:r w:rsidRPr="00716CC2">
              <w:rPr>
                <w:szCs w:val="18"/>
              </w:rPr>
              <w:t>No consumer perspective or context -this needs to be added</w:t>
            </w:r>
          </w:p>
        </w:tc>
        <w:tc>
          <w:tcPr>
            <w:tcW w:w="2977" w:type="dxa"/>
            <w:gridSpan w:val="3"/>
            <w:shd w:val="clear" w:color="auto" w:fill="FFFFFF" w:themeFill="background1"/>
          </w:tcPr>
          <w:p w14:paraId="7112A5DC" w14:textId="77777777" w:rsidR="00773C84" w:rsidRPr="00716CC2" w:rsidRDefault="00773C84" w:rsidP="00B257F2">
            <w:pPr>
              <w:pStyle w:val="TableBullet"/>
              <w:rPr>
                <w:szCs w:val="18"/>
              </w:rPr>
            </w:pPr>
            <w:r w:rsidRPr="00716CC2">
              <w:rPr>
                <w:szCs w:val="18"/>
              </w:rPr>
              <w:t>Merge into standard 1.2.3</w:t>
            </w:r>
          </w:p>
        </w:tc>
      </w:tr>
      <w:tr w:rsidR="0079616F" w:rsidRPr="00716CC2" w14:paraId="14556918" w14:textId="77777777" w:rsidTr="007A7079">
        <w:tc>
          <w:tcPr>
            <w:tcW w:w="14884" w:type="dxa"/>
            <w:gridSpan w:val="15"/>
            <w:shd w:val="clear" w:color="auto" w:fill="FFFFFF" w:themeFill="background1"/>
          </w:tcPr>
          <w:p w14:paraId="74DB18DA" w14:textId="77777777" w:rsidR="0079616F" w:rsidRPr="00716CC2" w:rsidRDefault="0079616F" w:rsidP="00192421">
            <w:pPr>
              <w:spacing w:before="40" w:after="40"/>
              <w:rPr>
                <w:b/>
                <w:sz w:val="18"/>
                <w:szCs w:val="18"/>
              </w:rPr>
            </w:pPr>
          </w:p>
        </w:tc>
      </w:tr>
      <w:tr w:rsidR="0079616F" w:rsidRPr="00716CC2" w14:paraId="3B463585" w14:textId="77777777" w:rsidTr="007A7079">
        <w:tc>
          <w:tcPr>
            <w:tcW w:w="14884" w:type="dxa"/>
            <w:gridSpan w:val="15"/>
            <w:shd w:val="clear" w:color="auto" w:fill="F2F2F2" w:themeFill="background1" w:themeFillShade="F2"/>
          </w:tcPr>
          <w:p w14:paraId="2BAD87F9" w14:textId="77777777" w:rsidR="0079616F" w:rsidRPr="00716CC2" w:rsidRDefault="00773C84" w:rsidP="00192421">
            <w:pPr>
              <w:spacing w:before="40" w:after="40"/>
              <w:rPr>
                <w:b/>
                <w:sz w:val="18"/>
                <w:szCs w:val="18"/>
              </w:rPr>
            </w:pPr>
            <w:r w:rsidRPr="00716CC2">
              <w:rPr>
                <w:b/>
                <w:sz w:val="18"/>
                <w:szCs w:val="18"/>
              </w:rPr>
              <w:t xml:space="preserve">Standard 1.2.5: </w:t>
            </w:r>
            <w:r w:rsidRPr="00716CC2">
              <w:rPr>
                <w:sz w:val="18"/>
                <w:szCs w:val="18"/>
              </w:rPr>
              <w:t>Consumer Participation (HDS(C)S.2008:1.2.5): Consumers are involved in the planning, implementation, and evaluation at all levels of the service to ensure services are responsive to the needs of individuals</w:t>
            </w:r>
          </w:p>
        </w:tc>
      </w:tr>
      <w:tr w:rsidR="0079616F" w:rsidRPr="00716CC2" w14:paraId="32B63D22" w14:textId="77777777" w:rsidTr="007A7079">
        <w:tc>
          <w:tcPr>
            <w:tcW w:w="2976" w:type="dxa"/>
            <w:gridSpan w:val="3"/>
            <w:shd w:val="clear" w:color="auto" w:fill="FFFFFF" w:themeFill="background1"/>
          </w:tcPr>
          <w:p w14:paraId="0F8015E6"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3FD4BF38"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5FB896B1"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4779EBDA"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2B59E516"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44042262" w14:textId="77777777" w:rsidTr="007A7079">
        <w:tc>
          <w:tcPr>
            <w:tcW w:w="2976" w:type="dxa"/>
            <w:gridSpan w:val="3"/>
            <w:shd w:val="clear" w:color="auto" w:fill="FFFFFF" w:themeFill="background1"/>
          </w:tcPr>
          <w:p w14:paraId="1454076A" w14:textId="77777777" w:rsidR="00773C84" w:rsidRPr="00716CC2" w:rsidRDefault="00773C84" w:rsidP="00B257F2">
            <w:pPr>
              <w:pStyle w:val="TableBullet"/>
              <w:rPr>
                <w:szCs w:val="18"/>
              </w:rPr>
            </w:pPr>
            <w:r w:rsidRPr="00716CC2">
              <w:rPr>
                <w:szCs w:val="18"/>
              </w:rPr>
              <w:t xml:space="preserve">Group considered this standard should be adopted throughout all hospital services. </w:t>
            </w:r>
          </w:p>
          <w:p w14:paraId="76AD1A9D" w14:textId="77777777" w:rsidR="00773C84" w:rsidRPr="00716CC2" w:rsidRDefault="00773C84" w:rsidP="00B257F2">
            <w:pPr>
              <w:pStyle w:val="TableBullet"/>
              <w:rPr>
                <w:szCs w:val="18"/>
              </w:rPr>
            </w:pPr>
            <w:r w:rsidRPr="00716CC2">
              <w:rPr>
                <w:szCs w:val="18"/>
              </w:rPr>
              <w:t xml:space="preserve">Ensure organisational commitment  - co-design language </w:t>
            </w:r>
          </w:p>
          <w:p w14:paraId="69E2E036" w14:textId="77777777" w:rsidR="00773C84" w:rsidRPr="00716CC2" w:rsidRDefault="00773C84" w:rsidP="00B257F2">
            <w:pPr>
              <w:pStyle w:val="TableBullet"/>
              <w:rPr>
                <w:szCs w:val="18"/>
              </w:rPr>
            </w:pPr>
            <w:r w:rsidRPr="00716CC2">
              <w:rPr>
                <w:szCs w:val="18"/>
              </w:rPr>
              <w:t xml:space="preserve">Effectiveness and feedback is considered by provider with links to improvements and changes. </w:t>
            </w:r>
          </w:p>
          <w:p w14:paraId="3FC0561A" w14:textId="77777777" w:rsidR="00773C84" w:rsidRPr="00716CC2" w:rsidRDefault="00773C84" w:rsidP="00B257F2">
            <w:pPr>
              <w:pStyle w:val="TableBullet"/>
              <w:rPr>
                <w:szCs w:val="18"/>
              </w:rPr>
            </w:pPr>
            <w:r w:rsidRPr="00716CC2">
              <w:rPr>
                <w:szCs w:val="18"/>
              </w:rPr>
              <w:t xml:space="preserve">Consumers need to receive support and training for their role in working with providers to improve service delivery. </w:t>
            </w:r>
          </w:p>
          <w:p w14:paraId="50B3FF28" w14:textId="77777777" w:rsidR="00773C84" w:rsidRPr="00716CC2" w:rsidRDefault="00773C84" w:rsidP="00B257F2">
            <w:pPr>
              <w:pStyle w:val="TableBullet"/>
              <w:rPr>
                <w:szCs w:val="18"/>
              </w:rPr>
            </w:pPr>
            <w:r w:rsidRPr="00716CC2">
              <w:rPr>
                <w:szCs w:val="18"/>
              </w:rPr>
              <w:lastRenderedPageBreak/>
              <w:t>Improvements from consumer work is heard at governance levels</w:t>
            </w:r>
          </w:p>
          <w:p w14:paraId="245087F6" w14:textId="77777777" w:rsidR="00773C84" w:rsidRPr="00716CC2" w:rsidRDefault="00773C84" w:rsidP="00B257F2">
            <w:pPr>
              <w:pStyle w:val="TableBullet"/>
              <w:rPr>
                <w:szCs w:val="18"/>
              </w:rPr>
            </w:pPr>
            <w:r w:rsidRPr="00716CC2">
              <w:rPr>
                <w:szCs w:val="18"/>
              </w:rPr>
              <w:t>Use of codesign principles (HQSC)</w:t>
            </w:r>
          </w:p>
        </w:tc>
        <w:tc>
          <w:tcPr>
            <w:tcW w:w="2977" w:type="dxa"/>
            <w:gridSpan w:val="3"/>
            <w:shd w:val="clear" w:color="auto" w:fill="FFFFFF" w:themeFill="background1"/>
          </w:tcPr>
          <w:p w14:paraId="407CA775" w14:textId="77777777" w:rsidR="00773C84" w:rsidRPr="00716CC2" w:rsidRDefault="00773C84" w:rsidP="00B257F2">
            <w:pPr>
              <w:pStyle w:val="TableBullet"/>
              <w:rPr>
                <w:szCs w:val="18"/>
              </w:rPr>
            </w:pPr>
            <w:r w:rsidRPr="00716CC2">
              <w:rPr>
                <w:szCs w:val="18"/>
              </w:rPr>
              <w:lastRenderedPageBreak/>
              <w:t>Should be central to this service type governance, programme and service delivery.</w:t>
            </w:r>
          </w:p>
        </w:tc>
        <w:tc>
          <w:tcPr>
            <w:tcW w:w="2977" w:type="dxa"/>
            <w:gridSpan w:val="3"/>
            <w:shd w:val="clear" w:color="auto" w:fill="FFFFFF" w:themeFill="background1"/>
          </w:tcPr>
          <w:p w14:paraId="09310B19" w14:textId="77777777" w:rsidR="00773C84" w:rsidRPr="00716CC2" w:rsidRDefault="00773C84" w:rsidP="00B257F2">
            <w:pPr>
              <w:pStyle w:val="TableBullet"/>
              <w:rPr>
                <w:szCs w:val="18"/>
              </w:rPr>
            </w:pPr>
            <w:r w:rsidRPr="00716CC2">
              <w:rPr>
                <w:szCs w:val="18"/>
              </w:rPr>
              <w:t>Interest in co-design approach for this section- not only for mental health</w:t>
            </w:r>
          </w:p>
          <w:p w14:paraId="39837E85" w14:textId="77777777" w:rsidR="00773C84" w:rsidRPr="00716CC2" w:rsidRDefault="00773C84" w:rsidP="00B257F2">
            <w:pPr>
              <w:pStyle w:val="TableBullet"/>
              <w:rPr>
                <w:szCs w:val="18"/>
              </w:rPr>
            </w:pPr>
            <w:r w:rsidRPr="00716CC2">
              <w:rPr>
                <w:szCs w:val="18"/>
              </w:rPr>
              <w:t>Again it would be repetitive, as there already specific criteria around consumer/resident participation.  Might also become difficult for those facilities that are totally dementia and PG level care to meet this standard (LC, HDANZ)</w:t>
            </w:r>
          </w:p>
          <w:p w14:paraId="04999640" w14:textId="77777777" w:rsidR="00773C84" w:rsidRPr="00716CC2" w:rsidRDefault="00773C84" w:rsidP="00B257F2">
            <w:pPr>
              <w:pStyle w:val="TableBullet"/>
              <w:rPr>
                <w:szCs w:val="18"/>
              </w:rPr>
            </w:pPr>
            <w:r w:rsidRPr="00716CC2">
              <w:rPr>
                <w:szCs w:val="18"/>
              </w:rPr>
              <w:t xml:space="preserve">Wording change from “involved” to Input and add appropriate consultation </w:t>
            </w:r>
          </w:p>
        </w:tc>
        <w:tc>
          <w:tcPr>
            <w:tcW w:w="2977" w:type="dxa"/>
            <w:gridSpan w:val="3"/>
            <w:shd w:val="clear" w:color="auto" w:fill="FFFFFF" w:themeFill="background1"/>
          </w:tcPr>
          <w:p w14:paraId="1325D83D" w14:textId="77777777" w:rsidR="00773C84" w:rsidRPr="00716CC2" w:rsidRDefault="00773C84" w:rsidP="00B257F2">
            <w:pPr>
              <w:pStyle w:val="TableBullet"/>
              <w:rPr>
                <w:szCs w:val="18"/>
              </w:rPr>
            </w:pPr>
            <w:r w:rsidRPr="00716CC2">
              <w:rPr>
                <w:szCs w:val="18"/>
              </w:rPr>
              <w:t>Looks odd as a standalone standard</w:t>
            </w:r>
          </w:p>
          <w:p w14:paraId="2DE55E79" w14:textId="77777777" w:rsidR="00773C84" w:rsidRPr="00716CC2" w:rsidRDefault="00773C84" w:rsidP="00B257F2">
            <w:pPr>
              <w:pStyle w:val="TableBullet"/>
              <w:rPr>
                <w:szCs w:val="18"/>
              </w:rPr>
            </w:pPr>
            <w:r w:rsidRPr="00716CC2">
              <w:rPr>
                <w:szCs w:val="18"/>
              </w:rPr>
              <w:t>Woven through other standards, linked to quality improvements</w:t>
            </w:r>
          </w:p>
          <w:p w14:paraId="53661848" w14:textId="77777777" w:rsidR="00773C84" w:rsidRPr="00716CC2" w:rsidRDefault="00773C84" w:rsidP="00B257F2">
            <w:pPr>
              <w:pStyle w:val="TableBullet"/>
              <w:rPr>
                <w:szCs w:val="18"/>
              </w:rPr>
            </w:pPr>
            <w:r w:rsidRPr="00716CC2">
              <w:rPr>
                <w:szCs w:val="18"/>
              </w:rPr>
              <w:t>Applicable in ARC and possibly should be extended to ARC</w:t>
            </w:r>
          </w:p>
          <w:p w14:paraId="0EBE5135" w14:textId="77777777" w:rsidR="00773C84" w:rsidRPr="00716CC2" w:rsidRDefault="00773C84" w:rsidP="00B257F2">
            <w:pPr>
              <w:pStyle w:val="TableBullet"/>
              <w:rPr>
                <w:szCs w:val="18"/>
              </w:rPr>
            </w:pPr>
            <w:r w:rsidRPr="00716CC2">
              <w:rPr>
                <w:szCs w:val="18"/>
              </w:rPr>
              <w:t>Hidden in other activities such as care planning, reviews and MDTs</w:t>
            </w:r>
          </w:p>
        </w:tc>
        <w:tc>
          <w:tcPr>
            <w:tcW w:w="2977" w:type="dxa"/>
            <w:gridSpan w:val="3"/>
            <w:shd w:val="clear" w:color="auto" w:fill="FFFFFF" w:themeFill="background1"/>
          </w:tcPr>
          <w:p w14:paraId="363E29EF" w14:textId="77777777" w:rsidR="00773C84" w:rsidRPr="00716CC2" w:rsidRDefault="00773C84" w:rsidP="00B257F2">
            <w:pPr>
              <w:pStyle w:val="TableBullet"/>
              <w:rPr>
                <w:szCs w:val="18"/>
              </w:rPr>
            </w:pPr>
            <w:r w:rsidRPr="00716CC2">
              <w:rPr>
                <w:szCs w:val="18"/>
              </w:rPr>
              <w:t>MH</w:t>
            </w:r>
          </w:p>
          <w:p w14:paraId="09DB7AD6" w14:textId="77777777" w:rsidR="00773C84" w:rsidRPr="00716CC2" w:rsidRDefault="00773C84" w:rsidP="00B257F2">
            <w:pPr>
              <w:pStyle w:val="TableBullet"/>
              <w:rPr>
                <w:szCs w:val="18"/>
              </w:rPr>
            </w:pPr>
            <w:r w:rsidRPr="00716CC2">
              <w:rPr>
                <w:szCs w:val="18"/>
              </w:rPr>
              <w:t>Consider using Enabling Good life Principles language (N.Berry, NZCare)</w:t>
            </w:r>
          </w:p>
        </w:tc>
      </w:tr>
      <w:tr w:rsidR="0079616F" w:rsidRPr="00716CC2" w14:paraId="5BF2C18D" w14:textId="77777777" w:rsidTr="007A7079">
        <w:tc>
          <w:tcPr>
            <w:tcW w:w="14884" w:type="dxa"/>
            <w:gridSpan w:val="15"/>
            <w:shd w:val="clear" w:color="auto" w:fill="FFFFFF" w:themeFill="background1"/>
          </w:tcPr>
          <w:p w14:paraId="6DA7DDBE" w14:textId="77777777" w:rsidR="0079616F" w:rsidRPr="00716CC2" w:rsidRDefault="0079616F" w:rsidP="00192421">
            <w:pPr>
              <w:spacing w:before="40" w:after="40"/>
              <w:rPr>
                <w:b/>
                <w:sz w:val="18"/>
                <w:szCs w:val="18"/>
              </w:rPr>
            </w:pPr>
          </w:p>
        </w:tc>
      </w:tr>
      <w:tr w:rsidR="0079616F" w:rsidRPr="00716CC2" w14:paraId="6BA5E523" w14:textId="77777777" w:rsidTr="007A7079">
        <w:tc>
          <w:tcPr>
            <w:tcW w:w="14884" w:type="dxa"/>
            <w:gridSpan w:val="15"/>
            <w:shd w:val="clear" w:color="auto" w:fill="F2F2F2" w:themeFill="background1" w:themeFillShade="F2"/>
          </w:tcPr>
          <w:p w14:paraId="0AF81E0F" w14:textId="77777777" w:rsidR="0079616F" w:rsidRPr="00716CC2" w:rsidRDefault="00773C84" w:rsidP="00192421">
            <w:pPr>
              <w:spacing w:before="40" w:after="40"/>
              <w:rPr>
                <w:b/>
                <w:sz w:val="18"/>
                <w:szCs w:val="18"/>
              </w:rPr>
            </w:pPr>
            <w:r w:rsidRPr="00716CC2">
              <w:rPr>
                <w:b/>
                <w:sz w:val="18"/>
                <w:szCs w:val="18"/>
              </w:rPr>
              <w:t xml:space="preserve">Standard 1.2.6: </w:t>
            </w:r>
            <w:r w:rsidRPr="00716CC2">
              <w:rPr>
                <w:sz w:val="18"/>
                <w:szCs w:val="18"/>
              </w:rPr>
              <w:t>Family/Whānau Participation  (HDS(C)S.2008:1.2.6): Family/whānau of choice are involved in the planning, implementation, and evaluation of the service to ensure services are responsive to the needs of individuals</w:t>
            </w:r>
          </w:p>
        </w:tc>
      </w:tr>
      <w:tr w:rsidR="0079616F" w:rsidRPr="00716CC2" w14:paraId="633E0EF0" w14:textId="77777777" w:rsidTr="007A7079">
        <w:tc>
          <w:tcPr>
            <w:tcW w:w="2976" w:type="dxa"/>
            <w:gridSpan w:val="3"/>
            <w:shd w:val="clear" w:color="auto" w:fill="FFFFFF" w:themeFill="background1"/>
          </w:tcPr>
          <w:p w14:paraId="565458B0"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7CDB4435"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02D49128"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2FD14E39"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0BB2BE60"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773C84" w:rsidRPr="00716CC2" w14:paraId="0BEB063C" w14:textId="77777777" w:rsidTr="007A7079">
        <w:tc>
          <w:tcPr>
            <w:tcW w:w="2976" w:type="dxa"/>
            <w:gridSpan w:val="3"/>
            <w:shd w:val="clear" w:color="auto" w:fill="FFFFFF" w:themeFill="background1"/>
          </w:tcPr>
          <w:p w14:paraId="5ECFF184" w14:textId="77777777" w:rsidR="00773C84" w:rsidRPr="00716CC2" w:rsidRDefault="00773C84" w:rsidP="00B257F2">
            <w:pPr>
              <w:pStyle w:val="TableBullet"/>
              <w:rPr>
                <w:szCs w:val="18"/>
              </w:rPr>
            </w:pPr>
            <w:r w:rsidRPr="00716CC2">
              <w:rPr>
                <w:szCs w:val="18"/>
              </w:rPr>
              <w:t xml:space="preserve">Applicable to be assessed across all services – hospices consider this engagement important. </w:t>
            </w:r>
          </w:p>
          <w:p w14:paraId="6A71371B" w14:textId="77777777" w:rsidR="00773C84" w:rsidRPr="00716CC2" w:rsidRDefault="00773C84" w:rsidP="00B257F2">
            <w:pPr>
              <w:pStyle w:val="TableBullet"/>
              <w:rPr>
                <w:szCs w:val="18"/>
              </w:rPr>
            </w:pPr>
            <w:r w:rsidRPr="00716CC2">
              <w:rPr>
                <w:szCs w:val="18"/>
              </w:rPr>
              <w:t xml:space="preserve">Potential for family and whānau engagement to be similarly developed as for  consumer participation </w:t>
            </w:r>
          </w:p>
          <w:p w14:paraId="145C0511" w14:textId="77777777" w:rsidR="00773C84" w:rsidRPr="00716CC2" w:rsidRDefault="00773C84" w:rsidP="00B257F2">
            <w:pPr>
              <w:pStyle w:val="TableBullet"/>
              <w:rPr>
                <w:szCs w:val="18"/>
              </w:rPr>
            </w:pPr>
            <w:r w:rsidRPr="00716CC2">
              <w:rPr>
                <w:szCs w:val="18"/>
              </w:rPr>
              <w:t xml:space="preserve">Use of co-design language. </w:t>
            </w:r>
          </w:p>
          <w:p w14:paraId="293B1320" w14:textId="77777777" w:rsidR="00773C84" w:rsidRPr="00716CC2" w:rsidRDefault="00773C84" w:rsidP="00B257F2">
            <w:pPr>
              <w:pStyle w:val="TableBullet"/>
              <w:rPr>
                <w:szCs w:val="18"/>
              </w:rPr>
            </w:pPr>
            <w:r w:rsidRPr="00716CC2">
              <w:rPr>
                <w:szCs w:val="18"/>
              </w:rPr>
              <w:t>Challenges for Private surgical hospitals</w:t>
            </w:r>
          </w:p>
        </w:tc>
        <w:tc>
          <w:tcPr>
            <w:tcW w:w="2977" w:type="dxa"/>
            <w:gridSpan w:val="3"/>
            <w:shd w:val="clear" w:color="auto" w:fill="FFFFFF" w:themeFill="background1"/>
          </w:tcPr>
          <w:p w14:paraId="5A598412" w14:textId="77777777" w:rsidR="00773C84" w:rsidRPr="00716CC2" w:rsidRDefault="00773C84" w:rsidP="00B257F2">
            <w:pPr>
              <w:pStyle w:val="TableBullet"/>
              <w:rPr>
                <w:szCs w:val="18"/>
              </w:rPr>
            </w:pPr>
            <w:r w:rsidRPr="00716CC2">
              <w:rPr>
                <w:szCs w:val="18"/>
              </w:rPr>
              <w:t xml:space="preserve">Clear that family may not easily be defined – need to have wider view of whānau </w:t>
            </w:r>
          </w:p>
          <w:p w14:paraId="372C9163" w14:textId="77777777" w:rsidR="00773C84" w:rsidRPr="00716CC2" w:rsidRDefault="00773C84" w:rsidP="00B257F2">
            <w:pPr>
              <w:pStyle w:val="TableBullet"/>
              <w:rPr>
                <w:szCs w:val="18"/>
              </w:rPr>
            </w:pPr>
            <w:r w:rsidRPr="00716CC2">
              <w:rPr>
                <w:szCs w:val="18"/>
              </w:rPr>
              <w:t xml:space="preserve">Inclusive at governance and service delivery </w:t>
            </w:r>
          </w:p>
          <w:p w14:paraId="43D25D8E" w14:textId="77777777" w:rsidR="00773C84" w:rsidRPr="00716CC2" w:rsidRDefault="00773C84" w:rsidP="00B257F2">
            <w:pPr>
              <w:pStyle w:val="TableBullet"/>
              <w:rPr>
                <w:szCs w:val="18"/>
              </w:rPr>
            </w:pPr>
            <w:r w:rsidRPr="00716CC2">
              <w:rPr>
                <w:szCs w:val="18"/>
              </w:rPr>
              <w:t xml:space="preserve">Essential for connectedness, about what they are – recovery and identification </w:t>
            </w:r>
          </w:p>
          <w:p w14:paraId="785BDB36" w14:textId="77777777" w:rsidR="00773C84" w:rsidRPr="00716CC2" w:rsidRDefault="00773C84" w:rsidP="00B257F2">
            <w:pPr>
              <w:pStyle w:val="TableBullet"/>
              <w:rPr>
                <w:szCs w:val="18"/>
              </w:rPr>
            </w:pPr>
            <w:r w:rsidRPr="00716CC2">
              <w:rPr>
                <w:szCs w:val="18"/>
              </w:rPr>
              <w:t xml:space="preserve">Family/whānau involvement  (MHA standards only) -  Standards 2.5/2.6 planning and evaluation of services, Standard 3.3.6 Provision of information, education and programmes to consumers and family/whānau – these requirements may conflict with service provision/contract specification in terms of resourcing, as well as prevented by other barriers such as physical distance. There is specific reference/guidance (2.6.2) to employing consumers and seeking advice from family/whānau advisory groups (which many DHBs employ). However this is not practicable </w:t>
            </w:r>
            <w:r w:rsidRPr="00716CC2">
              <w:rPr>
                <w:szCs w:val="18"/>
              </w:rPr>
              <w:lastRenderedPageBreak/>
              <w:t>or necessarily appropriate for NGOs and it doesn’t guarantee representation of the range of service users (Ashburn Clinic).</w:t>
            </w:r>
          </w:p>
        </w:tc>
        <w:tc>
          <w:tcPr>
            <w:tcW w:w="2977" w:type="dxa"/>
            <w:gridSpan w:val="3"/>
            <w:shd w:val="clear" w:color="auto" w:fill="FFFFFF" w:themeFill="background1"/>
          </w:tcPr>
          <w:p w14:paraId="76F5A385" w14:textId="77777777" w:rsidR="00773C84" w:rsidRPr="00716CC2" w:rsidRDefault="00773C84" w:rsidP="00B257F2">
            <w:pPr>
              <w:pStyle w:val="TableBullet"/>
              <w:rPr>
                <w:szCs w:val="18"/>
              </w:rPr>
            </w:pPr>
            <w:r w:rsidRPr="00716CC2">
              <w:rPr>
                <w:szCs w:val="18"/>
              </w:rPr>
              <w:lastRenderedPageBreak/>
              <w:t>Interest in co-design approach for this section- not only for mental health</w:t>
            </w:r>
          </w:p>
          <w:p w14:paraId="488F1DBA" w14:textId="77777777" w:rsidR="00773C84" w:rsidRPr="00716CC2" w:rsidRDefault="00773C84" w:rsidP="00B257F2">
            <w:pPr>
              <w:pStyle w:val="TableBullet"/>
              <w:rPr>
                <w:szCs w:val="18"/>
              </w:rPr>
            </w:pPr>
            <w:r w:rsidRPr="00716CC2">
              <w:rPr>
                <w:szCs w:val="18"/>
              </w:rPr>
              <w:t>Merge with Standard 1.2.5:  Agree so: consumer, family, whānau participation (EB, Eldernet)</w:t>
            </w:r>
          </w:p>
          <w:p w14:paraId="35743E84" w14:textId="77777777" w:rsidR="00773C84" w:rsidRPr="00716CC2" w:rsidRDefault="00773C84" w:rsidP="00B257F2">
            <w:pPr>
              <w:pStyle w:val="TableBullet"/>
              <w:rPr>
                <w:szCs w:val="18"/>
              </w:rPr>
            </w:pPr>
            <w:r w:rsidRPr="00716CC2">
              <w:rPr>
                <w:szCs w:val="18"/>
              </w:rPr>
              <w:t>Wording change “Involved” to Consultation</w:t>
            </w:r>
          </w:p>
          <w:p w14:paraId="478F0E8B" w14:textId="77777777" w:rsidR="00773C84" w:rsidRPr="00716CC2" w:rsidRDefault="00773C84" w:rsidP="00B257F2">
            <w:pPr>
              <w:pStyle w:val="TableBullet"/>
              <w:rPr>
                <w:szCs w:val="18"/>
              </w:rPr>
            </w:pPr>
          </w:p>
        </w:tc>
        <w:tc>
          <w:tcPr>
            <w:tcW w:w="2977" w:type="dxa"/>
            <w:gridSpan w:val="3"/>
            <w:shd w:val="clear" w:color="auto" w:fill="FFFFFF" w:themeFill="background1"/>
          </w:tcPr>
          <w:p w14:paraId="562DB400" w14:textId="77777777" w:rsidR="00773C84" w:rsidRPr="00716CC2" w:rsidRDefault="00773C84" w:rsidP="00B257F2">
            <w:pPr>
              <w:pStyle w:val="TableBullet"/>
              <w:rPr>
                <w:szCs w:val="18"/>
              </w:rPr>
            </w:pPr>
            <w:r w:rsidRPr="00716CC2">
              <w:rPr>
                <w:szCs w:val="18"/>
              </w:rPr>
              <w:t>Relevant as is</w:t>
            </w:r>
          </w:p>
        </w:tc>
        <w:tc>
          <w:tcPr>
            <w:tcW w:w="2977" w:type="dxa"/>
            <w:gridSpan w:val="3"/>
            <w:shd w:val="clear" w:color="auto" w:fill="FFFFFF" w:themeFill="background1"/>
          </w:tcPr>
          <w:p w14:paraId="325F451C" w14:textId="77777777" w:rsidR="00773C84" w:rsidRPr="00716CC2" w:rsidRDefault="00773C84" w:rsidP="00B257F2">
            <w:pPr>
              <w:pStyle w:val="TableBullet"/>
              <w:rPr>
                <w:szCs w:val="18"/>
              </w:rPr>
            </w:pPr>
            <w:r w:rsidRPr="00716CC2">
              <w:rPr>
                <w:szCs w:val="18"/>
              </w:rPr>
              <w:t>MH</w:t>
            </w:r>
          </w:p>
        </w:tc>
      </w:tr>
      <w:tr w:rsidR="0079616F" w:rsidRPr="00716CC2" w14:paraId="0678CC79" w14:textId="77777777" w:rsidTr="007A7079">
        <w:tc>
          <w:tcPr>
            <w:tcW w:w="14884" w:type="dxa"/>
            <w:gridSpan w:val="15"/>
            <w:shd w:val="clear" w:color="auto" w:fill="FFFFFF" w:themeFill="background1"/>
          </w:tcPr>
          <w:p w14:paraId="525AF513" w14:textId="77777777" w:rsidR="0079616F" w:rsidRPr="00716CC2" w:rsidRDefault="0079616F" w:rsidP="00192421">
            <w:pPr>
              <w:spacing w:before="40" w:after="40"/>
              <w:rPr>
                <w:b/>
                <w:sz w:val="18"/>
                <w:szCs w:val="18"/>
              </w:rPr>
            </w:pPr>
          </w:p>
        </w:tc>
      </w:tr>
      <w:tr w:rsidR="0079616F" w:rsidRPr="00716CC2" w14:paraId="7ED372F8" w14:textId="77777777" w:rsidTr="007A7079">
        <w:tc>
          <w:tcPr>
            <w:tcW w:w="14884" w:type="dxa"/>
            <w:gridSpan w:val="15"/>
            <w:shd w:val="clear" w:color="auto" w:fill="F2F2F2" w:themeFill="background1" w:themeFillShade="F2"/>
          </w:tcPr>
          <w:p w14:paraId="6348E704" w14:textId="77777777" w:rsidR="0079616F" w:rsidRPr="00716CC2" w:rsidRDefault="00192421" w:rsidP="00192421">
            <w:pPr>
              <w:spacing w:before="40" w:after="40"/>
              <w:rPr>
                <w:b/>
                <w:sz w:val="18"/>
                <w:szCs w:val="18"/>
              </w:rPr>
            </w:pPr>
            <w:r w:rsidRPr="00716CC2">
              <w:rPr>
                <w:b/>
                <w:sz w:val="18"/>
                <w:szCs w:val="18"/>
              </w:rPr>
              <w:t xml:space="preserve">Standard 1.2.7: </w:t>
            </w:r>
            <w:r w:rsidRPr="00716CC2">
              <w:rPr>
                <w:sz w:val="18"/>
                <w:szCs w:val="18"/>
              </w:rPr>
              <w:t>Human Resource Management (HDS(C)S.2008:1.2.7): Human resource management processes are conducted in accordance with good employment practice and meet the requirements of legislation</w:t>
            </w:r>
          </w:p>
        </w:tc>
      </w:tr>
      <w:tr w:rsidR="0079616F" w:rsidRPr="00716CC2" w14:paraId="4BAC06F0" w14:textId="77777777" w:rsidTr="007A7079">
        <w:tc>
          <w:tcPr>
            <w:tcW w:w="2976" w:type="dxa"/>
            <w:gridSpan w:val="3"/>
            <w:shd w:val="clear" w:color="auto" w:fill="FFFFFF" w:themeFill="background1"/>
          </w:tcPr>
          <w:p w14:paraId="10EE913A"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2B461EBC"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3C15E2C5"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2EA97C8E"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371C1706"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192421" w:rsidRPr="00716CC2" w14:paraId="11BE1446" w14:textId="77777777" w:rsidTr="007A7079">
        <w:tc>
          <w:tcPr>
            <w:tcW w:w="2976" w:type="dxa"/>
            <w:gridSpan w:val="3"/>
            <w:shd w:val="clear" w:color="auto" w:fill="FFFFFF" w:themeFill="background1"/>
          </w:tcPr>
          <w:p w14:paraId="21930326" w14:textId="77777777" w:rsidR="00192421" w:rsidRPr="00716CC2" w:rsidRDefault="00192421" w:rsidP="00B257F2">
            <w:pPr>
              <w:pStyle w:val="TableBullet"/>
              <w:rPr>
                <w:szCs w:val="18"/>
              </w:rPr>
            </w:pPr>
            <w:r w:rsidRPr="00716CC2">
              <w:rPr>
                <w:szCs w:val="18"/>
              </w:rPr>
              <w:t>Consider outcomes of mandatory and clinical training that is provided (evaluation) (HQSC)– how it build capability of simulation - differences</w:t>
            </w:r>
          </w:p>
          <w:p w14:paraId="1FEC9A1B" w14:textId="77777777" w:rsidR="00192421" w:rsidRPr="00716CC2" w:rsidRDefault="00192421" w:rsidP="00B257F2">
            <w:pPr>
              <w:pStyle w:val="TableBullet"/>
              <w:rPr>
                <w:szCs w:val="18"/>
              </w:rPr>
            </w:pPr>
            <w:r w:rsidRPr="00716CC2">
              <w:rPr>
                <w:szCs w:val="18"/>
              </w:rPr>
              <w:t xml:space="preserve">Competency, critical thinking and other attributes staff developments </w:t>
            </w:r>
          </w:p>
          <w:p w14:paraId="52E0B45B" w14:textId="77777777" w:rsidR="00192421" w:rsidRPr="00716CC2" w:rsidRDefault="00192421" w:rsidP="00B257F2">
            <w:pPr>
              <w:pStyle w:val="TableBullet"/>
              <w:rPr>
                <w:szCs w:val="18"/>
              </w:rPr>
            </w:pPr>
            <w:r w:rsidRPr="00716CC2">
              <w:rPr>
                <w:szCs w:val="18"/>
              </w:rPr>
              <w:t>Education links to quality risk management – improving patient safety and closing gaps</w:t>
            </w:r>
          </w:p>
        </w:tc>
        <w:tc>
          <w:tcPr>
            <w:tcW w:w="2977" w:type="dxa"/>
            <w:gridSpan w:val="3"/>
            <w:shd w:val="clear" w:color="auto" w:fill="FFFFFF" w:themeFill="background1"/>
          </w:tcPr>
          <w:p w14:paraId="1173E9E4" w14:textId="77777777" w:rsidR="00192421" w:rsidRPr="00716CC2" w:rsidRDefault="00192421" w:rsidP="00B257F2">
            <w:pPr>
              <w:pStyle w:val="TableBullet"/>
              <w:rPr>
                <w:szCs w:val="18"/>
              </w:rPr>
            </w:pPr>
            <w:r w:rsidRPr="00716CC2">
              <w:rPr>
                <w:szCs w:val="18"/>
              </w:rPr>
              <w:t>Need consideration of staff that bring a lived experience to these services</w:t>
            </w:r>
          </w:p>
          <w:p w14:paraId="26E099B6" w14:textId="77777777" w:rsidR="00192421" w:rsidRPr="00716CC2" w:rsidRDefault="00192421" w:rsidP="00B257F2">
            <w:pPr>
              <w:pStyle w:val="TableBullet"/>
              <w:rPr>
                <w:szCs w:val="18"/>
              </w:rPr>
            </w:pPr>
            <w:r w:rsidRPr="00716CC2">
              <w:rPr>
                <w:szCs w:val="18"/>
              </w:rPr>
              <w:t xml:space="preserve">Recognition, organisation, employee relations relapse safe workforce </w:t>
            </w:r>
          </w:p>
          <w:p w14:paraId="11759258" w14:textId="77777777" w:rsidR="00192421" w:rsidRPr="00716CC2" w:rsidRDefault="00192421" w:rsidP="00B257F2">
            <w:pPr>
              <w:pStyle w:val="TableBullet"/>
              <w:rPr>
                <w:szCs w:val="18"/>
              </w:rPr>
            </w:pPr>
            <w:r w:rsidRPr="00716CC2">
              <w:rPr>
                <w:szCs w:val="18"/>
              </w:rPr>
              <w:t xml:space="preserve">Protect peer support role don’t over professionalise them </w:t>
            </w:r>
          </w:p>
          <w:p w14:paraId="667BE86C" w14:textId="77777777" w:rsidR="00192421" w:rsidRPr="00716CC2" w:rsidRDefault="00192421" w:rsidP="00B257F2">
            <w:pPr>
              <w:pStyle w:val="TableBullet"/>
              <w:rPr>
                <w:szCs w:val="18"/>
              </w:rPr>
            </w:pPr>
            <w:r w:rsidRPr="00716CC2">
              <w:rPr>
                <w:szCs w:val="18"/>
              </w:rPr>
              <w:t>Workplace wellness  - need to strategy to grow the workforce</w:t>
            </w:r>
          </w:p>
          <w:p w14:paraId="3A9068C0" w14:textId="77777777" w:rsidR="00192421" w:rsidRPr="00716CC2" w:rsidRDefault="00192421" w:rsidP="00B257F2">
            <w:pPr>
              <w:pStyle w:val="TableBullet"/>
              <w:rPr>
                <w:szCs w:val="18"/>
              </w:rPr>
            </w:pPr>
            <w:r w:rsidRPr="00716CC2">
              <w:rPr>
                <w:szCs w:val="18"/>
              </w:rPr>
              <w:t xml:space="preserve">Training for non-crises interventions and de-escalation competencies is expensive </w:t>
            </w:r>
          </w:p>
          <w:p w14:paraId="510F6EB5" w14:textId="77777777" w:rsidR="00192421" w:rsidRPr="00716CC2" w:rsidRDefault="00192421" w:rsidP="00B257F2">
            <w:pPr>
              <w:pStyle w:val="TableBullet"/>
              <w:rPr>
                <w:szCs w:val="18"/>
              </w:rPr>
            </w:pPr>
            <w:r w:rsidRPr="00716CC2">
              <w:rPr>
                <w:szCs w:val="18"/>
              </w:rPr>
              <w:t xml:space="preserve">Need of supervision for staff – practice reflection </w:t>
            </w:r>
          </w:p>
          <w:p w14:paraId="5816F13D" w14:textId="77777777" w:rsidR="00192421" w:rsidRPr="00716CC2" w:rsidRDefault="00192421" w:rsidP="00B257F2">
            <w:pPr>
              <w:pStyle w:val="TableBullet"/>
              <w:rPr>
                <w:szCs w:val="18"/>
              </w:rPr>
            </w:pPr>
            <w:r w:rsidRPr="00716CC2">
              <w:rPr>
                <w:szCs w:val="18"/>
              </w:rPr>
              <w:t>Organisational development cultural, equity resilience and coaching</w:t>
            </w:r>
          </w:p>
          <w:p w14:paraId="0331A90D" w14:textId="77777777" w:rsidR="00192421" w:rsidRPr="00716CC2" w:rsidRDefault="00192421" w:rsidP="00B257F2">
            <w:pPr>
              <w:pStyle w:val="TableBullet"/>
              <w:rPr>
                <w:szCs w:val="18"/>
              </w:rPr>
            </w:pPr>
            <w:r w:rsidRPr="00716CC2">
              <w:rPr>
                <w:szCs w:val="18"/>
              </w:rPr>
              <w:t xml:space="preserve">Early intervention – modular approach to training to fit service delivery model </w:t>
            </w:r>
          </w:p>
          <w:p w14:paraId="232EFCD0" w14:textId="77777777" w:rsidR="00192421" w:rsidRPr="00716CC2" w:rsidRDefault="00192421" w:rsidP="00B257F2">
            <w:pPr>
              <w:pStyle w:val="TableBullet"/>
              <w:rPr>
                <w:szCs w:val="18"/>
              </w:rPr>
            </w:pPr>
            <w:r w:rsidRPr="00716CC2">
              <w:rPr>
                <w:szCs w:val="18"/>
              </w:rPr>
              <w:t>Communication, identify distress and health and safety.</w:t>
            </w:r>
          </w:p>
        </w:tc>
        <w:tc>
          <w:tcPr>
            <w:tcW w:w="2977" w:type="dxa"/>
            <w:gridSpan w:val="3"/>
            <w:shd w:val="clear" w:color="auto" w:fill="FFFFFF" w:themeFill="background1"/>
          </w:tcPr>
          <w:p w14:paraId="5CA58E08" w14:textId="77777777" w:rsidR="00192421" w:rsidRPr="00716CC2" w:rsidRDefault="00192421" w:rsidP="00B257F2">
            <w:pPr>
              <w:pStyle w:val="TableBullet"/>
              <w:rPr>
                <w:szCs w:val="18"/>
              </w:rPr>
            </w:pPr>
            <w:r w:rsidRPr="00716CC2">
              <w:rPr>
                <w:szCs w:val="18"/>
              </w:rPr>
              <w:t>Legislation should be first in the wording, followed by current terminology of Best Employment Practice</w:t>
            </w:r>
          </w:p>
          <w:p w14:paraId="5646AAE9" w14:textId="77777777" w:rsidR="00192421" w:rsidRPr="00716CC2" w:rsidRDefault="00192421" w:rsidP="00B257F2">
            <w:pPr>
              <w:pStyle w:val="TableBullet"/>
              <w:rPr>
                <w:szCs w:val="18"/>
              </w:rPr>
            </w:pPr>
            <w:r w:rsidRPr="00716CC2">
              <w:rPr>
                <w:szCs w:val="18"/>
              </w:rPr>
              <w:t xml:space="preserve">Policies and practice should demonstrate adherence  </w:t>
            </w:r>
          </w:p>
        </w:tc>
        <w:tc>
          <w:tcPr>
            <w:tcW w:w="2977" w:type="dxa"/>
            <w:gridSpan w:val="3"/>
            <w:shd w:val="clear" w:color="auto" w:fill="FFFFFF" w:themeFill="background1"/>
          </w:tcPr>
          <w:p w14:paraId="70179CF6" w14:textId="77777777" w:rsidR="00192421" w:rsidRPr="00716CC2" w:rsidRDefault="00192421" w:rsidP="00B257F2">
            <w:pPr>
              <w:pStyle w:val="TableBullet"/>
              <w:rPr>
                <w:szCs w:val="18"/>
              </w:rPr>
            </w:pPr>
            <w:r w:rsidRPr="00716CC2">
              <w:rPr>
                <w:szCs w:val="18"/>
              </w:rPr>
              <w:t>Keep the standard in one way or another</w:t>
            </w:r>
          </w:p>
          <w:p w14:paraId="54ED6DEC" w14:textId="77777777" w:rsidR="00192421" w:rsidRPr="00716CC2" w:rsidRDefault="00192421" w:rsidP="00B257F2">
            <w:pPr>
              <w:pStyle w:val="TableBullet"/>
              <w:rPr>
                <w:szCs w:val="18"/>
              </w:rPr>
            </w:pPr>
            <w:r w:rsidRPr="00716CC2">
              <w:rPr>
                <w:szCs w:val="18"/>
              </w:rPr>
              <w:t>Not a numbers game standard</w:t>
            </w:r>
          </w:p>
          <w:p w14:paraId="339EC795" w14:textId="77777777" w:rsidR="00192421" w:rsidRPr="00716CC2" w:rsidRDefault="00192421" w:rsidP="00B257F2">
            <w:pPr>
              <w:pStyle w:val="TableBullet"/>
              <w:rPr>
                <w:szCs w:val="18"/>
              </w:rPr>
            </w:pPr>
            <w:r w:rsidRPr="00716CC2">
              <w:rPr>
                <w:szCs w:val="18"/>
              </w:rPr>
              <w:t>The education requirement could be fleshed out</w:t>
            </w:r>
          </w:p>
          <w:p w14:paraId="6D5B7897" w14:textId="77777777" w:rsidR="00192421" w:rsidRPr="00716CC2" w:rsidRDefault="00192421" w:rsidP="00B257F2">
            <w:pPr>
              <w:pStyle w:val="TableBullet"/>
              <w:rPr>
                <w:szCs w:val="18"/>
              </w:rPr>
            </w:pPr>
            <w:r w:rsidRPr="00716CC2">
              <w:rPr>
                <w:szCs w:val="18"/>
              </w:rPr>
              <w:t>Could include artificial intelligence and technology coming into ARC as an alternative human resource</w:t>
            </w:r>
          </w:p>
          <w:p w14:paraId="692E3469" w14:textId="77777777" w:rsidR="00192421" w:rsidRPr="00716CC2" w:rsidRDefault="00192421" w:rsidP="00B257F2">
            <w:pPr>
              <w:pStyle w:val="TableBullet"/>
              <w:rPr>
                <w:szCs w:val="18"/>
              </w:rPr>
            </w:pPr>
            <w:r w:rsidRPr="00716CC2">
              <w:rPr>
                <w:szCs w:val="18"/>
              </w:rPr>
              <w:t>Look more at the processes for recruitment, turnover, retention and record keeping of the same</w:t>
            </w:r>
          </w:p>
          <w:p w14:paraId="2C9D8E37" w14:textId="77777777" w:rsidR="00192421" w:rsidRPr="00716CC2" w:rsidRDefault="00192421" w:rsidP="00B257F2">
            <w:pPr>
              <w:pStyle w:val="TableBullet"/>
              <w:rPr>
                <w:szCs w:val="18"/>
              </w:rPr>
            </w:pPr>
            <w:r w:rsidRPr="00716CC2">
              <w:rPr>
                <w:szCs w:val="18"/>
              </w:rPr>
              <w:t>Currently no consumer feedback on staff, staffing or recruitment</w:t>
            </w:r>
          </w:p>
        </w:tc>
        <w:tc>
          <w:tcPr>
            <w:tcW w:w="2977" w:type="dxa"/>
            <w:gridSpan w:val="3"/>
            <w:shd w:val="clear" w:color="auto" w:fill="FFFFFF" w:themeFill="background1"/>
          </w:tcPr>
          <w:p w14:paraId="3365A74D" w14:textId="77777777" w:rsidR="00192421" w:rsidRPr="00716CC2" w:rsidRDefault="00192421" w:rsidP="00B257F2">
            <w:pPr>
              <w:pStyle w:val="TableBullet"/>
              <w:rPr>
                <w:szCs w:val="18"/>
              </w:rPr>
            </w:pPr>
            <w:r w:rsidRPr="00716CC2">
              <w:rPr>
                <w:szCs w:val="18"/>
              </w:rPr>
              <w:t>Merge standards 1.2.7 and 1.2.8</w:t>
            </w:r>
          </w:p>
          <w:p w14:paraId="5DD00E36" w14:textId="77777777" w:rsidR="00192421" w:rsidRPr="00716CC2" w:rsidRDefault="00192421" w:rsidP="00B257F2">
            <w:pPr>
              <w:pStyle w:val="TableBullet"/>
              <w:rPr>
                <w:szCs w:val="18"/>
              </w:rPr>
            </w:pPr>
            <w:r w:rsidRPr="00716CC2">
              <w:rPr>
                <w:szCs w:val="18"/>
              </w:rPr>
              <w:t>Need to ensure this fits for people who are employing their own staff (N.Berry, NZCare)</w:t>
            </w:r>
          </w:p>
        </w:tc>
      </w:tr>
      <w:tr w:rsidR="0079616F" w:rsidRPr="00716CC2" w14:paraId="11DD840B" w14:textId="77777777" w:rsidTr="007A7079">
        <w:tc>
          <w:tcPr>
            <w:tcW w:w="14884" w:type="dxa"/>
            <w:gridSpan w:val="15"/>
            <w:shd w:val="clear" w:color="auto" w:fill="FFFFFF" w:themeFill="background1"/>
          </w:tcPr>
          <w:p w14:paraId="441C6F10" w14:textId="77777777" w:rsidR="0079616F" w:rsidRPr="00716CC2" w:rsidRDefault="0079616F" w:rsidP="00192421">
            <w:pPr>
              <w:spacing w:before="40" w:after="40"/>
              <w:rPr>
                <w:b/>
                <w:sz w:val="18"/>
                <w:szCs w:val="18"/>
              </w:rPr>
            </w:pPr>
          </w:p>
        </w:tc>
      </w:tr>
      <w:tr w:rsidR="0079616F" w:rsidRPr="00716CC2" w14:paraId="20085451" w14:textId="77777777" w:rsidTr="007A7079">
        <w:tc>
          <w:tcPr>
            <w:tcW w:w="14884" w:type="dxa"/>
            <w:gridSpan w:val="15"/>
            <w:shd w:val="clear" w:color="auto" w:fill="F2F2F2" w:themeFill="background1" w:themeFillShade="F2"/>
          </w:tcPr>
          <w:p w14:paraId="7A1F5B8E" w14:textId="77777777" w:rsidR="0079616F" w:rsidRPr="00716CC2" w:rsidRDefault="00192421" w:rsidP="00192421">
            <w:pPr>
              <w:spacing w:before="40" w:after="40"/>
              <w:rPr>
                <w:b/>
                <w:sz w:val="18"/>
                <w:szCs w:val="18"/>
              </w:rPr>
            </w:pPr>
            <w:r w:rsidRPr="00716CC2">
              <w:rPr>
                <w:b/>
                <w:sz w:val="18"/>
                <w:szCs w:val="18"/>
              </w:rPr>
              <w:t xml:space="preserve">Standard 1.2.8: </w:t>
            </w:r>
            <w:r w:rsidRPr="00716CC2">
              <w:rPr>
                <w:sz w:val="18"/>
                <w:szCs w:val="18"/>
              </w:rPr>
              <w:t>Service Provider Availability (HDS(C)S.2008:1.2.8): Consumers receive timely, appropriate, and safe service from suitably qualified/skilled and/or experienced service providers.</w:t>
            </w:r>
          </w:p>
        </w:tc>
      </w:tr>
      <w:tr w:rsidR="0079616F" w:rsidRPr="00716CC2" w14:paraId="5BD2032B" w14:textId="77777777" w:rsidTr="007A7079">
        <w:tc>
          <w:tcPr>
            <w:tcW w:w="2976" w:type="dxa"/>
            <w:gridSpan w:val="3"/>
            <w:shd w:val="clear" w:color="auto" w:fill="FFFFFF" w:themeFill="background1"/>
          </w:tcPr>
          <w:p w14:paraId="7A977978" w14:textId="77777777" w:rsidR="0079616F" w:rsidRPr="00716CC2" w:rsidRDefault="0079616F" w:rsidP="006D5FE4">
            <w:pPr>
              <w:pStyle w:val="TableText"/>
              <w:spacing w:before="40" w:after="40"/>
              <w:rPr>
                <w:b/>
                <w:szCs w:val="18"/>
                <w:lang w:eastAsia="en-NZ"/>
              </w:rPr>
            </w:pPr>
            <w:r w:rsidRPr="00716CC2">
              <w:rPr>
                <w:b/>
                <w:szCs w:val="18"/>
                <w:lang w:eastAsia="en-NZ"/>
              </w:rPr>
              <w:lastRenderedPageBreak/>
              <w:t>DHB/PH/Hosp/BU</w:t>
            </w:r>
          </w:p>
        </w:tc>
        <w:tc>
          <w:tcPr>
            <w:tcW w:w="2977" w:type="dxa"/>
            <w:gridSpan w:val="3"/>
            <w:shd w:val="clear" w:color="auto" w:fill="FFFFFF" w:themeFill="background1"/>
          </w:tcPr>
          <w:p w14:paraId="201BECD4"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6A593AC8"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7C310C94"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00BC88A0"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192421" w:rsidRPr="00716CC2" w14:paraId="2BF595E9" w14:textId="77777777" w:rsidTr="007A7079">
        <w:tc>
          <w:tcPr>
            <w:tcW w:w="2976" w:type="dxa"/>
            <w:gridSpan w:val="3"/>
            <w:shd w:val="clear" w:color="auto" w:fill="FFFFFF" w:themeFill="background1"/>
          </w:tcPr>
          <w:p w14:paraId="22D0666F" w14:textId="77777777" w:rsidR="00192421" w:rsidRPr="00716CC2" w:rsidRDefault="00192421" w:rsidP="00B257F2">
            <w:pPr>
              <w:pStyle w:val="TableBullet"/>
              <w:rPr>
                <w:szCs w:val="18"/>
              </w:rPr>
            </w:pPr>
            <w:r w:rsidRPr="00716CC2">
              <w:rPr>
                <w:szCs w:val="18"/>
              </w:rPr>
              <w:t xml:space="preserve">Succession planning </w:t>
            </w:r>
          </w:p>
          <w:p w14:paraId="2FF67F26" w14:textId="77777777" w:rsidR="00192421" w:rsidRPr="00716CC2" w:rsidRDefault="00192421" w:rsidP="00B257F2">
            <w:pPr>
              <w:pStyle w:val="TableBullet"/>
              <w:rPr>
                <w:szCs w:val="18"/>
              </w:rPr>
            </w:pPr>
            <w:r w:rsidRPr="00716CC2">
              <w:rPr>
                <w:szCs w:val="18"/>
              </w:rPr>
              <w:t>Volunteers</w:t>
            </w:r>
          </w:p>
        </w:tc>
        <w:tc>
          <w:tcPr>
            <w:tcW w:w="2977" w:type="dxa"/>
            <w:gridSpan w:val="3"/>
            <w:shd w:val="clear" w:color="auto" w:fill="FFFFFF" w:themeFill="background1"/>
          </w:tcPr>
          <w:p w14:paraId="1E78B1F1" w14:textId="77777777" w:rsidR="00192421" w:rsidRPr="00716CC2" w:rsidRDefault="00192421" w:rsidP="00B257F2">
            <w:pPr>
              <w:pStyle w:val="TableBullet"/>
              <w:rPr>
                <w:szCs w:val="18"/>
              </w:rPr>
            </w:pPr>
            <w:r w:rsidRPr="00716CC2">
              <w:rPr>
                <w:szCs w:val="18"/>
              </w:rPr>
              <w:t>Consider multi-disciplinary team – roles reflect the model of care and service type delivery.</w:t>
            </w:r>
          </w:p>
          <w:p w14:paraId="174F3BED" w14:textId="77777777" w:rsidR="00192421" w:rsidRPr="00716CC2" w:rsidRDefault="00192421" w:rsidP="00B257F2">
            <w:pPr>
              <w:pStyle w:val="TableBullet"/>
              <w:rPr>
                <w:szCs w:val="18"/>
              </w:rPr>
            </w:pPr>
            <w:r w:rsidRPr="00716CC2">
              <w:rPr>
                <w:szCs w:val="18"/>
              </w:rPr>
              <w:t>Contract – outlines clinical minimum qualifications on site.</w:t>
            </w:r>
          </w:p>
        </w:tc>
        <w:tc>
          <w:tcPr>
            <w:tcW w:w="2977" w:type="dxa"/>
            <w:gridSpan w:val="3"/>
            <w:shd w:val="clear" w:color="auto" w:fill="FFFFFF" w:themeFill="background1"/>
          </w:tcPr>
          <w:p w14:paraId="55BAB09D" w14:textId="77777777" w:rsidR="00192421" w:rsidRPr="00716CC2" w:rsidRDefault="00192421" w:rsidP="00B257F2">
            <w:pPr>
              <w:pStyle w:val="TableBullet"/>
              <w:rPr>
                <w:szCs w:val="18"/>
              </w:rPr>
            </w:pPr>
            <w:r w:rsidRPr="00716CC2">
              <w:rPr>
                <w:szCs w:val="18"/>
              </w:rPr>
              <w:t>Merge with Standard 1.2.7:  So possible: ‘best practice – personnel management (EB, Eldernet)</w:t>
            </w:r>
          </w:p>
          <w:p w14:paraId="761655BE" w14:textId="77777777" w:rsidR="00192421" w:rsidRPr="00716CC2" w:rsidRDefault="00192421" w:rsidP="00B257F2">
            <w:pPr>
              <w:pStyle w:val="TableBullet"/>
              <w:rPr>
                <w:szCs w:val="18"/>
              </w:rPr>
            </w:pPr>
            <w:r w:rsidRPr="00716CC2">
              <w:rPr>
                <w:szCs w:val="18"/>
              </w:rPr>
              <w:t>Definition of “service provider required (staff, consultant, tradesperson etc.)</w:t>
            </w:r>
          </w:p>
          <w:p w14:paraId="51E44AA4" w14:textId="77777777" w:rsidR="00192421" w:rsidRPr="00716CC2" w:rsidRDefault="00192421" w:rsidP="00B257F2">
            <w:pPr>
              <w:pStyle w:val="TableBullet"/>
              <w:rPr>
                <w:szCs w:val="18"/>
              </w:rPr>
            </w:pPr>
          </w:p>
        </w:tc>
        <w:tc>
          <w:tcPr>
            <w:tcW w:w="2977" w:type="dxa"/>
            <w:gridSpan w:val="3"/>
            <w:shd w:val="clear" w:color="auto" w:fill="FFFFFF" w:themeFill="background1"/>
          </w:tcPr>
          <w:p w14:paraId="3E104FB8" w14:textId="77777777" w:rsidR="00192421" w:rsidRPr="00716CC2" w:rsidRDefault="00192421" w:rsidP="00B257F2">
            <w:pPr>
              <w:pStyle w:val="TableBullet"/>
              <w:rPr>
                <w:szCs w:val="18"/>
              </w:rPr>
            </w:pPr>
            <w:r w:rsidRPr="00716CC2">
              <w:rPr>
                <w:szCs w:val="18"/>
              </w:rPr>
              <w:t>Keep the standard in one way or another</w:t>
            </w:r>
          </w:p>
          <w:p w14:paraId="12CF0D07" w14:textId="77777777" w:rsidR="00192421" w:rsidRPr="00716CC2" w:rsidRDefault="00192421" w:rsidP="00B257F2">
            <w:pPr>
              <w:pStyle w:val="TableBullet"/>
              <w:rPr>
                <w:szCs w:val="18"/>
              </w:rPr>
            </w:pPr>
            <w:r w:rsidRPr="00716CC2">
              <w:rPr>
                <w:szCs w:val="18"/>
              </w:rPr>
              <w:t>The education requirement could be fleshed out</w:t>
            </w:r>
          </w:p>
          <w:p w14:paraId="2C338E73" w14:textId="77777777" w:rsidR="00192421" w:rsidRPr="00716CC2" w:rsidRDefault="00192421" w:rsidP="00B257F2">
            <w:pPr>
              <w:pStyle w:val="TableBullet"/>
              <w:rPr>
                <w:szCs w:val="18"/>
              </w:rPr>
            </w:pPr>
            <w:r w:rsidRPr="00716CC2">
              <w:rPr>
                <w:szCs w:val="18"/>
              </w:rPr>
              <w:t>Could be linked with CCDM standards and anticipatory planning for populations including skills, R&amp;R and so on</w:t>
            </w:r>
          </w:p>
          <w:p w14:paraId="50ECA180" w14:textId="77777777" w:rsidR="00192421" w:rsidRPr="00716CC2" w:rsidRDefault="00192421" w:rsidP="00B257F2">
            <w:pPr>
              <w:pStyle w:val="TableBullet"/>
              <w:rPr>
                <w:szCs w:val="18"/>
              </w:rPr>
            </w:pPr>
            <w:r w:rsidRPr="00716CC2">
              <w:rPr>
                <w:szCs w:val="18"/>
              </w:rPr>
              <w:t>Could include artificial intelligence and technology coming into ARC as an alternative human resource</w:t>
            </w:r>
          </w:p>
          <w:p w14:paraId="20FC8F88" w14:textId="77777777" w:rsidR="00192421" w:rsidRPr="00716CC2" w:rsidRDefault="00192421" w:rsidP="00B257F2">
            <w:pPr>
              <w:pStyle w:val="TableBullet"/>
              <w:rPr>
                <w:szCs w:val="18"/>
              </w:rPr>
            </w:pPr>
            <w:r w:rsidRPr="00716CC2">
              <w:rPr>
                <w:szCs w:val="18"/>
              </w:rPr>
              <w:t>Suggest consumer feedback on timeliness and appropriateness of staff, staffing levels/skills</w:t>
            </w:r>
          </w:p>
          <w:p w14:paraId="141B1AB1" w14:textId="77777777" w:rsidR="00192421" w:rsidRPr="00716CC2" w:rsidRDefault="00192421" w:rsidP="00B257F2">
            <w:pPr>
              <w:pStyle w:val="TableBullet"/>
              <w:rPr>
                <w:szCs w:val="18"/>
              </w:rPr>
            </w:pPr>
            <w:r w:rsidRPr="00716CC2">
              <w:rPr>
                <w:szCs w:val="18"/>
              </w:rPr>
              <w:t>Suggest consumer feedback on whether the service is meeting the needs of the consumers with the compliment of staff</w:t>
            </w:r>
          </w:p>
        </w:tc>
        <w:tc>
          <w:tcPr>
            <w:tcW w:w="2977" w:type="dxa"/>
            <w:gridSpan w:val="3"/>
            <w:shd w:val="clear" w:color="auto" w:fill="FFFFFF" w:themeFill="background1"/>
          </w:tcPr>
          <w:p w14:paraId="6EDBBA4F" w14:textId="77777777" w:rsidR="00192421" w:rsidRPr="00716CC2" w:rsidRDefault="00192421" w:rsidP="00B257F2">
            <w:pPr>
              <w:pStyle w:val="TableBullet"/>
              <w:rPr>
                <w:szCs w:val="18"/>
              </w:rPr>
            </w:pPr>
            <w:r w:rsidRPr="00716CC2">
              <w:rPr>
                <w:szCs w:val="18"/>
              </w:rPr>
              <w:t>Merge standards 1.2.7</w:t>
            </w:r>
          </w:p>
          <w:p w14:paraId="7E8769DF" w14:textId="77777777" w:rsidR="00192421" w:rsidRPr="00716CC2" w:rsidRDefault="00192421" w:rsidP="00B257F2">
            <w:pPr>
              <w:pStyle w:val="TableBullet"/>
              <w:rPr>
                <w:szCs w:val="18"/>
              </w:rPr>
            </w:pPr>
            <w:r w:rsidRPr="00716CC2">
              <w:rPr>
                <w:szCs w:val="18"/>
              </w:rPr>
              <w:t>Statement would need to be reflective, if merged, to reflect changes to pay equity legislation</w:t>
            </w:r>
          </w:p>
        </w:tc>
      </w:tr>
      <w:tr w:rsidR="0079616F" w:rsidRPr="00716CC2" w14:paraId="0E0EB29F" w14:textId="77777777" w:rsidTr="007A7079">
        <w:tc>
          <w:tcPr>
            <w:tcW w:w="14884" w:type="dxa"/>
            <w:gridSpan w:val="15"/>
            <w:shd w:val="clear" w:color="auto" w:fill="FFFFFF" w:themeFill="background1"/>
          </w:tcPr>
          <w:p w14:paraId="0784D5E7" w14:textId="77777777" w:rsidR="0079616F" w:rsidRPr="00716CC2" w:rsidRDefault="0079616F" w:rsidP="00192421">
            <w:pPr>
              <w:spacing w:before="40" w:after="40"/>
              <w:rPr>
                <w:b/>
                <w:sz w:val="18"/>
                <w:szCs w:val="18"/>
              </w:rPr>
            </w:pPr>
          </w:p>
        </w:tc>
      </w:tr>
      <w:tr w:rsidR="0079616F" w:rsidRPr="00716CC2" w14:paraId="16416CD9" w14:textId="77777777" w:rsidTr="007A7079">
        <w:tc>
          <w:tcPr>
            <w:tcW w:w="14884" w:type="dxa"/>
            <w:gridSpan w:val="15"/>
            <w:shd w:val="clear" w:color="auto" w:fill="F2F2F2" w:themeFill="background1" w:themeFillShade="F2"/>
          </w:tcPr>
          <w:p w14:paraId="64E73DF9" w14:textId="77777777" w:rsidR="0079616F" w:rsidRPr="00716CC2" w:rsidRDefault="00192421" w:rsidP="00192421">
            <w:pPr>
              <w:spacing w:before="40" w:after="40"/>
              <w:rPr>
                <w:b/>
                <w:sz w:val="18"/>
                <w:szCs w:val="18"/>
              </w:rPr>
            </w:pPr>
            <w:r w:rsidRPr="00716CC2">
              <w:rPr>
                <w:b/>
                <w:sz w:val="18"/>
                <w:szCs w:val="18"/>
              </w:rPr>
              <w:t xml:space="preserve">Standard 1.2.9: </w:t>
            </w:r>
            <w:r w:rsidRPr="00716CC2">
              <w:rPr>
                <w:sz w:val="18"/>
                <w:szCs w:val="18"/>
              </w:rPr>
              <w:t>Consumer Information Management Systems (HDS(C)S.2008:1.2.9): Consumer information is uniquely identifiable, accurately recorded, current, confidential, and accessible when required</w:t>
            </w:r>
          </w:p>
        </w:tc>
      </w:tr>
      <w:tr w:rsidR="0079616F" w:rsidRPr="00716CC2" w14:paraId="3501DF57" w14:textId="77777777" w:rsidTr="007A7079">
        <w:tc>
          <w:tcPr>
            <w:tcW w:w="2976" w:type="dxa"/>
            <w:gridSpan w:val="3"/>
            <w:shd w:val="clear" w:color="auto" w:fill="FFFFFF" w:themeFill="background1"/>
          </w:tcPr>
          <w:p w14:paraId="66F9902E" w14:textId="77777777" w:rsidR="0079616F" w:rsidRPr="00716CC2" w:rsidRDefault="0079616F"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0F1D1C44" w14:textId="77777777" w:rsidR="0079616F" w:rsidRPr="00716CC2" w:rsidRDefault="0079616F"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6AD2113A" w14:textId="77777777" w:rsidR="0079616F" w:rsidRPr="00716CC2" w:rsidRDefault="0079616F"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17EBC493" w14:textId="77777777" w:rsidR="0079616F" w:rsidRPr="00716CC2" w:rsidRDefault="0079616F"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4AE10176" w14:textId="77777777" w:rsidR="0079616F" w:rsidRPr="00716CC2" w:rsidRDefault="0079616F" w:rsidP="006D5FE4">
            <w:pPr>
              <w:pStyle w:val="TableText"/>
              <w:spacing w:before="40" w:after="40"/>
              <w:rPr>
                <w:b/>
                <w:szCs w:val="18"/>
                <w:lang w:eastAsia="en-NZ"/>
              </w:rPr>
            </w:pPr>
            <w:r w:rsidRPr="00716CC2">
              <w:rPr>
                <w:b/>
                <w:szCs w:val="18"/>
                <w:lang w:eastAsia="en-NZ"/>
              </w:rPr>
              <w:t>Res Dis (6 Aug)</w:t>
            </w:r>
          </w:p>
        </w:tc>
      </w:tr>
      <w:tr w:rsidR="00192421" w:rsidRPr="00716CC2" w14:paraId="638D2859" w14:textId="77777777" w:rsidTr="007A7079">
        <w:tc>
          <w:tcPr>
            <w:tcW w:w="2976" w:type="dxa"/>
            <w:gridSpan w:val="3"/>
            <w:shd w:val="clear" w:color="auto" w:fill="FFFFFF" w:themeFill="background1"/>
          </w:tcPr>
          <w:p w14:paraId="23E1CD6C" w14:textId="77777777" w:rsidR="00192421" w:rsidRPr="00716CC2" w:rsidRDefault="00192421" w:rsidP="00B257F2">
            <w:pPr>
              <w:pStyle w:val="TableBullet"/>
              <w:rPr>
                <w:szCs w:val="18"/>
              </w:rPr>
            </w:pPr>
            <w:r w:rsidRPr="00716CC2">
              <w:rPr>
                <w:szCs w:val="18"/>
              </w:rPr>
              <w:t>Provider links to primary health care records – integration and interfaces (NZ CoM)</w:t>
            </w:r>
          </w:p>
          <w:p w14:paraId="28926048" w14:textId="77777777" w:rsidR="00192421" w:rsidRPr="00716CC2" w:rsidRDefault="00192421" w:rsidP="00B257F2">
            <w:pPr>
              <w:pStyle w:val="TableBullet"/>
              <w:rPr>
                <w:szCs w:val="18"/>
              </w:rPr>
            </w:pPr>
            <w:r w:rsidRPr="00716CC2">
              <w:rPr>
                <w:szCs w:val="18"/>
              </w:rPr>
              <w:t xml:space="preserve">Privacy concerns for patient information - held electronically and paper. </w:t>
            </w:r>
          </w:p>
          <w:p w14:paraId="12847EE7" w14:textId="77777777" w:rsidR="00192421" w:rsidRPr="00716CC2" w:rsidRDefault="00192421" w:rsidP="00B257F2">
            <w:pPr>
              <w:pStyle w:val="TableBullet"/>
              <w:rPr>
                <w:szCs w:val="18"/>
              </w:rPr>
            </w:pPr>
            <w:r w:rsidRPr="00716CC2">
              <w:rPr>
                <w:szCs w:val="18"/>
              </w:rPr>
              <w:t xml:space="preserve">Cyber security </w:t>
            </w:r>
          </w:p>
          <w:p w14:paraId="0005281B" w14:textId="77777777" w:rsidR="00192421" w:rsidRPr="00716CC2" w:rsidRDefault="00192421" w:rsidP="00B257F2">
            <w:pPr>
              <w:pStyle w:val="TableBullet"/>
              <w:rPr>
                <w:szCs w:val="18"/>
              </w:rPr>
            </w:pPr>
            <w:r w:rsidRPr="00716CC2">
              <w:rPr>
                <w:szCs w:val="18"/>
              </w:rPr>
              <w:t>Ethnicity recording</w:t>
            </w:r>
          </w:p>
          <w:p w14:paraId="60E05286" w14:textId="77777777" w:rsidR="00192421" w:rsidRPr="00716CC2" w:rsidRDefault="00192421" w:rsidP="00B257F2">
            <w:pPr>
              <w:pStyle w:val="TableBullet"/>
              <w:rPr>
                <w:szCs w:val="18"/>
              </w:rPr>
            </w:pPr>
            <w:r w:rsidRPr="00716CC2">
              <w:rPr>
                <w:szCs w:val="18"/>
              </w:rPr>
              <w:lastRenderedPageBreak/>
              <w:t>Use of national definitions across Health Information and privacy STDs for clarity</w:t>
            </w:r>
          </w:p>
          <w:p w14:paraId="18CAB9CC" w14:textId="77777777" w:rsidR="00192421" w:rsidRPr="00716CC2" w:rsidRDefault="00192421" w:rsidP="00B257F2">
            <w:pPr>
              <w:pStyle w:val="TableBullet"/>
              <w:rPr>
                <w:szCs w:val="18"/>
              </w:rPr>
            </w:pPr>
            <w:r w:rsidRPr="00716CC2">
              <w:rPr>
                <w:szCs w:val="18"/>
              </w:rPr>
              <w:t>Ensure integration of health information</w:t>
            </w:r>
          </w:p>
        </w:tc>
        <w:tc>
          <w:tcPr>
            <w:tcW w:w="2977" w:type="dxa"/>
            <w:gridSpan w:val="3"/>
            <w:shd w:val="clear" w:color="auto" w:fill="FFFFFF" w:themeFill="background1"/>
          </w:tcPr>
          <w:p w14:paraId="344683A7" w14:textId="77777777" w:rsidR="00192421" w:rsidRPr="00716CC2" w:rsidRDefault="00192421" w:rsidP="00B257F2">
            <w:pPr>
              <w:pStyle w:val="TableBullet"/>
              <w:rPr>
                <w:szCs w:val="18"/>
              </w:rPr>
            </w:pPr>
            <w:r w:rsidRPr="00716CC2">
              <w:rPr>
                <w:szCs w:val="18"/>
              </w:rPr>
              <w:lastRenderedPageBreak/>
              <w:t xml:space="preserve">Some comment of the costs of management a safe IT system client details for these small services </w:t>
            </w:r>
          </w:p>
          <w:p w14:paraId="10356E85" w14:textId="77777777" w:rsidR="00192421" w:rsidRPr="00716CC2" w:rsidRDefault="00192421" w:rsidP="00B257F2">
            <w:pPr>
              <w:pStyle w:val="TableBullet"/>
              <w:rPr>
                <w:szCs w:val="18"/>
              </w:rPr>
            </w:pPr>
            <w:r w:rsidRPr="00716CC2">
              <w:rPr>
                <w:szCs w:val="18"/>
              </w:rPr>
              <w:t xml:space="preserve">Need to share client information safely - consent to share </w:t>
            </w:r>
          </w:p>
          <w:p w14:paraId="6CDD976A" w14:textId="77777777" w:rsidR="00192421" w:rsidRPr="00716CC2" w:rsidRDefault="00192421" w:rsidP="00B257F2">
            <w:pPr>
              <w:pStyle w:val="TableBullet"/>
              <w:rPr>
                <w:szCs w:val="18"/>
              </w:rPr>
            </w:pPr>
            <w:r w:rsidRPr="00716CC2">
              <w:rPr>
                <w:szCs w:val="18"/>
              </w:rPr>
              <w:t>Manage security of emails and access to information.</w:t>
            </w:r>
          </w:p>
        </w:tc>
        <w:tc>
          <w:tcPr>
            <w:tcW w:w="2977" w:type="dxa"/>
            <w:gridSpan w:val="3"/>
            <w:shd w:val="clear" w:color="auto" w:fill="FFFFFF" w:themeFill="background1"/>
          </w:tcPr>
          <w:p w14:paraId="0C06B911" w14:textId="77777777" w:rsidR="00192421" w:rsidRPr="00716CC2" w:rsidRDefault="00192421" w:rsidP="00B257F2">
            <w:pPr>
              <w:pStyle w:val="TableBullet"/>
              <w:rPr>
                <w:szCs w:val="18"/>
              </w:rPr>
            </w:pPr>
            <w:r w:rsidRPr="00716CC2">
              <w:rPr>
                <w:szCs w:val="18"/>
              </w:rPr>
              <w:t>This standard should cover information data in all forms; IT systems, e-storage, security, photography etc.</w:t>
            </w:r>
          </w:p>
        </w:tc>
        <w:tc>
          <w:tcPr>
            <w:tcW w:w="2977" w:type="dxa"/>
            <w:gridSpan w:val="3"/>
            <w:shd w:val="clear" w:color="auto" w:fill="FFFFFF" w:themeFill="background1"/>
          </w:tcPr>
          <w:p w14:paraId="78F688E1" w14:textId="77777777" w:rsidR="00192421" w:rsidRPr="00716CC2" w:rsidRDefault="00192421" w:rsidP="00B257F2">
            <w:pPr>
              <w:pStyle w:val="TableBullet"/>
              <w:rPr>
                <w:szCs w:val="18"/>
              </w:rPr>
            </w:pPr>
            <w:r w:rsidRPr="00716CC2">
              <w:rPr>
                <w:szCs w:val="18"/>
              </w:rPr>
              <w:t>Suggest inclusion of all ‘e’ electronic types of interfaces such as interRAi, Tonic, Medimap, e-prescribing, Facebook and so on</w:t>
            </w:r>
          </w:p>
          <w:p w14:paraId="24EE196C" w14:textId="77777777" w:rsidR="00192421" w:rsidRPr="00716CC2" w:rsidRDefault="00192421" w:rsidP="00B257F2">
            <w:pPr>
              <w:pStyle w:val="TableBullet"/>
              <w:rPr>
                <w:szCs w:val="18"/>
              </w:rPr>
            </w:pPr>
            <w:r w:rsidRPr="00716CC2">
              <w:rPr>
                <w:szCs w:val="18"/>
              </w:rPr>
              <w:t xml:space="preserve">Privacy issues to consider further and may link or merge with other standards </w:t>
            </w:r>
          </w:p>
          <w:p w14:paraId="5D521D79" w14:textId="77777777" w:rsidR="00192421" w:rsidRPr="00716CC2" w:rsidRDefault="00192421" w:rsidP="00B257F2">
            <w:pPr>
              <w:pStyle w:val="TableBullet"/>
              <w:rPr>
                <w:szCs w:val="18"/>
              </w:rPr>
            </w:pPr>
            <w:r w:rsidRPr="00716CC2">
              <w:rPr>
                <w:szCs w:val="18"/>
              </w:rPr>
              <w:t>Consider further access to these platforms without the current supply of energy (electricity)</w:t>
            </w:r>
          </w:p>
        </w:tc>
        <w:tc>
          <w:tcPr>
            <w:tcW w:w="2977" w:type="dxa"/>
            <w:gridSpan w:val="3"/>
            <w:shd w:val="clear" w:color="auto" w:fill="FFFFFF" w:themeFill="background1"/>
          </w:tcPr>
          <w:p w14:paraId="3241919C" w14:textId="77777777" w:rsidR="00192421" w:rsidRPr="00716CC2" w:rsidRDefault="00192421" w:rsidP="00B257F2">
            <w:pPr>
              <w:pStyle w:val="TableBullet"/>
              <w:rPr>
                <w:szCs w:val="18"/>
              </w:rPr>
            </w:pPr>
            <w:r w:rsidRPr="00716CC2">
              <w:rPr>
                <w:szCs w:val="18"/>
              </w:rPr>
              <w:t>Statement needs to reflect change in I.T innovations including, e-storage systems, security of data bases and accessibility by providers</w:t>
            </w:r>
          </w:p>
          <w:p w14:paraId="187BE1AB" w14:textId="77777777" w:rsidR="00192421" w:rsidRPr="00716CC2" w:rsidRDefault="00192421" w:rsidP="00B257F2">
            <w:pPr>
              <w:pStyle w:val="TableBullet"/>
              <w:rPr>
                <w:szCs w:val="18"/>
              </w:rPr>
            </w:pPr>
            <w:r w:rsidRPr="00716CC2">
              <w:rPr>
                <w:szCs w:val="18"/>
              </w:rPr>
              <w:t>Due to the changing environment – suggest using a high level privacy / storage principles (N.Berry, NZCare)</w:t>
            </w:r>
          </w:p>
        </w:tc>
      </w:tr>
      <w:tr w:rsidR="00192421" w:rsidRPr="00716CC2" w14:paraId="112FA959" w14:textId="77777777" w:rsidTr="007A7079">
        <w:tc>
          <w:tcPr>
            <w:tcW w:w="14884" w:type="dxa"/>
            <w:gridSpan w:val="15"/>
            <w:shd w:val="clear" w:color="auto" w:fill="FFFFFF" w:themeFill="background1"/>
          </w:tcPr>
          <w:p w14:paraId="3951C642" w14:textId="77777777" w:rsidR="00192421" w:rsidRPr="00716CC2" w:rsidRDefault="00192421" w:rsidP="00192421">
            <w:pPr>
              <w:spacing w:before="40" w:after="40"/>
              <w:rPr>
                <w:b/>
                <w:sz w:val="18"/>
                <w:szCs w:val="18"/>
              </w:rPr>
            </w:pPr>
          </w:p>
        </w:tc>
      </w:tr>
      <w:tr w:rsidR="00192421" w:rsidRPr="00716CC2" w14:paraId="7644E826" w14:textId="77777777" w:rsidTr="007A7079">
        <w:tc>
          <w:tcPr>
            <w:tcW w:w="14884" w:type="dxa"/>
            <w:gridSpan w:val="15"/>
            <w:shd w:val="clear" w:color="auto" w:fill="D9D9D9" w:themeFill="background1" w:themeFillShade="D9"/>
          </w:tcPr>
          <w:p w14:paraId="6C8066DD" w14:textId="77777777" w:rsidR="00192421" w:rsidRPr="00716CC2" w:rsidRDefault="00192421" w:rsidP="00192421">
            <w:pPr>
              <w:spacing w:before="40" w:after="40"/>
              <w:rPr>
                <w:sz w:val="18"/>
                <w:szCs w:val="18"/>
              </w:rPr>
            </w:pPr>
            <w:r w:rsidRPr="00716CC2">
              <w:rPr>
                <w:b/>
                <w:sz w:val="18"/>
                <w:szCs w:val="18"/>
              </w:rPr>
              <w:t xml:space="preserve">Outcome 1.3: </w:t>
            </w:r>
            <w:r w:rsidRPr="00716CC2">
              <w:rPr>
                <w:sz w:val="18"/>
                <w:szCs w:val="18"/>
              </w:rPr>
              <w:t>Continuum of Service Delivery: Consumers participate in and receive timely assessment, followed by services that are planned, coordinated, and delivered in a timely and appropriate manner, consistent with current legislation</w:t>
            </w:r>
          </w:p>
          <w:p w14:paraId="14F71A95" w14:textId="77777777" w:rsidR="00192421" w:rsidRPr="00716CC2" w:rsidRDefault="00192421" w:rsidP="00192421">
            <w:pPr>
              <w:spacing w:before="40" w:after="40"/>
              <w:rPr>
                <w:sz w:val="18"/>
                <w:szCs w:val="18"/>
              </w:rPr>
            </w:pPr>
            <w:r w:rsidRPr="00716CC2">
              <w:rPr>
                <w:sz w:val="18"/>
                <w:szCs w:val="18"/>
              </w:rPr>
              <w:t>MHA: Reword to be person centric</w:t>
            </w:r>
          </w:p>
          <w:p w14:paraId="66C387FD" w14:textId="77777777" w:rsidR="00192421" w:rsidRPr="00716CC2" w:rsidRDefault="00192421" w:rsidP="00192421">
            <w:pPr>
              <w:spacing w:before="40" w:after="40"/>
              <w:rPr>
                <w:b/>
                <w:sz w:val="18"/>
                <w:szCs w:val="18"/>
              </w:rPr>
            </w:pPr>
            <w:r w:rsidRPr="00716CC2">
              <w:rPr>
                <w:sz w:val="18"/>
                <w:szCs w:val="18"/>
              </w:rPr>
              <w:t>RD: Use active language, Consider inclusion of whānau</w:t>
            </w:r>
          </w:p>
        </w:tc>
      </w:tr>
      <w:tr w:rsidR="00192421" w:rsidRPr="00716CC2" w14:paraId="06FCDAA3" w14:textId="77777777" w:rsidTr="007A7079">
        <w:tc>
          <w:tcPr>
            <w:tcW w:w="14884" w:type="dxa"/>
            <w:gridSpan w:val="15"/>
            <w:shd w:val="clear" w:color="auto" w:fill="F2F2F2" w:themeFill="background1" w:themeFillShade="F2"/>
          </w:tcPr>
          <w:p w14:paraId="4C8AE194" w14:textId="77777777" w:rsidR="00192421" w:rsidRPr="00716CC2" w:rsidRDefault="00192421" w:rsidP="00192421">
            <w:pPr>
              <w:spacing w:before="40" w:after="40"/>
              <w:rPr>
                <w:b/>
                <w:sz w:val="18"/>
                <w:szCs w:val="18"/>
              </w:rPr>
            </w:pPr>
            <w:r w:rsidRPr="00716CC2">
              <w:rPr>
                <w:b/>
                <w:sz w:val="18"/>
                <w:szCs w:val="18"/>
              </w:rPr>
              <w:t xml:space="preserve">Standard 1.3.1: </w:t>
            </w:r>
            <w:r w:rsidRPr="00716CC2">
              <w:rPr>
                <w:sz w:val="18"/>
                <w:szCs w:val="18"/>
              </w:rPr>
              <w:t>Entry to Services (HDS(C)S.2008:1.3.1): Consumers' entry into services is facilitated in a competent, equitable, timely, and respectful manner, when their need for services has been identified</w:t>
            </w:r>
          </w:p>
        </w:tc>
      </w:tr>
      <w:tr w:rsidR="00192421" w:rsidRPr="00716CC2" w14:paraId="3C9BD8CB" w14:textId="77777777" w:rsidTr="007A7079">
        <w:tc>
          <w:tcPr>
            <w:tcW w:w="2976" w:type="dxa"/>
            <w:gridSpan w:val="3"/>
            <w:shd w:val="clear" w:color="auto" w:fill="FFFFFF" w:themeFill="background1"/>
          </w:tcPr>
          <w:p w14:paraId="2D5C59F6"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4AF3F56D"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0C1B463F"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0D6284BB"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178AA2FF"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192421" w:rsidRPr="00716CC2" w14:paraId="5E739244" w14:textId="77777777" w:rsidTr="007A7079">
        <w:tc>
          <w:tcPr>
            <w:tcW w:w="2976" w:type="dxa"/>
            <w:gridSpan w:val="3"/>
            <w:shd w:val="clear" w:color="auto" w:fill="FFFFFF" w:themeFill="background1"/>
          </w:tcPr>
          <w:p w14:paraId="41D8BA83" w14:textId="77777777" w:rsidR="00192421" w:rsidRPr="00716CC2" w:rsidRDefault="00192421" w:rsidP="00B257F2">
            <w:pPr>
              <w:pStyle w:val="TableBullet"/>
              <w:rPr>
                <w:szCs w:val="18"/>
              </w:rPr>
            </w:pPr>
            <w:r w:rsidRPr="00716CC2">
              <w:rPr>
                <w:szCs w:val="18"/>
              </w:rPr>
              <w:t xml:space="preserve">Needs to be reworded ensuring patient centred and determined </w:t>
            </w:r>
          </w:p>
          <w:p w14:paraId="32781A78" w14:textId="77777777" w:rsidR="00192421" w:rsidRPr="00716CC2" w:rsidRDefault="00192421" w:rsidP="00B257F2">
            <w:pPr>
              <w:pStyle w:val="TableBullet"/>
              <w:rPr>
                <w:szCs w:val="18"/>
              </w:rPr>
            </w:pPr>
            <w:r w:rsidRPr="00716CC2">
              <w:rPr>
                <w:szCs w:val="18"/>
              </w:rPr>
              <w:t>Criteria need to be transparent so patients understand nuances</w:t>
            </w:r>
          </w:p>
          <w:p w14:paraId="449C3021" w14:textId="77777777" w:rsidR="00192421" w:rsidRPr="00716CC2" w:rsidRDefault="00192421" w:rsidP="00B257F2">
            <w:pPr>
              <w:pStyle w:val="TableBullet"/>
              <w:rPr>
                <w:szCs w:val="18"/>
              </w:rPr>
            </w:pPr>
            <w:r w:rsidRPr="00716CC2">
              <w:rPr>
                <w:szCs w:val="18"/>
              </w:rPr>
              <w:t>Ensure equity/inequity lens (refer earlier narrative)</w:t>
            </w:r>
          </w:p>
          <w:p w14:paraId="36EF4738" w14:textId="77777777" w:rsidR="00192421" w:rsidRPr="00716CC2" w:rsidRDefault="00192421" w:rsidP="00B257F2">
            <w:pPr>
              <w:pStyle w:val="TableBullet"/>
              <w:rPr>
                <w:szCs w:val="18"/>
              </w:rPr>
            </w:pPr>
            <w:r w:rsidRPr="00716CC2">
              <w:rPr>
                <w:szCs w:val="18"/>
              </w:rPr>
              <w:t>Where does timely ‘facilitation to appropriate service’ sit – ie. Referral to a different agency, transfer of care. Acknowledge receipt of referrals (NZCoM)</w:t>
            </w:r>
          </w:p>
          <w:p w14:paraId="148BF208" w14:textId="77777777" w:rsidR="00192421" w:rsidRPr="00716CC2" w:rsidRDefault="00192421" w:rsidP="00B257F2">
            <w:pPr>
              <w:pStyle w:val="TableBullet"/>
              <w:rPr>
                <w:szCs w:val="18"/>
              </w:rPr>
            </w:pPr>
            <w:r w:rsidRPr="00716CC2">
              <w:rPr>
                <w:szCs w:val="18"/>
              </w:rPr>
              <w:t>What is safe for patient outcomes</w:t>
            </w:r>
          </w:p>
          <w:p w14:paraId="57D0E9B5" w14:textId="77777777" w:rsidR="00192421" w:rsidRPr="00716CC2" w:rsidRDefault="00192421" w:rsidP="00B257F2">
            <w:pPr>
              <w:pStyle w:val="TableBullet"/>
              <w:rPr>
                <w:szCs w:val="18"/>
              </w:rPr>
            </w:pPr>
            <w:r w:rsidRPr="00716CC2">
              <w:rPr>
                <w:szCs w:val="18"/>
              </w:rPr>
              <w:t>While standard may relate to all service types may need service type specificity at criteria level – eg. DHB Hospital may assess every presentation, however Birthing Units may exclude due to risk based outcomes</w:t>
            </w:r>
          </w:p>
          <w:p w14:paraId="04A2A591" w14:textId="77777777" w:rsidR="00192421" w:rsidRPr="00716CC2" w:rsidRDefault="00192421" w:rsidP="00B257F2">
            <w:pPr>
              <w:pStyle w:val="TableBullet"/>
              <w:rPr>
                <w:szCs w:val="18"/>
              </w:rPr>
            </w:pPr>
            <w:r w:rsidRPr="00716CC2">
              <w:rPr>
                <w:szCs w:val="18"/>
              </w:rPr>
              <w:lastRenderedPageBreak/>
              <w:t>Link to the ‘communication’ standard and cyber security (NZCoM)</w:t>
            </w:r>
          </w:p>
          <w:p w14:paraId="6EB652DC" w14:textId="77777777" w:rsidR="00192421" w:rsidRPr="00716CC2" w:rsidRDefault="00192421" w:rsidP="00B257F2">
            <w:pPr>
              <w:pStyle w:val="TableBullet"/>
              <w:rPr>
                <w:szCs w:val="18"/>
              </w:rPr>
            </w:pPr>
            <w:r w:rsidRPr="00716CC2">
              <w:rPr>
                <w:szCs w:val="18"/>
              </w:rPr>
              <w:t>Q: should monitoring functions be in Part 2</w:t>
            </w:r>
          </w:p>
          <w:p w14:paraId="6395C20C" w14:textId="77777777" w:rsidR="00192421" w:rsidRPr="00716CC2" w:rsidRDefault="00192421" w:rsidP="00B257F2">
            <w:pPr>
              <w:pStyle w:val="TableBullet"/>
              <w:rPr>
                <w:szCs w:val="18"/>
              </w:rPr>
            </w:pPr>
            <w:r w:rsidRPr="00716CC2">
              <w:rPr>
                <w:szCs w:val="18"/>
              </w:rPr>
              <w:t>Ability to audit access (NZCoM)</w:t>
            </w:r>
          </w:p>
        </w:tc>
        <w:tc>
          <w:tcPr>
            <w:tcW w:w="2977" w:type="dxa"/>
            <w:gridSpan w:val="3"/>
            <w:shd w:val="clear" w:color="auto" w:fill="FFFFFF" w:themeFill="background1"/>
          </w:tcPr>
          <w:p w14:paraId="03423794" w14:textId="77777777" w:rsidR="00192421" w:rsidRPr="00716CC2" w:rsidRDefault="00192421" w:rsidP="00B257F2">
            <w:pPr>
              <w:pStyle w:val="TableBullet"/>
              <w:rPr>
                <w:szCs w:val="18"/>
              </w:rPr>
            </w:pPr>
            <w:r w:rsidRPr="00716CC2">
              <w:rPr>
                <w:szCs w:val="18"/>
              </w:rPr>
              <w:lastRenderedPageBreak/>
              <w:t>1.3.1.5 apply to all service types</w:t>
            </w:r>
          </w:p>
          <w:p w14:paraId="1E5AEDDA" w14:textId="77777777" w:rsidR="00192421" w:rsidRPr="00716CC2" w:rsidRDefault="00192421" w:rsidP="00B257F2">
            <w:pPr>
              <w:pStyle w:val="TableBullet"/>
              <w:rPr>
                <w:szCs w:val="18"/>
              </w:rPr>
            </w:pPr>
            <w:r w:rsidRPr="00716CC2">
              <w:rPr>
                <w:szCs w:val="18"/>
              </w:rPr>
              <w:t>Inclusion of ‘where available’</w:t>
            </w:r>
          </w:p>
          <w:p w14:paraId="216389CF" w14:textId="77777777" w:rsidR="00192421" w:rsidRPr="00716CC2" w:rsidRDefault="00192421" w:rsidP="00B257F2">
            <w:pPr>
              <w:pStyle w:val="TableBullet"/>
              <w:rPr>
                <w:szCs w:val="18"/>
              </w:rPr>
            </w:pPr>
            <w:r w:rsidRPr="00716CC2">
              <w:rPr>
                <w:szCs w:val="18"/>
              </w:rPr>
              <w:t>Consider ‘appropriate referral’</w:t>
            </w:r>
          </w:p>
          <w:p w14:paraId="02AA8ADE" w14:textId="77777777" w:rsidR="00192421" w:rsidRPr="00716CC2" w:rsidRDefault="00192421" w:rsidP="00B257F2">
            <w:pPr>
              <w:pStyle w:val="TableBullet"/>
              <w:rPr>
                <w:szCs w:val="18"/>
              </w:rPr>
            </w:pPr>
            <w:r w:rsidRPr="00716CC2">
              <w:rPr>
                <w:szCs w:val="18"/>
              </w:rPr>
              <w:t>Referral vs vacancy</w:t>
            </w:r>
          </w:p>
          <w:p w14:paraId="639E10C2" w14:textId="77777777" w:rsidR="00192421" w:rsidRPr="00716CC2" w:rsidRDefault="00192421" w:rsidP="00B257F2">
            <w:pPr>
              <w:pStyle w:val="TableBullet"/>
              <w:rPr>
                <w:szCs w:val="18"/>
              </w:rPr>
            </w:pPr>
            <w:r w:rsidRPr="00716CC2">
              <w:rPr>
                <w:szCs w:val="18"/>
              </w:rPr>
              <w:t xml:space="preserve">Include specific criteria re kaupapa services </w:t>
            </w:r>
          </w:p>
          <w:p w14:paraId="41F5BF77" w14:textId="77777777" w:rsidR="00192421" w:rsidRPr="00716CC2" w:rsidRDefault="00192421" w:rsidP="00B257F2">
            <w:pPr>
              <w:pStyle w:val="TableBullet"/>
              <w:rPr>
                <w:szCs w:val="18"/>
              </w:rPr>
            </w:pPr>
            <w:r w:rsidRPr="00716CC2">
              <w:rPr>
                <w:szCs w:val="18"/>
              </w:rPr>
              <w:t>Ability to ‘opt out’, choice offered</w:t>
            </w:r>
          </w:p>
          <w:p w14:paraId="0BBF12AC" w14:textId="77777777" w:rsidR="00192421" w:rsidRPr="00716CC2" w:rsidRDefault="00192421" w:rsidP="00B257F2">
            <w:pPr>
              <w:pStyle w:val="TableBullet"/>
              <w:rPr>
                <w:szCs w:val="18"/>
              </w:rPr>
            </w:pPr>
            <w:r w:rsidRPr="00716CC2">
              <w:rPr>
                <w:szCs w:val="18"/>
              </w:rPr>
              <w:t>Auto referral to kaupapa then ‘opt out’ (sometimes kaupapa not always referred to) – eg. Referred to Kaupapa, then ability to change to mainstream if wish</w:t>
            </w:r>
          </w:p>
          <w:p w14:paraId="3C3C0D2D" w14:textId="77777777" w:rsidR="00192421" w:rsidRPr="00716CC2" w:rsidRDefault="00192421" w:rsidP="00B257F2">
            <w:pPr>
              <w:pStyle w:val="TableBullet"/>
              <w:rPr>
                <w:szCs w:val="18"/>
              </w:rPr>
            </w:pPr>
            <w:r w:rsidRPr="00716CC2">
              <w:rPr>
                <w:szCs w:val="18"/>
              </w:rPr>
              <w:t>Consider emerging health issues, and discrimination, equity.</w:t>
            </w:r>
          </w:p>
        </w:tc>
        <w:tc>
          <w:tcPr>
            <w:tcW w:w="2977" w:type="dxa"/>
            <w:gridSpan w:val="3"/>
            <w:shd w:val="clear" w:color="auto" w:fill="FFFFFF" w:themeFill="background1"/>
          </w:tcPr>
          <w:p w14:paraId="66D25621" w14:textId="77777777" w:rsidR="00192421" w:rsidRPr="00716CC2" w:rsidRDefault="00192421" w:rsidP="00B257F2">
            <w:pPr>
              <w:pStyle w:val="TableBullet"/>
              <w:rPr>
                <w:szCs w:val="18"/>
              </w:rPr>
            </w:pPr>
            <w:r w:rsidRPr="00716CC2">
              <w:rPr>
                <w:szCs w:val="18"/>
              </w:rPr>
              <w:t>Merge 1.3.1 and 1.3.2 – ie. Entry, decline and exit (refer 1.3.10)</w:t>
            </w:r>
          </w:p>
          <w:p w14:paraId="2E3F2793" w14:textId="77777777" w:rsidR="00192421" w:rsidRPr="00716CC2" w:rsidRDefault="00192421" w:rsidP="00B257F2">
            <w:pPr>
              <w:pStyle w:val="TableBullet"/>
              <w:rPr>
                <w:szCs w:val="18"/>
              </w:rPr>
            </w:pPr>
            <w:r w:rsidRPr="00716CC2">
              <w:rPr>
                <w:szCs w:val="18"/>
              </w:rPr>
              <w:t>Consider terminology: Access to services</w:t>
            </w:r>
          </w:p>
        </w:tc>
        <w:tc>
          <w:tcPr>
            <w:tcW w:w="2977" w:type="dxa"/>
            <w:gridSpan w:val="3"/>
            <w:shd w:val="clear" w:color="auto" w:fill="FFFFFF" w:themeFill="background1"/>
          </w:tcPr>
          <w:p w14:paraId="47DE0858" w14:textId="77777777" w:rsidR="00192421" w:rsidRPr="00716CC2" w:rsidRDefault="00192421" w:rsidP="00B257F2">
            <w:pPr>
              <w:pStyle w:val="TableBullet"/>
              <w:rPr>
                <w:szCs w:val="18"/>
              </w:rPr>
            </w:pPr>
            <w:r w:rsidRPr="00716CC2">
              <w:rPr>
                <w:szCs w:val="18"/>
              </w:rPr>
              <w:t xml:space="preserve">Agree required </w:t>
            </w:r>
          </w:p>
          <w:p w14:paraId="2BF2FEEC" w14:textId="77777777" w:rsidR="00192421" w:rsidRPr="00716CC2" w:rsidRDefault="00192421" w:rsidP="00B257F2">
            <w:pPr>
              <w:pStyle w:val="TableBullet"/>
              <w:rPr>
                <w:szCs w:val="18"/>
              </w:rPr>
            </w:pPr>
            <w:r w:rsidRPr="00716CC2">
              <w:rPr>
                <w:szCs w:val="18"/>
              </w:rPr>
              <w:t>Consider term ‘access’</w:t>
            </w:r>
          </w:p>
          <w:p w14:paraId="242A6D3E" w14:textId="77777777" w:rsidR="00192421" w:rsidRPr="00716CC2" w:rsidRDefault="00192421" w:rsidP="00B257F2">
            <w:pPr>
              <w:pStyle w:val="TableBullet"/>
              <w:rPr>
                <w:szCs w:val="18"/>
              </w:rPr>
            </w:pPr>
            <w:r w:rsidRPr="00716CC2">
              <w:rPr>
                <w:szCs w:val="18"/>
              </w:rPr>
              <w:t>Merge 1.3.1, 1.3.9 (referral), 1.3.10 (exit, discharge)</w:t>
            </w:r>
          </w:p>
        </w:tc>
        <w:tc>
          <w:tcPr>
            <w:tcW w:w="2977" w:type="dxa"/>
            <w:gridSpan w:val="3"/>
            <w:shd w:val="clear" w:color="auto" w:fill="FFFFFF" w:themeFill="background1"/>
          </w:tcPr>
          <w:p w14:paraId="0AAD9E45" w14:textId="77777777" w:rsidR="00192421" w:rsidRPr="00716CC2" w:rsidRDefault="00192421" w:rsidP="00B257F2">
            <w:pPr>
              <w:pStyle w:val="TableBullet"/>
              <w:rPr>
                <w:szCs w:val="18"/>
              </w:rPr>
            </w:pPr>
            <w:r w:rsidRPr="00716CC2">
              <w:rPr>
                <w:szCs w:val="18"/>
              </w:rPr>
              <w:t>Consider merging with 1.3.2 (and 1.3.10)</w:t>
            </w:r>
          </w:p>
          <w:p w14:paraId="419D8021" w14:textId="77777777" w:rsidR="00192421" w:rsidRPr="00716CC2" w:rsidRDefault="00192421" w:rsidP="00B257F2">
            <w:pPr>
              <w:pStyle w:val="TableBullet"/>
              <w:rPr>
                <w:szCs w:val="18"/>
              </w:rPr>
            </w:pPr>
            <w:r w:rsidRPr="00716CC2">
              <w:rPr>
                <w:szCs w:val="18"/>
              </w:rPr>
              <w:t>Acceptance dependent on meeting the individual’s needs, it is more than a NASC assessment and standard should be multidimensional to reflect same</w:t>
            </w:r>
          </w:p>
          <w:p w14:paraId="52493B44" w14:textId="77777777" w:rsidR="00192421" w:rsidRPr="00716CC2" w:rsidRDefault="00192421" w:rsidP="00B257F2">
            <w:pPr>
              <w:pStyle w:val="TableBullet"/>
              <w:rPr>
                <w:szCs w:val="18"/>
              </w:rPr>
            </w:pPr>
            <w:r w:rsidRPr="00716CC2">
              <w:rPr>
                <w:szCs w:val="18"/>
              </w:rPr>
              <w:t>There are aspects of the process outside of the provider’s control (eg. Ensuring all information available at referral)</w:t>
            </w:r>
          </w:p>
        </w:tc>
      </w:tr>
      <w:tr w:rsidR="00192421" w:rsidRPr="00716CC2" w14:paraId="4BB419EE" w14:textId="77777777" w:rsidTr="007A7079">
        <w:tc>
          <w:tcPr>
            <w:tcW w:w="14884" w:type="dxa"/>
            <w:gridSpan w:val="15"/>
            <w:shd w:val="clear" w:color="auto" w:fill="FFFFFF" w:themeFill="background1"/>
          </w:tcPr>
          <w:p w14:paraId="12BF307E" w14:textId="77777777" w:rsidR="00192421" w:rsidRPr="00716CC2" w:rsidRDefault="00192421" w:rsidP="00192421">
            <w:pPr>
              <w:spacing w:before="40" w:after="40"/>
              <w:rPr>
                <w:b/>
                <w:sz w:val="18"/>
                <w:szCs w:val="18"/>
              </w:rPr>
            </w:pPr>
          </w:p>
        </w:tc>
      </w:tr>
      <w:tr w:rsidR="00192421" w:rsidRPr="00716CC2" w14:paraId="3CB715F3" w14:textId="77777777" w:rsidTr="007A7079">
        <w:tc>
          <w:tcPr>
            <w:tcW w:w="14884" w:type="dxa"/>
            <w:gridSpan w:val="15"/>
            <w:shd w:val="clear" w:color="auto" w:fill="F2F2F2" w:themeFill="background1" w:themeFillShade="F2"/>
          </w:tcPr>
          <w:p w14:paraId="5753963A" w14:textId="77777777" w:rsidR="00192421" w:rsidRPr="00716CC2" w:rsidRDefault="00192421" w:rsidP="00192421">
            <w:pPr>
              <w:spacing w:before="40" w:after="40"/>
              <w:rPr>
                <w:b/>
                <w:sz w:val="18"/>
                <w:szCs w:val="18"/>
              </w:rPr>
            </w:pPr>
            <w:r w:rsidRPr="00716CC2">
              <w:rPr>
                <w:b/>
                <w:sz w:val="18"/>
                <w:szCs w:val="18"/>
              </w:rPr>
              <w:t xml:space="preserve">Standard 1.3.2: </w:t>
            </w:r>
            <w:r w:rsidRPr="00716CC2">
              <w:rPr>
                <w:sz w:val="18"/>
                <w:szCs w:val="18"/>
              </w:rPr>
              <w:t>Declining Referral/Entry to Services (HDS(C)S.2008:1.3.2): Where referral/entry to the service is declined, the immediate risk to the consumer and/or their family/whānau is managed by the organisation, where appropriate</w:t>
            </w:r>
          </w:p>
        </w:tc>
      </w:tr>
      <w:tr w:rsidR="00192421" w:rsidRPr="00716CC2" w14:paraId="4617D1E0" w14:textId="77777777" w:rsidTr="007A7079">
        <w:tc>
          <w:tcPr>
            <w:tcW w:w="2976" w:type="dxa"/>
            <w:gridSpan w:val="3"/>
            <w:shd w:val="clear" w:color="auto" w:fill="FFFFFF" w:themeFill="background1"/>
          </w:tcPr>
          <w:p w14:paraId="56D1CDD0"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49D189CA"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069FF370"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414AB620"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6A39CA6E"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192421" w:rsidRPr="00716CC2" w14:paraId="26CC215D" w14:textId="77777777" w:rsidTr="007A7079">
        <w:tc>
          <w:tcPr>
            <w:tcW w:w="2976" w:type="dxa"/>
            <w:gridSpan w:val="3"/>
            <w:shd w:val="clear" w:color="auto" w:fill="FFFFFF" w:themeFill="background1"/>
          </w:tcPr>
          <w:p w14:paraId="1ADB5824" w14:textId="77777777" w:rsidR="00192421" w:rsidRPr="00716CC2" w:rsidRDefault="00192421" w:rsidP="00B257F2">
            <w:pPr>
              <w:pStyle w:val="TableBullet"/>
              <w:rPr>
                <w:szCs w:val="18"/>
              </w:rPr>
            </w:pPr>
            <w:r w:rsidRPr="00716CC2">
              <w:rPr>
                <w:szCs w:val="18"/>
              </w:rPr>
              <w:t>Reword – refer comments against 1.3.1</w:t>
            </w:r>
          </w:p>
          <w:p w14:paraId="6BD127C7" w14:textId="77777777" w:rsidR="00192421" w:rsidRPr="00716CC2" w:rsidRDefault="00192421" w:rsidP="00B257F2">
            <w:pPr>
              <w:pStyle w:val="TableBullet"/>
              <w:rPr>
                <w:szCs w:val="18"/>
                <w:lang w:eastAsia="en-NZ"/>
              </w:rPr>
            </w:pPr>
            <w:r w:rsidRPr="00716CC2">
              <w:rPr>
                <w:szCs w:val="18"/>
              </w:rPr>
              <w:t>Ensure outcome based</w:t>
            </w:r>
          </w:p>
        </w:tc>
        <w:tc>
          <w:tcPr>
            <w:tcW w:w="2977" w:type="dxa"/>
            <w:gridSpan w:val="3"/>
            <w:shd w:val="clear" w:color="auto" w:fill="FFFFFF" w:themeFill="background1"/>
          </w:tcPr>
          <w:p w14:paraId="51F0012A" w14:textId="77777777" w:rsidR="00192421" w:rsidRPr="00716CC2" w:rsidRDefault="00192421" w:rsidP="00B257F2">
            <w:pPr>
              <w:pStyle w:val="TableBullet"/>
              <w:rPr>
                <w:b/>
                <w:szCs w:val="18"/>
                <w:lang w:eastAsia="en-NZ"/>
              </w:rPr>
            </w:pPr>
            <w:r w:rsidRPr="00716CC2">
              <w:rPr>
                <w:szCs w:val="18"/>
                <w:lang w:eastAsia="en-NZ"/>
              </w:rPr>
              <w:t>Q: merge/link with 1.3.1</w:t>
            </w:r>
          </w:p>
        </w:tc>
        <w:tc>
          <w:tcPr>
            <w:tcW w:w="2977" w:type="dxa"/>
            <w:gridSpan w:val="3"/>
            <w:shd w:val="clear" w:color="auto" w:fill="FFFFFF" w:themeFill="background1"/>
          </w:tcPr>
          <w:p w14:paraId="7F699C78" w14:textId="77777777" w:rsidR="00192421" w:rsidRPr="00716CC2" w:rsidRDefault="00192421" w:rsidP="00B257F2">
            <w:pPr>
              <w:pStyle w:val="TableBullet"/>
              <w:rPr>
                <w:szCs w:val="18"/>
                <w:lang w:eastAsia="en-NZ"/>
              </w:rPr>
            </w:pPr>
            <w:r w:rsidRPr="00716CC2">
              <w:rPr>
                <w:szCs w:val="18"/>
                <w:lang w:eastAsia="en-NZ"/>
              </w:rPr>
              <w:t>Refer above</w:t>
            </w:r>
          </w:p>
        </w:tc>
        <w:tc>
          <w:tcPr>
            <w:tcW w:w="2977" w:type="dxa"/>
            <w:gridSpan w:val="3"/>
            <w:shd w:val="clear" w:color="auto" w:fill="FFFFFF" w:themeFill="background1"/>
          </w:tcPr>
          <w:p w14:paraId="11A49D3C" w14:textId="77777777" w:rsidR="00192421" w:rsidRPr="00716CC2" w:rsidRDefault="00192421" w:rsidP="00B257F2">
            <w:pPr>
              <w:pStyle w:val="TableBullet"/>
              <w:rPr>
                <w:szCs w:val="18"/>
                <w:lang w:eastAsia="en-NZ"/>
              </w:rPr>
            </w:pPr>
            <w:r w:rsidRPr="00716CC2">
              <w:rPr>
                <w:szCs w:val="18"/>
                <w:lang w:eastAsia="en-NZ"/>
              </w:rPr>
              <w:t>Not relevant – modular, opt out</w:t>
            </w:r>
          </w:p>
        </w:tc>
        <w:tc>
          <w:tcPr>
            <w:tcW w:w="2977" w:type="dxa"/>
            <w:gridSpan w:val="3"/>
            <w:shd w:val="clear" w:color="auto" w:fill="FFFFFF" w:themeFill="background1"/>
          </w:tcPr>
          <w:p w14:paraId="7330C12A" w14:textId="77777777" w:rsidR="00192421" w:rsidRPr="00716CC2" w:rsidRDefault="00192421" w:rsidP="00B257F2">
            <w:pPr>
              <w:pStyle w:val="TableBullet"/>
              <w:rPr>
                <w:szCs w:val="18"/>
                <w:lang w:eastAsia="en-NZ"/>
              </w:rPr>
            </w:pPr>
            <w:r w:rsidRPr="00716CC2">
              <w:rPr>
                <w:szCs w:val="18"/>
                <w:lang w:eastAsia="en-NZ"/>
              </w:rPr>
              <w:t>As currently written ‘falls short’ for people</w:t>
            </w:r>
          </w:p>
          <w:p w14:paraId="306F5534" w14:textId="77777777" w:rsidR="00192421" w:rsidRPr="00716CC2" w:rsidRDefault="00192421" w:rsidP="00B257F2">
            <w:pPr>
              <w:pStyle w:val="TableBullet"/>
              <w:rPr>
                <w:szCs w:val="18"/>
                <w:lang w:eastAsia="en-NZ"/>
              </w:rPr>
            </w:pPr>
            <w:r w:rsidRPr="00716CC2">
              <w:rPr>
                <w:szCs w:val="18"/>
                <w:lang w:eastAsia="en-NZ"/>
              </w:rPr>
              <w:t>Refer 1.3.1</w:t>
            </w:r>
          </w:p>
          <w:p w14:paraId="3A2489ED" w14:textId="77777777" w:rsidR="00192421" w:rsidRPr="00716CC2" w:rsidRDefault="00192421" w:rsidP="00B257F2">
            <w:pPr>
              <w:pStyle w:val="TableBullet"/>
              <w:rPr>
                <w:szCs w:val="18"/>
                <w:lang w:eastAsia="en-NZ"/>
              </w:rPr>
            </w:pPr>
            <w:r w:rsidRPr="00716CC2">
              <w:rPr>
                <w:szCs w:val="18"/>
                <w:lang w:eastAsia="en-NZ"/>
              </w:rPr>
              <w:t>Needs to be reworded when declining a service  to include responsibilities and partnership with the funder and the persons choice (N.Berry, NZCare)</w:t>
            </w:r>
          </w:p>
        </w:tc>
      </w:tr>
      <w:tr w:rsidR="00192421" w:rsidRPr="00716CC2" w14:paraId="37307B9C" w14:textId="77777777" w:rsidTr="007A7079">
        <w:tc>
          <w:tcPr>
            <w:tcW w:w="14884" w:type="dxa"/>
            <w:gridSpan w:val="15"/>
            <w:shd w:val="clear" w:color="auto" w:fill="FFFFFF" w:themeFill="background1"/>
          </w:tcPr>
          <w:p w14:paraId="0028C594" w14:textId="77777777" w:rsidR="00192421" w:rsidRPr="00716CC2" w:rsidRDefault="00192421" w:rsidP="00192421">
            <w:pPr>
              <w:spacing w:before="40" w:after="40"/>
              <w:rPr>
                <w:b/>
                <w:sz w:val="18"/>
                <w:szCs w:val="18"/>
              </w:rPr>
            </w:pPr>
          </w:p>
        </w:tc>
      </w:tr>
      <w:tr w:rsidR="00192421" w:rsidRPr="00716CC2" w14:paraId="39D9C846" w14:textId="77777777" w:rsidTr="007A7079">
        <w:tc>
          <w:tcPr>
            <w:tcW w:w="14884" w:type="dxa"/>
            <w:gridSpan w:val="15"/>
            <w:shd w:val="clear" w:color="auto" w:fill="F2F2F2" w:themeFill="background1" w:themeFillShade="F2"/>
          </w:tcPr>
          <w:p w14:paraId="5A02D608" w14:textId="77777777" w:rsidR="00192421" w:rsidRPr="00716CC2" w:rsidRDefault="0036440C" w:rsidP="00192421">
            <w:pPr>
              <w:spacing w:before="40" w:after="40"/>
              <w:rPr>
                <w:b/>
                <w:sz w:val="18"/>
                <w:szCs w:val="18"/>
              </w:rPr>
            </w:pPr>
            <w:r w:rsidRPr="00716CC2">
              <w:rPr>
                <w:b/>
                <w:sz w:val="18"/>
                <w:szCs w:val="18"/>
              </w:rPr>
              <w:t xml:space="preserve">Standard 1.3.3: </w:t>
            </w:r>
            <w:r w:rsidRPr="00716CC2">
              <w:rPr>
                <w:sz w:val="18"/>
                <w:szCs w:val="18"/>
              </w:rPr>
              <w:t>Service Provision Requirements (HDS(C)S.2008:1.3.3): Consumers receive timely, competent, and appropriate services in order to meet their assessed needs and desired outcome/goals</w:t>
            </w:r>
          </w:p>
        </w:tc>
      </w:tr>
      <w:tr w:rsidR="00192421" w:rsidRPr="00716CC2" w14:paraId="72613FCC" w14:textId="77777777" w:rsidTr="007A7079">
        <w:tc>
          <w:tcPr>
            <w:tcW w:w="2976" w:type="dxa"/>
            <w:gridSpan w:val="3"/>
            <w:shd w:val="clear" w:color="auto" w:fill="FFFFFF" w:themeFill="background1"/>
          </w:tcPr>
          <w:p w14:paraId="72E4F753"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977" w:type="dxa"/>
            <w:gridSpan w:val="3"/>
            <w:shd w:val="clear" w:color="auto" w:fill="FFFFFF" w:themeFill="background1"/>
          </w:tcPr>
          <w:p w14:paraId="54F11972"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977" w:type="dxa"/>
            <w:gridSpan w:val="3"/>
            <w:shd w:val="clear" w:color="auto" w:fill="FFFFFF" w:themeFill="background1"/>
          </w:tcPr>
          <w:p w14:paraId="406A12A4"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977" w:type="dxa"/>
            <w:gridSpan w:val="3"/>
            <w:shd w:val="clear" w:color="auto" w:fill="FFFFFF" w:themeFill="background1"/>
          </w:tcPr>
          <w:p w14:paraId="4059EA74"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977" w:type="dxa"/>
            <w:gridSpan w:val="3"/>
            <w:shd w:val="clear" w:color="auto" w:fill="FFFFFF" w:themeFill="background1"/>
          </w:tcPr>
          <w:p w14:paraId="54844BEA"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36440C" w:rsidRPr="00716CC2" w14:paraId="2C4B8500" w14:textId="77777777" w:rsidTr="007A7079">
        <w:tc>
          <w:tcPr>
            <w:tcW w:w="2976" w:type="dxa"/>
            <w:gridSpan w:val="3"/>
            <w:shd w:val="clear" w:color="auto" w:fill="FFFFFF" w:themeFill="background1"/>
          </w:tcPr>
          <w:p w14:paraId="17D9759D" w14:textId="77777777" w:rsidR="0036440C" w:rsidRPr="00716CC2" w:rsidRDefault="0036440C" w:rsidP="00B257F2">
            <w:pPr>
              <w:pStyle w:val="TableBullet"/>
              <w:rPr>
                <w:szCs w:val="18"/>
              </w:rPr>
            </w:pPr>
            <w:r w:rsidRPr="00716CC2">
              <w:rPr>
                <w:szCs w:val="18"/>
              </w:rPr>
              <w:t>Retain as main standard with the following standards being converted into criteria:</w:t>
            </w:r>
          </w:p>
          <w:p w14:paraId="0C81CF4C" w14:textId="77777777" w:rsidR="0036440C" w:rsidRPr="00716CC2" w:rsidRDefault="0036440C" w:rsidP="00B257F2">
            <w:pPr>
              <w:pStyle w:val="Table2ndBullet"/>
              <w:rPr>
                <w:szCs w:val="18"/>
              </w:rPr>
            </w:pPr>
            <w:r w:rsidRPr="00716CC2">
              <w:rPr>
                <w:szCs w:val="18"/>
              </w:rPr>
              <w:t>1.3.4 Assessment</w:t>
            </w:r>
          </w:p>
          <w:p w14:paraId="6AFA401E" w14:textId="77777777" w:rsidR="0036440C" w:rsidRPr="00716CC2" w:rsidRDefault="0036440C" w:rsidP="00B257F2">
            <w:pPr>
              <w:pStyle w:val="Table2ndBullet"/>
              <w:rPr>
                <w:szCs w:val="18"/>
              </w:rPr>
            </w:pPr>
            <w:r w:rsidRPr="00716CC2">
              <w:rPr>
                <w:szCs w:val="18"/>
              </w:rPr>
              <w:t>1.3.5 Planning</w:t>
            </w:r>
          </w:p>
          <w:p w14:paraId="1D7AB0DE" w14:textId="77777777" w:rsidR="0036440C" w:rsidRPr="00716CC2" w:rsidRDefault="0036440C" w:rsidP="00B257F2">
            <w:pPr>
              <w:pStyle w:val="Table2ndBullet"/>
              <w:rPr>
                <w:szCs w:val="18"/>
              </w:rPr>
            </w:pPr>
            <w:r w:rsidRPr="00716CC2">
              <w:rPr>
                <w:szCs w:val="18"/>
              </w:rPr>
              <w:t>1.3.6 Intervention</w:t>
            </w:r>
          </w:p>
          <w:p w14:paraId="06DFF2C5" w14:textId="77777777" w:rsidR="0036440C" w:rsidRPr="00716CC2" w:rsidRDefault="0036440C" w:rsidP="00B257F2">
            <w:pPr>
              <w:pStyle w:val="Table2ndBullet"/>
              <w:rPr>
                <w:szCs w:val="18"/>
              </w:rPr>
            </w:pPr>
            <w:r w:rsidRPr="00716CC2">
              <w:rPr>
                <w:szCs w:val="18"/>
              </w:rPr>
              <w:t>1.3.8 Evaluation</w:t>
            </w:r>
          </w:p>
          <w:p w14:paraId="587112EE" w14:textId="77777777" w:rsidR="0036440C" w:rsidRPr="00716CC2" w:rsidRDefault="0036440C" w:rsidP="00B257F2">
            <w:pPr>
              <w:pStyle w:val="TableBullet"/>
              <w:rPr>
                <w:szCs w:val="18"/>
                <w:lang w:eastAsia="en-NZ"/>
              </w:rPr>
            </w:pPr>
            <w:r w:rsidRPr="00716CC2">
              <w:rPr>
                <w:szCs w:val="18"/>
                <w:lang w:eastAsia="en-NZ"/>
              </w:rPr>
              <w:t>May need to adopt ‘modular’ approach to crafting criteria content</w:t>
            </w:r>
          </w:p>
          <w:p w14:paraId="04F02A7A" w14:textId="77777777" w:rsidR="0036440C" w:rsidRPr="00716CC2" w:rsidRDefault="0036440C" w:rsidP="00B257F2">
            <w:pPr>
              <w:pStyle w:val="TableBullet"/>
              <w:rPr>
                <w:rFonts w:ascii="Arial" w:hAnsi="Arial"/>
                <w:szCs w:val="18"/>
                <w:lang w:eastAsia="en-NZ"/>
              </w:rPr>
            </w:pPr>
            <w:r w:rsidRPr="00716CC2">
              <w:rPr>
                <w:szCs w:val="18"/>
                <w:lang w:eastAsia="en-NZ"/>
              </w:rPr>
              <w:lastRenderedPageBreak/>
              <w:t>Discussion about ‘rehabilitation’ – consider dedicated standard but opt-in/opt-out</w:t>
            </w:r>
          </w:p>
        </w:tc>
        <w:tc>
          <w:tcPr>
            <w:tcW w:w="2977" w:type="dxa"/>
            <w:gridSpan w:val="3"/>
            <w:shd w:val="clear" w:color="auto" w:fill="FFFFFF" w:themeFill="background1"/>
          </w:tcPr>
          <w:p w14:paraId="0C9A4105" w14:textId="77777777" w:rsidR="0036440C" w:rsidRPr="00716CC2" w:rsidRDefault="0036440C" w:rsidP="00B257F2">
            <w:pPr>
              <w:pStyle w:val="TableBullet"/>
              <w:rPr>
                <w:szCs w:val="18"/>
                <w:lang w:eastAsia="en-NZ"/>
              </w:rPr>
            </w:pPr>
            <w:r w:rsidRPr="00716CC2">
              <w:rPr>
                <w:szCs w:val="18"/>
                <w:lang w:eastAsia="en-NZ"/>
              </w:rPr>
              <w:lastRenderedPageBreak/>
              <w:t>1.3.3.5 &amp; 1.3.3.6 across all service types</w:t>
            </w:r>
          </w:p>
          <w:p w14:paraId="14BD2739" w14:textId="77777777" w:rsidR="0036440C" w:rsidRPr="00716CC2" w:rsidRDefault="0036440C" w:rsidP="00B257F2">
            <w:pPr>
              <w:pStyle w:val="TableBullet"/>
              <w:rPr>
                <w:szCs w:val="18"/>
                <w:lang w:eastAsia="en-NZ"/>
              </w:rPr>
            </w:pPr>
            <w:r w:rsidRPr="00716CC2">
              <w:rPr>
                <w:szCs w:val="18"/>
                <w:lang w:eastAsia="en-NZ"/>
              </w:rPr>
              <w:t>Language – mental illness</w:t>
            </w:r>
          </w:p>
          <w:p w14:paraId="37967758" w14:textId="77777777" w:rsidR="0036440C" w:rsidRPr="00716CC2" w:rsidRDefault="0036440C" w:rsidP="00B257F2">
            <w:pPr>
              <w:pStyle w:val="TableBullet"/>
              <w:rPr>
                <w:szCs w:val="18"/>
                <w:lang w:eastAsia="en-NZ"/>
              </w:rPr>
            </w:pPr>
            <w:r w:rsidRPr="00716CC2">
              <w:rPr>
                <w:szCs w:val="18"/>
                <w:lang w:eastAsia="en-NZ"/>
              </w:rPr>
              <w:t xml:space="preserve">Assuming capacity when planning </w:t>
            </w:r>
          </w:p>
          <w:p w14:paraId="226D494E" w14:textId="77777777" w:rsidR="0036440C" w:rsidRPr="00716CC2" w:rsidRDefault="0036440C" w:rsidP="00B257F2">
            <w:pPr>
              <w:pStyle w:val="TableBullet"/>
              <w:rPr>
                <w:szCs w:val="18"/>
                <w:lang w:eastAsia="en-NZ"/>
              </w:rPr>
            </w:pPr>
            <w:r w:rsidRPr="00716CC2">
              <w:rPr>
                <w:szCs w:val="18"/>
                <w:lang w:eastAsia="en-NZ"/>
              </w:rPr>
              <w:t>Default to include patient</w:t>
            </w:r>
          </w:p>
          <w:p w14:paraId="55A2031C" w14:textId="77777777" w:rsidR="0036440C" w:rsidRPr="00716CC2" w:rsidRDefault="0036440C" w:rsidP="00B257F2">
            <w:pPr>
              <w:pStyle w:val="TableBullet"/>
              <w:rPr>
                <w:rFonts w:ascii="Arial" w:hAnsi="Arial"/>
                <w:szCs w:val="18"/>
                <w:lang w:eastAsia="en-NZ"/>
              </w:rPr>
            </w:pPr>
            <w:r w:rsidRPr="00716CC2">
              <w:rPr>
                <w:szCs w:val="18"/>
                <w:lang w:eastAsia="en-NZ"/>
              </w:rPr>
              <w:t xml:space="preserve">Potential with one overarching (1.3.3) with inclusion of 1.3.4 (assessment), 1.3.5 (planning), 1.3.6 (intervention), 1.3.8 (evaluation). Need to </w:t>
            </w:r>
            <w:r w:rsidRPr="00716CC2">
              <w:rPr>
                <w:szCs w:val="18"/>
                <w:lang w:eastAsia="en-NZ"/>
              </w:rPr>
              <w:lastRenderedPageBreak/>
              <w:t>strengthen for addiction services.</w:t>
            </w:r>
          </w:p>
        </w:tc>
        <w:tc>
          <w:tcPr>
            <w:tcW w:w="2977" w:type="dxa"/>
            <w:gridSpan w:val="3"/>
            <w:shd w:val="clear" w:color="auto" w:fill="FFFFFF" w:themeFill="background1"/>
          </w:tcPr>
          <w:p w14:paraId="435E37D7" w14:textId="77777777" w:rsidR="0036440C" w:rsidRPr="00716CC2" w:rsidRDefault="0036440C" w:rsidP="00B257F2">
            <w:pPr>
              <w:pStyle w:val="TableBullet"/>
              <w:rPr>
                <w:szCs w:val="18"/>
                <w:lang w:eastAsia="en-NZ"/>
              </w:rPr>
            </w:pPr>
            <w:r w:rsidRPr="00716CC2">
              <w:rPr>
                <w:szCs w:val="18"/>
                <w:lang w:eastAsia="en-NZ"/>
              </w:rPr>
              <w:lastRenderedPageBreak/>
              <w:t>Requirement to complete interRAI needs to stay</w:t>
            </w:r>
          </w:p>
          <w:p w14:paraId="109117D0" w14:textId="77777777" w:rsidR="0036440C" w:rsidRPr="00716CC2" w:rsidRDefault="0036440C" w:rsidP="00B257F2">
            <w:pPr>
              <w:pStyle w:val="TableBullet"/>
              <w:rPr>
                <w:szCs w:val="18"/>
                <w:lang w:eastAsia="en-NZ"/>
              </w:rPr>
            </w:pPr>
            <w:r w:rsidRPr="00716CC2">
              <w:rPr>
                <w:szCs w:val="18"/>
                <w:lang w:eastAsia="en-NZ"/>
              </w:rPr>
              <w:t>Assessment is time intensive, may be pressure for ARC if acute services do not complete interRAI prior to discharge</w:t>
            </w:r>
          </w:p>
          <w:p w14:paraId="294B3ED6" w14:textId="77777777" w:rsidR="0036440C" w:rsidRPr="00716CC2" w:rsidRDefault="0036440C" w:rsidP="00B257F2">
            <w:pPr>
              <w:pStyle w:val="Table2ndBullet"/>
              <w:rPr>
                <w:szCs w:val="18"/>
                <w:lang w:eastAsia="en-NZ"/>
              </w:rPr>
            </w:pPr>
            <w:r w:rsidRPr="00716CC2">
              <w:rPr>
                <w:szCs w:val="18"/>
                <w:lang w:eastAsia="en-NZ"/>
              </w:rPr>
              <w:t xml:space="preserve">I didn’t  really understand this part of the conversation- I always required an InterRai prior to admission- otherwise how can we be sure that </w:t>
            </w:r>
            <w:r w:rsidRPr="00716CC2">
              <w:rPr>
                <w:szCs w:val="18"/>
                <w:lang w:eastAsia="en-NZ"/>
              </w:rPr>
              <w:lastRenderedPageBreak/>
              <w:t>the person is being admitted to the right service level (LR, Alzheimer’s NZ)</w:t>
            </w:r>
          </w:p>
          <w:p w14:paraId="46B65B07" w14:textId="77777777" w:rsidR="0036440C" w:rsidRPr="00716CC2" w:rsidRDefault="0036440C" w:rsidP="00B257F2">
            <w:pPr>
              <w:pStyle w:val="TableBullet"/>
              <w:rPr>
                <w:szCs w:val="18"/>
                <w:lang w:eastAsia="en-NZ"/>
              </w:rPr>
            </w:pPr>
            <w:r w:rsidRPr="00716CC2">
              <w:rPr>
                <w:szCs w:val="18"/>
                <w:lang w:eastAsia="en-NZ"/>
              </w:rPr>
              <w:t xml:space="preserve">Duplication with 1.3.3 and 1.3.4, 1.3.5, 1.3.6, 1.3.8 – essentially 1.3.3 (timeliness) covers everything with repetition when auditing </w:t>
            </w:r>
          </w:p>
          <w:p w14:paraId="5CCEF9BA" w14:textId="77777777" w:rsidR="0036440C" w:rsidRPr="00716CC2" w:rsidRDefault="0036440C" w:rsidP="00B257F2">
            <w:pPr>
              <w:pStyle w:val="TableBullet"/>
              <w:rPr>
                <w:szCs w:val="18"/>
                <w:lang w:eastAsia="en-NZ"/>
              </w:rPr>
            </w:pPr>
            <w:r w:rsidRPr="00716CC2">
              <w:rPr>
                <w:szCs w:val="18"/>
                <w:lang w:eastAsia="en-NZ"/>
              </w:rPr>
              <w:t xml:space="preserve">Consider some degree of merging above suite with overarching ‘timeliness’ standard, potentially shorten statements relating to 1.3.4, 1.3.5, 1.3.6 and 1.3.8:  </w:t>
            </w:r>
          </w:p>
          <w:p w14:paraId="0B4F3AC7" w14:textId="77777777" w:rsidR="0036440C" w:rsidRPr="00716CC2" w:rsidRDefault="0036440C" w:rsidP="00B257F2">
            <w:pPr>
              <w:pStyle w:val="Table2ndBullet"/>
              <w:rPr>
                <w:szCs w:val="18"/>
                <w:lang w:eastAsia="en-NZ"/>
              </w:rPr>
            </w:pPr>
            <w:r w:rsidRPr="00716CC2">
              <w:rPr>
                <w:szCs w:val="18"/>
                <w:lang w:eastAsia="en-NZ"/>
              </w:rPr>
              <w:t>Agree, combine as described 1.3.3-1.3.9, possible: ‘the service provision journey’ (EB, Eldernet)</w:t>
            </w:r>
          </w:p>
          <w:p w14:paraId="798E8E79" w14:textId="77777777" w:rsidR="0036440C" w:rsidRPr="00716CC2" w:rsidRDefault="0036440C" w:rsidP="00B257F2">
            <w:pPr>
              <w:pStyle w:val="Table2ndBullet"/>
              <w:rPr>
                <w:szCs w:val="18"/>
                <w:lang w:eastAsia="en-NZ"/>
              </w:rPr>
            </w:pPr>
            <w:r w:rsidRPr="00716CC2">
              <w:rPr>
                <w:szCs w:val="18"/>
                <w:lang w:eastAsia="en-NZ"/>
              </w:rPr>
              <w:t>Keep the Nursing Process so it flows (LC, HDANZ)</w:t>
            </w:r>
          </w:p>
          <w:p w14:paraId="6CFCC246" w14:textId="77777777" w:rsidR="0036440C" w:rsidRPr="00716CC2" w:rsidRDefault="0036440C" w:rsidP="00B257F2">
            <w:pPr>
              <w:pStyle w:val="TableBullet"/>
              <w:rPr>
                <w:szCs w:val="18"/>
                <w:lang w:eastAsia="en-NZ"/>
              </w:rPr>
            </w:pPr>
            <w:r w:rsidRPr="00716CC2">
              <w:rPr>
                <w:szCs w:val="18"/>
                <w:lang w:eastAsia="en-NZ"/>
              </w:rPr>
              <w:t>Noted: there is a link to ARC contract with prescribes timeframes</w:t>
            </w:r>
          </w:p>
          <w:p w14:paraId="37B5DD42" w14:textId="77777777" w:rsidR="0036440C" w:rsidRPr="00716CC2" w:rsidRDefault="0036440C" w:rsidP="00B257F2">
            <w:pPr>
              <w:pStyle w:val="TableBullet"/>
              <w:rPr>
                <w:szCs w:val="18"/>
                <w:lang w:eastAsia="en-NZ"/>
              </w:rPr>
            </w:pPr>
            <w:r w:rsidRPr="00716CC2">
              <w:rPr>
                <w:szCs w:val="18"/>
                <w:lang w:eastAsia="en-NZ"/>
              </w:rPr>
              <w:t xml:space="preserve">Dental services recommend oral health assessment on admission (then included in regular review processes) </w:t>
            </w:r>
          </w:p>
          <w:p w14:paraId="56F6011F" w14:textId="77777777" w:rsidR="0036440C" w:rsidRPr="00716CC2" w:rsidRDefault="0036440C" w:rsidP="00B257F2">
            <w:pPr>
              <w:pStyle w:val="Table2ndBullet"/>
              <w:rPr>
                <w:szCs w:val="18"/>
                <w:lang w:eastAsia="en-NZ"/>
              </w:rPr>
            </w:pPr>
            <w:r w:rsidRPr="00716CC2">
              <w:rPr>
                <w:szCs w:val="18"/>
                <w:lang w:eastAsia="en-NZ"/>
              </w:rPr>
              <w:t>This is an input rather than an outcome, would be good for focus to shift to shift to outcomes rather than identify each input individually (LR, Alzheimer’s NZ)</w:t>
            </w:r>
          </w:p>
          <w:p w14:paraId="3695DB6D" w14:textId="77777777" w:rsidR="0036440C" w:rsidRPr="00716CC2" w:rsidRDefault="0036440C" w:rsidP="00B257F2">
            <w:pPr>
              <w:pStyle w:val="TableBullet"/>
              <w:rPr>
                <w:szCs w:val="18"/>
                <w:lang w:eastAsia="en-NZ"/>
              </w:rPr>
            </w:pPr>
            <w:r w:rsidRPr="00716CC2">
              <w:rPr>
                <w:szCs w:val="18"/>
                <w:lang w:eastAsia="en-NZ"/>
              </w:rPr>
              <w:lastRenderedPageBreak/>
              <w:t>It was noted HCSS have care pathways/ key areas of care (eg. Skin integrity, challenging behaviour) as dedicated standards</w:t>
            </w:r>
          </w:p>
          <w:p w14:paraId="2E0FC448" w14:textId="77777777" w:rsidR="0036440C" w:rsidRPr="00716CC2" w:rsidRDefault="0036440C" w:rsidP="00B257F2">
            <w:pPr>
              <w:pStyle w:val="TableBullet"/>
              <w:rPr>
                <w:szCs w:val="18"/>
                <w:lang w:eastAsia="en-NZ"/>
              </w:rPr>
            </w:pPr>
            <w:r w:rsidRPr="00716CC2">
              <w:rPr>
                <w:szCs w:val="18"/>
                <w:lang w:eastAsia="en-NZ"/>
              </w:rPr>
              <w:t>View that current standards meet needs of all admissions – also case for different ARC service types – eg. Rest home, hospital, dementia, psychogeriatric services</w:t>
            </w:r>
          </w:p>
          <w:p w14:paraId="2DE9D646" w14:textId="77777777" w:rsidR="0036440C" w:rsidRPr="00716CC2" w:rsidRDefault="0036440C" w:rsidP="00B257F2">
            <w:pPr>
              <w:pStyle w:val="TableBullet"/>
              <w:rPr>
                <w:szCs w:val="18"/>
                <w:lang w:eastAsia="en-NZ"/>
              </w:rPr>
            </w:pPr>
            <w:r w:rsidRPr="00716CC2">
              <w:rPr>
                <w:szCs w:val="18"/>
                <w:lang w:eastAsia="en-NZ"/>
              </w:rPr>
              <w:t>Discussion about respite services:</w:t>
            </w:r>
          </w:p>
          <w:p w14:paraId="7ECE0648" w14:textId="77777777" w:rsidR="0036440C" w:rsidRPr="00716CC2" w:rsidRDefault="0036440C" w:rsidP="00B257F2">
            <w:pPr>
              <w:pStyle w:val="Table2ndBullet"/>
              <w:rPr>
                <w:szCs w:val="18"/>
                <w:lang w:eastAsia="en-NZ"/>
              </w:rPr>
            </w:pPr>
            <w:r w:rsidRPr="00716CC2">
              <w:rPr>
                <w:szCs w:val="18"/>
                <w:lang w:eastAsia="en-NZ"/>
              </w:rPr>
              <w:t>Timeframe requirements can be burdensome</w:t>
            </w:r>
          </w:p>
          <w:p w14:paraId="40D3E39B" w14:textId="77777777" w:rsidR="0036440C" w:rsidRPr="00716CC2" w:rsidRDefault="0036440C" w:rsidP="00B257F2">
            <w:pPr>
              <w:pStyle w:val="Table2ndBullet"/>
              <w:rPr>
                <w:szCs w:val="18"/>
                <w:lang w:eastAsia="en-NZ"/>
              </w:rPr>
            </w:pPr>
            <w:r w:rsidRPr="00716CC2">
              <w:rPr>
                <w:szCs w:val="18"/>
                <w:lang w:eastAsia="en-NZ"/>
              </w:rPr>
              <w:t>The intent and definition to be considered</w:t>
            </w:r>
          </w:p>
          <w:p w14:paraId="1BCF7712" w14:textId="77777777" w:rsidR="0036440C" w:rsidRPr="00716CC2" w:rsidRDefault="0036440C" w:rsidP="00B257F2">
            <w:pPr>
              <w:pStyle w:val="Table2ndBullet"/>
              <w:rPr>
                <w:szCs w:val="18"/>
                <w:lang w:eastAsia="en-NZ"/>
              </w:rPr>
            </w:pPr>
            <w:r w:rsidRPr="00716CC2">
              <w:rPr>
                <w:szCs w:val="18"/>
                <w:lang w:eastAsia="en-NZ"/>
              </w:rPr>
              <w:t>Respite residents are often complex as respite offers ‘relief’</w:t>
            </w:r>
          </w:p>
          <w:p w14:paraId="0117A524" w14:textId="77777777" w:rsidR="0036440C" w:rsidRPr="00716CC2" w:rsidRDefault="0036440C" w:rsidP="00B257F2">
            <w:pPr>
              <w:pStyle w:val="Table2ndBullet"/>
              <w:rPr>
                <w:szCs w:val="18"/>
                <w:lang w:eastAsia="en-NZ"/>
              </w:rPr>
            </w:pPr>
            <w:r w:rsidRPr="00716CC2">
              <w:rPr>
                <w:szCs w:val="18"/>
                <w:lang w:eastAsia="en-NZ"/>
              </w:rPr>
              <w:t>Definition of respite used to be restorative</w:t>
            </w:r>
          </w:p>
          <w:p w14:paraId="03270104" w14:textId="77777777" w:rsidR="0036440C" w:rsidRPr="00716CC2" w:rsidRDefault="0036440C" w:rsidP="00B257F2">
            <w:pPr>
              <w:pStyle w:val="Table2ndBullet"/>
              <w:rPr>
                <w:szCs w:val="18"/>
                <w:lang w:eastAsia="en-NZ"/>
              </w:rPr>
            </w:pPr>
            <w:r w:rsidRPr="00716CC2">
              <w:rPr>
                <w:szCs w:val="18"/>
                <w:lang w:eastAsia="en-NZ"/>
              </w:rPr>
              <w:t>Link to national contract review (to be taken to NZACA)</w:t>
            </w:r>
          </w:p>
          <w:p w14:paraId="0A5EAD01" w14:textId="77777777" w:rsidR="0036440C" w:rsidRPr="00716CC2" w:rsidRDefault="0036440C" w:rsidP="00B257F2">
            <w:pPr>
              <w:pStyle w:val="TableBullet"/>
              <w:rPr>
                <w:szCs w:val="18"/>
                <w:lang w:eastAsia="en-NZ"/>
              </w:rPr>
            </w:pPr>
            <w:r w:rsidRPr="00716CC2">
              <w:rPr>
                <w:szCs w:val="18"/>
                <w:lang w:eastAsia="en-NZ"/>
              </w:rPr>
              <w:t>Consider restorative health in definitions/ standards</w:t>
            </w:r>
          </w:p>
        </w:tc>
        <w:tc>
          <w:tcPr>
            <w:tcW w:w="2977" w:type="dxa"/>
            <w:gridSpan w:val="3"/>
            <w:shd w:val="clear" w:color="auto" w:fill="FFFFFF" w:themeFill="background1"/>
          </w:tcPr>
          <w:p w14:paraId="6D1FC754" w14:textId="77777777" w:rsidR="0036440C" w:rsidRPr="00716CC2" w:rsidRDefault="0036440C" w:rsidP="00B257F2">
            <w:pPr>
              <w:pStyle w:val="TableBullet"/>
              <w:rPr>
                <w:szCs w:val="18"/>
                <w:lang w:eastAsia="en-NZ"/>
              </w:rPr>
            </w:pPr>
            <w:r w:rsidRPr="00716CC2">
              <w:rPr>
                <w:szCs w:val="18"/>
                <w:lang w:eastAsia="en-NZ"/>
              </w:rPr>
              <w:lastRenderedPageBreak/>
              <w:t>Consider language – what is ‘timely’ and ‘appropriate’</w:t>
            </w:r>
          </w:p>
          <w:p w14:paraId="772EC969" w14:textId="77777777" w:rsidR="0036440C" w:rsidRPr="00716CC2" w:rsidRDefault="0036440C" w:rsidP="00B257F2">
            <w:pPr>
              <w:pStyle w:val="TableBullet"/>
              <w:rPr>
                <w:szCs w:val="18"/>
                <w:lang w:eastAsia="en-NZ"/>
              </w:rPr>
            </w:pPr>
            <w:r w:rsidRPr="00716CC2">
              <w:rPr>
                <w:szCs w:val="18"/>
                <w:lang w:eastAsia="en-NZ"/>
              </w:rPr>
              <w:t>Looking for outcome based standards</w:t>
            </w:r>
          </w:p>
          <w:p w14:paraId="58F1B79B" w14:textId="77777777" w:rsidR="0036440C" w:rsidRPr="00716CC2" w:rsidRDefault="0036440C" w:rsidP="00B257F2">
            <w:pPr>
              <w:pStyle w:val="TableBullet"/>
              <w:rPr>
                <w:szCs w:val="18"/>
                <w:lang w:eastAsia="en-NZ"/>
              </w:rPr>
            </w:pPr>
            <w:r w:rsidRPr="00716CC2">
              <w:rPr>
                <w:szCs w:val="18"/>
                <w:lang w:eastAsia="en-NZ"/>
              </w:rPr>
              <w:t>Clinical pathway concept discussed – all presentations can be covered by outcome based standards, pathways not required</w:t>
            </w:r>
          </w:p>
          <w:p w14:paraId="4C1D95E4" w14:textId="77777777" w:rsidR="0036440C" w:rsidRPr="00716CC2" w:rsidRDefault="0036440C" w:rsidP="00B257F2">
            <w:pPr>
              <w:pStyle w:val="TableBullet"/>
              <w:rPr>
                <w:szCs w:val="18"/>
                <w:lang w:eastAsia="en-NZ"/>
              </w:rPr>
            </w:pPr>
            <w:r w:rsidRPr="00716CC2">
              <w:rPr>
                <w:szCs w:val="18"/>
                <w:lang w:eastAsia="en-NZ"/>
              </w:rPr>
              <w:t>A risk assessment approach for all presentations is the preferred option</w:t>
            </w:r>
          </w:p>
          <w:p w14:paraId="260C2AD7" w14:textId="77777777" w:rsidR="0036440C" w:rsidRPr="00716CC2" w:rsidRDefault="0036440C" w:rsidP="00B257F2">
            <w:pPr>
              <w:pStyle w:val="TableBullet"/>
              <w:rPr>
                <w:szCs w:val="18"/>
                <w:lang w:eastAsia="en-NZ"/>
              </w:rPr>
            </w:pPr>
            <w:r w:rsidRPr="00716CC2">
              <w:rPr>
                <w:szCs w:val="18"/>
                <w:lang w:eastAsia="en-NZ"/>
              </w:rPr>
              <w:lastRenderedPageBreak/>
              <w:t>Would like to see better links to DHB in respect of transitioning – noting the ‘push’ from DHB’s often create the most risk as everyone is pressured (etc)</w:t>
            </w:r>
          </w:p>
          <w:p w14:paraId="3BD439DF" w14:textId="77777777" w:rsidR="0036440C" w:rsidRPr="00716CC2" w:rsidRDefault="0036440C" w:rsidP="00B257F2">
            <w:pPr>
              <w:pStyle w:val="TableBullet"/>
              <w:rPr>
                <w:szCs w:val="18"/>
                <w:lang w:eastAsia="en-NZ"/>
              </w:rPr>
            </w:pPr>
            <w:r w:rsidRPr="00716CC2">
              <w:rPr>
                <w:szCs w:val="18"/>
                <w:lang w:eastAsia="en-NZ"/>
              </w:rPr>
              <w:t>Role of Nurse Practitioner – fantastic</w:t>
            </w:r>
          </w:p>
          <w:p w14:paraId="57BCE997" w14:textId="77777777" w:rsidR="0036440C" w:rsidRPr="00716CC2" w:rsidRDefault="0036440C" w:rsidP="00B257F2">
            <w:pPr>
              <w:pStyle w:val="TableBullet"/>
              <w:rPr>
                <w:szCs w:val="18"/>
                <w:lang w:eastAsia="en-NZ"/>
              </w:rPr>
            </w:pPr>
            <w:r w:rsidRPr="00716CC2">
              <w:rPr>
                <w:szCs w:val="18"/>
                <w:lang w:eastAsia="en-NZ"/>
              </w:rPr>
              <w:t>Current workforce creating challenges</w:t>
            </w:r>
          </w:p>
          <w:p w14:paraId="055A2DEF" w14:textId="77777777" w:rsidR="0036440C" w:rsidRPr="00716CC2" w:rsidRDefault="0036440C" w:rsidP="00B257F2">
            <w:pPr>
              <w:pStyle w:val="TableBullet"/>
              <w:rPr>
                <w:szCs w:val="18"/>
                <w:lang w:eastAsia="en-NZ"/>
              </w:rPr>
            </w:pPr>
            <w:r w:rsidRPr="00716CC2">
              <w:rPr>
                <w:szCs w:val="18"/>
                <w:lang w:eastAsia="en-NZ"/>
              </w:rPr>
              <w:t>Agree concept of 1.3.3 as overarching with 1.3.4, 1.3.5, 1.3.6, 1.3.8 as subset.</w:t>
            </w:r>
          </w:p>
        </w:tc>
        <w:tc>
          <w:tcPr>
            <w:tcW w:w="2977" w:type="dxa"/>
            <w:gridSpan w:val="3"/>
            <w:shd w:val="clear" w:color="auto" w:fill="FFFFFF" w:themeFill="background1"/>
          </w:tcPr>
          <w:p w14:paraId="6FA0E8C3" w14:textId="77777777" w:rsidR="0036440C" w:rsidRPr="00716CC2" w:rsidRDefault="0036440C" w:rsidP="00B257F2">
            <w:pPr>
              <w:pStyle w:val="TableBullet"/>
              <w:rPr>
                <w:szCs w:val="18"/>
                <w:lang w:eastAsia="en-NZ"/>
              </w:rPr>
            </w:pPr>
            <w:r w:rsidRPr="00716CC2">
              <w:rPr>
                <w:szCs w:val="18"/>
                <w:lang w:eastAsia="en-NZ"/>
              </w:rPr>
              <w:lastRenderedPageBreak/>
              <w:t>Language specific for disabled people, ensure disability focus (as opposed to a health focus)</w:t>
            </w:r>
          </w:p>
          <w:p w14:paraId="0B0E70DC" w14:textId="77777777" w:rsidR="0036440C" w:rsidRPr="00716CC2" w:rsidRDefault="0036440C" w:rsidP="00B257F2">
            <w:pPr>
              <w:pStyle w:val="TableBullet"/>
              <w:rPr>
                <w:szCs w:val="18"/>
                <w:lang w:eastAsia="en-NZ"/>
              </w:rPr>
            </w:pPr>
            <w:r w:rsidRPr="00716CC2">
              <w:rPr>
                <w:szCs w:val="18"/>
                <w:lang w:eastAsia="en-NZ"/>
              </w:rPr>
              <w:t xml:space="preserve">Focus on the user of service (as opposed to the provider), discussion around not having a Part 3 and embedding all aspects into [current] Part 1 (ie. Consumer rights). Agreed while some aspects could fit into consumer rights there are </w:t>
            </w:r>
            <w:r w:rsidRPr="00716CC2">
              <w:rPr>
                <w:szCs w:val="18"/>
                <w:lang w:eastAsia="en-NZ"/>
              </w:rPr>
              <w:lastRenderedPageBreak/>
              <w:t>aspect of service delivery that stand alone</w:t>
            </w:r>
          </w:p>
          <w:p w14:paraId="440C70AD" w14:textId="77777777" w:rsidR="0036440C" w:rsidRPr="00716CC2" w:rsidRDefault="0036440C" w:rsidP="00B257F2">
            <w:pPr>
              <w:pStyle w:val="TableBullet"/>
              <w:rPr>
                <w:szCs w:val="18"/>
                <w:lang w:eastAsia="en-NZ"/>
              </w:rPr>
            </w:pPr>
            <w:r w:rsidRPr="00716CC2">
              <w:rPr>
                <w:szCs w:val="18"/>
                <w:lang w:eastAsia="en-NZ"/>
              </w:rPr>
              <w:t>Considered having standard 1.3.3 as overarching with currently 1.3.4, 1.3.5, 1.3.6 and 1.3.8 sitting ‘underneath’ – agreed in principle as long as there is disability specific guidance, and the implications for implementing for ‘mixed model’ services – eg. Aged residential care and disability</w:t>
            </w:r>
          </w:p>
        </w:tc>
      </w:tr>
      <w:tr w:rsidR="00192421" w:rsidRPr="00716CC2" w14:paraId="178DAE2E" w14:textId="77777777" w:rsidTr="007A7079">
        <w:trPr>
          <w:gridAfter w:val="2"/>
          <w:wAfter w:w="608" w:type="dxa"/>
        </w:trPr>
        <w:tc>
          <w:tcPr>
            <w:tcW w:w="14276" w:type="dxa"/>
            <w:gridSpan w:val="13"/>
            <w:shd w:val="clear" w:color="auto" w:fill="FFFFFF" w:themeFill="background1"/>
          </w:tcPr>
          <w:p w14:paraId="683A16E8" w14:textId="77777777" w:rsidR="00192421" w:rsidRPr="00716CC2" w:rsidRDefault="00192421" w:rsidP="00192421">
            <w:pPr>
              <w:spacing w:before="40" w:after="40"/>
              <w:rPr>
                <w:b/>
                <w:sz w:val="18"/>
                <w:szCs w:val="18"/>
              </w:rPr>
            </w:pPr>
          </w:p>
        </w:tc>
      </w:tr>
      <w:tr w:rsidR="00192421" w:rsidRPr="00716CC2" w14:paraId="46B1B3DD" w14:textId="77777777" w:rsidTr="007A7079">
        <w:trPr>
          <w:gridAfter w:val="2"/>
          <w:wAfter w:w="608" w:type="dxa"/>
        </w:trPr>
        <w:tc>
          <w:tcPr>
            <w:tcW w:w="14276" w:type="dxa"/>
            <w:gridSpan w:val="13"/>
            <w:shd w:val="clear" w:color="auto" w:fill="F2F2F2" w:themeFill="background1" w:themeFillShade="F2"/>
          </w:tcPr>
          <w:p w14:paraId="315FE3C4" w14:textId="77777777" w:rsidR="00192421" w:rsidRPr="00716CC2" w:rsidRDefault="0036440C" w:rsidP="00192421">
            <w:pPr>
              <w:spacing w:before="40" w:after="40"/>
              <w:rPr>
                <w:b/>
                <w:sz w:val="18"/>
                <w:szCs w:val="18"/>
              </w:rPr>
            </w:pPr>
            <w:r w:rsidRPr="00716CC2">
              <w:rPr>
                <w:b/>
                <w:sz w:val="18"/>
                <w:szCs w:val="18"/>
              </w:rPr>
              <w:t xml:space="preserve">Standard 1.3.4: </w:t>
            </w:r>
            <w:r w:rsidRPr="00716CC2">
              <w:rPr>
                <w:sz w:val="18"/>
                <w:szCs w:val="18"/>
              </w:rPr>
              <w:t>Assessment (HDS(C)S.2008:1.3.4): Consumers' needs, support requirements, and preferences are gathered and recorded in a timely manner</w:t>
            </w:r>
          </w:p>
        </w:tc>
      </w:tr>
      <w:tr w:rsidR="00192421" w:rsidRPr="00716CC2" w14:paraId="310F7133" w14:textId="77777777" w:rsidTr="007A7079">
        <w:trPr>
          <w:gridAfter w:val="2"/>
          <w:wAfter w:w="608" w:type="dxa"/>
        </w:trPr>
        <w:tc>
          <w:tcPr>
            <w:tcW w:w="2855" w:type="dxa"/>
            <w:shd w:val="clear" w:color="auto" w:fill="FFFFFF" w:themeFill="background1"/>
          </w:tcPr>
          <w:p w14:paraId="2A4E0113"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0D8BFCF0"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E733E28"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36245C7F"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BFD576B"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36440C" w:rsidRPr="00716CC2" w14:paraId="197ED53A" w14:textId="77777777" w:rsidTr="007A7079">
        <w:trPr>
          <w:gridAfter w:val="2"/>
          <w:wAfter w:w="608" w:type="dxa"/>
        </w:trPr>
        <w:tc>
          <w:tcPr>
            <w:tcW w:w="2855" w:type="dxa"/>
            <w:shd w:val="clear" w:color="auto" w:fill="FFFFFF" w:themeFill="background1"/>
          </w:tcPr>
          <w:p w14:paraId="38767663" w14:textId="77777777" w:rsidR="0036440C" w:rsidRPr="00716CC2" w:rsidRDefault="0036440C" w:rsidP="00B257F2">
            <w:pPr>
              <w:pStyle w:val="TableBullet"/>
              <w:rPr>
                <w:szCs w:val="18"/>
                <w:lang w:eastAsia="en-NZ"/>
              </w:rPr>
            </w:pPr>
            <w:r w:rsidRPr="00716CC2">
              <w:rPr>
                <w:szCs w:val="18"/>
                <w:lang w:eastAsia="en-NZ"/>
              </w:rPr>
              <w:t>Refer Standard 1.3.3</w:t>
            </w:r>
          </w:p>
        </w:tc>
        <w:tc>
          <w:tcPr>
            <w:tcW w:w="2855" w:type="dxa"/>
            <w:gridSpan w:val="3"/>
            <w:shd w:val="clear" w:color="auto" w:fill="FFFFFF" w:themeFill="background1"/>
          </w:tcPr>
          <w:p w14:paraId="33A88B08" w14:textId="77777777" w:rsidR="0036440C" w:rsidRPr="00716CC2" w:rsidRDefault="0036440C" w:rsidP="00B257F2">
            <w:pPr>
              <w:pStyle w:val="TableBullet"/>
              <w:rPr>
                <w:szCs w:val="18"/>
                <w:lang w:eastAsia="en-NZ"/>
              </w:rPr>
            </w:pPr>
            <w:r w:rsidRPr="00716CC2">
              <w:rPr>
                <w:szCs w:val="18"/>
                <w:lang w:eastAsia="en-NZ"/>
              </w:rPr>
              <w:t>Strengthen for addiction</w:t>
            </w:r>
          </w:p>
        </w:tc>
        <w:tc>
          <w:tcPr>
            <w:tcW w:w="2855" w:type="dxa"/>
            <w:gridSpan w:val="3"/>
            <w:shd w:val="clear" w:color="auto" w:fill="FFFFFF" w:themeFill="background1"/>
          </w:tcPr>
          <w:p w14:paraId="63EA8E4A" w14:textId="77777777" w:rsidR="0036440C" w:rsidRPr="00716CC2" w:rsidRDefault="0036440C" w:rsidP="00B257F2">
            <w:pPr>
              <w:pStyle w:val="TableBullet"/>
              <w:rPr>
                <w:szCs w:val="18"/>
                <w:lang w:eastAsia="en-NZ"/>
              </w:rPr>
            </w:pPr>
            <w:r w:rsidRPr="00716CC2">
              <w:rPr>
                <w:szCs w:val="18"/>
                <w:lang w:eastAsia="en-NZ"/>
              </w:rPr>
              <w:t>Refer comments against 1.3.3</w:t>
            </w:r>
          </w:p>
        </w:tc>
        <w:tc>
          <w:tcPr>
            <w:tcW w:w="2855" w:type="dxa"/>
            <w:gridSpan w:val="3"/>
            <w:shd w:val="clear" w:color="auto" w:fill="FFFFFF" w:themeFill="background1"/>
          </w:tcPr>
          <w:p w14:paraId="3861ABAA" w14:textId="77777777" w:rsidR="0036440C" w:rsidRPr="00716CC2" w:rsidRDefault="0036440C" w:rsidP="00B257F2">
            <w:pPr>
              <w:pStyle w:val="TableBullet"/>
              <w:rPr>
                <w:szCs w:val="18"/>
                <w:lang w:eastAsia="en-NZ"/>
              </w:rPr>
            </w:pPr>
            <w:r w:rsidRPr="00716CC2">
              <w:rPr>
                <w:szCs w:val="18"/>
                <w:lang w:eastAsia="en-NZ"/>
              </w:rPr>
              <w:t>Refer comments 1.3.3</w:t>
            </w:r>
          </w:p>
        </w:tc>
        <w:tc>
          <w:tcPr>
            <w:tcW w:w="2856" w:type="dxa"/>
            <w:gridSpan w:val="3"/>
            <w:shd w:val="clear" w:color="auto" w:fill="FFFFFF" w:themeFill="background1"/>
          </w:tcPr>
          <w:p w14:paraId="16035920" w14:textId="77777777" w:rsidR="0036440C" w:rsidRPr="00716CC2" w:rsidRDefault="0036440C" w:rsidP="00B257F2">
            <w:pPr>
              <w:pStyle w:val="TableBullet"/>
              <w:rPr>
                <w:szCs w:val="18"/>
                <w:lang w:eastAsia="en-NZ"/>
              </w:rPr>
            </w:pPr>
            <w:r w:rsidRPr="00716CC2">
              <w:rPr>
                <w:szCs w:val="18"/>
                <w:lang w:eastAsia="en-NZ"/>
              </w:rPr>
              <w:t>Refer 1.3.3</w:t>
            </w:r>
          </w:p>
        </w:tc>
      </w:tr>
      <w:tr w:rsidR="00192421" w:rsidRPr="00716CC2" w14:paraId="34867BA6" w14:textId="77777777" w:rsidTr="007A7079">
        <w:trPr>
          <w:gridAfter w:val="2"/>
          <w:wAfter w:w="608" w:type="dxa"/>
        </w:trPr>
        <w:tc>
          <w:tcPr>
            <w:tcW w:w="14276" w:type="dxa"/>
            <w:gridSpan w:val="13"/>
            <w:shd w:val="clear" w:color="auto" w:fill="FFFFFF" w:themeFill="background1"/>
          </w:tcPr>
          <w:p w14:paraId="31C6D92E" w14:textId="77777777" w:rsidR="00192421" w:rsidRPr="00716CC2" w:rsidRDefault="00192421" w:rsidP="00192421">
            <w:pPr>
              <w:spacing w:before="40" w:after="40"/>
              <w:rPr>
                <w:b/>
                <w:sz w:val="18"/>
                <w:szCs w:val="18"/>
              </w:rPr>
            </w:pPr>
          </w:p>
        </w:tc>
      </w:tr>
      <w:tr w:rsidR="00192421" w:rsidRPr="00716CC2" w14:paraId="5BE28C75" w14:textId="77777777" w:rsidTr="007A7079">
        <w:trPr>
          <w:gridAfter w:val="2"/>
          <w:wAfter w:w="608" w:type="dxa"/>
        </w:trPr>
        <w:tc>
          <w:tcPr>
            <w:tcW w:w="14276" w:type="dxa"/>
            <w:gridSpan w:val="13"/>
            <w:shd w:val="clear" w:color="auto" w:fill="F2F2F2" w:themeFill="background1" w:themeFillShade="F2"/>
          </w:tcPr>
          <w:p w14:paraId="26426327" w14:textId="77777777" w:rsidR="00192421" w:rsidRPr="00716CC2" w:rsidRDefault="00B257F2" w:rsidP="00192421">
            <w:pPr>
              <w:spacing w:before="40" w:after="40"/>
              <w:rPr>
                <w:b/>
                <w:sz w:val="18"/>
                <w:szCs w:val="18"/>
              </w:rPr>
            </w:pPr>
            <w:r w:rsidRPr="00716CC2">
              <w:rPr>
                <w:b/>
                <w:sz w:val="18"/>
                <w:szCs w:val="18"/>
              </w:rPr>
              <w:t xml:space="preserve">Standard 1.3.5: </w:t>
            </w:r>
            <w:r w:rsidRPr="00716CC2">
              <w:rPr>
                <w:sz w:val="18"/>
                <w:szCs w:val="18"/>
              </w:rPr>
              <w:t>Planning (HDS(C)S.2008:1.3.5): Consumers' service delivery plans are consumer focused, integrated, and promote continuity of service delivery.</w:t>
            </w:r>
          </w:p>
        </w:tc>
      </w:tr>
      <w:tr w:rsidR="00192421" w:rsidRPr="00716CC2" w14:paraId="066F2E99" w14:textId="77777777" w:rsidTr="007A7079">
        <w:trPr>
          <w:gridAfter w:val="2"/>
          <w:wAfter w:w="608" w:type="dxa"/>
        </w:trPr>
        <w:tc>
          <w:tcPr>
            <w:tcW w:w="2855" w:type="dxa"/>
            <w:shd w:val="clear" w:color="auto" w:fill="FFFFFF" w:themeFill="background1"/>
          </w:tcPr>
          <w:p w14:paraId="1D3354AD"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5544211A"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31B6BB63"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4A3F8FBE"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037A5082"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B257F2" w:rsidRPr="00716CC2" w14:paraId="29A87831" w14:textId="77777777" w:rsidTr="007A7079">
        <w:trPr>
          <w:gridAfter w:val="2"/>
          <w:wAfter w:w="608" w:type="dxa"/>
        </w:trPr>
        <w:tc>
          <w:tcPr>
            <w:tcW w:w="2855" w:type="dxa"/>
            <w:shd w:val="clear" w:color="auto" w:fill="FFFFFF" w:themeFill="background1"/>
          </w:tcPr>
          <w:p w14:paraId="725B4CDD" w14:textId="77777777" w:rsidR="00B257F2" w:rsidRPr="00716CC2" w:rsidRDefault="00B257F2" w:rsidP="00B257F2">
            <w:pPr>
              <w:pStyle w:val="TableBullet"/>
              <w:rPr>
                <w:szCs w:val="18"/>
                <w:lang w:eastAsia="en-NZ"/>
              </w:rPr>
            </w:pPr>
            <w:r w:rsidRPr="00716CC2">
              <w:rPr>
                <w:szCs w:val="18"/>
                <w:lang w:eastAsia="en-NZ"/>
              </w:rPr>
              <w:lastRenderedPageBreak/>
              <w:t>Refer Standard 1.3.3</w:t>
            </w:r>
          </w:p>
        </w:tc>
        <w:tc>
          <w:tcPr>
            <w:tcW w:w="2855" w:type="dxa"/>
            <w:gridSpan w:val="3"/>
            <w:shd w:val="clear" w:color="auto" w:fill="FFFFFF" w:themeFill="background1"/>
          </w:tcPr>
          <w:p w14:paraId="33A0BDB6" w14:textId="77777777" w:rsidR="00B257F2" w:rsidRPr="00716CC2" w:rsidRDefault="00B257F2" w:rsidP="00B257F2">
            <w:pPr>
              <w:pStyle w:val="TableBullet"/>
              <w:rPr>
                <w:szCs w:val="18"/>
                <w:lang w:eastAsia="en-NZ"/>
              </w:rPr>
            </w:pPr>
            <w:r w:rsidRPr="00716CC2">
              <w:rPr>
                <w:szCs w:val="18"/>
                <w:lang w:eastAsia="en-NZ"/>
              </w:rPr>
              <w:t>Patient involvement/directed.</w:t>
            </w:r>
          </w:p>
        </w:tc>
        <w:tc>
          <w:tcPr>
            <w:tcW w:w="2855" w:type="dxa"/>
            <w:gridSpan w:val="3"/>
            <w:shd w:val="clear" w:color="auto" w:fill="FFFFFF" w:themeFill="background1"/>
          </w:tcPr>
          <w:p w14:paraId="389AB9AC" w14:textId="77777777" w:rsidR="00B257F2" w:rsidRPr="00716CC2" w:rsidRDefault="00B257F2" w:rsidP="00B257F2">
            <w:pPr>
              <w:pStyle w:val="TableBullet"/>
              <w:rPr>
                <w:szCs w:val="18"/>
                <w:lang w:eastAsia="en-NZ"/>
              </w:rPr>
            </w:pPr>
            <w:r w:rsidRPr="00716CC2">
              <w:rPr>
                <w:szCs w:val="18"/>
                <w:lang w:eastAsia="en-NZ"/>
              </w:rPr>
              <w:t>Some criteria MHA specific</w:t>
            </w:r>
          </w:p>
          <w:p w14:paraId="22D1CB0F" w14:textId="77777777" w:rsidR="00B257F2" w:rsidRPr="00716CC2" w:rsidRDefault="00B257F2" w:rsidP="00B257F2">
            <w:pPr>
              <w:pStyle w:val="Table2ndBullet"/>
              <w:rPr>
                <w:szCs w:val="18"/>
                <w:lang w:eastAsia="en-NZ"/>
              </w:rPr>
            </w:pPr>
            <w:r w:rsidRPr="00716CC2">
              <w:rPr>
                <w:szCs w:val="18"/>
                <w:lang w:eastAsia="en-NZ"/>
              </w:rPr>
              <w:t>Could go across ARC as variety of residents being admitted into services</w:t>
            </w:r>
          </w:p>
          <w:p w14:paraId="6567D48A" w14:textId="77777777" w:rsidR="00B257F2" w:rsidRPr="00716CC2" w:rsidRDefault="00B257F2" w:rsidP="00B257F2">
            <w:pPr>
              <w:pStyle w:val="Table2ndBullet"/>
              <w:rPr>
                <w:szCs w:val="18"/>
                <w:lang w:eastAsia="en-NZ"/>
              </w:rPr>
            </w:pPr>
            <w:r w:rsidRPr="00716CC2">
              <w:rPr>
                <w:szCs w:val="18"/>
                <w:lang w:eastAsia="en-NZ"/>
              </w:rPr>
              <w:t>Complex folk</w:t>
            </w:r>
          </w:p>
          <w:p w14:paraId="5B51A705" w14:textId="77777777" w:rsidR="00B257F2" w:rsidRPr="00716CC2" w:rsidRDefault="00B257F2" w:rsidP="00B257F2">
            <w:pPr>
              <w:pStyle w:val="Table2ndBullet"/>
              <w:rPr>
                <w:szCs w:val="18"/>
                <w:lang w:eastAsia="en-NZ"/>
              </w:rPr>
            </w:pPr>
            <w:r w:rsidRPr="00716CC2">
              <w:rPr>
                <w:szCs w:val="18"/>
                <w:lang w:eastAsia="en-NZ"/>
              </w:rPr>
              <w:t>Maybe modular</w:t>
            </w:r>
          </w:p>
          <w:p w14:paraId="66815271" w14:textId="77777777" w:rsidR="00B257F2" w:rsidRPr="00716CC2" w:rsidRDefault="00B257F2" w:rsidP="00B257F2">
            <w:pPr>
              <w:pStyle w:val="TableBullet"/>
              <w:rPr>
                <w:szCs w:val="18"/>
                <w:lang w:eastAsia="en-NZ"/>
              </w:rPr>
            </w:pPr>
            <w:r w:rsidRPr="00716CC2">
              <w:rPr>
                <w:szCs w:val="18"/>
                <w:lang w:eastAsia="en-NZ"/>
              </w:rPr>
              <w:t>Also refer notes against 1.3.3</w:t>
            </w:r>
          </w:p>
        </w:tc>
        <w:tc>
          <w:tcPr>
            <w:tcW w:w="2855" w:type="dxa"/>
            <w:gridSpan w:val="3"/>
            <w:shd w:val="clear" w:color="auto" w:fill="FFFFFF" w:themeFill="background1"/>
          </w:tcPr>
          <w:p w14:paraId="0A449AE9" w14:textId="77777777" w:rsidR="00B257F2" w:rsidRPr="00716CC2" w:rsidRDefault="00B257F2" w:rsidP="00B257F2">
            <w:pPr>
              <w:pStyle w:val="TableBullet"/>
              <w:rPr>
                <w:szCs w:val="18"/>
                <w:lang w:eastAsia="en-NZ"/>
              </w:rPr>
            </w:pPr>
            <w:r w:rsidRPr="00716CC2">
              <w:rPr>
                <w:szCs w:val="18"/>
                <w:lang w:eastAsia="en-NZ"/>
              </w:rPr>
              <w:t>Refer comments 1.3.3</w:t>
            </w:r>
          </w:p>
        </w:tc>
        <w:tc>
          <w:tcPr>
            <w:tcW w:w="2856" w:type="dxa"/>
            <w:gridSpan w:val="3"/>
            <w:shd w:val="clear" w:color="auto" w:fill="FFFFFF" w:themeFill="background1"/>
          </w:tcPr>
          <w:p w14:paraId="04F798AB" w14:textId="77777777" w:rsidR="00B257F2" w:rsidRPr="00716CC2" w:rsidRDefault="00B257F2" w:rsidP="00B257F2">
            <w:pPr>
              <w:pStyle w:val="TableBullet"/>
              <w:rPr>
                <w:szCs w:val="18"/>
                <w:lang w:eastAsia="en-NZ"/>
              </w:rPr>
            </w:pPr>
            <w:r w:rsidRPr="00716CC2">
              <w:rPr>
                <w:szCs w:val="18"/>
                <w:lang w:eastAsia="en-NZ"/>
              </w:rPr>
              <w:t>Refer 1.3.3</w:t>
            </w:r>
          </w:p>
        </w:tc>
      </w:tr>
      <w:tr w:rsidR="00192421" w:rsidRPr="00716CC2" w14:paraId="0D23FB53" w14:textId="77777777" w:rsidTr="007A7079">
        <w:trPr>
          <w:gridAfter w:val="2"/>
          <w:wAfter w:w="608" w:type="dxa"/>
        </w:trPr>
        <w:tc>
          <w:tcPr>
            <w:tcW w:w="14276" w:type="dxa"/>
            <w:gridSpan w:val="13"/>
            <w:shd w:val="clear" w:color="auto" w:fill="FFFFFF" w:themeFill="background1"/>
          </w:tcPr>
          <w:p w14:paraId="3F17BFC0" w14:textId="77777777" w:rsidR="00192421" w:rsidRPr="00716CC2" w:rsidRDefault="00192421" w:rsidP="00192421">
            <w:pPr>
              <w:spacing w:before="40" w:after="40"/>
              <w:rPr>
                <w:b/>
                <w:sz w:val="18"/>
                <w:szCs w:val="18"/>
              </w:rPr>
            </w:pPr>
          </w:p>
        </w:tc>
      </w:tr>
      <w:tr w:rsidR="00192421" w:rsidRPr="00716CC2" w14:paraId="55FEF109" w14:textId="77777777" w:rsidTr="007A7079">
        <w:trPr>
          <w:gridAfter w:val="2"/>
          <w:wAfter w:w="608" w:type="dxa"/>
        </w:trPr>
        <w:tc>
          <w:tcPr>
            <w:tcW w:w="14276" w:type="dxa"/>
            <w:gridSpan w:val="13"/>
            <w:shd w:val="clear" w:color="auto" w:fill="F2F2F2" w:themeFill="background1" w:themeFillShade="F2"/>
          </w:tcPr>
          <w:p w14:paraId="386D5913" w14:textId="77777777" w:rsidR="00192421" w:rsidRPr="00716CC2" w:rsidRDefault="00B257F2" w:rsidP="00192421">
            <w:pPr>
              <w:spacing w:before="40" w:after="40"/>
              <w:rPr>
                <w:b/>
                <w:sz w:val="18"/>
                <w:szCs w:val="18"/>
              </w:rPr>
            </w:pPr>
            <w:r w:rsidRPr="00716CC2">
              <w:rPr>
                <w:b/>
                <w:sz w:val="18"/>
                <w:szCs w:val="18"/>
              </w:rPr>
              <w:t xml:space="preserve">Standard 1.3.6: </w:t>
            </w:r>
            <w:r w:rsidRPr="00716CC2">
              <w:rPr>
                <w:sz w:val="18"/>
                <w:szCs w:val="18"/>
              </w:rPr>
              <w:t>Service Delivery/Interventions (HDS(C)S.2008:1.3.6): Consumers receive adequate and appropriate services in order to meet their assessed needs and desired outcomes.</w:t>
            </w:r>
          </w:p>
        </w:tc>
      </w:tr>
      <w:tr w:rsidR="00192421" w:rsidRPr="00716CC2" w14:paraId="082BBB01" w14:textId="77777777" w:rsidTr="007A7079">
        <w:trPr>
          <w:gridAfter w:val="2"/>
          <w:wAfter w:w="608" w:type="dxa"/>
        </w:trPr>
        <w:tc>
          <w:tcPr>
            <w:tcW w:w="2855" w:type="dxa"/>
            <w:shd w:val="clear" w:color="auto" w:fill="FFFFFF" w:themeFill="background1"/>
          </w:tcPr>
          <w:p w14:paraId="3071DCE2"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1B33922F"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47BE4E0"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40082A02"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14407741"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B257F2" w:rsidRPr="00716CC2" w14:paraId="5CFDE53A" w14:textId="77777777" w:rsidTr="007A7079">
        <w:trPr>
          <w:gridAfter w:val="2"/>
          <w:wAfter w:w="608" w:type="dxa"/>
        </w:trPr>
        <w:tc>
          <w:tcPr>
            <w:tcW w:w="2855" w:type="dxa"/>
            <w:shd w:val="clear" w:color="auto" w:fill="FFFFFF" w:themeFill="background1"/>
          </w:tcPr>
          <w:p w14:paraId="10B1C64B" w14:textId="77777777" w:rsidR="00B257F2" w:rsidRPr="00716CC2" w:rsidRDefault="00B257F2" w:rsidP="00B257F2">
            <w:pPr>
              <w:pStyle w:val="TableBullet"/>
              <w:rPr>
                <w:b/>
                <w:szCs w:val="18"/>
                <w:lang w:eastAsia="en-NZ"/>
              </w:rPr>
            </w:pPr>
            <w:r w:rsidRPr="00716CC2">
              <w:rPr>
                <w:szCs w:val="18"/>
              </w:rPr>
              <w:t>Refer Standard 1.3.3</w:t>
            </w:r>
          </w:p>
        </w:tc>
        <w:tc>
          <w:tcPr>
            <w:tcW w:w="2855" w:type="dxa"/>
            <w:gridSpan w:val="3"/>
            <w:shd w:val="clear" w:color="auto" w:fill="FFFFFF" w:themeFill="background1"/>
          </w:tcPr>
          <w:p w14:paraId="0F10F62D" w14:textId="77777777" w:rsidR="00B257F2" w:rsidRPr="00716CC2" w:rsidRDefault="00B257F2" w:rsidP="00B257F2">
            <w:pPr>
              <w:pStyle w:val="TableBullet"/>
              <w:rPr>
                <w:szCs w:val="18"/>
                <w:lang w:eastAsia="en-NZ"/>
              </w:rPr>
            </w:pPr>
            <w:r w:rsidRPr="00716CC2">
              <w:rPr>
                <w:szCs w:val="18"/>
                <w:lang w:eastAsia="en-NZ"/>
              </w:rPr>
              <w:t>Refer comment 1.3.3</w:t>
            </w:r>
          </w:p>
        </w:tc>
        <w:tc>
          <w:tcPr>
            <w:tcW w:w="2855" w:type="dxa"/>
            <w:gridSpan w:val="3"/>
            <w:shd w:val="clear" w:color="auto" w:fill="FFFFFF" w:themeFill="background1"/>
          </w:tcPr>
          <w:p w14:paraId="18C0E867" w14:textId="77777777" w:rsidR="00B257F2" w:rsidRPr="00716CC2" w:rsidRDefault="00B257F2" w:rsidP="00B257F2">
            <w:pPr>
              <w:pStyle w:val="TableBullet"/>
              <w:rPr>
                <w:b/>
                <w:szCs w:val="18"/>
                <w:lang w:eastAsia="en-NZ"/>
              </w:rPr>
            </w:pPr>
            <w:r w:rsidRPr="00716CC2">
              <w:rPr>
                <w:szCs w:val="18"/>
                <w:lang w:eastAsia="en-NZ"/>
              </w:rPr>
              <w:t>Refer comments 1.3.3 – support overarching with care planning, implementation, evaluation</w:t>
            </w:r>
          </w:p>
        </w:tc>
        <w:tc>
          <w:tcPr>
            <w:tcW w:w="2855" w:type="dxa"/>
            <w:gridSpan w:val="3"/>
            <w:shd w:val="clear" w:color="auto" w:fill="FFFFFF" w:themeFill="background1"/>
          </w:tcPr>
          <w:p w14:paraId="3BA078E8" w14:textId="77777777" w:rsidR="00B257F2" w:rsidRPr="00716CC2" w:rsidRDefault="00B257F2" w:rsidP="00B257F2">
            <w:pPr>
              <w:pStyle w:val="TableBullet"/>
              <w:rPr>
                <w:szCs w:val="18"/>
                <w:lang w:eastAsia="en-NZ"/>
              </w:rPr>
            </w:pPr>
            <w:r w:rsidRPr="00716CC2">
              <w:rPr>
                <w:szCs w:val="18"/>
                <w:lang w:eastAsia="en-NZ"/>
              </w:rPr>
              <w:t>Refer comments 1.3.3</w:t>
            </w:r>
          </w:p>
        </w:tc>
        <w:tc>
          <w:tcPr>
            <w:tcW w:w="2856" w:type="dxa"/>
            <w:gridSpan w:val="3"/>
            <w:shd w:val="clear" w:color="auto" w:fill="FFFFFF" w:themeFill="background1"/>
          </w:tcPr>
          <w:p w14:paraId="164B2CAF" w14:textId="77777777" w:rsidR="00B257F2" w:rsidRPr="00716CC2" w:rsidRDefault="00B257F2" w:rsidP="00B257F2">
            <w:pPr>
              <w:pStyle w:val="TableBullet"/>
              <w:rPr>
                <w:szCs w:val="18"/>
                <w:lang w:eastAsia="en-NZ"/>
              </w:rPr>
            </w:pPr>
            <w:r w:rsidRPr="00716CC2">
              <w:rPr>
                <w:szCs w:val="18"/>
                <w:lang w:eastAsia="en-NZ"/>
              </w:rPr>
              <w:t>Refer 1.3.3</w:t>
            </w:r>
          </w:p>
        </w:tc>
      </w:tr>
      <w:tr w:rsidR="00192421" w:rsidRPr="00716CC2" w14:paraId="77EB08A7" w14:textId="77777777" w:rsidTr="007A7079">
        <w:trPr>
          <w:gridAfter w:val="2"/>
          <w:wAfter w:w="608" w:type="dxa"/>
        </w:trPr>
        <w:tc>
          <w:tcPr>
            <w:tcW w:w="14276" w:type="dxa"/>
            <w:gridSpan w:val="13"/>
            <w:shd w:val="clear" w:color="auto" w:fill="FFFFFF" w:themeFill="background1"/>
          </w:tcPr>
          <w:p w14:paraId="134FCFFE" w14:textId="77777777" w:rsidR="00192421" w:rsidRPr="00716CC2" w:rsidRDefault="00192421" w:rsidP="00192421">
            <w:pPr>
              <w:spacing w:before="40" w:after="40"/>
              <w:rPr>
                <w:b/>
                <w:sz w:val="18"/>
                <w:szCs w:val="18"/>
              </w:rPr>
            </w:pPr>
          </w:p>
        </w:tc>
      </w:tr>
      <w:tr w:rsidR="00192421" w:rsidRPr="00716CC2" w14:paraId="4278E591" w14:textId="77777777" w:rsidTr="007A7079">
        <w:trPr>
          <w:gridAfter w:val="2"/>
          <w:wAfter w:w="608" w:type="dxa"/>
        </w:trPr>
        <w:tc>
          <w:tcPr>
            <w:tcW w:w="14276" w:type="dxa"/>
            <w:gridSpan w:val="13"/>
            <w:shd w:val="clear" w:color="auto" w:fill="F2F2F2" w:themeFill="background1" w:themeFillShade="F2"/>
          </w:tcPr>
          <w:p w14:paraId="0EB7F684" w14:textId="77777777" w:rsidR="00192421" w:rsidRPr="00716CC2" w:rsidRDefault="00B257F2" w:rsidP="00192421">
            <w:pPr>
              <w:spacing w:before="40" w:after="40"/>
              <w:rPr>
                <w:b/>
                <w:sz w:val="18"/>
                <w:szCs w:val="18"/>
              </w:rPr>
            </w:pPr>
            <w:r w:rsidRPr="00716CC2">
              <w:rPr>
                <w:b/>
                <w:sz w:val="18"/>
                <w:szCs w:val="18"/>
              </w:rPr>
              <w:t xml:space="preserve">Standard 1.3.7: </w:t>
            </w:r>
            <w:r w:rsidRPr="00716CC2">
              <w:rPr>
                <w:sz w:val="18"/>
                <w:szCs w:val="18"/>
              </w:rPr>
              <w:t>Planned Activities (HDS(C)S.2008:1.3.7): Where specified as part of the service delivery plan for a consumer, activity requirements are appropriate to their needs, age, culture, and the setting of the service</w:t>
            </w:r>
            <w:r w:rsidRPr="00716CC2">
              <w:rPr>
                <w:b/>
                <w:sz w:val="18"/>
                <w:szCs w:val="18"/>
              </w:rPr>
              <w:t>.</w:t>
            </w:r>
          </w:p>
        </w:tc>
      </w:tr>
      <w:tr w:rsidR="00192421" w:rsidRPr="00716CC2" w14:paraId="5B914B65" w14:textId="77777777" w:rsidTr="007A7079">
        <w:trPr>
          <w:gridAfter w:val="2"/>
          <w:wAfter w:w="608" w:type="dxa"/>
        </w:trPr>
        <w:tc>
          <w:tcPr>
            <w:tcW w:w="2855" w:type="dxa"/>
            <w:shd w:val="clear" w:color="auto" w:fill="FFFFFF" w:themeFill="background1"/>
          </w:tcPr>
          <w:p w14:paraId="330BCDAF"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66DE7C87"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005C2B9A"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B015D47"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E645EB0"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B257F2" w:rsidRPr="00716CC2" w14:paraId="03412C61" w14:textId="77777777" w:rsidTr="007A7079">
        <w:trPr>
          <w:gridAfter w:val="2"/>
          <w:wAfter w:w="608" w:type="dxa"/>
        </w:trPr>
        <w:tc>
          <w:tcPr>
            <w:tcW w:w="2855" w:type="dxa"/>
            <w:shd w:val="clear" w:color="auto" w:fill="FFFFFF" w:themeFill="background1"/>
          </w:tcPr>
          <w:p w14:paraId="70064A24" w14:textId="77777777" w:rsidR="00B257F2" w:rsidRPr="00716CC2" w:rsidRDefault="00B257F2" w:rsidP="00B257F2">
            <w:pPr>
              <w:pStyle w:val="TableBullet"/>
              <w:rPr>
                <w:b/>
                <w:szCs w:val="18"/>
                <w:lang w:eastAsia="en-NZ"/>
              </w:rPr>
            </w:pPr>
            <w:r w:rsidRPr="00716CC2">
              <w:rPr>
                <w:szCs w:val="18"/>
              </w:rPr>
              <w:t>Consider as modular – does not align with current wording to services at workshop</w:t>
            </w:r>
          </w:p>
        </w:tc>
        <w:tc>
          <w:tcPr>
            <w:tcW w:w="2855" w:type="dxa"/>
            <w:gridSpan w:val="3"/>
            <w:shd w:val="clear" w:color="auto" w:fill="FFFFFF" w:themeFill="background1"/>
          </w:tcPr>
          <w:p w14:paraId="3C5728DC" w14:textId="77777777" w:rsidR="00B257F2" w:rsidRPr="00716CC2" w:rsidRDefault="00B257F2" w:rsidP="00B257F2">
            <w:pPr>
              <w:pStyle w:val="TableBullet"/>
              <w:rPr>
                <w:b/>
                <w:szCs w:val="18"/>
                <w:lang w:eastAsia="en-NZ"/>
              </w:rPr>
            </w:pPr>
            <w:r w:rsidRPr="00716CC2">
              <w:rPr>
                <w:szCs w:val="18"/>
                <w:lang w:eastAsia="en-NZ"/>
              </w:rPr>
              <w:t>Plans need to represent patient interest/s, be meaningful, and personalised</w:t>
            </w:r>
          </w:p>
          <w:p w14:paraId="76C75B68" w14:textId="77777777" w:rsidR="00B257F2" w:rsidRPr="00716CC2" w:rsidRDefault="00B257F2" w:rsidP="00B257F2">
            <w:pPr>
              <w:pStyle w:val="TableBullet"/>
              <w:rPr>
                <w:b/>
                <w:szCs w:val="18"/>
                <w:lang w:eastAsia="en-NZ"/>
              </w:rPr>
            </w:pPr>
            <w:r w:rsidRPr="00716CC2">
              <w:rPr>
                <w:szCs w:val="18"/>
                <w:lang w:eastAsia="en-NZ"/>
              </w:rPr>
              <w:t>Patients need to be able to opt-out.</w:t>
            </w:r>
          </w:p>
        </w:tc>
        <w:tc>
          <w:tcPr>
            <w:tcW w:w="2855" w:type="dxa"/>
            <w:gridSpan w:val="3"/>
            <w:shd w:val="clear" w:color="auto" w:fill="FFFFFF" w:themeFill="background1"/>
          </w:tcPr>
          <w:p w14:paraId="590A9CAA" w14:textId="77777777" w:rsidR="00B257F2" w:rsidRPr="00716CC2" w:rsidRDefault="00B257F2" w:rsidP="00B257F2">
            <w:pPr>
              <w:pStyle w:val="TableBullet"/>
              <w:rPr>
                <w:b/>
                <w:szCs w:val="18"/>
                <w:lang w:eastAsia="en-NZ"/>
              </w:rPr>
            </w:pPr>
            <w:r w:rsidRPr="00716CC2">
              <w:rPr>
                <w:szCs w:val="18"/>
                <w:lang w:eastAsia="en-NZ"/>
              </w:rPr>
              <w:t>Or: person centred, meaningful activities (EB, Eldernet)</w:t>
            </w:r>
          </w:p>
          <w:p w14:paraId="07291794" w14:textId="77777777" w:rsidR="00B257F2" w:rsidRPr="00716CC2" w:rsidRDefault="00B257F2" w:rsidP="00B257F2">
            <w:pPr>
              <w:pStyle w:val="TableBullet"/>
              <w:rPr>
                <w:b/>
                <w:szCs w:val="18"/>
                <w:lang w:eastAsia="en-NZ"/>
              </w:rPr>
            </w:pPr>
            <w:r w:rsidRPr="00716CC2">
              <w:rPr>
                <w:szCs w:val="18"/>
                <w:lang w:eastAsia="en-NZ"/>
              </w:rPr>
              <w:t>? move into consumer rights, this may shift the focus from the provider running the programme, to meeting the individuals preferences</w:t>
            </w:r>
          </w:p>
          <w:p w14:paraId="4E7A38DE" w14:textId="77777777" w:rsidR="00B257F2" w:rsidRPr="00716CC2" w:rsidRDefault="00B257F2" w:rsidP="00B257F2">
            <w:pPr>
              <w:pStyle w:val="TableBullet"/>
              <w:rPr>
                <w:b/>
                <w:szCs w:val="18"/>
                <w:lang w:eastAsia="en-NZ"/>
              </w:rPr>
            </w:pPr>
            <w:r w:rsidRPr="00716CC2">
              <w:rPr>
                <w:szCs w:val="18"/>
                <w:lang w:eastAsia="en-NZ"/>
              </w:rPr>
              <w:t>Activities need to be meaningful to the individual (as opposed to staff &amp;/or family) and person directed</w:t>
            </w:r>
          </w:p>
          <w:p w14:paraId="41E48E04" w14:textId="77777777" w:rsidR="00B257F2" w:rsidRPr="00716CC2" w:rsidRDefault="00B257F2" w:rsidP="00B257F2">
            <w:pPr>
              <w:pStyle w:val="TableBullet"/>
              <w:rPr>
                <w:b/>
                <w:szCs w:val="18"/>
                <w:lang w:eastAsia="en-NZ"/>
              </w:rPr>
            </w:pPr>
            <w:r w:rsidRPr="00716CC2">
              <w:rPr>
                <w:szCs w:val="18"/>
                <w:lang w:eastAsia="en-NZ"/>
              </w:rPr>
              <w:t xml:space="preserve">Need to understand what is meaningful for the resident, </w:t>
            </w:r>
            <w:r w:rsidRPr="00716CC2">
              <w:rPr>
                <w:szCs w:val="18"/>
                <w:lang w:eastAsia="en-NZ"/>
              </w:rPr>
              <w:lastRenderedPageBreak/>
              <w:t>otherwise activities just become entertainment</w:t>
            </w:r>
          </w:p>
          <w:p w14:paraId="78290278" w14:textId="77777777" w:rsidR="00B257F2" w:rsidRPr="00716CC2" w:rsidRDefault="00B257F2" w:rsidP="00B257F2">
            <w:pPr>
              <w:pStyle w:val="TableBullet"/>
              <w:rPr>
                <w:b/>
                <w:szCs w:val="18"/>
                <w:lang w:eastAsia="en-NZ"/>
              </w:rPr>
            </w:pPr>
            <w:r w:rsidRPr="00716CC2">
              <w:rPr>
                <w:szCs w:val="18"/>
                <w:lang w:eastAsia="en-NZ"/>
              </w:rPr>
              <w:t>Quality and knowledge of person supporting the activities programme was discussed, noting the expressed view was that activities are part of everything, everyone has responsibility – suggested the staffing aspect of activities could be included in 1.2.7 (Human Resource Management)</w:t>
            </w:r>
          </w:p>
          <w:p w14:paraId="5850BFAF" w14:textId="77777777" w:rsidR="00B257F2" w:rsidRPr="00716CC2" w:rsidRDefault="00B257F2" w:rsidP="00B257F2">
            <w:pPr>
              <w:pStyle w:val="TableBullet"/>
              <w:rPr>
                <w:b/>
                <w:szCs w:val="18"/>
                <w:lang w:eastAsia="en-NZ"/>
              </w:rPr>
            </w:pPr>
            <w:r w:rsidRPr="00716CC2">
              <w:rPr>
                <w:szCs w:val="18"/>
                <w:lang w:eastAsia="en-NZ"/>
              </w:rPr>
              <w:t>Be mindful of social isolation and loneliness</w:t>
            </w:r>
          </w:p>
          <w:p w14:paraId="2CD693C9" w14:textId="77777777" w:rsidR="00B257F2" w:rsidRPr="00716CC2" w:rsidRDefault="00B257F2" w:rsidP="00B257F2">
            <w:pPr>
              <w:pStyle w:val="TableBullet"/>
              <w:rPr>
                <w:b/>
                <w:szCs w:val="18"/>
                <w:lang w:eastAsia="en-NZ"/>
              </w:rPr>
            </w:pPr>
            <w:r w:rsidRPr="00716CC2">
              <w:rPr>
                <w:szCs w:val="18"/>
                <w:lang w:eastAsia="en-NZ"/>
              </w:rPr>
              <w:t xml:space="preserve">Engagement with staff and other residents can also be meaningful – noting time constraints on staff and the busy nature of services </w:t>
            </w:r>
          </w:p>
          <w:p w14:paraId="3EF05F7C" w14:textId="77777777" w:rsidR="00B257F2" w:rsidRPr="00716CC2" w:rsidRDefault="00B257F2" w:rsidP="00B257F2">
            <w:pPr>
              <w:pStyle w:val="TableBullet"/>
              <w:rPr>
                <w:b/>
                <w:szCs w:val="18"/>
                <w:lang w:eastAsia="en-NZ"/>
              </w:rPr>
            </w:pPr>
            <w:r w:rsidRPr="00716CC2">
              <w:rPr>
                <w:szCs w:val="18"/>
                <w:lang w:eastAsia="en-NZ"/>
              </w:rPr>
              <w:t>Discussed different service types – rest home and dementia, hospital and psychogeriatric</w:t>
            </w:r>
          </w:p>
          <w:p w14:paraId="268BED3E" w14:textId="77777777" w:rsidR="00B257F2" w:rsidRPr="00716CC2" w:rsidRDefault="00B257F2" w:rsidP="00B257F2">
            <w:pPr>
              <w:pStyle w:val="Table2ndBullet"/>
              <w:rPr>
                <w:b/>
                <w:szCs w:val="18"/>
                <w:lang w:eastAsia="en-NZ"/>
              </w:rPr>
            </w:pPr>
            <w:r w:rsidRPr="00716CC2">
              <w:rPr>
                <w:szCs w:val="18"/>
                <w:lang w:eastAsia="en-NZ"/>
              </w:rPr>
              <w:t>The challenges are more evident when individual do not meet the ARC model</w:t>
            </w:r>
          </w:p>
          <w:p w14:paraId="61192B27" w14:textId="77777777" w:rsidR="00B257F2" w:rsidRPr="00716CC2" w:rsidRDefault="00B257F2" w:rsidP="00B257F2">
            <w:pPr>
              <w:pStyle w:val="Table2ndBullet"/>
              <w:rPr>
                <w:b/>
                <w:szCs w:val="18"/>
                <w:lang w:eastAsia="en-NZ"/>
              </w:rPr>
            </w:pPr>
            <w:r w:rsidRPr="00716CC2">
              <w:rPr>
                <w:szCs w:val="18"/>
                <w:lang w:eastAsia="en-NZ"/>
              </w:rPr>
              <w:t>Activities need to be based on individual needs/desires</w:t>
            </w:r>
          </w:p>
          <w:p w14:paraId="1D9969E3" w14:textId="77777777" w:rsidR="00B257F2" w:rsidRPr="00716CC2" w:rsidRDefault="00B257F2" w:rsidP="00B257F2">
            <w:pPr>
              <w:pStyle w:val="Table2ndBullet"/>
              <w:rPr>
                <w:szCs w:val="18"/>
                <w:lang w:eastAsia="en-NZ"/>
              </w:rPr>
            </w:pPr>
            <w:r w:rsidRPr="00716CC2">
              <w:rPr>
                <w:rFonts w:eastAsiaTheme="majorEastAsia"/>
                <w:bCs/>
                <w:szCs w:val="18"/>
                <w:lang w:eastAsia="en-NZ"/>
              </w:rPr>
              <w:t xml:space="preserve">Could also link components to activities within the nursing process to meet ‘daily </w:t>
            </w:r>
            <w:r w:rsidRPr="00716CC2">
              <w:rPr>
                <w:rFonts w:eastAsiaTheme="majorEastAsia"/>
                <w:bCs/>
                <w:szCs w:val="18"/>
                <w:lang w:eastAsia="en-NZ"/>
              </w:rPr>
              <w:lastRenderedPageBreak/>
              <w:t>routines’ in care planning (LC, HDANZ)</w:t>
            </w:r>
          </w:p>
        </w:tc>
        <w:tc>
          <w:tcPr>
            <w:tcW w:w="2855" w:type="dxa"/>
            <w:gridSpan w:val="3"/>
            <w:shd w:val="clear" w:color="auto" w:fill="FFFFFF" w:themeFill="background1"/>
          </w:tcPr>
          <w:p w14:paraId="217FE077" w14:textId="77777777" w:rsidR="00B257F2" w:rsidRPr="00716CC2" w:rsidRDefault="00B257F2" w:rsidP="00B257F2">
            <w:pPr>
              <w:pStyle w:val="TableBullet"/>
              <w:rPr>
                <w:szCs w:val="18"/>
                <w:lang w:eastAsia="en-NZ"/>
              </w:rPr>
            </w:pPr>
            <w:r w:rsidRPr="00716CC2">
              <w:rPr>
                <w:szCs w:val="18"/>
                <w:lang w:eastAsia="en-NZ"/>
              </w:rPr>
              <w:lastRenderedPageBreak/>
              <w:t>Q: do we need a dedicated standard or should these aspects move across to care planning (link 1.3.3)</w:t>
            </w:r>
          </w:p>
          <w:p w14:paraId="41D2F525" w14:textId="77777777" w:rsidR="00B257F2" w:rsidRPr="00716CC2" w:rsidRDefault="00B257F2" w:rsidP="00B257F2">
            <w:pPr>
              <w:pStyle w:val="TableBullet"/>
              <w:rPr>
                <w:szCs w:val="18"/>
                <w:lang w:eastAsia="en-NZ"/>
              </w:rPr>
            </w:pPr>
            <w:r w:rsidRPr="00716CC2">
              <w:rPr>
                <w:szCs w:val="18"/>
                <w:lang w:eastAsia="en-NZ"/>
              </w:rPr>
              <w:t>Agreed meaningful activities are required: but what does this mean</w:t>
            </w:r>
          </w:p>
          <w:p w14:paraId="551363F5" w14:textId="77777777" w:rsidR="00B257F2" w:rsidRPr="00716CC2" w:rsidRDefault="00B257F2" w:rsidP="00B257F2">
            <w:pPr>
              <w:pStyle w:val="TableBullet"/>
              <w:rPr>
                <w:szCs w:val="18"/>
                <w:lang w:eastAsia="en-NZ"/>
              </w:rPr>
            </w:pPr>
            <w:r w:rsidRPr="00716CC2">
              <w:rPr>
                <w:szCs w:val="18"/>
                <w:lang w:eastAsia="en-NZ"/>
              </w:rPr>
              <w:t>Standard needs work to meet current needs – consider language eg. Leisure/ recreation</w:t>
            </w:r>
          </w:p>
          <w:p w14:paraId="63EE8DD6" w14:textId="77777777" w:rsidR="00B257F2" w:rsidRPr="00716CC2" w:rsidRDefault="00B257F2" w:rsidP="00B257F2">
            <w:pPr>
              <w:pStyle w:val="TableBullet"/>
              <w:rPr>
                <w:szCs w:val="18"/>
                <w:lang w:eastAsia="en-NZ"/>
              </w:rPr>
            </w:pPr>
            <w:r w:rsidRPr="00716CC2">
              <w:rPr>
                <w:szCs w:val="18"/>
                <w:lang w:eastAsia="en-NZ"/>
              </w:rPr>
              <w:t>Language should be resident centric</w:t>
            </w:r>
          </w:p>
          <w:p w14:paraId="51C430CB" w14:textId="77777777" w:rsidR="00B257F2" w:rsidRPr="00716CC2" w:rsidRDefault="00B257F2" w:rsidP="00B257F2">
            <w:pPr>
              <w:pStyle w:val="TableBullet"/>
              <w:rPr>
                <w:szCs w:val="18"/>
                <w:lang w:eastAsia="en-NZ"/>
              </w:rPr>
            </w:pPr>
            <w:r w:rsidRPr="00716CC2">
              <w:rPr>
                <w:szCs w:val="18"/>
                <w:lang w:eastAsia="en-NZ"/>
              </w:rPr>
              <w:t xml:space="preserve">Current standard no different for dementia/ specialist </w:t>
            </w:r>
            <w:r w:rsidRPr="00716CC2">
              <w:rPr>
                <w:szCs w:val="18"/>
                <w:lang w:eastAsia="en-NZ"/>
              </w:rPr>
              <w:lastRenderedPageBreak/>
              <w:t>hospital services – stay away from dementia specific requirements</w:t>
            </w:r>
          </w:p>
          <w:p w14:paraId="6E90C4B8" w14:textId="77777777" w:rsidR="00B257F2" w:rsidRPr="00716CC2" w:rsidRDefault="00B257F2" w:rsidP="00B257F2">
            <w:pPr>
              <w:pStyle w:val="TableBullet"/>
              <w:rPr>
                <w:szCs w:val="18"/>
                <w:lang w:eastAsia="en-NZ"/>
              </w:rPr>
            </w:pPr>
            <w:r w:rsidRPr="00716CC2">
              <w:rPr>
                <w:szCs w:val="18"/>
                <w:lang w:eastAsia="en-NZ"/>
              </w:rPr>
              <w:t xml:space="preserve">Dual services (eg. Hospital, rest home) challenge when developing/ implementing activities programme/s, likewise with different contracts – eg. YPD </w:t>
            </w:r>
          </w:p>
          <w:p w14:paraId="42D7B30A" w14:textId="77777777" w:rsidR="00B257F2" w:rsidRPr="00716CC2" w:rsidRDefault="00B257F2" w:rsidP="00B257F2">
            <w:pPr>
              <w:pStyle w:val="TableBullet"/>
              <w:rPr>
                <w:szCs w:val="18"/>
                <w:lang w:eastAsia="en-NZ"/>
              </w:rPr>
            </w:pPr>
            <w:r w:rsidRPr="00716CC2">
              <w:rPr>
                <w:szCs w:val="18"/>
                <w:lang w:eastAsia="en-NZ"/>
              </w:rPr>
              <w:t>Social isolation discussed – some folk may be overlooked</w:t>
            </w:r>
          </w:p>
        </w:tc>
        <w:tc>
          <w:tcPr>
            <w:tcW w:w="2856" w:type="dxa"/>
            <w:gridSpan w:val="3"/>
            <w:shd w:val="clear" w:color="auto" w:fill="FFFFFF" w:themeFill="background1"/>
          </w:tcPr>
          <w:p w14:paraId="67FC6B8F" w14:textId="77777777" w:rsidR="00B257F2" w:rsidRPr="00716CC2" w:rsidRDefault="00B257F2" w:rsidP="00B257F2">
            <w:pPr>
              <w:pStyle w:val="TableBullet"/>
              <w:rPr>
                <w:szCs w:val="18"/>
                <w:lang w:eastAsia="en-NZ"/>
              </w:rPr>
            </w:pPr>
            <w:r w:rsidRPr="00716CC2">
              <w:rPr>
                <w:szCs w:val="18"/>
                <w:lang w:eastAsia="en-NZ"/>
              </w:rPr>
              <w:lastRenderedPageBreak/>
              <w:t>Q: should activities be planned?</w:t>
            </w:r>
          </w:p>
          <w:p w14:paraId="59B7407D" w14:textId="77777777" w:rsidR="00B257F2" w:rsidRPr="00716CC2" w:rsidRDefault="00B257F2" w:rsidP="00B257F2">
            <w:pPr>
              <w:pStyle w:val="TableBullet"/>
              <w:rPr>
                <w:szCs w:val="18"/>
                <w:lang w:eastAsia="en-NZ"/>
              </w:rPr>
            </w:pPr>
            <w:r w:rsidRPr="00716CC2">
              <w:rPr>
                <w:szCs w:val="18"/>
                <w:lang w:eastAsia="en-NZ"/>
              </w:rPr>
              <w:t>Language – terms such as: fulfilling, meaningful need to be included, actively support to …, individually tailored</w:t>
            </w:r>
          </w:p>
          <w:p w14:paraId="6631D8B2" w14:textId="77777777" w:rsidR="00B257F2" w:rsidRPr="00716CC2" w:rsidRDefault="00B257F2" w:rsidP="00B257F2">
            <w:pPr>
              <w:pStyle w:val="TableBullet"/>
              <w:rPr>
                <w:szCs w:val="18"/>
                <w:lang w:eastAsia="en-NZ"/>
              </w:rPr>
            </w:pPr>
            <w:r w:rsidRPr="00716CC2">
              <w:rPr>
                <w:szCs w:val="18"/>
                <w:lang w:eastAsia="en-NZ"/>
              </w:rPr>
              <w:t xml:space="preserve">Need the ability to reflect ‘life’ – which is not always timetabled, and a person changes their mind about attendance/ participation, the choice to change </w:t>
            </w:r>
          </w:p>
          <w:p w14:paraId="215303FA" w14:textId="77777777" w:rsidR="00B257F2" w:rsidRPr="00716CC2" w:rsidRDefault="00B257F2" w:rsidP="00B257F2">
            <w:pPr>
              <w:pStyle w:val="TableBullet"/>
              <w:rPr>
                <w:szCs w:val="18"/>
                <w:lang w:eastAsia="en-NZ"/>
              </w:rPr>
            </w:pPr>
            <w:r w:rsidRPr="00716CC2">
              <w:rPr>
                <w:szCs w:val="18"/>
                <w:lang w:eastAsia="en-NZ"/>
              </w:rPr>
              <w:t>Sometimes staffing restricts flexibility</w:t>
            </w:r>
          </w:p>
          <w:p w14:paraId="08CC4319" w14:textId="77777777" w:rsidR="00B257F2" w:rsidRPr="00716CC2" w:rsidRDefault="00B257F2" w:rsidP="00B257F2">
            <w:pPr>
              <w:pStyle w:val="TableBullet"/>
              <w:rPr>
                <w:szCs w:val="18"/>
                <w:lang w:eastAsia="en-NZ"/>
              </w:rPr>
            </w:pPr>
            <w:r w:rsidRPr="00716CC2">
              <w:rPr>
                <w:szCs w:val="18"/>
                <w:lang w:eastAsia="en-NZ"/>
              </w:rPr>
              <w:lastRenderedPageBreak/>
              <w:t>Activities are generally part of a flexible service delivery plan</w:t>
            </w:r>
          </w:p>
          <w:p w14:paraId="1F36CF2E" w14:textId="77777777" w:rsidR="00B257F2" w:rsidRPr="00716CC2" w:rsidRDefault="00B257F2" w:rsidP="00B257F2">
            <w:pPr>
              <w:pStyle w:val="TableBullet"/>
              <w:rPr>
                <w:szCs w:val="18"/>
                <w:lang w:eastAsia="en-NZ"/>
              </w:rPr>
            </w:pPr>
            <w:r w:rsidRPr="00716CC2">
              <w:rPr>
                <w:szCs w:val="18"/>
                <w:lang w:eastAsia="en-NZ"/>
              </w:rPr>
              <w:t>Need to include spontaneous opportunities with provider facilitating</w:t>
            </w:r>
          </w:p>
          <w:p w14:paraId="14B6DAED" w14:textId="77777777" w:rsidR="00B257F2" w:rsidRPr="00716CC2" w:rsidRDefault="00B257F2" w:rsidP="00B257F2">
            <w:pPr>
              <w:pStyle w:val="TableBullet"/>
              <w:rPr>
                <w:szCs w:val="18"/>
                <w:lang w:eastAsia="en-NZ"/>
              </w:rPr>
            </w:pPr>
            <w:r w:rsidRPr="00716CC2">
              <w:rPr>
                <w:szCs w:val="18"/>
                <w:lang w:eastAsia="en-NZ"/>
              </w:rPr>
              <w:t>Insinuates people have to ‘go out’ but this is not always meaningful to the individual</w:t>
            </w:r>
          </w:p>
          <w:p w14:paraId="45F966F3" w14:textId="77777777" w:rsidR="00B257F2" w:rsidRPr="00716CC2" w:rsidRDefault="00B257F2" w:rsidP="00B257F2">
            <w:pPr>
              <w:pStyle w:val="TableBullet"/>
              <w:rPr>
                <w:szCs w:val="18"/>
                <w:lang w:eastAsia="en-NZ"/>
              </w:rPr>
            </w:pPr>
            <w:r w:rsidRPr="00716CC2">
              <w:rPr>
                <w:szCs w:val="18"/>
                <w:lang w:eastAsia="en-NZ"/>
              </w:rPr>
              <w:t>Individualised plan</w:t>
            </w:r>
          </w:p>
          <w:p w14:paraId="0BEF629B" w14:textId="77777777" w:rsidR="00B257F2" w:rsidRPr="00716CC2" w:rsidRDefault="00B257F2" w:rsidP="00B257F2">
            <w:pPr>
              <w:pStyle w:val="TableBullet"/>
              <w:rPr>
                <w:szCs w:val="18"/>
                <w:lang w:eastAsia="en-NZ"/>
              </w:rPr>
            </w:pPr>
            <w:r w:rsidRPr="00716CC2">
              <w:rPr>
                <w:szCs w:val="18"/>
                <w:lang w:eastAsia="en-NZ"/>
              </w:rPr>
              <w:t>Variability within group – disability – activities unstructured, rehab – structured</w:t>
            </w:r>
          </w:p>
          <w:p w14:paraId="79A67E1E" w14:textId="77777777" w:rsidR="00B257F2" w:rsidRPr="00716CC2" w:rsidRDefault="00B257F2" w:rsidP="00B257F2">
            <w:pPr>
              <w:pStyle w:val="TableBullet"/>
              <w:rPr>
                <w:szCs w:val="18"/>
                <w:lang w:eastAsia="en-NZ"/>
              </w:rPr>
            </w:pPr>
            <w:r w:rsidRPr="00716CC2">
              <w:rPr>
                <w:szCs w:val="18"/>
                <w:lang w:eastAsia="en-NZ"/>
              </w:rPr>
              <w:t>Use Enabling Good Life Principles e.g.  providing opportunities,  life tasting experiences, activities that are interesting and meaningful for the person, developing of skills etc. (N.Berry)</w:t>
            </w:r>
          </w:p>
        </w:tc>
      </w:tr>
      <w:tr w:rsidR="00192421" w:rsidRPr="00716CC2" w14:paraId="7DBC603D" w14:textId="77777777" w:rsidTr="007A7079">
        <w:trPr>
          <w:gridAfter w:val="2"/>
          <w:wAfter w:w="608" w:type="dxa"/>
        </w:trPr>
        <w:tc>
          <w:tcPr>
            <w:tcW w:w="14276" w:type="dxa"/>
            <w:gridSpan w:val="13"/>
            <w:shd w:val="clear" w:color="auto" w:fill="FFFFFF" w:themeFill="background1"/>
          </w:tcPr>
          <w:p w14:paraId="765032DE" w14:textId="77777777" w:rsidR="00192421" w:rsidRPr="00716CC2" w:rsidRDefault="00192421" w:rsidP="00192421">
            <w:pPr>
              <w:spacing w:before="40" w:after="40"/>
              <w:rPr>
                <w:b/>
                <w:sz w:val="18"/>
                <w:szCs w:val="18"/>
              </w:rPr>
            </w:pPr>
          </w:p>
        </w:tc>
      </w:tr>
      <w:tr w:rsidR="00192421" w:rsidRPr="00716CC2" w14:paraId="2717379A" w14:textId="77777777" w:rsidTr="007A7079">
        <w:trPr>
          <w:gridAfter w:val="2"/>
          <w:wAfter w:w="608" w:type="dxa"/>
        </w:trPr>
        <w:tc>
          <w:tcPr>
            <w:tcW w:w="14276" w:type="dxa"/>
            <w:gridSpan w:val="13"/>
            <w:shd w:val="clear" w:color="auto" w:fill="F2F2F2" w:themeFill="background1" w:themeFillShade="F2"/>
          </w:tcPr>
          <w:p w14:paraId="3EC5032A" w14:textId="77777777" w:rsidR="00192421" w:rsidRPr="00716CC2" w:rsidRDefault="00B257F2" w:rsidP="00192421">
            <w:pPr>
              <w:spacing w:before="40" w:after="40"/>
              <w:rPr>
                <w:b/>
                <w:sz w:val="18"/>
                <w:szCs w:val="18"/>
              </w:rPr>
            </w:pPr>
            <w:r w:rsidRPr="00716CC2">
              <w:rPr>
                <w:b/>
                <w:sz w:val="18"/>
                <w:szCs w:val="18"/>
              </w:rPr>
              <w:t>Standard 1.3.8:</w:t>
            </w:r>
            <w:r w:rsidRPr="00716CC2">
              <w:rPr>
                <w:sz w:val="18"/>
                <w:szCs w:val="18"/>
              </w:rPr>
              <w:t xml:space="preserve"> Evaluation (HDS(C)S.2008:1.3.8): Consumers' service delivery plans are evaluated in a comprehensive and timely manner.</w:t>
            </w:r>
          </w:p>
        </w:tc>
      </w:tr>
      <w:tr w:rsidR="00192421" w:rsidRPr="00716CC2" w14:paraId="2A0C2D6C" w14:textId="77777777" w:rsidTr="007A7079">
        <w:trPr>
          <w:gridAfter w:val="2"/>
          <w:wAfter w:w="608" w:type="dxa"/>
        </w:trPr>
        <w:tc>
          <w:tcPr>
            <w:tcW w:w="2855" w:type="dxa"/>
            <w:shd w:val="clear" w:color="auto" w:fill="FFFFFF" w:themeFill="background1"/>
          </w:tcPr>
          <w:p w14:paraId="40BCE484"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29976011"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F4D23EC"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3D67F3F8"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580745C3"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B257F2" w:rsidRPr="00716CC2" w14:paraId="55EF7851" w14:textId="77777777" w:rsidTr="007A7079">
        <w:trPr>
          <w:gridAfter w:val="2"/>
          <w:wAfter w:w="608" w:type="dxa"/>
        </w:trPr>
        <w:tc>
          <w:tcPr>
            <w:tcW w:w="2855" w:type="dxa"/>
            <w:shd w:val="clear" w:color="auto" w:fill="FFFFFF" w:themeFill="background1"/>
          </w:tcPr>
          <w:p w14:paraId="30374B12" w14:textId="77777777" w:rsidR="00B257F2" w:rsidRPr="00716CC2" w:rsidRDefault="00B257F2" w:rsidP="00B257F2">
            <w:pPr>
              <w:pStyle w:val="TableBullet"/>
              <w:rPr>
                <w:b/>
                <w:szCs w:val="18"/>
                <w:lang w:eastAsia="en-NZ"/>
              </w:rPr>
            </w:pPr>
            <w:r w:rsidRPr="00716CC2">
              <w:rPr>
                <w:szCs w:val="18"/>
              </w:rPr>
              <w:t>Refer Standard 1.3.3</w:t>
            </w:r>
          </w:p>
        </w:tc>
        <w:tc>
          <w:tcPr>
            <w:tcW w:w="2855" w:type="dxa"/>
            <w:gridSpan w:val="3"/>
            <w:shd w:val="clear" w:color="auto" w:fill="FFFFFF" w:themeFill="background1"/>
          </w:tcPr>
          <w:p w14:paraId="5447CC47" w14:textId="77777777" w:rsidR="00B257F2" w:rsidRPr="00716CC2" w:rsidRDefault="00B257F2" w:rsidP="00B257F2">
            <w:pPr>
              <w:pStyle w:val="TableBullet"/>
              <w:rPr>
                <w:b/>
                <w:szCs w:val="18"/>
                <w:lang w:eastAsia="en-NZ"/>
              </w:rPr>
            </w:pPr>
            <w:r w:rsidRPr="00716CC2">
              <w:rPr>
                <w:szCs w:val="18"/>
                <w:lang w:eastAsia="en-NZ"/>
              </w:rPr>
              <w:t>Refer comment 1.3.3</w:t>
            </w:r>
          </w:p>
        </w:tc>
        <w:tc>
          <w:tcPr>
            <w:tcW w:w="2855" w:type="dxa"/>
            <w:gridSpan w:val="3"/>
            <w:shd w:val="clear" w:color="auto" w:fill="FFFFFF" w:themeFill="background1"/>
          </w:tcPr>
          <w:p w14:paraId="6174985B" w14:textId="77777777" w:rsidR="00B257F2" w:rsidRPr="00716CC2" w:rsidRDefault="00B257F2" w:rsidP="00B257F2">
            <w:pPr>
              <w:pStyle w:val="TableBullet"/>
              <w:rPr>
                <w:szCs w:val="18"/>
              </w:rPr>
            </w:pPr>
            <w:r w:rsidRPr="00716CC2">
              <w:rPr>
                <w:szCs w:val="18"/>
              </w:rPr>
              <w:t>Refer comments 1.3.3 – support overarching with care planning, implementation, evaluation</w:t>
            </w:r>
          </w:p>
        </w:tc>
        <w:tc>
          <w:tcPr>
            <w:tcW w:w="2855" w:type="dxa"/>
            <w:gridSpan w:val="3"/>
            <w:shd w:val="clear" w:color="auto" w:fill="FFFFFF" w:themeFill="background1"/>
          </w:tcPr>
          <w:p w14:paraId="5105CFB9" w14:textId="77777777" w:rsidR="00B257F2" w:rsidRPr="00716CC2" w:rsidRDefault="00B257F2" w:rsidP="00B257F2">
            <w:pPr>
              <w:pStyle w:val="TableBullet"/>
              <w:rPr>
                <w:szCs w:val="18"/>
                <w:lang w:eastAsia="en-NZ"/>
              </w:rPr>
            </w:pPr>
            <w:r w:rsidRPr="00716CC2">
              <w:rPr>
                <w:szCs w:val="18"/>
                <w:lang w:eastAsia="en-NZ"/>
              </w:rPr>
              <w:t>Refer comments 1.3.3</w:t>
            </w:r>
          </w:p>
        </w:tc>
        <w:tc>
          <w:tcPr>
            <w:tcW w:w="2856" w:type="dxa"/>
            <w:gridSpan w:val="3"/>
            <w:shd w:val="clear" w:color="auto" w:fill="FFFFFF" w:themeFill="background1"/>
          </w:tcPr>
          <w:p w14:paraId="66FEBEED" w14:textId="77777777" w:rsidR="00B257F2" w:rsidRPr="00716CC2" w:rsidRDefault="00B257F2" w:rsidP="00B257F2">
            <w:pPr>
              <w:pStyle w:val="TableBullet"/>
              <w:rPr>
                <w:szCs w:val="18"/>
                <w:lang w:eastAsia="en-NZ"/>
              </w:rPr>
            </w:pPr>
            <w:r w:rsidRPr="00716CC2">
              <w:rPr>
                <w:szCs w:val="18"/>
                <w:lang w:eastAsia="en-NZ"/>
              </w:rPr>
              <w:t>Refer 1.3.3</w:t>
            </w:r>
          </w:p>
        </w:tc>
      </w:tr>
      <w:tr w:rsidR="00192421" w:rsidRPr="00716CC2" w14:paraId="7672B692" w14:textId="77777777" w:rsidTr="007A7079">
        <w:trPr>
          <w:gridAfter w:val="2"/>
          <w:wAfter w:w="608" w:type="dxa"/>
        </w:trPr>
        <w:tc>
          <w:tcPr>
            <w:tcW w:w="14276" w:type="dxa"/>
            <w:gridSpan w:val="13"/>
            <w:shd w:val="clear" w:color="auto" w:fill="FFFFFF" w:themeFill="background1"/>
          </w:tcPr>
          <w:p w14:paraId="5EE79CAE" w14:textId="77777777" w:rsidR="00192421" w:rsidRPr="00716CC2" w:rsidRDefault="00192421" w:rsidP="00192421">
            <w:pPr>
              <w:spacing w:before="40" w:after="40"/>
              <w:rPr>
                <w:b/>
                <w:sz w:val="18"/>
                <w:szCs w:val="18"/>
              </w:rPr>
            </w:pPr>
          </w:p>
        </w:tc>
      </w:tr>
      <w:tr w:rsidR="00192421" w:rsidRPr="00716CC2" w14:paraId="1ADF4A01" w14:textId="77777777" w:rsidTr="007A7079">
        <w:trPr>
          <w:gridAfter w:val="2"/>
          <w:wAfter w:w="608" w:type="dxa"/>
        </w:trPr>
        <w:tc>
          <w:tcPr>
            <w:tcW w:w="14276" w:type="dxa"/>
            <w:gridSpan w:val="13"/>
            <w:shd w:val="clear" w:color="auto" w:fill="F2F2F2" w:themeFill="background1" w:themeFillShade="F2"/>
          </w:tcPr>
          <w:p w14:paraId="29D2E671" w14:textId="77777777" w:rsidR="00192421" w:rsidRPr="00716CC2" w:rsidRDefault="00B257F2" w:rsidP="00192421">
            <w:pPr>
              <w:spacing w:before="40" w:after="40"/>
              <w:rPr>
                <w:b/>
                <w:sz w:val="18"/>
                <w:szCs w:val="18"/>
              </w:rPr>
            </w:pPr>
            <w:r w:rsidRPr="00716CC2">
              <w:rPr>
                <w:b/>
                <w:sz w:val="18"/>
                <w:szCs w:val="18"/>
              </w:rPr>
              <w:t>Standard 1.3.9:</w:t>
            </w:r>
            <w:r w:rsidRPr="00716CC2">
              <w:rPr>
                <w:sz w:val="18"/>
                <w:szCs w:val="18"/>
              </w:rPr>
              <w:t xml:space="preserve"> Referral to Other Health and Disability Services (Internal And External) (HDS(C)S.2008:1.3.9): Consumer support for access or referral to other health and/or disability service providers is appropriately facilitated, or provided to meet consumer choice/needs</w:t>
            </w:r>
          </w:p>
        </w:tc>
      </w:tr>
      <w:tr w:rsidR="00192421" w:rsidRPr="00716CC2" w14:paraId="1C507587" w14:textId="77777777" w:rsidTr="007A7079">
        <w:trPr>
          <w:gridAfter w:val="2"/>
          <w:wAfter w:w="608" w:type="dxa"/>
        </w:trPr>
        <w:tc>
          <w:tcPr>
            <w:tcW w:w="2855" w:type="dxa"/>
            <w:shd w:val="clear" w:color="auto" w:fill="FFFFFF" w:themeFill="background1"/>
          </w:tcPr>
          <w:p w14:paraId="0326D0C0"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0322F4B3"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6F122B2D"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270F5E5F"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13A42C9E"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6D5FE4" w:rsidRPr="00716CC2" w14:paraId="7E5009B7" w14:textId="77777777" w:rsidTr="007A7079">
        <w:trPr>
          <w:gridAfter w:val="2"/>
          <w:wAfter w:w="608" w:type="dxa"/>
        </w:trPr>
        <w:tc>
          <w:tcPr>
            <w:tcW w:w="2855" w:type="dxa"/>
            <w:shd w:val="clear" w:color="auto" w:fill="FFFFFF" w:themeFill="background1"/>
          </w:tcPr>
          <w:p w14:paraId="55B9847F" w14:textId="77777777" w:rsidR="006D5FE4" w:rsidRPr="00716CC2" w:rsidRDefault="006D5FE4" w:rsidP="006D5FE4">
            <w:pPr>
              <w:pStyle w:val="TableBullet"/>
              <w:rPr>
                <w:szCs w:val="18"/>
              </w:rPr>
            </w:pPr>
            <w:r w:rsidRPr="00716CC2">
              <w:rPr>
                <w:szCs w:val="18"/>
              </w:rPr>
              <w:t>Merge: 1.3.9 &amp; 1.3.10</w:t>
            </w:r>
          </w:p>
          <w:p w14:paraId="491CEEC7" w14:textId="77777777" w:rsidR="006D5FE4" w:rsidRPr="00716CC2" w:rsidRDefault="006D5FE4" w:rsidP="006D5FE4">
            <w:pPr>
              <w:pStyle w:val="TableBullet"/>
              <w:rPr>
                <w:szCs w:val="18"/>
              </w:rPr>
            </w:pPr>
            <w:r w:rsidRPr="00716CC2">
              <w:rPr>
                <w:szCs w:val="18"/>
              </w:rPr>
              <w:t>Link to 1.2.9</w:t>
            </w:r>
          </w:p>
          <w:p w14:paraId="76011EAF" w14:textId="77777777" w:rsidR="006D5FE4" w:rsidRPr="00716CC2" w:rsidRDefault="006D5FE4" w:rsidP="006D5FE4">
            <w:pPr>
              <w:pStyle w:val="TableBullet"/>
              <w:rPr>
                <w:szCs w:val="18"/>
              </w:rPr>
            </w:pPr>
            <w:r w:rsidRPr="00716CC2">
              <w:rPr>
                <w:szCs w:val="18"/>
              </w:rPr>
              <w:t>Link to accessibility and consumers</w:t>
            </w:r>
          </w:p>
          <w:p w14:paraId="240309F9" w14:textId="77777777" w:rsidR="006D5FE4" w:rsidRPr="00716CC2" w:rsidRDefault="006D5FE4" w:rsidP="006D5FE4">
            <w:pPr>
              <w:pStyle w:val="TableBullet"/>
              <w:rPr>
                <w:szCs w:val="18"/>
              </w:rPr>
            </w:pPr>
            <w:r w:rsidRPr="00716CC2">
              <w:rPr>
                <w:szCs w:val="18"/>
              </w:rPr>
              <w:t>Ensure transition across services (internal and external)</w:t>
            </w:r>
          </w:p>
          <w:p w14:paraId="23A26C9A" w14:textId="77777777" w:rsidR="006D5FE4" w:rsidRPr="00716CC2" w:rsidRDefault="006D5FE4" w:rsidP="006D5FE4">
            <w:pPr>
              <w:pStyle w:val="TableBullet"/>
              <w:rPr>
                <w:szCs w:val="18"/>
              </w:rPr>
            </w:pPr>
            <w:r w:rsidRPr="00716CC2">
              <w:rPr>
                <w:szCs w:val="18"/>
              </w:rPr>
              <w:t>Discussion re an electronic standard:</w:t>
            </w:r>
          </w:p>
          <w:p w14:paraId="292D0CF0" w14:textId="77777777" w:rsidR="006D5FE4" w:rsidRPr="00716CC2" w:rsidRDefault="006D5FE4" w:rsidP="006D5FE4">
            <w:pPr>
              <w:pStyle w:val="TableBullet"/>
              <w:rPr>
                <w:szCs w:val="18"/>
              </w:rPr>
            </w:pPr>
            <w:r w:rsidRPr="00716CC2">
              <w:rPr>
                <w:szCs w:val="18"/>
              </w:rPr>
              <w:t>Data integrity/security (etc)</w:t>
            </w:r>
          </w:p>
          <w:p w14:paraId="4056277B" w14:textId="77777777" w:rsidR="006D5FE4" w:rsidRPr="00716CC2" w:rsidRDefault="006D5FE4" w:rsidP="006D5FE4">
            <w:pPr>
              <w:pStyle w:val="TableBullet"/>
              <w:rPr>
                <w:szCs w:val="18"/>
              </w:rPr>
            </w:pPr>
            <w:r w:rsidRPr="00716CC2">
              <w:rPr>
                <w:szCs w:val="18"/>
              </w:rPr>
              <w:t>Perhaps aspirational – MoH to take lead (?)</w:t>
            </w:r>
          </w:p>
          <w:p w14:paraId="443580C9" w14:textId="77777777" w:rsidR="006D5FE4" w:rsidRPr="00716CC2" w:rsidRDefault="006D5FE4" w:rsidP="006D5FE4">
            <w:pPr>
              <w:pStyle w:val="TableBullet"/>
              <w:rPr>
                <w:szCs w:val="18"/>
              </w:rPr>
            </w:pPr>
            <w:r w:rsidRPr="00716CC2">
              <w:rPr>
                <w:szCs w:val="18"/>
              </w:rPr>
              <w:t>? dedicated DHB</w:t>
            </w:r>
          </w:p>
          <w:p w14:paraId="539A7676" w14:textId="77777777" w:rsidR="006D5FE4" w:rsidRPr="00716CC2" w:rsidRDefault="006D5FE4" w:rsidP="006D5FE4">
            <w:pPr>
              <w:pStyle w:val="TableBullet"/>
              <w:rPr>
                <w:rFonts w:ascii="Arial" w:hAnsi="Arial"/>
                <w:szCs w:val="18"/>
                <w:lang w:eastAsia="en-NZ"/>
              </w:rPr>
            </w:pPr>
            <w:r w:rsidRPr="00716CC2">
              <w:rPr>
                <w:rFonts w:ascii="Arial" w:hAnsi="Arial"/>
                <w:szCs w:val="18"/>
              </w:rPr>
              <w:t>Data sovereignty to be considered</w:t>
            </w:r>
          </w:p>
        </w:tc>
        <w:tc>
          <w:tcPr>
            <w:tcW w:w="2855" w:type="dxa"/>
            <w:gridSpan w:val="3"/>
            <w:shd w:val="clear" w:color="auto" w:fill="FFFFFF" w:themeFill="background1"/>
          </w:tcPr>
          <w:p w14:paraId="67BF65BB"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Include social and physical health referrals</w:t>
            </w:r>
          </w:p>
          <w:p w14:paraId="34AEA11C"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Link to 1.3.1</w:t>
            </w:r>
          </w:p>
          <w:p w14:paraId="2A677169"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Include equity</w:t>
            </w:r>
          </w:p>
          <w:p w14:paraId="5D76927F"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Community supports – formal and informal.</w:t>
            </w:r>
          </w:p>
        </w:tc>
        <w:tc>
          <w:tcPr>
            <w:tcW w:w="2855" w:type="dxa"/>
            <w:gridSpan w:val="3"/>
            <w:shd w:val="clear" w:color="auto" w:fill="FFFFFF" w:themeFill="background1"/>
          </w:tcPr>
          <w:p w14:paraId="28DF0BAC" w14:textId="77777777" w:rsidR="006D5FE4" w:rsidRPr="00716CC2" w:rsidRDefault="006D5FE4" w:rsidP="006D5FE4">
            <w:pPr>
              <w:pStyle w:val="TableBullet"/>
              <w:rPr>
                <w:szCs w:val="18"/>
              </w:rPr>
            </w:pPr>
            <w:r w:rsidRPr="00716CC2">
              <w:rPr>
                <w:szCs w:val="18"/>
              </w:rPr>
              <w:t>Restorative model/concept could sit in consumer rights and reflect individual independence</w:t>
            </w:r>
          </w:p>
          <w:p w14:paraId="0FCF90CA" w14:textId="77777777" w:rsidR="006D5FE4" w:rsidRPr="00716CC2" w:rsidRDefault="006D5FE4" w:rsidP="006D5FE4">
            <w:pPr>
              <w:pStyle w:val="TableBullet"/>
              <w:rPr>
                <w:szCs w:val="18"/>
              </w:rPr>
            </w:pPr>
            <w:r w:rsidRPr="00716CC2">
              <w:rPr>
                <w:szCs w:val="18"/>
              </w:rPr>
              <w:t>Restorative model could be a resourcing issue</w:t>
            </w:r>
          </w:p>
          <w:p w14:paraId="28F25DEA" w14:textId="77777777" w:rsidR="006D5FE4" w:rsidRPr="00716CC2" w:rsidRDefault="006D5FE4" w:rsidP="006D5FE4">
            <w:pPr>
              <w:pStyle w:val="TableBullet"/>
              <w:rPr>
                <w:szCs w:val="18"/>
              </w:rPr>
            </w:pPr>
            <w:r w:rsidRPr="00716CC2">
              <w:rPr>
                <w:szCs w:val="18"/>
              </w:rPr>
              <w:t>External – including allied health (eg. Speech language therapist)</w:t>
            </w:r>
          </w:p>
          <w:p w14:paraId="7509AD40" w14:textId="77777777" w:rsidR="006D5FE4" w:rsidRPr="00716CC2" w:rsidRDefault="006D5FE4" w:rsidP="006D5FE4">
            <w:pPr>
              <w:pStyle w:val="TableBullet"/>
              <w:rPr>
                <w:szCs w:val="18"/>
              </w:rPr>
            </w:pPr>
            <w:r w:rsidRPr="00716CC2">
              <w:rPr>
                <w:szCs w:val="18"/>
              </w:rPr>
              <w:t>Aspirational – looking to a ‘rehab’ model, maybe need to look at standard with more consideration, may lead to provider flexibility. The Standards therefore need to be sufficiently flexible to meet future models of care.</w:t>
            </w:r>
          </w:p>
          <w:p w14:paraId="0F4868E3" w14:textId="77777777" w:rsidR="006D5FE4" w:rsidRPr="00716CC2" w:rsidRDefault="006D5FE4" w:rsidP="006D5FE4">
            <w:pPr>
              <w:pStyle w:val="TableBullet"/>
              <w:rPr>
                <w:szCs w:val="18"/>
              </w:rPr>
            </w:pPr>
            <w:r w:rsidRPr="00716CC2">
              <w:rPr>
                <w:szCs w:val="18"/>
              </w:rPr>
              <w:t xml:space="preserve">Flexible service delivery models require staff with critical thinking skills – eg the RN recognises the need to </w:t>
            </w:r>
            <w:r w:rsidRPr="00716CC2">
              <w:rPr>
                <w:szCs w:val="18"/>
              </w:rPr>
              <w:lastRenderedPageBreak/>
              <w:t>contact other health professionals (eg. Dieticians)</w:t>
            </w:r>
          </w:p>
          <w:p w14:paraId="67EC9106" w14:textId="77777777" w:rsidR="006D5FE4" w:rsidRPr="00716CC2" w:rsidRDefault="006D5FE4" w:rsidP="006D5FE4">
            <w:pPr>
              <w:pStyle w:val="TableBullet"/>
              <w:rPr>
                <w:szCs w:val="18"/>
              </w:rPr>
            </w:pPr>
            <w:r w:rsidRPr="00716CC2">
              <w:rPr>
                <w:szCs w:val="18"/>
              </w:rPr>
              <w:t xml:space="preserve">Consider ARC as extension of DHB’s: </w:t>
            </w:r>
          </w:p>
          <w:p w14:paraId="798474BC" w14:textId="77777777" w:rsidR="006D5FE4" w:rsidRPr="00716CC2" w:rsidRDefault="006D5FE4" w:rsidP="006D5FE4">
            <w:pPr>
              <w:pStyle w:val="Table2ndBullet"/>
              <w:rPr>
                <w:szCs w:val="18"/>
              </w:rPr>
            </w:pPr>
            <w:r w:rsidRPr="00716CC2">
              <w:rPr>
                <w:szCs w:val="18"/>
              </w:rPr>
              <w:t xml:space="preserve">When DHB moves into a ‘code red’ situation move residents across to ARC </w:t>
            </w:r>
          </w:p>
          <w:p w14:paraId="697F3D2A" w14:textId="77777777" w:rsidR="006D5FE4" w:rsidRPr="00716CC2" w:rsidRDefault="006D5FE4" w:rsidP="006D5FE4">
            <w:pPr>
              <w:pStyle w:val="Table2ndBullet"/>
              <w:rPr>
                <w:szCs w:val="18"/>
              </w:rPr>
            </w:pPr>
            <w:r w:rsidRPr="00716CC2">
              <w:rPr>
                <w:szCs w:val="18"/>
              </w:rPr>
              <w:t>This may support locality placement</w:t>
            </w:r>
          </w:p>
          <w:p w14:paraId="515A719D" w14:textId="77777777" w:rsidR="006D5FE4" w:rsidRPr="00716CC2" w:rsidRDefault="006D5FE4" w:rsidP="006D5FE4">
            <w:pPr>
              <w:pStyle w:val="Table2ndBullet"/>
              <w:rPr>
                <w:szCs w:val="18"/>
              </w:rPr>
            </w:pPr>
            <w:r w:rsidRPr="00716CC2">
              <w:rPr>
                <w:szCs w:val="18"/>
              </w:rPr>
              <w:t>Implementation of this concept links to funding issues</w:t>
            </w:r>
          </w:p>
          <w:p w14:paraId="15C56975" w14:textId="77777777" w:rsidR="006D5FE4" w:rsidRPr="00716CC2" w:rsidRDefault="006D5FE4" w:rsidP="006D5FE4">
            <w:pPr>
              <w:pStyle w:val="TableBullet"/>
              <w:rPr>
                <w:szCs w:val="18"/>
              </w:rPr>
            </w:pPr>
            <w:r w:rsidRPr="00716CC2">
              <w:rPr>
                <w:szCs w:val="18"/>
              </w:rPr>
              <w:t>Government – looking to keeping people at home, consider longer periods of respite – eg. six week blocks in order to support improve state of health resulting in longer period at home (before requiring ARC placement)</w:t>
            </w:r>
          </w:p>
          <w:p w14:paraId="516B63AD" w14:textId="77777777" w:rsidR="006D5FE4" w:rsidRPr="00716CC2" w:rsidRDefault="006D5FE4" w:rsidP="006D5FE4">
            <w:pPr>
              <w:pStyle w:val="TableBullet"/>
              <w:rPr>
                <w:szCs w:val="18"/>
              </w:rPr>
            </w:pPr>
            <w:r w:rsidRPr="00716CC2">
              <w:rPr>
                <w:szCs w:val="18"/>
              </w:rPr>
              <w:t>Insure review aligns with the work of the Ombudsman in respect of dementia and psychogeriatric services</w:t>
            </w:r>
          </w:p>
          <w:p w14:paraId="1FDBCA34" w14:textId="77777777" w:rsidR="006D5FE4" w:rsidRPr="00716CC2" w:rsidRDefault="006D5FE4" w:rsidP="006D5FE4">
            <w:pPr>
              <w:pStyle w:val="TableBullet"/>
              <w:rPr>
                <w:szCs w:val="18"/>
              </w:rPr>
            </w:pPr>
            <w:r w:rsidRPr="00716CC2">
              <w:rPr>
                <w:szCs w:val="18"/>
              </w:rPr>
              <w:t>Alignment to contract</w:t>
            </w:r>
          </w:p>
        </w:tc>
        <w:tc>
          <w:tcPr>
            <w:tcW w:w="2855" w:type="dxa"/>
            <w:gridSpan w:val="3"/>
            <w:shd w:val="clear" w:color="auto" w:fill="FFFFFF" w:themeFill="background1"/>
          </w:tcPr>
          <w:p w14:paraId="4DE8E503" w14:textId="77777777" w:rsidR="006D5FE4" w:rsidRPr="00716CC2" w:rsidRDefault="006D5FE4" w:rsidP="006D5FE4">
            <w:pPr>
              <w:pStyle w:val="TableBullet"/>
              <w:rPr>
                <w:szCs w:val="18"/>
                <w:lang w:eastAsia="en-NZ"/>
              </w:rPr>
            </w:pPr>
            <w:r w:rsidRPr="00716CC2">
              <w:rPr>
                <w:szCs w:val="18"/>
                <w:lang w:eastAsia="en-NZ"/>
              </w:rPr>
              <w:lastRenderedPageBreak/>
              <w:t>Merge 1.3.1, 1.3.9 (referral), 1.3.10 (exit, discharge) – all under access</w:t>
            </w:r>
          </w:p>
          <w:p w14:paraId="7AA67FCC" w14:textId="77777777" w:rsidR="006D5FE4" w:rsidRPr="00716CC2" w:rsidRDefault="006D5FE4" w:rsidP="006D5FE4">
            <w:pPr>
              <w:pStyle w:val="TableBullet"/>
              <w:rPr>
                <w:szCs w:val="18"/>
                <w:lang w:eastAsia="en-NZ"/>
              </w:rPr>
            </w:pPr>
            <w:r w:rsidRPr="00716CC2">
              <w:rPr>
                <w:szCs w:val="18"/>
                <w:lang w:eastAsia="en-NZ"/>
              </w:rPr>
              <w:t>Relationship considered to be component of successful referral</w:t>
            </w:r>
          </w:p>
          <w:p w14:paraId="6081C1E6" w14:textId="77777777" w:rsidR="006D5FE4" w:rsidRPr="00716CC2" w:rsidRDefault="006D5FE4" w:rsidP="006D5FE4">
            <w:pPr>
              <w:pStyle w:val="TableBullet"/>
              <w:rPr>
                <w:szCs w:val="18"/>
                <w:lang w:eastAsia="en-NZ"/>
              </w:rPr>
            </w:pPr>
            <w:r w:rsidRPr="00716CC2">
              <w:rPr>
                <w:szCs w:val="18"/>
                <w:lang w:eastAsia="en-NZ"/>
              </w:rPr>
              <w:t>Understanding the threshold for referral (can be difficult to measure)</w:t>
            </w:r>
          </w:p>
          <w:p w14:paraId="6CF87A15" w14:textId="77777777" w:rsidR="006D5FE4" w:rsidRPr="00716CC2" w:rsidRDefault="006D5FE4" w:rsidP="006D5FE4">
            <w:pPr>
              <w:pStyle w:val="TableBullet"/>
              <w:rPr>
                <w:szCs w:val="18"/>
                <w:lang w:eastAsia="en-NZ"/>
              </w:rPr>
            </w:pPr>
            <w:r w:rsidRPr="00716CC2">
              <w:rPr>
                <w:szCs w:val="18"/>
                <w:lang w:eastAsia="en-NZ"/>
              </w:rPr>
              <w:t>The stigma of ARC can be challenging in terms of timely response to referral – prioritisation occurs based on resource</w:t>
            </w:r>
          </w:p>
          <w:p w14:paraId="13705631" w14:textId="77777777" w:rsidR="006D5FE4" w:rsidRPr="00716CC2" w:rsidRDefault="006D5FE4" w:rsidP="006D5FE4">
            <w:pPr>
              <w:pStyle w:val="TableBullet"/>
              <w:rPr>
                <w:szCs w:val="18"/>
                <w:lang w:eastAsia="en-NZ"/>
              </w:rPr>
            </w:pPr>
            <w:r w:rsidRPr="00716CC2">
              <w:rPr>
                <w:szCs w:val="18"/>
                <w:lang w:eastAsia="en-NZ"/>
              </w:rPr>
              <w:t>Funding interface</w:t>
            </w:r>
          </w:p>
          <w:p w14:paraId="57A75244" w14:textId="77777777" w:rsidR="006D5FE4" w:rsidRPr="00716CC2" w:rsidRDefault="006D5FE4" w:rsidP="006D5FE4">
            <w:pPr>
              <w:pStyle w:val="TableBullet"/>
              <w:rPr>
                <w:szCs w:val="18"/>
                <w:lang w:eastAsia="en-NZ"/>
              </w:rPr>
            </w:pPr>
            <w:r w:rsidRPr="00716CC2">
              <w:rPr>
                <w:szCs w:val="18"/>
                <w:lang w:eastAsia="en-NZ"/>
              </w:rPr>
              <w:t>ARC not always responsible to outcome (ie. Referral not accepted)</w:t>
            </w:r>
          </w:p>
          <w:p w14:paraId="490BEAF2" w14:textId="77777777" w:rsidR="006D5FE4" w:rsidRPr="00716CC2" w:rsidRDefault="006D5FE4" w:rsidP="006D5FE4">
            <w:pPr>
              <w:pStyle w:val="TableBullet"/>
              <w:rPr>
                <w:szCs w:val="18"/>
                <w:lang w:eastAsia="en-NZ"/>
              </w:rPr>
            </w:pPr>
            <w:r w:rsidRPr="00716CC2">
              <w:rPr>
                <w:szCs w:val="18"/>
                <w:lang w:eastAsia="en-NZ"/>
              </w:rPr>
              <w:t>Access to specialist services difficult</w:t>
            </w:r>
          </w:p>
          <w:p w14:paraId="6941237F" w14:textId="77777777" w:rsidR="006D5FE4" w:rsidRPr="00716CC2" w:rsidRDefault="006D5FE4" w:rsidP="006D5FE4">
            <w:pPr>
              <w:pStyle w:val="TableBullet"/>
              <w:rPr>
                <w:szCs w:val="18"/>
                <w:lang w:eastAsia="en-NZ"/>
              </w:rPr>
            </w:pPr>
            <w:r w:rsidRPr="00716CC2">
              <w:rPr>
                <w:szCs w:val="18"/>
                <w:lang w:eastAsia="en-NZ"/>
              </w:rPr>
              <w:lastRenderedPageBreak/>
              <w:t>Measurement currently – meet standard if referral sent, consider outcome based approach</w:t>
            </w:r>
          </w:p>
        </w:tc>
        <w:tc>
          <w:tcPr>
            <w:tcW w:w="2856" w:type="dxa"/>
            <w:gridSpan w:val="3"/>
            <w:shd w:val="clear" w:color="auto" w:fill="FFFFFF" w:themeFill="background1"/>
          </w:tcPr>
          <w:p w14:paraId="02FBBA53" w14:textId="77777777" w:rsidR="006D5FE4" w:rsidRPr="00716CC2" w:rsidRDefault="006D5FE4" w:rsidP="006D5FE4">
            <w:pPr>
              <w:pStyle w:val="TableBullet"/>
              <w:rPr>
                <w:szCs w:val="18"/>
                <w:lang w:eastAsia="en-NZ"/>
              </w:rPr>
            </w:pPr>
            <w:r w:rsidRPr="00716CC2">
              <w:rPr>
                <w:szCs w:val="18"/>
                <w:lang w:eastAsia="en-NZ"/>
              </w:rPr>
              <w:lastRenderedPageBreak/>
              <w:t>Required standard – need to include social and community</w:t>
            </w:r>
          </w:p>
          <w:p w14:paraId="0E27A6F2" w14:textId="77777777" w:rsidR="006D5FE4" w:rsidRPr="00716CC2" w:rsidRDefault="006D5FE4" w:rsidP="006D5FE4">
            <w:pPr>
              <w:pStyle w:val="TableBullet"/>
              <w:rPr>
                <w:szCs w:val="18"/>
                <w:lang w:eastAsia="en-NZ"/>
              </w:rPr>
            </w:pPr>
            <w:r w:rsidRPr="00716CC2">
              <w:rPr>
                <w:szCs w:val="18"/>
                <w:lang w:eastAsia="en-NZ"/>
              </w:rPr>
              <w:t>Retain appropriately facilitated</w:t>
            </w:r>
          </w:p>
          <w:p w14:paraId="223C4C83" w14:textId="77777777" w:rsidR="006D5FE4" w:rsidRPr="00716CC2" w:rsidRDefault="006D5FE4" w:rsidP="006D5FE4">
            <w:pPr>
              <w:pStyle w:val="TableBullet"/>
              <w:rPr>
                <w:szCs w:val="18"/>
                <w:lang w:eastAsia="en-NZ"/>
              </w:rPr>
            </w:pPr>
            <w:r w:rsidRPr="00716CC2">
              <w:rPr>
                <w:szCs w:val="18"/>
                <w:lang w:eastAsia="en-NZ"/>
              </w:rPr>
              <w:t>Noting: cannot meet every person’s needs, referral is often inevitable</w:t>
            </w:r>
          </w:p>
        </w:tc>
      </w:tr>
      <w:tr w:rsidR="00192421" w:rsidRPr="00716CC2" w14:paraId="70BF7652" w14:textId="77777777" w:rsidTr="007A7079">
        <w:trPr>
          <w:gridAfter w:val="2"/>
          <w:wAfter w:w="608" w:type="dxa"/>
        </w:trPr>
        <w:tc>
          <w:tcPr>
            <w:tcW w:w="14276" w:type="dxa"/>
            <w:gridSpan w:val="13"/>
            <w:shd w:val="clear" w:color="auto" w:fill="FFFFFF" w:themeFill="background1"/>
          </w:tcPr>
          <w:p w14:paraId="5F91A04C" w14:textId="77777777" w:rsidR="00192421" w:rsidRPr="00716CC2" w:rsidRDefault="00192421" w:rsidP="00192421">
            <w:pPr>
              <w:spacing w:before="40" w:after="40"/>
              <w:rPr>
                <w:b/>
                <w:sz w:val="18"/>
                <w:szCs w:val="18"/>
              </w:rPr>
            </w:pPr>
          </w:p>
        </w:tc>
      </w:tr>
      <w:tr w:rsidR="00192421" w:rsidRPr="00716CC2" w14:paraId="1F312705" w14:textId="77777777" w:rsidTr="007A7079">
        <w:trPr>
          <w:gridAfter w:val="2"/>
          <w:wAfter w:w="608" w:type="dxa"/>
        </w:trPr>
        <w:tc>
          <w:tcPr>
            <w:tcW w:w="14276" w:type="dxa"/>
            <w:gridSpan w:val="13"/>
            <w:shd w:val="clear" w:color="auto" w:fill="F2F2F2" w:themeFill="background1" w:themeFillShade="F2"/>
          </w:tcPr>
          <w:p w14:paraId="7C2B2B82" w14:textId="77777777" w:rsidR="00192421" w:rsidRPr="00716CC2" w:rsidRDefault="006D5FE4" w:rsidP="00192421">
            <w:pPr>
              <w:spacing w:before="40" w:after="40"/>
              <w:rPr>
                <w:b/>
                <w:sz w:val="18"/>
                <w:szCs w:val="18"/>
              </w:rPr>
            </w:pPr>
            <w:r w:rsidRPr="00716CC2">
              <w:rPr>
                <w:b/>
                <w:sz w:val="18"/>
                <w:szCs w:val="18"/>
              </w:rPr>
              <w:t xml:space="preserve">Standard 1.3.10: </w:t>
            </w:r>
            <w:r w:rsidRPr="00716CC2">
              <w:rPr>
                <w:sz w:val="18"/>
                <w:szCs w:val="18"/>
              </w:rPr>
              <w:t>Transition, Exit, Discharge, Or Transfer  (HDS(C)S.2008:1.3.10): Consumers experience a planned and coordinated transition, exit, discharge, or transfer from services.</w:t>
            </w:r>
          </w:p>
        </w:tc>
      </w:tr>
      <w:tr w:rsidR="00192421" w:rsidRPr="00716CC2" w14:paraId="0E4259D9" w14:textId="77777777" w:rsidTr="007A7079">
        <w:trPr>
          <w:gridAfter w:val="2"/>
          <w:wAfter w:w="608" w:type="dxa"/>
        </w:trPr>
        <w:tc>
          <w:tcPr>
            <w:tcW w:w="2855" w:type="dxa"/>
            <w:shd w:val="clear" w:color="auto" w:fill="FFFFFF" w:themeFill="background1"/>
          </w:tcPr>
          <w:p w14:paraId="3BB2A9FB" w14:textId="77777777" w:rsidR="00192421" w:rsidRPr="00716CC2" w:rsidRDefault="00192421"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502FE0BE" w14:textId="77777777" w:rsidR="00192421" w:rsidRPr="00716CC2" w:rsidRDefault="00192421"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57CDBBB4" w14:textId="77777777" w:rsidR="00192421" w:rsidRPr="00716CC2" w:rsidRDefault="00192421"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0AA6CAB3" w14:textId="77777777" w:rsidR="00192421" w:rsidRPr="00716CC2" w:rsidRDefault="00192421"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3BBAF47E" w14:textId="77777777" w:rsidR="00192421" w:rsidRPr="00716CC2" w:rsidRDefault="00192421" w:rsidP="006D5FE4">
            <w:pPr>
              <w:pStyle w:val="TableText"/>
              <w:spacing w:before="40" w:after="40"/>
              <w:rPr>
                <w:b/>
                <w:szCs w:val="18"/>
                <w:lang w:eastAsia="en-NZ"/>
              </w:rPr>
            </w:pPr>
            <w:r w:rsidRPr="00716CC2">
              <w:rPr>
                <w:b/>
                <w:szCs w:val="18"/>
                <w:lang w:eastAsia="en-NZ"/>
              </w:rPr>
              <w:t>Res Dis (6 Aug)</w:t>
            </w:r>
          </w:p>
        </w:tc>
      </w:tr>
      <w:tr w:rsidR="006D5FE4" w:rsidRPr="00716CC2" w14:paraId="58D31BE2" w14:textId="77777777" w:rsidTr="007A7079">
        <w:trPr>
          <w:gridAfter w:val="2"/>
          <w:wAfter w:w="608" w:type="dxa"/>
        </w:trPr>
        <w:tc>
          <w:tcPr>
            <w:tcW w:w="2855" w:type="dxa"/>
            <w:shd w:val="clear" w:color="auto" w:fill="FFFFFF" w:themeFill="background1"/>
          </w:tcPr>
          <w:p w14:paraId="227D85AB" w14:textId="77777777" w:rsidR="006D5FE4" w:rsidRPr="00716CC2" w:rsidRDefault="006D5FE4" w:rsidP="006D5FE4">
            <w:pPr>
              <w:pStyle w:val="TableBullet"/>
              <w:rPr>
                <w:b/>
                <w:szCs w:val="18"/>
                <w:lang w:eastAsia="en-NZ"/>
              </w:rPr>
            </w:pPr>
            <w:r w:rsidRPr="00716CC2">
              <w:rPr>
                <w:szCs w:val="18"/>
              </w:rPr>
              <w:t>Merge: 1.3.9 &amp; 1.3.10</w:t>
            </w:r>
          </w:p>
        </w:tc>
        <w:tc>
          <w:tcPr>
            <w:tcW w:w="2855" w:type="dxa"/>
            <w:gridSpan w:val="3"/>
            <w:shd w:val="clear" w:color="auto" w:fill="FFFFFF" w:themeFill="background1"/>
          </w:tcPr>
          <w:p w14:paraId="447DAE90" w14:textId="77777777" w:rsidR="006D5FE4" w:rsidRPr="00716CC2" w:rsidRDefault="006D5FE4" w:rsidP="006D5FE4">
            <w:pPr>
              <w:pStyle w:val="TableBullet"/>
              <w:rPr>
                <w:b/>
                <w:szCs w:val="18"/>
                <w:lang w:eastAsia="en-NZ"/>
              </w:rPr>
            </w:pPr>
            <w:r w:rsidRPr="00716CC2">
              <w:rPr>
                <w:szCs w:val="18"/>
                <w:lang w:eastAsia="en-NZ"/>
              </w:rPr>
              <w:t>Community supports – formal and informal</w:t>
            </w:r>
          </w:p>
          <w:p w14:paraId="249EA20E" w14:textId="77777777" w:rsidR="006D5FE4" w:rsidRPr="00716CC2" w:rsidRDefault="006D5FE4" w:rsidP="006D5FE4">
            <w:pPr>
              <w:pStyle w:val="TableBullet"/>
              <w:rPr>
                <w:b/>
                <w:szCs w:val="18"/>
                <w:lang w:eastAsia="en-NZ"/>
              </w:rPr>
            </w:pPr>
            <w:r w:rsidRPr="00716CC2">
              <w:rPr>
                <w:szCs w:val="18"/>
                <w:lang w:eastAsia="en-NZ"/>
              </w:rPr>
              <w:t>Consider transition at patients pace, not ‘service funding’ pace</w:t>
            </w:r>
          </w:p>
          <w:p w14:paraId="74BBC175" w14:textId="77777777" w:rsidR="006D5FE4" w:rsidRPr="00716CC2" w:rsidRDefault="006D5FE4" w:rsidP="006D5FE4">
            <w:pPr>
              <w:pStyle w:val="TableBullet"/>
              <w:rPr>
                <w:b/>
                <w:szCs w:val="18"/>
                <w:lang w:eastAsia="en-NZ"/>
              </w:rPr>
            </w:pPr>
            <w:r w:rsidRPr="00716CC2">
              <w:rPr>
                <w:szCs w:val="18"/>
                <w:lang w:eastAsia="en-NZ"/>
              </w:rPr>
              <w:lastRenderedPageBreak/>
              <w:t>Assumption prescribed transition – need to address.</w:t>
            </w:r>
          </w:p>
          <w:p w14:paraId="61F9A58E" w14:textId="77777777" w:rsidR="006D5FE4" w:rsidRPr="00716CC2" w:rsidRDefault="006D5FE4" w:rsidP="006D5FE4">
            <w:pPr>
              <w:pStyle w:val="TableBullet"/>
              <w:rPr>
                <w:b/>
                <w:szCs w:val="18"/>
                <w:lang w:eastAsia="en-NZ"/>
              </w:rPr>
            </w:pPr>
          </w:p>
        </w:tc>
        <w:tc>
          <w:tcPr>
            <w:tcW w:w="2855" w:type="dxa"/>
            <w:gridSpan w:val="3"/>
            <w:shd w:val="clear" w:color="auto" w:fill="FFFFFF" w:themeFill="background1"/>
          </w:tcPr>
          <w:p w14:paraId="415122C2" w14:textId="77777777" w:rsidR="006D5FE4" w:rsidRPr="00716CC2" w:rsidRDefault="006D5FE4" w:rsidP="006D5FE4">
            <w:pPr>
              <w:pStyle w:val="TableBullet"/>
              <w:rPr>
                <w:szCs w:val="18"/>
              </w:rPr>
            </w:pPr>
            <w:r w:rsidRPr="00716CC2">
              <w:rPr>
                <w:szCs w:val="18"/>
              </w:rPr>
              <w:lastRenderedPageBreak/>
              <w:t>Merge with Access to services (refer comment against 1.3.1)</w:t>
            </w:r>
          </w:p>
        </w:tc>
        <w:tc>
          <w:tcPr>
            <w:tcW w:w="2855" w:type="dxa"/>
            <w:gridSpan w:val="3"/>
            <w:shd w:val="clear" w:color="auto" w:fill="FFFFFF" w:themeFill="background1"/>
          </w:tcPr>
          <w:p w14:paraId="60AF5513" w14:textId="77777777" w:rsidR="006D5FE4" w:rsidRPr="00716CC2" w:rsidRDefault="006D5FE4" w:rsidP="006D5FE4">
            <w:pPr>
              <w:pStyle w:val="TableBullet"/>
              <w:rPr>
                <w:szCs w:val="18"/>
                <w:lang w:eastAsia="en-NZ"/>
              </w:rPr>
            </w:pPr>
            <w:r w:rsidRPr="00716CC2">
              <w:rPr>
                <w:szCs w:val="18"/>
                <w:lang w:eastAsia="en-NZ"/>
              </w:rPr>
              <w:t>Discussion: denial vs exit</w:t>
            </w:r>
          </w:p>
          <w:p w14:paraId="415FA99F" w14:textId="77777777" w:rsidR="006D5FE4" w:rsidRPr="00716CC2" w:rsidRDefault="006D5FE4" w:rsidP="006D5FE4">
            <w:pPr>
              <w:pStyle w:val="TableBullet"/>
              <w:rPr>
                <w:szCs w:val="18"/>
                <w:lang w:eastAsia="en-NZ"/>
              </w:rPr>
            </w:pPr>
            <w:r w:rsidRPr="00716CC2">
              <w:rPr>
                <w:szCs w:val="18"/>
                <w:lang w:eastAsia="en-NZ"/>
              </w:rPr>
              <w:t>Merge 1.3.1, 1.3.9 (referral), 1.3.10 (exit, discharge) – all under ‘access’</w:t>
            </w:r>
          </w:p>
        </w:tc>
        <w:tc>
          <w:tcPr>
            <w:tcW w:w="2856" w:type="dxa"/>
            <w:gridSpan w:val="3"/>
            <w:shd w:val="clear" w:color="auto" w:fill="FFFFFF" w:themeFill="background1"/>
          </w:tcPr>
          <w:p w14:paraId="0DFB0BEF" w14:textId="77777777" w:rsidR="006D5FE4" w:rsidRPr="00716CC2" w:rsidRDefault="006D5FE4" w:rsidP="006D5FE4">
            <w:pPr>
              <w:pStyle w:val="TableBullet"/>
              <w:rPr>
                <w:szCs w:val="18"/>
                <w:lang w:eastAsia="en-NZ"/>
              </w:rPr>
            </w:pPr>
            <w:r w:rsidRPr="00716CC2">
              <w:rPr>
                <w:szCs w:val="18"/>
                <w:lang w:eastAsia="en-NZ"/>
              </w:rPr>
              <w:t>Refer comments against 1.3.1 – potentially merge (.3.1, 1.3.2)</w:t>
            </w:r>
          </w:p>
          <w:p w14:paraId="73059B20" w14:textId="77777777" w:rsidR="006D5FE4" w:rsidRPr="00716CC2" w:rsidRDefault="006D5FE4" w:rsidP="006D5FE4">
            <w:pPr>
              <w:pStyle w:val="TableBullet"/>
              <w:rPr>
                <w:szCs w:val="18"/>
                <w:lang w:eastAsia="en-NZ"/>
              </w:rPr>
            </w:pPr>
            <w:r w:rsidRPr="00716CC2">
              <w:rPr>
                <w:szCs w:val="18"/>
                <w:lang w:eastAsia="en-NZ"/>
              </w:rPr>
              <w:t>Provider is not mentioned in the statement</w:t>
            </w:r>
          </w:p>
          <w:p w14:paraId="391D0985" w14:textId="77777777" w:rsidR="006D5FE4" w:rsidRPr="00716CC2" w:rsidRDefault="006D5FE4" w:rsidP="006D5FE4">
            <w:pPr>
              <w:pStyle w:val="TableBullet"/>
              <w:rPr>
                <w:szCs w:val="18"/>
                <w:lang w:eastAsia="en-NZ"/>
              </w:rPr>
            </w:pPr>
            <w:r w:rsidRPr="00716CC2">
              <w:rPr>
                <w:szCs w:val="18"/>
                <w:lang w:eastAsia="en-NZ"/>
              </w:rPr>
              <w:t>Include ‘timely’</w:t>
            </w:r>
          </w:p>
          <w:p w14:paraId="2A030690" w14:textId="77777777" w:rsidR="006D5FE4" w:rsidRPr="00716CC2" w:rsidRDefault="006D5FE4" w:rsidP="006D5FE4">
            <w:pPr>
              <w:pStyle w:val="TableBullet"/>
              <w:rPr>
                <w:szCs w:val="18"/>
                <w:lang w:eastAsia="en-NZ"/>
              </w:rPr>
            </w:pPr>
            <w:r w:rsidRPr="00716CC2">
              <w:rPr>
                <w:szCs w:val="18"/>
                <w:lang w:eastAsia="en-NZ"/>
              </w:rPr>
              <w:lastRenderedPageBreak/>
              <w:t>May be instances of unplanned exit – eg. Police involvement</w:t>
            </w:r>
          </w:p>
          <w:p w14:paraId="511F9495" w14:textId="77777777" w:rsidR="006D5FE4" w:rsidRPr="00716CC2" w:rsidRDefault="006D5FE4" w:rsidP="006D5FE4">
            <w:pPr>
              <w:pStyle w:val="TableBullet"/>
              <w:rPr>
                <w:szCs w:val="18"/>
                <w:lang w:eastAsia="en-NZ"/>
              </w:rPr>
            </w:pPr>
            <w:r w:rsidRPr="00716CC2">
              <w:rPr>
                <w:szCs w:val="18"/>
                <w:lang w:eastAsia="en-NZ"/>
              </w:rPr>
              <w:t>Not always the provider not working in a planned way – may be involvement of other agencies</w:t>
            </w:r>
          </w:p>
          <w:p w14:paraId="439402E7" w14:textId="77777777" w:rsidR="006D5FE4" w:rsidRPr="00716CC2" w:rsidRDefault="006D5FE4" w:rsidP="006D5FE4">
            <w:pPr>
              <w:pStyle w:val="TableBullet"/>
              <w:rPr>
                <w:szCs w:val="18"/>
                <w:lang w:eastAsia="en-NZ"/>
              </w:rPr>
            </w:pPr>
            <w:r w:rsidRPr="00716CC2">
              <w:rPr>
                <w:szCs w:val="18"/>
                <w:lang w:eastAsia="en-NZ"/>
              </w:rPr>
              <w:t>Needs to link to contracts</w:t>
            </w:r>
          </w:p>
          <w:p w14:paraId="20402B8A" w14:textId="77777777" w:rsidR="006D5FE4" w:rsidRPr="00716CC2" w:rsidRDefault="006D5FE4" w:rsidP="006D5FE4">
            <w:pPr>
              <w:pStyle w:val="TableBullet"/>
              <w:rPr>
                <w:szCs w:val="18"/>
                <w:lang w:eastAsia="en-NZ"/>
              </w:rPr>
            </w:pPr>
            <w:r w:rsidRPr="00716CC2">
              <w:rPr>
                <w:szCs w:val="18"/>
                <w:lang w:eastAsia="en-NZ"/>
              </w:rPr>
              <w:t>Should this include end of life planning (N.Berry), NZCare)</w:t>
            </w:r>
          </w:p>
        </w:tc>
      </w:tr>
      <w:tr w:rsidR="006D5FE4" w:rsidRPr="00716CC2" w14:paraId="2775C390" w14:textId="77777777" w:rsidTr="007A7079">
        <w:trPr>
          <w:gridAfter w:val="2"/>
          <w:wAfter w:w="608" w:type="dxa"/>
        </w:trPr>
        <w:tc>
          <w:tcPr>
            <w:tcW w:w="14276" w:type="dxa"/>
            <w:gridSpan w:val="13"/>
            <w:shd w:val="clear" w:color="auto" w:fill="FFFFFF" w:themeFill="background1"/>
          </w:tcPr>
          <w:p w14:paraId="35E18345" w14:textId="77777777" w:rsidR="006D5FE4" w:rsidRPr="00716CC2" w:rsidRDefault="006D5FE4" w:rsidP="00916502">
            <w:pPr>
              <w:spacing w:before="40" w:after="40"/>
              <w:rPr>
                <w:b/>
                <w:sz w:val="18"/>
                <w:szCs w:val="18"/>
              </w:rPr>
            </w:pPr>
          </w:p>
        </w:tc>
      </w:tr>
      <w:tr w:rsidR="006D5FE4" w:rsidRPr="00716CC2" w14:paraId="04953773" w14:textId="77777777" w:rsidTr="007A7079">
        <w:trPr>
          <w:gridAfter w:val="2"/>
          <w:wAfter w:w="608" w:type="dxa"/>
        </w:trPr>
        <w:tc>
          <w:tcPr>
            <w:tcW w:w="14276" w:type="dxa"/>
            <w:gridSpan w:val="13"/>
            <w:shd w:val="clear" w:color="auto" w:fill="F2F2F2" w:themeFill="background1" w:themeFillShade="F2"/>
          </w:tcPr>
          <w:p w14:paraId="6BDC2874" w14:textId="77777777" w:rsidR="006D5FE4" w:rsidRPr="00716CC2" w:rsidRDefault="006D5FE4" w:rsidP="006D5FE4">
            <w:pPr>
              <w:spacing w:before="40" w:after="40"/>
              <w:rPr>
                <w:sz w:val="18"/>
                <w:szCs w:val="18"/>
              </w:rPr>
            </w:pPr>
            <w:r w:rsidRPr="00716CC2">
              <w:rPr>
                <w:b/>
                <w:sz w:val="18"/>
                <w:szCs w:val="18"/>
              </w:rPr>
              <w:t xml:space="preserve">Standard 1.3.11: </w:t>
            </w:r>
            <w:r w:rsidRPr="00716CC2">
              <w:rPr>
                <w:sz w:val="18"/>
                <w:szCs w:val="18"/>
              </w:rPr>
              <w:t>Use Of Electroconvulsive Therapy (Ect)  (HDS(C)S.2008:1.3.11): Consumers who are administered electroconvulsive therapy are well informed and receive it in a safe manner.</w:t>
            </w:r>
          </w:p>
          <w:p w14:paraId="7808CC5E" w14:textId="77777777" w:rsidR="006D5FE4" w:rsidRPr="00716CC2" w:rsidRDefault="006D5FE4" w:rsidP="006D5FE4">
            <w:pPr>
              <w:spacing w:before="40" w:after="40"/>
              <w:rPr>
                <w:b/>
                <w:sz w:val="18"/>
                <w:szCs w:val="18"/>
              </w:rPr>
            </w:pPr>
            <w:r w:rsidRPr="00716CC2">
              <w:rPr>
                <w:sz w:val="18"/>
                <w:szCs w:val="18"/>
              </w:rPr>
              <w:t>(Only mental health services that provide ECT need to comply with Standard 3.11)</w:t>
            </w:r>
          </w:p>
        </w:tc>
      </w:tr>
      <w:tr w:rsidR="006D5FE4" w:rsidRPr="00716CC2" w14:paraId="389217DA" w14:textId="77777777" w:rsidTr="007A7079">
        <w:trPr>
          <w:gridAfter w:val="2"/>
          <w:wAfter w:w="608" w:type="dxa"/>
        </w:trPr>
        <w:tc>
          <w:tcPr>
            <w:tcW w:w="2855" w:type="dxa"/>
            <w:shd w:val="clear" w:color="auto" w:fill="FFFFFF" w:themeFill="background1"/>
          </w:tcPr>
          <w:p w14:paraId="6B7CEFA5"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330287FA"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03273F31"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13AFE537"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5DF91B1D"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6D5FE4" w:rsidRPr="00716CC2" w14:paraId="797C6B53" w14:textId="77777777" w:rsidTr="007A7079">
        <w:trPr>
          <w:gridAfter w:val="2"/>
          <w:wAfter w:w="608" w:type="dxa"/>
        </w:trPr>
        <w:tc>
          <w:tcPr>
            <w:tcW w:w="2855" w:type="dxa"/>
            <w:shd w:val="clear" w:color="auto" w:fill="FFFFFF" w:themeFill="background1"/>
          </w:tcPr>
          <w:p w14:paraId="57A9EABF" w14:textId="77777777" w:rsidR="006D5FE4" w:rsidRPr="00716CC2" w:rsidRDefault="006D5FE4" w:rsidP="006D5FE4">
            <w:pPr>
              <w:pStyle w:val="TableBullet"/>
              <w:rPr>
                <w:b/>
                <w:szCs w:val="18"/>
                <w:lang w:eastAsia="en-NZ"/>
              </w:rPr>
            </w:pPr>
            <w:r w:rsidRPr="00716CC2">
              <w:rPr>
                <w:szCs w:val="18"/>
              </w:rPr>
              <w:t>DHB only module</w:t>
            </w:r>
          </w:p>
        </w:tc>
        <w:tc>
          <w:tcPr>
            <w:tcW w:w="2855" w:type="dxa"/>
            <w:gridSpan w:val="3"/>
            <w:shd w:val="clear" w:color="auto" w:fill="FFFFFF" w:themeFill="background1"/>
          </w:tcPr>
          <w:p w14:paraId="2C9F9873" w14:textId="77777777" w:rsidR="006D5FE4" w:rsidRPr="00716CC2" w:rsidRDefault="006D5FE4" w:rsidP="006D5FE4">
            <w:pPr>
              <w:pStyle w:val="TableBullet"/>
              <w:rPr>
                <w:b/>
                <w:szCs w:val="18"/>
                <w:lang w:eastAsia="en-NZ"/>
              </w:rPr>
            </w:pPr>
            <w:r w:rsidRPr="00716CC2">
              <w:rPr>
                <w:szCs w:val="18"/>
                <w:lang w:eastAsia="en-NZ"/>
              </w:rPr>
              <w:t>Note standard states: ‘use’ of – need to include residential arm – maintenance occurs at residential service</w:t>
            </w:r>
          </w:p>
          <w:p w14:paraId="01A83F4F" w14:textId="77777777" w:rsidR="006D5FE4" w:rsidRPr="00716CC2" w:rsidRDefault="006D5FE4" w:rsidP="006D5FE4">
            <w:pPr>
              <w:pStyle w:val="TableBullet"/>
              <w:rPr>
                <w:b/>
                <w:szCs w:val="18"/>
                <w:lang w:eastAsia="en-NZ"/>
              </w:rPr>
            </w:pPr>
            <w:r w:rsidRPr="00716CC2">
              <w:rPr>
                <w:szCs w:val="18"/>
                <w:lang w:eastAsia="en-NZ"/>
              </w:rPr>
              <w:t>Include: whānau, patients who access, who goes with, post ECT care</w:t>
            </w:r>
          </w:p>
        </w:tc>
        <w:tc>
          <w:tcPr>
            <w:tcW w:w="2855" w:type="dxa"/>
            <w:gridSpan w:val="3"/>
            <w:shd w:val="clear" w:color="auto" w:fill="FFFFFF" w:themeFill="background1"/>
          </w:tcPr>
          <w:p w14:paraId="2E9170C6" w14:textId="77777777" w:rsidR="006D5FE4" w:rsidRPr="00716CC2" w:rsidRDefault="006D5FE4" w:rsidP="006D5FE4">
            <w:pPr>
              <w:pStyle w:val="TableBullet"/>
              <w:rPr>
                <w:szCs w:val="18"/>
                <w:lang w:eastAsia="en-NZ"/>
              </w:rPr>
            </w:pPr>
            <w:r w:rsidRPr="00716CC2">
              <w:rPr>
                <w:szCs w:val="18"/>
              </w:rPr>
              <w:t>Modular with ARC opt out</w:t>
            </w:r>
          </w:p>
        </w:tc>
        <w:tc>
          <w:tcPr>
            <w:tcW w:w="2855" w:type="dxa"/>
            <w:gridSpan w:val="3"/>
            <w:shd w:val="clear" w:color="auto" w:fill="FFFFFF" w:themeFill="background1"/>
          </w:tcPr>
          <w:p w14:paraId="1CA022D1" w14:textId="77777777" w:rsidR="006D5FE4" w:rsidRPr="00716CC2" w:rsidRDefault="006D5FE4" w:rsidP="006D5FE4">
            <w:pPr>
              <w:pStyle w:val="TableBullet"/>
              <w:rPr>
                <w:szCs w:val="18"/>
                <w:lang w:eastAsia="en-NZ"/>
              </w:rPr>
            </w:pPr>
            <w:r w:rsidRPr="00716CC2">
              <w:rPr>
                <w:szCs w:val="18"/>
                <w:lang w:eastAsia="en-NZ"/>
              </w:rPr>
              <w:t>Modular – opt out</w:t>
            </w:r>
          </w:p>
        </w:tc>
        <w:tc>
          <w:tcPr>
            <w:tcW w:w="2856" w:type="dxa"/>
            <w:gridSpan w:val="3"/>
            <w:shd w:val="clear" w:color="auto" w:fill="FFFFFF" w:themeFill="background1"/>
          </w:tcPr>
          <w:p w14:paraId="46646476" w14:textId="77777777" w:rsidR="006D5FE4" w:rsidRPr="00716CC2" w:rsidRDefault="006D5FE4" w:rsidP="006D5FE4">
            <w:pPr>
              <w:pStyle w:val="TableBullet"/>
              <w:rPr>
                <w:szCs w:val="18"/>
                <w:lang w:eastAsia="en-NZ"/>
              </w:rPr>
            </w:pPr>
            <w:r w:rsidRPr="00716CC2">
              <w:rPr>
                <w:szCs w:val="18"/>
                <w:lang w:eastAsia="en-NZ"/>
              </w:rPr>
              <w:t>Opt out</w:t>
            </w:r>
          </w:p>
          <w:p w14:paraId="146ECB5D" w14:textId="77777777" w:rsidR="006D5FE4" w:rsidRPr="00716CC2" w:rsidRDefault="006D5FE4" w:rsidP="006D5FE4">
            <w:pPr>
              <w:pStyle w:val="TableBullet"/>
              <w:rPr>
                <w:szCs w:val="18"/>
                <w:lang w:eastAsia="en-NZ"/>
              </w:rPr>
            </w:pPr>
            <w:r w:rsidRPr="00716CC2">
              <w:rPr>
                <w:szCs w:val="18"/>
                <w:lang w:eastAsia="en-NZ"/>
              </w:rPr>
              <w:t>Mental health providers at workshop indicated interest in a post ECT recovery standard</w:t>
            </w:r>
          </w:p>
        </w:tc>
      </w:tr>
      <w:tr w:rsidR="006D5FE4" w:rsidRPr="00716CC2" w14:paraId="4B4E3753" w14:textId="77777777" w:rsidTr="007A7079">
        <w:trPr>
          <w:gridAfter w:val="2"/>
          <w:wAfter w:w="608" w:type="dxa"/>
        </w:trPr>
        <w:tc>
          <w:tcPr>
            <w:tcW w:w="14276" w:type="dxa"/>
            <w:gridSpan w:val="13"/>
            <w:shd w:val="clear" w:color="auto" w:fill="FFFFFF" w:themeFill="background1"/>
          </w:tcPr>
          <w:p w14:paraId="352E465D" w14:textId="77777777" w:rsidR="006D5FE4" w:rsidRPr="00716CC2" w:rsidRDefault="006D5FE4" w:rsidP="00916502">
            <w:pPr>
              <w:spacing w:before="40" w:after="40"/>
              <w:rPr>
                <w:b/>
                <w:sz w:val="18"/>
                <w:szCs w:val="18"/>
              </w:rPr>
            </w:pPr>
          </w:p>
        </w:tc>
      </w:tr>
      <w:tr w:rsidR="006D5FE4" w:rsidRPr="00716CC2" w14:paraId="1C95B1F0" w14:textId="77777777" w:rsidTr="007A7079">
        <w:trPr>
          <w:gridAfter w:val="2"/>
          <w:wAfter w:w="608" w:type="dxa"/>
        </w:trPr>
        <w:tc>
          <w:tcPr>
            <w:tcW w:w="14276" w:type="dxa"/>
            <w:gridSpan w:val="13"/>
            <w:shd w:val="clear" w:color="auto" w:fill="F2F2F2" w:themeFill="background1" w:themeFillShade="F2"/>
          </w:tcPr>
          <w:p w14:paraId="12AD4751" w14:textId="77777777" w:rsidR="006D5FE4" w:rsidRPr="00716CC2" w:rsidRDefault="006D5FE4" w:rsidP="00916502">
            <w:pPr>
              <w:spacing w:before="40" w:after="40"/>
              <w:rPr>
                <w:b/>
                <w:sz w:val="18"/>
                <w:szCs w:val="18"/>
              </w:rPr>
            </w:pPr>
            <w:r w:rsidRPr="00716CC2">
              <w:rPr>
                <w:b/>
                <w:sz w:val="18"/>
                <w:szCs w:val="18"/>
              </w:rPr>
              <w:t xml:space="preserve">Standard 1.3.12: </w:t>
            </w:r>
            <w:r w:rsidRPr="00716CC2">
              <w:rPr>
                <w:sz w:val="18"/>
                <w:szCs w:val="18"/>
              </w:rPr>
              <w:t>Medicine Management (HDS(C)S.2008:1.3.12): Consumers receive medicines in a safe and timely manner that complies with current legislative requirements and safe practice guidelines.</w:t>
            </w:r>
          </w:p>
        </w:tc>
      </w:tr>
      <w:tr w:rsidR="006D5FE4" w:rsidRPr="00716CC2" w14:paraId="1E5728DC" w14:textId="77777777" w:rsidTr="007A7079">
        <w:trPr>
          <w:gridAfter w:val="2"/>
          <w:wAfter w:w="608" w:type="dxa"/>
        </w:trPr>
        <w:tc>
          <w:tcPr>
            <w:tcW w:w="2855" w:type="dxa"/>
            <w:shd w:val="clear" w:color="auto" w:fill="FFFFFF" w:themeFill="background1"/>
          </w:tcPr>
          <w:p w14:paraId="35D810EA"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3D0DBAD9"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52C5E881"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0D757642"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6E4669D6"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6D5FE4" w:rsidRPr="00716CC2" w14:paraId="51FAFD48" w14:textId="77777777" w:rsidTr="007A7079">
        <w:trPr>
          <w:gridAfter w:val="2"/>
          <w:wAfter w:w="608" w:type="dxa"/>
        </w:trPr>
        <w:tc>
          <w:tcPr>
            <w:tcW w:w="2855" w:type="dxa"/>
            <w:shd w:val="clear" w:color="auto" w:fill="FFFFFF" w:themeFill="background1"/>
          </w:tcPr>
          <w:p w14:paraId="10C74BFA" w14:textId="77777777" w:rsidR="006D5FE4" w:rsidRPr="00716CC2" w:rsidRDefault="006D5FE4" w:rsidP="006D5FE4">
            <w:pPr>
              <w:pStyle w:val="TableBullet"/>
              <w:rPr>
                <w:b/>
                <w:szCs w:val="18"/>
                <w:lang w:eastAsia="en-NZ"/>
              </w:rPr>
            </w:pPr>
            <w:r w:rsidRPr="00716CC2">
              <w:rPr>
                <w:szCs w:val="18"/>
              </w:rPr>
              <w:t>Amendment required – did not fully explore due to time constraints</w:t>
            </w:r>
          </w:p>
        </w:tc>
        <w:tc>
          <w:tcPr>
            <w:tcW w:w="2855" w:type="dxa"/>
            <w:gridSpan w:val="3"/>
            <w:shd w:val="clear" w:color="auto" w:fill="FFFFFF" w:themeFill="background1"/>
          </w:tcPr>
          <w:p w14:paraId="48BA774F" w14:textId="77777777" w:rsidR="006D5FE4" w:rsidRPr="00716CC2" w:rsidRDefault="006D5FE4" w:rsidP="006D5FE4">
            <w:pPr>
              <w:pStyle w:val="TableBullet"/>
              <w:rPr>
                <w:b/>
                <w:szCs w:val="18"/>
                <w:lang w:eastAsia="en-NZ"/>
              </w:rPr>
            </w:pPr>
            <w:r w:rsidRPr="00716CC2">
              <w:rPr>
                <w:szCs w:val="18"/>
                <w:lang w:eastAsia="en-NZ"/>
              </w:rPr>
              <w:t>Interest in seeing a medication plan</w:t>
            </w:r>
          </w:p>
          <w:p w14:paraId="347FE219" w14:textId="77777777" w:rsidR="006D5FE4" w:rsidRPr="00716CC2" w:rsidRDefault="006D5FE4" w:rsidP="006D5FE4">
            <w:pPr>
              <w:pStyle w:val="TableBullet"/>
              <w:rPr>
                <w:b/>
                <w:szCs w:val="18"/>
                <w:lang w:eastAsia="en-NZ"/>
              </w:rPr>
            </w:pPr>
            <w:r w:rsidRPr="00716CC2">
              <w:rPr>
                <w:szCs w:val="18"/>
                <w:lang w:eastAsia="en-NZ"/>
              </w:rPr>
              <w:t>Specific to MH residential</w:t>
            </w:r>
          </w:p>
          <w:p w14:paraId="2911AF1A" w14:textId="77777777" w:rsidR="006D5FE4" w:rsidRPr="00716CC2" w:rsidRDefault="006D5FE4" w:rsidP="006D5FE4">
            <w:pPr>
              <w:pStyle w:val="TableBullet"/>
              <w:rPr>
                <w:b/>
                <w:szCs w:val="18"/>
                <w:lang w:eastAsia="en-NZ"/>
              </w:rPr>
            </w:pPr>
            <w:r w:rsidRPr="00716CC2">
              <w:rPr>
                <w:szCs w:val="18"/>
                <w:lang w:eastAsia="en-NZ"/>
              </w:rPr>
              <w:t>Criterion 1.3.12.7 – relevant to all services</w:t>
            </w:r>
          </w:p>
          <w:p w14:paraId="26774001" w14:textId="77777777" w:rsidR="006D5FE4" w:rsidRPr="00716CC2" w:rsidRDefault="006D5FE4" w:rsidP="006D5FE4">
            <w:pPr>
              <w:pStyle w:val="TableBullet"/>
              <w:rPr>
                <w:b/>
                <w:szCs w:val="18"/>
                <w:lang w:eastAsia="en-NZ"/>
              </w:rPr>
            </w:pPr>
            <w:r w:rsidRPr="00716CC2">
              <w:rPr>
                <w:szCs w:val="18"/>
                <w:lang w:eastAsia="en-NZ"/>
              </w:rPr>
              <w:t>Consider inclusion of Rongoa</w:t>
            </w:r>
          </w:p>
          <w:p w14:paraId="47DF2BBF" w14:textId="77777777" w:rsidR="006D5FE4" w:rsidRPr="00716CC2" w:rsidRDefault="006D5FE4" w:rsidP="006D5FE4">
            <w:pPr>
              <w:pStyle w:val="TableBullet"/>
              <w:rPr>
                <w:b/>
                <w:szCs w:val="18"/>
                <w:lang w:eastAsia="en-NZ"/>
              </w:rPr>
            </w:pPr>
            <w:r w:rsidRPr="00716CC2">
              <w:rPr>
                <w:szCs w:val="18"/>
                <w:lang w:eastAsia="en-NZ"/>
              </w:rPr>
              <w:t xml:space="preserve">Address over the counter medications and prescription </w:t>
            </w:r>
            <w:r w:rsidRPr="00716CC2">
              <w:rPr>
                <w:szCs w:val="18"/>
                <w:lang w:eastAsia="en-NZ"/>
              </w:rPr>
              <w:lastRenderedPageBreak/>
              <w:t>management specifically on transfer between agencies</w:t>
            </w:r>
          </w:p>
        </w:tc>
        <w:tc>
          <w:tcPr>
            <w:tcW w:w="2855" w:type="dxa"/>
            <w:gridSpan w:val="3"/>
            <w:shd w:val="clear" w:color="auto" w:fill="FFFFFF" w:themeFill="background1"/>
          </w:tcPr>
          <w:p w14:paraId="579E1FDE" w14:textId="77777777" w:rsidR="006D5FE4" w:rsidRPr="00716CC2" w:rsidRDefault="006D5FE4" w:rsidP="006D5FE4">
            <w:pPr>
              <w:pStyle w:val="TableBullet"/>
              <w:rPr>
                <w:szCs w:val="18"/>
              </w:rPr>
            </w:pPr>
            <w:r w:rsidRPr="00716CC2">
              <w:rPr>
                <w:szCs w:val="18"/>
              </w:rPr>
              <w:lastRenderedPageBreak/>
              <w:t>Policy aspects could move to (current) 1.2.3 (quality &amp; risk), and staff training/competency to 1.2.7 (human resources)</w:t>
            </w:r>
          </w:p>
          <w:p w14:paraId="68396D8C" w14:textId="77777777" w:rsidR="006D5FE4" w:rsidRPr="00716CC2" w:rsidRDefault="006D5FE4" w:rsidP="006D5FE4">
            <w:pPr>
              <w:pStyle w:val="TableBullet"/>
              <w:rPr>
                <w:szCs w:val="18"/>
              </w:rPr>
            </w:pPr>
            <w:r w:rsidRPr="00716CC2">
              <w:rPr>
                <w:szCs w:val="18"/>
              </w:rPr>
              <w:t xml:space="preserve">Current gap is the provider being responsible for GP practice (i.e. GP review </w:t>
            </w:r>
            <w:r w:rsidRPr="00716CC2">
              <w:rPr>
                <w:szCs w:val="18"/>
              </w:rPr>
              <w:lastRenderedPageBreak/>
              <w:t>completed outside of prescribed timeframe)</w:t>
            </w:r>
          </w:p>
          <w:p w14:paraId="7E2C9542" w14:textId="77777777" w:rsidR="006D5FE4" w:rsidRPr="00716CC2" w:rsidRDefault="006D5FE4" w:rsidP="006D5FE4">
            <w:pPr>
              <w:pStyle w:val="Table2ndBullet"/>
              <w:rPr>
                <w:szCs w:val="18"/>
              </w:rPr>
            </w:pPr>
            <w:r w:rsidRPr="00716CC2">
              <w:rPr>
                <w:szCs w:val="18"/>
              </w:rPr>
              <w:t>Q: contract for service (ARC &amp; GP practice) is not considered at audit – should it be</w:t>
            </w:r>
          </w:p>
          <w:p w14:paraId="0F66F96B" w14:textId="77777777" w:rsidR="006D5FE4" w:rsidRPr="00716CC2" w:rsidRDefault="006D5FE4" w:rsidP="006D5FE4">
            <w:pPr>
              <w:pStyle w:val="Table2ndBullet"/>
              <w:rPr>
                <w:szCs w:val="18"/>
              </w:rPr>
            </w:pPr>
            <w:r w:rsidRPr="00716CC2">
              <w:rPr>
                <w:szCs w:val="18"/>
              </w:rPr>
              <w:t>Individual practitioner issue – where does this accountability lie</w:t>
            </w:r>
          </w:p>
          <w:p w14:paraId="7C7B3BD5" w14:textId="77777777" w:rsidR="006D5FE4" w:rsidRPr="00716CC2" w:rsidRDefault="006D5FE4" w:rsidP="006D5FE4">
            <w:pPr>
              <w:pStyle w:val="Table2ndBullet"/>
              <w:rPr>
                <w:szCs w:val="18"/>
              </w:rPr>
            </w:pPr>
            <w:r w:rsidRPr="00716CC2">
              <w:rPr>
                <w:szCs w:val="18"/>
              </w:rPr>
              <w:t>Does facilitating GP reviews sit within RN scope</w:t>
            </w:r>
          </w:p>
          <w:p w14:paraId="1EB362E7" w14:textId="77777777" w:rsidR="006D5FE4" w:rsidRPr="00716CC2" w:rsidRDefault="006D5FE4" w:rsidP="006D5FE4">
            <w:pPr>
              <w:pStyle w:val="TableBullet"/>
              <w:rPr>
                <w:szCs w:val="18"/>
              </w:rPr>
            </w:pPr>
            <w:r w:rsidRPr="00716CC2">
              <w:rPr>
                <w:szCs w:val="18"/>
              </w:rPr>
              <w:t>Consider inclusion of: ‘appropriately prescribed medicines’ – this should cover aspects such as chemical restraint and reconciliation</w:t>
            </w:r>
          </w:p>
          <w:p w14:paraId="62E5E998" w14:textId="77777777" w:rsidR="006D5FE4" w:rsidRPr="00716CC2" w:rsidRDefault="006D5FE4" w:rsidP="006D5FE4">
            <w:pPr>
              <w:pStyle w:val="Table2ndBullet"/>
              <w:rPr>
                <w:szCs w:val="18"/>
              </w:rPr>
            </w:pPr>
            <w:r w:rsidRPr="00716CC2">
              <w:rPr>
                <w:szCs w:val="18"/>
              </w:rPr>
              <w:t xml:space="preserve">Don’t think the word “chemical restraint’ is acceptable terminology.  All the literature I have read shows it has not been acceptable for 20 years.  The terminology itself is stigmatizing. In no other medical condition are drugs referred to as “chemicals.”  Moving away from the historical concept of chemical restraints and toward an understanding that medications are instead used to treat the condition of agitation and its underlying causes </w:t>
            </w:r>
            <w:r w:rsidRPr="00716CC2">
              <w:rPr>
                <w:szCs w:val="18"/>
              </w:rPr>
              <w:lastRenderedPageBreak/>
              <w:t>is current good practice.   Antipsychotics are not being used so that residents are unable to move, communicate, or to impair the patient’s ability to appropriately interact with their surroundings.  I would suggest we do not mention ‘chemical restraint’ in this document and review of the standards.  It is sufficient to state…. Consider inclusion of: ‘appropriately prescribed medicines’ – this should cover aspects such as antipsychotics and reconciliation. (LC, HDANZ)</w:t>
            </w:r>
          </w:p>
          <w:p w14:paraId="293F5678" w14:textId="77777777" w:rsidR="006D5FE4" w:rsidRPr="00716CC2" w:rsidRDefault="006D5FE4" w:rsidP="006D5FE4">
            <w:pPr>
              <w:pStyle w:val="TableBullet"/>
              <w:rPr>
                <w:szCs w:val="18"/>
              </w:rPr>
            </w:pPr>
            <w:r w:rsidRPr="00716CC2">
              <w:rPr>
                <w:szCs w:val="18"/>
              </w:rPr>
              <w:t xml:space="preserve">Some services undertake regular review of antipsychotic use </w:t>
            </w:r>
          </w:p>
          <w:p w14:paraId="7DE502CC" w14:textId="77777777" w:rsidR="006D5FE4" w:rsidRPr="00716CC2" w:rsidRDefault="006D5FE4" w:rsidP="006D5FE4">
            <w:pPr>
              <w:pStyle w:val="TableBullet"/>
              <w:rPr>
                <w:szCs w:val="18"/>
              </w:rPr>
            </w:pPr>
            <w:r w:rsidRPr="00716CC2">
              <w:rPr>
                <w:szCs w:val="18"/>
              </w:rPr>
              <w:t>Criterion 1.3.12.7 currently pertains to MHA, confirmed applicable to ARC (noting the variety of individuals they support in ARC)</w:t>
            </w:r>
          </w:p>
        </w:tc>
        <w:tc>
          <w:tcPr>
            <w:tcW w:w="2855" w:type="dxa"/>
            <w:gridSpan w:val="3"/>
            <w:shd w:val="clear" w:color="auto" w:fill="FFFFFF" w:themeFill="background1"/>
          </w:tcPr>
          <w:p w14:paraId="55A937B5" w14:textId="77777777" w:rsidR="006D5FE4" w:rsidRPr="00716CC2" w:rsidRDefault="006D5FE4" w:rsidP="006D5FE4">
            <w:pPr>
              <w:pStyle w:val="TableBullet"/>
              <w:rPr>
                <w:szCs w:val="18"/>
                <w:lang w:eastAsia="en-NZ"/>
              </w:rPr>
            </w:pPr>
            <w:r w:rsidRPr="00716CC2">
              <w:rPr>
                <w:szCs w:val="18"/>
                <w:lang w:eastAsia="en-NZ"/>
              </w:rPr>
              <w:lastRenderedPageBreak/>
              <w:t>Work to be done on this standard</w:t>
            </w:r>
          </w:p>
          <w:p w14:paraId="57CAEE4C" w14:textId="77777777" w:rsidR="006D5FE4" w:rsidRPr="00716CC2" w:rsidRDefault="006D5FE4" w:rsidP="006D5FE4">
            <w:pPr>
              <w:pStyle w:val="TableBullet"/>
              <w:rPr>
                <w:szCs w:val="18"/>
                <w:lang w:eastAsia="en-NZ"/>
              </w:rPr>
            </w:pPr>
            <w:r w:rsidRPr="00716CC2">
              <w:rPr>
                <w:szCs w:val="18"/>
                <w:lang w:eastAsia="en-NZ"/>
              </w:rPr>
              <w:t>Currently some duplication re documentation (eg. Policy)</w:t>
            </w:r>
          </w:p>
          <w:p w14:paraId="1F24C7C2" w14:textId="77777777" w:rsidR="006D5FE4" w:rsidRPr="00716CC2" w:rsidRDefault="006D5FE4" w:rsidP="006D5FE4">
            <w:pPr>
              <w:pStyle w:val="TableBullet"/>
              <w:rPr>
                <w:szCs w:val="18"/>
                <w:lang w:eastAsia="en-NZ"/>
              </w:rPr>
            </w:pPr>
            <w:r w:rsidRPr="00716CC2">
              <w:rPr>
                <w:szCs w:val="18"/>
                <w:lang w:eastAsia="en-NZ"/>
              </w:rPr>
              <w:t>Electronic prescribing (etc) to be included/considered</w:t>
            </w:r>
          </w:p>
          <w:p w14:paraId="61101166" w14:textId="77777777" w:rsidR="006D5FE4" w:rsidRPr="00716CC2" w:rsidRDefault="006D5FE4" w:rsidP="006D5FE4">
            <w:pPr>
              <w:pStyle w:val="TableBullet"/>
              <w:rPr>
                <w:szCs w:val="18"/>
                <w:lang w:eastAsia="en-NZ"/>
              </w:rPr>
            </w:pPr>
            <w:r w:rsidRPr="00716CC2">
              <w:rPr>
                <w:szCs w:val="18"/>
                <w:lang w:eastAsia="en-NZ"/>
              </w:rPr>
              <w:t>Standard not currently outcome focused</w:t>
            </w:r>
          </w:p>
          <w:p w14:paraId="40787189" w14:textId="77777777" w:rsidR="006D5FE4" w:rsidRPr="00716CC2" w:rsidRDefault="006D5FE4" w:rsidP="006D5FE4">
            <w:pPr>
              <w:pStyle w:val="TableBullet"/>
              <w:rPr>
                <w:szCs w:val="18"/>
                <w:lang w:eastAsia="en-NZ"/>
              </w:rPr>
            </w:pPr>
            <w:r w:rsidRPr="00716CC2">
              <w:rPr>
                <w:szCs w:val="18"/>
                <w:lang w:eastAsia="en-NZ"/>
              </w:rPr>
              <w:lastRenderedPageBreak/>
              <w:t>Re prn – is the effectiveness checked, could do this better – frequency, intention</w:t>
            </w:r>
          </w:p>
          <w:p w14:paraId="67A87BCB" w14:textId="77777777" w:rsidR="006D5FE4" w:rsidRPr="00716CC2" w:rsidRDefault="006D5FE4" w:rsidP="006D5FE4">
            <w:pPr>
              <w:pStyle w:val="TableBullet"/>
              <w:rPr>
                <w:szCs w:val="18"/>
                <w:lang w:eastAsia="en-NZ"/>
              </w:rPr>
            </w:pPr>
            <w:r w:rsidRPr="00716CC2">
              <w:rPr>
                <w:szCs w:val="18"/>
                <w:lang w:eastAsia="en-NZ"/>
              </w:rPr>
              <w:t>Currently some providers using two systems – electronic and paper based (for short term admissions)</w:t>
            </w:r>
          </w:p>
          <w:p w14:paraId="45A21195" w14:textId="77777777" w:rsidR="006D5FE4" w:rsidRPr="00716CC2" w:rsidRDefault="006D5FE4" w:rsidP="006D5FE4">
            <w:pPr>
              <w:pStyle w:val="TableBullet"/>
              <w:rPr>
                <w:szCs w:val="18"/>
                <w:lang w:eastAsia="en-NZ"/>
              </w:rPr>
            </w:pPr>
            <w:r w:rsidRPr="00716CC2">
              <w:rPr>
                <w:szCs w:val="18"/>
                <w:lang w:eastAsia="en-NZ"/>
              </w:rPr>
              <w:t>Need for standard to support quality of life</w:t>
            </w:r>
          </w:p>
          <w:p w14:paraId="75895E1D" w14:textId="77777777" w:rsidR="006D5FE4" w:rsidRPr="00716CC2" w:rsidRDefault="006D5FE4" w:rsidP="006D5FE4">
            <w:pPr>
              <w:pStyle w:val="TableBullet"/>
              <w:rPr>
                <w:szCs w:val="18"/>
                <w:lang w:eastAsia="en-NZ"/>
              </w:rPr>
            </w:pPr>
            <w:r w:rsidRPr="00716CC2">
              <w:rPr>
                <w:szCs w:val="18"/>
                <w:lang w:eastAsia="en-NZ"/>
              </w:rPr>
              <w:t>The ‘process’ of safe medication could be moved to 1.2.3 with individual related aspects remaining in Part 3</w:t>
            </w:r>
          </w:p>
          <w:p w14:paraId="31EC6856" w14:textId="77777777" w:rsidR="006D5FE4" w:rsidRPr="00716CC2" w:rsidRDefault="006D5FE4" w:rsidP="006D5FE4">
            <w:pPr>
              <w:pStyle w:val="TableBullet"/>
              <w:rPr>
                <w:szCs w:val="18"/>
                <w:lang w:eastAsia="en-NZ"/>
              </w:rPr>
            </w:pPr>
            <w:r w:rsidRPr="00716CC2">
              <w:rPr>
                <w:szCs w:val="18"/>
                <w:lang w:eastAsia="en-NZ"/>
              </w:rPr>
              <w:t>Consider inclusion of reconciliation</w:t>
            </w:r>
          </w:p>
          <w:p w14:paraId="556B7100" w14:textId="77777777" w:rsidR="006D5FE4" w:rsidRPr="00716CC2" w:rsidRDefault="006D5FE4" w:rsidP="006D5FE4">
            <w:pPr>
              <w:pStyle w:val="TableBullet"/>
              <w:rPr>
                <w:szCs w:val="18"/>
                <w:lang w:eastAsia="en-NZ"/>
              </w:rPr>
            </w:pPr>
            <w:r w:rsidRPr="00716CC2">
              <w:rPr>
                <w:szCs w:val="18"/>
                <w:lang w:eastAsia="en-NZ"/>
              </w:rPr>
              <w:t>Use of covert medication – link to consent</w:t>
            </w:r>
          </w:p>
          <w:p w14:paraId="15DAEAF7" w14:textId="77777777" w:rsidR="006D5FE4" w:rsidRPr="00716CC2" w:rsidRDefault="006D5FE4" w:rsidP="006D5FE4">
            <w:pPr>
              <w:pStyle w:val="TableBullet"/>
              <w:rPr>
                <w:szCs w:val="18"/>
                <w:lang w:eastAsia="en-NZ"/>
              </w:rPr>
            </w:pPr>
            <w:r w:rsidRPr="00716CC2">
              <w:rPr>
                <w:szCs w:val="18"/>
                <w:lang w:eastAsia="en-NZ"/>
              </w:rPr>
              <w:t>Q: should RN competency be completed annually (noting medication guides suggest yes)</w:t>
            </w:r>
          </w:p>
          <w:p w14:paraId="0A74B0AB" w14:textId="77777777" w:rsidR="006D5FE4" w:rsidRPr="00716CC2" w:rsidRDefault="006D5FE4" w:rsidP="006D5FE4">
            <w:pPr>
              <w:pStyle w:val="TableBullet"/>
              <w:rPr>
                <w:szCs w:val="18"/>
                <w:lang w:eastAsia="en-NZ"/>
              </w:rPr>
            </w:pPr>
            <w:r w:rsidRPr="00716CC2">
              <w:rPr>
                <w:szCs w:val="18"/>
                <w:lang w:eastAsia="en-NZ"/>
              </w:rPr>
              <w:t>Discussion re caregiver competencies: re controlled drug administration (in particular fentanyl spray)</w:t>
            </w:r>
          </w:p>
          <w:p w14:paraId="39AA46AB" w14:textId="77777777" w:rsidR="006D5FE4" w:rsidRPr="00716CC2" w:rsidRDefault="006D5FE4" w:rsidP="006D5FE4">
            <w:pPr>
              <w:pStyle w:val="TableBullet"/>
              <w:rPr>
                <w:szCs w:val="18"/>
                <w:lang w:eastAsia="en-NZ"/>
              </w:rPr>
            </w:pPr>
            <w:r w:rsidRPr="00716CC2">
              <w:rPr>
                <w:szCs w:val="18"/>
                <w:lang w:eastAsia="en-NZ"/>
              </w:rPr>
              <w:t>Discussion standing order</w:t>
            </w:r>
          </w:p>
          <w:p w14:paraId="5465F0F3" w14:textId="77777777" w:rsidR="006D5FE4" w:rsidRPr="00716CC2" w:rsidRDefault="006D5FE4" w:rsidP="006D5FE4">
            <w:pPr>
              <w:pStyle w:val="Table2ndBullet"/>
              <w:rPr>
                <w:szCs w:val="18"/>
              </w:rPr>
            </w:pPr>
            <w:r w:rsidRPr="00716CC2">
              <w:rPr>
                <w:szCs w:val="18"/>
              </w:rPr>
              <w:t xml:space="preserve">Just one really the question of making RNs complete medication administration competency training annually. It wasn’t a question of should they do it. It was a firm recommendation that </w:t>
            </w:r>
            <w:r w:rsidRPr="00716CC2">
              <w:rPr>
                <w:szCs w:val="18"/>
              </w:rPr>
              <w:lastRenderedPageBreak/>
              <w:t>there is no need to do it justified by</w:t>
            </w:r>
          </w:p>
          <w:p w14:paraId="65D98A85" w14:textId="77777777" w:rsidR="006D5FE4" w:rsidRPr="00716CC2" w:rsidRDefault="006D5FE4" w:rsidP="00681608">
            <w:pPr>
              <w:pStyle w:val="Table2ndBullet"/>
              <w:numPr>
                <w:ilvl w:val="2"/>
                <w:numId w:val="2"/>
              </w:numPr>
              <w:ind w:left="751" w:hanging="167"/>
              <w:rPr>
                <w:szCs w:val="18"/>
              </w:rPr>
            </w:pPr>
            <w:r w:rsidRPr="00716CC2">
              <w:rPr>
                <w:szCs w:val="18"/>
              </w:rPr>
              <w:t>Errors have reduced with electronic prescribing (ie medications errors were process not individual driven)</w:t>
            </w:r>
          </w:p>
          <w:p w14:paraId="65A3EDE6" w14:textId="77777777" w:rsidR="006D5FE4" w:rsidRPr="00716CC2" w:rsidRDefault="006D5FE4" w:rsidP="00681608">
            <w:pPr>
              <w:pStyle w:val="Table2ndBullet"/>
              <w:numPr>
                <w:ilvl w:val="2"/>
                <w:numId w:val="2"/>
              </w:numPr>
              <w:ind w:left="751" w:hanging="167"/>
              <w:rPr>
                <w:szCs w:val="18"/>
              </w:rPr>
            </w:pPr>
            <w:r w:rsidRPr="00716CC2">
              <w:rPr>
                <w:szCs w:val="18"/>
              </w:rPr>
              <w:t>RNs administer meds every day up to 3x a day – they do not forget how to do it by the end of the year</w:t>
            </w:r>
          </w:p>
          <w:p w14:paraId="5CEA8BBC" w14:textId="77777777" w:rsidR="006D5FE4" w:rsidRPr="00716CC2" w:rsidRDefault="006D5FE4" w:rsidP="00681608">
            <w:pPr>
              <w:pStyle w:val="Table2ndBullet"/>
              <w:numPr>
                <w:ilvl w:val="2"/>
                <w:numId w:val="2"/>
              </w:numPr>
              <w:ind w:left="751" w:hanging="167"/>
              <w:rPr>
                <w:szCs w:val="18"/>
              </w:rPr>
            </w:pPr>
            <w:r w:rsidRPr="00716CC2">
              <w:rPr>
                <w:szCs w:val="18"/>
              </w:rPr>
              <w:t>RNs have a competency process – an annual practicing certificate run by the professional body</w:t>
            </w:r>
          </w:p>
          <w:p w14:paraId="2CFF9CD1" w14:textId="77777777" w:rsidR="006D5FE4" w:rsidRPr="00716CC2" w:rsidRDefault="006D5FE4" w:rsidP="00681608">
            <w:pPr>
              <w:pStyle w:val="Table2ndBullet"/>
              <w:numPr>
                <w:ilvl w:val="2"/>
                <w:numId w:val="2"/>
              </w:numPr>
              <w:ind w:left="751" w:hanging="167"/>
              <w:rPr>
                <w:szCs w:val="18"/>
              </w:rPr>
            </w:pPr>
            <w:r w:rsidRPr="00716CC2">
              <w:rPr>
                <w:szCs w:val="18"/>
              </w:rPr>
              <w:t>RNs who do  not work for residential care do not do an annual competency assessment – so we are discriminating professionally based on where you work</w:t>
            </w:r>
          </w:p>
          <w:p w14:paraId="652FB885" w14:textId="77777777" w:rsidR="006D5FE4" w:rsidRPr="00716CC2" w:rsidRDefault="006D5FE4" w:rsidP="00681608">
            <w:pPr>
              <w:pStyle w:val="Table2ndBullet"/>
              <w:numPr>
                <w:ilvl w:val="2"/>
                <w:numId w:val="2"/>
              </w:numPr>
              <w:ind w:left="751" w:hanging="167"/>
              <w:rPr>
                <w:szCs w:val="18"/>
              </w:rPr>
            </w:pPr>
            <w:r w:rsidRPr="00716CC2">
              <w:rPr>
                <w:szCs w:val="18"/>
              </w:rPr>
              <w:t>It is only in the care guide because it was in the standard and ARRC contract – chicken/egg</w:t>
            </w:r>
          </w:p>
          <w:p w14:paraId="72C6A1CD" w14:textId="77777777" w:rsidR="006D5FE4" w:rsidRPr="00716CC2" w:rsidRDefault="006D5FE4" w:rsidP="00681608">
            <w:pPr>
              <w:pStyle w:val="Table2ndBullet"/>
              <w:numPr>
                <w:ilvl w:val="2"/>
                <w:numId w:val="2"/>
              </w:numPr>
              <w:ind w:left="751" w:hanging="167"/>
              <w:rPr>
                <w:szCs w:val="18"/>
                <w:lang w:eastAsia="en-NZ"/>
              </w:rPr>
            </w:pPr>
            <w:r w:rsidRPr="00716CC2">
              <w:rPr>
                <w:szCs w:val="18"/>
              </w:rPr>
              <w:t>(J.Daltrey, Nurse Practitioner, WDHB)</w:t>
            </w:r>
          </w:p>
        </w:tc>
        <w:tc>
          <w:tcPr>
            <w:tcW w:w="2856" w:type="dxa"/>
            <w:gridSpan w:val="3"/>
            <w:shd w:val="clear" w:color="auto" w:fill="FFFFFF" w:themeFill="background1"/>
          </w:tcPr>
          <w:p w14:paraId="493A2D5C" w14:textId="77777777" w:rsidR="006D5FE4" w:rsidRPr="00716CC2" w:rsidRDefault="006D5FE4" w:rsidP="006D5FE4">
            <w:pPr>
              <w:pStyle w:val="TableBullet"/>
              <w:rPr>
                <w:szCs w:val="18"/>
                <w:lang w:eastAsia="en-NZ"/>
              </w:rPr>
            </w:pPr>
            <w:r w:rsidRPr="00716CC2">
              <w:rPr>
                <w:szCs w:val="18"/>
                <w:lang w:eastAsia="en-NZ"/>
              </w:rPr>
              <w:lastRenderedPageBreak/>
              <w:t xml:space="preserve">Discussion around whether this should be included in the ‘health’ standard and not the disability – agreed that there are aspects of medication management that relate to disability. Dedicated standard </w:t>
            </w:r>
            <w:r w:rsidRPr="00716CC2">
              <w:rPr>
                <w:szCs w:val="18"/>
                <w:lang w:eastAsia="en-NZ"/>
              </w:rPr>
              <w:lastRenderedPageBreak/>
              <w:t>is important for staff in terms of safe practice</w:t>
            </w:r>
          </w:p>
          <w:p w14:paraId="57EAEDE0" w14:textId="77777777" w:rsidR="006D5FE4" w:rsidRPr="00716CC2" w:rsidRDefault="006D5FE4" w:rsidP="006D5FE4">
            <w:pPr>
              <w:pStyle w:val="TableBullet"/>
              <w:rPr>
                <w:szCs w:val="18"/>
                <w:lang w:eastAsia="en-NZ"/>
              </w:rPr>
            </w:pPr>
            <w:r w:rsidRPr="00716CC2">
              <w:rPr>
                <w:szCs w:val="18"/>
                <w:lang w:eastAsia="en-NZ"/>
              </w:rPr>
              <w:t>Self-administration to be included</w:t>
            </w:r>
          </w:p>
          <w:p w14:paraId="6AB480D7" w14:textId="77777777" w:rsidR="006D5FE4" w:rsidRPr="00716CC2" w:rsidRDefault="006D5FE4" w:rsidP="006D5FE4">
            <w:pPr>
              <w:pStyle w:val="TableBullet"/>
              <w:rPr>
                <w:szCs w:val="18"/>
                <w:lang w:eastAsia="en-NZ"/>
              </w:rPr>
            </w:pPr>
            <w:r w:rsidRPr="00716CC2">
              <w:rPr>
                <w:szCs w:val="18"/>
                <w:lang w:eastAsia="en-NZ"/>
              </w:rPr>
              <w:t>Need guidelines specific to residential services – current are not ‘fit for purpose’</w:t>
            </w:r>
          </w:p>
          <w:p w14:paraId="29BFA979" w14:textId="77777777" w:rsidR="006D5FE4" w:rsidRPr="00716CC2" w:rsidRDefault="006D5FE4" w:rsidP="006D5FE4">
            <w:pPr>
              <w:pStyle w:val="TableBullet"/>
              <w:rPr>
                <w:szCs w:val="18"/>
                <w:lang w:eastAsia="en-NZ"/>
              </w:rPr>
            </w:pPr>
            <w:r w:rsidRPr="00716CC2">
              <w:rPr>
                <w:szCs w:val="18"/>
                <w:lang w:eastAsia="en-NZ"/>
              </w:rPr>
              <w:t>Language: ‘… are supported to…. Safe medication</w:t>
            </w:r>
          </w:p>
          <w:p w14:paraId="38D559FA" w14:textId="77777777" w:rsidR="006D5FE4" w:rsidRPr="00716CC2" w:rsidRDefault="006D5FE4" w:rsidP="006D5FE4">
            <w:pPr>
              <w:pStyle w:val="TableBullet"/>
              <w:rPr>
                <w:szCs w:val="18"/>
                <w:lang w:eastAsia="en-NZ"/>
              </w:rPr>
            </w:pPr>
            <w:r w:rsidRPr="00716CC2">
              <w:rPr>
                <w:szCs w:val="18"/>
                <w:lang w:eastAsia="en-NZ"/>
              </w:rPr>
              <w:t>Some aspects could move to Part 2 (quality &amp; risk)</w:t>
            </w:r>
          </w:p>
          <w:p w14:paraId="6BE9AF8C" w14:textId="77777777" w:rsidR="006D5FE4" w:rsidRPr="00716CC2" w:rsidRDefault="006D5FE4" w:rsidP="006D5FE4">
            <w:pPr>
              <w:pStyle w:val="TableBullet"/>
              <w:rPr>
                <w:szCs w:val="18"/>
                <w:lang w:eastAsia="en-NZ"/>
              </w:rPr>
            </w:pPr>
            <w:r w:rsidRPr="00716CC2">
              <w:rPr>
                <w:szCs w:val="18"/>
                <w:lang w:eastAsia="en-NZ"/>
              </w:rPr>
              <w:t>Some issue around alternatives – eg. Health supplements that a person wants to take, however the GP won’t prescribe, and the guidelines are not permissive at the moment. Same goes for over the counter medication</w:t>
            </w:r>
          </w:p>
          <w:p w14:paraId="7F0084FE" w14:textId="77777777" w:rsidR="006D5FE4" w:rsidRPr="00716CC2" w:rsidRDefault="006D5FE4" w:rsidP="006D5FE4">
            <w:pPr>
              <w:pStyle w:val="TableBullet"/>
              <w:rPr>
                <w:szCs w:val="18"/>
                <w:lang w:eastAsia="en-NZ"/>
              </w:rPr>
            </w:pPr>
            <w:r w:rsidRPr="00716CC2">
              <w:rPr>
                <w:szCs w:val="18"/>
                <w:lang w:eastAsia="en-NZ"/>
              </w:rPr>
              <w:t>Chemical restraint: noted a definition is included in current standards (within ‘foreword’ of RMSP) – prescribing to be considered – eg. Including indications for use for prn, and minimum and maximum doses (within 24 hour period)</w:t>
            </w:r>
          </w:p>
        </w:tc>
      </w:tr>
      <w:tr w:rsidR="006D5FE4" w:rsidRPr="00716CC2" w14:paraId="64DA4D07" w14:textId="77777777" w:rsidTr="007A7079">
        <w:trPr>
          <w:gridAfter w:val="2"/>
          <w:wAfter w:w="608" w:type="dxa"/>
        </w:trPr>
        <w:tc>
          <w:tcPr>
            <w:tcW w:w="14276" w:type="dxa"/>
            <w:gridSpan w:val="13"/>
            <w:shd w:val="clear" w:color="auto" w:fill="FFFFFF" w:themeFill="background1"/>
          </w:tcPr>
          <w:p w14:paraId="24D39A7C" w14:textId="77777777" w:rsidR="006D5FE4" w:rsidRPr="00716CC2" w:rsidRDefault="006D5FE4" w:rsidP="00916502">
            <w:pPr>
              <w:spacing w:before="40" w:after="40"/>
              <w:rPr>
                <w:b/>
                <w:sz w:val="18"/>
                <w:szCs w:val="18"/>
              </w:rPr>
            </w:pPr>
          </w:p>
        </w:tc>
      </w:tr>
      <w:tr w:rsidR="006D5FE4" w:rsidRPr="00716CC2" w14:paraId="504B9914" w14:textId="77777777" w:rsidTr="007A7079">
        <w:trPr>
          <w:gridAfter w:val="2"/>
          <w:wAfter w:w="608" w:type="dxa"/>
        </w:trPr>
        <w:tc>
          <w:tcPr>
            <w:tcW w:w="14276" w:type="dxa"/>
            <w:gridSpan w:val="13"/>
            <w:shd w:val="clear" w:color="auto" w:fill="F2F2F2" w:themeFill="background1" w:themeFillShade="F2"/>
          </w:tcPr>
          <w:p w14:paraId="25C9F869" w14:textId="77777777" w:rsidR="006D5FE4" w:rsidRPr="00716CC2" w:rsidRDefault="006D5FE4" w:rsidP="00916502">
            <w:pPr>
              <w:spacing w:before="40" w:after="40"/>
              <w:rPr>
                <w:b/>
                <w:sz w:val="18"/>
                <w:szCs w:val="18"/>
              </w:rPr>
            </w:pPr>
            <w:r w:rsidRPr="00716CC2">
              <w:rPr>
                <w:b/>
                <w:sz w:val="18"/>
                <w:szCs w:val="18"/>
              </w:rPr>
              <w:t xml:space="preserve">Standard 1.3.13: </w:t>
            </w:r>
            <w:r w:rsidRPr="00716CC2">
              <w:rPr>
                <w:sz w:val="18"/>
                <w:szCs w:val="18"/>
              </w:rPr>
              <w:t>Nutrition, Safe Food, and Fluid Management (HDS(C)S.2008:1.3.13): A consumer's individual food, fluids and nutritional needs are met where this service is a component of service delivery.</w:t>
            </w:r>
          </w:p>
        </w:tc>
      </w:tr>
      <w:tr w:rsidR="006D5FE4" w:rsidRPr="00716CC2" w14:paraId="177AFB2B" w14:textId="77777777" w:rsidTr="007A7079">
        <w:trPr>
          <w:gridAfter w:val="2"/>
          <w:wAfter w:w="608" w:type="dxa"/>
        </w:trPr>
        <w:tc>
          <w:tcPr>
            <w:tcW w:w="2855" w:type="dxa"/>
            <w:shd w:val="clear" w:color="auto" w:fill="FFFFFF" w:themeFill="background1"/>
          </w:tcPr>
          <w:p w14:paraId="7F3C724C"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4CF9CC3D"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61D191A"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4558C539"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993002F"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6D5FE4" w:rsidRPr="00716CC2" w14:paraId="7592F0E6" w14:textId="77777777" w:rsidTr="007A7079">
        <w:trPr>
          <w:gridAfter w:val="2"/>
          <w:wAfter w:w="608" w:type="dxa"/>
        </w:trPr>
        <w:tc>
          <w:tcPr>
            <w:tcW w:w="2855" w:type="dxa"/>
            <w:shd w:val="clear" w:color="auto" w:fill="FFFFFF" w:themeFill="background1"/>
          </w:tcPr>
          <w:p w14:paraId="64027045" w14:textId="77777777" w:rsidR="006D5FE4" w:rsidRPr="00716CC2" w:rsidRDefault="006D5FE4" w:rsidP="006D5FE4">
            <w:pPr>
              <w:pStyle w:val="TableBullet"/>
              <w:rPr>
                <w:szCs w:val="18"/>
              </w:rPr>
            </w:pPr>
            <w:r w:rsidRPr="00716CC2">
              <w:rPr>
                <w:szCs w:val="18"/>
              </w:rPr>
              <w:lastRenderedPageBreak/>
              <w:t>Amendment required – did not fully explore due to time constraints</w:t>
            </w:r>
          </w:p>
          <w:p w14:paraId="4C99E420" w14:textId="77777777" w:rsidR="006D5FE4" w:rsidRPr="00716CC2" w:rsidRDefault="006D5FE4" w:rsidP="006D5FE4">
            <w:pPr>
              <w:pStyle w:val="TableBullet"/>
              <w:rPr>
                <w:rFonts w:ascii="Arial" w:hAnsi="Arial"/>
                <w:szCs w:val="18"/>
                <w:lang w:eastAsia="en-NZ"/>
              </w:rPr>
            </w:pPr>
            <w:r w:rsidRPr="00716CC2">
              <w:rPr>
                <w:rFonts w:ascii="Arial" w:hAnsi="Arial"/>
                <w:szCs w:val="18"/>
              </w:rPr>
              <w:t>Clarification required re ward food fridges (HQSC)</w:t>
            </w:r>
          </w:p>
        </w:tc>
        <w:tc>
          <w:tcPr>
            <w:tcW w:w="2855" w:type="dxa"/>
            <w:gridSpan w:val="3"/>
            <w:shd w:val="clear" w:color="auto" w:fill="FFFFFF" w:themeFill="background1"/>
          </w:tcPr>
          <w:p w14:paraId="46D19064"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Inclusion of healthy eating</w:t>
            </w:r>
          </w:p>
          <w:p w14:paraId="709D3453"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Dietary needs to be provided for</w:t>
            </w:r>
          </w:p>
          <w:p w14:paraId="59ED58D9" w14:textId="77777777" w:rsidR="006D5FE4" w:rsidRPr="00716CC2" w:rsidRDefault="006D5FE4" w:rsidP="006D5FE4">
            <w:pPr>
              <w:pStyle w:val="TableBullet"/>
              <w:rPr>
                <w:rFonts w:ascii="Arial" w:hAnsi="Arial"/>
                <w:b/>
                <w:szCs w:val="18"/>
                <w:lang w:eastAsia="en-NZ"/>
              </w:rPr>
            </w:pPr>
            <w:r w:rsidRPr="00716CC2">
              <w:rPr>
                <w:rFonts w:ascii="Arial" w:hAnsi="Arial"/>
                <w:szCs w:val="18"/>
                <w:lang w:eastAsia="en-NZ"/>
              </w:rPr>
              <w:t>Timing of meals – eg, Ramadan</w:t>
            </w:r>
          </w:p>
        </w:tc>
        <w:tc>
          <w:tcPr>
            <w:tcW w:w="2855" w:type="dxa"/>
            <w:gridSpan w:val="3"/>
            <w:shd w:val="clear" w:color="auto" w:fill="FFFFFF" w:themeFill="background1"/>
          </w:tcPr>
          <w:p w14:paraId="0176710D" w14:textId="77777777" w:rsidR="006D5FE4" w:rsidRPr="00716CC2" w:rsidRDefault="006D5FE4" w:rsidP="006D5FE4">
            <w:pPr>
              <w:pStyle w:val="TableBullet"/>
              <w:rPr>
                <w:szCs w:val="18"/>
              </w:rPr>
            </w:pPr>
            <w:r w:rsidRPr="00716CC2">
              <w:rPr>
                <w:szCs w:val="18"/>
              </w:rPr>
              <w:t>Two aspects to this current standard</w:t>
            </w:r>
          </w:p>
          <w:p w14:paraId="37DBA8A2" w14:textId="77777777" w:rsidR="006D5FE4" w:rsidRPr="00716CC2" w:rsidRDefault="006D5FE4" w:rsidP="006D5FE4">
            <w:pPr>
              <w:pStyle w:val="TableBullet"/>
              <w:rPr>
                <w:szCs w:val="18"/>
              </w:rPr>
            </w:pPr>
            <w:r w:rsidRPr="00716CC2">
              <w:rPr>
                <w:szCs w:val="18"/>
              </w:rPr>
              <w:t>Nutritional support for the individual</w:t>
            </w:r>
          </w:p>
          <w:p w14:paraId="00E12F71" w14:textId="77777777" w:rsidR="006D5FE4" w:rsidRPr="00716CC2" w:rsidRDefault="006D5FE4" w:rsidP="006D5FE4">
            <w:pPr>
              <w:pStyle w:val="TableBullet"/>
              <w:rPr>
                <w:szCs w:val="18"/>
              </w:rPr>
            </w:pPr>
            <w:r w:rsidRPr="00716CC2">
              <w:rPr>
                <w:szCs w:val="18"/>
              </w:rPr>
              <w:t>Food safety – including food plans, potentially move to Part 4</w:t>
            </w:r>
          </w:p>
          <w:p w14:paraId="59E59FCC" w14:textId="77777777" w:rsidR="006D5FE4" w:rsidRPr="00716CC2" w:rsidRDefault="006D5FE4" w:rsidP="006D5FE4">
            <w:pPr>
              <w:pStyle w:val="TableBullet"/>
              <w:rPr>
                <w:szCs w:val="18"/>
              </w:rPr>
            </w:pPr>
            <w:r w:rsidRPr="00716CC2">
              <w:rPr>
                <w:szCs w:val="18"/>
              </w:rPr>
              <w:t>Ensure differentiation between explained and unexplained weight loss (eg. Palliative individuals may have anticipated weight loss, which is not reflection on service delivery</w:t>
            </w:r>
          </w:p>
          <w:p w14:paraId="59303338" w14:textId="77777777" w:rsidR="006D5FE4" w:rsidRPr="00716CC2" w:rsidRDefault="006D5FE4" w:rsidP="006D5FE4">
            <w:pPr>
              <w:pStyle w:val="TableBullet"/>
              <w:rPr>
                <w:szCs w:val="18"/>
              </w:rPr>
            </w:pPr>
            <w:r w:rsidRPr="00716CC2">
              <w:rPr>
                <w:szCs w:val="18"/>
              </w:rPr>
              <w:t>Dental – need a strategy for formally assessing oral health on admissions (and thereafter)</w:t>
            </w:r>
          </w:p>
          <w:p w14:paraId="2929D60B" w14:textId="77777777" w:rsidR="006D5FE4" w:rsidRPr="00716CC2" w:rsidRDefault="006D5FE4" w:rsidP="006D5FE4">
            <w:pPr>
              <w:pStyle w:val="TableBullet"/>
              <w:rPr>
                <w:szCs w:val="18"/>
              </w:rPr>
            </w:pPr>
            <w:r w:rsidRPr="00716CC2">
              <w:rPr>
                <w:szCs w:val="18"/>
              </w:rPr>
              <w:t>Noted that the ‘Food and nutrition guidelines (age specific)’ relate to the health older adult</w:t>
            </w:r>
          </w:p>
        </w:tc>
        <w:tc>
          <w:tcPr>
            <w:tcW w:w="2855" w:type="dxa"/>
            <w:gridSpan w:val="3"/>
            <w:shd w:val="clear" w:color="auto" w:fill="FFFFFF" w:themeFill="background1"/>
          </w:tcPr>
          <w:p w14:paraId="450530A6" w14:textId="77777777" w:rsidR="006D5FE4" w:rsidRPr="00716CC2" w:rsidRDefault="006D5FE4" w:rsidP="006D5FE4">
            <w:pPr>
              <w:pStyle w:val="TableBullet"/>
              <w:rPr>
                <w:szCs w:val="18"/>
                <w:lang w:eastAsia="en-NZ"/>
              </w:rPr>
            </w:pPr>
            <w:r w:rsidRPr="00716CC2">
              <w:rPr>
                <w:szCs w:val="18"/>
                <w:lang w:eastAsia="en-NZ"/>
              </w:rPr>
              <w:t>Q: should individual food services be linked into care planning (link 1.3.3)</w:t>
            </w:r>
          </w:p>
          <w:p w14:paraId="7328232C" w14:textId="77777777" w:rsidR="006D5FE4" w:rsidRPr="00716CC2" w:rsidRDefault="006D5FE4" w:rsidP="006D5FE4">
            <w:pPr>
              <w:pStyle w:val="TableBullet"/>
              <w:rPr>
                <w:szCs w:val="18"/>
                <w:lang w:eastAsia="en-NZ"/>
              </w:rPr>
            </w:pPr>
            <w:r w:rsidRPr="00716CC2">
              <w:rPr>
                <w:szCs w:val="18"/>
                <w:lang w:eastAsia="en-NZ"/>
              </w:rPr>
              <w:t>Organisational approach to food for individuals needs consistency</w:t>
            </w:r>
          </w:p>
          <w:p w14:paraId="65DA4B23" w14:textId="77777777" w:rsidR="006D5FE4" w:rsidRPr="00716CC2" w:rsidRDefault="006D5FE4" w:rsidP="006D5FE4">
            <w:pPr>
              <w:pStyle w:val="TableBullet"/>
              <w:rPr>
                <w:szCs w:val="18"/>
                <w:lang w:eastAsia="en-NZ"/>
              </w:rPr>
            </w:pPr>
            <w:r w:rsidRPr="00716CC2">
              <w:rPr>
                <w:szCs w:val="18"/>
                <w:lang w:eastAsia="en-NZ"/>
              </w:rPr>
              <w:t>Differentiation between intentional and unintentional weight loss</w:t>
            </w:r>
          </w:p>
          <w:p w14:paraId="02817D2C" w14:textId="77777777" w:rsidR="006D5FE4" w:rsidRPr="00716CC2" w:rsidRDefault="006D5FE4" w:rsidP="006D5FE4">
            <w:pPr>
              <w:pStyle w:val="TableBullet"/>
              <w:rPr>
                <w:szCs w:val="18"/>
                <w:lang w:eastAsia="en-NZ"/>
              </w:rPr>
            </w:pPr>
            <w:r w:rsidRPr="00716CC2">
              <w:rPr>
                <w:szCs w:val="18"/>
                <w:lang w:eastAsia="en-NZ"/>
              </w:rPr>
              <w:t>Support separating food control aspects (? Into Part 2) from individual needs</w:t>
            </w:r>
          </w:p>
          <w:p w14:paraId="3CABB356" w14:textId="77777777" w:rsidR="006D5FE4" w:rsidRPr="00716CC2" w:rsidRDefault="006D5FE4" w:rsidP="006D5FE4">
            <w:pPr>
              <w:pStyle w:val="TableBullet"/>
              <w:rPr>
                <w:szCs w:val="18"/>
                <w:lang w:eastAsia="en-NZ"/>
              </w:rPr>
            </w:pPr>
            <w:r w:rsidRPr="00716CC2">
              <w:rPr>
                <w:szCs w:val="18"/>
                <w:lang w:eastAsia="en-NZ"/>
              </w:rPr>
              <w:t>Discussed new: IDDSI framework (SLT)</w:t>
            </w:r>
          </w:p>
        </w:tc>
        <w:tc>
          <w:tcPr>
            <w:tcW w:w="2856" w:type="dxa"/>
            <w:gridSpan w:val="3"/>
            <w:shd w:val="clear" w:color="auto" w:fill="FFFFFF" w:themeFill="background1"/>
          </w:tcPr>
          <w:p w14:paraId="220BC67C" w14:textId="77777777" w:rsidR="006D5FE4" w:rsidRPr="00716CC2" w:rsidRDefault="006D5FE4" w:rsidP="006D5FE4">
            <w:pPr>
              <w:pStyle w:val="TableBullet"/>
              <w:rPr>
                <w:szCs w:val="18"/>
                <w:lang w:eastAsia="en-NZ"/>
              </w:rPr>
            </w:pPr>
            <w:r w:rsidRPr="00716CC2">
              <w:rPr>
                <w:szCs w:val="18"/>
                <w:lang w:eastAsia="en-NZ"/>
              </w:rPr>
              <w:t>Discussion – could this be a component of service delivery</w:t>
            </w:r>
          </w:p>
          <w:p w14:paraId="38CA3E2B" w14:textId="77777777" w:rsidR="006D5FE4" w:rsidRPr="00716CC2" w:rsidRDefault="006D5FE4" w:rsidP="006D5FE4">
            <w:pPr>
              <w:pStyle w:val="TableBullet"/>
              <w:rPr>
                <w:szCs w:val="18"/>
                <w:lang w:eastAsia="en-NZ"/>
              </w:rPr>
            </w:pPr>
            <w:r w:rsidRPr="00716CC2">
              <w:rPr>
                <w:szCs w:val="18"/>
                <w:lang w:eastAsia="en-NZ"/>
              </w:rPr>
              <w:t>Consider moving aspects relating to the Food Act into Part 2, and keep this standard focused on individual requirements</w:t>
            </w:r>
          </w:p>
          <w:p w14:paraId="41BFB729" w14:textId="77777777" w:rsidR="006D5FE4" w:rsidRPr="00716CC2" w:rsidRDefault="006D5FE4" w:rsidP="006D5FE4">
            <w:pPr>
              <w:pStyle w:val="TableBullet"/>
              <w:rPr>
                <w:szCs w:val="18"/>
                <w:lang w:eastAsia="en-NZ"/>
              </w:rPr>
            </w:pPr>
            <w:r w:rsidRPr="00716CC2">
              <w:rPr>
                <w:szCs w:val="18"/>
                <w:lang w:eastAsia="en-NZ"/>
              </w:rPr>
              <w:t>Need to be inclusive of nutritional requirements for those that don’t eat and/or eat a modified diet</w:t>
            </w:r>
          </w:p>
          <w:p w14:paraId="72E27AEE" w14:textId="77777777" w:rsidR="006D5FE4" w:rsidRPr="00716CC2" w:rsidRDefault="006D5FE4" w:rsidP="006D5FE4">
            <w:pPr>
              <w:pStyle w:val="TableBullet"/>
              <w:rPr>
                <w:szCs w:val="18"/>
                <w:lang w:eastAsia="en-NZ"/>
              </w:rPr>
            </w:pPr>
            <w:r w:rsidRPr="00716CC2">
              <w:rPr>
                <w:szCs w:val="18"/>
                <w:lang w:eastAsia="en-NZ"/>
              </w:rPr>
              <w:t>Need to include compliance with the Food Act 2014 &amp; National Healthy Food and Drink Policy, developed by the National District Health Board Food and Drink Environments Network in 2016. Note: there could be an updated version, Need to add informed choice / decision making relating to this,      Include  compliance with specialist reports (N.Berry, NZCare)</w:t>
            </w:r>
          </w:p>
        </w:tc>
      </w:tr>
      <w:tr w:rsidR="006D5FE4" w:rsidRPr="00716CC2" w14:paraId="5E733F55" w14:textId="77777777" w:rsidTr="007A7079">
        <w:trPr>
          <w:gridAfter w:val="2"/>
          <w:wAfter w:w="608" w:type="dxa"/>
        </w:trPr>
        <w:tc>
          <w:tcPr>
            <w:tcW w:w="14276" w:type="dxa"/>
            <w:gridSpan w:val="13"/>
            <w:shd w:val="clear" w:color="auto" w:fill="FFFFFF" w:themeFill="background1"/>
          </w:tcPr>
          <w:p w14:paraId="21308BE3" w14:textId="77777777" w:rsidR="006D5FE4" w:rsidRPr="00716CC2" w:rsidRDefault="006D5FE4" w:rsidP="00916502">
            <w:pPr>
              <w:spacing w:before="40" w:after="40"/>
              <w:rPr>
                <w:b/>
                <w:sz w:val="18"/>
                <w:szCs w:val="18"/>
              </w:rPr>
            </w:pPr>
          </w:p>
        </w:tc>
      </w:tr>
      <w:tr w:rsidR="006D5FE4" w:rsidRPr="00716CC2" w14:paraId="07002FC6" w14:textId="77777777" w:rsidTr="007A7079">
        <w:trPr>
          <w:gridAfter w:val="2"/>
          <w:wAfter w:w="608" w:type="dxa"/>
        </w:trPr>
        <w:tc>
          <w:tcPr>
            <w:tcW w:w="14276" w:type="dxa"/>
            <w:gridSpan w:val="13"/>
            <w:shd w:val="clear" w:color="auto" w:fill="D9D9D9" w:themeFill="background1" w:themeFillShade="D9"/>
          </w:tcPr>
          <w:p w14:paraId="06517EBE" w14:textId="77777777" w:rsidR="006D5FE4" w:rsidRPr="00716CC2" w:rsidRDefault="006D5FE4" w:rsidP="006D5FE4">
            <w:pPr>
              <w:spacing w:before="40" w:after="40"/>
              <w:rPr>
                <w:b/>
                <w:sz w:val="18"/>
                <w:szCs w:val="18"/>
              </w:rPr>
            </w:pPr>
            <w:r w:rsidRPr="00716CC2">
              <w:rPr>
                <w:b/>
                <w:sz w:val="18"/>
                <w:szCs w:val="18"/>
              </w:rPr>
              <w:t xml:space="preserve">Outcome 1.4: </w:t>
            </w:r>
            <w:r w:rsidRPr="00716CC2">
              <w:rPr>
                <w:sz w:val="18"/>
                <w:szCs w:val="18"/>
              </w:rPr>
              <w:t>Safe and Appropriate Environment: Services are provided in a clean, safe environment that is appropriate to the age/needs of the consumer, ensures physical privacy is maintained, has adequate space and amenities to facilitate independence, is in a setting appropriate to the consumer group and meets the needs of people with disabilities.</w:t>
            </w:r>
          </w:p>
          <w:p w14:paraId="7F77F0D9" w14:textId="77777777" w:rsidR="006D5FE4" w:rsidRPr="00716CC2" w:rsidRDefault="006D5FE4" w:rsidP="006D5FE4">
            <w:pPr>
              <w:pStyle w:val="OutcomeDescription"/>
              <w:spacing w:before="20" w:after="20"/>
              <w:contextualSpacing/>
              <w:rPr>
                <w:sz w:val="18"/>
                <w:szCs w:val="18"/>
                <w:lang w:eastAsia="en-NZ"/>
              </w:rPr>
            </w:pPr>
            <w:r w:rsidRPr="00716CC2">
              <w:rPr>
                <w:sz w:val="18"/>
                <w:szCs w:val="18"/>
                <w:lang w:eastAsia="en-NZ"/>
              </w:rPr>
              <w:t>ARC 31 July:</w:t>
            </w:r>
          </w:p>
          <w:p w14:paraId="375FAD05"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Interest in modular approach for this section ARC only</w:t>
            </w:r>
          </w:p>
          <w:p w14:paraId="6C7D59C7"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Focus on different levels of care within ARC (DSS, LTC, restorative, palliative, bariatric etc)</w:t>
            </w:r>
          </w:p>
          <w:p w14:paraId="1FEA13A4"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Reflective of quality of life and individual needs</w:t>
            </w:r>
          </w:p>
          <w:p w14:paraId="7200473A"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“Home” focus rather than institutional</w:t>
            </w:r>
          </w:p>
          <w:p w14:paraId="0FB9754F"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Cleaning and Laundry to be merged with IPC</w:t>
            </w:r>
          </w:p>
          <w:p w14:paraId="58D60747" w14:textId="77777777" w:rsidR="006D5FE4" w:rsidRPr="00716CC2" w:rsidRDefault="006D5FE4" w:rsidP="00681608">
            <w:pPr>
              <w:pStyle w:val="OutcomeDescription"/>
              <w:numPr>
                <w:ilvl w:val="0"/>
                <w:numId w:val="4"/>
              </w:numPr>
              <w:spacing w:before="20" w:after="20"/>
              <w:ind w:left="714" w:hanging="357"/>
              <w:contextualSpacing/>
              <w:rPr>
                <w:sz w:val="18"/>
                <w:szCs w:val="18"/>
                <w:lang w:eastAsia="en-NZ"/>
              </w:rPr>
            </w:pPr>
            <w:r w:rsidRPr="00716CC2">
              <w:rPr>
                <w:sz w:val="18"/>
                <w:szCs w:val="18"/>
                <w:lang w:eastAsia="en-NZ"/>
              </w:rPr>
              <w:t>Add environments are “it for purpose” and remove standard 1.4.2</w:t>
            </w:r>
          </w:p>
          <w:p w14:paraId="25E215BF" w14:textId="77777777" w:rsidR="006D5FE4" w:rsidRPr="00716CC2" w:rsidRDefault="006D5FE4" w:rsidP="00681608">
            <w:pPr>
              <w:pStyle w:val="ListParagraph"/>
              <w:numPr>
                <w:ilvl w:val="0"/>
                <w:numId w:val="4"/>
              </w:numPr>
              <w:spacing w:before="20" w:after="20"/>
              <w:rPr>
                <w:sz w:val="18"/>
                <w:szCs w:val="18"/>
                <w:lang w:eastAsia="en-NZ"/>
              </w:rPr>
            </w:pPr>
            <w:r w:rsidRPr="00716CC2">
              <w:rPr>
                <w:sz w:val="18"/>
                <w:szCs w:val="18"/>
                <w:lang w:eastAsia="en-NZ"/>
              </w:rPr>
              <w:t>Merge standard 1.4.6 to IPC</w:t>
            </w:r>
          </w:p>
          <w:p w14:paraId="6D6909E4" w14:textId="77777777" w:rsidR="006D5FE4" w:rsidRPr="00716CC2" w:rsidRDefault="006D5FE4" w:rsidP="006D5FE4">
            <w:pPr>
              <w:spacing w:before="20" w:after="20"/>
              <w:contextualSpacing/>
              <w:rPr>
                <w:sz w:val="18"/>
                <w:szCs w:val="18"/>
              </w:rPr>
            </w:pPr>
            <w:r w:rsidRPr="00716CC2">
              <w:rPr>
                <w:sz w:val="18"/>
                <w:szCs w:val="18"/>
              </w:rPr>
              <w:lastRenderedPageBreak/>
              <w:t xml:space="preserve">RD: Needs to be reflective of home environment </w:t>
            </w:r>
          </w:p>
          <w:p w14:paraId="71AD50EF" w14:textId="77777777" w:rsidR="006D5FE4" w:rsidRPr="00716CC2" w:rsidRDefault="006D5FE4" w:rsidP="006D5FE4">
            <w:pPr>
              <w:pStyle w:val="OutcomeDescription"/>
              <w:spacing w:before="20" w:after="20"/>
              <w:contextualSpacing/>
              <w:rPr>
                <w:sz w:val="18"/>
                <w:szCs w:val="18"/>
                <w:lang w:eastAsia="en-NZ"/>
              </w:rPr>
            </w:pPr>
            <w:r w:rsidRPr="00716CC2">
              <w:rPr>
                <w:sz w:val="18"/>
                <w:szCs w:val="18"/>
                <w:lang w:eastAsia="en-NZ"/>
              </w:rPr>
              <w:t xml:space="preserve">ARC 9 August: </w:t>
            </w:r>
          </w:p>
          <w:p w14:paraId="2106CA40"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Relevant standard-needs amending to include definitions, criteria and the consumer perspective</w:t>
            </w:r>
          </w:p>
          <w:p w14:paraId="1C89C29B"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 xml:space="preserve">No guidance on what this should include and how much safe and appropriate spaces are required. </w:t>
            </w:r>
          </w:p>
          <w:p w14:paraId="6BFB877A"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 xml:space="preserve">No guidance on what amenities are essential, and or nice to have, in or out of this space. </w:t>
            </w:r>
          </w:p>
          <w:p w14:paraId="2B8944FD"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Suggest consumer involvement with determining and or measuring an independence outcome</w:t>
            </w:r>
          </w:p>
          <w:p w14:paraId="4C286684"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 xml:space="preserve">Suggest consumer measure to determine if the environment meets their needs. </w:t>
            </w:r>
          </w:p>
          <w:p w14:paraId="44F1B02B" w14:textId="77777777" w:rsidR="006D5FE4" w:rsidRPr="00716CC2" w:rsidRDefault="006D5FE4" w:rsidP="00681608">
            <w:pPr>
              <w:pStyle w:val="OutcomeDescription"/>
              <w:numPr>
                <w:ilvl w:val="0"/>
                <w:numId w:val="5"/>
              </w:numPr>
              <w:spacing w:before="20" w:after="20"/>
              <w:contextualSpacing/>
              <w:rPr>
                <w:sz w:val="18"/>
                <w:szCs w:val="18"/>
                <w:lang w:eastAsia="en-NZ"/>
              </w:rPr>
            </w:pPr>
            <w:r w:rsidRPr="00716CC2">
              <w:rPr>
                <w:sz w:val="18"/>
                <w:szCs w:val="18"/>
                <w:lang w:eastAsia="en-NZ"/>
              </w:rPr>
              <w:t>No objective definition of how to meet this standard</w:t>
            </w:r>
          </w:p>
        </w:tc>
      </w:tr>
      <w:tr w:rsidR="006D5FE4" w:rsidRPr="00716CC2" w14:paraId="790AD393" w14:textId="77777777" w:rsidTr="007A7079">
        <w:trPr>
          <w:gridAfter w:val="2"/>
          <w:wAfter w:w="608" w:type="dxa"/>
        </w:trPr>
        <w:tc>
          <w:tcPr>
            <w:tcW w:w="14276" w:type="dxa"/>
            <w:gridSpan w:val="13"/>
            <w:shd w:val="clear" w:color="auto" w:fill="F2F2F2" w:themeFill="background1" w:themeFillShade="F2"/>
          </w:tcPr>
          <w:p w14:paraId="2D3583B7" w14:textId="77777777" w:rsidR="006D5FE4" w:rsidRPr="00716CC2" w:rsidRDefault="006D5FE4" w:rsidP="006D5FE4">
            <w:pPr>
              <w:pStyle w:val="Heading4"/>
              <w:spacing w:before="20" w:after="20"/>
              <w:contextualSpacing/>
              <w:outlineLvl w:val="3"/>
              <w:rPr>
                <w:rFonts w:ascii="Arial" w:hAnsi="Arial" w:cs="Arial"/>
                <w:b w:val="0"/>
                <w:color w:val="auto"/>
                <w:sz w:val="18"/>
                <w:szCs w:val="18"/>
                <w:lang w:eastAsia="en-NZ"/>
              </w:rPr>
            </w:pPr>
            <w:r w:rsidRPr="00716CC2">
              <w:rPr>
                <w:rFonts w:ascii="Arial" w:hAnsi="Arial" w:cs="Arial"/>
                <w:color w:val="auto"/>
                <w:sz w:val="18"/>
                <w:szCs w:val="18"/>
              </w:rPr>
              <w:lastRenderedPageBreak/>
              <w:t xml:space="preserve">Standard 1.4.1: </w:t>
            </w:r>
            <w:r w:rsidRPr="00716CC2">
              <w:rPr>
                <w:rFonts w:ascii="Arial" w:hAnsi="Arial" w:cs="Arial"/>
                <w:b w:val="0"/>
                <w:color w:val="auto"/>
                <w:sz w:val="18"/>
                <w:szCs w:val="18"/>
              </w:rPr>
              <w:t xml:space="preserve">Management </w:t>
            </w:r>
            <w:r w:rsidR="00916502" w:rsidRPr="00716CC2">
              <w:rPr>
                <w:rFonts w:ascii="Arial" w:hAnsi="Arial" w:cs="Arial"/>
                <w:b w:val="0"/>
                <w:color w:val="auto"/>
                <w:sz w:val="18"/>
                <w:szCs w:val="18"/>
              </w:rPr>
              <w:t>of</w:t>
            </w:r>
            <w:r w:rsidRPr="00716CC2">
              <w:rPr>
                <w:rFonts w:ascii="Arial" w:hAnsi="Arial" w:cs="Arial"/>
                <w:b w:val="0"/>
                <w:color w:val="auto"/>
                <w:sz w:val="18"/>
                <w:szCs w:val="18"/>
              </w:rPr>
              <w:t xml:space="preserve"> Waste </w:t>
            </w:r>
            <w:r w:rsidR="00916502" w:rsidRPr="00716CC2">
              <w:rPr>
                <w:rFonts w:ascii="Arial" w:hAnsi="Arial" w:cs="Arial"/>
                <w:b w:val="0"/>
                <w:color w:val="auto"/>
                <w:sz w:val="18"/>
                <w:szCs w:val="18"/>
              </w:rPr>
              <w:t>a</w:t>
            </w:r>
            <w:r w:rsidRPr="00716CC2">
              <w:rPr>
                <w:rFonts w:ascii="Arial" w:hAnsi="Arial" w:cs="Arial"/>
                <w:b w:val="0"/>
                <w:color w:val="auto"/>
                <w:sz w:val="18"/>
                <w:szCs w:val="18"/>
              </w:rPr>
              <w:t>nd Hazardous Substances</w:t>
            </w:r>
            <w:r w:rsidRPr="00716CC2">
              <w:rPr>
                <w:rStyle w:val="Heading4Char"/>
                <w:rFonts w:ascii="Arial" w:hAnsi="Arial" w:cs="Arial"/>
                <w:b/>
                <w:color w:val="auto"/>
                <w:sz w:val="18"/>
                <w:szCs w:val="18"/>
              </w:rPr>
              <w:t xml:space="preserve"> (</w:t>
            </w:r>
            <w:r w:rsidRPr="00716CC2">
              <w:rPr>
                <w:rFonts w:ascii="Arial" w:hAnsi="Arial" w:cs="Arial"/>
                <w:b w:val="0"/>
                <w:color w:val="auto"/>
                <w:sz w:val="18"/>
                <w:szCs w:val="18"/>
              </w:rPr>
              <w:t xml:space="preserve">HDS(C)S.2008:1.4.1): </w:t>
            </w:r>
            <w:r w:rsidRPr="00716CC2">
              <w:rPr>
                <w:rStyle w:val="BodyTextChar"/>
                <w:rFonts w:cs="Arial"/>
                <w:b w:val="0"/>
                <w:color w:val="auto"/>
                <w:sz w:val="18"/>
                <w:szCs w:val="18"/>
              </w:rPr>
              <w:t>Consumers, visitors, and service providers are protected from harm as a result of exposure to waste, infectious or hazardous substances, generated during service delivery.</w:t>
            </w:r>
          </w:p>
        </w:tc>
      </w:tr>
      <w:tr w:rsidR="006D5FE4" w:rsidRPr="00716CC2" w14:paraId="24C5B12D" w14:textId="77777777" w:rsidTr="007A7079">
        <w:trPr>
          <w:gridAfter w:val="2"/>
          <w:wAfter w:w="608" w:type="dxa"/>
        </w:trPr>
        <w:tc>
          <w:tcPr>
            <w:tcW w:w="2855" w:type="dxa"/>
            <w:shd w:val="clear" w:color="auto" w:fill="FFFFFF" w:themeFill="background1"/>
          </w:tcPr>
          <w:p w14:paraId="2F63B546" w14:textId="77777777" w:rsidR="006D5FE4" w:rsidRPr="00954036" w:rsidRDefault="006D5FE4" w:rsidP="00954036">
            <w:pPr>
              <w:pStyle w:val="TableText"/>
              <w:spacing w:before="40" w:after="40"/>
              <w:rPr>
                <w:b/>
                <w:szCs w:val="18"/>
                <w:lang w:eastAsia="en-NZ"/>
              </w:rPr>
            </w:pPr>
            <w:r w:rsidRPr="00954036">
              <w:rPr>
                <w:b/>
                <w:szCs w:val="18"/>
                <w:lang w:eastAsia="en-NZ"/>
              </w:rPr>
              <w:t>DHB/PH/Hosp/BU</w:t>
            </w:r>
          </w:p>
        </w:tc>
        <w:tc>
          <w:tcPr>
            <w:tcW w:w="2855" w:type="dxa"/>
            <w:gridSpan w:val="3"/>
            <w:shd w:val="clear" w:color="auto" w:fill="FFFFFF" w:themeFill="background1"/>
          </w:tcPr>
          <w:p w14:paraId="1F2E1679" w14:textId="77777777" w:rsidR="006D5FE4" w:rsidRPr="00954036" w:rsidRDefault="006D5FE4" w:rsidP="00954036">
            <w:pPr>
              <w:pStyle w:val="TableText"/>
              <w:spacing w:before="40" w:after="40"/>
              <w:rPr>
                <w:b/>
                <w:szCs w:val="18"/>
                <w:lang w:eastAsia="en-NZ"/>
              </w:rPr>
            </w:pPr>
            <w:r w:rsidRPr="00954036">
              <w:rPr>
                <w:b/>
                <w:szCs w:val="18"/>
                <w:lang w:eastAsia="en-NZ"/>
              </w:rPr>
              <w:t>DHB/PH/Hosp/BU</w:t>
            </w:r>
          </w:p>
        </w:tc>
        <w:tc>
          <w:tcPr>
            <w:tcW w:w="2855" w:type="dxa"/>
            <w:gridSpan w:val="3"/>
            <w:shd w:val="clear" w:color="auto" w:fill="FFFFFF" w:themeFill="background1"/>
          </w:tcPr>
          <w:p w14:paraId="4620E3D8" w14:textId="77777777" w:rsidR="006D5FE4" w:rsidRPr="00954036" w:rsidRDefault="006D5FE4" w:rsidP="00954036">
            <w:pPr>
              <w:pStyle w:val="TableText"/>
              <w:spacing w:before="40" w:after="40"/>
              <w:rPr>
                <w:b/>
                <w:szCs w:val="18"/>
                <w:lang w:eastAsia="en-NZ"/>
              </w:rPr>
            </w:pPr>
            <w:r w:rsidRPr="00954036">
              <w:rPr>
                <w:b/>
                <w:szCs w:val="18"/>
                <w:lang w:eastAsia="en-NZ"/>
              </w:rPr>
              <w:t>DHB/PH/Hosp/BU</w:t>
            </w:r>
          </w:p>
        </w:tc>
        <w:tc>
          <w:tcPr>
            <w:tcW w:w="2855" w:type="dxa"/>
            <w:gridSpan w:val="3"/>
            <w:shd w:val="clear" w:color="auto" w:fill="FFFFFF" w:themeFill="background1"/>
          </w:tcPr>
          <w:p w14:paraId="76D19EAC" w14:textId="77777777" w:rsidR="006D5FE4" w:rsidRPr="00954036" w:rsidRDefault="006D5FE4" w:rsidP="00954036">
            <w:pPr>
              <w:pStyle w:val="TableText"/>
              <w:spacing w:before="40" w:after="40"/>
              <w:rPr>
                <w:b/>
                <w:szCs w:val="18"/>
                <w:lang w:eastAsia="en-NZ"/>
              </w:rPr>
            </w:pPr>
            <w:r w:rsidRPr="00954036">
              <w:rPr>
                <w:b/>
                <w:szCs w:val="18"/>
                <w:lang w:eastAsia="en-NZ"/>
              </w:rPr>
              <w:t>DHB/PH/Hosp/BU</w:t>
            </w:r>
          </w:p>
        </w:tc>
        <w:tc>
          <w:tcPr>
            <w:tcW w:w="2856" w:type="dxa"/>
            <w:gridSpan w:val="3"/>
            <w:shd w:val="clear" w:color="auto" w:fill="FFFFFF" w:themeFill="background1"/>
          </w:tcPr>
          <w:p w14:paraId="62C11814" w14:textId="77777777" w:rsidR="006D5FE4" w:rsidRPr="00954036" w:rsidRDefault="006D5FE4" w:rsidP="00954036">
            <w:pPr>
              <w:pStyle w:val="TableText"/>
              <w:spacing w:before="40" w:after="40"/>
              <w:rPr>
                <w:b/>
                <w:szCs w:val="18"/>
                <w:lang w:eastAsia="en-NZ"/>
              </w:rPr>
            </w:pPr>
            <w:r w:rsidRPr="00954036">
              <w:rPr>
                <w:b/>
                <w:szCs w:val="18"/>
                <w:lang w:eastAsia="en-NZ"/>
              </w:rPr>
              <w:t>DHB/PH/Hosp/BU</w:t>
            </w:r>
          </w:p>
        </w:tc>
      </w:tr>
      <w:tr w:rsidR="006D5FE4" w:rsidRPr="00716CC2" w14:paraId="429A2E47" w14:textId="77777777" w:rsidTr="007A7079">
        <w:trPr>
          <w:gridAfter w:val="2"/>
          <w:wAfter w:w="608" w:type="dxa"/>
        </w:trPr>
        <w:tc>
          <w:tcPr>
            <w:tcW w:w="2855" w:type="dxa"/>
            <w:shd w:val="clear" w:color="auto" w:fill="FFFFFF" w:themeFill="background1"/>
          </w:tcPr>
          <w:p w14:paraId="4F2AD321" w14:textId="77777777" w:rsidR="006D5FE4" w:rsidRPr="00716CC2" w:rsidRDefault="006D5FE4" w:rsidP="006D5FE4">
            <w:pPr>
              <w:pStyle w:val="TableBullet"/>
              <w:rPr>
                <w:szCs w:val="18"/>
              </w:rPr>
            </w:pPr>
            <w:r w:rsidRPr="00716CC2">
              <w:rPr>
                <w:szCs w:val="18"/>
              </w:rPr>
              <w:t>Ensure management of protective equipment, expand specifics for (HQSC) cytotoxic waste &amp; align with new health and safety legislation (HQSC)</w:t>
            </w:r>
          </w:p>
          <w:p w14:paraId="38F27347" w14:textId="77777777" w:rsidR="006D5FE4" w:rsidRPr="00716CC2" w:rsidRDefault="006D5FE4" w:rsidP="006D5FE4">
            <w:pPr>
              <w:pStyle w:val="TableBullet"/>
              <w:rPr>
                <w:rFonts w:ascii="Arial" w:hAnsi="Arial"/>
                <w:szCs w:val="18"/>
                <w:lang w:eastAsia="en-NZ"/>
              </w:rPr>
            </w:pPr>
            <w:r w:rsidRPr="00716CC2">
              <w:rPr>
                <w:rFonts w:ascii="Arial" w:hAnsi="Arial"/>
                <w:szCs w:val="18"/>
              </w:rPr>
              <w:t>Cross over with IPC standard on waste management (NZNO IPC)</w:t>
            </w:r>
          </w:p>
        </w:tc>
        <w:tc>
          <w:tcPr>
            <w:tcW w:w="2855" w:type="dxa"/>
            <w:gridSpan w:val="3"/>
            <w:shd w:val="clear" w:color="auto" w:fill="FFFFFF" w:themeFill="background1"/>
          </w:tcPr>
          <w:p w14:paraId="483D3FE9" w14:textId="77777777" w:rsidR="006D5FE4" w:rsidRPr="00716CC2" w:rsidRDefault="006D5FE4" w:rsidP="006D5FE4">
            <w:pPr>
              <w:pStyle w:val="TableBullet"/>
              <w:rPr>
                <w:szCs w:val="18"/>
              </w:rPr>
            </w:pPr>
            <w:r w:rsidRPr="00716CC2">
              <w:rPr>
                <w:szCs w:val="18"/>
              </w:rPr>
              <w:t xml:space="preserve">Need to be relevant to the service being provided </w:t>
            </w:r>
          </w:p>
          <w:p w14:paraId="70C9B4AB" w14:textId="77777777" w:rsidR="006D5FE4" w:rsidRPr="00716CC2" w:rsidRDefault="006D5FE4" w:rsidP="006D5FE4">
            <w:pPr>
              <w:pStyle w:val="TableBullet"/>
              <w:rPr>
                <w:rFonts w:ascii="Arial" w:hAnsi="Arial"/>
                <w:b/>
                <w:bCs/>
                <w:szCs w:val="18"/>
              </w:rPr>
            </w:pPr>
            <w:r w:rsidRPr="00716CC2">
              <w:rPr>
                <w:rFonts w:ascii="Arial" w:hAnsi="Arial"/>
                <w:szCs w:val="18"/>
              </w:rPr>
              <w:t>System or waste management – consider sustainability/recycling.</w:t>
            </w:r>
          </w:p>
        </w:tc>
        <w:tc>
          <w:tcPr>
            <w:tcW w:w="2855" w:type="dxa"/>
            <w:gridSpan w:val="3"/>
            <w:shd w:val="clear" w:color="auto" w:fill="FFFFFF" w:themeFill="background1"/>
          </w:tcPr>
          <w:p w14:paraId="0524FAF6" w14:textId="77777777" w:rsidR="006D5FE4" w:rsidRPr="00716CC2" w:rsidRDefault="006D5FE4" w:rsidP="006D5FE4">
            <w:pPr>
              <w:pStyle w:val="TableBullet"/>
              <w:rPr>
                <w:szCs w:val="18"/>
              </w:rPr>
            </w:pPr>
            <w:r w:rsidRPr="00716CC2">
              <w:rPr>
                <w:szCs w:val="18"/>
              </w:rPr>
              <w:t>Sustainability, Green Planning (emissions), recycling etc., to be added</w:t>
            </w:r>
          </w:p>
          <w:p w14:paraId="76BC6623" w14:textId="77777777" w:rsidR="006D5FE4" w:rsidRPr="00716CC2" w:rsidRDefault="006D5FE4" w:rsidP="006D5FE4">
            <w:pPr>
              <w:pStyle w:val="TableBullet"/>
              <w:rPr>
                <w:szCs w:val="18"/>
              </w:rPr>
            </w:pPr>
            <w:r w:rsidRPr="00716CC2">
              <w:rPr>
                <w:szCs w:val="18"/>
              </w:rPr>
              <w:t>Non-hazardous waste to be merged with IPC (clean/dirty and design etc)</w:t>
            </w:r>
          </w:p>
          <w:p w14:paraId="34A74474" w14:textId="77777777" w:rsidR="006D5FE4" w:rsidRPr="00716CC2" w:rsidRDefault="006D5FE4" w:rsidP="006D5FE4">
            <w:pPr>
              <w:pStyle w:val="TableBullet"/>
              <w:rPr>
                <w:szCs w:val="18"/>
              </w:rPr>
            </w:pPr>
            <w:r w:rsidRPr="00716CC2">
              <w:rPr>
                <w:szCs w:val="18"/>
              </w:rPr>
              <w:t xml:space="preserve">Separate Hazardous from non-hazardous waste </w:t>
            </w:r>
          </w:p>
        </w:tc>
        <w:tc>
          <w:tcPr>
            <w:tcW w:w="2855" w:type="dxa"/>
            <w:gridSpan w:val="3"/>
            <w:shd w:val="clear" w:color="auto" w:fill="FFFFFF" w:themeFill="background1"/>
          </w:tcPr>
          <w:p w14:paraId="0FF9D3CF" w14:textId="77777777" w:rsidR="006D5FE4" w:rsidRPr="00716CC2" w:rsidRDefault="006D5FE4" w:rsidP="006D5FE4">
            <w:pPr>
              <w:pStyle w:val="TableBullet"/>
              <w:rPr>
                <w:szCs w:val="18"/>
                <w:lang w:eastAsia="en-NZ"/>
              </w:rPr>
            </w:pPr>
            <w:r w:rsidRPr="00716CC2">
              <w:rPr>
                <w:szCs w:val="18"/>
                <w:lang w:eastAsia="en-NZ"/>
              </w:rPr>
              <w:t>Relevant standard in this changing world</w:t>
            </w:r>
          </w:p>
        </w:tc>
        <w:tc>
          <w:tcPr>
            <w:tcW w:w="2856" w:type="dxa"/>
            <w:gridSpan w:val="3"/>
            <w:shd w:val="clear" w:color="auto" w:fill="FFFFFF" w:themeFill="background1"/>
          </w:tcPr>
          <w:p w14:paraId="7E3F727A" w14:textId="77777777" w:rsidR="006D5FE4" w:rsidRPr="00716CC2" w:rsidRDefault="006D5FE4" w:rsidP="006D5FE4">
            <w:pPr>
              <w:pStyle w:val="TableBullet"/>
              <w:rPr>
                <w:szCs w:val="18"/>
                <w:lang w:eastAsia="en-NZ"/>
              </w:rPr>
            </w:pPr>
            <w:r w:rsidRPr="00716CC2">
              <w:rPr>
                <w:szCs w:val="18"/>
                <w:lang w:eastAsia="en-NZ"/>
              </w:rPr>
              <w:t>Move 1.4.1 to IPC</w:t>
            </w:r>
          </w:p>
          <w:p w14:paraId="6317C10F" w14:textId="77777777" w:rsidR="006D5FE4" w:rsidRPr="00716CC2" w:rsidRDefault="006D5FE4" w:rsidP="006D5FE4">
            <w:pPr>
              <w:pStyle w:val="TableBullet"/>
              <w:rPr>
                <w:szCs w:val="18"/>
                <w:lang w:eastAsia="en-NZ"/>
              </w:rPr>
            </w:pPr>
            <w:r w:rsidRPr="00716CC2">
              <w:rPr>
                <w:szCs w:val="18"/>
                <w:lang w:eastAsia="en-NZ"/>
              </w:rPr>
              <w:t>Consideration needs to be given to number of clients/residents in premises or own homes</w:t>
            </w:r>
          </w:p>
          <w:p w14:paraId="21563757" w14:textId="77777777" w:rsidR="006D5FE4" w:rsidRPr="00716CC2" w:rsidRDefault="006D5FE4" w:rsidP="006D5FE4">
            <w:pPr>
              <w:pStyle w:val="TableBullet"/>
              <w:rPr>
                <w:szCs w:val="18"/>
                <w:lang w:eastAsia="en-NZ"/>
              </w:rPr>
            </w:pPr>
            <w:r w:rsidRPr="00716CC2">
              <w:rPr>
                <w:szCs w:val="18"/>
                <w:lang w:eastAsia="en-NZ"/>
              </w:rPr>
              <w:t>Define/split hazardous waste/volume</w:t>
            </w:r>
          </w:p>
          <w:p w14:paraId="0395C4C0" w14:textId="77777777" w:rsidR="006D5FE4" w:rsidRPr="00716CC2" w:rsidRDefault="006D5FE4" w:rsidP="006D5FE4">
            <w:pPr>
              <w:pStyle w:val="TableBullet"/>
              <w:rPr>
                <w:szCs w:val="18"/>
                <w:lang w:eastAsia="en-NZ"/>
              </w:rPr>
            </w:pPr>
            <w:r w:rsidRPr="00716CC2">
              <w:rPr>
                <w:szCs w:val="18"/>
                <w:lang w:eastAsia="en-NZ"/>
              </w:rPr>
              <w:t>? merge into the IPC Standard (FM IP&amp;C Nurse Specialist).</w:t>
            </w:r>
          </w:p>
          <w:p w14:paraId="23A99972" w14:textId="77777777" w:rsidR="006D5FE4" w:rsidRPr="00716CC2" w:rsidRDefault="006D5FE4" w:rsidP="006D5FE4">
            <w:pPr>
              <w:pStyle w:val="TableBullet"/>
              <w:rPr>
                <w:szCs w:val="18"/>
                <w:lang w:eastAsia="en-NZ"/>
              </w:rPr>
            </w:pPr>
            <w:r w:rsidRPr="00716CC2">
              <w:rPr>
                <w:szCs w:val="18"/>
                <w:lang w:eastAsia="en-NZ"/>
              </w:rPr>
              <w:t>If a client is in a rental home vs their own home the responsibilities of fit for purposes and ongoing maintenance will differ. The dilemma of compliance from someone who owns their own home and chooses to not comply with the standard, does owning one’s own home provide an opt out for compliance with the safe environment standard? On the basis that it their home to do with what they please? (FM, IP&amp;C Nurse specialist)</w:t>
            </w:r>
          </w:p>
          <w:p w14:paraId="3C707DE2" w14:textId="77777777" w:rsidR="006D5FE4" w:rsidRPr="00716CC2" w:rsidRDefault="006D5FE4" w:rsidP="006D5FE4">
            <w:pPr>
              <w:pStyle w:val="TableBullet"/>
              <w:rPr>
                <w:szCs w:val="18"/>
                <w:lang w:eastAsia="en-NZ"/>
              </w:rPr>
            </w:pPr>
            <w:r w:rsidRPr="00716CC2">
              <w:rPr>
                <w:szCs w:val="18"/>
                <w:lang w:eastAsia="en-NZ"/>
              </w:rPr>
              <w:lastRenderedPageBreak/>
              <w:t>Hazardous waste discharged from a resident’s home is governed by council bylaws. Where there is a large volume discharged as kerbside waste the council may intervene. On the other hand, blood and body fluid waste is discharged domestically by just about every household. Need to revisit the definition of hazardous waste and assess whether the client is going to discharge a large volume of hazardous waste, in which case waste segregation and different coloured bags may need to be assessed. (FM, IP&amp;C Nurse specialist)</w:t>
            </w:r>
          </w:p>
        </w:tc>
      </w:tr>
      <w:tr w:rsidR="006D5FE4" w:rsidRPr="00716CC2" w14:paraId="60EEF7A2" w14:textId="77777777" w:rsidTr="007A7079">
        <w:trPr>
          <w:gridAfter w:val="2"/>
          <w:wAfter w:w="608" w:type="dxa"/>
        </w:trPr>
        <w:tc>
          <w:tcPr>
            <w:tcW w:w="14276" w:type="dxa"/>
            <w:gridSpan w:val="13"/>
            <w:shd w:val="clear" w:color="auto" w:fill="FFFFFF" w:themeFill="background1"/>
          </w:tcPr>
          <w:p w14:paraId="2FEE3834" w14:textId="77777777" w:rsidR="006D5FE4" w:rsidRPr="00716CC2" w:rsidRDefault="006D5FE4" w:rsidP="00916502">
            <w:pPr>
              <w:spacing w:before="40" w:after="40"/>
              <w:rPr>
                <w:b/>
                <w:sz w:val="18"/>
                <w:szCs w:val="18"/>
              </w:rPr>
            </w:pPr>
          </w:p>
        </w:tc>
      </w:tr>
      <w:tr w:rsidR="006D5FE4" w:rsidRPr="00716CC2" w14:paraId="4DDFEA22" w14:textId="77777777" w:rsidTr="007A7079">
        <w:trPr>
          <w:gridAfter w:val="2"/>
          <w:wAfter w:w="608" w:type="dxa"/>
        </w:trPr>
        <w:tc>
          <w:tcPr>
            <w:tcW w:w="14276" w:type="dxa"/>
            <w:gridSpan w:val="13"/>
            <w:shd w:val="clear" w:color="auto" w:fill="F2F2F2" w:themeFill="background1" w:themeFillShade="F2"/>
          </w:tcPr>
          <w:p w14:paraId="4A9EEC66" w14:textId="77777777" w:rsidR="006D5FE4" w:rsidRPr="00716CC2" w:rsidRDefault="00916502" w:rsidP="00916502">
            <w:pPr>
              <w:spacing w:before="40" w:after="40"/>
              <w:rPr>
                <w:b/>
                <w:sz w:val="18"/>
                <w:szCs w:val="18"/>
              </w:rPr>
            </w:pPr>
            <w:r w:rsidRPr="00716CC2">
              <w:rPr>
                <w:b/>
                <w:sz w:val="18"/>
                <w:szCs w:val="18"/>
              </w:rPr>
              <w:t xml:space="preserve">Standard 1.4.2: </w:t>
            </w:r>
            <w:r w:rsidRPr="00716CC2">
              <w:rPr>
                <w:sz w:val="18"/>
                <w:szCs w:val="18"/>
              </w:rPr>
              <w:t>Facility Specifications (HDS(C)S.2008:1.4.2): Consumers are provided with an appropriate, accessible physical environment and facilities that are fit for their purpose.</w:t>
            </w:r>
          </w:p>
        </w:tc>
      </w:tr>
      <w:tr w:rsidR="006D5FE4" w:rsidRPr="00716CC2" w14:paraId="12EB73C8" w14:textId="77777777" w:rsidTr="007A7079">
        <w:trPr>
          <w:gridAfter w:val="2"/>
          <w:wAfter w:w="608" w:type="dxa"/>
        </w:trPr>
        <w:tc>
          <w:tcPr>
            <w:tcW w:w="2855" w:type="dxa"/>
            <w:shd w:val="clear" w:color="auto" w:fill="FFFFFF" w:themeFill="background1"/>
          </w:tcPr>
          <w:p w14:paraId="2225F577"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2546AB47"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3257C7D"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70259C00"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6DDEAEF9"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916502" w:rsidRPr="00716CC2" w14:paraId="37BD297C" w14:textId="77777777" w:rsidTr="007A7079">
        <w:trPr>
          <w:gridAfter w:val="2"/>
          <w:wAfter w:w="608" w:type="dxa"/>
        </w:trPr>
        <w:tc>
          <w:tcPr>
            <w:tcW w:w="2855" w:type="dxa"/>
            <w:shd w:val="clear" w:color="auto" w:fill="FFFFFF" w:themeFill="background1"/>
          </w:tcPr>
          <w:p w14:paraId="6DC573BB" w14:textId="77777777" w:rsidR="00916502" w:rsidRPr="00716CC2" w:rsidRDefault="00916502" w:rsidP="00916502">
            <w:pPr>
              <w:pStyle w:val="TableBullet"/>
              <w:rPr>
                <w:szCs w:val="18"/>
              </w:rPr>
            </w:pPr>
            <w:r w:rsidRPr="00716CC2">
              <w:rPr>
                <w:szCs w:val="18"/>
              </w:rPr>
              <w:t>Recognition of aged buildings, maintenance and earthquake proofing (at present if built prior to standard except which is contributing to lack of transparency ) (HQSC)</w:t>
            </w:r>
          </w:p>
          <w:p w14:paraId="4AF5AFFD" w14:textId="77777777" w:rsidR="00916502" w:rsidRPr="00716CC2" w:rsidRDefault="00916502" w:rsidP="00916502">
            <w:pPr>
              <w:pStyle w:val="TableBullet"/>
              <w:rPr>
                <w:szCs w:val="18"/>
              </w:rPr>
            </w:pPr>
            <w:r w:rsidRPr="00716CC2">
              <w:rPr>
                <w:szCs w:val="18"/>
              </w:rPr>
              <w:t>Consider carbon footprint in respect of environmental and support system management, recycling</w:t>
            </w:r>
          </w:p>
          <w:p w14:paraId="4E6D5BD8" w14:textId="77777777" w:rsidR="00916502" w:rsidRPr="00716CC2" w:rsidRDefault="00916502" w:rsidP="00916502">
            <w:pPr>
              <w:pStyle w:val="TableBullet"/>
              <w:rPr>
                <w:szCs w:val="18"/>
              </w:rPr>
            </w:pPr>
            <w:r w:rsidRPr="00716CC2">
              <w:rPr>
                <w:szCs w:val="18"/>
              </w:rPr>
              <w:t xml:space="preserve">Cross over with IPC specifications on safe </w:t>
            </w:r>
            <w:r w:rsidRPr="00716CC2">
              <w:rPr>
                <w:szCs w:val="18"/>
              </w:rPr>
              <w:lastRenderedPageBreak/>
              <w:t>buildings from IPC perspective (NZNO IPC)</w:t>
            </w:r>
          </w:p>
        </w:tc>
        <w:tc>
          <w:tcPr>
            <w:tcW w:w="2855" w:type="dxa"/>
            <w:gridSpan w:val="3"/>
            <w:shd w:val="clear" w:color="auto" w:fill="FFFFFF" w:themeFill="background1"/>
          </w:tcPr>
          <w:p w14:paraId="54694CA0" w14:textId="77777777" w:rsidR="00916502" w:rsidRPr="00716CC2" w:rsidRDefault="00916502" w:rsidP="00916502">
            <w:pPr>
              <w:pStyle w:val="TableBullet"/>
              <w:rPr>
                <w:szCs w:val="18"/>
              </w:rPr>
            </w:pPr>
            <w:r w:rsidRPr="00716CC2">
              <w:rPr>
                <w:szCs w:val="18"/>
              </w:rPr>
              <w:lastRenderedPageBreak/>
              <w:t xml:space="preserve">Lots of discussion here- there seems to be different interpretations around the facility specs for providers. </w:t>
            </w:r>
          </w:p>
          <w:p w14:paraId="66AD8A30" w14:textId="77777777" w:rsidR="00916502" w:rsidRPr="00716CC2" w:rsidRDefault="00916502" w:rsidP="00916502">
            <w:pPr>
              <w:pStyle w:val="TableBullet"/>
              <w:rPr>
                <w:szCs w:val="18"/>
              </w:rPr>
            </w:pPr>
            <w:r w:rsidRPr="00716CC2">
              <w:rPr>
                <w:szCs w:val="18"/>
              </w:rPr>
              <w:t xml:space="preserve">Inclusive of health and safety programme </w:t>
            </w:r>
          </w:p>
          <w:p w14:paraId="2A9B3B24" w14:textId="77777777" w:rsidR="00916502" w:rsidRPr="00716CC2" w:rsidRDefault="00916502" w:rsidP="00916502">
            <w:pPr>
              <w:pStyle w:val="TableBullet"/>
              <w:rPr>
                <w:szCs w:val="18"/>
              </w:rPr>
            </w:pPr>
            <w:r w:rsidRPr="00716CC2">
              <w:rPr>
                <w:szCs w:val="18"/>
              </w:rPr>
              <w:t xml:space="preserve">Maintenance programme is responsive </w:t>
            </w:r>
          </w:p>
          <w:p w14:paraId="2038968B" w14:textId="77777777" w:rsidR="00916502" w:rsidRPr="00716CC2" w:rsidRDefault="00916502" w:rsidP="00916502">
            <w:pPr>
              <w:pStyle w:val="TableBullet"/>
              <w:rPr>
                <w:szCs w:val="18"/>
              </w:rPr>
            </w:pPr>
            <w:r w:rsidRPr="00716CC2">
              <w:rPr>
                <w:szCs w:val="18"/>
              </w:rPr>
              <w:t xml:space="preserve">Need to consider ligature points – alignment with services being delivered </w:t>
            </w:r>
          </w:p>
          <w:p w14:paraId="35F40A65" w14:textId="77777777" w:rsidR="00916502" w:rsidRPr="00716CC2" w:rsidRDefault="00916502" w:rsidP="00916502">
            <w:pPr>
              <w:pStyle w:val="TableBullet"/>
              <w:rPr>
                <w:szCs w:val="18"/>
              </w:rPr>
            </w:pPr>
            <w:r w:rsidRPr="00716CC2">
              <w:rPr>
                <w:szCs w:val="18"/>
              </w:rPr>
              <w:t>Mention of hot water monitoring!!</w:t>
            </w:r>
          </w:p>
        </w:tc>
        <w:tc>
          <w:tcPr>
            <w:tcW w:w="2855" w:type="dxa"/>
            <w:gridSpan w:val="3"/>
            <w:shd w:val="clear" w:color="auto" w:fill="FFFFFF" w:themeFill="background1"/>
          </w:tcPr>
          <w:p w14:paraId="6E3F8B7F" w14:textId="77777777" w:rsidR="00916502" w:rsidRPr="00716CC2" w:rsidRDefault="00916502" w:rsidP="00916502">
            <w:pPr>
              <w:pStyle w:val="TableBullet"/>
              <w:rPr>
                <w:szCs w:val="18"/>
              </w:rPr>
            </w:pPr>
            <w:r w:rsidRPr="00716CC2">
              <w:rPr>
                <w:szCs w:val="18"/>
              </w:rPr>
              <w:t>“Fit for purpose” covered in Main standard statement so remove this standard</w:t>
            </w:r>
          </w:p>
          <w:p w14:paraId="16D779EE" w14:textId="77777777" w:rsidR="00916502" w:rsidRPr="00716CC2" w:rsidRDefault="00916502" w:rsidP="00916502">
            <w:pPr>
              <w:pStyle w:val="TableBullet"/>
              <w:rPr>
                <w:szCs w:val="18"/>
              </w:rPr>
            </w:pPr>
          </w:p>
        </w:tc>
        <w:tc>
          <w:tcPr>
            <w:tcW w:w="2855" w:type="dxa"/>
            <w:gridSpan w:val="3"/>
            <w:shd w:val="clear" w:color="auto" w:fill="FFFFFF" w:themeFill="background1"/>
          </w:tcPr>
          <w:p w14:paraId="636D5D6D" w14:textId="77777777" w:rsidR="00916502" w:rsidRPr="00716CC2" w:rsidRDefault="00916502" w:rsidP="00916502">
            <w:pPr>
              <w:pStyle w:val="TableBullet"/>
              <w:rPr>
                <w:szCs w:val="18"/>
              </w:rPr>
            </w:pPr>
            <w:r w:rsidRPr="00716CC2">
              <w:rPr>
                <w:szCs w:val="18"/>
              </w:rPr>
              <w:t xml:space="preserve">Requires guidance on what this should include and no definition of an appropriate, accessible physical environment. </w:t>
            </w:r>
          </w:p>
          <w:p w14:paraId="75A600C0" w14:textId="77777777" w:rsidR="00916502" w:rsidRPr="00716CC2" w:rsidRDefault="00916502" w:rsidP="00916502">
            <w:pPr>
              <w:pStyle w:val="TableBullet"/>
              <w:rPr>
                <w:szCs w:val="18"/>
              </w:rPr>
            </w:pPr>
            <w:r w:rsidRPr="00716CC2">
              <w:rPr>
                <w:szCs w:val="18"/>
              </w:rPr>
              <w:t>Requires guidance on what amenities are essential, and or nice to have, in or out of this environment.</w:t>
            </w:r>
          </w:p>
          <w:p w14:paraId="7C77C400" w14:textId="77777777" w:rsidR="00916502" w:rsidRPr="00716CC2" w:rsidRDefault="00916502" w:rsidP="00916502">
            <w:pPr>
              <w:pStyle w:val="TableBullet"/>
              <w:rPr>
                <w:szCs w:val="18"/>
              </w:rPr>
            </w:pPr>
            <w:r w:rsidRPr="00716CC2">
              <w:rPr>
                <w:szCs w:val="18"/>
              </w:rPr>
              <w:t xml:space="preserve">Requires consumer involvement with determining and or measuring </w:t>
            </w:r>
            <w:r w:rsidRPr="00716CC2">
              <w:rPr>
                <w:szCs w:val="18"/>
              </w:rPr>
              <w:lastRenderedPageBreak/>
              <w:t>appropriateness, accessibility, and fit for purpose.</w:t>
            </w:r>
          </w:p>
          <w:p w14:paraId="19A736C1" w14:textId="77777777" w:rsidR="00916502" w:rsidRPr="00716CC2" w:rsidRDefault="00916502" w:rsidP="00916502">
            <w:pPr>
              <w:pStyle w:val="TableBullet"/>
              <w:rPr>
                <w:szCs w:val="18"/>
              </w:rPr>
            </w:pPr>
            <w:r w:rsidRPr="00716CC2">
              <w:rPr>
                <w:szCs w:val="18"/>
              </w:rPr>
              <w:t>Requires an objective definition of how to meet this standard. Currently, this leaves it open to a broad or narrow interpretation by the provider and auditors.</w:t>
            </w:r>
          </w:p>
          <w:p w14:paraId="3EEC3C3E" w14:textId="77777777" w:rsidR="00916502" w:rsidRPr="00716CC2" w:rsidRDefault="00916502" w:rsidP="00916502">
            <w:pPr>
              <w:pStyle w:val="TableBullet"/>
              <w:rPr>
                <w:szCs w:val="18"/>
              </w:rPr>
            </w:pPr>
            <w:r w:rsidRPr="00716CC2">
              <w:rPr>
                <w:szCs w:val="18"/>
              </w:rPr>
              <w:t>Should ‘fixtures and fittings’ be included at every audit?</w:t>
            </w:r>
          </w:p>
          <w:p w14:paraId="07CFDDDC" w14:textId="77777777" w:rsidR="00916502" w:rsidRPr="00716CC2" w:rsidRDefault="00916502" w:rsidP="00916502">
            <w:pPr>
              <w:pStyle w:val="TableBullet"/>
              <w:rPr>
                <w:szCs w:val="18"/>
              </w:rPr>
            </w:pPr>
            <w:r w:rsidRPr="00716CC2">
              <w:rPr>
                <w:szCs w:val="18"/>
              </w:rPr>
              <w:t>Should the ‘up-to-date ‘maintenance schedule’ be included for all fixtures and fittings at each audit?</w:t>
            </w:r>
          </w:p>
          <w:p w14:paraId="4C7EF166" w14:textId="77777777" w:rsidR="00916502" w:rsidRPr="00716CC2" w:rsidRDefault="00916502" w:rsidP="00916502">
            <w:pPr>
              <w:pStyle w:val="TableBullet"/>
              <w:rPr>
                <w:szCs w:val="18"/>
              </w:rPr>
            </w:pPr>
          </w:p>
        </w:tc>
        <w:tc>
          <w:tcPr>
            <w:tcW w:w="2856" w:type="dxa"/>
            <w:gridSpan w:val="3"/>
            <w:shd w:val="clear" w:color="auto" w:fill="FFFFFF" w:themeFill="background1"/>
          </w:tcPr>
          <w:p w14:paraId="3CFFC3E6" w14:textId="77777777" w:rsidR="00916502" w:rsidRPr="00716CC2" w:rsidRDefault="00916502" w:rsidP="00916502">
            <w:pPr>
              <w:pStyle w:val="TableBullet"/>
              <w:rPr>
                <w:szCs w:val="18"/>
              </w:rPr>
            </w:pPr>
            <w:r w:rsidRPr="00716CC2">
              <w:rPr>
                <w:szCs w:val="18"/>
              </w:rPr>
              <w:lastRenderedPageBreak/>
              <w:t>Delete as statement should be included in main statement</w:t>
            </w:r>
          </w:p>
          <w:p w14:paraId="3B0B3355" w14:textId="77777777" w:rsidR="00916502" w:rsidRPr="00716CC2" w:rsidRDefault="00916502" w:rsidP="00916502">
            <w:pPr>
              <w:pStyle w:val="TableBullet"/>
              <w:rPr>
                <w:szCs w:val="18"/>
              </w:rPr>
            </w:pPr>
            <w:r w:rsidRPr="00716CC2">
              <w:rPr>
                <w:szCs w:val="18"/>
              </w:rPr>
              <w:t>Amend rather than delete. I think the point here was that the group agreed that good governance would include this and should be part of describing what good governance looks like for this part of the sector. (FM, IP&amp;C Nurse specialist)</w:t>
            </w:r>
          </w:p>
        </w:tc>
      </w:tr>
      <w:tr w:rsidR="006D5FE4" w:rsidRPr="00716CC2" w14:paraId="1DB8AB2E" w14:textId="77777777" w:rsidTr="007A7079">
        <w:trPr>
          <w:gridAfter w:val="2"/>
          <w:wAfter w:w="608" w:type="dxa"/>
        </w:trPr>
        <w:tc>
          <w:tcPr>
            <w:tcW w:w="14276" w:type="dxa"/>
            <w:gridSpan w:val="13"/>
            <w:shd w:val="clear" w:color="auto" w:fill="FFFFFF" w:themeFill="background1"/>
          </w:tcPr>
          <w:p w14:paraId="6EED3935" w14:textId="77777777" w:rsidR="006D5FE4" w:rsidRPr="00716CC2" w:rsidRDefault="006D5FE4" w:rsidP="00916502">
            <w:pPr>
              <w:spacing w:before="40" w:after="40"/>
              <w:rPr>
                <w:b/>
                <w:sz w:val="18"/>
                <w:szCs w:val="18"/>
              </w:rPr>
            </w:pPr>
          </w:p>
        </w:tc>
      </w:tr>
      <w:tr w:rsidR="006D5FE4" w:rsidRPr="00716CC2" w14:paraId="1C586E98" w14:textId="77777777" w:rsidTr="007A7079">
        <w:trPr>
          <w:gridAfter w:val="2"/>
          <w:wAfter w:w="608" w:type="dxa"/>
        </w:trPr>
        <w:tc>
          <w:tcPr>
            <w:tcW w:w="14276" w:type="dxa"/>
            <w:gridSpan w:val="13"/>
            <w:shd w:val="clear" w:color="auto" w:fill="F2F2F2" w:themeFill="background1" w:themeFillShade="F2"/>
          </w:tcPr>
          <w:p w14:paraId="508BC02D" w14:textId="77777777" w:rsidR="006D5FE4" w:rsidRPr="00716CC2" w:rsidRDefault="00916502" w:rsidP="00916502">
            <w:pPr>
              <w:spacing w:before="40" w:after="40"/>
              <w:rPr>
                <w:b/>
                <w:sz w:val="18"/>
                <w:szCs w:val="18"/>
              </w:rPr>
            </w:pPr>
            <w:r w:rsidRPr="00716CC2">
              <w:rPr>
                <w:b/>
                <w:sz w:val="18"/>
                <w:szCs w:val="18"/>
              </w:rPr>
              <w:t xml:space="preserve">Standard 1.4.3: </w:t>
            </w:r>
            <w:r w:rsidRPr="00716CC2">
              <w:rPr>
                <w:sz w:val="18"/>
                <w:szCs w:val="18"/>
              </w:rPr>
              <w:t>Toilet, Shower, and Bathing Facilities (HDS(C)S.2008:1.4.3): Consumers are provided with adequate toilet/shower/bathing facilities.  Consumers are assured privacy when attending to personal hygiene requirements or receiving assistance with personal hygiene requirement</w:t>
            </w:r>
          </w:p>
        </w:tc>
      </w:tr>
      <w:tr w:rsidR="006D5FE4" w:rsidRPr="00716CC2" w14:paraId="0A47131F" w14:textId="77777777" w:rsidTr="007A7079">
        <w:trPr>
          <w:gridAfter w:val="2"/>
          <w:wAfter w:w="608" w:type="dxa"/>
        </w:trPr>
        <w:tc>
          <w:tcPr>
            <w:tcW w:w="2855" w:type="dxa"/>
            <w:shd w:val="clear" w:color="auto" w:fill="FFFFFF" w:themeFill="background1"/>
          </w:tcPr>
          <w:p w14:paraId="07977472"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585AE7DE"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327E212A"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2BCB2937"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BF8FE78"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916502" w:rsidRPr="00716CC2" w14:paraId="4B3AA3F5" w14:textId="77777777" w:rsidTr="007A7079">
        <w:trPr>
          <w:gridAfter w:val="2"/>
          <w:wAfter w:w="608" w:type="dxa"/>
        </w:trPr>
        <w:tc>
          <w:tcPr>
            <w:tcW w:w="2855" w:type="dxa"/>
            <w:shd w:val="clear" w:color="auto" w:fill="FFFFFF" w:themeFill="background1"/>
          </w:tcPr>
          <w:p w14:paraId="63B53159" w14:textId="77777777" w:rsidR="00916502" w:rsidRPr="00716CC2" w:rsidRDefault="00916502" w:rsidP="00916502">
            <w:pPr>
              <w:pStyle w:val="TableBullet"/>
              <w:rPr>
                <w:szCs w:val="18"/>
              </w:rPr>
            </w:pPr>
            <w:r w:rsidRPr="00716CC2">
              <w:rPr>
                <w:szCs w:val="18"/>
              </w:rPr>
              <w:t xml:space="preserve">Consider including improvements for patient safety – coloured toilet seats for aged and dementia patients </w:t>
            </w:r>
          </w:p>
          <w:p w14:paraId="3933202A" w14:textId="77777777" w:rsidR="00916502" w:rsidRPr="00716CC2" w:rsidRDefault="00916502" w:rsidP="00916502">
            <w:pPr>
              <w:pStyle w:val="TableBullet"/>
              <w:rPr>
                <w:szCs w:val="18"/>
              </w:rPr>
            </w:pPr>
            <w:r w:rsidRPr="00716CC2">
              <w:rPr>
                <w:szCs w:val="18"/>
              </w:rPr>
              <w:t xml:space="preserve">Handwashing areas are for handwashing only </w:t>
            </w:r>
          </w:p>
          <w:p w14:paraId="7965B642" w14:textId="77777777" w:rsidR="00916502" w:rsidRPr="00716CC2" w:rsidRDefault="00916502" w:rsidP="00916502">
            <w:pPr>
              <w:pStyle w:val="TableBullet"/>
              <w:rPr>
                <w:szCs w:val="18"/>
              </w:rPr>
            </w:pPr>
            <w:r w:rsidRPr="00716CC2">
              <w:rPr>
                <w:szCs w:val="18"/>
              </w:rPr>
              <w:t>Isolation challenges – with toilets/ showers in hospitals</w:t>
            </w:r>
          </w:p>
          <w:p w14:paraId="4E0DFB5C" w14:textId="77777777" w:rsidR="00916502" w:rsidRPr="00716CC2" w:rsidRDefault="00916502" w:rsidP="00916502">
            <w:pPr>
              <w:pStyle w:val="TableBullet"/>
              <w:rPr>
                <w:szCs w:val="18"/>
              </w:rPr>
            </w:pPr>
            <w:r w:rsidRPr="00716CC2">
              <w:rPr>
                <w:szCs w:val="18"/>
              </w:rPr>
              <w:t>Cross over with IPC specifications on safe buildings from IPC perspective (NZNO IPC)</w:t>
            </w:r>
          </w:p>
        </w:tc>
        <w:tc>
          <w:tcPr>
            <w:tcW w:w="2855" w:type="dxa"/>
            <w:gridSpan w:val="3"/>
            <w:shd w:val="clear" w:color="auto" w:fill="FFFFFF" w:themeFill="background1"/>
          </w:tcPr>
          <w:p w14:paraId="0970DC28" w14:textId="77777777" w:rsidR="00916502" w:rsidRPr="00716CC2" w:rsidRDefault="00916502" w:rsidP="00916502">
            <w:pPr>
              <w:pStyle w:val="TableBullet"/>
              <w:rPr>
                <w:szCs w:val="18"/>
              </w:rPr>
            </w:pPr>
            <w:r w:rsidRPr="00716CC2">
              <w:rPr>
                <w:szCs w:val="18"/>
              </w:rPr>
              <w:t>No issues</w:t>
            </w:r>
          </w:p>
          <w:p w14:paraId="49BA94F1" w14:textId="77777777" w:rsidR="00916502" w:rsidRPr="00716CC2" w:rsidRDefault="00916502" w:rsidP="00916502">
            <w:pPr>
              <w:pStyle w:val="TableBullet"/>
              <w:rPr>
                <w:szCs w:val="18"/>
              </w:rPr>
            </w:pPr>
          </w:p>
        </w:tc>
        <w:tc>
          <w:tcPr>
            <w:tcW w:w="2855" w:type="dxa"/>
            <w:gridSpan w:val="3"/>
            <w:shd w:val="clear" w:color="auto" w:fill="FFFFFF" w:themeFill="background1"/>
          </w:tcPr>
          <w:p w14:paraId="15F0B40D" w14:textId="77777777" w:rsidR="00916502" w:rsidRPr="00716CC2" w:rsidRDefault="00916502" w:rsidP="00916502">
            <w:pPr>
              <w:pStyle w:val="TableBullet"/>
              <w:rPr>
                <w:szCs w:val="18"/>
              </w:rPr>
            </w:pPr>
            <w:r w:rsidRPr="00716CC2">
              <w:rPr>
                <w:szCs w:val="18"/>
              </w:rPr>
              <w:t>Add appropriate for needs (reflective of services offered)</w:t>
            </w:r>
          </w:p>
          <w:p w14:paraId="4E3809AC" w14:textId="77777777" w:rsidR="00916502" w:rsidRPr="00716CC2" w:rsidRDefault="00916502" w:rsidP="00916502">
            <w:pPr>
              <w:pStyle w:val="TableBullet"/>
              <w:rPr>
                <w:szCs w:val="18"/>
              </w:rPr>
            </w:pPr>
            <w:r w:rsidRPr="00716CC2">
              <w:rPr>
                <w:szCs w:val="18"/>
              </w:rPr>
              <w:t xml:space="preserve">Reverse with standard 1.4.4 placed in front of this standard </w:t>
            </w:r>
          </w:p>
        </w:tc>
        <w:tc>
          <w:tcPr>
            <w:tcW w:w="2855" w:type="dxa"/>
            <w:gridSpan w:val="3"/>
            <w:shd w:val="clear" w:color="auto" w:fill="FFFFFF" w:themeFill="background1"/>
          </w:tcPr>
          <w:p w14:paraId="56D7F91A" w14:textId="77777777" w:rsidR="00916502" w:rsidRPr="00716CC2" w:rsidRDefault="00916502" w:rsidP="00916502">
            <w:pPr>
              <w:pStyle w:val="TableBullet"/>
              <w:rPr>
                <w:szCs w:val="18"/>
              </w:rPr>
            </w:pPr>
            <w:r w:rsidRPr="00716CC2">
              <w:rPr>
                <w:szCs w:val="18"/>
              </w:rPr>
              <w:t>Requires an objective definition of how to meet this standard.  Currently, this leaves it open to a broad or narrow interpretation by the provider and auditors.</w:t>
            </w:r>
          </w:p>
          <w:p w14:paraId="367C50AF" w14:textId="77777777" w:rsidR="00916502" w:rsidRPr="00716CC2" w:rsidRDefault="00916502" w:rsidP="00916502">
            <w:pPr>
              <w:pStyle w:val="TableBullet"/>
              <w:rPr>
                <w:szCs w:val="18"/>
              </w:rPr>
            </w:pPr>
            <w:r w:rsidRPr="00716CC2">
              <w:rPr>
                <w:szCs w:val="18"/>
              </w:rPr>
              <w:t>Requires a definition for adequate.</w:t>
            </w:r>
          </w:p>
          <w:p w14:paraId="5A30152D" w14:textId="77777777" w:rsidR="00916502" w:rsidRPr="00716CC2" w:rsidRDefault="00916502" w:rsidP="00916502">
            <w:pPr>
              <w:pStyle w:val="TableBullet"/>
              <w:rPr>
                <w:szCs w:val="18"/>
              </w:rPr>
            </w:pPr>
            <w:r w:rsidRPr="00716CC2">
              <w:rPr>
                <w:szCs w:val="18"/>
              </w:rPr>
              <w:t>Requires consumer involvement with determining and or measuring the adequacy of toilet /shower /bathing facilities</w:t>
            </w:r>
          </w:p>
          <w:p w14:paraId="01A943C1" w14:textId="77777777" w:rsidR="00916502" w:rsidRPr="00716CC2" w:rsidRDefault="00916502" w:rsidP="00916502">
            <w:pPr>
              <w:pStyle w:val="TableBullet"/>
              <w:rPr>
                <w:szCs w:val="18"/>
              </w:rPr>
            </w:pPr>
            <w:r w:rsidRPr="00716CC2">
              <w:rPr>
                <w:szCs w:val="18"/>
              </w:rPr>
              <w:t xml:space="preserve">Requires consumer choice about which toilet/bath/shower to </w:t>
            </w:r>
            <w:r w:rsidRPr="00716CC2">
              <w:rPr>
                <w:szCs w:val="18"/>
              </w:rPr>
              <w:lastRenderedPageBreak/>
              <w:t>frequent, and  preferences for when to have a shower/bath</w:t>
            </w:r>
          </w:p>
          <w:p w14:paraId="559905E0" w14:textId="77777777" w:rsidR="00916502" w:rsidRPr="00716CC2" w:rsidRDefault="00916502" w:rsidP="00916502">
            <w:pPr>
              <w:pStyle w:val="TableBullet"/>
              <w:rPr>
                <w:szCs w:val="18"/>
              </w:rPr>
            </w:pPr>
            <w:r w:rsidRPr="00716CC2">
              <w:rPr>
                <w:szCs w:val="18"/>
              </w:rPr>
              <w:t xml:space="preserve">Requires the consumer perspective related to their privacy when attending to, or receiving assistance with personal hygiene. </w:t>
            </w:r>
          </w:p>
          <w:p w14:paraId="6A833625" w14:textId="77777777" w:rsidR="00916502" w:rsidRPr="00716CC2" w:rsidRDefault="00916502" w:rsidP="00916502">
            <w:pPr>
              <w:pStyle w:val="TableBullet"/>
              <w:rPr>
                <w:szCs w:val="18"/>
              </w:rPr>
            </w:pPr>
            <w:r w:rsidRPr="00716CC2">
              <w:rPr>
                <w:szCs w:val="18"/>
              </w:rPr>
              <w:t>Requires inclusion of hot water temperature monitoring over time</w:t>
            </w:r>
          </w:p>
          <w:p w14:paraId="46C11197" w14:textId="77777777" w:rsidR="00916502" w:rsidRPr="00716CC2" w:rsidRDefault="00916502" w:rsidP="00916502">
            <w:pPr>
              <w:pStyle w:val="TableBullet"/>
              <w:rPr>
                <w:szCs w:val="18"/>
              </w:rPr>
            </w:pPr>
            <w:r w:rsidRPr="00716CC2">
              <w:rPr>
                <w:szCs w:val="18"/>
              </w:rPr>
              <w:t>Think this is quite important around privacy of the resident as often see residents being wheeled up the hallway with a towel wrapped round them following a shower but their backsides exposed.  Possibly needs to be linked to Section 1.1 Consumer Rights (C.Ropati, CHT)</w:t>
            </w:r>
          </w:p>
        </w:tc>
        <w:tc>
          <w:tcPr>
            <w:tcW w:w="2856" w:type="dxa"/>
            <w:gridSpan w:val="3"/>
            <w:shd w:val="clear" w:color="auto" w:fill="FFFFFF" w:themeFill="background1"/>
          </w:tcPr>
          <w:p w14:paraId="77CCBA20" w14:textId="77777777" w:rsidR="00916502" w:rsidRPr="00716CC2" w:rsidRDefault="00916502" w:rsidP="00916502">
            <w:pPr>
              <w:pStyle w:val="TableBullet"/>
              <w:rPr>
                <w:szCs w:val="18"/>
              </w:rPr>
            </w:pPr>
            <w:r w:rsidRPr="00716CC2">
              <w:rPr>
                <w:szCs w:val="18"/>
              </w:rPr>
              <w:lastRenderedPageBreak/>
              <w:t>Needs to reflect residents who live in a smaller home environment</w:t>
            </w:r>
          </w:p>
          <w:p w14:paraId="040D4987" w14:textId="77777777" w:rsidR="00916502" w:rsidRPr="00716CC2" w:rsidRDefault="00916502" w:rsidP="00916502">
            <w:pPr>
              <w:pStyle w:val="TableBullet"/>
              <w:rPr>
                <w:szCs w:val="18"/>
              </w:rPr>
            </w:pPr>
            <w:r w:rsidRPr="00716CC2">
              <w:rPr>
                <w:szCs w:val="18"/>
              </w:rPr>
              <w:t>‘Accessibility and independence’ needs to be included in statement</w:t>
            </w:r>
          </w:p>
          <w:p w14:paraId="0CCA62BD" w14:textId="77777777" w:rsidR="00916502" w:rsidRPr="00716CC2" w:rsidRDefault="00916502" w:rsidP="00916502">
            <w:pPr>
              <w:pStyle w:val="TableBullet"/>
              <w:rPr>
                <w:szCs w:val="18"/>
              </w:rPr>
            </w:pPr>
            <w:r w:rsidRPr="00716CC2">
              <w:rPr>
                <w:szCs w:val="18"/>
              </w:rPr>
              <w:t>‘Fit for purpose’ – to reflect non-institutionalised facilities</w:t>
            </w:r>
          </w:p>
        </w:tc>
      </w:tr>
      <w:tr w:rsidR="006D5FE4" w:rsidRPr="00716CC2" w14:paraId="503A37C7" w14:textId="77777777" w:rsidTr="007A7079">
        <w:trPr>
          <w:gridAfter w:val="2"/>
          <w:wAfter w:w="608" w:type="dxa"/>
        </w:trPr>
        <w:tc>
          <w:tcPr>
            <w:tcW w:w="14276" w:type="dxa"/>
            <w:gridSpan w:val="13"/>
            <w:shd w:val="clear" w:color="auto" w:fill="FFFFFF" w:themeFill="background1"/>
          </w:tcPr>
          <w:p w14:paraId="23B0C9CB" w14:textId="77777777" w:rsidR="006D5FE4" w:rsidRPr="00716CC2" w:rsidRDefault="006D5FE4" w:rsidP="00916502">
            <w:pPr>
              <w:spacing w:before="40" w:after="40"/>
              <w:rPr>
                <w:b/>
                <w:sz w:val="18"/>
                <w:szCs w:val="18"/>
              </w:rPr>
            </w:pPr>
          </w:p>
        </w:tc>
      </w:tr>
      <w:tr w:rsidR="006D5FE4" w:rsidRPr="00716CC2" w14:paraId="518A0817" w14:textId="77777777" w:rsidTr="007A7079">
        <w:trPr>
          <w:gridAfter w:val="2"/>
          <w:wAfter w:w="608" w:type="dxa"/>
        </w:trPr>
        <w:tc>
          <w:tcPr>
            <w:tcW w:w="14276" w:type="dxa"/>
            <w:gridSpan w:val="13"/>
            <w:shd w:val="clear" w:color="auto" w:fill="F2F2F2" w:themeFill="background1" w:themeFillShade="F2"/>
          </w:tcPr>
          <w:p w14:paraId="647AAE9F" w14:textId="77777777" w:rsidR="006D5FE4" w:rsidRPr="00716CC2" w:rsidRDefault="00916502" w:rsidP="00916502">
            <w:pPr>
              <w:spacing w:before="40" w:after="40"/>
              <w:rPr>
                <w:b/>
                <w:sz w:val="18"/>
                <w:szCs w:val="18"/>
              </w:rPr>
            </w:pPr>
            <w:r w:rsidRPr="00716CC2">
              <w:rPr>
                <w:b/>
                <w:sz w:val="18"/>
                <w:szCs w:val="18"/>
              </w:rPr>
              <w:t xml:space="preserve">Standard 1.4.4: </w:t>
            </w:r>
            <w:r w:rsidRPr="00716CC2">
              <w:rPr>
                <w:sz w:val="18"/>
                <w:szCs w:val="18"/>
              </w:rPr>
              <w:t>Personal Space/Bed Areas  (HDS(C)S.2008:1.4.4): Consumers are provided with adequate personal space/bed areas appropriate to the consumer group and setting.</w:t>
            </w:r>
          </w:p>
        </w:tc>
      </w:tr>
      <w:tr w:rsidR="006D5FE4" w:rsidRPr="00716CC2" w14:paraId="46B2ED94" w14:textId="77777777" w:rsidTr="007A7079">
        <w:trPr>
          <w:gridAfter w:val="2"/>
          <w:wAfter w:w="608" w:type="dxa"/>
        </w:trPr>
        <w:tc>
          <w:tcPr>
            <w:tcW w:w="2855" w:type="dxa"/>
            <w:shd w:val="clear" w:color="auto" w:fill="FFFFFF" w:themeFill="background1"/>
          </w:tcPr>
          <w:p w14:paraId="37653DA3"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41FA638B"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3DC9905B"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78B3CA1F"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45E0A03"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916502" w:rsidRPr="00716CC2" w14:paraId="4EE65838" w14:textId="77777777" w:rsidTr="007A7079">
        <w:trPr>
          <w:gridAfter w:val="2"/>
          <w:wAfter w:w="608" w:type="dxa"/>
        </w:trPr>
        <w:tc>
          <w:tcPr>
            <w:tcW w:w="2855" w:type="dxa"/>
            <w:shd w:val="clear" w:color="auto" w:fill="FFFFFF" w:themeFill="background1"/>
          </w:tcPr>
          <w:p w14:paraId="59513476" w14:textId="77777777" w:rsidR="00916502" w:rsidRPr="00716CC2" w:rsidRDefault="00916502" w:rsidP="00916502">
            <w:pPr>
              <w:pStyle w:val="TableBullet"/>
              <w:rPr>
                <w:szCs w:val="18"/>
              </w:rPr>
            </w:pPr>
            <w:r w:rsidRPr="00716CC2">
              <w:rPr>
                <w:szCs w:val="18"/>
              </w:rPr>
              <w:t>No comment</w:t>
            </w:r>
          </w:p>
          <w:p w14:paraId="1B5669B6" w14:textId="77777777" w:rsidR="00916502" w:rsidRPr="00716CC2" w:rsidRDefault="00916502" w:rsidP="00916502">
            <w:pPr>
              <w:pStyle w:val="TableBullet"/>
              <w:rPr>
                <w:szCs w:val="18"/>
              </w:rPr>
            </w:pPr>
            <w:r w:rsidRPr="00716CC2">
              <w:rPr>
                <w:szCs w:val="18"/>
              </w:rPr>
              <w:t>Cross over with IPC specifications on safe buildings from IPC perspective (NZNO IPC)</w:t>
            </w:r>
          </w:p>
        </w:tc>
        <w:tc>
          <w:tcPr>
            <w:tcW w:w="2855" w:type="dxa"/>
            <w:gridSpan w:val="3"/>
            <w:shd w:val="clear" w:color="auto" w:fill="FFFFFF" w:themeFill="background1"/>
          </w:tcPr>
          <w:p w14:paraId="5D223299" w14:textId="77777777" w:rsidR="00916502" w:rsidRPr="00716CC2" w:rsidRDefault="00916502" w:rsidP="00916502">
            <w:pPr>
              <w:pStyle w:val="TableBullet"/>
              <w:rPr>
                <w:szCs w:val="18"/>
              </w:rPr>
            </w:pPr>
            <w:r w:rsidRPr="00716CC2">
              <w:rPr>
                <w:szCs w:val="18"/>
              </w:rPr>
              <w:t>Need to consider the therapeutic rationale in respect of the environment - conversation about this client group often need to develop skills with others – there illness often makes them isolated and engagement and working with others is included in model of care.</w:t>
            </w:r>
          </w:p>
        </w:tc>
        <w:tc>
          <w:tcPr>
            <w:tcW w:w="2855" w:type="dxa"/>
            <w:gridSpan w:val="3"/>
            <w:shd w:val="clear" w:color="auto" w:fill="FFFFFF" w:themeFill="background1"/>
          </w:tcPr>
          <w:p w14:paraId="03FBFC5D" w14:textId="77777777" w:rsidR="00916502" w:rsidRPr="00716CC2" w:rsidRDefault="00916502" w:rsidP="00916502">
            <w:pPr>
              <w:pStyle w:val="TableBullet"/>
              <w:rPr>
                <w:szCs w:val="18"/>
              </w:rPr>
            </w:pPr>
            <w:r w:rsidRPr="00716CC2">
              <w:rPr>
                <w:szCs w:val="18"/>
              </w:rPr>
              <w:t>Access to space and amenities</w:t>
            </w:r>
          </w:p>
          <w:p w14:paraId="750D3B06" w14:textId="77777777" w:rsidR="00916502" w:rsidRPr="00716CC2" w:rsidRDefault="00916502" w:rsidP="00916502">
            <w:pPr>
              <w:pStyle w:val="TableBullet"/>
              <w:rPr>
                <w:szCs w:val="18"/>
              </w:rPr>
            </w:pPr>
            <w:r w:rsidRPr="00716CC2">
              <w:rPr>
                <w:szCs w:val="18"/>
              </w:rPr>
              <w:t>Specific to areas of care (bariatric, palliative, DSS, psychogeriatric ) etc.</w:t>
            </w:r>
          </w:p>
        </w:tc>
        <w:tc>
          <w:tcPr>
            <w:tcW w:w="2855" w:type="dxa"/>
            <w:gridSpan w:val="3"/>
            <w:shd w:val="clear" w:color="auto" w:fill="FFFFFF" w:themeFill="background1"/>
          </w:tcPr>
          <w:p w14:paraId="179E3AB6" w14:textId="77777777" w:rsidR="00916502" w:rsidRPr="00716CC2" w:rsidRDefault="00916502" w:rsidP="00916502">
            <w:pPr>
              <w:pStyle w:val="TableBullet"/>
              <w:rPr>
                <w:szCs w:val="18"/>
              </w:rPr>
            </w:pPr>
            <w:r w:rsidRPr="00716CC2">
              <w:rPr>
                <w:szCs w:val="18"/>
              </w:rPr>
              <w:t>Requires a definition for adequate.</w:t>
            </w:r>
          </w:p>
          <w:p w14:paraId="2C3F1064" w14:textId="77777777" w:rsidR="00916502" w:rsidRPr="00716CC2" w:rsidRDefault="00916502" w:rsidP="00916502">
            <w:pPr>
              <w:pStyle w:val="TableBullet"/>
              <w:rPr>
                <w:szCs w:val="18"/>
              </w:rPr>
            </w:pPr>
            <w:r w:rsidRPr="00716CC2">
              <w:rPr>
                <w:szCs w:val="18"/>
              </w:rPr>
              <w:t>After initial audit, does this need to be audited at every audit?</w:t>
            </w:r>
          </w:p>
        </w:tc>
        <w:tc>
          <w:tcPr>
            <w:tcW w:w="2856" w:type="dxa"/>
            <w:gridSpan w:val="3"/>
            <w:shd w:val="clear" w:color="auto" w:fill="FFFFFF" w:themeFill="background1"/>
          </w:tcPr>
          <w:p w14:paraId="0A648F9E" w14:textId="77777777" w:rsidR="00916502" w:rsidRPr="00716CC2" w:rsidRDefault="00916502" w:rsidP="00916502">
            <w:pPr>
              <w:pStyle w:val="TableBullet"/>
              <w:rPr>
                <w:szCs w:val="18"/>
              </w:rPr>
            </w:pPr>
            <w:r w:rsidRPr="00716CC2">
              <w:rPr>
                <w:szCs w:val="18"/>
              </w:rPr>
              <w:t>Covered in main statement under facilities specifications.</w:t>
            </w:r>
          </w:p>
        </w:tc>
      </w:tr>
      <w:tr w:rsidR="006D5FE4" w:rsidRPr="00716CC2" w14:paraId="44ACC568" w14:textId="77777777" w:rsidTr="007A7079">
        <w:trPr>
          <w:gridAfter w:val="2"/>
          <w:wAfter w:w="608" w:type="dxa"/>
        </w:trPr>
        <w:tc>
          <w:tcPr>
            <w:tcW w:w="14276" w:type="dxa"/>
            <w:gridSpan w:val="13"/>
            <w:shd w:val="clear" w:color="auto" w:fill="FFFFFF" w:themeFill="background1"/>
          </w:tcPr>
          <w:p w14:paraId="75D3428B" w14:textId="77777777" w:rsidR="006D5FE4" w:rsidRPr="00716CC2" w:rsidRDefault="006D5FE4" w:rsidP="00916502">
            <w:pPr>
              <w:spacing w:before="40" w:after="40"/>
              <w:rPr>
                <w:b/>
                <w:sz w:val="18"/>
                <w:szCs w:val="18"/>
              </w:rPr>
            </w:pPr>
          </w:p>
        </w:tc>
      </w:tr>
      <w:tr w:rsidR="006D5FE4" w:rsidRPr="00716CC2" w14:paraId="229193D9" w14:textId="77777777" w:rsidTr="007A7079">
        <w:trPr>
          <w:gridAfter w:val="2"/>
          <w:wAfter w:w="608" w:type="dxa"/>
        </w:trPr>
        <w:tc>
          <w:tcPr>
            <w:tcW w:w="14276" w:type="dxa"/>
            <w:gridSpan w:val="13"/>
            <w:shd w:val="clear" w:color="auto" w:fill="F2F2F2" w:themeFill="background1" w:themeFillShade="F2"/>
          </w:tcPr>
          <w:p w14:paraId="331E0AD0" w14:textId="77777777" w:rsidR="006D5FE4" w:rsidRPr="00716CC2" w:rsidRDefault="00916502" w:rsidP="00916502">
            <w:pPr>
              <w:spacing w:before="40" w:after="40"/>
              <w:rPr>
                <w:b/>
                <w:sz w:val="18"/>
                <w:szCs w:val="18"/>
              </w:rPr>
            </w:pPr>
            <w:r w:rsidRPr="00716CC2">
              <w:rPr>
                <w:b/>
                <w:sz w:val="18"/>
                <w:szCs w:val="18"/>
              </w:rPr>
              <w:lastRenderedPageBreak/>
              <w:t xml:space="preserve">Standard 1.4.5: </w:t>
            </w:r>
            <w:r w:rsidRPr="00716CC2">
              <w:rPr>
                <w:sz w:val="18"/>
                <w:szCs w:val="18"/>
              </w:rPr>
              <w:t>Communal Areas for Entertainment, Recreation, and Dining (HDS(C)S.2008:1.4.5): Consumers are provided with safe, adequate, age appropriate, and accessible areas to meet their relaxation, activity, and dining needs.</w:t>
            </w:r>
          </w:p>
        </w:tc>
      </w:tr>
      <w:tr w:rsidR="006D5FE4" w:rsidRPr="00716CC2" w14:paraId="62B19308" w14:textId="77777777" w:rsidTr="007A7079">
        <w:trPr>
          <w:gridAfter w:val="2"/>
          <w:wAfter w:w="608" w:type="dxa"/>
        </w:trPr>
        <w:tc>
          <w:tcPr>
            <w:tcW w:w="2855" w:type="dxa"/>
            <w:shd w:val="clear" w:color="auto" w:fill="FFFFFF" w:themeFill="background1"/>
          </w:tcPr>
          <w:p w14:paraId="45E1ADD8"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7DD71247"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3EE533B1"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79FCD78D"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3E63CA6"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916502" w:rsidRPr="00716CC2" w14:paraId="6780A146" w14:textId="77777777" w:rsidTr="007A7079">
        <w:trPr>
          <w:gridAfter w:val="2"/>
          <w:wAfter w:w="608" w:type="dxa"/>
        </w:trPr>
        <w:tc>
          <w:tcPr>
            <w:tcW w:w="2855" w:type="dxa"/>
            <w:shd w:val="clear" w:color="auto" w:fill="FFFFFF" w:themeFill="background1"/>
          </w:tcPr>
          <w:p w14:paraId="516274F2" w14:textId="77777777" w:rsidR="00916502" w:rsidRPr="00716CC2" w:rsidRDefault="00916502" w:rsidP="00916502">
            <w:pPr>
              <w:pStyle w:val="TableBullet"/>
              <w:rPr>
                <w:szCs w:val="18"/>
              </w:rPr>
            </w:pPr>
            <w:r w:rsidRPr="00716CC2">
              <w:rPr>
                <w:szCs w:val="18"/>
              </w:rPr>
              <w:t xml:space="preserve">Ensure suitability of spaces for patients, families. </w:t>
            </w:r>
          </w:p>
          <w:p w14:paraId="492D35FD" w14:textId="77777777" w:rsidR="00916502" w:rsidRPr="00716CC2" w:rsidRDefault="00916502" w:rsidP="00916502">
            <w:pPr>
              <w:pStyle w:val="TableBullet"/>
              <w:rPr>
                <w:szCs w:val="18"/>
              </w:rPr>
            </w:pPr>
            <w:r w:rsidRPr="00716CC2">
              <w:rPr>
                <w:szCs w:val="18"/>
              </w:rPr>
              <w:t>Cross over with IPC specifications on safe buildings from IPC perspective (NZNO IPC)</w:t>
            </w:r>
          </w:p>
        </w:tc>
        <w:tc>
          <w:tcPr>
            <w:tcW w:w="2855" w:type="dxa"/>
            <w:gridSpan w:val="3"/>
            <w:shd w:val="clear" w:color="auto" w:fill="FFFFFF" w:themeFill="background1"/>
          </w:tcPr>
          <w:p w14:paraId="667D0F16" w14:textId="77777777" w:rsidR="00916502" w:rsidRPr="00716CC2" w:rsidRDefault="00916502" w:rsidP="00916502">
            <w:pPr>
              <w:pStyle w:val="TableBullet"/>
              <w:rPr>
                <w:szCs w:val="18"/>
              </w:rPr>
            </w:pPr>
            <w:r w:rsidRPr="00716CC2">
              <w:rPr>
                <w:szCs w:val="18"/>
              </w:rPr>
              <w:t>These areas are really important areas for engagement to ensure model of care is being delivered.</w:t>
            </w:r>
          </w:p>
        </w:tc>
        <w:tc>
          <w:tcPr>
            <w:tcW w:w="2855" w:type="dxa"/>
            <w:gridSpan w:val="3"/>
            <w:shd w:val="clear" w:color="auto" w:fill="FFFFFF" w:themeFill="background1"/>
          </w:tcPr>
          <w:p w14:paraId="66B8B993" w14:textId="77777777" w:rsidR="00916502" w:rsidRPr="00716CC2" w:rsidRDefault="00916502" w:rsidP="00916502">
            <w:pPr>
              <w:pStyle w:val="TableBullet"/>
              <w:rPr>
                <w:szCs w:val="18"/>
              </w:rPr>
            </w:pPr>
            <w:r w:rsidRPr="00716CC2">
              <w:rPr>
                <w:szCs w:val="18"/>
              </w:rPr>
              <w:t>Appropriate access, amenities, furniture, specific to each level of care provided</w:t>
            </w:r>
          </w:p>
          <w:p w14:paraId="57B41C89" w14:textId="77777777" w:rsidR="00916502" w:rsidRPr="00716CC2" w:rsidRDefault="00916502" w:rsidP="00916502">
            <w:pPr>
              <w:pStyle w:val="TableBullet"/>
              <w:rPr>
                <w:szCs w:val="18"/>
              </w:rPr>
            </w:pPr>
            <w:r w:rsidRPr="00716CC2">
              <w:rPr>
                <w:szCs w:val="18"/>
              </w:rPr>
              <w:t>Design has quiet spaces and whānau rooms separate from communal areas</w:t>
            </w:r>
          </w:p>
        </w:tc>
        <w:tc>
          <w:tcPr>
            <w:tcW w:w="2855" w:type="dxa"/>
            <w:gridSpan w:val="3"/>
            <w:shd w:val="clear" w:color="auto" w:fill="FFFFFF" w:themeFill="background1"/>
          </w:tcPr>
          <w:p w14:paraId="33B78F55" w14:textId="77777777" w:rsidR="00916502" w:rsidRPr="00716CC2" w:rsidRDefault="00916502" w:rsidP="00916502">
            <w:pPr>
              <w:pStyle w:val="TableBullet"/>
              <w:rPr>
                <w:szCs w:val="18"/>
              </w:rPr>
            </w:pPr>
            <w:r w:rsidRPr="00716CC2">
              <w:rPr>
                <w:szCs w:val="18"/>
              </w:rPr>
              <w:t>Requires consumer involvement with determining and or measuring the adequacy, appropriateness and accessibility of each communal area</w:t>
            </w:r>
          </w:p>
          <w:p w14:paraId="2402885F" w14:textId="77777777" w:rsidR="00916502" w:rsidRPr="00716CC2" w:rsidRDefault="00916502" w:rsidP="00916502">
            <w:pPr>
              <w:pStyle w:val="TableBullet"/>
              <w:rPr>
                <w:szCs w:val="18"/>
              </w:rPr>
            </w:pPr>
            <w:r w:rsidRPr="00716CC2">
              <w:rPr>
                <w:szCs w:val="18"/>
              </w:rPr>
              <w:t>Requires consumer involvement with determining and or measuring the degree that communal spaces meet their relaxation, activity, and dining needs</w:t>
            </w:r>
          </w:p>
        </w:tc>
        <w:tc>
          <w:tcPr>
            <w:tcW w:w="2856" w:type="dxa"/>
            <w:gridSpan w:val="3"/>
            <w:shd w:val="clear" w:color="auto" w:fill="FFFFFF" w:themeFill="background1"/>
          </w:tcPr>
          <w:p w14:paraId="10366BD9" w14:textId="77777777" w:rsidR="00916502" w:rsidRPr="00716CC2" w:rsidRDefault="00916502" w:rsidP="00916502">
            <w:pPr>
              <w:pStyle w:val="TableBullet"/>
              <w:rPr>
                <w:szCs w:val="18"/>
              </w:rPr>
            </w:pPr>
            <w:r w:rsidRPr="00716CC2">
              <w:rPr>
                <w:szCs w:val="18"/>
              </w:rPr>
              <w:t xml:space="preserve">Question – remove ‘Age’ from appropriate’ </w:t>
            </w:r>
          </w:p>
          <w:p w14:paraId="12D41450" w14:textId="77777777" w:rsidR="00916502" w:rsidRPr="00716CC2" w:rsidRDefault="00916502" w:rsidP="00916502">
            <w:pPr>
              <w:pStyle w:val="TableBullet"/>
              <w:rPr>
                <w:szCs w:val="18"/>
              </w:rPr>
            </w:pPr>
            <w:r w:rsidRPr="00716CC2">
              <w:rPr>
                <w:szCs w:val="18"/>
              </w:rPr>
              <w:t>Include ‘physical needs’ into statement</w:t>
            </w:r>
          </w:p>
          <w:p w14:paraId="6D1C088B" w14:textId="77777777" w:rsidR="00916502" w:rsidRPr="00716CC2" w:rsidRDefault="00916502" w:rsidP="00916502">
            <w:pPr>
              <w:pStyle w:val="TableBullet"/>
              <w:rPr>
                <w:szCs w:val="18"/>
              </w:rPr>
            </w:pPr>
            <w:r w:rsidRPr="00716CC2">
              <w:rPr>
                <w:szCs w:val="18"/>
              </w:rPr>
              <w:t>Recreational /quiet spaces separate from main integrated areas</w:t>
            </w:r>
          </w:p>
        </w:tc>
      </w:tr>
      <w:tr w:rsidR="006D5FE4" w:rsidRPr="00716CC2" w14:paraId="451D584E" w14:textId="77777777" w:rsidTr="007A7079">
        <w:trPr>
          <w:gridAfter w:val="2"/>
          <w:wAfter w:w="608" w:type="dxa"/>
        </w:trPr>
        <w:tc>
          <w:tcPr>
            <w:tcW w:w="14276" w:type="dxa"/>
            <w:gridSpan w:val="13"/>
            <w:shd w:val="clear" w:color="auto" w:fill="FFFFFF" w:themeFill="background1"/>
          </w:tcPr>
          <w:p w14:paraId="4CB7E01B" w14:textId="77777777" w:rsidR="006D5FE4" w:rsidRPr="00716CC2" w:rsidRDefault="006D5FE4" w:rsidP="00916502">
            <w:pPr>
              <w:spacing w:before="40" w:after="40"/>
              <w:rPr>
                <w:b/>
                <w:sz w:val="18"/>
                <w:szCs w:val="18"/>
              </w:rPr>
            </w:pPr>
          </w:p>
        </w:tc>
      </w:tr>
      <w:tr w:rsidR="006D5FE4" w:rsidRPr="00716CC2" w14:paraId="2D92C8FD" w14:textId="77777777" w:rsidTr="007A7079">
        <w:trPr>
          <w:gridAfter w:val="2"/>
          <w:wAfter w:w="608" w:type="dxa"/>
        </w:trPr>
        <w:tc>
          <w:tcPr>
            <w:tcW w:w="14276" w:type="dxa"/>
            <w:gridSpan w:val="13"/>
            <w:shd w:val="clear" w:color="auto" w:fill="F2F2F2" w:themeFill="background1" w:themeFillShade="F2"/>
          </w:tcPr>
          <w:p w14:paraId="11D182C7" w14:textId="77777777" w:rsidR="006D5FE4" w:rsidRPr="00716CC2" w:rsidRDefault="00916502" w:rsidP="00916502">
            <w:pPr>
              <w:spacing w:before="40" w:after="40"/>
              <w:rPr>
                <w:b/>
                <w:sz w:val="18"/>
                <w:szCs w:val="18"/>
              </w:rPr>
            </w:pPr>
            <w:r w:rsidRPr="00716CC2">
              <w:rPr>
                <w:b/>
                <w:sz w:val="18"/>
                <w:szCs w:val="18"/>
              </w:rPr>
              <w:t xml:space="preserve">Standard 1.4.6: </w:t>
            </w:r>
            <w:r w:rsidRPr="00716CC2">
              <w:rPr>
                <w:sz w:val="18"/>
                <w:szCs w:val="18"/>
              </w:rPr>
              <w:t>Cleaning and Laundry Services (HDS(C)S.2008:1.4.6): Consumers are provided with safe and hygienic cleaning and laundry services appropriate to the setting in which the service is being provided.</w:t>
            </w:r>
          </w:p>
        </w:tc>
      </w:tr>
      <w:tr w:rsidR="006D5FE4" w:rsidRPr="00716CC2" w14:paraId="1B49257C" w14:textId="77777777" w:rsidTr="007A7079">
        <w:trPr>
          <w:gridAfter w:val="2"/>
          <w:wAfter w:w="608" w:type="dxa"/>
        </w:trPr>
        <w:tc>
          <w:tcPr>
            <w:tcW w:w="2855" w:type="dxa"/>
            <w:shd w:val="clear" w:color="auto" w:fill="FFFFFF" w:themeFill="background1"/>
          </w:tcPr>
          <w:p w14:paraId="73354A54" w14:textId="77777777" w:rsidR="006D5FE4" w:rsidRPr="00716CC2" w:rsidRDefault="006D5FE4" w:rsidP="006D5FE4">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5E71701A" w14:textId="77777777" w:rsidR="006D5FE4" w:rsidRPr="00716CC2" w:rsidRDefault="006D5FE4" w:rsidP="006D5FE4">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0E66B63" w14:textId="77777777" w:rsidR="006D5FE4" w:rsidRPr="00716CC2" w:rsidRDefault="006D5FE4" w:rsidP="006D5FE4">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2B29BEA" w14:textId="77777777" w:rsidR="006D5FE4" w:rsidRPr="00716CC2" w:rsidRDefault="006D5FE4" w:rsidP="006D5FE4">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9144FDF" w14:textId="77777777" w:rsidR="006D5FE4" w:rsidRPr="00716CC2" w:rsidRDefault="006D5FE4" w:rsidP="006D5FE4">
            <w:pPr>
              <w:pStyle w:val="TableText"/>
              <w:spacing w:before="40" w:after="40"/>
              <w:rPr>
                <w:b/>
                <w:szCs w:val="18"/>
                <w:lang w:eastAsia="en-NZ"/>
              </w:rPr>
            </w:pPr>
            <w:r w:rsidRPr="00716CC2">
              <w:rPr>
                <w:b/>
                <w:szCs w:val="18"/>
                <w:lang w:eastAsia="en-NZ"/>
              </w:rPr>
              <w:t>Res Dis (6 Aug)</w:t>
            </w:r>
          </w:p>
        </w:tc>
      </w:tr>
      <w:tr w:rsidR="00916502" w:rsidRPr="00716CC2" w14:paraId="78B9B855" w14:textId="77777777" w:rsidTr="007A7079">
        <w:trPr>
          <w:gridAfter w:val="2"/>
          <w:wAfter w:w="608" w:type="dxa"/>
        </w:trPr>
        <w:tc>
          <w:tcPr>
            <w:tcW w:w="2855" w:type="dxa"/>
            <w:shd w:val="clear" w:color="auto" w:fill="FFFFFF" w:themeFill="background1"/>
          </w:tcPr>
          <w:p w14:paraId="602FC91B" w14:textId="77777777" w:rsidR="00916502" w:rsidRPr="00716CC2" w:rsidRDefault="00916502" w:rsidP="00916502">
            <w:pPr>
              <w:pStyle w:val="TableBullet"/>
              <w:rPr>
                <w:szCs w:val="18"/>
              </w:rPr>
            </w:pPr>
            <w:r w:rsidRPr="00716CC2">
              <w:rPr>
                <w:szCs w:val="18"/>
              </w:rPr>
              <w:t xml:space="preserve">Need to raise importance of cleaning services – regular monitoring and auditing of service delivery – responsiveness across all services </w:t>
            </w:r>
          </w:p>
          <w:p w14:paraId="24430074" w14:textId="77777777" w:rsidR="00916502" w:rsidRPr="00716CC2" w:rsidRDefault="00916502" w:rsidP="00916502">
            <w:pPr>
              <w:pStyle w:val="TableBullet"/>
              <w:rPr>
                <w:szCs w:val="18"/>
              </w:rPr>
            </w:pPr>
            <w:r w:rsidRPr="00716CC2">
              <w:rPr>
                <w:szCs w:val="18"/>
              </w:rPr>
              <w:t>Consider move to IPC standard (HQSC + NZNOIPC)</w:t>
            </w:r>
          </w:p>
        </w:tc>
        <w:tc>
          <w:tcPr>
            <w:tcW w:w="2855" w:type="dxa"/>
            <w:gridSpan w:val="3"/>
            <w:shd w:val="clear" w:color="auto" w:fill="FFFFFF" w:themeFill="background1"/>
          </w:tcPr>
          <w:p w14:paraId="39752E58" w14:textId="77777777" w:rsidR="00916502" w:rsidRPr="00716CC2" w:rsidRDefault="00916502" w:rsidP="00916502">
            <w:pPr>
              <w:pStyle w:val="TableBullet"/>
              <w:rPr>
                <w:szCs w:val="18"/>
              </w:rPr>
            </w:pPr>
            <w:r w:rsidRPr="00716CC2">
              <w:rPr>
                <w:szCs w:val="18"/>
              </w:rPr>
              <w:t xml:space="preserve">Need to consider safety – balance with client undertaking laundry and staff support. </w:t>
            </w:r>
          </w:p>
          <w:p w14:paraId="5F7FB564" w14:textId="77777777" w:rsidR="00916502" w:rsidRPr="00716CC2" w:rsidRDefault="00916502" w:rsidP="00916502">
            <w:pPr>
              <w:pStyle w:val="TableBullet"/>
              <w:rPr>
                <w:szCs w:val="18"/>
              </w:rPr>
            </w:pPr>
            <w:r w:rsidRPr="00716CC2">
              <w:rPr>
                <w:szCs w:val="18"/>
              </w:rPr>
              <w:t xml:space="preserve">Recovery based programme </w:t>
            </w:r>
          </w:p>
          <w:p w14:paraId="415EABD9" w14:textId="77777777" w:rsidR="00916502" w:rsidRPr="00716CC2" w:rsidRDefault="00916502" w:rsidP="00916502">
            <w:pPr>
              <w:pStyle w:val="TableBullet"/>
              <w:rPr>
                <w:szCs w:val="18"/>
              </w:rPr>
            </w:pPr>
            <w:r w:rsidRPr="00716CC2">
              <w:rPr>
                <w:szCs w:val="18"/>
              </w:rPr>
              <w:t>‘Home is shared’ – provider to keep the standard</w:t>
            </w:r>
          </w:p>
          <w:p w14:paraId="67F37A99" w14:textId="77777777" w:rsidR="00916502" w:rsidRPr="00716CC2" w:rsidRDefault="00916502" w:rsidP="00916502">
            <w:pPr>
              <w:pStyle w:val="TableBullet"/>
              <w:rPr>
                <w:szCs w:val="18"/>
              </w:rPr>
            </w:pPr>
            <w:r w:rsidRPr="00716CC2">
              <w:rPr>
                <w:szCs w:val="18"/>
              </w:rPr>
              <w:t>Home like environment – for some clients under treatment orders more support and need to have duty of care.</w:t>
            </w:r>
          </w:p>
        </w:tc>
        <w:tc>
          <w:tcPr>
            <w:tcW w:w="2855" w:type="dxa"/>
            <w:gridSpan w:val="3"/>
            <w:shd w:val="clear" w:color="auto" w:fill="FFFFFF" w:themeFill="background1"/>
          </w:tcPr>
          <w:p w14:paraId="02B32676" w14:textId="77777777" w:rsidR="00916502" w:rsidRPr="00716CC2" w:rsidRDefault="00916502" w:rsidP="00916502">
            <w:pPr>
              <w:pStyle w:val="TableBullet"/>
              <w:rPr>
                <w:szCs w:val="18"/>
              </w:rPr>
            </w:pPr>
            <w:r w:rsidRPr="00716CC2">
              <w:rPr>
                <w:szCs w:val="18"/>
              </w:rPr>
              <w:t>Merge standard 1.4.6 to IPC</w:t>
            </w:r>
          </w:p>
          <w:p w14:paraId="2DD73F68" w14:textId="77777777" w:rsidR="00916502" w:rsidRPr="00716CC2" w:rsidRDefault="00916502" w:rsidP="00916502">
            <w:pPr>
              <w:pStyle w:val="TableBullet"/>
              <w:rPr>
                <w:szCs w:val="18"/>
              </w:rPr>
            </w:pPr>
            <w:r w:rsidRPr="00716CC2">
              <w:rPr>
                <w:szCs w:val="18"/>
              </w:rPr>
              <w:t>Cleaning- inclusive of equipment cleaning in-between multi usage ( wheelchairs etc.)</w:t>
            </w:r>
          </w:p>
          <w:p w14:paraId="35A837A6" w14:textId="77777777" w:rsidR="00916502" w:rsidRPr="00716CC2" w:rsidRDefault="00916502" w:rsidP="00916502">
            <w:pPr>
              <w:pStyle w:val="TableBullet"/>
              <w:rPr>
                <w:szCs w:val="18"/>
              </w:rPr>
            </w:pPr>
            <w:r w:rsidRPr="00716CC2">
              <w:rPr>
                <w:szCs w:val="18"/>
              </w:rPr>
              <w:t xml:space="preserve">Laundry – inclusive of IT systems now used in this area </w:t>
            </w:r>
          </w:p>
          <w:p w14:paraId="116BB4FF" w14:textId="77777777" w:rsidR="00916502" w:rsidRPr="00716CC2" w:rsidRDefault="00916502" w:rsidP="00916502">
            <w:pPr>
              <w:pStyle w:val="TableBullet"/>
              <w:rPr>
                <w:szCs w:val="18"/>
              </w:rPr>
            </w:pPr>
          </w:p>
        </w:tc>
        <w:tc>
          <w:tcPr>
            <w:tcW w:w="2855" w:type="dxa"/>
            <w:gridSpan w:val="3"/>
            <w:shd w:val="clear" w:color="auto" w:fill="FFFFFF" w:themeFill="background1"/>
          </w:tcPr>
          <w:p w14:paraId="6C0B5E5F" w14:textId="77777777" w:rsidR="00916502" w:rsidRPr="00716CC2" w:rsidRDefault="00916502" w:rsidP="00916502">
            <w:pPr>
              <w:pStyle w:val="TableBullet"/>
              <w:rPr>
                <w:szCs w:val="18"/>
              </w:rPr>
            </w:pPr>
            <w:r w:rsidRPr="00716CC2">
              <w:rPr>
                <w:szCs w:val="18"/>
              </w:rPr>
              <w:t xml:space="preserve">Lost items and shrinkage rate high on the complaints items of many facilities </w:t>
            </w:r>
          </w:p>
          <w:p w14:paraId="0B304426" w14:textId="77777777" w:rsidR="00916502" w:rsidRPr="00716CC2" w:rsidRDefault="00916502" w:rsidP="00916502">
            <w:pPr>
              <w:pStyle w:val="TableBullet"/>
              <w:rPr>
                <w:szCs w:val="18"/>
              </w:rPr>
            </w:pPr>
            <w:r w:rsidRPr="00716CC2">
              <w:rPr>
                <w:szCs w:val="18"/>
              </w:rPr>
              <w:t>Suggest consumer satisfaction with the laundry services, the smell of clothes, cleanliness of clothes, shrinkage and lost items</w:t>
            </w:r>
          </w:p>
        </w:tc>
        <w:tc>
          <w:tcPr>
            <w:tcW w:w="2856" w:type="dxa"/>
            <w:gridSpan w:val="3"/>
            <w:shd w:val="clear" w:color="auto" w:fill="FFFFFF" w:themeFill="background1"/>
          </w:tcPr>
          <w:p w14:paraId="55B30CFE" w14:textId="77777777" w:rsidR="00916502" w:rsidRPr="00716CC2" w:rsidRDefault="00916502" w:rsidP="00916502">
            <w:pPr>
              <w:pStyle w:val="TableBullet"/>
              <w:rPr>
                <w:szCs w:val="18"/>
              </w:rPr>
            </w:pPr>
            <w:r w:rsidRPr="00716CC2">
              <w:rPr>
                <w:szCs w:val="18"/>
              </w:rPr>
              <w:t>Merge in to IPC</w:t>
            </w:r>
          </w:p>
          <w:p w14:paraId="51064609" w14:textId="77777777" w:rsidR="00916502" w:rsidRPr="00716CC2" w:rsidRDefault="00916502" w:rsidP="00916502">
            <w:pPr>
              <w:pStyle w:val="TableBullet"/>
              <w:rPr>
                <w:szCs w:val="18"/>
              </w:rPr>
            </w:pPr>
            <w:r w:rsidRPr="00716CC2">
              <w:rPr>
                <w:szCs w:val="18"/>
              </w:rPr>
              <w:t>Needs to be reflective of home environment where appropriate</w:t>
            </w:r>
          </w:p>
        </w:tc>
      </w:tr>
      <w:tr w:rsidR="00916502" w:rsidRPr="00716CC2" w14:paraId="74ADF1F6" w14:textId="77777777" w:rsidTr="007A7079">
        <w:trPr>
          <w:gridAfter w:val="2"/>
          <w:wAfter w:w="608" w:type="dxa"/>
        </w:trPr>
        <w:tc>
          <w:tcPr>
            <w:tcW w:w="14276" w:type="dxa"/>
            <w:gridSpan w:val="13"/>
            <w:shd w:val="clear" w:color="auto" w:fill="FFFFFF" w:themeFill="background1"/>
          </w:tcPr>
          <w:p w14:paraId="07E198C2" w14:textId="77777777" w:rsidR="00916502" w:rsidRPr="00716CC2" w:rsidRDefault="00916502" w:rsidP="00916502">
            <w:pPr>
              <w:spacing w:before="40" w:after="40"/>
              <w:rPr>
                <w:b/>
                <w:sz w:val="18"/>
                <w:szCs w:val="18"/>
              </w:rPr>
            </w:pPr>
          </w:p>
        </w:tc>
      </w:tr>
      <w:tr w:rsidR="00916502" w:rsidRPr="00716CC2" w14:paraId="37F7E719" w14:textId="77777777" w:rsidTr="007A7079">
        <w:trPr>
          <w:gridAfter w:val="2"/>
          <w:wAfter w:w="608" w:type="dxa"/>
        </w:trPr>
        <w:tc>
          <w:tcPr>
            <w:tcW w:w="14276" w:type="dxa"/>
            <w:gridSpan w:val="13"/>
            <w:shd w:val="clear" w:color="auto" w:fill="F2F2F2" w:themeFill="background1" w:themeFillShade="F2"/>
          </w:tcPr>
          <w:p w14:paraId="50286001" w14:textId="77777777" w:rsidR="00916502" w:rsidRPr="00716CC2" w:rsidRDefault="00916502" w:rsidP="00916502">
            <w:pPr>
              <w:spacing w:before="40" w:after="40"/>
              <w:rPr>
                <w:b/>
                <w:sz w:val="18"/>
                <w:szCs w:val="18"/>
              </w:rPr>
            </w:pPr>
            <w:r w:rsidRPr="00716CC2">
              <w:rPr>
                <w:b/>
                <w:sz w:val="18"/>
                <w:szCs w:val="18"/>
              </w:rPr>
              <w:t xml:space="preserve">Standard 1.4.7: </w:t>
            </w:r>
            <w:r w:rsidRPr="00716CC2">
              <w:rPr>
                <w:sz w:val="18"/>
                <w:szCs w:val="18"/>
              </w:rPr>
              <w:t>Essential, Emergency, and Security Systems (HDS(C)S.2008:1.4.7): Consumers receive an appropriate and timely response during emergency and security situations.</w:t>
            </w:r>
          </w:p>
        </w:tc>
      </w:tr>
      <w:tr w:rsidR="00916502" w:rsidRPr="00716CC2" w14:paraId="2FAE1B7B" w14:textId="77777777" w:rsidTr="007A7079">
        <w:trPr>
          <w:gridAfter w:val="2"/>
          <w:wAfter w:w="608" w:type="dxa"/>
        </w:trPr>
        <w:tc>
          <w:tcPr>
            <w:tcW w:w="2855" w:type="dxa"/>
            <w:shd w:val="clear" w:color="auto" w:fill="FFFFFF" w:themeFill="background1"/>
          </w:tcPr>
          <w:p w14:paraId="3C6970AA"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341407A5"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7F760F44"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F34AB19"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5294C09D"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27B8CBC8" w14:textId="77777777" w:rsidTr="007A7079">
        <w:trPr>
          <w:gridAfter w:val="2"/>
          <w:wAfter w:w="608" w:type="dxa"/>
        </w:trPr>
        <w:tc>
          <w:tcPr>
            <w:tcW w:w="2855" w:type="dxa"/>
            <w:shd w:val="clear" w:color="auto" w:fill="FFFFFF" w:themeFill="background1"/>
          </w:tcPr>
          <w:p w14:paraId="45610C5C" w14:textId="77777777" w:rsidR="00916502" w:rsidRPr="00716CC2" w:rsidRDefault="00916502" w:rsidP="00916502">
            <w:pPr>
              <w:pStyle w:val="TableBullet"/>
              <w:rPr>
                <w:szCs w:val="18"/>
              </w:rPr>
            </w:pPr>
            <w:r w:rsidRPr="00716CC2">
              <w:rPr>
                <w:szCs w:val="18"/>
              </w:rPr>
              <w:lastRenderedPageBreak/>
              <w:t xml:space="preserve">Staff training in emergency management. </w:t>
            </w:r>
          </w:p>
          <w:p w14:paraId="3723F49F" w14:textId="77777777" w:rsidR="00916502" w:rsidRPr="00716CC2" w:rsidRDefault="00916502" w:rsidP="00916502">
            <w:pPr>
              <w:pStyle w:val="TableBullet"/>
              <w:rPr>
                <w:szCs w:val="18"/>
              </w:rPr>
            </w:pPr>
            <w:r w:rsidRPr="00716CC2">
              <w:rPr>
                <w:szCs w:val="18"/>
              </w:rPr>
              <w:t xml:space="preserve">Use of CCTV, staff security in and outside hospital environment </w:t>
            </w:r>
          </w:p>
          <w:p w14:paraId="796C515F" w14:textId="77777777" w:rsidR="00916502" w:rsidRPr="00716CC2" w:rsidRDefault="00916502" w:rsidP="00916502">
            <w:pPr>
              <w:pStyle w:val="TableBullet"/>
              <w:rPr>
                <w:rFonts w:ascii="Arial" w:hAnsi="Arial"/>
                <w:szCs w:val="18"/>
                <w:lang w:eastAsia="en-NZ"/>
              </w:rPr>
            </w:pPr>
            <w:r w:rsidRPr="00716CC2">
              <w:rPr>
                <w:rFonts w:ascii="Arial" w:hAnsi="Arial"/>
                <w:szCs w:val="18"/>
              </w:rPr>
              <w:t>Need future proofing.</w:t>
            </w:r>
          </w:p>
        </w:tc>
        <w:tc>
          <w:tcPr>
            <w:tcW w:w="2855" w:type="dxa"/>
            <w:gridSpan w:val="3"/>
            <w:shd w:val="clear" w:color="auto" w:fill="FFFFFF" w:themeFill="background1"/>
          </w:tcPr>
          <w:p w14:paraId="4B7AB301" w14:textId="77777777" w:rsidR="00916502" w:rsidRPr="00716CC2" w:rsidRDefault="00916502" w:rsidP="00916502">
            <w:pPr>
              <w:pStyle w:val="TableBullet"/>
              <w:rPr>
                <w:szCs w:val="18"/>
              </w:rPr>
            </w:pPr>
            <w:r w:rsidRPr="00716CC2">
              <w:rPr>
                <w:szCs w:val="18"/>
              </w:rPr>
              <w:t>Confusion about first aid trained staff being on duty.</w:t>
            </w:r>
          </w:p>
        </w:tc>
        <w:tc>
          <w:tcPr>
            <w:tcW w:w="2855" w:type="dxa"/>
            <w:gridSpan w:val="3"/>
            <w:shd w:val="clear" w:color="auto" w:fill="FFFFFF" w:themeFill="background1"/>
          </w:tcPr>
          <w:p w14:paraId="3D321331" w14:textId="77777777" w:rsidR="00916502" w:rsidRPr="00716CC2" w:rsidRDefault="00916502" w:rsidP="00916502">
            <w:pPr>
              <w:pStyle w:val="TableBullet"/>
              <w:rPr>
                <w:rFonts w:eastAsiaTheme="majorEastAsia"/>
                <w:bCs/>
                <w:szCs w:val="18"/>
                <w:lang w:eastAsia="en-NZ"/>
              </w:rPr>
            </w:pPr>
            <w:r w:rsidRPr="00716CC2">
              <w:rPr>
                <w:rFonts w:eastAsiaTheme="majorEastAsia"/>
                <w:bCs/>
                <w:szCs w:val="18"/>
                <w:lang w:eastAsia="en-NZ"/>
              </w:rPr>
              <w:t>Provide an appropriate and approved functional emergency plan</w:t>
            </w:r>
          </w:p>
          <w:p w14:paraId="451712DF" w14:textId="77777777" w:rsidR="00916502" w:rsidRPr="00716CC2" w:rsidRDefault="00916502" w:rsidP="00916502">
            <w:pPr>
              <w:pStyle w:val="TableBullet"/>
              <w:rPr>
                <w:rFonts w:eastAsiaTheme="majorEastAsia"/>
                <w:bCs/>
                <w:szCs w:val="18"/>
                <w:lang w:eastAsia="en-NZ"/>
              </w:rPr>
            </w:pPr>
            <w:r w:rsidRPr="00716CC2">
              <w:rPr>
                <w:rFonts w:eastAsiaTheme="majorEastAsia"/>
                <w:bCs/>
                <w:szCs w:val="18"/>
                <w:lang w:eastAsia="en-NZ"/>
              </w:rPr>
              <w:t>The plan to include being a recipient of consumers from other facilities in times of emergency (e.g. flooding in an area/region)</w:t>
            </w:r>
          </w:p>
          <w:p w14:paraId="213BC736" w14:textId="77777777" w:rsidR="00916502" w:rsidRPr="00716CC2" w:rsidRDefault="00916502" w:rsidP="00916502">
            <w:pPr>
              <w:pStyle w:val="TableBullet"/>
              <w:rPr>
                <w:rFonts w:eastAsiaTheme="majorEastAsia"/>
                <w:bCs/>
                <w:szCs w:val="18"/>
                <w:lang w:eastAsia="en-NZ"/>
              </w:rPr>
            </w:pPr>
          </w:p>
        </w:tc>
        <w:tc>
          <w:tcPr>
            <w:tcW w:w="2855" w:type="dxa"/>
            <w:gridSpan w:val="3"/>
            <w:shd w:val="clear" w:color="auto" w:fill="FFFFFF" w:themeFill="background1"/>
          </w:tcPr>
          <w:p w14:paraId="0D562010" w14:textId="77777777" w:rsidR="00916502" w:rsidRPr="00716CC2" w:rsidRDefault="00916502" w:rsidP="00916502">
            <w:pPr>
              <w:pStyle w:val="TableBullet"/>
              <w:rPr>
                <w:szCs w:val="18"/>
                <w:lang w:eastAsia="en-NZ"/>
              </w:rPr>
            </w:pPr>
            <w:r w:rsidRPr="00716CC2">
              <w:rPr>
                <w:szCs w:val="18"/>
                <w:lang w:eastAsia="en-NZ"/>
              </w:rPr>
              <w:t>Requires ‘fleshing out’</w:t>
            </w:r>
          </w:p>
          <w:p w14:paraId="3C18B731" w14:textId="77777777" w:rsidR="00916502" w:rsidRPr="00716CC2" w:rsidRDefault="00916502" w:rsidP="00916502">
            <w:pPr>
              <w:pStyle w:val="TableBullet"/>
              <w:rPr>
                <w:szCs w:val="18"/>
                <w:lang w:eastAsia="en-NZ"/>
              </w:rPr>
            </w:pPr>
            <w:r w:rsidRPr="00716CC2">
              <w:rPr>
                <w:szCs w:val="18"/>
                <w:lang w:eastAsia="en-NZ"/>
              </w:rPr>
              <w:t>Back up plans are not audited and could be included in the requirements of the standard</w:t>
            </w:r>
          </w:p>
          <w:p w14:paraId="1B38A12E" w14:textId="77777777" w:rsidR="00916502" w:rsidRPr="00716CC2" w:rsidRDefault="00916502" w:rsidP="00916502">
            <w:pPr>
              <w:pStyle w:val="TableBullet"/>
              <w:rPr>
                <w:szCs w:val="18"/>
                <w:lang w:eastAsia="en-NZ"/>
              </w:rPr>
            </w:pPr>
            <w:r w:rsidRPr="00716CC2">
              <w:rPr>
                <w:szCs w:val="18"/>
                <w:lang w:eastAsia="en-NZ"/>
              </w:rPr>
              <w:t xml:space="preserve">Requires a better understanding of the how, what, when, who occurs during power cuts-e.g. no access to medimap, Tonic, interRAI, e-prescribing, heating/ cooling, light and so on   </w:t>
            </w:r>
          </w:p>
          <w:p w14:paraId="668C1509" w14:textId="77777777" w:rsidR="00916502" w:rsidRPr="00716CC2" w:rsidRDefault="00916502" w:rsidP="00916502">
            <w:pPr>
              <w:pStyle w:val="TableBullet"/>
              <w:rPr>
                <w:szCs w:val="18"/>
                <w:lang w:eastAsia="en-NZ"/>
              </w:rPr>
            </w:pPr>
            <w:r w:rsidRPr="00716CC2">
              <w:rPr>
                <w:szCs w:val="18"/>
                <w:lang w:eastAsia="en-NZ"/>
              </w:rPr>
              <w:t>After initial audit, does the emergency plan need to be audited at every audit?</w:t>
            </w:r>
          </w:p>
        </w:tc>
        <w:tc>
          <w:tcPr>
            <w:tcW w:w="2856" w:type="dxa"/>
            <w:gridSpan w:val="3"/>
            <w:shd w:val="clear" w:color="auto" w:fill="FFFFFF" w:themeFill="background1"/>
          </w:tcPr>
          <w:p w14:paraId="270FE45F" w14:textId="77777777" w:rsidR="00916502" w:rsidRPr="00716CC2" w:rsidRDefault="00916502" w:rsidP="00916502">
            <w:pPr>
              <w:pStyle w:val="TableBullet"/>
              <w:rPr>
                <w:szCs w:val="18"/>
                <w:lang w:eastAsia="en-NZ"/>
              </w:rPr>
            </w:pPr>
            <w:r w:rsidRPr="00716CC2">
              <w:rPr>
                <w:szCs w:val="18"/>
                <w:lang w:eastAsia="en-NZ"/>
              </w:rPr>
              <w:t>No Change</w:t>
            </w:r>
          </w:p>
        </w:tc>
      </w:tr>
      <w:tr w:rsidR="00916502" w:rsidRPr="00716CC2" w14:paraId="65F63C25" w14:textId="77777777" w:rsidTr="007A7079">
        <w:trPr>
          <w:gridAfter w:val="2"/>
          <w:wAfter w:w="608" w:type="dxa"/>
        </w:trPr>
        <w:tc>
          <w:tcPr>
            <w:tcW w:w="14276" w:type="dxa"/>
            <w:gridSpan w:val="13"/>
            <w:shd w:val="clear" w:color="auto" w:fill="FFFFFF" w:themeFill="background1"/>
          </w:tcPr>
          <w:p w14:paraId="776E8521" w14:textId="77777777" w:rsidR="00916502" w:rsidRPr="00716CC2" w:rsidRDefault="00916502" w:rsidP="00916502">
            <w:pPr>
              <w:spacing w:before="40" w:after="40"/>
              <w:rPr>
                <w:b/>
                <w:sz w:val="18"/>
                <w:szCs w:val="18"/>
              </w:rPr>
            </w:pPr>
          </w:p>
        </w:tc>
      </w:tr>
      <w:tr w:rsidR="00916502" w:rsidRPr="00716CC2" w14:paraId="4C81797F" w14:textId="77777777" w:rsidTr="007A7079">
        <w:trPr>
          <w:gridAfter w:val="2"/>
          <w:wAfter w:w="608" w:type="dxa"/>
        </w:trPr>
        <w:tc>
          <w:tcPr>
            <w:tcW w:w="14276" w:type="dxa"/>
            <w:gridSpan w:val="13"/>
            <w:shd w:val="clear" w:color="auto" w:fill="F2F2F2" w:themeFill="background1" w:themeFillShade="F2"/>
          </w:tcPr>
          <w:p w14:paraId="326E4CB5" w14:textId="77777777" w:rsidR="00916502" w:rsidRPr="00716CC2" w:rsidRDefault="00916502" w:rsidP="00916502">
            <w:pPr>
              <w:spacing w:before="40" w:after="40"/>
              <w:rPr>
                <w:b/>
                <w:sz w:val="18"/>
                <w:szCs w:val="18"/>
              </w:rPr>
            </w:pPr>
            <w:r w:rsidRPr="00716CC2">
              <w:rPr>
                <w:b/>
                <w:sz w:val="18"/>
                <w:szCs w:val="18"/>
              </w:rPr>
              <w:t xml:space="preserve">Standard 1.4.8: </w:t>
            </w:r>
            <w:r w:rsidRPr="00716CC2">
              <w:rPr>
                <w:sz w:val="18"/>
                <w:szCs w:val="18"/>
              </w:rPr>
              <w:t>Natural Light, Ventilation, And Heating (HDS(C)S.2008:1.4.8): Consumers are provided with adequate natural light, safe ventilation, and an environment that is maintained at a safe and comfortable temperature</w:t>
            </w:r>
          </w:p>
        </w:tc>
      </w:tr>
      <w:tr w:rsidR="00916502" w:rsidRPr="00716CC2" w14:paraId="7A98AA2A" w14:textId="77777777" w:rsidTr="007A7079">
        <w:trPr>
          <w:gridAfter w:val="2"/>
          <w:wAfter w:w="608" w:type="dxa"/>
          <w:trHeight w:val="417"/>
        </w:trPr>
        <w:tc>
          <w:tcPr>
            <w:tcW w:w="2855" w:type="dxa"/>
            <w:shd w:val="clear" w:color="auto" w:fill="FFFFFF" w:themeFill="background1"/>
          </w:tcPr>
          <w:p w14:paraId="1E1ECA64"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1E471C39"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9126B89"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42B41C6B"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12B310D0"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1413233F" w14:textId="77777777" w:rsidTr="007A7079">
        <w:trPr>
          <w:gridAfter w:val="2"/>
          <w:wAfter w:w="608" w:type="dxa"/>
        </w:trPr>
        <w:tc>
          <w:tcPr>
            <w:tcW w:w="2855" w:type="dxa"/>
            <w:shd w:val="clear" w:color="auto" w:fill="FFFFFF" w:themeFill="background1"/>
          </w:tcPr>
          <w:p w14:paraId="4DC50CB6" w14:textId="77777777" w:rsidR="00916502" w:rsidRPr="00716CC2" w:rsidRDefault="00916502" w:rsidP="00916502">
            <w:pPr>
              <w:pStyle w:val="TableBullet"/>
              <w:rPr>
                <w:szCs w:val="18"/>
              </w:rPr>
            </w:pPr>
            <w:r w:rsidRPr="00716CC2">
              <w:rPr>
                <w:szCs w:val="18"/>
              </w:rPr>
              <w:t>Smoke free environment strengthened and managed for hospital</w:t>
            </w:r>
          </w:p>
          <w:p w14:paraId="1B857AE9" w14:textId="77777777" w:rsidR="00916502" w:rsidRPr="00716CC2" w:rsidRDefault="00916502" w:rsidP="00916502">
            <w:pPr>
              <w:pStyle w:val="TableBullet"/>
              <w:rPr>
                <w:szCs w:val="18"/>
              </w:rPr>
            </w:pPr>
            <w:r w:rsidRPr="00716CC2">
              <w:rPr>
                <w:szCs w:val="18"/>
              </w:rPr>
              <w:t>Cross over with IPC specifications on safe buildings from IPC perspective (NZNO IPC)</w:t>
            </w:r>
          </w:p>
        </w:tc>
        <w:tc>
          <w:tcPr>
            <w:tcW w:w="2855" w:type="dxa"/>
            <w:gridSpan w:val="3"/>
            <w:shd w:val="clear" w:color="auto" w:fill="FFFFFF" w:themeFill="background1"/>
          </w:tcPr>
          <w:p w14:paraId="6AC8F97C" w14:textId="77777777" w:rsidR="00916502" w:rsidRPr="00716CC2" w:rsidRDefault="00916502" w:rsidP="00916502">
            <w:pPr>
              <w:pStyle w:val="TableBullet"/>
              <w:rPr>
                <w:szCs w:val="18"/>
              </w:rPr>
            </w:pPr>
            <w:r w:rsidRPr="00716CC2">
              <w:rPr>
                <w:szCs w:val="18"/>
              </w:rPr>
              <w:t>No issues.</w:t>
            </w:r>
          </w:p>
        </w:tc>
        <w:tc>
          <w:tcPr>
            <w:tcW w:w="2855" w:type="dxa"/>
            <w:gridSpan w:val="3"/>
            <w:shd w:val="clear" w:color="auto" w:fill="FFFFFF" w:themeFill="background1"/>
          </w:tcPr>
          <w:p w14:paraId="3B17F6C5" w14:textId="77777777" w:rsidR="00916502" w:rsidRPr="00716CC2" w:rsidRDefault="00916502" w:rsidP="00916502">
            <w:pPr>
              <w:pStyle w:val="TableBullet"/>
              <w:rPr>
                <w:szCs w:val="18"/>
              </w:rPr>
            </w:pPr>
            <w:r w:rsidRPr="00716CC2">
              <w:rPr>
                <w:szCs w:val="18"/>
              </w:rPr>
              <w:t>This standard to include all areas of the facility (bathrooms, kitchen, etc.)</w:t>
            </w:r>
          </w:p>
          <w:p w14:paraId="2162ACA0" w14:textId="77777777" w:rsidR="00916502" w:rsidRPr="00716CC2" w:rsidRDefault="00916502" w:rsidP="00916502">
            <w:pPr>
              <w:pStyle w:val="TableBullet"/>
              <w:rPr>
                <w:szCs w:val="18"/>
              </w:rPr>
            </w:pPr>
            <w:r w:rsidRPr="00716CC2">
              <w:rPr>
                <w:szCs w:val="18"/>
              </w:rPr>
              <w:t>Climate change plan taken into consideration, adverse weather conditions</w:t>
            </w:r>
          </w:p>
        </w:tc>
        <w:tc>
          <w:tcPr>
            <w:tcW w:w="2855" w:type="dxa"/>
            <w:gridSpan w:val="3"/>
            <w:shd w:val="clear" w:color="auto" w:fill="FFFFFF" w:themeFill="background1"/>
          </w:tcPr>
          <w:p w14:paraId="61852D6C" w14:textId="77777777" w:rsidR="00916502" w:rsidRPr="00716CC2" w:rsidRDefault="00916502" w:rsidP="00916502">
            <w:pPr>
              <w:pStyle w:val="TableBullet"/>
              <w:rPr>
                <w:szCs w:val="18"/>
              </w:rPr>
            </w:pPr>
            <w:r w:rsidRPr="00716CC2">
              <w:rPr>
                <w:szCs w:val="18"/>
              </w:rPr>
              <w:t xml:space="preserve">Temperature control in modern glass ARC buildings, and older ARC buildings is becoming challenging during hot summers and cold winters(particularly for residents that are bed bound). </w:t>
            </w:r>
          </w:p>
          <w:p w14:paraId="4D2C6405" w14:textId="77777777" w:rsidR="00916502" w:rsidRPr="00716CC2" w:rsidRDefault="00916502" w:rsidP="00916502">
            <w:pPr>
              <w:pStyle w:val="TableBullet"/>
              <w:rPr>
                <w:szCs w:val="18"/>
              </w:rPr>
            </w:pPr>
            <w:r w:rsidRPr="00716CC2">
              <w:rPr>
                <w:szCs w:val="18"/>
              </w:rPr>
              <w:t>Suggest specific guidance in the standard re safe and comfortable temperatures in bedrooms and communal areas.</w:t>
            </w:r>
          </w:p>
          <w:p w14:paraId="3B060136" w14:textId="77777777" w:rsidR="00916502" w:rsidRPr="00716CC2" w:rsidRDefault="00916502" w:rsidP="00916502">
            <w:pPr>
              <w:pStyle w:val="TableBullet"/>
              <w:rPr>
                <w:szCs w:val="18"/>
              </w:rPr>
            </w:pPr>
            <w:r w:rsidRPr="00716CC2">
              <w:rPr>
                <w:szCs w:val="18"/>
              </w:rPr>
              <w:t>Consider perceptions of heat within this context</w:t>
            </w:r>
          </w:p>
        </w:tc>
        <w:tc>
          <w:tcPr>
            <w:tcW w:w="2856" w:type="dxa"/>
            <w:gridSpan w:val="3"/>
            <w:shd w:val="clear" w:color="auto" w:fill="FFFFFF" w:themeFill="background1"/>
          </w:tcPr>
          <w:p w14:paraId="706955F2" w14:textId="77777777" w:rsidR="00916502" w:rsidRPr="00716CC2" w:rsidRDefault="00916502" w:rsidP="00916502">
            <w:pPr>
              <w:pStyle w:val="TableBullet"/>
              <w:rPr>
                <w:szCs w:val="18"/>
              </w:rPr>
            </w:pPr>
            <w:r w:rsidRPr="00716CC2">
              <w:rPr>
                <w:szCs w:val="18"/>
              </w:rPr>
              <w:t>Comment: Group divided on this statement; some felt it could be deleted as felt it was covered under 1.4.2, 1.4.4 and 1.4.5 others felt it stays as is but needs to be inclusive of home like environments and fit for purpose meeting a minimal standard</w:t>
            </w:r>
          </w:p>
        </w:tc>
      </w:tr>
      <w:tr w:rsidR="00916502" w:rsidRPr="00716CC2" w14:paraId="3DCB3FE7" w14:textId="77777777" w:rsidTr="007A7079">
        <w:trPr>
          <w:gridAfter w:val="2"/>
          <w:wAfter w:w="608" w:type="dxa"/>
        </w:trPr>
        <w:tc>
          <w:tcPr>
            <w:tcW w:w="14276" w:type="dxa"/>
            <w:gridSpan w:val="13"/>
            <w:shd w:val="clear" w:color="auto" w:fill="FFFFFF" w:themeFill="background1"/>
          </w:tcPr>
          <w:p w14:paraId="3D3BE4F4" w14:textId="77777777" w:rsidR="00916502" w:rsidRPr="00716CC2" w:rsidRDefault="00916502" w:rsidP="00916502">
            <w:pPr>
              <w:spacing w:before="40" w:after="40"/>
              <w:rPr>
                <w:b/>
                <w:sz w:val="18"/>
                <w:szCs w:val="18"/>
              </w:rPr>
            </w:pPr>
          </w:p>
        </w:tc>
      </w:tr>
      <w:tr w:rsidR="00916502" w:rsidRPr="00716CC2" w14:paraId="66981819" w14:textId="77777777" w:rsidTr="007A7079">
        <w:trPr>
          <w:gridAfter w:val="2"/>
          <w:wAfter w:w="608" w:type="dxa"/>
        </w:trPr>
        <w:tc>
          <w:tcPr>
            <w:tcW w:w="14276" w:type="dxa"/>
            <w:gridSpan w:val="13"/>
            <w:shd w:val="clear" w:color="auto" w:fill="D9D9D9" w:themeFill="background1" w:themeFillShade="D9"/>
          </w:tcPr>
          <w:p w14:paraId="395F63E6" w14:textId="77777777" w:rsidR="00916502" w:rsidRPr="00716CC2" w:rsidRDefault="00916502" w:rsidP="00916502">
            <w:pPr>
              <w:pStyle w:val="TableText"/>
              <w:spacing w:before="60" w:after="60"/>
              <w:rPr>
                <w:szCs w:val="18"/>
                <w:lang w:eastAsia="en-NZ"/>
              </w:rPr>
            </w:pPr>
            <w:r w:rsidRPr="00716CC2">
              <w:rPr>
                <w:b/>
                <w:szCs w:val="18"/>
                <w:lang w:eastAsia="en-NZ"/>
              </w:rPr>
              <w:lastRenderedPageBreak/>
              <w:t xml:space="preserve">Outcome 2.1: </w:t>
            </w:r>
            <w:r w:rsidRPr="00716CC2">
              <w:rPr>
                <w:szCs w:val="18"/>
                <w:lang w:eastAsia="en-NZ"/>
              </w:rPr>
              <w:t>Restraint Minimisation: Services demonstrate that the use of restraint is actively minimised.</w:t>
            </w:r>
          </w:p>
          <w:p w14:paraId="1B884660" w14:textId="77777777" w:rsidR="00916502" w:rsidRPr="00716CC2" w:rsidRDefault="00916502" w:rsidP="00916502">
            <w:pPr>
              <w:pStyle w:val="TableText"/>
              <w:spacing w:before="60" w:after="60"/>
              <w:rPr>
                <w:rFonts w:eastAsiaTheme="majorEastAsia"/>
                <w:bCs/>
                <w:szCs w:val="18"/>
                <w:lang w:eastAsia="en-NZ"/>
              </w:rPr>
            </w:pPr>
            <w:r w:rsidRPr="00716CC2">
              <w:rPr>
                <w:rFonts w:eastAsiaTheme="majorEastAsia"/>
                <w:bCs/>
                <w:szCs w:val="18"/>
                <w:lang w:eastAsia="en-NZ"/>
              </w:rPr>
              <w:t>ARC 31 July: As the sector is moving towards ‘restraint-free’ environments, should we move to a standard titled: Challenging Behaviour and Management, should be a different focus for ARC – ie. Restraint free.  Thoughts regarding a possible standard title change, please ensure we use the appropriate language, ‘behaviour’ that is challenging is an expression of distress, so an example of wording would be: ‘behaviour that challenges staff in providing care’ (S.Holland, Gerontology NS). Ombudsman using the word ‘detention’ in their work in the sector. Possible change: ‘detention, restraint and constraint minimisation’. While detention sounds alarming, constraint is gentler and gets to the heart of the issue of encouraging personal expression and freedoms (LB, Eldernet)</w:t>
            </w:r>
          </w:p>
          <w:p w14:paraId="56007FDB" w14:textId="77777777" w:rsidR="00916502" w:rsidRPr="00716CC2" w:rsidRDefault="00916502" w:rsidP="00916502">
            <w:pPr>
              <w:pStyle w:val="TableText"/>
              <w:spacing w:before="60" w:after="60"/>
              <w:rPr>
                <w:rFonts w:eastAsiaTheme="majorEastAsia"/>
                <w:bCs/>
                <w:szCs w:val="18"/>
                <w:lang w:eastAsia="en-NZ"/>
              </w:rPr>
            </w:pPr>
            <w:r w:rsidRPr="00716CC2">
              <w:rPr>
                <w:rFonts w:eastAsiaTheme="majorEastAsia"/>
                <w:bCs/>
                <w:szCs w:val="18"/>
                <w:lang w:eastAsia="en-NZ"/>
              </w:rPr>
              <w:t>RD: Whatever the look of a new standard, resident rights need to be maintained</w:t>
            </w:r>
          </w:p>
          <w:p w14:paraId="6C35CA20" w14:textId="77777777" w:rsidR="00916502" w:rsidRPr="00716CC2" w:rsidRDefault="00916502" w:rsidP="00916502">
            <w:pPr>
              <w:pStyle w:val="TableText"/>
              <w:spacing w:before="60" w:after="60"/>
              <w:rPr>
                <w:b/>
                <w:szCs w:val="18"/>
              </w:rPr>
            </w:pPr>
            <w:r w:rsidRPr="00716CC2">
              <w:rPr>
                <w:rFonts w:eastAsiaTheme="majorEastAsia"/>
                <w:bCs/>
                <w:szCs w:val="18"/>
                <w:lang w:eastAsia="en-NZ"/>
              </w:rPr>
              <w:t>ARC 9 August: Relevant standard, Lot of work to do aspects to consider: environmental restraint, freedom of choice, enabler use and role of EPOA, chemical restraint and covert use of medication (also link 1.3.12)</w:t>
            </w:r>
          </w:p>
        </w:tc>
      </w:tr>
      <w:tr w:rsidR="00916502" w:rsidRPr="00716CC2" w14:paraId="2690F7E8" w14:textId="77777777" w:rsidTr="007A7079">
        <w:trPr>
          <w:gridAfter w:val="2"/>
          <w:wAfter w:w="608" w:type="dxa"/>
        </w:trPr>
        <w:tc>
          <w:tcPr>
            <w:tcW w:w="14276" w:type="dxa"/>
            <w:gridSpan w:val="13"/>
            <w:shd w:val="clear" w:color="auto" w:fill="F2F2F2" w:themeFill="background1" w:themeFillShade="F2"/>
          </w:tcPr>
          <w:p w14:paraId="73E15544" w14:textId="77777777" w:rsidR="00916502" w:rsidRPr="00716CC2" w:rsidRDefault="00916502" w:rsidP="00916502">
            <w:pPr>
              <w:spacing w:before="40" w:after="40"/>
              <w:rPr>
                <w:b/>
                <w:sz w:val="18"/>
                <w:szCs w:val="18"/>
              </w:rPr>
            </w:pPr>
            <w:r w:rsidRPr="00716CC2">
              <w:rPr>
                <w:b/>
                <w:sz w:val="18"/>
                <w:szCs w:val="18"/>
              </w:rPr>
              <w:t xml:space="preserve">Standard 2.1.1: </w:t>
            </w:r>
            <w:r w:rsidRPr="00716CC2">
              <w:rPr>
                <w:sz w:val="18"/>
                <w:szCs w:val="18"/>
              </w:rPr>
              <w:t>Restraint minimisation (HDS(RMSP)S.2008:2.1.1): Services demonstrate that the use of restraint is actively minimised.</w:t>
            </w:r>
          </w:p>
        </w:tc>
      </w:tr>
      <w:tr w:rsidR="00916502" w:rsidRPr="00716CC2" w14:paraId="26F1D262" w14:textId="77777777" w:rsidTr="007A7079">
        <w:trPr>
          <w:gridAfter w:val="2"/>
          <w:wAfter w:w="608" w:type="dxa"/>
        </w:trPr>
        <w:tc>
          <w:tcPr>
            <w:tcW w:w="2855" w:type="dxa"/>
            <w:shd w:val="clear" w:color="auto" w:fill="FFFFFF" w:themeFill="background1"/>
          </w:tcPr>
          <w:p w14:paraId="22834FD5"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229A5BF9"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16C71EC6"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FF4580F"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0BE33841"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6FFC270A" w14:textId="77777777" w:rsidTr="007A7079">
        <w:trPr>
          <w:gridAfter w:val="2"/>
          <w:wAfter w:w="608" w:type="dxa"/>
        </w:trPr>
        <w:tc>
          <w:tcPr>
            <w:tcW w:w="2855" w:type="dxa"/>
            <w:shd w:val="clear" w:color="auto" w:fill="FFFFFF" w:themeFill="background1"/>
          </w:tcPr>
          <w:p w14:paraId="2620B8FE" w14:textId="77777777" w:rsidR="00916502" w:rsidRPr="00716CC2" w:rsidRDefault="00916502" w:rsidP="00916502">
            <w:pPr>
              <w:pStyle w:val="TableBullet"/>
              <w:rPr>
                <w:szCs w:val="18"/>
              </w:rPr>
            </w:pPr>
            <w:r w:rsidRPr="00716CC2">
              <w:rPr>
                <w:szCs w:val="18"/>
              </w:rPr>
              <w:t>Language – restraint has negative connotation consider: provide an environment to keep patients safe</w:t>
            </w:r>
          </w:p>
          <w:p w14:paraId="5065B560" w14:textId="77777777" w:rsidR="00916502" w:rsidRPr="00716CC2" w:rsidRDefault="00916502" w:rsidP="00916502">
            <w:pPr>
              <w:pStyle w:val="TableBullet"/>
              <w:rPr>
                <w:szCs w:val="18"/>
              </w:rPr>
            </w:pPr>
            <w:r w:rsidRPr="00716CC2">
              <w:rPr>
                <w:szCs w:val="18"/>
              </w:rPr>
              <w:t>Keeping safe (+ve) vs restraint (-ve)</w:t>
            </w:r>
          </w:p>
          <w:p w14:paraId="68EBFA31" w14:textId="77777777" w:rsidR="00916502" w:rsidRPr="00716CC2" w:rsidRDefault="00916502" w:rsidP="00916502">
            <w:pPr>
              <w:pStyle w:val="TableBullet"/>
              <w:rPr>
                <w:szCs w:val="18"/>
              </w:rPr>
            </w:pPr>
            <w:r w:rsidRPr="00716CC2">
              <w:rPr>
                <w:szCs w:val="18"/>
              </w:rPr>
              <w:t>Include verbal de-escalation &amp; include training</w:t>
            </w:r>
          </w:p>
          <w:p w14:paraId="3FEA0D3B" w14:textId="77777777" w:rsidR="00916502" w:rsidRPr="00716CC2" w:rsidRDefault="00916502" w:rsidP="00916502">
            <w:pPr>
              <w:pStyle w:val="TableBullet"/>
              <w:rPr>
                <w:szCs w:val="18"/>
              </w:rPr>
            </w:pPr>
            <w:r w:rsidRPr="00716CC2">
              <w:rPr>
                <w:szCs w:val="18"/>
              </w:rPr>
              <w:t>Modular approach</w:t>
            </w:r>
          </w:p>
          <w:p w14:paraId="110A6BB3" w14:textId="77777777" w:rsidR="00916502" w:rsidRPr="00716CC2" w:rsidRDefault="00916502" w:rsidP="00916502">
            <w:pPr>
              <w:pStyle w:val="TableBullet"/>
              <w:rPr>
                <w:szCs w:val="18"/>
              </w:rPr>
            </w:pPr>
            <w:r w:rsidRPr="00716CC2">
              <w:rPr>
                <w:szCs w:val="18"/>
              </w:rPr>
              <w:t>Agreement standard needs amending</w:t>
            </w:r>
          </w:p>
          <w:p w14:paraId="57D26EA5" w14:textId="77777777" w:rsidR="00916502" w:rsidRPr="00716CC2" w:rsidRDefault="00916502" w:rsidP="00916502">
            <w:pPr>
              <w:pStyle w:val="TableBullet"/>
              <w:rPr>
                <w:rFonts w:ascii="Arial" w:hAnsi="Arial"/>
                <w:szCs w:val="18"/>
                <w:lang w:eastAsia="en-NZ"/>
              </w:rPr>
            </w:pPr>
            <w:r w:rsidRPr="00716CC2">
              <w:rPr>
                <w:rFonts w:ascii="Arial" w:hAnsi="Arial"/>
                <w:szCs w:val="18"/>
              </w:rPr>
              <w:t>Keep nursing process concept – assessment through evaluation.</w:t>
            </w:r>
          </w:p>
        </w:tc>
        <w:tc>
          <w:tcPr>
            <w:tcW w:w="2855" w:type="dxa"/>
            <w:gridSpan w:val="3"/>
            <w:shd w:val="clear" w:color="auto" w:fill="FFFFFF" w:themeFill="background1"/>
          </w:tcPr>
          <w:p w14:paraId="3EEB87C2" w14:textId="77777777" w:rsidR="00916502" w:rsidRPr="00716CC2" w:rsidRDefault="00916502" w:rsidP="00916502">
            <w:pPr>
              <w:pStyle w:val="TableBullet"/>
              <w:rPr>
                <w:szCs w:val="18"/>
              </w:rPr>
            </w:pPr>
            <w:r w:rsidRPr="00716CC2">
              <w:rPr>
                <w:szCs w:val="18"/>
              </w:rPr>
              <w:t>Discussion re title: should the standard be ‘Safety for All’; ‘Harm Prevention’, ‘Safety Support’: CONSUMER VIEW:  restraint is what is occurring, keep current title</w:t>
            </w:r>
          </w:p>
          <w:p w14:paraId="6CC3F2D1" w14:textId="77777777" w:rsidR="00916502" w:rsidRPr="00716CC2" w:rsidRDefault="00916502" w:rsidP="00916502">
            <w:pPr>
              <w:pStyle w:val="TableBullet"/>
              <w:rPr>
                <w:szCs w:val="18"/>
              </w:rPr>
            </w:pPr>
            <w:r w:rsidRPr="00716CC2">
              <w:rPr>
                <w:szCs w:val="18"/>
              </w:rPr>
              <w:t>Definitions currently narrow</w:t>
            </w:r>
          </w:p>
          <w:p w14:paraId="344737DC" w14:textId="77777777" w:rsidR="00916502" w:rsidRPr="00716CC2" w:rsidRDefault="00916502" w:rsidP="00916502">
            <w:pPr>
              <w:pStyle w:val="TableBullet"/>
              <w:rPr>
                <w:szCs w:val="18"/>
              </w:rPr>
            </w:pPr>
            <w:r w:rsidRPr="00716CC2">
              <w:rPr>
                <w:szCs w:val="18"/>
              </w:rPr>
              <w:t>What is restraint</w:t>
            </w:r>
          </w:p>
          <w:p w14:paraId="2B36B72F" w14:textId="77777777" w:rsidR="00916502" w:rsidRPr="00716CC2" w:rsidRDefault="00916502" w:rsidP="00916502">
            <w:pPr>
              <w:pStyle w:val="TableBullet"/>
              <w:rPr>
                <w:szCs w:val="18"/>
              </w:rPr>
            </w:pPr>
            <w:r w:rsidRPr="00716CC2">
              <w:rPr>
                <w:szCs w:val="18"/>
              </w:rPr>
              <w:t>Include definition of chemical restraint</w:t>
            </w:r>
          </w:p>
          <w:p w14:paraId="6D1E4BC1" w14:textId="77777777" w:rsidR="00916502" w:rsidRPr="00716CC2" w:rsidRDefault="00916502" w:rsidP="00916502">
            <w:pPr>
              <w:pStyle w:val="TableBullet"/>
              <w:rPr>
                <w:szCs w:val="18"/>
              </w:rPr>
            </w:pPr>
            <w:r w:rsidRPr="00716CC2">
              <w:rPr>
                <w:szCs w:val="18"/>
              </w:rPr>
              <w:t>Consider different levels of restraint – ie, ‘taken to floor’ at extreme end</w:t>
            </w:r>
          </w:p>
          <w:p w14:paraId="3E4D2878" w14:textId="77777777" w:rsidR="00916502" w:rsidRPr="00716CC2" w:rsidRDefault="00916502" w:rsidP="00916502">
            <w:pPr>
              <w:pStyle w:val="TableBullet"/>
              <w:rPr>
                <w:szCs w:val="18"/>
              </w:rPr>
            </w:pPr>
            <w:r w:rsidRPr="00716CC2">
              <w:rPr>
                <w:szCs w:val="18"/>
              </w:rPr>
              <w:t>What is ‘appropriate restraint</w:t>
            </w:r>
          </w:p>
          <w:p w14:paraId="31165917" w14:textId="77777777" w:rsidR="00916502" w:rsidRPr="00716CC2" w:rsidRDefault="00916502" w:rsidP="00916502">
            <w:pPr>
              <w:pStyle w:val="TableBullet"/>
              <w:rPr>
                <w:szCs w:val="18"/>
              </w:rPr>
            </w:pPr>
            <w:r w:rsidRPr="00716CC2">
              <w:rPr>
                <w:szCs w:val="18"/>
              </w:rPr>
              <w:t xml:space="preserve">Too prescriptive </w:t>
            </w:r>
          </w:p>
          <w:p w14:paraId="4164847F" w14:textId="77777777" w:rsidR="00916502" w:rsidRPr="00716CC2" w:rsidRDefault="00916502" w:rsidP="00916502">
            <w:pPr>
              <w:pStyle w:val="TableBullet"/>
              <w:rPr>
                <w:szCs w:val="18"/>
              </w:rPr>
            </w:pPr>
            <w:r w:rsidRPr="00716CC2">
              <w:rPr>
                <w:szCs w:val="18"/>
              </w:rPr>
              <w:t>? categories: personal restraint, physical restraint</w:t>
            </w:r>
          </w:p>
          <w:p w14:paraId="483BDE5E" w14:textId="77777777" w:rsidR="00916502" w:rsidRPr="00716CC2" w:rsidRDefault="00916502" w:rsidP="00916502">
            <w:pPr>
              <w:pStyle w:val="TableBullet"/>
              <w:rPr>
                <w:szCs w:val="18"/>
              </w:rPr>
            </w:pPr>
            <w:r w:rsidRPr="00716CC2">
              <w:rPr>
                <w:szCs w:val="18"/>
              </w:rPr>
              <w:t>Language needs to reflect degree of physical restraint</w:t>
            </w:r>
          </w:p>
          <w:p w14:paraId="3BCE9B02" w14:textId="77777777" w:rsidR="00916502" w:rsidRPr="00716CC2" w:rsidRDefault="00916502" w:rsidP="00916502">
            <w:pPr>
              <w:pStyle w:val="TableBullet"/>
              <w:rPr>
                <w:szCs w:val="18"/>
              </w:rPr>
            </w:pPr>
            <w:r w:rsidRPr="00716CC2">
              <w:rPr>
                <w:szCs w:val="18"/>
              </w:rPr>
              <w:t>Need overarching principle – include obtaining consent, safety support plan</w:t>
            </w:r>
          </w:p>
          <w:p w14:paraId="001D73EC" w14:textId="77777777" w:rsidR="00916502" w:rsidRPr="00716CC2" w:rsidRDefault="00916502" w:rsidP="00916502">
            <w:pPr>
              <w:pStyle w:val="TableBullet"/>
              <w:rPr>
                <w:szCs w:val="18"/>
              </w:rPr>
            </w:pPr>
            <w:r w:rsidRPr="00716CC2">
              <w:rPr>
                <w:szCs w:val="18"/>
              </w:rPr>
              <w:lastRenderedPageBreak/>
              <w:t>Operating policy needs to be open and transparent</w:t>
            </w:r>
          </w:p>
          <w:p w14:paraId="04F4D032" w14:textId="77777777" w:rsidR="00916502" w:rsidRPr="00716CC2" w:rsidRDefault="00916502" w:rsidP="00916502">
            <w:pPr>
              <w:pStyle w:val="TableBullet"/>
              <w:rPr>
                <w:szCs w:val="18"/>
              </w:rPr>
            </w:pPr>
            <w:r w:rsidRPr="00716CC2">
              <w:rPr>
                <w:szCs w:val="18"/>
              </w:rPr>
              <w:t>Actions taken – should vary based on levels of restraint taken (operating policy should reflect)</w:t>
            </w:r>
          </w:p>
          <w:p w14:paraId="3EE3CF21" w14:textId="77777777" w:rsidR="00916502" w:rsidRPr="00716CC2" w:rsidRDefault="00916502" w:rsidP="00916502">
            <w:pPr>
              <w:pStyle w:val="TableBullet"/>
              <w:rPr>
                <w:szCs w:val="18"/>
              </w:rPr>
            </w:pPr>
            <w:r w:rsidRPr="00716CC2">
              <w:rPr>
                <w:szCs w:val="18"/>
              </w:rPr>
              <w:t>Language to be more accessible to public</w:t>
            </w:r>
          </w:p>
          <w:p w14:paraId="448DF958" w14:textId="77777777" w:rsidR="00916502" w:rsidRPr="00716CC2" w:rsidRDefault="00916502" w:rsidP="00916502">
            <w:pPr>
              <w:pStyle w:val="TableBullet"/>
              <w:rPr>
                <w:szCs w:val="18"/>
              </w:rPr>
            </w:pPr>
            <w:r w:rsidRPr="00716CC2">
              <w:rPr>
                <w:szCs w:val="18"/>
              </w:rPr>
              <w:t>Incorporate staff safety</w:t>
            </w:r>
          </w:p>
          <w:p w14:paraId="15A37C30" w14:textId="77777777" w:rsidR="00916502" w:rsidRPr="00716CC2" w:rsidRDefault="00916502" w:rsidP="00916502">
            <w:pPr>
              <w:pStyle w:val="TableBullet"/>
              <w:rPr>
                <w:szCs w:val="18"/>
              </w:rPr>
            </w:pPr>
            <w:r w:rsidRPr="00716CC2">
              <w:rPr>
                <w:szCs w:val="18"/>
              </w:rPr>
              <w:t>Consider CTO – which enforcing treatment</w:t>
            </w:r>
          </w:p>
          <w:p w14:paraId="3BE00166" w14:textId="77777777" w:rsidR="00916502" w:rsidRPr="00716CC2" w:rsidRDefault="00916502" w:rsidP="00916502">
            <w:pPr>
              <w:pStyle w:val="TableBullet"/>
              <w:rPr>
                <w:szCs w:val="18"/>
              </w:rPr>
            </w:pPr>
            <w:r w:rsidRPr="00716CC2">
              <w:rPr>
                <w:szCs w:val="18"/>
              </w:rPr>
              <w:t>Enabler use to be considered – question as to whether it should be included in restraint definitions at all (different approach/purpose) or more appropriately included as a support in 1.3.3 or 1.3.6 (Ashburn Clinic)</w:t>
            </w:r>
          </w:p>
          <w:p w14:paraId="1BA2763B" w14:textId="77777777" w:rsidR="00916502" w:rsidRPr="00716CC2" w:rsidRDefault="00916502" w:rsidP="00916502">
            <w:pPr>
              <w:pStyle w:val="TableBullet"/>
              <w:rPr>
                <w:szCs w:val="18"/>
              </w:rPr>
            </w:pPr>
            <w:r w:rsidRPr="00716CC2">
              <w:rPr>
                <w:szCs w:val="18"/>
              </w:rPr>
              <w:t>All current processes – assessment, monitoring, de-escalation, review for inclusion</w:t>
            </w:r>
          </w:p>
          <w:p w14:paraId="429E768C" w14:textId="77777777" w:rsidR="00916502" w:rsidRPr="00716CC2" w:rsidRDefault="00916502" w:rsidP="00916502">
            <w:pPr>
              <w:pStyle w:val="TableBullet"/>
              <w:rPr>
                <w:szCs w:val="18"/>
              </w:rPr>
            </w:pPr>
            <w:r w:rsidRPr="00716CC2">
              <w:rPr>
                <w:szCs w:val="18"/>
              </w:rPr>
              <w:t>MH &amp; Addiction do it well – other areas opportunity to improve</w:t>
            </w:r>
          </w:p>
          <w:p w14:paraId="5436ACC7" w14:textId="77777777" w:rsidR="00916502" w:rsidRPr="00716CC2" w:rsidRDefault="00916502" w:rsidP="00916502">
            <w:pPr>
              <w:pStyle w:val="TableBullet"/>
              <w:rPr>
                <w:szCs w:val="18"/>
              </w:rPr>
            </w:pPr>
            <w:r w:rsidRPr="00716CC2">
              <w:rPr>
                <w:szCs w:val="18"/>
              </w:rPr>
              <w:t>Right to feel safe – and others around us</w:t>
            </w:r>
          </w:p>
          <w:p w14:paraId="508F38EA" w14:textId="77777777" w:rsidR="00916502" w:rsidRPr="00716CC2" w:rsidRDefault="00916502" w:rsidP="00916502">
            <w:pPr>
              <w:pStyle w:val="TableBullet"/>
              <w:rPr>
                <w:szCs w:val="18"/>
              </w:rPr>
            </w:pPr>
            <w:r w:rsidRPr="00716CC2">
              <w:rPr>
                <w:szCs w:val="18"/>
              </w:rPr>
              <w:t>Episodes of restraint could be an incident report with a link to governance/ recording/trending etc.</w:t>
            </w:r>
          </w:p>
          <w:p w14:paraId="2187550E" w14:textId="77777777" w:rsidR="00916502" w:rsidRPr="00716CC2" w:rsidRDefault="00916502" w:rsidP="00916502">
            <w:pPr>
              <w:pStyle w:val="TableBullet"/>
              <w:rPr>
                <w:szCs w:val="18"/>
              </w:rPr>
            </w:pPr>
            <w:r w:rsidRPr="00716CC2">
              <w:rPr>
                <w:szCs w:val="18"/>
              </w:rPr>
              <w:t>Agree a register would be helpful to retain</w:t>
            </w:r>
          </w:p>
          <w:p w14:paraId="5FD6D113" w14:textId="77777777" w:rsidR="00916502" w:rsidRPr="00716CC2" w:rsidRDefault="00916502" w:rsidP="00916502">
            <w:pPr>
              <w:pStyle w:val="TableBullet"/>
              <w:rPr>
                <w:szCs w:val="18"/>
              </w:rPr>
            </w:pPr>
            <w:r w:rsidRPr="00716CC2">
              <w:rPr>
                <w:szCs w:val="18"/>
              </w:rPr>
              <w:t xml:space="preserve">Training: define, include de-escalation/debrief </w:t>
            </w:r>
          </w:p>
          <w:p w14:paraId="4F1FC1AF" w14:textId="77777777" w:rsidR="00916502" w:rsidRPr="00716CC2" w:rsidRDefault="00916502" w:rsidP="00916502">
            <w:pPr>
              <w:pStyle w:val="TableBullet"/>
              <w:rPr>
                <w:szCs w:val="18"/>
              </w:rPr>
            </w:pPr>
            <w:r w:rsidRPr="00716CC2">
              <w:rPr>
                <w:szCs w:val="18"/>
              </w:rPr>
              <w:lastRenderedPageBreak/>
              <w:t>Quality review to include consumer feedback</w:t>
            </w:r>
          </w:p>
          <w:p w14:paraId="1056331D" w14:textId="77777777" w:rsidR="00916502" w:rsidRPr="00716CC2" w:rsidRDefault="00916502" w:rsidP="00916502">
            <w:pPr>
              <w:pStyle w:val="TableBullet"/>
              <w:rPr>
                <w:szCs w:val="18"/>
              </w:rPr>
            </w:pPr>
            <w:r w:rsidRPr="00716CC2">
              <w:rPr>
                <w:szCs w:val="18"/>
              </w:rPr>
              <w:t>Incorporate equity</w:t>
            </w:r>
          </w:p>
          <w:p w14:paraId="55F39F86" w14:textId="77777777" w:rsidR="00916502" w:rsidRPr="00716CC2" w:rsidRDefault="00916502" w:rsidP="00916502">
            <w:pPr>
              <w:pStyle w:val="TableBullet"/>
              <w:rPr>
                <w:szCs w:val="18"/>
              </w:rPr>
            </w:pPr>
            <w:r w:rsidRPr="00716CC2">
              <w:rPr>
                <w:szCs w:val="18"/>
              </w:rPr>
              <w:t>Restraint definition (pg. 30) - add sub-categories to definition of personal (amend Ashburn) restraint to reflect the degree of restraint and assist incident reporting. Currently we record the type of hold (SPEC training) but not all services will utilise this training model (Ashburn Clinic)</w:t>
            </w:r>
          </w:p>
          <w:p w14:paraId="7E3BB629" w14:textId="77777777" w:rsidR="00916502" w:rsidRPr="00716CC2" w:rsidRDefault="00916502" w:rsidP="00916502">
            <w:pPr>
              <w:pStyle w:val="TableBullet"/>
              <w:rPr>
                <w:szCs w:val="18"/>
              </w:rPr>
            </w:pPr>
            <w:r w:rsidRPr="00716CC2">
              <w:rPr>
                <w:szCs w:val="18"/>
              </w:rPr>
              <w:t>Service provider definition (pg. 31)– too vague, especially where training requirements (e.g. restraint) are concerned. Probably the intent is for nursing/carer staff but many services have a range of service providers (staff who work for the service) who would not be required to meet a specific standard as it does not apply to their practice, e.g. non-clinical, psychiatrists, psychotherapists, OTs. (Ashburn Clinic)</w:t>
            </w:r>
          </w:p>
        </w:tc>
        <w:tc>
          <w:tcPr>
            <w:tcW w:w="2855" w:type="dxa"/>
            <w:gridSpan w:val="3"/>
            <w:shd w:val="clear" w:color="auto" w:fill="FFFFFF" w:themeFill="background1"/>
          </w:tcPr>
          <w:p w14:paraId="53C844F8" w14:textId="77777777" w:rsidR="00916502" w:rsidRPr="00716CC2" w:rsidRDefault="00916502" w:rsidP="00916502">
            <w:pPr>
              <w:pStyle w:val="TableBullet"/>
              <w:rPr>
                <w:szCs w:val="18"/>
              </w:rPr>
            </w:pPr>
            <w:r w:rsidRPr="00716CC2">
              <w:rPr>
                <w:szCs w:val="18"/>
              </w:rPr>
              <w:lastRenderedPageBreak/>
              <w:t>Consideration of chemical restraint could be considered against 1.3.12 (see comments against same)</w:t>
            </w:r>
          </w:p>
          <w:p w14:paraId="450AC485" w14:textId="77777777" w:rsidR="00916502" w:rsidRPr="00716CC2" w:rsidRDefault="00916502" w:rsidP="00916502">
            <w:pPr>
              <w:pStyle w:val="Table2ndBullet"/>
              <w:rPr>
                <w:szCs w:val="18"/>
              </w:rPr>
            </w:pPr>
            <w:r w:rsidRPr="00716CC2">
              <w:rPr>
                <w:szCs w:val="18"/>
              </w:rPr>
              <w:t>Do not agree this should be mentioned as such (LC, HDANZ)</w:t>
            </w:r>
          </w:p>
          <w:p w14:paraId="492207C5" w14:textId="77777777" w:rsidR="00916502" w:rsidRPr="00716CC2" w:rsidRDefault="00916502" w:rsidP="00916502">
            <w:pPr>
              <w:pStyle w:val="TableBullet"/>
              <w:rPr>
                <w:szCs w:val="18"/>
              </w:rPr>
            </w:pPr>
            <w:r w:rsidRPr="00716CC2">
              <w:rPr>
                <w:szCs w:val="18"/>
              </w:rPr>
              <w:t>Definitions to be revisits – being clearer between a ‘restraint’ and an ‘enabler’ – link to health literacy (note earlier comments also)</w:t>
            </w:r>
          </w:p>
          <w:p w14:paraId="3990E829" w14:textId="77777777" w:rsidR="00916502" w:rsidRPr="00716CC2" w:rsidRDefault="00916502" w:rsidP="00916502">
            <w:pPr>
              <w:pStyle w:val="TableBullet"/>
              <w:rPr>
                <w:szCs w:val="18"/>
              </w:rPr>
            </w:pPr>
            <w:r w:rsidRPr="00716CC2">
              <w:rPr>
                <w:szCs w:val="18"/>
              </w:rPr>
              <w:t>Leave enabler use within the restraint standard – this aspect of care still needs to be managed</w:t>
            </w:r>
          </w:p>
          <w:p w14:paraId="07272D56" w14:textId="77777777" w:rsidR="00916502" w:rsidRPr="00716CC2" w:rsidRDefault="00916502" w:rsidP="00916502">
            <w:pPr>
              <w:pStyle w:val="TableBullet"/>
              <w:rPr>
                <w:szCs w:val="18"/>
              </w:rPr>
            </w:pPr>
            <w:r w:rsidRPr="00716CC2">
              <w:rPr>
                <w:szCs w:val="18"/>
              </w:rPr>
              <w:t>With regards to enabler use – clearer definition as EPOA can provide consent for an enabler. Is this then ‘voluntary’ (E.Lear SIAPO)</w:t>
            </w:r>
          </w:p>
          <w:p w14:paraId="0502F7D0" w14:textId="77777777" w:rsidR="00916502" w:rsidRPr="00716CC2" w:rsidRDefault="00916502" w:rsidP="00916502">
            <w:pPr>
              <w:pStyle w:val="TableBullet"/>
              <w:rPr>
                <w:szCs w:val="18"/>
              </w:rPr>
            </w:pPr>
            <w:r w:rsidRPr="00716CC2">
              <w:rPr>
                <w:szCs w:val="18"/>
              </w:rPr>
              <w:t>Interface with the Ombudsman needs to be apparent</w:t>
            </w:r>
          </w:p>
          <w:p w14:paraId="5DE9A98C" w14:textId="77777777" w:rsidR="00916502" w:rsidRPr="00716CC2" w:rsidRDefault="00916502" w:rsidP="00916502">
            <w:pPr>
              <w:pStyle w:val="TableBullet"/>
              <w:rPr>
                <w:szCs w:val="18"/>
              </w:rPr>
            </w:pPr>
            <w:r w:rsidRPr="00716CC2">
              <w:rPr>
                <w:szCs w:val="18"/>
              </w:rPr>
              <w:lastRenderedPageBreak/>
              <w:t>Restraint (use and minimisation) is still significant enough to have a dedicated standard (noting interest in name change above)</w:t>
            </w:r>
          </w:p>
          <w:p w14:paraId="681A4888" w14:textId="77777777" w:rsidR="00916502" w:rsidRPr="00716CC2" w:rsidRDefault="00916502" w:rsidP="00916502">
            <w:pPr>
              <w:pStyle w:val="TableBullet"/>
              <w:rPr>
                <w:szCs w:val="18"/>
              </w:rPr>
            </w:pPr>
            <w:r w:rsidRPr="00716CC2">
              <w:rPr>
                <w:szCs w:val="18"/>
              </w:rPr>
              <w:t>Q: where does the person centred approach factor – discussion around health professionals having a ‘duty of care’ where individuals are not competent:  Thanks for capturing this – when does the duty of care become more important than what the person wants, also competency varies etc … complex area (LR, Alzheimer’s NZ)</w:t>
            </w:r>
          </w:p>
          <w:p w14:paraId="535D8018" w14:textId="77777777" w:rsidR="00916502" w:rsidRPr="00716CC2" w:rsidRDefault="00916502" w:rsidP="00916502">
            <w:pPr>
              <w:pStyle w:val="TableBullet"/>
              <w:rPr>
                <w:szCs w:val="18"/>
              </w:rPr>
            </w:pPr>
            <w:r w:rsidRPr="00716CC2">
              <w:rPr>
                <w:szCs w:val="18"/>
              </w:rPr>
              <w:t>Services need to manage the risks related to restraint – this aspect could be included in the ‘care delivery’ part of standards</w:t>
            </w:r>
          </w:p>
          <w:p w14:paraId="4507E7C5" w14:textId="77777777" w:rsidR="00916502" w:rsidRPr="00716CC2" w:rsidRDefault="00916502" w:rsidP="00916502">
            <w:pPr>
              <w:pStyle w:val="TableBullet"/>
              <w:rPr>
                <w:szCs w:val="18"/>
              </w:rPr>
            </w:pPr>
            <w:r w:rsidRPr="00716CC2">
              <w:rPr>
                <w:szCs w:val="18"/>
              </w:rPr>
              <w:t>Structured process to remain – ie. Approval, assessment, safe use (monitoring),evaluation</w:t>
            </w:r>
          </w:p>
          <w:p w14:paraId="5B533C3E" w14:textId="77777777" w:rsidR="00916502" w:rsidRPr="00716CC2" w:rsidRDefault="00916502" w:rsidP="00916502">
            <w:pPr>
              <w:pStyle w:val="TableBullet"/>
              <w:rPr>
                <w:szCs w:val="18"/>
              </w:rPr>
            </w:pPr>
            <w:r w:rsidRPr="00716CC2">
              <w:rPr>
                <w:szCs w:val="18"/>
              </w:rPr>
              <w:t>Monitoring - timeframes related to risk</w:t>
            </w:r>
          </w:p>
          <w:p w14:paraId="233B01E6" w14:textId="77777777" w:rsidR="00916502" w:rsidRPr="00716CC2" w:rsidRDefault="00916502" w:rsidP="00916502">
            <w:pPr>
              <w:pStyle w:val="TableBullet"/>
              <w:rPr>
                <w:szCs w:val="18"/>
              </w:rPr>
            </w:pPr>
            <w:r w:rsidRPr="00716CC2">
              <w:rPr>
                <w:szCs w:val="18"/>
              </w:rPr>
              <w:t>Refer comments against 2.2.5 (restraint monitoring &amp; quality review)</w:t>
            </w:r>
          </w:p>
        </w:tc>
        <w:tc>
          <w:tcPr>
            <w:tcW w:w="2855" w:type="dxa"/>
            <w:gridSpan w:val="3"/>
            <w:shd w:val="clear" w:color="auto" w:fill="FFFFFF" w:themeFill="background1"/>
          </w:tcPr>
          <w:p w14:paraId="29C49332" w14:textId="77777777" w:rsidR="00916502" w:rsidRPr="00716CC2" w:rsidRDefault="00916502" w:rsidP="00916502">
            <w:pPr>
              <w:pStyle w:val="TableBullet"/>
              <w:rPr>
                <w:szCs w:val="18"/>
                <w:lang w:eastAsia="en-NZ"/>
              </w:rPr>
            </w:pPr>
            <w:r w:rsidRPr="00716CC2">
              <w:rPr>
                <w:szCs w:val="18"/>
                <w:lang w:eastAsia="en-NZ"/>
              </w:rPr>
              <w:lastRenderedPageBreak/>
              <w:t>Definitions and guidance need work</w:t>
            </w:r>
          </w:p>
          <w:p w14:paraId="754FB94E" w14:textId="77777777" w:rsidR="00916502" w:rsidRPr="00716CC2" w:rsidRDefault="00916502" w:rsidP="00916502">
            <w:pPr>
              <w:pStyle w:val="TableBullet"/>
              <w:rPr>
                <w:szCs w:val="18"/>
                <w:lang w:eastAsia="en-NZ"/>
              </w:rPr>
            </w:pPr>
            <w:r w:rsidRPr="00716CC2">
              <w:rPr>
                <w:szCs w:val="18"/>
                <w:lang w:eastAsia="en-NZ"/>
              </w:rPr>
              <w:t>Not restraining can create other tensions – eg fall rate increase</w:t>
            </w:r>
          </w:p>
          <w:p w14:paraId="0E84E4DE" w14:textId="77777777" w:rsidR="00916502" w:rsidRPr="00716CC2" w:rsidRDefault="00916502" w:rsidP="00916502">
            <w:pPr>
              <w:pStyle w:val="TableBullet"/>
              <w:rPr>
                <w:szCs w:val="18"/>
                <w:lang w:eastAsia="en-NZ"/>
              </w:rPr>
            </w:pPr>
            <w:r w:rsidRPr="00716CC2">
              <w:rPr>
                <w:szCs w:val="18"/>
                <w:lang w:eastAsia="en-NZ"/>
              </w:rPr>
              <w:t>Consider language – promoting safety</w:t>
            </w:r>
          </w:p>
          <w:p w14:paraId="1B4CD21F" w14:textId="77777777" w:rsidR="00916502" w:rsidRPr="00716CC2" w:rsidRDefault="00916502" w:rsidP="00916502">
            <w:pPr>
              <w:pStyle w:val="TableBullet"/>
              <w:rPr>
                <w:szCs w:val="18"/>
                <w:lang w:eastAsia="en-NZ"/>
              </w:rPr>
            </w:pPr>
            <w:r w:rsidRPr="00716CC2">
              <w:rPr>
                <w:szCs w:val="18"/>
                <w:lang w:eastAsia="en-NZ"/>
              </w:rPr>
              <w:t>Language currently punitive – reframe</w:t>
            </w:r>
          </w:p>
          <w:p w14:paraId="6D25AEF3" w14:textId="77777777" w:rsidR="00916502" w:rsidRPr="00716CC2" w:rsidRDefault="00916502" w:rsidP="00916502">
            <w:pPr>
              <w:pStyle w:val="TableBullet"/>
              <w:rPr>
                <w:szCs w:val="18"/>
                <w:lang w:eastAsia="en-NZ"/>
              </w:rPr>
            </w:pPr>
            <w:r w:rsidRPr="00716CC2">
              <w:rPr>
                <w:szCs w:val="18"/>
                <w:lang w:eastAsia="en-NZ"/>
              </w:rPr>
              <w:t>Enabler use – what is an enabler (and interpretation at audit)</w:t>
            </w:r>
          </w:p>
          <w:p w14:paraId="59B58940" w14:textId="77777777" w:rsidR="00916502" w:rsidRPr="00716CC2" w:rsidRDefault="00916502" w:rsidP="00916502">
            <w:pPr>
              <w:pStyle w:val="TableBullet"/>
              <w:rPr>
                <w:szCs w:val="18"/>
                <w:lang w:eastAsia="en-NZ"/>
              </w:rPr>
            </w:pPr>
            <w:r w:rsidRPr="00716CC2">
              <w:rPr>
                <w:szCs w:val="18"/>
                <w:lang w:eastAsia="en-NZ"/>
              </w:rPr>
              <w:t>Where does the compassionate support sit – eg hand holding</w:t>
            </w:r>
          </w:p>
          <w:p w14:paraId="245F4886" w14:textId="77777777" w:rsidR="00916502" w:rsidRPr="00716CC2" w:rsidRDefault="00916502" w:rsidP="00916502">
            <w:pPr>
              <w:pStyle w:val="TableBullet"/>
              <w:rPr>
                <w:szCs w:val="18"/>
                <w:lang w:eastAsia="en-NZ"/>
              </w:rPr>
            </w:pPr>
            <w:r w:rsidRPr="00716CC2">
              <w:rPr>
                <w:szCs w:val="18"/>
                <w:lang w:eastAsia="en-NZ"/>
              </w:rPr>
              <w:t>Key to what is restraint is the ‘intent’</w:t>
            </w:r>
          </w:p>
          <w:p w14:paraId="766E0236" w14:textId="77777777" w:rsidR="00916502" w:rsidRPr="00716CC2" w:rsidRDefault="00916502" w:rsidP="00916502">
            <w:pPr>
              <w:pStyle w:val="TableBullet"/>
              <w:rPr>
                <w:szCs w:val="18"/>
                <w:lang w:eastAsia="en-NZ"/>
              </w:rPr>
            </w:pPr>
            <w:r w:rsidRPr="00716CC2">
              <w:rPr>
                <w:szCs w:val="18"/>
                <w:lang w:eastAsia="en-NZ"/>
              </w:rPr>
              <w:t>Monitoring should be a risk based approach – more guidance required</w:t>
            </w:r>
          </w:p>
          <w:p w14:paraId="7557C108" w14:textId="77777777" w:rsidR="00916502" w:rsidRPr="00716CC2" w:rsidRDefault="00916502" w:rsidP="00916502">
            <w:pPr>
              <w:pStyle w:val="TableBullet"/>
              <w:rPr>
                <w:szCs w:val="18"/>
                <w:lang w:eastAsia="en-NZ"/>
              </w:rPr>
            </w:pPr>
            <w:r w:rsidRPr="00716CC2">
              <w:rPr>
                <w:szCs w:val="18"/>
                <w:lang w:eastAsia="en-NZ"/>
              </w:rPr>
              <w:t xml:space="preserve">Retain current assessment, monitoring, review processes (noting review should also be </w:t>
            </w:r>
            <w:r w:rsidRPr="00716CC2">
              <w:rPr>
                <w:szCs w:val="18"/>
                <w:lang w:eastAsia="en-NZ"/>
              </w:rPr>
              <w:lastRenderedPageBreak/>
              <w:t>risk based – ie. Each ‘episode’ may not require review)</w:t>
            </w:r>
          </w:p>
          <w:p w14:paraId="42955401" w14:textId="77777777" w:rsidR="00916502" w:rsidRPr="00716CC2" w:rsidRDefault="00916502" w:rsidP="00916502">
            <w:pPr>
              <w:pStyle w:val="TableBullet"/>
              <w:rPr>
                <w:szCs w:val="18"/>
                <w:lang w:eastAsia="en-NZ"/>
              </w:rPr>
            </w:pPr>
            <w:r w:rsidRPr="00716CC2">
              <w:rPr>
                <w:szCs w:val="18"/>
                <w:lang w:eastAsia="en-NZ"/>
              </w:rPr>
              <w:t>Discussion – different between chairs that restrain and therapeutic seating: agreed linked to intent</w:t>
            </w:r>
          </w:p>
          <w:p w14:paraId="75C48D31" w14:textId="77777777" w:rsidR="00916502" w:rsidRPr="00716CC2" w:rsidRDefault="00916502" w:rsidP="00916502">
            <w:pPr>
              <w:pStyle w:val="TableBullet"/>
              <w:rPr>
                <w:szCs w:val="18"/>
                <w:lang w:eastAsia="en-NZ"/>
              </w:rPr>
            </w:pPr>
            <w:r w:rsidRPr="00716CC2">
              <w:rPr>
                <w:szCs w:val="18"/>
                <w:lang w:eastAsia="en-NZ"/>
              </w:rPr>
              <w:t>Need to look at bigger picture</w:t>
            </w:r>
          </w:p>
          <w:p w14:paraId="1069810C" w14:textId="77777777" w:rsidR="00916502" w:rsidRPr="00716CC2" w:rsidRDefault="00916502" w:rsidP="00916502">
            <w:pPr>
              <w:pStyle w:val="TableBullet"/>
              <w:rPr>
                <w:szCs w:val="18"/>
                <w:lang w:eastAsia="en-NZ"/>
              </w:rPr>
            </w:pPr>
            <w:r w:rsidRPr="00716CC2">
              <w:rPr>
                <w:szCs w:val="18"/>
                <w:lang w:eastAsia="en-NZ"/>
              </w:rPr>
              <w:t>Chemical restraint discussed – linked back to intent</w:t>
            </w:r>
          </w:p>
        </w:tc>
        <w:tc>
          <w:tcPr>
            <w:tcW w:w="2856" w:type="dxa"/>
            <w:gridSpan w:val="3"/>
            <w:shd w:val="clear" w:color="auto" w:fill="FFFFFF" w:themeFill="background1"/>
          </w:tcPr>
          <w:p w14:paraId="3A8860BB" w14:textId="77777777" w:rsidR="00916502" w:rsidRPr="00716CC2" w:rsidRDefault="00916502" w:rsidP="00916502">
            <w:pPr>
              <w:pStyle w:val="TableBullet"/>
              <w:rPr>
                <w:szCs w:val="18"/>
                <w:lang w:eastAsia="en-NZ"/>
              </w:rPr>
            </w:pPr>
            <w:r w:rsidRPr="00716CC2">
              <w:rPr>
                <w:szCs w:val="18"/>
                <w:lang w:eastAsia="en-NZ"/>
              </w:rPr>
              <w:lastRenderedPageBreak/>
              <w:t>Discussion restraint vs enabler – philosophically different (noting auditor variation)</w:t>
            </w:r>
          </w:p>
          <w:p w14:paraId="1CF3C8B1" w14:textId="77777777" w:rsidR="00916502" w:rsidRPr="00716CC2" w:rsidRDefault="00916502" w:rsidP="00916502">
            <w:pPr>
              <w:pStyle w:val="TableBullet"/>
              <w:rPr>
                <w:szCs w:val="18"/>
                <w:lang w:eastAsia="en-NZ"/>
              </w:rPr>
            </w:pPr>
            <w:r w:rsidRPr="00716CC2">
              <w:rPr>
                <w:szCs w:val="18"/>
                <w:lang w:eastAsia="en-NZ"/>
              </w:rPr>
              <w:t>Enablers: need to enable a more fulfilling life</w:t>
            </w:r>
          </w:p>
          <w:p w14:paraId="4F66F136" w14:textId="77777777" w:rsidR="00916502" w:rsidRPr="00716CC2" w:rsidRDefault="00916502" w:rsidP="00916502">
            <w:pPr>
              <w:pStyle w:val="TableBullet"/>
              <w:rPr>
                <w:szCs w:val="18"/>
                <w:lang w:eastAsia="en-NZ"/>
              </w:rPr>
            </w:pPr>
            <w:r w:rsidRPr="00716CC2">
              <w:rPr>
                <w:szCs w:val="18"/>
                <w:lang w:eastAsia="en-NZ"/>
              </w:rPr>
              <w:t>Q: does enabler fit – could move to service delivery (Part 3) perhaps with a dedicated standard: mixed view</w:t>
            </w:r>
          </w:p>
          <w:p w14:paraId="3B408653" w14:textId="77777777" w:rsidR="00916502" w:rsidRPr="00716CC2" w:rsidRDefault="00916502" w:rsidP="00916502">
            <w:pPr>
              <w:pStyle w:val="TableBullet"/>
              <w:rPr>
                <w:szCs w:val="18"/>
                <w:lang w:eastAsia="en-NZ"/>
              </w:rPr>
            </w:pPr>
            <w:r w:rsidRPr="00716CC2">
              <w:rPr>
                <w:szCs w:val="18"/>
                <w:lang w:eastAsia="en-NZ"/>
              </w:rPr>
              <w:t>Definitions require review to minimise interpretation</w:t>
            </w:r>
          </w:p>
          <w:p w14:paraId="356DF299" w14:textId="77777777" w:rsidR="00916502" w:rsidRPr="00716CC2" w:rsidRDefault="00916502" w:rsidP="00916502">
            <w:pPr>
              <w:pStyle w:val="Table2ndBullet"/>
              <w:rPr>
                <w:szCs w:val="18"/>
                <w:lang w:eastAsia="en-NZ"/>
              </w:rPr>
            </w:pPr>
            <w:r w:rsidRPr="00716CC2">
              <w:rPr>
                <w:szCs w:val="18"/>
                <w:lang w:eastAsia="en-NZ"/>
              </w:rPr>
              <w:t xml:space="preserve">I do have one other comment around restraint: enablers are defined as restraint a person agrees to. Physical restraint is the use of equipment  etc and the person may not be able to provide consent therefore it is restraint but if a person has cerebral palsy and requires a lap belt and </w:t>
            </w:r>
            <w:r w:rsidRPr="00716CC2">
              <w:rPr>
                <w:szCs w:val="18"/>
                <w:lang w:eastAsia="en-NZ"/>
              </w:rPr>
              <w:lastRenderedPageBreak/>
              <w:t>chest harness etc for appropriate seating and safety- why is this considered as restraint? (J.Hampton, Brackenridge)</w:t>
            </w:r>
          </w:p>
          <w:p w14:paraId="5600A641" w14:textId="77777777" w:rsidR="00916502" w:rsidRPr="00716CC2" w:rsidRDefault="00916502" w:rsidP="00916502">
            <w:pPr>
              <w:pStyle w:val="TableBullet"/>
              <w:rPr>
                <w:szCs w:val="18"/>
                <w:lang w:eastAsia="en-NZ"/>
              </w:rPr>
            </w:pPr>
            <w:r w:rsidRPr="00716CC2">
              <w:rPr>
                <w:szCs w:val="18"/>
                <w:lang w:eastAsia="en-NZ"/>
              </w:rPr>
              <w:t>Locked units and environmental restraint discussed</w:t>
            </w:r>
          </w:p>
          <w:p w14:paraId="71F7012C" w14:textId="77777777" w:rsidR="00916502" w:rsidRPr="00716CC2" w:rsidRDefault="00916502" w:rsidP="00916502">
            <w:pPr>
              <w:pStyle w:val="TableBullet"/>
              <w:rPr>
                <w:szCs w:val="18"/>
                <w:lang w:eastAsia="en-NZ"/>
              </w:rPr>
            </w:pPr>
            <w:r w:rsidRPr="00716CC2">
              <w:rPr>
                <w:szCs w:val="18"/>
                <w:lang w:eastAsia="en-NZ"/>
              </w:rPr>
              <w:t>Decision to restrain is made by a third party (ie. Individual does not determine), could link to Informed Consent</w:t>
            </w:r>
          </w:p>
          <w:p w14:paraId="2BF4F4F7" w14:textId="77777777" w:rsidR="00916502" w:rsidRPr="00716CC2" w:rsidRDefault="00916502" w:rsidP="00916502">
            <w:pPr>
              <w:pStyle w:val="TableBullet"/>
              <w:rPr>
                <w:szCs w:val="18"/>
                <w:lang w:eastAsia="en-NZ"/>
              </w:rPr>
            </w:pPr>
            <w:r w:rsidRPr="00716CC2">
              <w:rPr>
                <w:szCs w:val="18"/>
                <w:lang w:eastAsia="en-NZ"/>
              </w:rPr>
              <w:t xml:space="preserve">Views of the individual paramount – use, duration, </w:t>
            </w:r>
          </w:p>
          <w:p w14:paraId="6F66647F" w14:textId="77777777" w:rsidR="00916502" w:rsidRPr="00716CC2" w:rsidRDefault="00916502" w:rsidP="00916502">
            <w:pPr>
              <w:pStyle w:val="TableBullet"/>
              <w:rPr>
                <w:szCs w:val="18"/>
                <w:lang w:eastAsia="en-NZ"/>
              </w:rPr>
            </w:pPr>
            <w:r w:rsidRPr="00716CC2">
              <w:rPr>
                <w:szCs w:val="18"/>
                <w:lang w:eastAsia="en-NZ"/>
              </w:rPr>
              <w:t>Degree of monitoring of restraint to be linked to risk associated with the restraint being used</w:t>
            </w:r>
          </w:p>
          <w:p w14:paraId="462A41E4" w14:textId="77777777" w:rsidR="00916502" w:rsidRPr="00716CC2" w:rsidRDefault="00916502" w:rsidP="00916502">
            <w:pPr>
              <w:pStyle w:val="TableBullet"/>
              <w:rPr>
                <w:szCs w:val="18"/>
                <w:lang w:eastAsia="en-NZ"/>
              </w:rPr>
            </w:pPr>
            <w:r w:rsidRPr="00716CC2">
              <w:rPr>
                <w:szCs w:val="18"/>
                <w:lang w:eastAsia="en-NZ"/>
              </w:rPr>
              <w:t>Isolation – to be considered as can be perpetuating and lead to challenging behaviours</w:t>
            </w:r>
          </w:p>
          <w:p w14:paraId="5E2E9514" w14:textId="77777777" w:rsidR="00916502" w:rsidRPr="00716CC2" w:rsidRDefault="00916502" w:rsidP="00916502">
            <w:pPr>
              <w:pStyle w:val="TableBullet"/>
              <w:rPr>
                <w:szCs w:val="18"/>
                <w:lang w:eastAsia="en-NZ"/>
              </w:rPr>
            </w:pPr>
            <w:r w:rsidRPr="00716CC2">
              <w:rPr>
                <w:szCs w:val="18"/>
                <w:lang w:eastAsia="en-NZ"/>
              </w:rPr>
              <w:t>Actively minimising restraint is NOT ENOUGH, service should demonstrate that restraint is the last resort, and evidence steps taken (eg. De-escalation) to be restraint free – need to understand why the behaviour is occurring</w:t>
            </w:r>
          </w:p>
          <w:p w14:paraId="3C1A0485" w14:textId="77777777" w:rsidR="00916502" w:rsidRPr="00716CC2" w:rsidRDefault="00916502" w:rsidP="00916502">
            <w:pPr>
              <w:pStyle w:val="TableBullet"/>
              <w:rPr>
                <w:szCs w:val="18"/>
                <w:lang w:eastAsia="en-NZ"/>
              </w:rPr>
            </w:pPr>
            <w:r w:rsidRPr="00716CC2">
              <w:rPr>
                <w:szCs w:val="18"/>
                <w:lang w:eastAsia="en-NZ"/>
              </w:rPr>
              <w:t>Challenging behaviour is derogatory – language – and can perpetuate the behaviour</w:t>
            </w:r>
          </w:p>
          <w:p w14:paraId="4D2C3D81" w14:textId="77777777" w:rsidR="00916502" w:rsidRPr="00716CC2" w:rsidRDefault="00916502" w:rsidP="00916502">
            <w:pPr>
              <w:pStyle w:val="TableBullet"/>
              <w:rPr>
                <w:szCs w:val="18"/>
                <w:lang w:eastAsia="en-NZ"/>
              </w:rPr>
            </w:pPr>
            <w:r w:rsidRPr="00716CC2">
              <w:rPr>
                <w:szCs w:val="18"/>
                <w:lang w:eastAsia="en-NZ"/>
              </w:rPr>
              <w:t>Consider: ‘positive behaviour support strategies’</w:t>
            </w:r>
          </w:p>
          <w:p w14:paraId="354059E0" w14:textId="77777777" w:rsidR="00916502" w:rsidRPr="00716CC2" w:rsidRDefault="00916502" w:rsidP="00916502">
            <w:pPr>
              <w:pStyle w:val="TableBullet"/>
              <w:rPr>
                <w:szCs w:val="18"/>
                <w:lang w:eastAsia="en-NZ"/>
              </w:rPr>
            </w:pPr>
            <w:r w:rsidRPr="00716CC2">
              <w:rPr>
                <w:szCs w:val="18"/>
                <w:lang w:eastAsia="en-NZ"/>
              </w:rPr>
              <w:lastRenderedPageBreak/>
              <w:t>Workforce level of competency – providers need a workforce strategy</w:t>
            </w:r>
          </w:p>
          <w:p w14:paraId="00C4C251" w14:textId="77777777" w:rsidR="00916502" w:rsidRPr="00716CC2" w:rsidRDefault="00916502" w:rsidP="00916502">
            <w:pPr>
              <w:pStyle w:val="TableBullet"/>
              <w:rPr>
                <w:szCs w:val="18"/>
                <w:lang w:eastAsia="en-NZ"/>
              </w:rPr>
            </w:pPr>
            <w:r w:rsidRPr="00716CC2">
              <w:rPr>
                <w:szCs w:val="18"/>
                <w:lang w:eastAsia="en-NZ"/>
              </w:rPr>
              <w:t>Standard does not define physical restraint – eg. Holding hand through to full hold. Now seeing more full holds in disability</w:t>
            </w:r>
          </w:p>
          <w:p w14:paraId="175F4C09" w14:textId="77777777" w:rsidR="00916502" w:rsidRPr="00716CC2" w:rsidRDefault="00916502" w:rsidP="00916502">
            <w:pPr>
              <w:pStyle w:val="Table2ndBullet"/>
              <w:rPr>
                <w:szCs w:val="18"/>
                <w:lang w:eastAsia="en-NZ"/>
              </w:rPr>
            </w:pPr>
            <w:r w:rsidRPr="00716CC2">
              <w:rPr>
                <w:szCs w:val="18"/>
                <w:lang w:eastAsia="en-NZ"/>
              </w:rPr>
              <w:t>Is this not considered Personal restraint? Restraint needs to be clearly defined to avoid the opportunity for misinterpretation. Personal restraint is monitored to meet the training criteria ie. MAPA (J.Hampton, Brackenridge)</w:t>
            </w:r>
          </w:p>
          <w:p w14:paraId="3DF4A7FF" w14:textId="77777777" w:rsidR="00916502" w:rsidRPr="00716CC2" w:rsidRDefault="00916502" w:rsidP="00916502">
            <w:pPr>
              <w:pStyle w:val="TableBullet"/>
              <w:rPr>
                <w:szCs w:val="18"/>
                <w:lang w:eastAsia="en-NZ"/>
              </w:rPr>
            </w:pPr>
            <w:r w:rsidRPr="00716CC2">
              <w:rPr>
                <w:szCs w:val="18"/>
                <w:lang w:eastAsia="en-NZ"/>
              </w:rPr>
              <w:t>Service specific guidance</w:t>
            </w:r>
          </w:p>
          <w:p w14:paraId="6DDDC5DA" w14:textId="77777777" w:rsidR="00916502" w:rsidRPr="00716CC2" w:rsidRDefault="00916502" w:rsidP="00916502">
            <w:pPr>
              <w:pStyle w:val="TableBullet"/>
              <w:rPr>
                <w:szCs w:val="18"/>
                <w:lang w:eastAsia="en-NZ"/>
              </w:rPr>
            </w:pPr>
            <w:r w:rsidRPr="00716CC2">
              <w:rPr>
                <w:szCs w:val="18"/>
                <w:lang w:eastAsia="en-NZ"/>
              </w:rPr>
              <w:t>Agreed reviewed standard include components: assessment, monitoring, review, evaluation (as currently listed), with an organisational strategy to minimise</w:t>
            </w:r>
          </w:p>
        </w:tc>
      </w:tr>
      <w:tr w:rsidR="00916502" w:rsidRPr="00716CC2" w14:paraId="453323F0" w14:textId="77777777" w:rsidTr="007A7079">
        <w:trPr>
          <w:gridAfter w:val="2"/>
          <w:wAfter w:w="608" w:type="dxa"/>
        </w:trPr>
        <w:tc>
          <w:tcPr>
            <w:tcW w:w="14276" w:type="dxa"/>
            <w:gridSpan w:val="13"/>
            <w:shd w:val="clear" w:color="auto" w:fill="FFFFFF" w:themeFill="background1"/>
          </w:tcPr>
          <w:p w14:paraId="3772ABBC" w14:textId="77777777" w:rsidR="00916502" w:rsidRPr="00716CC2" w:rsidRDefault="00916502" w:rsidP="00916502">
            <w:pPr>
              <w:spacing w:before="40" w:after="40"/>
              <w:rPr>
                <w:b/>
                <w:sz w:val="18"/>
                <w:szCs w:val="18"/>
              </w:rPr>
            </w:pPr>
          </w:p>
        </w:tc>
      </w:tr>
      <w:tr w:rsidR="00916502" w:rsidRPr="00716CC2" w14:paraId="6D1DEE1A" w14:textId="77777777" w:rsidTr="007A7079">
        <w:trPr>
          <w:gridAfter w:val="2"/>
          <w:wAfter w:w="608" w:type="dxa"/>
        </w:trPr>
        <w:tc>
          <w:tcPr>
            <w:tcW w:w="14276" w:type="dxa"/>
            <w:gridSpan w:val="13"/>
            <w:shd w:val="clear" w:color="auto" w:fill="D9D9D9" w:themeFill="background1" w:themeFillShade="D9"/>
          </w:tcPr>
          <w:p w14:paraId="55F68374" w14:textId="77777777" w:rsidR="00916502" w:rsidRPr="00716CC2" w:rsidRDefault="00916502" w:rsidP="00916502">
            <w:pPr>
              <w:spacing w:before="40" w:after="40"/>
              <w:rPr>
                <w:b/>
                <w:sz w:val="18"/>
                <w:szCs w:val="18"/>
              </w:rPr>
            </w:pPr>
            <w:r w:rsidRPr="00716CC2">
              <w:rPr>
                <w:b/>
                <w:sz w:val="18"/>
                <w:szCs w:val="18"/>
              </w:rPr>
              <w:t>Outcome 2.2:</w:t>
            </w:r>
            <w:r w:rsidRPr="00716CC2">
              <w:rPr>
                <w:sz w:val="18"/>
                <w:szCs w:val="18"/>
              </w:rPr>
              <w:t xml:space="preserve"> Safe Restraint Practice: Consumers receive services in a safe manner.</w:t>
            </w:r>
          </w:p>
        </w:tc>
      </w:tr>
      <w:tr w:rsidR="00916502" w:rsidRPr="00716CC2" w14:paraId="46D93F5E" w14:textId="77777777" w:rsidTr="007A7079">
        <w:trPr>
          <w:gridAfter w:val="2"/>
          <w:wAfter w:w="608" w:type="dxa"/>
        </w:trPr>
        <w:tc>
          <w:tcPr>
            <w:tcW w:w="14276" w:type="dxa"/>
            <w:gridSpan w:val="13"/>
            <w:shd w:val="clear" w:color="auto" w:fill="F2F2F2" w:themeFill="background1" w:themeFillShade="F2"/>
          </w:tcPr>
          <w:p w14:paraId="30444A0A" w14:textId="77777777" w:rsidR="00916502" w:rsidRPr="00716CC2" w:rsidRDefault="00916502" w:rsidP="00916502">
            <w:pPr>
              <w:spacing w:before="40" w:after="40"/>
              <w:rPr>
                <w:b/>
                <w:sz w:val="18"/>
                <w:szCs w:val="18"/>
              </w:rPr>
            </w:pPr>
            <w:r w:rsidRPr="00716CC2">
              <w:rPr>
                <w:b/>
                <w:sz w:val="18"/>
                <w:szCs w:val="18"/>
              </w:rPr>
              <w:t xml:space="preserve">Standard 2.2.1: </w:t>
            </w:r>
            <w:r w:rsidRPr="00716CC2">
              <w:rPr>
                <w:sz w:val="18"/>
                <w:szCs w:val="18"/>
              </w:rPr>
              <w:t>Restraint approval and processes (HDS(RMSP)S.2008:2.2.1): Services maintain a process for determining approval of all types of restraint used, restraint processes (including policy and procedure), duration of restraint, and ongoing education on restraint use and this process is made known to service providers and others.</w:t>
            </w:r>
          </w:p>
        </w:tc>
      </w:tr>
      <w:tr w:rsidR="00916502" w:rsidRPr="00716CC2" w14:paraId="69702F17" w14:textId="77777777" w:rsidTr="007A7079">
        <w:trPr>
          <w:gridAfter w:val="2"/>
          <w:wAfter w:w="608" w:type="dxa"/>
        </w:trPr>
        <w:tc>
          <w:tcPr>
            <w:tcW w:w="2855" w:type="dxa"/>
            <w:shd w:val="clear" w:color="auto" w:fill="FFFFFF" w:themeFill="background1"/>
          </w:tcPr>
          <w:p w14:paraId="1760DBE8"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79E11630"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B1D3782"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3AE74AAC"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56287728"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2FDAD5AC" w14:textId="77777777" w:rsidTr="007A7079">
        <w:trPr>
          <w:gridAfter w:val="2"/>
          <w:wAfter w:w="608" w:type="dxa"/>
        </w:trPr>
        <w:tc>
          <w:tcPr>
            <w:tcW w:w="2855" w:type="dxa"/>
            <w:shd w:val="clear" w:color="auto" w:fill="FFFFFF" w:themeFill="background1"/>
          </w:tcPr>
          <w:p w14:paraId="0FCB8556"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0DC6F103"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2418BF7B" w14:textId="77777777" w:rsidR="00916502" w:rsidRPr="00716CC2" w:rsidRDefault="00916502" w:rsidP="00916502">
            <w:pPr>
              <w:pStyle w:val="TableBullet"/>
              <w:rPr>
                <w:szCs w:val="18"/>
              </w:rPr>
            </w:pPr>
            <w:r w:rsidRPr="00716CC2">
              <w:rPr>
                <w:szCs w:val="18"/>
              </w:rPr>
              <w:t>Refer comments against 2.1.1</w:t>
            </w:r>
          </w:p>
        </w:tc>
        <w:tc>
          <w:tcPr>
            <w:tcW w:w="2855" w:type="dxa"/>
            <w:gridSpan w:val="3"/>
            <w:shd w:val="clear" w:color="auto" w:fill="FFFFFF" w:themeFill="background1"/>
          </w:tcPr>
          <w:p w14:paraId="64769EC8" w14:textId="77777777" w:rsidR="00916502" w:rsidRPr="00716CC2" w:rsidRDefault="00916502" w:rsidP="00916502">
            <w:pPr>
              <w:pStyle w:val="TableBullet"/>
              <w:numPr>
                <w:ilvl w:val="0"/>
                <w:numId w:val="0"/>
              </w:numPr>
              <w:rPr>
                <w:szCs w:val="18"/>
              </w:rPr>
            </w:pPr>
          </w:p>
        </w:tc>
        <w:tc>
          <w:tcPr>
            <w:tcW w:w="2856" w:type="dxa"/>
            <w:gridSpan w:val="3"/>
            <w:shd w:val="clear" w:color="auto" w:fill="FFFFFF" w:themeFill="background1"/>
          </w:tcPr>
          <w:p w14:paraId="35B65B56" w14:textId="77777777" w:rsidR="00916502" w:rsidRPr="00716CC2" w:rsidRDefault="00916502" w:rsidP="00916502">
            <w:pPr>
              <w:pStyle w:val="TableBullet"/>
              <w:rPr>
                <w:szCs w:val="18"/>
              </w:rPr>
            </w:pPr>
            <w:r w:rsidRPr="00716CC2">
              <w:rPr>
                <w:szCs w:val="18"/>
              </w:rPr>
              <w:t>Refer standard 2.1.1</w:t>
            </w:r>
          </w:p>
        </w:tc>
      </w:tr>
      <w:tr w:rsidR="00916502" w:rsidRPr="00716CC2" w14:paraId="412A3C5E" w14:textId="77777777" w:rsidTr="007A7079">
        <w:trPr>
          <w:gridAfter w:val="2"/>
          <w:wAfter w:w="608" w:type="dxa"/>
        </w:trPr>
        <w:tc>
          <w:tcPr>
            <w:tcW w:w="14276" w:type="dxa"/>
            <w:gridSpan w:val="13"/>
            <w:shd w:val="clear" w:color="auto" w:fill="FFFFFF" w:themeFill="background1"/>
          </w:tcPr>
          <w:p w14:paraId="794402BE" w14:textId="77777777" w:rsidR="00916502" w:rsidRPr="00716CC2" w:rsidRDefault="00916502" w:rsidP="00916502">
            <w:pPr>
              <w:spacing w:before="40" w:after="40"/>
              <w:rPr>
                <w:b/>
                <w:sz w:val="18"/>
                <w:szCs w:val="18"/>
              </w:rPr>
            </w:pPr>
          </w:p>
        </w:tc>
      </w:tr>
      <w:tr w:rsidR="00916502" w:rsidRPr="00716CC2" w14:paraId="0F9FEDF3" w14:textId="77777777" w:rsidTr="007A7079">
        <w:trPr>
          <w:gridAfter w:val="2"/>
          <w:wAfter w:w="608" w:type="dxa"/>
        </w:trPr>
        <w:tc>
          <w:tcPr>
            <w:tcW w:w="14276" w:type="dxa"/>
            <w:gridSpan w:val="13"/>
            <w:shd w:val="clear" w:color="auto" w:fill="F2F2F2" w:themeFill="background1" w:themeFillShade="F2"/>
          </w:tcPr>
          <w:p w14:paraId="0C5ABA0B" w14:textId="77777777" w:rsidR="00916502" w:rsidRPr="00716CC2" w:rsidRDefault="00916502" w:rsidP="00916502">
            <w:pPr>
              <w:spacing w:before="40" w:after="40"/>
              <w:rPr>
                <w:b/>
                <w:sz w:val="18"/>
                <w:szCs w:val="18"/>
              </w:rPr>
            </w:pPr>
            <w:r w:rsidRPr="00716CC2">
              <w:rPr>
                <w:b/>
                <w:sz w:val="18"/>
                <w:szCs w:val="18"/>
              </w:rPr>
              <w:t xml:space="preserve">Standard 2.2.2: </w:t>
            </w:r>
            <w:r w:rsidRPr="00716CC2">
              <w:rPr>
                <w:sz w:val="18"/>
                <w:szCs w:val="18"/>
              </w:rPr>
              <w:t>Assessment (HDS(RMSP)S.2008:2.2.2): Services shall ensure rigorous assessment of consumers is undertaken, where indicated, in relation to use of restraint.</w:t>
            </w:r>
          </w:p>
        </w:tc>
      </w:tr>
      <w:tr w:rsidR="00916502" w:rsidRPr="00716CC2" w14:paraId="2F93860D" w14:textId="77777777" w:rsidTr="007A7079">
        <w:trPr>
          <w:gridAfter w:val="2"/>
          <w:wAfter w:w="608" w:type="dxa"/>
        </w:trPr>
        <w:tc>
          <w:tcPr>
            <w:tcW w:w="2855" w:type="dxa"/>
            <w:shd w:val="clear" w:color="auto" w:fill="FFFFFF" w:themeFill="background1"/>
          </w:tcPr>
          <w:p w14:paraId="05782E5D"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6E976A44"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1D4B3A8"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17FCFEBD"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5FC54FCE"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221E5283" w14:textId="77777777" w:rsidTr="007A7079">
        <w:trPr>
          <w:gridAfter w:val="2"/>
          <w:wAfter w:w="608" w:type="dxa"/>
        </w:trPr>
        <w:tc>
          <w:tcPr>
            <w:tcW w:w="2855" w:type="dxa"/>
            <w:shd w:val="clear" w:color="auto" w:fill="FFFFFF" w:themeFill="background1"/>
          </w:tcPr>
          <w:p w14:paraId="498A6FFF"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5EF76A38"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54B2C55A" w14:textId="77777777" w:rsidR="00916502" w:rsidRPr="00716CC2" w:rsidRDefault="00916502" w:rsidP="00916502">
            <w:pPr>
              <w:pStyle w:val="TableBullet"/>
              <w:rPr>
                <w:szCs w:val="18"/>
              </w:rPr>
            </w:pPr>
            <w:r w:rsidRPr="00716CC2">
              <w:rPr>
                <w:szCs w:val="18"/>
              </w:rPr>
              <w:t>Refer comments against 2.1.1</w:t>
            </w:r>
          </w:p>
        </w:tc>
        <w:tc>
          <w:tcPr>
            <w:tcW w:w="2855" w:type="dxa"/>
            <w:gridSpan w:val="3"/>
            <w:shd w:val="clear" w:color="auto" w:fill="FFFFFF" w:themeFill="background1"/>
          </w:tcPr>
          <w:p w14:paraId="6949F3D2" w14:textId="77777777" w:rsidR="00916502" w:rsidRPr="00716CC2" w:rsidRDefault="00916502" w:rsidP="00916502">
            <w:pPr>
              <w:pStyle w:val="TableBullet"/>
              <w:numPr>
                <w:ilvl w:val="0"/>
                <w:numId w:val="0"/>
              </w:numPr>
              <w:rPr>
                <w:szCs w:val="18"/>
              </w:rPr>
            </w:pPr>
          </w:p>
        </w:tc>
        <w:tc>
          <w:tcPr>
            <w:tcW w:w="2856" w:type="dxa"/>
            <w:gridSpan w:val="3"/>
            <w:shd w:val="clear" w:color="auto" w:fill="FFFFFF" w:themeFill="background1"/>
          </w:tcPr>
          <w:p w14:paraId="551BAF3B" w14:textId="77777777" w:rsidR="00916502" w:rsidRPr="00716CC2" w:rsidRDefault="00916502" w:rsidP="00916502">
            <w:pPr>
              <w:pStyle w:val="TableBullet"/>
              <w:rPr>
                <w:szCs w:val="18"/>
              </w:rPr>
            </w:pPr>
            <w:r w:rsidRPr="00716CC2">
              <w:rPr>
                <w:szCs w:val="18"/>
              </w:rPr>
              <w:t>Refer standard 2.1.1</w:t>
            </w:r>
          </w:p>
        </w:tc>
      </w:tr>
      <w:tr w:rsidR="00916502" w:rsidRPr="00716CC2" w14:paraId="1E7C6D10" w14:textId="77777777" w:rsidTr="007A7079">
        <w:trPr>
          <w:gridAfter w:val="2"/>
          <w:wAfter w:w="608" w:type="dxa"/>
        </w:trPr>
        <w:tc>
          <w:tcPr>
            <w:tcW w:w="14276" w:type="dxa"/>
            <w:gridSpan w:val="13"/>
            <w:shd w:val="clear" w:color="auto" w:fill="FFFFFF" w:themeFill="background1"/>
          </w:tcPr>
          <w:p w14:paraId="00502A89" w14:textId="77777777" w:rsidR="00916502" w:rsidRPr="00716CC2" w:rsidRDefault="00916502" w:rsidP="00916502">
            <w:pPr>
              <w:spacing w:before="40" w:after="40"/>
              <w:rPr>
                <w:b/>
                <w:sz w:val="18"/>
                <w:szCs w:val="18"/>
              </w:rPr>
            </w:pPr>
          </w:p>
        </w:tc>
      </w:tr>
      <w:tr w:rsidR="00916502" w:rsidRPr="00716CC2" w14:paraId="4FA21C57" w14:textId="77777777" w:rsidTr="007A7079">
        <w:trPr>
          <w:gridAfter w:val="2"/>
          <w:wAfter w:w="608" w:type="dxa"/>
        </w:trPr>
        <w:tc>
          <w:tcPr>
            <w:tcW w:w="14276" w:type="dxa"/>
            <w:gridSpan w:val="13"/>
            <w:shd w:val="clear" w:color="auto" w:fill="F2F2F2" w:themeFill="background1" w:themeFillShade="F2"/>
          </w:tcPr>
          <w:p w14:paraId="2670C77F" w14:textId="77777777" w:rsidR="00916502" w:rsidRPr="00716CC2" w:rsidRDefault="00916502" w:rsidP="00916502">
            <w:pPr>
              <w:spacing w:before="40" w:after="40"/>
              <w:rPr>
                <w:b/>
                <w:sz w:val="18"/>
                <w:szCs w:val="18"/>
              </w:rPr>
            </w:pPr>
            <w:r w:rsidRPr="00716CC2">
              <w:rPr>
                <w:b/>
                <w:sz w:val="18"/>
                <w:szCs w:val="18"/>
              </w:rPr>
              <w:t xml:space="preserve">Standard 2.2.3: </w:t>
            </w:r>
            <w:r w:rsidRPr="00716CC2">
              <w:rPr>
                <w:sz w:val="18"/>
                <w:szCs w:val="18"/>
              </w:rPr>
              <w:t>Safe Restraint Use (HDS(RMSP)S.2008:2.2.3): Services use restraint safely</w:t>
            </w:r>
          </w:p>
        </w:tc>
      </w:tr>
      <w:tr w:rsidR="00916502" w:rsidRPr="00716CC2" w14:paraId="1117EA60" w14:textId="77777777" w:rsidTr="007A7079">
        <w:trPr>
          <w:gridAfter w:val="2"/>
          <w:wAfter w:w="608" w:type="dxa"/>
        </w:trPr>
        <w:tc>
          <w:tcPr>
            <w:tcW w:w="2855" w:type="dxa"/>
            <w:shd w:val="clear" w:color="auto" w:fill="FFFFFF" w:themeFill="background1"/>
          </w:tcPr>
          <w:p w14:paraId="19262135"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66D49B6F"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055BDF79"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3098D8E2"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2C52B38"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7EF32FEC" w14:textId="77777777" w:rsidTr="007A7079">
        <w:trPr>
          <w:gridAfter w:val="2"/>
          <w:wAfter w:w="608" w:type="dxa"/>
        </w:trPr>
        <w:tc>
          <w:tcPr>
            <w:tcW w:w="2855" w:type="dxa"/>
            <w:shd w:val="clear" w:color="auto" w:fill="FFFFFF" w:themeFill="background1"/>
          </w:tcPr>
          <w:p w14:paraId="5D870F0F"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21599668"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04EBD319" w14:textId="77777777" w:rsidR="00916502" w:rsidRPr="00716CC2" w:rsidRDefault="00916502" w:rsidP="00916502">
            <w:pPr>
              <w:pStyle w:val="TableBullet"/>
              <w:rPr>
                <w:szCs w:val="18"/>
              </w:rPr>
            </w:pPr>
            <w:r w:rsidRPr="00716CC2">
              <w:rPr>
                <w:szCs w:val="18"/>
              </w:rPr>
              <w:t>Refer comments against 2.1.1</w:t>
            </w:r>
          </w:p>
        </w:tc>
        <w:tc>
          <w:tcPr>
            <w:tcW w:w="2855" w:type="dxa"/>
            <w:gridSpan w:val="3"/>
            <w:shd w:val="clear" w:color="auto" w:fill="FFFFFF" w:themeFill="background1"/>
          </w:tcPr>
          <w:p w14:paraId="660E2C37" w14:textId="77777777" w:rsidR="00916502" w:rsidRPr="00716CC2" w:rsidRDefault="00916502" w:rsidP="00916502">
            <w:pPr>
              <w:pStyle w:val="TableBullet"/>
              <w:numPr>
                <w:ilvl w:val="0"/>
                <w:numId w:val="0"/>
              </w:numPr>
              <w:rPr>
                <w:szCs w:val="18"/>
              </w:rPr>
            </w:pPr>
          </w:p>
        </w:tc>
        <w:tc>
          <w:tcPr>
            <w:tcW w:w="2856" w:type="dxa"/>
            <w:gridSpan w:val="3"/>
            <w:shd w:val="clear" w:color="auto" w:fill="FFFFFF" w:themeFill="background1"/>
          </w:tcPr>
          <w:p w14:paraId="48C3146B" w14:textId="77777777" w:rsidR="00916502" w:rsidRPr="00716CC2" w:rsidRDefault="00916502" w:rsidP="00916502">
            <w:pPr>
              <w:pStyle w:val="TableBullet"/>
              <w:rPr>
                <w:szCs w:val="18"/>
              </w:rPr>
            </w:pPr>
            <w:r w:rsidRPr="00716CC2">
              <w:rPr>
                <w:szCs w:val="18"/>
              </w:rPr>
              <w:t>Refer standard 2.1.1</w:t>
            </w:r>
          </w:p>
        </w:tc>
      </w:tr>
      <w:tr w:rsidR="00916502" w:rsidRPr="00716CC2" w14:paraId="71F13065" w14:textId="77777777" w:rsidTr="007A7079">
        <w:trPr>
          <w:gridAfter w:val="2"/>
          <w:wAfter w:w="608" w:type="dxa"/>
        </w:trPr>
        <w:tc>
          <w:tcPr>
            <w:tcW w:w="14276" w:type="dxa"/>
            <w:gridSpan w:val="13"/>
            <w:shd w:val="clear" w:color="auto" w:fill="FFFFFF" w:themeFill="background1"/>
          </w:tcPr>
          <w:p w14:paraId="528275E2" w14:textId="77777777" w:rsidR="00916502" w:rsidRPr="00716CC2" w:rsidRDefault="00916502" w:rsidP="00916502">
            <w:pPr>
              <w:spacing w:before="40" w:after="40"/>
              <w:rPr>
                <w:b/>
                <w:sz w:val="18"/>
                <w:szCs w:val="18"/>
              </w:rPr>
            </w:pPr>
          </w:p>
        </w:tc>
      </w:tr>
      <w:tr w:rsidR="00916502" w:rsidRPr="00716CC2" w14:paraId="78B8078F" w14:textId="77777777" w:rsidTr="007A7079">
        <w:trPr>
          <w:gridAfter w:val="2"/>
          <w:wAfter w:w="608" w:type="dxa"/>
        </w:trPr>
        <w:tc>
          <w:tcPr>
            <w:tcW w:w="14276" w:type="dxa"/>
            <w:gridSpan w:val="13"/>
            <w:shd w:val="clear" w:color="auto" w:fill="F2F2F2" w:themeFill="background1" w:themeFillShade="F2"/>
          </w:tcPr>
          <w:p w14:paraId="4CDA95F7" w14:textId="77777777" w:rsidR="00916502" w:rsidRPr="00716CC2" w:rsidRDefault="00916502" w:rsidP="00916502">
            <w:pPr>
              <w:spacing w:before="40" w:after="40"/>
              <w:rPr>
                <w:b/>
                <w:sz w:val="18"/>
                <w:szCs w:val="18"/>
              </w:rPr>
            </w:pPr>
            <w:r w:rsidRPr="00716CC2">
              <w:rPr>
                <w:b/>
                <w:sz w:val="18"/>
                <w:szCs w:val="18"/>
              </w:rPr>
              <w:t xml:space="preserve">Standard 2.2.4: </w:t>
            </w:r>
            <w:r w:rsidRPr="00716CC2">
              <w:rPr>
                <w:sz w:val="18"/>
                <w:szCs w:val="18"/>
              </w:rPr>
              <w:t>Evaluation (HDS(RMSP)S.2008:2.2.4): Services evaluate all episodes of restraint.</w:t>
            </w:r>
          </w:p>
        </w:tc>
      </w:tr>
      <w:tr w:rsidR="00916502" w:rsidRPr="00716CC2" w14:paraId="2A0419B6" w14:textId="77777777" w:rsidTr="007A7079">
        <w:trPr>
          <w:gridAfter w:val="2"/>
          <w:wAfter w:w="608" w:type="dxa"/>
        </w:trPr>
        <w:tc>
          <w:tcPr>
            <w:tcW w:w="2855" w:type="dxa"/>
            <w:shd w:val="clear" w:color="auto" w:fill="FFFFFF" w:themeFill="background1"/>
          </w:tcPr>
          <w:p w14:paraId="4706E931"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6F2CDA89"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26C89C87"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7929AA1A"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4E6F9717"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916502" w:rsidRPr="00716CC2" w14:paraId="53C2B087" w14:textId="77777777" w:rsidTr="007A7079">
        <w:trPr>
          <w:gridAfter w:val="2"/>
          <w:wAfter w:w="608" w:type="dxa"/>
        </w:trPr>
        <w:tc>
          <w:tcPr>
            <w:tcW w:w="2855" w:type="dxa"/>
            <w:shd w:val="clear" w:color="auto" w:fill="FFFFFF" w:themeFill="background1"/>
          </w:tcPr>
          <w:p w14:paraId="7A5B121C"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12D2C8D1" w14:textId="77777777" w:rsidR="00916502" w:rsidRPr="00716CC2" w:rsidRDefault="00916502" w:rsidP="00916502">
            <w:pPr>
              <w:pStyle w:val="TableBullet"/>
              <w:rPr>
                <w:szCs w:val="18"/>
              </w:rPr>
            </w:pPr>
            <w:r w:rsidRPr="00716CC2">
              <w:rPr>
                <w:szCs w:val="18"/>
              </w:rPr>
              <w:t>Refer 2.1.1</w:t>
            </w:r>
          </w:p>
        </w:tc>
        <w:tc>
          <w:tcPr>
            <w:tcW w:w="2855" w:type="dxa"/>
            <w:gridSpan w:val="3"/>
            <w:shd w:val="clear" w:color="auto" w:fill="FFFFFF" w:themeFill="background1"/>
          </w:tcPr>
          <w:p w14:paraId="3B6EAB27" w14:textId="77777777" w:rsidR="00916502" w:rsidRPr="00716CC2" w:rsidRDefault="00916502" w:rsidP="00916502">
            <w:pPr>
              <w:pStyle w:val="TableBullet"/>
              <w:rPr>
                <w:szCs w:val="18"/>
              </w:rPr>
            </w:pPr>
            <w:r w:rsidRPr="00716CC2">
              <w:rPr>
                <w:szCs w:val="18"/>
              </w:rPr>
              <w:t>Refer comments against 2.1.1</w:t>
            </w:r>
          </w:p>
        </w:tc>
        <w:tc>
          <w:tcPr>
            <w:tcW w:w="2855" w:type="dxa"/>
            <w:gridSpan w:val="3"/>
            <w:shd w:val="clear" w:color="auto" w:fill="FFFFFF" w:themeFill="background1"/>
          </w:tcPr>
          <w:p w14:paraId="1FA8DDF9" w14:textId="77777777" w:rsidR="00916502" w:rsidRPr="00716CC2" w:rsidRDefault="00916502" w:rsidP="00916502">
            <w:pPr>
              <w:pStyle w:val="TableBullet"/>
              <w:numPr>
                <w:ilvl w:val="0"/>
                <w:numId w:val="0"/>
              </w:numPr>
              <w:rPr>
                <w:szCs w:val="18"/>
              </w:rPr>
            </w:pPr>
          </w:p>
        </w:tc>
        <w:tc>
          <w:tcPr>
            <w:tcW w:w="2856" w:type="dxa"/>
            <w:gridSpan w:val="3"/>
            <w:shd w:val="clear" w:color="auto" w:fill="FFFFFF" w:themeFill="background1"/>
          </w:tcPr>
          <w:p w14:paraId="2C585507" w14:textId="77777777" w:rsidR="00916502" w:rsidRPr="00716CC2" w:rsidRDefault="00916502" w:rsidP="00916502">
            <w:pPr>
              <w:pStyle w:val="TableBullet"/>
              <w:rPr>
                <w:szCs w:val="18"/>
              </w:rPr>
            </w:pPr>
            <w:r w:rsidRPr="00716CC2">
              <w:rPr>
                <w:szCs w:val="18"/>
              </w:rPr>
              <w:t>Refer standard 2.1.1</w:t>
            </w:r>
          </w:p>
        </w:tc>
      </w:tr>
      <w:tr w:rsidR="00916502" w:rsidRPr="00716CC2" w14:paraId="31304A2B" w14:textId="77777777" w:rsidTr="007A7079">
        <w:trPr>
          <w:gridAfter w:val="2"/>
          <w:wAfter w:w="608" w:type="dxa"/>
        </w:trPr>
        <w:tc>
          <w:tcPr>
            <w:tcW w:w="14276" w:type="dxa"/>
            <w:gridSpan w:val="13"/>
            <w:shd w:val="clear" w:color="auto" w:fill="FFFFFF" w:themeFill="background1"/>
          </w:tcPr>
          <w:p w14:paraId="6EFB13B7" w14:textId="77777777" w:rsidR="00916502" w:rsidRPr="00716CC2" w:rsidRDefault="00916502" w:rsidP="00916502">
            <w:pPr>
              <w:spacing w:before="40" w:after="40"/>
              <w:rPr>
                <w:b/>
                <w:sz w:val="18"/>
                <w:szCs w:val="18"/>
              </w:rPr>
            </w:pPr>
          </w:p>
        </w:tc>
      </w:tr>
      <w:tr w:rsidR="00916502" w:rsidRPr="00716CC2" w14:paraId="4830EC29" w14:textId="77777777" w:rsidTr="007A7079">
        <w:trPr>
          <w:gridAfter w:val="2"/>
          <w:wAfter w:w="608" w:type="dxa"/>
        </w:trPr>
        <w:tc>
          <w:tcPr>
            <w:tcW w:w="14276" w:type="dxa"/>
            <w:gridSpan w:val="13"/>
            <w:shd w:val="clear" w:color="auto" w:fill="F2F2F2" w:themeFill="background1" w:themeFillShade="F2"/>
          </w:tcPr>
          <w:p w14:paraId="249A22AC" w14:textId="77777777" w:rsidR="00916502" w:rsidRPr="00716CC2" w:rsidRDefault="008E5BF3" w:rsidP="00916502">
            <w:pPr>
              <w:spacing w:before="40" w:after="40"/>
              <w:rPr>
                <w:b/>
                <w:sz w:val="18"/>
                <w:szCs w:val="18"/>
              </w:rPr>
            </w:pPr>
            <w:r w:rsidRPr="00716CC2">
              <w:rPr>
                <w:b/>
                <w:sz w:val="18"/>
                <w:szCs w:val="18"/>
              </w:rPr>
              <w:t xml:space="preserve">Standard 2.2.5: </w:t>
            </w:r>
            <w:r w:rsidRPr="00716CC2">
              <w:rPr>
                <w:sz w:val="18"/>
                <w:szCs w:val="18"/>
              </w:rPr>
              <w:t>Restraint Monitoring and Quality Review (HDS(RMSP)S.2008:2.2.5): Services demonstrate the monitoring and quality review of their use of restraint.</w:t>
            </w:r>
          </w:p>
        </w:tc>
      </w:tr>
      <w:tr w:rsidR="00916502" w:rsidRPr="00716CC2" w14:paraId="56CC0D28" w14:textId="77777777" w:rsidTr="007A7079">
        <w:trPr>
          <w:gridAfter w:val="2"/>
          <w:wAfter w:w="608" w:type="dxa"/>
        </w:trPr>
        <w:tc>
          <w:tcPr>
            <w:tcW w:w="2855" w:type="dxa"/>
            <w:shd w:val="clear" w:color="auto" w:fill="FFFFFF" w:themeFill="background1"/>
          </w:tcPr>
          <w:p w14:paraId="17E0CC45"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260931B5"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9C4C0E6"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1C2910B9"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6E734286"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8E5BF3" w:rsidRPr="00716CC2" w14:paraId="0A3DFAC9" w14:textId="77777777" w:rsidTr="007A7079">
        <w:trPr>
          <w:gridAfter w:val="2"/>
          <w:wAfter w:w="608" w:type="dxa"/>
        </w:trPr>
        <w:tc>
          <w:tcPr>
            <w:tcW w:w="2855" w:type="dxa"/>
            <w:shd w:val="clear" w:color="auto" w:fill="FFFFFF" w:themeFill="background1"/>
          </w:tcPr>
          <w:p w14:paraId="6D21A8BF" w14:textId="77777777" w:rsidR="008E5BF3" w:rsidRPr="00716CC2" w:rsidRDefault="008E5BF3" w:rsidP="008E5BF3">
            <w:pPr>
              <w:pStyle w:val="TableBullet"/>
              <w:rPr>
                <w:szCs w:val="18"/>
              </w:rPr>
            </w:pPr>
            <w:r w:rsidRPr="00716CC2">
              <w:rPr>
                <w:szCs w:val="18"/>
              </w:rPr>
              <w:t>Refer 2.1.1</w:t>
            </w:r>
          </w:p>
        </w:tc>
        <w:tc>
          <w:tcPr>
            <w:tcW w:w="2855" w:type="dxa"/>
            <w:gridSpan w:val="3"/>
            <w:shd w:val="clear" w:color="auto" w:fill="FFFFFF" w:themeFill="background1"/>
          </w:tcPr>
          <w:p w14:paraId="3F5392D6" w14:textId="77777777" w:rsidR="008E5BF3" w:rsidRPr="00716CC2" w:rsidRDefault="008E5BF3" w:rsidP="008E5BF3">
            <w:pPr>
              <w:pStyle w:val="TableBullet"/>
              <w:rPr>
                <w:szCs w:val="18"/>
              </w:rPr>
            </w:pPr>
            <w:r w:rsidRPr="00716CC2">
              <w:rPr>
                <w:szCs w:val="18"/>
              </w:rPr>
              <w:t>Refer 2.1.1</w:t>
            </w:r>
          </w:p>
        </w:tc>
        <w:tc>
          <w:tcPr>
            <w:tcW w:w="2855" w:type="dxa"/>
            <w:gridSpan w:val="3"/>
            <w:shd w:val="clear" w:color="auto" w:fill="FFFFFF" w:themeFill="background1"/>
          </w:tcPr>
          <w:p w14:paraId="0434E181" w14:textId="77777777" w:rsidR="008E5BF3" w:rsidRPr="00716CC2" w:rsidRDefault="008E5BF3" w:rsidP="008E5BF3">
            <w:pPr>
              <w:pStyle w:val="TableBullet"/>
              <w:rPr>
                <w:szCs w:val="18"/>
              </w:rPr>
            </w:pPr>
            <w:r w:rsidRPr="00716CC2">
              <w:rPr>
                <w:szCs w:val="18"/>
              </w:rPr>
              <w:t>Consider language</w:t>
            </w:r>
          </w:p>
          <w:p w14:paraId="7BBBC975" w14:textId="77777777" w:rsidR="008E5BF3" w:rsidRPr="00716CC2" w:rsidRDefault="008E5BF3" w:rsidP="008E5BF3">
            <w:pPr>
              <w:pStyle w:val="TableBullet"/>
              <w:rPr>
                <w:szCs w:val="18"/>
              </w:rPr>
            </w:pPr>
            <w:r w:rsidRPr="00716CC2">
              <w:rPr>
                <w:szCs w:val="18"/>
              </w:rPr>
              <w:t>Potentially move to current 1.2.3 (quality &amp; risk), provides opportunity for restraint-free services to showcase work programmes services are implementing to continue to be restraint free</w:t>
            </w:r>
          </w:p>
          <w:p w14:paraId="6E2C8529" w14:textId="77777777" w:rsidR="008E5BF3" w:rsidRPr="00716CC2" w:rsidRDefault="008E5BF3" w:rsidP="008E5BF3">
            <w:pPr>
              <w:pStyle w:val="TableBullet"/>
              <w:rPr>
                <w:szCs w:val="18"/>
              </w:rPr>
            </w:pPr>
            <w:r w:rsidRPr="00716CC2">
              <w:rPr>
                <w:szCs w:val="18"/>
              </w:rPr>
              <w:t>Note: if a services is not restraining at time of audit, this Outcome (2.2 Safe Restraint Practice) is not audited, therefore quality initiatives are not always captured</w:t>
            </w:r>
          </w:p>
        </w:tc>
        <w:tc>
          <w:tcPr>
            <w:tcW w:w="2855" w:type="dxa"/>
            <w:gridSpan w:val="3"/>
            <w:shd w:val="clear" w:color="auto" w:fill="FFFFFF" w:themeFill="background1"/>
          </w:tcPr>
          <w:p w14:paraId="3CFD793F" w14:textId="77777777" w:rsidR="008E5BF3" w:rsidRPr="00716CC2" w:rsidRDefault="008E5BF3" w:rsidP="008E5BF3">
            <w:pPr>
              <w:pStyle w:val="TableBullet"/>
              <w:rPr>
                <w:szCs w:val="18"/>
              </w:rPr>
            </w:pPr>
            <w:r w:rsidRPr="00716CC2">
              <w:rPr>
                <w:szCs w:val="18"/>
              </w:rPr>
              <w:t>Could move quality aspect to 1.2.3</w:t>
            </w:r>
          </w:p>
        </w:tc>
        <w:tc>
          <w:tcPr>
            <w:tcW w:w="2856" w:type="dxa"/>
            <w:gridSpan w:val="3"/>
            <w:shd w:val="clear" w:color="auto" w:fill="FFFFFF" w:themeFill="background1"/>
          </w:tcPr>
          <w:p w14:paraId="63212965" w14:textId="77777777" w:rsidR="008E5BF3" w:rsidRPr="00716CC2" w:rsidRDefault="008E5BF3" w:rsidP="008E5BF3">
            <w:pPr>
              <w:pStyle w:val="TableBullet"/>
              <w:rPr>
                <w:szCs w:val="18"/>
              </w:rPr>
            </w:pPr>
            <w:r w:rsidRPr="00716CC2">
              <w:rPr>
                <w:szCs w:val="18"/>
              </w:rPr>
              <w:t>Move to Part 2 – this would enable providers who do not restrain to ‘showcase’ improvement activities undertake to remain restraint-free</w:t>
            </w:r>
          </w:p>
        </w:tc>
      </w:tr>
      <w:tr w:rsidR="00916502" w:rsidRPr="00716CC2" w14:paraId="27156DCF" w14:textId="77777777" w:rsidTr="007A7079">
        <w:trPr>
          <w:gridAfter w:val="2"/>
          <w:wAfter w:w="608" w:type="dxa"/>
        </w:trPr>
        <w:tc>
          <w:tcPr>
            <w:tcW w:w="14276" w:type="dxa"/>
            <w:gridSpan w:val="13"/>
            <w:shd w:val="clear" w:color="auto" w:fill="FFFFFF" w:themeFill="background1"/>
          </w:tcPr>
          <w:p w14:paraId="06CAA480" w14:textId="77777777" w:rsidR="00916502" w:rsidRPr="00716CC2" w:rsidRDefault="00916502" w:rsidP="00916502">
            <w:pPr>
              <w:spacing w:before="40" w:after="40"/>
              <w:rPr>
                <w:b/>
                <w:sz w:val="18"/>
                <w:szCs w:val="18"/>
              </w:rPr>
            </w:pPr>
          </w:p>
        </w:tc>
      </w:tr>
      <w:tr w:rsidR="008E5BF3" w:rsidRPr="00716CC2" w14:paraId="5152AA14" w14:textId="77777777" w:rsidTr="007A7079">
        <w:trPr>
          <w:gridAfter w:val="2"/>
          <w:wAfter w:w="608" w:type="dxa"/>
        </w:trPr>
        <w:tc>
          <w:tcPr>
            <w:tcW w:w="14276" w:type="dxa"/>
            <w:gridSpan w:val="13"/>
            <w:shd w:val="clear" w:color="auto" w:fill="D9D9D9" w:themeFill="background1" w:themeFillShade="D9"/>
          </w:tcPr>
          <w:p w14:paraId="7C227796" w14:textId="77777777" w:rsidR="008E5BF3" w:rsidRPr="00716CC2" w:rsidRDefault="008E5BF3" w:rsidP="00916502">
            <w:pPr>
              <w:spacing w:before="40" w:after="40"/>
              <w:rPr>
                <w:b/>
                <w:sz w:val="18"/>
                <w:szCs w:val="18"/>
              </w:rPr>
            </w:pPr>
            <w:r w:rsidRPr="00716CC2">
              <w:rPr>
                <w:b/>
                <w:sz w:val="18"/>
                <w:szCs w:val="18"/>
              </w:rPr>
              <w:lastRenderedPageBreak/>
              <w:t xml:space="preserve">Outcome 2.3: </w:t>
            </w:r>
            <w:r w:rsidRPr="00716CC2">
              <w:rPr>
                <w:sz w:val="18"/>
                <w:szCs w:val="18"/>
              </w:rPr>
              <w:t>Seclusion: Consumers receive services in the least restrictive manner.</w:t>
            </w:r>
          </w:p>
        </w:tc>
      </w:tr>
      <w:tr w:rsidR="00916502" w:rsidRPr="00716CC2" w14:paraId="05158295" w14:textId="77777777" w:rsidTr="007A7079">
        <w:trPr>
          <w:gridAfter w:val="2"/>
          <w:wAfter w:w="608" w:type="dxa"/>
        </w:trPr>
        <w:tc>
          <w:tcPr>
            <w:tcW w:w="14276" w:type="dxa"/>
            <w:gridSpan w:val="13"/>
            <w:shd w:val="clear" w:color="auto" w:fill="F2F2F2" w:themeFill="background1" w:themeFillShade="F2"/>
          </w:tcPr>
          <w:p w14:paraId="6B53B361" w14:textId="77777777" w:rsidR="00916502" w:rsidRPr="00716CC2" w:rsidRDefault="008E5BF3" w:rsidP="00916502">
            <w:pPr>
              <w:spacing w:before="40" w:after="40"/>
              <w:rPr>
                <w:b/>
                <w:sz w:val="18"/>
                <w:szCs w:val="18"/>
              </w:rPr>
            </w:pPr>
            <w:r w:rsidRPr="00716CC2">
              <w:rPr>
                <w:b/>
                <w:sz w:val="18"/>
                <w:szCs w:val="18"/>
              </w:rPr>
              <w:t xml:space="preserve">Standard 2.3.1: </w:t>
            </w:r>
            <w:r w:rsidRPr="00716CC2">
              <w:rPr>
                <w:sz w:val="18"/>
                <w:szCs w:val="18"/>
              </w:rPr>
              <w:t>Safe Seclusion Use (HDS(RMSP)S.2008:2.3.1): Services demonstrate that all use of seclusion is for safety reasons only.</w:t>
            </w:r>
          </w:p>
        </w:tc>
      </w:tr>
      <w:tr w:rsidR="00916502" w:rsidRPr="00716CC2" w14:paraId="65CC9C84" w14:textId="77777777" w:rsidTr="007A7079">
        <w:trPr>
          <w:gridAfter w:val="2"/>
          <w:wAfter w:w="608" w:type="dxa"/>
        </w:trPr>
        <w:tc>
          <w:tcPr>
            <w:tcW w:w="2855" w:type="dxa"/>
            <w:shd w:val="clear" w:color="auto" w:fill="FFFFFF" w:themeFill="background1"/>
          </w:tcPr>
          <w:p w14:paraId="253F48CD"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07D89C92"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1BFB3414"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0F09AF19"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018EFEAB"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8E5BF3" w:rsidRPr="00716CC2" w14:paraId="097A6C51" w14:textId="77777777" w:rsidTr="007A7079">
        <w:trPr>
          <w:gridAfter w:val="2"/>
          <w:wAfter w:w="608" w:type="dxa"/>
        </w:trPr>
        <w:tc>
          <w:tcPr>
            <w:tcW w:w="2855" w:type="dxa"/>
            <w:shd w:val="clear" w:color="auto" w:fill="FFFFFF" w:themeFill="background1"/>
          </w:tcPr>
          <w:p w14:paraId="759D6F35" w14:textId="77777777" w:rsidR="008E5BF3" w:rsidRPr="00716CC2" w:rsidRDefault="008E5BF3" w:rsidP="008E5BF3">
            <w:pPr>
              <w:pStyle w:val="TableBullet"/>
              <w:rPr>
                <w:szCs w:val="18"/>
              </w:rPr>
            </w:pPr>
            <w:r w:rsidRPr="00716CC2">
              <w:rPr>
                <w:szCs w:val="18"/>
              </w:rPr>
              <w:t>DHB modular</w:t>
            </w:r>
          </w:p>
          <w:p w14:paraId="33C04834" w14:textId="77777777" w:rsidR="008E5BF3" w:rsidRPr="00716CC2" w:rsidRDefault="008E5BF3" w:rsidP="008E5BF3">
            <w:pPr>
              <w:pStyle w:val="TableBullet"/>
              <w:rPr>
                <w:szCs w:val="18"/>
              </w:rPr>
            </w:pPr>
            <w:r w:rsidRPr="00716CC2">
              <w:rPr>
                <w:szCs w:val="18"/>
              </w:rPr>
              <w:t>NB: expect this to be relooked at the MHA scoping workshop and to consider HQSC improvement work (HQSC)</w:t>
            </w:r>
          </w:p>
        </w:tc>
        <w:tc>
          <w:tcPr>
            <w:tcW w:w="2855" w:type="dxa"/>
            <w:gridSpan w:val="3"/>
            <w:shd w:val="clear" w:color="auto" w:fill="FFFFFF" w:themeFill="background1"/>
          </w:tcPr>
          <w:p w14:paraId="729EC7C8" w14:textId="77777777" w:rsidR="008E5BF3" w:rsidRPr="00716CC2" w:rsidRDefault="008E5BF3" w:rsidP="008E5BF3">
            <w:pPr>
              <w:pStyle w:val="TableBullet"/>
              <w:rPr>
                <w:szCs w:val="18"/>
              </w:rPr>
            </w:pPr>
            <w:r w:rsidRPr="00716CC2">
              <w:rPr>
                <w:szCs w:val="18"/>
              </w:rPr>
              <w:t>Some RD-ID services may seclude</w:t>
            </w:r>
          </w:p>
          <w:p w14:paraId="50633C24" w14:textId="77777777" w:rsidR="008E5BF3" w:rsidRPr="00716CC2" w:rsidRDefault="008E5BF3" w:rsidP="008E5BF3">
            <w:pPr>
              <w:pStyle w:val="TableBullet"/>
              <w:rPr>
                <w:szCs w:val="18"/>
              </w:rPr>
            </w:pPr>
            <w:r w:rsidRPr="00716CC2">
              <w:rPr>
                <w:szCs w:val="18"/>
              </w:rPr>
              <w:t>Wrap around restraint – definition.</w:t>
            </w:r>
          </w:p>
        </w:tc>
        <w:tc>
          <w:tcPr>
            <w:tcW w:w="2855" w:type="dxa"/>
            <w:gridSpan w:val="3"/>
            <w:shd w:val="clear" w:color="auto" w:fill="FFFFFF" w:themeFill="background1"/>
          </w:tcPr>
          <w:p w14:paraId="0A070DEB" w14:textId="77777777" w:rsidR="008E5BF3" w:rsidRPr="00716CC2" w:rsidRDefault="008E5BF3" w:rsidP="008E5BF3">
            <w:pPr>
              <w:pStyle w:val="TableBullet"/>
              <w:rPr>
                <w:szCs w:val="18"/>
              </w:rPr>
            </w:pPr>
            <w:r w:rsidRPr="00716CC2">
              <w:rPr>
                <w:szCs w:val="18"/>
              </w:rPr>
              <w:t>Modular</w:t>
            </w:r>
          </w:p>
          <w:p w14:paraId="4BADA5DF" w14:textId="77777777" w:rsidR="008E5BF3" w:rsidRPr="00716CC2" w:rsidRDefault="008E5BF3" w:rsidP="008E5BF3">
            <w:pPr>
              <w:pStyle w:val="TableBullet"/>
              <w:rPr>
                <w:szCs w:val="18"/>
              </w:rPr>
            </w:pPr>
            <w:r w:rsidRPr="00716CC2">
              <w:rPr>
                <w:szCs w:val="18"/>
              </w:rPr>
              <w:t>Be cognisant of definitions – seclusion: 1 person/ 1 room (as opposed to secure units):  Again my point here was that providers have made the definitions – how would a person with dementia define a secure unit if they did not have dementia? My example was that we don’t put people with the same medical condition regardless of the condition in one facility/ area EXCEPT for people with dementia, I define that as seclusion (LR, Alzheimer’s NZ)</w:t>
            </w:r>
          </w:p>
        </w:tc>
        <w:tc>
          <w:tcPr>
            <w:tcW w:w="2855" w:type="dxa"/>
            <w:gridSpan w:val="3"/>
            <w:shd w:val="clear" w:color="auto" w:fill="FFFFFF" w:themeFill="background1"/>
          </w:tcPr>
          <w:p w14:paraId="5FC12A03" w14:textId="77777777" w:rsidR="008E5BF3" w:rsidRPr="00716CC2" w:rsidRDefault="008E5BF3" w:rsidP="008E5BF3">
            <w:pPr>
              <w:pStyle w:val="TableBullet"/>
              <w:rPr>
                <w:szCs w:val="18"/>
              </w:rPr>
            </w:pPr>
            <w:r w:rsidRPr="00716CC2">
              <w:rPr>
                <w:szCs w:val="18"/>
              </w:rPr>
              <w:t>Modular – opt out</w:t>
            </w:r>
          </w:p>
        </w:tc>
        <w:tc>
          <w:tcPr>
            <w:tcW w:w="2856" w:type="dxa"/>
            <w:gridSpan w:val="3"/>
            <w:shd w:val="clear" w:color="auto" w:fill="FFFFFF" w:themeFill="background1"/>
          </w:tcPr>
          <w:p w14:paraId="1075924E" w14:textId="77777777" w:rsidR="008E5BF3" w:rsidRPr="00716CC2" w:rsidRDefault="008E5BF3" w:rsidP="008E5BF3">
            <w:pPr>
              <w:pStyle w:val="TableBullet"/>
              <w:rPr>
                <w:szCs w:val="18"/>
              </w:rPr>
            </w:pPr>
            <w:r w:rsidRPr="00716CC2">
              <w:rPr>
                <w:szCs w:val="18"/>
              </w:rPr>
              <w:t>Opt out</w:t>
            </w:r>
          </w:p>
        </w:tc>
      </w:tr>
      <w:tr w:rsidR="00916502" w:rsidRPr="00716CC2" w14:paraId="0AB70F60" w14:textId="77777777" w:rsidTr="007A7079">
        <w:trPr>
          <w:gridAfter w:val="2"/>
          <w:wAfter w:w="608" w:type="dxa"/>
        </w:trPr>
        <w:tc>
          <w:tcPr>
            <w:tcW w:w="14276" w:type="dxa"/>
            <w:gridSpan w:val="13"/>
            <w:shd w:val="clear" w:color="auto" w:fill="FFFFFF" w:themeFill="background1"/>
          </w:tcPr>
          <w:p w14:paraId="389A18D2" w14:textId="77777777" w:rsidR="00916502" w:rsidRPr="00716CC2" w:rsidRDefault="00916502" w:rsidP="00916502">
            <w:pPr>
              <w:spacing w:before="40" w:after="40"/>
              <w:rPr>
                <w:b/>
                <w:sz w:val="18"/>
                <w:szCs w:val="18"/>
              </w:rPr>
            </w:pPr>
          </w:p>
        </w:tc>
      </w:tr>
      <w:tr w:rsidR="00916502" w:rsidRPr="00716CC2" w14:paraId="3CE5D222" w14:textId="77777777" w:rsidTr="007A7079">
        <w:trPr>
          <w:gridAfter w:val="2"/>
          <w:wAfter w:w="608" w:type="dxa"/>
        </w:trPr>
        <w:tc>
          <w:tcPr>
            <w:tcW w:w="14276" w:type="dxa"/>
            <w:gridSpan w:val="13"/>
            <w:shd w:val="clear" w:color="auto" w:fill="F2F2F2" w:themeFill="background1" w:themeFillShade="F2"/>
          </w:tcPr>
          <w:p w14:paraId="2BD59C9C" w14:textId="77777777" w:rsidR="00916502" w:rsidRPr="00716CC2" w:rsidRDefault="008E5BF3" w:rsidP="00916502">
            <w:pPr>
              <w:spacing w:before="40" w:after="40"/>
              <w:rPr>
                <w:sz w:val="18"/>
                <w:szCs w:val="18"/>
              </w:rPr>
            </w:pPr>
            <w:r w:rsidRPr="00716CC2">
              <w:rPr>
                <w:b/>
                <w:sz w:val="18"/>
                <w:szCs w:val="18"/>
              </w:rPr>
              <w:t xml:space="preserve">Standard 2.3.2: </w:t>
            </w:r>
            <w:r w:rsidRPr="00716CC2">
              <w:rPr>
                <w:sz w:val="18"/>
                <w:szCs w:val="18"/>
              </w:rPr>
              <w:t>Approved Seclusion Rooms (HDS(RMSP)S.2008:2.3.2): Seclusion only occurs in an approved and designated seclusion room.</w:t>
            </w:r>
          </w:p>
        </w:tc>
      </w:tr>
      <w:tr w:rsidR="00916502" w:rsidRPr="00716CC2" w14:paraId="4993D107" w14:textId="77777777" w:rsidTr="007A7079">
        <w:trPr>
          <w:gridAfter w:val="2"/>
          <w:wAfter w:w="608" w:type="dxa"/>
        </w:trPr>
        <w:tc>
          <w:tcPr>
            <w:tcW w:w="2855" w:type="dxa"/>
            <w:shd w:val="clear" w:color="auto" w:fill="FFFFFF" w:themeFill="background1"/>
          </w:tcPr>
          <w:p w14:paraId="57BB2470" w14:textId="77777777" w:rsidR="00916502" w:rsidRPr="00716CC2" w:rsidRDefault="00916502" w:rsidP="00916502">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4171BE78" w14:textId="77777777" w:rsidR="00916502" w:rsidRPr="00716CC2" w:rsidRDefault="00916502" w:rsidP="00916502">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3A4DD02" w14:textId="77777777" w:rsidR="00916502" w:rsidRPr="00716CC2" w:rsidRDefault="00916502" w:rsidP="00916502">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26BF6048" w14:textId="77777777" w:rsidR="00916502" w:rsidRPr="00716CC2" w:rsidRDefault="00916502" w:rsidP="00916502">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16DD79BC" w14:textId="77777777" w:rsidR="00916502" w:rsidRPr="00716CC2" w:rsidRDefault="00916502" w:rsidP="00916502">
            <w:pPr>
              <w:pStyle w:val="TableText"/>
              <w:spacing w:before="40" w:after="40"/>
              <w:rPr>
                <w:b/>
                <w:szCs w:val="18"/>
                <w:lang w:eastAsia="en-NZ"/>
              </w:rPr>
            </w:pPr>
            <w:r w:rsidRPr="00716CC2">
              <w:rPr>
                <w:b/>
                <w:szCs w:val="18"/>
                <w:lang w:eastAsia="en-NZ"/>
              </w:rPr>
              <w:t>Res Dis (6 Aug)</w:t>
            </w:r>
          </w:p>
        </w:tc>
      </w:tr>
      <w:tr w:rsidR="008E5BF3" w:rsidRPr="00716CC2" w14:paraId="40F427DC" w14:textId="77777777" w:rsidTr="007A7079">
        <w:trPr>
          <w:gridAfter w:val="2"/>
          <w:wAfter w:w="608" w:type="dxa"/>
        </w:trPr>
        <w:tc>
          <w:tcPr>
            <w:tcW w:w="2855" w:type="dxa"/>
            <w:shd w:val="clear" w:color="auto" w:fill="FFFFFF" w:themeFill="background1"/>
          </w:tcPr>
          <w:p w14:paraId="46C6C811" w14:textId="77777777" w:rsidR="008E5BF3" w:rsidRPr="00716CC2" w:rsidRDefault="008E5BF3" w:rsidP="008E5BF3">
            <w:pPr>
              <w:pStyle w:val="TableBullet"/>
              <w:rPr>
                <w:b/>
                <w:szCs w:val="18"/>
                <w:lang w:eastAsia="en-NZ"/>
              </w:rPr>
            </w:pPr>
            <w:r w:rsidRPr="00716CC2">
              <w:rPr>
                <w:szCs w:val="18"/>
              </w:rPr>
              <w:t>Refer Std 2.3.1</w:t>
            </w:r>
          </w:p>
        </w:tc>
        <w:tc>
          <w:tcPr>
            <w:tcW w:w="2855" w:type="dxa"/>
            <w:gridSpan w:val="3"/>
            <w:shd w:val="clear" w:color="auto" w:fill="FFFFFF" w:themeFill="background1"/>
          </w:tcPr>
          <w:p w14:paraId="52F61BCD" w14:textId="77777777" w:rsidR="008E5BF3" w:rsidRPr="00716CC2" w:rsidRDefault="008E5BF3" w:rsidP="008E5BF3">
            <w:pPr>
              <w:pStyle w:val="TableBullet"/>
              <w:rPr>
                <w:szCs w:val="18"/>
              </w:rPr>
            </w:pPr>
            <w:r w:rsidRPr="00716CC2">
              <w:rPr>
                <w:szCs w:val="18"/>
              </w:rPr>
              <w:t>See above.</w:t>
            </w:r>
          </w:p>
        </w:tc>
        <w:tc>
          <w:tcPr>
            <w:tcW w:w="2855" w:type="dxa"/>
            <w:gridSpan w:val="3"/>
            <w:shd w:val="clear" w:color="auto" w:fill="FFFFFF" w:themeFill="background1"/>
          </w:tcPr>
          <w:p w14:paraId="46956954" w14:textId="77777777" w:rsidR="008E5BF3" w:rsidRPr="00716CC2" w:rsidRDefault="008E5BF3" w:rsidP="008E5BF3">
            <w:pPr>
              <w:pStyle w:val="TableBullet"/>
              <w:rPr>
                <w:szCs w:val="18"/>
              </w:rPr>
            </w:pPr>
            <w:r w:rsidRPr="00716CC2">
              <w:rPr>
                <w:szCs w:val="18"/>
              </w:rPr>
              <w:t>Modular</w:t>
            </w:r>
          </w:p>
        </w:tc>
        <w:tc>
          <w:tcPr>
            <w:tcW w:w="2855" w:type="dxa"/>
            <w:gridSpan w:val="3"/>
            <w:shd w:val="clear" w:color="auto" w:fill="FFFFFF" w:themeFill="background1"/>
          </w:tcPr>
          <w:p w14:paraId="6CF69DE5" w14:textId="77777777" w:rsidR="008E5BF3" w:rsidRPr="00716CC2" w:rsidRDefault="008E5BF3" w:rsidP="008E5BF3">
            <w:pPr>
              <w:pStyle w:val="TableBullet"/>
              <w:rPr>
                <w:szCs w:val="18"/>
              </w:rPr>
            </w:pPr>
            <w:r w:rsidRPr="00716CC2">
              <w:rPr>
                <w:szCs w:val="18"/>
              </w:rPr>
              <w:t>Modular – opt out</w:t>
            </w:r>
          </w:p>
        </w:tc>
        <w:tc>
          <w:tcPr>
            <w:tcW w:w="2856" w:type="dxa"/>
            <w:gridSpan w:val="3"/>
            <w:shd w:val="clear" w:color="auto" w:fill="FFFFFF" w:themeFill="background1"/>
          </w:tcPr>
          <w:p w14:paraId="4C1446FD" w14:textId="77777777" w:rsidR="008E5BF3" w:rsidRPr="00716CC2" w:rsidRDefault="008E5BF3" w:rsidP="008E5BF3">
            <w:pPr>
              <w:pStyle w:val="TableBullet"/>
              <w:rPr>
                <w:szCs w:val="18"/>
              </w:rPr>
            </w:pPr>
            <w:r w:rsidRPr="00716CC2">
              <w:rPr>
                <w:szCs w:val="18"/>
              </w:rPr>
              <w:t>Opt out</w:t>
            </w:r>
          </w:p>
        </w:tc>
      </w:tr>
      <w:tr w:rsidR="008E5BF3" w:rsidRPr="00716CC2" w14:paraId="203BC30F" w14:textId="77777777" w:rsidTr="007A7079">
        <w:trPr>
          <w:gridAfter w:val="2"/>
          <w:wAfter w:w="608" w:type="dxa"/>
        </w:trPr>
        <w:tc>
          <w:tcPr>
            <w:tcW w:w="14276" w:type="dxa"/>
            <w:gridSpan w:val="13"/>
            <w:shd w:val="clear" w:color="auto" w:fill="FFFFFF" w:themeFill="background1"/>
          </w:tcPr>
          <w:p w14:paraId="71A9F57D" w14:textId="77777777" w:rsidR="008E5BF3" w:rsidRPr="00716CC2" w:rsidRDefault="008E5BF3" w:rsidP="003F6526">
            <w:pPr>
              <w:spacing w:before="40" w:after="40"/>
              <w:rPr>
                <w:b/>
                <w:sz w:val="18"/>
                <w:szCs w:val="18"/>
              </w:rPr>
            </w:pPr>
          </w:p>
        </w:tc>
      </w:tr>
      <w:tr w:rsidR="008E5BF3" w:rsidRPr="00716CC2" w14:paraId="14C8FF9D" w14:textId="77777777" w:rsidTr="007A7079">
        <w:trPr>
          <w:gridAfter w:val="2"/>
          <w:wAfter w:w="608" w:type="dxa"/>
        </w:trPr>
        <w:tc>
          <w:tcPr>
            <w:tcW w:w="14276" w:type="dxa"/>
            <w:gridSpan w:val="13"/>
            <w:shd w:val="clear" w:color="auto" w:fill="D9D9D9" w:themeFill="background1" w:themeFillShade="D9"/>
          </w:tcPr>
          <w:p w14:paraId="2FB6D9A9" w14:textId="77777777" w:rsidR="008E5BF3" w:rsidRPr="00716CC2" w:rsidRDefault="008E5BF3" w:rsidP="003F6526">
            <w:pPr>
              <w:spacing w:before="40" w:after="40"/>
              <w:rPr>
                <w:b/>
                <w:sz w:val="18"/>
                <w:szCs w:val="18"/>
              </w:rPr>
            </w:pPr>
            <w:r w:rsidRPr="00716CC2">
              <w:rPr>
                <w:b/>
                <w:sz w:val="18"/>
                <w:szCs w:val="18"/>
              </w:rPr>
              <w:t xml:space="preserve">Outcome 3.1: </w:t>
            </w:r>
            <w:r w:rsidRPr="00716CC2">
              <w:rPr>
                <w:sz w:val="18"/>
                <w:szCs w:val="18"/>
              </w:rPr>
              <w:t>Infection Prevention and Control</w:t>
            </w:r>
          </w:p>
        </w:tc>
      </w:tr>
      <w:tr w:rsidR="008E5BF3" w:rsidRPr="00716CC2" w14:paraId="51711FCF" w14:textId="77777777" w:rsidTr="007A7079">
        <w:trPr>
          <w:gridAfter w:val="2"/>
          <w:wAfter w:w="608" w:type="dxa"/>
        </w:trPr>
        <w:tc>
          <w:tcPr>
            <w:tcW w:w="14276" w:type="dxa"/>
            <w:gridSpan w:val="13"/>
            <w:shd w:val="clear" w:color="auto" w:fill="F2F2F2" w:themeFill="background1" w:themeFillShade="F2"/>
          </w:tcPr>
          <w:p w14:paraId="7E02EDFE" w14:textId="77777777" w:rsidR="008E5BF3" w:rsidRPr="00716CC2" w:rsidRDefault="008E5BF3" w:rsidP="003F6526">
            <w:pPr>
              <w:spacing w:before="40" w:after="40"/>
              <w:rPr>
                <w:b/>
                <w:sz w:val="18"/>
                <w:szCs w:val="18"/>
              </w:rPr>
            </w:pPr>
            <w:r w:rsidRPr="00716CC2">
              <w:rPr>
                <w:b/>
                <w:sz w:val="18"/>
                <w:szCs w:val="18"/>
              </w:rPr>
              <w:t xml:space="preserve">Standard 3.1: </w:t>
            </w:r>
            <w:r w:rsidRPr="00716CC2">
              <w:rPr>
                <w:sz w:val="18"/>
                <w:szCs w:val="18"/>
              </w:rPr>
              <w:t>Infection control management (HDS(IPC)S.2008:3.1): There is a managed environment, which minimises the risk of infection to consumers, service providers, and visitors. This shall be appropriate to the size and scope of the service.</w:t>
            </w:r>
          </w:p>
        </w:tc>
      </w:tr>
      <w:tr w:rsidR="008E5BF3" w:rsidRPr="00716CC2" w14:paraId="67EB4731" w14:textId="77777777" w:rsidTr="007A7079">
        <w:trPr>
          <w:gridAfter w:val="2"/>
          <w:wAfter w:w="608" w:type="dxa"/>
        </w:trPr>
        <w:tc>
          <w:tcPr>
            <w:tcW w:w="2855" w:type="dxa"/>
            <w:shd w:val="clear" w:color="auto" w:fill="FFFFFF" w:themeFill="background1"/>
          </w:tcPr>
          <w:p w14:paraId="7BDE2FD2"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15DD9383"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7070C4C1"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31391AD9"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6C7BEAF"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1FA4BBC0" w14:textId="77777777" w:rsidTr="007A7079">
        <w:trPr>
          <w:gridAfter w:val="2"/>
          <w:wAfter w:w="608" w:type="dxa"/>
        </w:trPr>
        <w:tc>
          <w:tcPr>
            <w:tcW w:w="2855" w:type="dxa"/>
            <w:shd w:val="clear" w:color="auto" w:fill="FFFFFF" w:themeFill="background1"/>
          </w:tcPr>
          <w:p w14:paraId="48171A50" w14:textId="77777777" w:rsidR="008E5BF3" w:rsidRPr="00716CC2" w:rsidRDefault="008E5BF3" w:rsidP="008E5BF3">
            <w:pPr>
              <w:pStyle w:val="TableBullet"/>
              <w:rPr>
                <w:szCs w:val="18"/>
              </w:rPr>
            </w:pPr>
            <w:r w:rsidRPr="00716CC2">
              <w:rPr>
                <w:szCs w:val="18"/>
              </w:rPr>
              <w:t>This response relates to al IPC STDS.</w:t>
            </w:r>
          </w:p>
          <w:p w14:paraId="39593E0A" w14:textId="77777777" w:rsidR="008E5BF3" w:rsidRPr="00716CC2" w:rsidRDefault="008E5BF3" w:rsidP="008E5BF3">
            <w:pPr>
              <w:pStyle w:val="TableBullet"/>
              <w:rPr>
                <w:szCs w:val="18"/>
              </w:rPr>
            </w:pPr>
            <w:r w:rsidRPr="00716CC2">
              <w:rPr>
                <w:szCs w:val="18"/>
              </w:rPr>
              <w:t xml:space="preserve">General discussion – need to review all six standards  - to </w:t>
            </w:r>
            <w:r w:rsidRPr="00716CC2">
              <w:rPr>
                <w:szCs w:val="18"/>
              </w:rPr>
              <w:lastRenderedPageBreak/>
              <w:t xml:space="preserve">ensure standards are suitable for all health and disability providers – from small homes for disability residents to acute public hospitals. </w:t>
            </w:r>
          </w:p>
          <w:p w14:paraId="2FADCA58" w14:textId="77777777" w:rsidR="008E5BF3" w:rsidRPr="00716CC2" w:rsidRDefault="008E5BF3" w:rsidP="008E5BF3">
            <w:pPr>
              <w:pStyle w:val="TableBullet"/>
              <w:rPr>
                <w:szCs w:val="18"/>
              </w:rPr>
            </w:pPr>
            <w:r w:rsidRPr="00716CC2">
              <w:rPr>
                <w:szCs w:val="18"/>
              </w:rPr>
              <w:t>Strongly recommended a separate (HQSC) Working group specifically for these STDs with representative for IPC clinical nurse specialists (public, private, ARC) (NZNO IPC), ID physicians, microbiologists, antimicrobial leads, IPC Chairs in hospitals, community based IPC specialists, HQSC. Representatives from lead IPC organisations (NZNO IPC)</w:t>
            </w:r>
          </w:p>
          <w:p w14:paraId="39385B19" w14:textId="77777777" w:rsidR="008E5BF3" w:rsidRPr="00716CC2" w:rsidRDefault="008E5BF3" w:rsidP="008E5BF3">
            <w:pPr>
              <w:pStyle w:val="TableBullet"/>
              <w:rPr>
                <w:szCs w:val="18"/>
              </w:rPr>
            </w:pPr>
            <w:r w:rsidRPr="00716CC2">
              <w:rPr>
                <w:szCs w:val="18"/>
              </w:rPr>
              <w:t>Update surveillance and antimicrobial STDs for current use</w:t>
            </w:r>
          </w:p>
          <w:p w14:paraId="420BB2B6" w14:textId="77777777" w:rsidR="008E5BF3" w:rsidRPr="00716CC2" w:rsidRDefault="008E5BF3" w:rsidP="008E5BF3">
            <w:pPr>
              <w:pStyle w:val="TableBullet"/>
              <w:rPr>
                <w:szCs w:val="18"/>
              </w:rPr>
            </w:pPr>
            <w:r w:rsidRPr="00716CC2">
              <w:rPr>
                <w:szCs w:val="18"/>
              </w:rPr>
              <w:t xml:space="preserve">More clarity and specificity with standards e.g. IPC programme plan, training, IPC team, and quality improvement feedback. </w:t>
            </w:r>
          </w:p>
          <w:p w14:paraId="55D3C7C8" w14:textId="77777777" w:rsidR="008E5BF3" w:rsidRPr="00716CC2" w:rsidRDefault="008E5BF3" w:rsidP="008E5BF3">
            <w:pPr>
              <w:pStyle w:val="TableBullet"/>
              <w:rPr>
                <w:szCs w:val="18"/>
              </w:rPr>
            </w:pPr>
            <w:r w:rsidRPr="00716CC2">
              <w:rPr>
                <w:szCs w:val="18"/>
              </w:rPr>
              <w:t>Need to consider national initiatives</w:t>
            </w:r>
          </w:p>
          <w:p w14:paraId="38A4316D" w14:textId="77777777" w:rsidR="008E5BF3" w:rsidRPr="00716CC2" w:rsidRDefault="008E5BF3" w:rsidP="008E5BF3">
            <w:pPr>
              <w:pStyle w:val="TableBullet"/>
              <w:rPr>
                <w:szCs w:val="18"/>
              </w:rPr>
            </w:pPr>
            <w:r w:rsidRPr="00716CC2">
              <w:rPr>
                <w:szCs w:val="18"/>
              </w:rPr>
              <w:t xml:space="preserve">Some discussion of Australian standards that are more clinically focused. </w:t>
            </w:r>
          </w:p>
          <w:p w14:paraId="0E090069" w14:textId="77777777" w:rsidR="008E5BF3" w:rsidRPr="00716CC2" w:rsidRDefault="008E5BF3" w:rsidP="008E5BF3">
            <w:pPr>
              <w:pStyle w:val="TableBullet"/>
              <w:rPr>
                <w:szCs w:val="18"/>
              </w:rPr>
            </w:pPr>
            <w:r w:rsidRPr="00716CC2">
              <w:rPr>
                <w:szCs w:val="18"/>
              </w:rPr>
              <w:t>A number of the 1.4 STDs (Safe Environment) have close links to IPC</w:t>
            </w:r>
          </w:p>
          <w:p w14:paraId="0A617F82" w14:textId="77777777" w:rsidR="008E5BF3" w:rsidRPr="00716CC2" w:rsidRDefault="008E5BF3" w:rsidP="008E5BF3">
            <w:pPr>
              <w:pStyle w:val="TableBullet"/>
              <w:rPr>
                <w:szCs w:val="18"/>
              </w:rPr>
            </w:pPr>
            <w:r w:rsidRPr="00716CC2">
              <w:rPr>
                <w:szCs w:val="18"/>
              </w:rPr>
              <w:t xml:space="preserve">The need for more clarity in the standard- there is confusion between functions </w:t>
            </w:r>
            <w:r w:rsidRPr="00716CC2">
              <w:rPr>
                <w:szCs w:val="18"/>
              </w:rPr>
              <w:lastRenderedPageBreak/>
              <w:t>of the committee and the IPC plan. (NZNO IPC)</w:t>
            </w:r>
          </w:p>
          <w:p w14:paraId="59655D04" w14:textId="77777777" w:rsidR="008E5BF3" w:rsidRPr="00716CC2" w:rsidRDefault="008E5BF3" w:rsidP="008E5BF3">
            <w:pPr>
              <w:pStyle w:val="TableBullet"/>
              <w:rPr>
                <w:rFonts w:ascii="Arial" w:hAnsi="Arial"/>
                <w:szCs w:val="18"/>
                <w:lang w:eastAsia="en-NZ"/>
              </w:rPr>
            </w:pPr>
            <w:r w:rsidRPr="00716CC2">
              <w:rPr>
                <w:rFonts w:ascii="Arial" w:hAnsi="Arial"/>
                <w:szCs w:val="18"/>
              </w:rPr>
              <w:t>HQSC Sepsis 6 for maternity – consider a focus on such initiatives or at least reference (NZCoM)</w:t>
            </w:r>
          </w:p>
        </w:tc>
        <w:tc>
          <w:tcPr>
            <w:tcW w:w="2855" w:type="dxa"/>
            <w:gridSpan w:val="3"/>
            <w:shd w:val="clear" w:color="auto" w:fill="FFFFFF" w:themeFill="background1"/>
          </w:tcPr>
          <w:p w14:paraId="20AE4489" w14:textId="77777777" w:rsidR="008E5BF3" w:rsidRPr="00716CC2" w:rsidRDefault="008E5BF3" w:rsidP="008E5BF3">
            <w:pPr>
              <w:pStyle w:val="TableBullet"/>
              <w:rPr>
                <w:szCs w:val="18"/>
              </w:rPr>
            </w:pPr>
            <w:r w:rsidRPr="00716CC2">
              <w:rPr>
                <w:szCs w:val="18"/>
              </w:rPr>
              <w:lastRenderedPageBreak/>
              <w:t xml:space="preserve">Pretty happy with all these standards – seen in the light that these services are more a </w:t>
            </w:r>
            <w:r w:rsidRPr="00716CC2">
              <w:rPr>
                <w:szCs w:val="18"/>
              </w:rPr>
              <w:lastRenderedPageBreak/>
              <w:t>home environment than clinical area.</w:t>
            </w:r>
          </w:p>
          <w:p w14:paraId="58880CB1" w14:textId="77777777" w:rsidR="008E5BF3" w:rsidRPr="00716CC2" w:rsidRDefault="008E5BF3" w:rsidP="008E5BF3">
            <w:pPr>
              <w:pStyle w:val="TableBullet"/>
              <w:rPr>
                <w:szCs w:val="18"/>
              </w:rPr>
            </w:pPr>
            <w:r w:rsidRPr="00716CC2">
              <w:rPr>
                <w:szCs w:val="18"/>
              </w:rPr>
              <w:t xml:space="preserve">Recognise the ‘at risk’ client groups for these services – caring for people with Hepatitis and HIV. </w:t>
            </w:r>
          </w:p>
          <w:p w14:paraId="765BC2BB" w14:textId="77777777" w:rsidR="008E5BF3" w:rsidRPr="00716CC2" w:rsidRDefault="008E5BF3" w:rsidP="008E5BF3">
            <w:pPr>
              <w:pStyle w:val="TableBullet"/>
              <w:rPr>
                <w:szCs w:val="18"/>
              </w:rPr>
            </w:pPr>
            <w:r w:rsidRPr="00716CC2">
              <w:rPr>
                <w:szCs w:val="18"/>
              </w:rPr>
              <w:t>Close link with Health and Safety processes.</w:t>
            </w:r>
          </w:p>
        </w:tc>
        <w:tc>
          <w:tcPr>
            <w:tcW w:w="2855" w:type="dxa"/>
            <w:gridSpan w:val="3"/>
            <w:shd w:val="clear" w:color="auto" w:fill="FFFFFF" w:themeFill="background1"/>
          </w:tcPr>
          <w:p w14:paraId="394A775F" w14:textId="77777777" w:rsidR="008E5BF3" w:rsidRPr="00716CC2" w:rsidRDefault="008E5BF3" w:rsidP="008E5BF3">
            <w:pPr>
              <w:pStyle w:val="TableBullet"/>
              <w:rPr>
                <w:szCs w:val="18"/>
              </w:rPr>
            </w:pPr>
            <w:r w:rsidRPr="00716CC2">
              <w:rPr>
                <w:szCs w:val="18"/>
              </w:rPr>
              <w:lastRenderedPageBreak/>
              <w:t>Overarching standard for all services</w:t>
            </w:r>
          </w:p>
          <w:p w14:paraId="78D23FAA" w14:textId="77777777" w:rsidR="008E5BF3" w:rsidRPr="00716CC2" w:rsidRDefault="008E5BF3" w:rsidP="008E5BF3">
            <w:pPr>
              <w:pStyle w:val="TableBullet"/>
              <w:rPr>
                <w:szCs w:val="18"/>
              </w:rPr>
            </w:pPr>
            <w:r w:rsidRPr="00716CC2">
              <w:rPr>
                <w:szCs w:val="18"/>
              </w:rPr>
              <w:t>clarification of “size” and “scope” of service</w:t>
            </w:r>
          </w:p>
        </w:tc>
        <w:tc>
          <w:tcPr>
            <w:tcW w:w="2855" w:type="dxa"/>
            <w:gridSpan w:val="3"/>
            <w:shd w:val="clear" w:color="auto" w:fill="FFFFFF" w:themeFill="background1"/>
          </w:tcPr>
          <w:p w14:paraId="34E159E4" w14:textId="77777777" w:rsidR="008E5BF3" w:rsidRPr="00716CC2" w:rsidRDefault="008E5BF3" w:rsidP="008E5BF3">
            <w:pPr>
              <w:pStyle w:val="TableBullet"/>
              <w:rPr>
                <w:szCs w:val="18"/>
                <w:lang w:eastAsia="en-NZ"/>
              </w:rPr>
            </w:pPr>
            <w:r w:rsidRPr="00716CC2">
              <w:rPr>
                <w:szCs w:val="18"/>
                <w:lang w:eastAsia="en-NZ"/>
              </w:rPr>
              <w:t xml:space="preserve">Refer to standard 1.2 suggest separate clinical governance </w:t>
            </w:r>
          </w:p>
          <w:p w14:paraId="4442407E" w14:textId="77777777" w:rsidR="008E5BF3" w:rsidRPr="00716CC2" w:rsidRDefault="008E5BF3" w:rsidP="008E5BF3">
            <w:pPr>
              <w:pStyle w:val="TableBullet"/>
              <w:rPr>
                <w:szCs w:val="18"/>
                <w:lang w:eastAsia="en-NZ"/>
              </w:rPr>
            </w:pPr>
            <w:r w:rsidRPr="00716CC2">
              <w:rPr>
                <w:szCs w:val="18"/>
                <w:lang w:eastAsia="en-NZ"/>
              </w:rPr>
              <w:lastRenderedPageBreak/>
              <w:t>Difficulty keeping up-to-date with IPC info e.g. CRO/CPO/CRE</w:t>
            </w:r>
          </w:p>
        </w:tc>
        <w:tc>
          <w:tcPr>
            <w:tcW w:w="2856" w:type="dxa"/>
            <w:gridSpan w:val="3"/>
            <w:shd w:val="clear" w:color="auto" w:fill="FFFFFF" w:themeFill="background1"/>
          </w:tcPr>
          <w:p w14:paraId="3CB0F23F" w14:textId="77777777" w:rsidR="008E5BF3" w:rsidRPr="00716CC2" w:rsidRDefault="008E5BF3" w:rsidP="008E5BF3">
            <w:pPr>
              <w:pStyle w:val="TableBullet"/>
              <w:rPr>
                <w:szCs w:val="18"/>
              </w:rPr>
            </w:pPr>
            <w:r w:rsidRPr="00716CC2">
              <w:rPr>
                <w:szCs w:val="18"/>
              </w:rPr>
              <w:lastRenderedPageBreak/>
              <w:t>Statement does not cover home environment</w:t>
            </w:r>
          </w:p>
          <w:p w14:paraId="6B4A37DF" w14:textId="77777777" w:rsidR="008E5BF3" w:rsidRPr="00716CC2" w:rsidRDefault="008E5BF3" w:rsidP="008E5BF3">
            <w:pPr>
              <w:pStyle w:val="TableBullet"/>
              <w:rPr>
                <w:szCs w:val="18"/>
              </w:rPr>
            </w:pPr>
            <w:r w:rsidRPr="00716CC2">
              <w:rPr>
                <w:szCs w:val="18"/>
              </w:rPr>
              <w:lastRenderedPageBreak/>
              <w:t>Governance structure needs to be incorporated into main statement</w:t>
            </w:r>
          </w:p>
          <w:p w14:paraId="194E4FD0" w14:textId="77777777" w:rsidR="008E5BF3" w:rsidRPr="00716CC2" w:rsidRDefault="008E5BF3" w:rsidP="008E5BF3">
            <w:pPr>
              <w:pStyle w:val="TableBullet"/>
              <w:rPr>
                <w:szCs w:val="18"/>
              </w:rPr>
            </w:pPr>
            <w:r w:rsidRPr="00716CC2">
              <w:rPr>
                <w:szCs w:val="18"/>
              </w:rPr>
              <w:t>Size and scope of service needs to be defined</w:t>
            </w:r>
          </w:p>
          <w:p w14:paraId="6C58A452" w14:textId="77777777" w:rsidR="008E5BF3" w:rsidRPr="00716CC2" w:rsidRDefault="008E5BF3" w:rsidP="008E5BF3">
            <w:pPr>
              <w:pStyle w:val="TableBullet"/>
              <w:rPr>
                <w:szCs w:val="18"/>
              </w:rPr>
            </w:pPr>
            <w:r w:rsidRPr="00716CC2">
              <w:rPr>
                <w:szCs w:val="18"/>
              </w:rPr>
              <w:t>‘Modular’ approach to this standard</w:t>
            </w:r>
          </w:p>
        </w:tc>
      </w:tr>
      <w:tr w:rsidR="008E5BF3" w:rsidRPr="00716CC2" w14:paraId="21001704" w14:textId="77777777" w:rsidTr="007A7079">
        <w:trPr>
          <w:gridAfter w:val="2"/>
          <w:wAfter w:w="608" w:type="dxa"/>
        </w:trPr>
        <w:tc>
          <w:tcPr>
            <w:tcW w:w="14276" w:type="dxa"/>
            <w:gridSpan w:val="13"/>
            <w:shd w:val="clear" w:color="auto" w:fill="FFFFFF" w:themeFill="background1"/>
          </w:tcPr>
          <w:p w14:paraId="0DC38633" w14:textId="77777777" w:rsidR="008E5BF3" w:rsidRPr="00716CC2" w:rsidRDefault="008E5BF3" w:rsidP="003F6526">
            <w:pPr>
              <w:spacing w:before="40" w:after="40"/>
              <w:rPr>
                <w:b/>
                <w:sz w:val="18"/>
                <w:szCs w:val="18"/>
              </w:rPr>
            </w:pPr>
          </w:p>
        </w:tc>
      </w:tr>
      <w:tr w:rsidR="008E5BF3" w:rsidRPr="00716CC2" w14:paraId="0B76E5D8" w14:textId="77777777" w:rsidTr="007A7079">
        <w:trPr>
          <w:gridAfter w:val="2"/>
          <w:wAfter w:w="608" w:type="dxa"/>
        </w:trPr>
        <w:tc>
          <w:tcPr>
            <w:tcW w:w="14276" w:type="dxa"/>
            <w:gridSpan w:val="13"/>
            <w:shd w:val="clear" w:color="auto" w:fill="F2F2F2" w:themeFill="background1" w:themeFillShade="F2"/>
          </w:tcPr>
          <w:p w14:paraId="1B7FA8AE" w14:textId="77777777" w:rsidR="008E5BF3" w:rsidRPr="00716CC2" w:rsidRDefault="008E5BF3" w:rsidP="003F6526">
            <w:pPr>
              <w:spacing w:before="40" w:after="40"/>
              <w:rPr>
                <w:b/>
                <w:sz w:val="18"/>
                <w:szCs w:val="18"/>
              </w:rPr>
            </w:pPr>
            <w:r w:rsidRPr="00716CC2">
              <w:rPr>
                <w:b/>
                <w:sz w:val="18"/>
                <w:szCs w:val="18"/>
              </w:rPr>
              <w:t>Standard 3.2:</w:t>
            </w:r>
            <w:r w:rsidRPr="00716CC2">
              <w:rPr>
                <w:sz w:val="18"/>
                <w:szCs w:val="18"/>
              </w:rPr>
              <w:t xml:space="preserve"> Implementing the infection control programme (HDS(IPC)S.2008:3.2): There are adequate human, physical, and information resources to implement the infection control programme and meet the needs of the organisation.</w:t>
            </w:r>
          </w:p>
        </w:tc>
      </w:tr>
      <w:tr w:rsidR="008E5BF3" w:rsidRPr="00716CC2" w14:paraId="0A768763" w14:textId="77777777" w:rsidTr="007A7079">
        <w:trPr>
          <w:gridAfter w:val="2"/>
          <w:wAfter w:w="608" w:type="dxa"/>
        </w:trPr>
        <w:tc>
          <w:tcPr>
            <w:tcW w:w="2855" w:type="dxa"/>
            <w:shd w:val="clear" w:color="auto" w:fill="FFFFFF" w:themeFill="background1"/>
          </w:tcPr>
          <w:p w14:paraId="6B5C3FA5"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4D029547"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772593D7"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77A59125"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5BE23F7"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17DD9439" w14:textId="77777777" w:rsidTr="007A7079">
        <w:trPr>
          <w:gridAfter w:val="2"/>
          <w:wAfter w:w="608" w:type="dxa"/>
        </w:trPr>
        <w:tc>
          <w:tcPr>
            <w:tcW w:w="2855" w:type="dxa"/>
            <w:shd w:val="clear" w:color="auto" w:fill="FFFFFF" w:themeFill="background1"/>
          </w:tcPr>
          <w:p w14:paraId="00348D7A" w14:textId="77777777" w:rsidR="008E5BF3" w:rsidRPr="00716CC2" w:rsidRDefault="008E5BF3" w:rsidP="008E5BF3">
            <w:pPr>
              <w:pStyle w:val="TableBullet"/>
              <w:rPr>
                <w:b/>
                <w:szCs w:val="18"/>
                <w:lang w:eastAsia="en-NZ"/>
              </w:rPr>
            </w:pPr>
            <w:r w:rsidRPr="00716CC2">
              <w:rPr>
                <w:szCs w:val="18"/>
              </w:rPr>
              <w:t>Refer Std 3.1</w:t>
            </w:r>
          </w:p>
        </w:tc>
        <w:tc>
          <w:tcPr>
            <w:tcW w:w="2855" w:type="dxa"/>
            <w:gridSpan w:val="3"/>
            <w:shd w:val="clear" w:color="auto" w:fill="FFFFFF" w:themeFill="background1"/>
          </w:tcPr>
          <w:p w14:paraId="7B2430BF" w14:textId="77777777" w:rsidR="008E5BF3" w:rsidRPr="00716CC2" w:rsidRDefault="008E5BF3" w:rsidP="008E5BF3">
            <w:pPr>
              <w:pStyle w:val="TableBullet"/>
              <w:rPr>
                <w:szCs w:val="18"/>
              </w:rPr>
            </w:pPr>
            <w:r w:rsidRPr="00716CC2">
              <w:rPr>
                <w:szCs w:val="18"/>
              </w:rPr>
              <w:t>Refer comments 3.1</w:t>
            </w:r>
          </w:p>
        </w:tc>
        <w:tc>
          <w:tcPr>
            <w:tcW w:w="2855" w:type="dxa"/>
            <w:gridSpan w:val="3"/>
            <w:shd w:val="clear" w:color="auto" w:fill="FFFFFF" w:themeFill="background1"/>
          </w:tcPr>
          <w:p w14:paraId="366F0EC4" w14:textId="77777777" w:rsidR="008E5BF3" w:rsidRPr="00716CC2" w:rsidRDefault="008E5BF3" w:rsidP="008E5BF3">
            <w:pPr>
              <w:pStyle w:val="TableBullet"/>
              <w:rPr>
                <w:szCs w:val="18"/>
              </w:rPr>
            </w:pPr>
            <w:r w:rsidRPr="00716CC2">
              <w:rPr>
                <w:szCs w:val="18"/>
              </w:rPr>
              <w:t xml:space="preserve">No change for this standard </w:t>
            </w:r>
          </w:p>
        </w:tc>
        <w:tc>
          <w:tcPr>
            <w:tcW w:w="2855" w:type="dxa"/>
            <w:gridSpan w:val="3"/>
            <w:shd w:val="clear" w:color="auto" w:fill="FFFFFF" w:themeFill="background1"/>
          </w:tcPr>
          <w:p w14:paraId="5D965556" w14:textId="77777777" w:rsidR="008E5BF3" w:rsidRPr="00716CC2" w:rsidRDefault="008E5BF3" w:rsidP="008E5BF3">
            <w:pPr>
              <w:pStyle w:val="TableBullet"/>
              <w:rPr>
                <w:szCs w:val="18"/>
                <w:lang w:eastAsia="en-NZ"/>
              </w:rPr>
            </w:pPr>
            <w:r w:rsidRPr="00716CC2">
              <w:rPr>
                <w:szCs w:val="18"/>
                <w:lang w:eastAsia="en-NZ"/>
              </w:rPr>
              <w:t>Issues re access to IPC resources and in some areas support from the DHB</w:t>
            </w:r>
          </w:p>
          <w:p w14:paraId="6B549FCD" w14:textId="77777777" w:rsidR="008E5BF3" w:rsidRPr="00716CC2" w:rsidRDefault="008E5BF3" w:rsidP="008E5BF3">
            <w:pPr>
              <w:pStyle w:val="TableBullet"/>
              <w:rPr>
                <w:szCs w:val="18"/>
                <w:lang w:eastAsia="en-NZ"/>
              </w:rPr>
            </w:pPr>
            <w:r w:rsidRPr="00716CC2">
              <w:rPr>
                <w:szCs w:val="18"/>
                <w:lang w:eastAsia="en-NZ"/>
              </w:rPr>
              <w:t>NZNO-Offer free IPC updates</w:t>
            </w:r>
          </w:p>
          <w:p w14:paraId="28837A54" w14:textId="77777777" w:rsidR="008E5BF3" w:rsidRPr="00716CC2" w:rsidRDefault="008E5BF3" w:rsidP="008E5BF3">
            <w:pPr>
              <w:pStyle w:val="TableBullet"/>
              <w:rPr>
                <w:szCs w:val="18"/>
                <w:lang w:eastAsia="en-NZ"/>
              </w:rPr>
            </w:pPr>
            <w:r w:rsidRPr="00716CC2">
              <w:rPr>
                <w:szCs w:val="18"/>
                <w:lang w:eastAsia="en-NZ"/>
              </w:rPr>
              <w:t>Access to IPC education is an issue</w:t>
            </w:r>
          </w:p>
        </w:tc>
        <w:tc>
          <w:tcPr>
            <w:tcW w:w="2856" w:type="dxa"/>
            <w:gridSpan w:val="3"/>
            <w:shd w:val="clear" w:color="auto" w:fill="FFFFFF" w:themeFill="background1"/>
          </w:tcPr>
          <w:p w14:paraId="56F8AFEC" w14:textId="77777777" w:rsidR="008E5BF3" w:rsidRPr="00716CC2" w:rsidRDefault="008E5BF3" w:rsidP="008E5BF3">
            <w:pPr>
              <w:pStyle w:val="TableBullet"/>
              <w:rPr>
                <w:szCs w:val="18"/>
              </w:rPr>
            </w:pPr>
            <w:r w:rsidRPr="00716CC2">
              <w:rPr>
                <w:szCs w:val="18"/>
              </w:rPr>
              <w:t>Does not reflect services provided outside organisations</w:t>
            </w:r>
          </w:p>
          <w:p w14:paraId="1D81CE8C" w14:textId="77777777" w:rsidR="008E5BF3" w:rsidRPr="00716CC2" w:rsidRDefault="008E5BF3" w:rsidP="008E5BF3">
            <w:pPr>
              <w:pStyle w:val="TableBullet"/>
              <w:rPr>
                <w:szCs w:val="18"/>
              </w:rPr>
            </w:pPr>
            <w:r w:rsidRPr="00716CC2">
              <w:rPr>
                <w:szCs w:val="18"/>
              </w:rPr>
              <w:t>Statement does not include meeting the consumers’ needs</w:t>
            </w:r>
          </w:p>
        </w:tc>
      </w:tr>
      <w:tr w:rsidR="008E5BF3" w:rsidRPr="00716CC2" w14:paraId="59EEA337" w14:textId="77777777" w:rsidTr="007A7079">
        <w:trPr>
          <w:gridAfter w:val="2"/>
          <w:wAfter w:w="608" w:type="dxa"/>
        </w:trPr>
        <w:tc>
          <w:tcPr>
            <w:tcW w:w="14276" w:type="dxa"/>
            <w:gridSpan w:val="13"/>
            <w:shd w:val="clear" w:color="auto" w:fill="FFFFFF" w:themeFill="background1"/>
          </w:tcPr>
          <w:p w14:paraId="2A8C0D80" w14:textId="77777777" w:rsidR="008E5BF3" w:rsidRPr="00716CC2" w:rsidRDefault="008E5BF3" w:rsidP="003F6526">
            <w:pPr>
              <w:spacing w:before="40" w:after="40"/>
              <w:rPr>
                <w:b/>
                <w:sz w:val="18"/>
                <w:szCs w:val="18"/>
              </w:rPr>
            </w:pPr>
          </w:p>
        </w:tc>
      </w:tr>
      <w:tr w:rsidR="008E5BF3" w:rsidRPr="00716CC2" w14:paraId="7F5E4D22" w14:textId="77777777" w:rsidTr="007A7079">
        <w:trPr>
          <w:gridAfter w:val="2"/>
          <w:wAfter w:w="608" w:type="dxa"/>
        </w:trPr>
        <w:tc>
          <w:tcPr>
            <w:tcW w:w="14276" w:type="dxa"/>
            <w:gridSpan w:val="13"/>
            <w:shd w:val="clear" w:color="auto" w:fill="F2F2F2" w:themeFill="background1" w:themeFillShade="F2"/>
          </w:tcPr>
          <w:p w14:paraId="32F86C44" w14:textId="77777777" w:rsidR="008E5BF3" w:rsidRPr="00716CC2" w:rsidRDefault="008E5BF3" w:rsidP="003F6526">
            <w:pPr>
              <w:spacing w:before="40" w:after="40"/>
              <w:rPr>
                <w:b/>
                <w:sz w:val="18"/>
                <w:szCs w:val="18"/>
              </w:rPr>
            </w:pPr>
            <w:r w:rsidRPr="00716CC2">
              <w:rPr>
                <w:b/>
                <w:sz w:val="18"/>
                <w:szCs w:val="18"/>
              </w:rPr>
              <w:t xml:space="preserve">Standard 3.3: </w:t>
            </w:r>
            <w:r w:rsidRPr="00716CC2">
              <w:rPr>
                <w:sz w:val="18"/>
                <w:szCs w:val="18"/>
              </w:rPr>
              <w:t>Policies and procedures (HDS(IPC)S.2008:3.3): 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r>
      <w:tr w:rsidR="008E5BF3" w:rsidRPr="00716CC2" w14:paraId="7BF39826" w14:textId="77777777" w:rsidTr="007A7079">
        <w:trPr>
          <w:gridAfter w:val="2"/>
          <w:wAfter w:w="608" w:type="dxa"/>
        </w:trPr>
        <w:tc>
          <w:tcPr>
            <w:tcW w:w="2855" w:type="dxa"/>
            <w:shd w:val="clear" w:color="auto" w:fill="FFFFFF" w:themeFill="background1"/>
          </w:tcPr>
          <w:p w14:paraId="5FC208C9"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31D7F58A"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44F385E6"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4D64AF6E"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2AAAF7DD"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4FDCFD81" w14:textId="77777777" w:rsidTr="007A7079">
        <w:trPr>
          <w:gridAfter w:val="2"/>
          <w:wAfter w:w="608" w:type="dxa"/>
        </w:trPr>
        <w:tc>
          <w:tcPr>
            <w:tcW w:w="2855" w:type="dxa"/>
            <w:shd w:val="clear" w:color="auto" w:fill="FFFFFF" w:themeFill="background1"/>
          </w:tcPr>
          <w:p w14:paraId="4B20D2DB" w14:textId="77777777" w:rsidR="008E5BF3" w:rsidRPr="00716CC2" w:rsidRDefault="008E5BF3" w:rsidP="008E5BF3">
            <w:pPr>
              <w:pStyle w:val="TableBullet"/>
              <w:rPr>
                <w:b/>
                <w:szCs w:val="18"/>
                <w:lang w:eastAsia="en-NZ"/>
              </w:rPr>
            </w:pPr>
            <w:r w:rsidRPr="00716CC2">
              <w:rPr>
                <w:szCs w:val="18"/>
              </w:rPr>
              <w:t>Refer Std 3.1</w:t>
            </w:r>
          </w:p>
        </w:tc>
        <w:tc>
          <w:tcPr>
            <w:tcW w:w="2855" w:type="dxa"/>
            <w:gridSpan w:val="3"/>
            <w:shd w:val="clear" w:color="auto" w:fill="FFFFFF" w:themeFill="background1"/>
          </w:tcPr>
          <w:p w14:paraId="4545E883" w14:textId="77777777" w:rsidR="008E5BF3" w:rsidRPr="00716CC2" w:rsidRDefault="008E5BF3" w:rsidP="008E5BF3">
            <w:pPr>
              <w:pStyle w:val="TableBullet"/>
              <w:rPr>
                <w:szCs w:val="18"/>
              </w:rPr>
            </w:pPr>
            <w:r w:rsidRPr="00716CC2">
              <w:rPr>
                <w:szCs w:val="18"/>
              </w:rPr>
              <w:t>Refer comments 3.1</w:t>
            </w:r>
          </w:p>
        </w:tc>
        <w:tc>
          <w:tcPr>
            <w:tcW w:w="2855" w:type="dxa"/>
            <w:gridSpan w:val="3"/>
            <w:shd w:val="clear" w:color="auto" w:fill="FFFFFF" w:themeFill="background1"/>
          </w:tcPr>
          <w:p w14:paraId="25F5B1F9" w14:textId="77777777" w:rsidR="008E5BF3" w:rsidRPr="00716CC2" w:rsidRDefault="008E5BF3" w:rsidP="008E5BF3">
            <w:pPr>
              <w:pStyle w:val="TableBullet"/>
              <w:rPr>
                <w:szCs w:val="18"/>
              </w:rPr>
            </w:pPr>
            <w:r w:rsidRPr="00716CC2">
              <w:rPr>
                <w:szCs w:val="18"/>
              </w:rPr>
              <w:t>Change to wording – replace “good practice” with evidenced based practice and “practical” with appropriate</w:t>
            </w:r>
          </w:p>
        </w:tc>
        <w:tc>
          <w:tcPr>
            <w:tcW w:w="2855" w:type="dxa"/>
            <w:gridSpan w:val="3"/>
            <w:shd w:val="clear" w:color="auto" w:fill="FFFFFF" w:themeFill="background1"/>
          </w:tcPr>
          <w:p w14:paraId="5DB962C4" w14:textId="77777777" w:rsidR="008E5BF3" w:rsidRPr="00716CC2" w:rsidRDefault="008E5BF3" w:rsidP="008E5BF3">
            <w:pPr>
              <w:pStyle w:val="TableBullet"/>
              <w:rPr>
                <w:szCs w:val="18"/>
                <w:lang w:eastAsia="en-NZ"/>
              </w:rPr>
            </w:pPr>
            <w:r w:rsidRPr="00716CC2">
              <w:rPr>
                <w:szCs w:val="18"/>
                <w:lang w:eastAsia="en-NZ"/>
              </w:rPr>
              <w:t>Relevant standard-remove the last sentence</w:t>
            </w:r>
          </w:p>
        </w:tc>
        <w:tc>
          <w:tcPr>
            <w:tcW w:w="2856" w:type="dxa"/>
            <w:gridSpan w:val="3"/>
            <w:shd w:val="clear" w:color="auto" w:fill="FFFFFF" w:themeFill="background1"/>
          </w:tcPr>
          <w:p w14:paraId="2C0ED3B8" w14:textId="77777777" w:rsidR="008E5BF3" w:rsidRPr="00716CC2" w:rsidRDefault="008E5BF3" w:rsidP="008E5BF3">
            <w:pPr>
              <w:pStyle w:val="TableBullet"/>
              <w:rPr>
                <w:szCs w:val="18"/>
              </w:rPr>
            </w:pPr>
            <w:r w:rsidRPr="00716CC2">
              <w:rPr>
                <w:szCs w:val="18"/>
              </w:rPr>
              <w:t>Statement not reflective to clients/residents living in smaller ‘home like’ environments</w:t>
            </w:r>
          </w:p>
        </w:tc>
      </w:tr>
      <w:tr w:rsidR="008E5BF3" w:rsidRPr="00716CC2" w14:paraId="5B17C4A3" w14:textId="77777777" w:rsidTr="007A7079">
        <w:trPr>
          <w:gridAfter w:val="2"/>
          <w:wAfter w:w="608" w:type="dxa"/>
        </w:trPr>
        <w:tc>
          <w:tcPr>
            <w:tcW w:w="14276" w:type="dxa"/>
            <w:gridSpan w:val="13"/>
            <w:shd w:val="clear" w:color="auto" w:fill="FFFFFF" w:themeFill="background1"/>
          </w:tcPr>
          <w:p w14:paraId="6BF61886" w14:textId="77777777" w:rsidR="008E5BF3" w:rsidRPr="00716CC2" w:rsidRDefault="008E5BF3" w:rsidP="003F6526">
            <w:pPr>
              <w:spacing w:before="40" w:after="40"/>
              <w:rPr>
                <w:b/>
                <w:sz w:val="18"/>
                <w:szCs w:val="18"/>
              </w:rPr>
            </w:pPr>
          </w:p>
        </w:tc>
      </w:tr>
      <w:tr w:rsidR="008E5BF3" w:rsidRPr="00716CC2" w14:paraId="5226A437" w14:textId="77777777" w:rsidTr="007A7079">
        <w:trPr>
          <w:gridAfter w:val="2"/>
          <w:wAfter w:w="608" w:type="dxa"/>
        </w:trPr>
        <w:tc>
          <w:tcPr>
            <w:tcW w:w="14276" w:type="dxa"/>
            <w:gridSpan w:val="13"/>
            <w:shd w:val="clear" w:color="auto" w:fill="F2F2F2" w:themeFill="background1" w:themeFillShade="F2"/>
          </w:tcPr>
          <w:p w14:paraId="39DF9A13" w14:textId="77777777" w:rsidR="008E5BF3" w:rsidRPr="00716CC2" w:rsidRDefault="008E5BF3" w:rsidP="003F6526">
            <w:pPr>
              <w:spacing w:before="40" w:after="40"/>
              <w:rPr>
                <w:b/>
                <w:sz w:val="18"/>
                <w:szCs w:val="18"/>
              </w:rPr>
            </w:pPr>
            <w:r w:rsidRPr="00716CC2">
              <w:rPr>
                <w:b/>
                <w:sz w:val="18"/>
                <w:szCs w:val="18"/>
              </w:rPr>
              <w:t xml:space="preserve">Standard 3.4: </w:t>
            </w:r>
            <w:r w:rsidRPr="00716CC2">
              <w:rPr>
                <w:sz w:val="18"/>
                <w:szCs w:val="18"/>
              </w:rPr>
              <w:t>Education (HDS(IPC)S.2008:3.4): The organisation provides relevant education on infection control to all service providers, support staff, and consumers.</w:t>
            </w:r>
          </w:p>
        </w:tc>
      </w:tr>
      <w:tr w:rsidR="008E5BF3" w:rsidRPr="00716CC2" w14:paraId="26DEA79D" w14:textId="77777777" w:rsidTr="007A7079">
        <w:trPr>
          <w:gridAfter w:val="2"/>
          <w:wAfter w:w="608" w:type="dxa"/>
        </w:trPr>
        <w:tc>
          <w:tcPr>
            <w:tcW w:w="2855" w:type="dxa"/>
            <w:shd w:val="clear" w:color="auto" w:fill="FFFFFF" w:themeFill="background1"/>
          </w:tcPr>
          <w:p w14:paraId="2F76BF9A"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79A146D1"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3B26B1E4"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56835C4E"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08790C6F"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7ED8147C" w14:textId="77777777" w:rsidTr="007A7079">
        <w:trPr>
          <w:gridAfter w:val="2"/>
          <w:wAfter w:w="608" w:type="dxa"/>
        </w:trPr>
        <w:tc>
          <w:tcPr>
            <w:tcW w:w="2855" w:type="dxa"/>
            <w:shd w:val="clear" w:color="auto" w:fill="FFFFFF" w:themeFill="background1"/>
          </w:tcPr>
          <w:p w14:paraId="46D0E8BC" w14:textId="77777777" w:rsidR="008E5BF3" w:rsidRPr="00716CC2" w:rsidRDefault="008E5BF3" w:rsidP="008E5BF3">
            <w:pPr>
              <w:pStyle w:val="TableBullet"/>
              <w:rPr>
                <w:szCs w:val="18"/>
              </w:rPr>
            </w:pPr>
            <w:r w:rsidRPr="00716CC2">
              <w:rPr>
                <w:szCs w:val="18"/>
              </w:rPr>
              <w:t>Refer Std 3.1</w:t>
            </w:r>
          </w:p>
        </w:tc>
        <w:tc>
          <w:tcPr>
            <w:tcW w:w="2855" w:type="dxa"/>
            <w:gridSpan w:val="3"/>
            <w:shd w:val="clear" w:color="auto" w:fill="FFFFFF" w:themeFill="background1"/>
          </w:tcPr>
          <w:p w14:paraId="577D3EB3" w14:textId="77777777" w:rsidR="008E5BF3" w:rsidRPr="00716CC2" w:rsidRDefault="008E5BF3" w:rsidP="008E5BF3">
            <w:pPr>
              <w:pStyle w:val="TableBullet"/>
              <w:rPr>
                <w:szCs w:val="18"/>
              </w:rPr>
            </w:pPr>
            <w:r w:rsidRPr="00716CC2">
              <w:rPr>
                <w:szCs w:val="18"/>
              </w:rPr>
              <w:t>Refer comments 3.1</w:t>
            </w:r>
          </w:p>
        </w:tc>
        <w:tc>
          <w:tcPr>
            <w:tcW w:w="2855" w:type="dxa"/>
            <w:gridSpan w:val="3"/>
            <w:shd w:val="clear" w:color="auto" w:fill="FFFFFF" w:themeFill="background1"/>
          </w:tcPr>
          <w:p w14:paraId="7ADB4106" w14:textId="77777777" w:rsidR="008E5BF3" w:rsidRPr="00716CC2" w:rsidRDefault="008E5BF3" w:rsidP="008E5BF3">
            <w:pPr>
              <w:pStyle w:val="TableBullet"/>
              <w:rPr>
                <w:szCs w:val="18"/>
              </w:rPr>
            </w:pPr>
            <w:r w:rsidRPr="00716CC2">
              <w:rPr>
                <w:szCs w:val="18"/>
              </w:rPr>
              <w:t>add relevant and ongoing education from best practice guides to statement</w:t>
            </w:r>
          </w:p>
        </w:tc>
        <w:tc>
          <w:tcPr>
            <w:tcW w:w="2855" w:type="dxa"/>
            <w:gridSpan w:val="3"/>
            <w:shd w:val="clear" w:color="auto" w:fill="FFFFFF" w:themeFill="background1"/>
          </w:tcPr>
          <w:p w14:paraId="485A87E1" w14:textId="77777777" w:rsidR="008E5BF3" w:rsidRPr="00716CC2" w:rsidRDefault="008E5BF3" w:rsidP="008E5BF3">
            <w:pPr>
              <w:pStyle w:val="TableBullet"/>
              <w:rPr>
                <w:szCs w:val="18"/>
              </w:rPr>
            </w:pPr>
            <w:r w:rsidRPr="00716CC2">
              <w:rPr>
                <w:szCs w:val="18"/>
              </w:rPr>
              <w:t xml:space="preserve">Suggest consumer feedback on IPC information </w:t>
            </w:r>
          </w:p>
          <w:p w14:paraId="541B9096" w14:textId="77777777" w:rsidR="008E5BF3" w:rsidRPr="00716CC2" w:rsidRDefault="008E5BF3" w:rsidP="008E5BF3">
            <w:pPr>
              <w:pStyle w:val="TableBullet"/>
              <w:rPr>
                <w:szCs w:val="18"/>
              </w:rPr>
            </w:pPr>
            <w:r w:rsidRPr="00716CC2">
              <w:rPr>
                <w:szCs w:val="18"/>
              </w:rPr>
              <w:t xml:space="preserve">Consider annual competencies </w:t>
            </w:r>
          </w:p>
          <w:p w14:paraId="4086C021" w14:textId="77777777" w:rsidR="008E5BF3" w:rsidRPr="00716CC2" w:rsidRDefault="008E5BF3" w:rsidP="008E5BF3">
            <w:pPr>
              <w:pStyle w:val="TableBullet"/>
              <w:rPr>
                <w:szCs w:val="18"/>
              </w:rPr>
            </w:pPr>
            <w:r w:rsidRPr="00716CC2">
              <w:rPr>
                <w:szCs w:val="18"/>
              </w:rPr>
              <w:lastRenderedPageBreak/>
              <w:t>Education comes at a cost-who pays?</w:t>
            </w:r>
          </w:p>
        </w:tc>
        <w:tc>
          <w:tcPr>
            <w:tcW w:w="2856" w:type="dxa"/>
            <w:gridSpan w:val="3"/>
            <w:shd w:val="clear" w:color="auto" w:fill="FFFFFF" w:themeFill="background1"/>
          </w:tcPr>
          <w:p w14:paraId="0C859293" w14:textId="77777777" w:rsidR="008E5BF3" w:rsidRPr="00716CC2" w:rsidRDefault="008E5BF3" w:rsidP="008E5BF3">
            <w:pPr>
              <w:pStyle w:val="TableBullet"/>
              <w:rPr>
                <w:szCs w:val="18"/>
              </w:rPr>
            </w:pPr>
            <w:r w:rsidRPr="00716CC2">
              <w:rPr>
                <w:szCs w:val="18"/>
              </w:rPr>
              <w:lastRenderedPageBreak/>
              <w:t xml:space="preserve">Statement needs to reflect best practice and on-going practice </w:t>
            </w:r>
          </w:p>
          <w:p w14:paraId="7B54CA0B" w14:textId="77777777" w:rsidR="008E5BF3" w:rsidRPr="00716CC2" w:rsidRDefault="008E5BF3" w:rsidP="008E5BF3">
            <w:pPr>
              <w:pStyle w:val="TableBullet"/>
              <w:rPr>
                <w:szCs w:val="18"/>
              </w:rPr>
            </w:pPr>
            <w:r w:rsidRPr="00716CC2">
              <w:rPr>
                <w:szCs w:val="18"/>
              </w:rPr>
              <w:t>Needs to be relevant to ‘end-users’</w:t>
            </w:r>
          </w:p>
        </w:tc>
      </w:tr>
      <w:tr w:rsidR="008E5BF3" w:rsidRPr="00716CC2" w14:paraId="2DAC59EF" w14:textId="77777777" w:rsidTr="007A7079">
        <w:trPr>
          <w:gridAfter w:val="2"/>
          <w:wAfter w:w="608" w:type="dxa"/>
        </w:trPr>
        <w:tc>
          <w:tcPr>
            <w:tcW w:w="14276" w:type="dxa"/>
            <w:gridSpan w:val="13"/>
            <w:shd w:val="clear" w:color="auto" w:fill="FFFFFF" w:themeFill="background1"/>
          </w:tcPr>
          <w:p w14:paraId="4296C911" w14:textId="77777777" w:rsidR="008E5BF3" w:rsidRPr="00716CC2" w:rsidRDefault="008E5BF3" w:rsidP="003F6526">
            <w:pPr>
              <w:spacing w:before="40" w:after="40"/>
              <w:rPr>
                <w:b/>
                <w:sz w:val="18"/>
                <w:szCs w:val="18"/>
              </w:rPr>
            </w:pPr>
          </w:p>
        </w:tc>
      </w:tr>
      <w:tr w:rsidR="008E5BF3" w:rsidRPr="00716CC2" w14:paraId="327C37F2" w14:textId="77777777" w:rsidTr="007A7079">
        <w:trPr>
          <w:gridAfter w:val="2"/>
          <w:wAfter w:w="608" w:type="dxa"/>
        </w:trPr>
        <w:tc>
          <w:tcPr>
            <w:tcW w:w="14276" w:type="dxa"/>
            <w:gridSpan w:val="13"/>
            <w:shd w:val="clear" w:color="auto" w:fill="F2F2F2" w:themeFill="background1" w:themeFillShade="F2"/>
          </w:tcPr>
          <w:p w14:paraId="4802E79C" w14:textId="77777777" w:rsidR="008E5BF3" w:rsidRPr="00716CC2" w:rsidRDefault="008E5BF3" w:rsidP="003F6526">
            <w:pPr>
              <w:spacing w:before="40" w:after="40"/>
              <w:rPr>
                <w:b/>
                <w:sz w:val="18"/>
                <w:szCs w:val="18"/>
              </w:rPr>
            </w:pPr>
            <w:r w:rsidRPr="00716CC2">
              <w:rPr>
                <w:b/>
                <w:sz w:val="18"/>
                <w:szCs w:val="18"/>
              </w:rPr>
              <w:t xml:space="preserve">Standard 3.5: </w:t>
            </w:r>
            <w:r w:rsidRPr="00716CC2">
              <w:rPr>
                <w:sz w:val="18"/>
                <w:szCs w:val="18"/>
              </w:rPr>
              <w:t>Surveillance (HDS(IPC)S.2008:3.5): Surveillance for infection is carried out in accordance with agreed objectives, priorities, and methods that have been specified in the infection control programme.</w:t>
            </w:r>
          </w:p>
        </w:tc>
      </w:tr>
      <w:tr w:rsidR="008E5BF3" w:rsidRPr="00716CC2" w14:paraId="1F6CC80A" w14:textId="77777777" w:rsidTr="007A7079">
        <w:trPr>
          <w:gridAfter w:val="2"/>
          <w:wAfter w:w="608" w:type="dxa"/>
        </w:trPr>
        <w:tc>
          <w:tcPr>
            <w:tcW w:w="2855" w:type="dxa"/>
            <w:shd w:val="clear" w:color="auto" w:fill="FFFFFF" w:themeFill="background1"/>
          </w:tcPr>
          <w:p w14:paraId="627B0472"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246678D6"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0A36610B"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335986B"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1A252E45"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1A0EBB8F" w14:textId="77777777" w:rsidTr="007A7079">
        <w:trPr>
          <w:gridAfter w:val="2"/>
          <w:wAfter w:w="608" w:type="dxa"/>
        </w:trPr>
        <w:tc>
          <w:tcPr>
            <w:tcW w:w="2855" w:type="dxa"/>
            <w:shd w:val="clear" w:color="auto" w:fill="FFFFFF" w:themeFill="background1"/>
          </w:tcPr>
          <w:p w14:paraId="2B42D93D" w14:textId="77777777" w:rsidR="008E5BF3" w:rsidRPr="00716CC2" w:rsidRDefault="008E5BF3" w:rsidP="008E5BF3">
            <w:pPr>
              <w:pStyle w:val="TableBullet"/>
              <w:rPr>
                <w:b/>
                <w:szCs w:val="18"/>
                <w:lang w:eastAsia="en-NZ"/>
              </w:rPr>
            </w:pPr>
            <w:r w:rsidRPr="00716CC2">
              <w:rPr>
                <w:szCs w:val="18"/>
              </w:rPr>
              <w:t>Refer Std 3.1</w:t>
            </w:r>
          </w:p>
        </w:tc>
        <w:tc>
          <w:tcPr>
            <w:tcW w:w="2855" w:type="dxa"/>
            <w:gridSpan w:val="3"/>
            <w:shd w:val="clear" w:color="auto" w:fill="FFFFFF" w:themeFill="background1"/>
          </w:tcPr>
          <w:p w14:paraId="3E94B614" w14:textId="77777777" w:rsidR="008E5BF3" w:rsidRPr="00716CC2" w:rsidRDefault="008E5BF3" w:rsidP="008E5BF3">
            <w:pPr>
              <w:pStyle w:val="TableBullet"/>
              <w:rPr>
                <w:szCs w:val="18"/>
              </w:rPr>
            </w:pPr>
            <w:r w:rsidRPr="00716CC2">
              <w:rPr>
                <w:szCs w:val="18"/>
              </w:rPr>
              <w:t>Refer comments 3.1</w:t>
            </w:r>
          </w:p>
        </w:tc>
        <w:tc>
          <w:tcPr>
            <w:tcW w:w="2855" w:type="dxa"/>
            <w:gridSpan w:val="3"/>
            <w:shd w:val="clear" w:color="auto" w:fill="FFFFFF" w:themeFill="background1"/>
          </w:tcPr>
          <w:p w14:paraId="6A19EA97" w14:textId="77777777" w:rsidR="008E5BF3" w:rsidRPr="00716CC2" w:rsidRDefault="008E5BF3" w:rsidP="008E5BF3">
            <w:pPr>
              <w:pStyle w:val="TableBullet"/>
              <w:rPr>
                <w:szCs w:val="18"/>
              </w:rPr>
            </w:pPr>
            <w:r w:rsidRPr="00716CC2">
              <w:rPr>
                <w:szCs w:val="18"/>
              </w:rPr>
              <w:t>Addition of co-ordination with other providers e.g. GP</w:t>
            </w:r>
          </w:p>
          <w:p w14:paraId="7F498E13" w14:textId="77777777" w:rsidR="008E5BF3" w:rsidRPr="00716CC2" w:rsidRDefault="008E5BF3" w:rsidP="008E5BF3">
            <w:pPr>
              <w:pStyle w:val="TableBullet"/>
              <w:rPr>
                <w:szCs w:val="18"/>
              </w:rPr>
            </w:pPr>
            <w:r w:rsidRPr="00716CC2">
              <w:rPr>
                <w:szCs w:val="18"/>
              </w:rPr>
              <w:t xml:space="preserve">“Closing the quality loop” missing from standard, add need to take remedial action, evaluate etc. </w:t>
            </w:r>
          </w:p>
        </w:tc>
        <w:tc>
          <w:tcPr>
            <w:tcW w:w="2855" w:type="dxa"/>
            <w:gridSpan w:val="3"/>
            <w:shd w:val="clear" w:color="auto" w:fill="FFFFFF" w:themeFill="background1"/>
          </w:tcPr>
          <w:p w14:paraId="43DC6C55" w14:textId="77777777" w:rsidR="008E5BF3" w:rsidRPr="00716CC2" w:rsidRDefault="008E5BF3" w:rsidP="008E5BF3">
            <w:pPr>
              <w:pStyle w:val="TableBullet"/>
              <w:rPr>
                <w:szCs w:val="18"/>
                <w:lang w:eastAsia="en-NZ"/>
              </w:rPr>
            </w:pPr>
            <w:r w:rsidRPr="00716CC2">
              <w:rPr>
                <w:szCs w:val="18"/>
                <w:lang w:eastAsia="en-NZ"/>
              </w:rPr>
              <w:t>ARC requires different IPC surveillance programme, these need to be targeted, relevant and collecting and collating relevant data</w:t>
            </w:r>
          </w:p>
        </w:tc>
        <w:tc>
          <w:tcPr>
            <w:tcW w:w="2856" w:type="dxa"/>
            <w:gridSpan w:val="3"/>
            <w:shd w:val="clear" w:color="auto" w:fill="FFFFFF" w:themeFill="background1"/>
          </w:tcPr>
          <w:p w14:paraId="7A34D56A" w14:textId="77777777" w:rsidR="008E5BF3" w:rsidRPr="00716CC2" w:rsidRDefault="008E5BF3" w:rsidP="008E5BF3">
            <w:pPr>
              <w:pStyle w:val="TableBullet"/>
              <w:rPr>
                <w:szCs w:val="18"/>
              </w:rPr>
            </w:pPr>
            <w:r w:rsidRPr="00716CC2">
              <w:rPr>
                <w:szCs w:val="18"/>
              </w:rPr>
              <w:t>Statement needs to be inclusive of primary health providers</w:t>
            </w:r>
          </w:p>
          <w:p w14:paraId="57EC29DC" w14:textId="77777777" w:rsidR="008E5BF3" w:rsidRPr="00716CC2" w:rsidRDefault="008E5BF3" w:rsidP="008E5BF3">
            <w:pPr>
              <w:pStyle w:val="TableBullet"/>
              <w:rPr>
                <w:szCs w:val="18"/>
              </w:rPr>
            </w:pPr>
            <w:r w:rsidRPr="00716CC2">
              <w:rPr>
                <w:szCs w:val="18"/>
              </w:rPr>
              <w:t>Flexibility based on ‘type’ of service as different challenges / needs based</w:t>
            </w:r>
          </w:p>
        </w:tc>
      </w:tr>
      <w:tr w:rsidR="008E5BF3" w:rsidRPr="00716CC2" w14:paraId="64677BFB" w14:textId="77777777" w:rsidTr="007A7079">
        <w:trPr>
          <w:gridAfter w:val="2"/>
          <w:wAfter w:w="608" w:type="dxa"/>
        </w:trPr>
        <w:tc>
          <w:tcPr>
            <w:tcW w:w="14276" w:type="dxa"/>
            <w:gridSpan w:val="13"/>
            <w:shd w:val="clear" w:color="auto" w:fill="FFFFFF" w:themeFill="background1"/>
          </w:tcPr>
          <w:p w14:paraId="423E203C" w14:textId="77777777" w:rsidR="008E5BF3" w:rsidRPr="00716CC2" w:rsidRDefault="008E5BF3" w:rsidP="003F6526">
            <w:pPr>
              <w:spacing w:before="40" w:after="40"/>
              <w:rPr>
                <w:b/>
                <w:sz w:val="18"/>
                <w:szCs w:val="18"/>
              </w:rPr>
            </w:pPr>
          </w:p>
        </w:tc>
      </w:tr>
      <w:tr w:rsidR="008E5BF3" w:rsidRPr="00716CC2" w14:paraId="7BF5D082" w14:textId="77777777" w:rsidTr="007A7079">
        <w:trPr>
          <w:gridAfter w:val="2"/>
          <w:wAfter w:w="608" w:type="dxa"/>
        </w:trPr>
        <w:tc>
          <w:tcPr>
            <w:tcW w:w="14276" w:type="dxa"/>
            <w:gridSpan w:val="13"/>
            <w:shd w:val="clear" w:color="auto" w:fill="F2F2F2" w:themeFill="background1" w:themeFillShade="F2"/>
          </w:tcPr>
          <w:p w14:paraId="710C3262" w14:textId="77777777" w:rsidR="008E5BF3" w:rsidRPr="00716CC2" w:rsidRDefault="008E5BF3" w:rsidP="003F6526">
            <w:pPr>
              <w:spacing w:before="40" w:after="40"/>
              <w:rPr>
                <w:b/>
                <w:sz w:val="18"/>
                <w:szCs w:val="18"/>
              </w:rPr>
            </w:pPr>
            <w:r w:rsidRPr="00716CC2">
              <w:rPr>
                <w:b/>
                <w:sz w:val="18"/>
                <w:szCs w:val="18"/>
              </w:rPr>
              <w:t xml:space="preserve">Standard 3.6: </w:t>
            </w:r>
            <w:r w:rsidRPr="00716CC2">
              <w:rPr>
                <w:sz w:val="18"/>
                <w:szCs w:val="18"/>
              </w:rPr>
              <w:t>Antimicrobial usage (HDS(IPC)S.2008:3.6): Acute care and surgical hospitals will have established and implemented policies and procedures for the use of antibiotics to promote the appropriate prudent prescribing in line with accepted guidelines. The service can seek guidance from clinical microbiologists or infectious disease physicians.</w:t>
            </w:r>
          </w:p>
        </w:tc>
      </w:tr>
      <w:tr w:rsidR="008E5BF3" w:rsidRPr="00716CC2" w14:paraId="08CCB47D" w14:textId="77777777" w:rsidTr="007A7079">
        <w:trPr>
          <w:gridAfter w:val="2"/>
          <w:wAfter w:w="608" w:type="dxa"/>
        </w:trPr>
        <w:tc>
          <w:tcPr>
            <w:tcW w:w="2855" w:type="dxa"/>
            <w:shd w:val="clear" w:color="auto" w:fill="FFFFFF" w:themeFill="background1"/>
          </w:tcPr>
          <w:p w14:paraId="204D159F" w14:textId="77777777" w:rsidR="008E5BF3" w:rsidRPr="00716CC2" w:rsidRDefault="008E5BF3" w:rsidP="003F6526">
            <w:pPr>
              <w:pStyle w:val="TableText"/>
              <w:spacing w:before="40" w:after="40"/>
              <w:rPr>
                <w:b/>
                <w:szCs w:val="18"/>
                <w:lang w:eastAsia="en-NZ"/>
              </w:rPr>
            </w:pPr>
            <w:r w:rsidRPr="00716CC2">
              <w:rPr>
                <w:b/>
                <w:szCs w:val="18"/>
                <w:lang w:eastAsia="en-NZ"/>
              </w:rPr>
              <w:t>DHB/PH/Hosp/BU</w:t>
            </w:r>
          </w:p>
        </w:tc>
        <w:tc>
          <w:tcPr>
            <w:tcW w:w="2855" w:type="dxa"/>
            <w:gridSpan w:val="3"/>
            <w:shd w:val="clear" w:color="auto" w:fill="FFFFFF" w:themeFill="background1"/>
          </w:tcPr>
          <w:p w14:paraId="48433B1F" w14:textId="77777777" w:rsidR="008E5BF3" w:rsidRPr="00716CC2" w:rsidRDefault="008E5BF3" w:rsidP="003F6526">
            <w:pPr>
              <w:pStyle w:val="TableText"/>
              <w:spacing w:before="40" w:after="40"/>
              <w:rPr>
                <w:b/>
                <w:szCs w:val="18"/>
                <w:lang w:eastAsia="en-NZ"/>
              </w:rPr>
            </w:pPr>
            <w:r w:rsidRPr="00716CC2">
              <w:rPr>
                <w:b/>
                <w:szCs w:val="18"/>
                <w:lang w:eastAsia="en-NZ"/>
              </w:rPr>
              <w:t>Residential MH/AoD</w:t>
            </w:r>
          </w:p>
        </w:tc>
        <w:tc>
          <w:tcPr>
            <w:tcW w:w="2855" w:type="dxa"/>
            <w:gridSpan w:val="3"/>
            <w:shd w:val="clear" w:color="auto" w:fill="FFFFFF" w:themeFill="background1"/>
          </w:tcPr>
          <w:p w14:paraId="563FDD3E" w14:textId="77777777" w:rsidR="008E5BF3" w:rsidRPr="00716CC2" w:rsidRDefault="008E5BF3" w:rsidP="003F6526">
            <w:pPr>
              <w:pStyle w:val="TableText"/>
              <w:spacing w:before="40" w:after="40"/>
              <w:rPr>
                <w:b/>
                <w:szCs w:val="18"/>
                <w:lang w:eastAsia="en-NZ"/>
              </w:rPr>
            </w:pPr>
            <w:r w:rsidRPr="00716CC2">
              <w:rPr>
                <w:b/>
                <w:szCs w:val="18"/>
                <w:lang w:eastAsia="en-NZ"/>
              </w:rPr>
              <w:t>ARC (31 July)</w:t>
            </w:r>
          </w:p>
        </w:tc>
        <w:tc>
          <w:tcPr>
            <w:tcW w:w="2855" w:type="dxa"/>
            <w:gridSpan w:val="3"/>
            <w:shd w:val="clear" w:color="auto" w:fill="FFFFFF" w:themeFill="background1"/>
          </w:tcPr>
          <w:p w14:paraId="6B176A37" w14:textId="77777777" w:rsidR="008E5BF3" w:rsidRPr="00716CC2" w:rsidRDefault="008E5BF3" w:rsidP="003F6526">
            <w:pPr>
              <w:pStyle w:val="TableText"/>
              <w:spacing w:before="40" w:after="40"/>
              <w:rPr>
                <w:b/>
                <w:szCs w:val="18"/>
                <w:lang w:eastAsia="en-NZ"/>
              </w:rPr>
            </w:pPr>
            <w:r w:rsidRPr="00716CC2">
              <w:rPr>
                <w:b/>
                <w:szCs w:val="18"/>
                <w:lang w:eastAsia="en-NZ"/>
              </w:rPr>
              <w:t xml:space="preserve">ARC (9 Aug) </w:t>
            </w:r>
          </w:p>
        </w:tc>
        <w:tc>
          <w:tcPr>
            <w:tcW w:w="2856" w:type="dxa"/>
            <w:gridSpan w:val="3"/>
            <w:shd w:val="clear" w:color="auto" w:fill="FFFFFF" w:themeFill="background1"/>
          </w:tcPr>
          <w:p w14:paraId="7C529FE3" w14:textId="77777777" w:rsidR="008E5BF3" w:rsidRPr="00716CC2" w:rsidRDefault="008E5BF3" w:rsidP="003F6526">
            <w:pPr>
              <w:pStyle w:val="TableText"/>
              <w:spacing w:before="40" w:after="40"/>
              <w:rPr>
                <w:b/>
                <w:szCs w:val="18"/>
                <w:lang w:eastAsia="en-NZ"/>
              </w:rPr>
            </w:pPr>
            <w:r w:rsidRPr="00716CC2">
              <w:rPr>
                <w:b/>
                <w:szCs w:val="18"/>
                <w:lang w:eastAsia="en-NZ"/>
              </w:rPr>
              <w:t>Res Dis (6 Aug)</w:t>
            </w:r>
          </w:p>
        </w:tc>
      </w:tr>
      <w:tr w:rsidR="008E5BF3" w:rsidRPr="00716CC2" w14:paraId="104AEBE8" w14:textId="77777777" w:rsidTr="007A7079">
        <w:trPr>
          <w:gridAfter w:val="2"/>
          <w:wAfter w:w="608" w:type="dxa"/>
        </w:trPr>
        <w:tc>
          <w:tcPr>
            <w:tcW w:w="2855" w:type="dxa"/>
            <w:shd w:val="clear" w:color="auto" w:fill="FFFFFF" w:themeFill="background1"/>
          </w:tcPr>
          <w:p w14:paraId="3034DDFA" w14:textId="77777777" w:rsidR="008E5BF3" w:rsidRPr="00716CC2" w:rsidRDefault="008E5BF3" w:rsidP="008E5BF3">
            <w:pPr>
              <w:pStyle w:val="TableBullet"/>
              <w:rPr>
                <w:szCs w:val="18"/>
              </w:rPr>
            </w:pPr>
            <w:r w:rsidRPr="00716CC2">
              <w:rPr>
                <w:szCs w:val="18"/>
              </w:rPr>
              <w:t>Refer Std 3.1</w:t>
            </w:r>
          </w:p>
        </w:tc>
        <w:tc>
          <w:tcPr>
            <w:tcW w:w="2855" w:type="dxa"/>
            <w:gridSpan w:val="3"/>
            <w:shd w:val="clear" w:color="auto" w:fill="FFFFFF" w:themeFill="background1"/>
          </w:tcPr>
          <w:p w14:paraId="77348CFE" w14:textId="77777777" w:rsidR="008E5BF3" w:rsidRPr="00716CC2" w:rsidRDefault="008E5BF3" w:rsidP="008E5BF3">
            <w:pPr>
              <w:pStyle w:val="TableBullet"/>
              <w:rPr>
                <w:szCs w:val="18"/>
              </w:rPr>
            </w:pPr>
            <w:r w:rsidRPr="00716CC2">
              <w:rPr>
                <w:szCs w:val="18"/>
              </w:rPr>
              <w:t>NA</w:t>
            </w:r>
          </w:p>
        </w:tc>
        <w:tc>
          <w:tcPr>
            <w:tcW w:w="2855" w:type="dxa"/>
            <w:gridSpan w:val="3"/>
            <w:shd w:val="clear" w:color="auto" w:fill="FFFFFF" w:themeFill="background1"/>
          </w:tcPr>
          <w:p w14:paraId="3611EFEC" w14:textId="77777777" w:rsidR="008E5BF3" w:rsidRPr="00716CC2" w:rsidRDefault="008E5BF3" w:rsidP="008E5BF3">
            <w:pPr>
              <w:pStyle w:val="TableBullet"/>
              <w:rPr>
                <w:szCs w:val="18"/>
              </w:rPr>
            </w:pPr>
            <w:r w:rsidRPr="00716CC2">
              <w:rPr>
                <w:szCs w:val="18"/>
              </w:rPr>
              <w:t>No change except the inclusion of all prescribers</w:t>
            </w:r>
          </w:p>
        </w:tc>
        <w:tc>
          <w:tcPr>
            <w:tcW w:w="2855" w:type="dxa"/>
            <w:gridSpan w:val="3"/>
            <w:shd w:val="clear" w:color="auto" w:fill="FFFFFF" w:themeFill="background1"/>
          </w:tcPr>
          <w:p w14:paraId="692E101E" w14:textId="77777777" w:rsidR="008E5BF3" w:rsidRPr="00716CC2" w:rsidRDefault="008E5BF3" w:rsidP="008E5BF3">
            <w:pPr>
              <w:pStyle w:val="TableBullet"/>
              <w:rPr>
                <w:szCs w:val="18"/>
              </w:rPr>
            </w:pPr>
            <w:r w:rsidRPr="00716CC2">
              <w:rPr>
                <w:szCs w:val="18"/>
              </w:rPr>
              <w:t>Not appropriate (as it stands) for ARC</w:t>
            </w:r>
          </w:p>
          <w:p w14:paraId="272D3182" w14:textId="77777777" w:rsidR="008E5BF3" w:rsidRPr="00716CC2" w:rsidRDefault="008E5BF3" w:rsidP="008E5BF3">
            <w:pPr>
              <w:pStyle w:val="TableBullet"/>
              <w:rPr>
                <w:szCs w:val="18"/>
              </w:rPr>
            </w:pPr>
            <w:r w:rsidRPr="00716CC2">
              <w:rPr>
                <w:szCs w:val="18"/>
              </w:rPr>
              <w:t>ARC require an awareness but this should not be a requirement</w:t>
            </w:r>
          </w:p>
          <w:p w14:paraId="0BD0FD34" w14:textId="77777777" w:rsidR="008E5BF3" w:rsidRPr="00716CC2" w:rsidRDefault="008E5BF3" w:rsidP="008E5BF3">
            <w:pPr>
              <w:pStyle w:val="TableBullet"/>
              <w:rPr>
                <w:szCs w:val="18"/>
              </w:rPr>
            </w:pPr>
            <w:r w:rsidRPr="00716CC2">
              <w:rPr>
                <w:szCs w:val="18"/>
              </w:rPr>
              <w:t xml:space="preserve">Change the title to Antimicrobial Stewardship-teaching nurses to question prescribing habits </w:t>
            </w:r>
          </w:p>
          <w:p w14:paraId="6B8E7779" w14:textId="77777777" w:rsidR="008E5BF3" w:rsidRPr="00716CC2" w:rsidRDefault="008E5BF3" w:rsidP="008E5BF3">
            <w:pPr>
              <w:pStyle w:val="TableBullet"/>
              <w:rPr>
                <w:szCs w:val="18"/>
              </w:rPr>
            </w:pPr>
            <w:r w:rsidRPr="00716CC2">
              <w:rPr>
                <w:szCs w:val="18"/>
              </w:rPr>
              <w:t>Include a policy requirement so that ARC nurses ask the questions about the use of antibiotic</w:t>
            </w:r>
          </w:p>
        </w:tc>
        <w:tc>
          <w:tcPr>
            <w:tcW w:w="2856" w:type="dxa"/>
            <w:gridSpan w:val="3"/>
            <w:shd w:val="clear" w:color="auto" w:fill="FFFFFF" w:themeFill="background1"/>
          </w:tcPr>
          <w:p w14:paraId="538A5704" w14:textId="77777777" w:rsidR="008E5BF3" w:rsidRPr="00716CC2" w:rsidRDefault="008E5BF3" w:rsidP="008E5BF3">
            <w:pPr>
              <w:pStyle w:val="TableBullet"/>
              <w:rPr>
                <w:szCs w:val="18"/>
              </w:rPr>
            </w:pPr>
            <w:r w:rsidRPr="00716CC2">
              <w:rPr>
                <w:szCs w:val="18"/>
              </w:rPr>
              <w:t>Inclusion of primary /all prescribers needs to be included</w:t>
            </w:r>
          </w:p>
          <w:p w14:paraId="7D390A3E" w14:textId="77777777" w:rsidR="008E5BF3" w:rsidRPr="00716CC2" w:rsidRDefault="008E5BF3" w:rsidP="008E5BF3">
            <w:pPr>
              <w:pStyle w:val="TableBullet"/>
              <w:rPr>
                <w:szCs w:val="18"/>
              </w:rPr>
            </w:pPr>
            <w:r w:rsidRPr="00716CC2">
              <w:rPr>
                <w:szCs w:val="18"/>
              </w:rPr>
              <w:t>NB: General comment from IPC representative that the IPC standard needs to be reviewed separately with relevant professional bodies and consumers.</w:t>
            </w:r>
          </w:p>
        </w:tc>
      </w:tr>
    </w:tbl>
    <w:p w14:paraId="2548CEAB" w14:textId="77777777" w:rsidR="008E5BF3" w:rsidRPr="0079616F" w:rsidRDefault="008E5BF3" w:rsidP="0079616F">
      <w:pPr>
        <w:sectPr w:rsidR="008E5BF3" w:rsidRPr="0079616F" w:rsidSect="00913CCD">
          <w:pgSz w:w="16838" w:h="11906" w:orient="landscape" w:code="9"/>
          <w:pgMar w:top="1523" w:right="1418" w:bottom="1134" w:left="1134" w:header="709" w:footer="709" w:gutter="0"/>
          <w:cols w:space="708"/>
          <w:docGrid w:linePitch="360"/>
        </w:sectPr>
      </w:pPr>
    </w:p>
    <w:p w14:paraId="752D301D" w14:textId="77777777" w:rsidR="00FA00FF" w:rsidRDefault="00FA00FF" w:rsidP="00EF435A"/>
    <w:p w14:paraId="619BB900" w14:textId="77777777" w:rsidR="007A7079" w:rsidRDefault="007A7079" w:rsidP="007A7079"/>
    <w:p w14:paraId="2E152791" w14:textId="77777777" w:rsidR="007A7079" w:rsidRDefault="007A7079" w:rsidP="007A7079"/>
    <w:p w14:paraId="7C9BB519" w14:textId="77777777" w:rsidR="007A7079" w:rsidRDefault="007A7079" w:rsidP="007A7079"/>
    <w:p w14:paraId="7C7F6E99" w14:textId="77777777" w:rsidR="007A7079" w:rsidRDefault="007A7079" w:rsidP="007A7079"/>
    <w:p w14:paraId="3FC2E0CA" w14:textId="77777777" w:rsidR="007A7079" w:rsidRDefault="007A7079" w:rsidP="007A7079"/>
    <w:p w14:paraId="32366CF1" w14:textId="77777777" w:rsidR="007A7079" w:rsidRDefault="007A7079" w:rsidP="007A7079">
      <w:pPr>
        <w:pStyle w:val="Heading2"/>
      </w:pPr>
      <w:bookmarkStart w:id="21" w:name="_Toc19179380"/>
      <w:r w:rsidRPr="00BF2491">
        <w:t xml:space="preserve">Appendix </w:t>
      </w:r>
      <w:r>
        <w:t>B</w:t>
      </w:r>
      <w:r w:rsidRPr="00BF2491">
        <w:t xml:space="preserve">: </w:t>
      </w:r>
      <w:r w:rsidRPr="007A7079">
        <w:t>Draft Workshop Discussion Document (HCSS)</w:t>
      </w:r>
      <w:bookmarkEnd w:id="21"/>
    </w:p>
    <w:p w14:paraId="6CFE1EEF" w14:textId="77777777" w:rsidR="007A7079" w:rsidRDefault="007A7079" w:rsidP="007A7079"/>
    <w:p w14:paraId="6BF5984E" w14:textId="77777777" w:rsidR="007A7079" w:rsidRDefault="007A7079" w:rsidP="007A7079"/>
    <w:p w14:paraId="47E0CE50" w14:textId="77777777" w:rsidR="007A7079" w:rsidRDefault="007A7079" w:rsidP="007A7079"/>
    <w:p w14:paraId="1657B526" w14:textId="77777777" w:rsidR="007A7079" w:rsidRDefault="007A7079" w:rsidP="007A7079">
      <w:pPr>
        <w:pStyle w:val="Subtitle"/>
      </w:pPr>
      <w:r w:rsidRPr="001346E7">
        <w:t xml:space="preserve">Scoping </w:t>
      </w:r>
      <w:r>
        <w:t>Workshop:</w:t>
      </w:r>
    </w:p>
    <w:p w14:paraId="3DCD1D5D" w14:textId="77777777" w:rsidR="007A7079" w:rsidRDefault="007A7079" w:rsidP="007A7079">
      <w:pPr>
        <w:pStyle w:val="Subtitle"/>
      </w:pPr>
      <w:r w:rsidRPr="001132F5">
        <w:t>Home and Community Support Services</w:t>
      </w:r>
    </w:p>
    <w:p w14:paraId="00EC5939" w14:textId="77777777" w:rsidR="007A7079" w:rsidRPr="001536CF" w:rsidRDefault="007A7079" w:rsidP="007A7079">
      <w:pPr>
        <w:pStyle w:val="Subtitle"/>
        <w:rPr>
          <w:b w:val="0"/>
          <w:sz w:val="20"/>
        </w:rPr>
      </w:pPr>
      <w:r w:rsidRPr="007A7079">
        <w:rPr>
          <w:b w:val="0"/>
          <w:sz w:val="20"/>
        </w:rPr>
        <w:t>12 August 2019 (9am – 1.30pm)</w:t>
      </w:r>
    </w:p>
    <w:p w14:paraId="06278A6C" w14:textId="77777777" w:rsidR="00655259" w:rsidRDefault="00655259" w:rsidP="00EF435A">
      <w:pPr>
        <w:sectPr w:rsidR="00655259" w:rsidSect="00EF435A">
          <w:pgSz w:w="11906" w:h="16838" w:code="9"/>
          <w:pgMar w:top="1418" w:right="1418" w:bottom="1134" w:left="1418" w:header="709" w:footer="709" w:gutter="0"/>
          <w:cols w:space="708"/>
          <w:docGrid w:linePitch="360"/>
        </w:sectPr>
      </w:pPr>
    </w:p>
    <w:p w14:paraId="35F5F2E1" w14:textId="77777777" w:rsidR="00655259" w:rsidRDefault="00655259" w:rsidP="007A7079">
      <w:pPr>
        <w:pStyle w:val="Heading3"/>
      </w:pPr>
      <w:bookmarkStart w:id="22" w:name="_Toc19179381"/>
      <w:r>
        <w:lastRenderedPageBreak/>
        <w:t>General Comments</w:t>
      </w:r>
      <w:bookmarkEnd w:id="22"/>
    </w:p>
    <w:p w14:paraId="37737611" w14:textId="77777777" w:rsidR="001F0302" w:rsidRDefault="001F0302" w:rsidP="007A7079">
      <w:pPr>
        <w:pStyle w:val="Bullet"/>
      </w:pPr>
      <w:r>
        <w:t>Individualised funding (IF) – when does a support worker under an IF model become a provider and therefore required to meet the standard. What is the interface with employment ‘platforms’</w:t>
      </w:r>
      <w:r w:rsidR="007A7079">
        <w:t>.</w:t>
      </w:r>
    </w:p>
    <w:p w14:paraId="638539F9" w14:textId="77777777" w:rsidR="001F0302" w:rsidRDefault="001F0302" w:rsidP="007A7079">
      <w:pPr>
        <w:pStyle w:val="Bullet"/>
      </w:pPr>
      <w:r>
        <w:rPr>
          <w:lang w:eastAsia="en-NZ"/>
        </w:rPr>
        <w:t>Modular and outcome focused standards are supported in principle – noting clear guidance required</w:t>
      </w:r>
      <w:r w:rsidR="007A7079">
        <w:rPr>
          <w:lang w:eastAsia="en-NZ"/>
        </w:rPr>
        <w:t>.</w:t>
      </w:r>
    </w:p>
    <w:p w14:paraId="090DF075" w14:textId="77777777" w:rsidR="001F0302" w:rsidRDefault="001F0302" w:rsidP="007A7079">
      <w:pPr>
        <w:pStyle w:val="Bullet"/>
      </w:pPr>
      <w:r>
        <w:t>Codesign concept supported in development of standards</w:t>
      </w:r>
      <w:r w:rsidR="007A7079">
        <w:t>.</w:t>
      </w:r>
    </w:p>
    <w:p w14:paraId="76CE7AAA" w14:textId="77777777" w:rsidR="001F0302" w:rsidRDefault="001F0302" w:rsidP="007A7079">
      <w:pPr>
        <w:pStyle w:val="Bullet"/>
      </w:pPr>
      <w:r>
        <w:t>Interested in the standard being a ‘living document’ – discussed how this could be managed, group consider stewardship of the [Home &amp; Community Support Sector standard] would be retained by the Ministry of Health</w:t>
      </w:r>
      <w:r w:rsidR="007A7079">
        <w:t>.</w:t>
      </w:r>
    </w:p>
    <w:p w14:paraId="6A44B481" w14:textId="77777777" w:rsidR="001F0302" w:rsidRDefault="001F0302" w:rsidP="007A7079">
      <w:pPr>
        <w:pStyle w:val="Bullet"/>
      </w:pPr>
      <w:r>
        <w:t>Consumer participation clearly seen a governance, care and employment levels</w:t>
      </w:r>
      <w:r w:rsidR="007A7079">
        <w:t>.</w:t>
      </w:r>
      <w:r>
        <w:t xml:space="preserve"> </w:t>
      </w:r>
    </w:p>
    <w:p w14:paraId="68CDB6AA" w14:textId="77777777" w:rsidR="001F0302" w:rsidRDefault="001F0302" w:rsidP="007A7079">
      <w:pPr>
        <w:pStyle w:val="Bullet"/>
      </w:pPr>
      <w:r>
        <w:t>Complaint and adverse event include resolution processes</w:t>
      </w:r>
      <w:r w:rsidR="007A7079">
        <w:t>.</w:t>
      </w:r>
      <w:r>
        <w:t xml:space="preserve"> </w:t>
      </w:r>
    </w:p>
    <w:p w14:paraId="36E596FD" w14:textId="77777777" w:rsidR="001F0302" w:rsidRPr="007A7079" w:rsidRDefault="001F0302" w:rsidP="007A7079">
      <w:pPr>
        <w:pStyle w:val="2ndBullet"/>
      </w:pPr>
      <w:r w:rsidRPr="007A7079">
        <w:t>In the discussion in our group communication was a significant factor in adverse event and complaint resolution (L.Russell, Alzheimers NZ)</w:t>
      </w:r>
      <w:r w:rsidR="007A7079">
        <w:t>.</w:t>
      </w:r>
    </w:p>
    <w:p w14:paraId="20DE2BB9" w14:textId="77777777" w:rsidR="001F0302" w:rsidRDefault="001F0302" w:rsidP="007A7079">
      <w:pPr>
        <w:pStyle w:val="Bullet"/>
      </w:pPr>
      <w:r>
        <w:t>Management of client information – mix of paper and electronic forms – clarity and guidance to include aspects of non-identifiable, privacy, security and where appropriate share that information</w:t>
      </w:r>
      <w:r w:rsidR="007A7079">
        <w:t>.</w:t>
      </w:r>
    </w:p>
    <w:p w14:paraId="06401A73" w14:textId="77777777" w:rsidR="001F0302" w:rsidRPr="00C35338" w:rsidRDefault="001F0302" w:rsidP="007A7079">
      <w:pPr>
        <w:pStyle w:val="2ndBullet"/>
      </w:pPr>
      <w:r w:rsidRPr="00C35338">
        <w:t>And the issues around client accessibility (to anything about them) when electronic</w:t>
      </w:r>
      <w:r>
        <w:t xml:space="preserve"> (L.Russell, Alzheimers NZ)</w:t>
      </w:r>
      <w:r w:rsidR="007A7079">
        <w:t>.</w:t>
      </w:r>
    </w:p>
    <w:p w14:paraId="644350C4" w14:textId="77777777" w:rsidR="001F0302" w:rsidRDefault="001F0302" w:rsidP="007A7079">
      <w:pPr>
        <w:pStyle w:val="Bullet"/>
      </w:pPr>
      <w:r>
        <w:t>Whanau care givers transition to employees</w:t>
      </w:r>
      <w:r w:rsidR="007A7079">
        <w:t>.</w:t>
      </w:r>
    </w:p>
    <w:p w14:paraId="057E68BE" w14:textId="77777777" w:rsidR="001F0302" w:rsidRDefault="001F0302" w:rsidP="007A7079">
      <w:pPr>
        <w:pStyle w:val="Bullet"/>
      </w:pPr>
      <w:r>
        <w:t>Health and safety aspects at governance, care settings, client and staff – good links between each</w:t>
      </w:r>
      <w:r w:rsidR="007A7079">
        <w:t>.</w:t>
      </w:r>
    </w:p>
    <w:p w14:paraId="5D84E5F6" w14:textId="77777777" w:rsidR="001F0302" w:rsidRDefault="001F0302" w:rsidP="007A7079">
      <w:pPr>
        <w:pStyle w:val="Bullet"/>
      </w:pPr>
      <w:r>
        <w:t>Guidance for STDs is clear</w:t>
      </w:r>
      <w:r w:rsidR="007A7079">
        <w:t>.</w:t>
      </w:r>
    </w:p>
    <w:p w14:paraId="4E76FD43" w14:textId="77777777" w:rsidR="001F0302" w:rsidRDefault="001F0302" w:rsidP="007A7079">
      <w:pPr>
        <w:pStyle w:val="Bullet"/>
      </w:pPr>
      <w:r>
        <w:t>Service provider term is confusing</w:t>
      </w:r>
      <w:r w:rsidR="007A7079">
        <w:t>.</w:t>
      </w:r>
    </w:p>
    <w:p w14:paraId="45DEC696" w14:textId="77777777" w:rsidR="001F0302" w:rsidRDefault="001F0302" w:rsidP="007A7079">
      <w:pPr>
        <w:pStyle w:val="Bullet"/>
      </w:pPr>
      <w:r>
        <w:t>Agreement that most of the STDs are fit for purpose</w:t>
      </w:r>
      <w:r w:rsidR="007A7079">
        <w:t>:</w:t>
      </w:r>
    </w:p>
    <w:p w14:paraId="0E753AC4" w14:textId="77777777" w:rsidR="001F0302" w:rsidRDefault="001F0302" w:rsidP="007A7079">
      <w:pPr>
        <w:pStyle w:val="2ndBullet"/>
      </w:pPr>
      <w:r w:rsidRPr="00A72697">
        <w:t>I wouldn't say that our group agreed that most of the standards are fit for purpose. There were a number of standards where significant change was recommended</w:t>
      </w:r>
      <w:r>
        <w:t xml:space="preserve"> (B.Haines, DPA)</w:t>
      </w:r>
      <w:r w:rsidR="007A7079">
        <w:t>.</w:t>
      </w:r>
      <w:r w:rsidRPr="00A72697">
        <w:t xml:space="preserve"> </w:t>
      </w:r>
    </w:p>
    <w:p w14:paraId="425C359D" w14:textId="77777777" w:rsidR="00655259" w:rsidRPr="00DD0BD7" w:rsidRDefault="001F0302" w:rsidP="007A7079">
      <w:pPr>
        <w:pStyle w:val="Bullet"/>
        <w:rPr>
          <w:sz w:val="22"/>
          <w:szCs w:val="22"/>
        </w:rPr>
      </w:pPr>
      <w:r w:rsidRPr="00064E60">
        <w:t xml:space="preserve">I still have a concern about what is considered adequate/appropriate training for all staff involved with care and support for people with dementia and cognitive impairment. Our experience is that there is insufficient understanding of the issues associated with dementia across staff in day programmes, staff visiting homes, residential facilities and even in hospitals. These relate to communication, advice, support and generally being around people with dementia. Also missing is a requirement to consider appropriate referrals to other support services, knowledge of what other support services exist in the community, and the need for collaborative support approaches. Not sure where these are best added. </w:t>
      </w:r>
      <w:r>
        <w:t>(F.Blyth, Dementia NZ</w:t>
      </w:r>
      <w:r w:rsidR="00910889">
        <w:t>)</w:t>
      </w:r>
      <w:r w:rsidR="007A7079">
        <w:t>.</w:t>
      </w:r>
    </w:p>
    <w:p w14:paraId="66819BA7" w14:textId="77777777" w:rsidR="00655259" w:rsidRDefault="00655259" w:rsidP="00EF435A"/>
    <w:p w14:paraId="153D4AC9" w14:textId="77777777" w:rsidR="00655259" w:rsidRDefault="00655259" w:rsidP="00EF435A">
      <w:pPr>
        <w:sectPr w:rsidR="00655259" w:rsidSect="00EF435A">
          <w:pgSz w:w="11906" w:h="16838" w:code="9"/>
          <w:pgMar w:top="1418" w:right="1418" w:bottom="1134" w:left="1418" w:header="709" w:footer="709" w:gutter="0"/>
          <w:cols w:space="708"/>
          <w:docGrid w:linePitch="360"/>
        </w:sectPr>
      </w:pPr>
    </w:p>
    <w:p w14:paraId="6B6AB0D2" w14:textId="77777777" w:rsidR="00655259" w:rsidRPr="00FA00FF" w:rsidRDefault="00954036" w:rsidP="007B2876">
      <w:pPr>
        <w:pStyle w:val="Heading3"/>
      </w:pPr>
      <w:bookmarkStart w:id="23" w:name="_Toc19179382"/>
      <w:r>
        <w:lastRenderedPageBreak/>
        <w:t>Part 1</w:t>
      </w:r>
      <w:bookmarkEnd w:id="23"/>
    </w:p>
    <w:tbl>
      <w:tblPr>
        <w:tblStyle w:val="TableGrid"/>
        <w:tblW w:w="14459"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0"/>
        <w:gridCol w:w="1139"/>
        <w:gridCol w:w="993"/>
        <w:gridCol w:w="987"/>
      </w:tblGrid>
      <w:tr w:rsidR="007B2876" w:rsidRPr="007B2876" w14:paraId="2F071E21" w14:textId="77777777" w:rsidTr="00954036">
        <w:trPr>
          <w:tblHeader/>
        </w:trPr>
        <w:tc>
          <w:tcPr>
            <w:tcW w:w="11340" w:type="dxa"/>
            <w:shd w:val="clear" w:color="auto" w:fill="F2F2F2" w:themeFill="background1" w:themeFillShade="F2"/>
          </w:tcPr>
          <w:p w14:paraId="770E6424" w14:textId="77777777" w:rsidR="007A7079" w:rsidRPr="007B2876" w:rsidRDefault="007A7079" w:rsidP="007B2876">
            <w:pPr>
              <w:spacing w:before="60" w:after="60"/>
              <w:rPr>
                <w:b/>
                <w:sz w:val="18"/>
              </w:rPr>
            </w:pPr>
          </w:p>
        </w:tc>
        <w:tc>
          <w:tcPr>
            <w:tcW w:w="1139" w:type="dxa"/>
            <w:shd w:val="clear" w:color="auto" w:fill="F2F2F2" w:themeFill="background1" w:themeFillShade="F2"/>
          </w:tcPr>
          <w:p w14:paraId="7E24C305" w14:textId="77777777" w:rsidR="007A7079" w:rsidRPr="007B2876" w:rsidRDefault="007A7079" w:rsidP="00954036">
            <w:pPr>
              <w:spacing w:before="60" w:after="60"/>
              <w:jc w:val="center"/>
              <w:rPr>
                <w:b/>
                <w:sz w:val="18"/>
              </w:rPr>
            </w:pPr>
            <w:r w:rsidRPr="007B2876">
              <w:rPr>
                <w:b/>
                <w:sz w:val="18"/>
              </w:rPr>
              <w:t>Relevant</w:t>
            </w:r>
          </w:p>
        </w:tc>
        <w:tc>
          <w:tcPr>
            <w:tcW w:w="993" w:type="dxa"/>
            <w:shd w:val="clear" w:color="auto" w:fill="F2F2F2" w:themeFill="background1" w:themeFillShade="F2"/>
          </w:tcPr>
          <w:p w14:paraId="635A8017" w14:textId="77777777" w:rsidR="007A7079" w:rsidRPr="007B2876" w:rsidRDefault="007A7079" w:rsidP="00954036">
            <w:pPr>
              <w:spacing w:before="60" w:after="60"/>
              <w:jc w:val="center"/>
              <w:rPr>
                <w:b/>
                <w:sz w:val="18"/>
              </w:rPr>
            </w:pPr>
            <w:r w:rsidRPr="007B2876">
              <w:rPr>
                <w:b/>
                <w:sz w:val="18"/>
              </w:rPr>
              <w:t>Amend</w:t>
            </w:r>
          </w:p>
        </w:tc>
        <w:tc>
          <w:tcPr>
            <w:tcW w:w="987" w:type="dxa"/>
            <w:shd w:val="clear" w:color="auto" w:fill="F2F2F2" w:themeFill="background1" w:themeFillShade="F2"/>
          </w:tcPr>
          <w:p w14:paraId="21F0D424" w14:textId="77777777" w:rsidR="007A7079" w:rsidRPr="007B2876" w:rsidRDefault="007A7079" w:rsidP="00954036">
            <w:pPr>
              <w:spacing w:before="60" w:after="60"/>
              <w:jc w:val="center"/>
              <w:rPr>
                <w:b/>
                <w:sz w:val="18"/>
              </w:rPr>
            </w:pPr>
            <w:r w:rsidRPr="007B2876">
              <w:rPr>
                <w:b/>
                <w:sz w:val="18"/>
              </w:rPr>
              <w:t>Merge</w:t>
            </w:r>
          </w:p>
        </w:tc>
      </w:tr>
      <w:tr w:rsidR="007A7079" w:rsidRPr="007B2876" w14:paraId="22377E12" w14:textId="77777777" w:rsidTr="00816F90">
        <w:tc>
          <w:tcPr>
            <w:tcW w:w="14459" w:type="dxa"/>
            <w:gridSpan w:val="4"/>
            <w:shd w:val="clear" w:color="auto" w:fill="D9D9D9" w:themeFill="background1" w:themeFillShade="D9"/>
          </w:tcPr>
          <w:p w14:paraId="3F1BA28B" w14:textId="77777777" w:rsidR="007A7079" w:rsidRPr="007B2876" w:rsidRDefault="007A7079" w:rsidP="007A7079">
            <w:pPr>
              <w:pStyle w:val="TableText"/>
              <w:spacing w:before="60" w:after="60"/>
              <w:rPr>
                <w:b/>
              </w:rPr>
            </w:pPr>
            <w:r w:rsidRPr="007B2876">
              <w:rPr>
                <w:b/>
              </w:rPr>
              <w:t>Outcome 1.1: Consumer Rights</w:t>
            </w:r>
          </w:p>
        </w:tc>
      </w:tr>
      <w:tr w:rsidR="007B2876" w14:paraId="29C57C82" w14:textId="77777777" w:rsidTr="00954036">
        <w:tc>
          <w:tcPr>
            <w:tcW w:w="11340" w:type="dxa"/>
          </w:tcPr>
          <w:p w14:paraId="45EC4EA2" w14:textId="77777777" w:rsidR="007A7079" w:rsidRDefault="007A7079" w:rsidP="007A7079">
            <w:pPr>
              <w:pStyle w:val="TableText"/>
              <w:rPr>
                <w:lang w:eastAsia="en-NZ"/>
              </w:rPr>
            </w:pPr>
            <w:r w:rsidRPr="006F2105">
              <w:rPr>
                <w:lang w:eastAsia="en-NZ"/>
              </w:rPr>
              <w:t>Every consumer’s values, dignity, and culture are recognised and supported; their choices respected; and their rights upheld.</w:t>
            </w:r>
          </w:p>
          <w:p w14:paraId="15916B61" w14:textId="77777777" w:rsidR="007A7079" w:rsidRDefault="007A7079" w:rsidP="00954036">
            <w:pPr>
              <w:pStyle w:val="TableBullet"/>
              <w:spacing w:before="60" w:after="60"/>
              <w:rPr>
                <w:lang w:eastAsia="en-NZ"/>
              </w:rPr>
            </w:pPr>
            <w:r>
              <w:rPr>
                <w:lang w:eastAsia="en-NZ"/>
              </w:rPr>
              <w:t>Section on consumer rights agreed</w:t>
            </w:r>
          </w:p>
          <w:p w14:paraId="06D12981" w14:textId="77777777" w:rsidR="007A7079" w:rsidRDefault="007A7079" w:rsidP="00954036">
            <w:pPr>
              <w:pStyle w:val="TableBullet"/>
              <w:spacing w:before="60" w:after="60"/>
              <w:rPr>
                <w:lang w:eastAsia="en-NZ"/>
              </w:rPr>
            </w:pPr>
            <w:r>
              <w:rPr>
                <w:lang w:eastAsia="en-NZ"/>
              </w:rPr>
              <w:t xml:space="preserve">Language needs to be user friendly (simply), need to consider understanding </w:t>
            </w:r>
          </w:p>
          <w:p w14:paraId="2131F55C" w14:textId="77777777" w:rsidR="007A7079" w:rsidRDefault="007A7079" w:rsidP="00954036">
            <w:pPr>
              <w:pStyle w:val="TableBullet"/>
              <w:spacing w:before="60" w:after="60"/>
              <w:rPr>
                <w:lang w:eastAsia="en-NZ"/>
              </w:rPr>
            </w:pPr>
            <w:r>
              <w:rPr>
                <w:lang w:eastAsia="en-NZ"/>
              </w:rPr>
              <w:t>Modular concept supported (clear guidance required)</w:t>
            </w:r>
          </w:p>
          <w:p w14:paraId="149E8671" w14:textId="77777777" w:rsidR="007A7079" w:rsidRDefault="007A7079" w:rsidP="00954036">
            <w:pPr>
              <w:pStyle w:val="TableBullet"/>
              <w:spacing w:before="60" w:after="60"/>
              <w:rPr>
                <w:lang w:eastAsia="en-NZ"/>
              </w:rPr>
            </w:pPr>
            <w:r>
              <w:rPr>
                <w:lang w:eastAsia="en-NZ"/>
              </w:rPr>
              <w:t>Language suggested: Overarching ‘Spirit of Care’ statements, with clear ‘Sign Posts’ (ie. Guidance</w:t>
            </w:r>
          </w:p>
          <w:p w14:paraId="2098637C" w14:textId="77777777" w:rsidR="007A7079" w:rsidRDefault="007A7079" w:rsidP="00954036">
            <w:pPr>
              <w:pStyle w:val="TableBullet"/>
              <w:spacing w:before="60" w:after="60"/>
              <w:rPr>
                <w:lang w:eastAsia="en-NZ"/>
              </w:rPr>
            </w:pPr>
            <w:r>
              <w:rPr>
                <w:lang w:eastAsia="en-NZ"/>
              </w:rPr>
              <w:t>Outcome focus supported</w:t>
            </w:r>
          </w:p>
          <w:p w14:paraId="112D5C00" w14:textId="77777777" w:rsidR="007A7079" w:rsidRDefault="007A7079" w:rsidP="00954036">
            <w:pPr>
              <w:pStyle w:val="TableBullet"/>
              <w:spacing w:before="60" w:after="60"/>
              <w:rPr>
                <w:lang w:eastAsia="en-NZ"/>
              </w:rPr>
            </w:pPr>
            <w:r>
              <w:rPr>
                <w:lang w:eastAsia="en-NZ"/>
              </w:rPr>
              <w:t>Consistency in terms of implementation important</w:t>
            </w:r>
          </w:p>
          <w:p w14:paraId="142F1836" w14:textId="77777777" w:rsidR="007A7079" w:rsidRPr="007A7079" w:rsidRDefault="007A7079" w:rsidP="00954036">
            <w:pPr>
              <w:pStyle w:val="TableBullet"/>
              <w:spacing w:before="60" w:after="60"/>
              <w:rPr>
                <w:i/>
              </w:rPr>
            </w:pPr>
            <w:r w:rsidRPr="007A7079">
              <w:rPr>
                <w:i/>
                <w:lang w:eastAsia="en-NZ"/>
              </w:rPr>
              <w:t>Include beliefs, could merge 1.3 Individual Values and Beliefs Respected (L.Logan, HCNZ)</w:t>
            </w:r>
          </w:p>
        </w:tc>
        <w:tc>
          <w:tcPr>
            <w:tcW w:w="1139" w:type="dxa"/>
          </w:tcPr>
          <w:p w14:paraId="6DC08989" w14:textId="77777777" w:rsidR="007A7079" w:rsidRPr="00954036" w:rsidRDefault="007A7079" w:rsidP="00954036">
            <w:pPr>
              <w:pStyle w:val="NoSpacing"/>
              <w:spacing w:before="240"/>
              <w:jc w:val="center"/>
              <w:rPr>
                <w:b/>
                <w:sz w:val="24"/>
                <w:szCs w:val="24"/>
                <w:lang w:eastAsia="en-NZ"/>
              </w:rPr>
            </w:pPr>
            <w:r w:rsidRPr="00954036">
              <w:rPr>
                <w:rFonts w:ascii="Segoe UI Symbol" w:hAnsi="Segoe UI Symbol" w:cs="Segoe UI Symbol"/>
                <w:b/>
                <w:sz w:val="24"/>
                <w:szCs w:val="24"/>
                <w:lang w:eastAsia="en-NZ"/>
              </w:rPr>
              <w:t>✓</w:t>
            </w:r>
          </w:p>
        </w:tc>
        <w:tc>
          <w:tcPr>
            <w:tcW w:w="993" w:type="dxa"/>
          </w:tcPr>
          <w:p w14:paraId="0E693646" w14:textId="77777777" w:rsidR="007A7079" w:rsidRPr="00954036" w:rsidRDefault="007A7079" w:rsidP="00954036">
            <w:pPr>
              <w:pStyle w:val="NoSpacing"/>
              <w:spacing w:before="240"/>
              <w:jc w:val="center"/>
              <w:rPr>
                <w:b/>
                <w:sz w:val="24"/>
                <w:szCs w:val="24"/>
                <w:lang w:eastAsia="en-NZ"/>
              </w:rPr>
            </w:pPr>
            <w:r w:rsidRPr="00954036">
              <w:rPr>
                <w:rFonts w:ascii="Segoe UI Symbol" w:hAnsi="Segoe UI Symbol" w:cs="Segoe UI Symbol"/>
                <w:b/>
                <w:sz w:val="24"/>
                <w:szCs w:val="24"/>
                <w:lang w:eastAsia="en-NZ"/>
              </w:rPr>
              <w:t>✓</w:t>
            </w:r>
          </w:p>
        </w:tc>
        <w:tc>
          <w:tcPr>
            <w:tcW w:w="987" w:type="dxa"/>
          </w:tcPr>
          <w:p w14:paraId="7553C550" w14:textId="77777777" w:rsidR="007A7079" w:rsidRDefault="007A7079" w:rsidP="007A7079"/>
        </w:tc>
      </w:tr>
      <w:tr w:rsidR="007B2876" w:rsidRPr="007B2876" w14:paraId="1A8857DF" w14:textId="77777777" w:rsidTr="00954036">
        <w:tc>
          <w:tcPr>
            <w:tcW w:w="11340" w:type="dxa"/>
            <w:shd w:val="clear" w:color="auto" w:fill="F2F2F2" w:themeFill="background1" w:themeFillShade="F2"/>
          </w:tcPr>
          <w:p w14:paraId="1846572E" w14:textId="77777777" w:rsidR="007B2876" w:rsidRPr="007B2876" w:rsidRDefault="007B2876" w:rsidP="007B2876">
            <w:pPr>
              <w:pStyle w:val="TableText"/>
              <w:spacing w:before="60" w:after="60"/>
              <w:rPr>
                <w:b/>
              </w:rPr>
            </w:pPr>
            <w:r w:rsidRPr="007B2876">
              <w:rPr>
                <w:b/>
              </w:rPr>
              <w:t>Standard 1.1: Consumer Rights Under Legislation</w:t>
            </w:r>
          </w:p>
        </w:tc>
        <w:tc>
          <w:tcPr>
            <w:tcW w:w="1139" w:type="dxa"/>
            <w:shd w:val="clear" w:color="auto" w:fill="F2F2F2" w:themeFill="background1" w:themeFillShade="F2"/>
          </w:tcPr>
          <w:p w14:paraId="5D8B2BEB" w14:textId="77777777" w:rsidR="007B2876" w:rsidRPr="007B2876" w:rsidRDefault="007B2876" w:rsidP="007B2876">
            <w:pPr>
              <w:pStyle w:val="TableText"/>
              <w:spacing w:before="60" w:after="60"/>
              <w:rPr>
                <w:rFonts w:ascii="Segoe UI Symbol" w:hAnsi="Segoe UI Symbol"/>
                <w:b/>
                <w:i/>
                <w:sz w:val="24"/>
                <w:szCs w:val="24"/>
                <w:lang w:eastAsia="en-NZ"/>
              </w:rPr>
            </w:pPr>
          </w:p>
        </w:tc>
        <w:tc>
          <w:tcPr>
            <w:tcW w:w="993" w:type="dxa"/>
            <w:shd w:val="clear" w:color="auto" w:fill="F2F2F2" w:themeFill="background1" w:themeFillShade="F2"/>
          </w:tcPr>
          <w:p w14:paraId="3F20B6A8" w14:textId="77777777" w:rsidR="007B2876" w:rsidRPr="007B2876" w:rsidRDefault="007B2876" w:rsidP="007B2876">
            <w:pPr>
              <w:pStyle w:val="TableText"/>
              <w:spacing w:before="60" w:after="60"/>
              <w:rPr>
                <w:rFonts w:ascii="Segoe UI Symbol" w:hAnsi="Segoe UI Symbol"/>
                <w:b/>
                <w:i/>
                <w:sz w:val="24"/>
                <w:szCs w:val="24"/>
                <w:lang w:eastAsia="en-NZ"/>
              </w:rPr>
            </w:pPr>
          </w:p>
        </w:tc>
        <w:tc>
          <w:tcPr>
            <w:tcW w:w="987" w:type="dxa"/>
            <w:shd w:val="clear" w:color="auto" w:fill="F2F2F2" w:themeFill="background1" w:themeFillShade="F2"/>
          </w:tcPr>
          <w:p w14:paraId="650C0E2A" w14:textId="77777777" w:rsidR="007B2876" w:rsidRPr="007B2876" w:rsidRDefault="007B2876" w:rsidP="007B2876">
            <w:pPr>
              <w:pStyle w:val="TableText"/>
              <w:spacing w:before="60" w:after="60"/>
              <w:rPr>
                <w:rFonts w:ascii="Segoe UI Symbol" w:hAnsi="Segoe UI Symbol"/>
                <w:b/>
                <w:i/>
                <w:sz w:val="24"/>
                <w:szCs w:val="24"/>
                <w:lang w:eastAsia="en-NZ"/>
              </w:rPr>
            </w:pPr>
          </w:p>
        </w:tc>
      </w:tr>
      <w:tr w:rsidR="00954036" w14:paraId="358EA934" w14:textId="77777777" w:rsidTr="00954036">
        <w:tc>
          <w:tcPr>
            <w:tcW w:w="11340" w:type="dxa"/>
          </w:tcPr>
          <w:p w14:paraId="7B9FCE17" w14:textId="77777777" w:rsidR="00954036" w:rsidRPr="007B2876" w:rsidRDefault="00954036" w:rsidP="007B2876">
            <w:pPr>
              <w:pStyle w:val="TableText"/>
              <w:rPr>
                <w:rStyle w:val="BodyTextChar"/>
                <w:sz w:val="18"/>
                <w:szCs w:val="21"/>
              </w:rPr>
            </w:pPr>
            <w:r w:rsidRPr="007B2876">
              <w:rPr>
                <w:rStyle w:val="BodyTextChar"/>
                <w:sz w:val="18"/>
                <w:szCs w:val="21"/>
              </w:rPr>
              <w:t>Consumers receive services in accordance with their rights.</w:t>
            </w:r>
          </w:p>
          <w:p w14:paraId="3CB23E85" w14:textId="77777777" w:rsidR="00954036" w:rsidRPr="007B2876" w:rsidRDefault="00954036" w:rsidP="007B2876">
            <w:pPr>
              <w:pStyle w:val="TableText"/>
              <w:rPr>
                <w:i/>
                <w:lang w:eastAsia="en-NZ"/>
              </w:rPr>
            </w:pPr>
            <w:r w:rsidRPr="007B2876">
              <w:rPr>
                <w:rStyle w:val="BodyTextChar"/>
                <w:i/>
                <w:sz w:val="18"/>
                <w:szCs w:val="21"/>
              </w:rPr>
              <w:t>[</w:t>
            </w:r>
            <w:r w:rsidRPr="007B2876">
              <w:rPr>
                <w:i/>
              </w:rPr>
              <w:t>Standard 1.1.1: Consumer Rights During Service Delivery</w:t>
            </w:r>
            <w:r w:rsidRPr="007B2876">
              <w:rPr>
                <w:rStyle w:val="Heading4Char"/>
                <w:rFonts w:eastAsiaTheme="minorHAnsi"/>
                <w:b w:val="0"/>
                <w:i/>
                <w:iCs w:val="0"/>
                <w:color w:val="auto"/>
                <w:szCs w:val="21"/>
              </w:rPr>
              <w:t xml:space="preserve"> HDS</w:t>
            </w:r>
            <w:r w:rsidRPr="007B2876">
              <w:rPr>
                <w:i/>
              </w:rPr>
              <w:t xml:space="preserve">S(C)S.2008:1.1.1): </w:t>
            </w:r>
            <w:r w:rsidRPr="007B2876">
              <w:rPr>
                <w:rStyle w:val="BodyTextChar"/>
                <w:i/>
                <w:sz w:val="18"/>
                <w:szCs w:val="21"/>
              </w:rPr>
              <w:t>Consumers receive services in accordance with consumer rights legislation]</w:t>
            </w:r>
          </w:p>
        </w:tc>
        <w:tc>
          <w:tcPr>
            <w:tcW w:w="1139" w:type="dxa"/>
            <w:vMerge w:val="restart"/>
          </w:tcPr>
          <w:p w14:paraId="1D153907"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vMerge w:val="restart"/>
          </w:tcPr>
          <w:p w14:paraId="52398AAC"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vMerge w:val="restart"/>
          </w:tcPr>
          <w:p w14:paraId="0489CD1E"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r>
      <w:tr w:rsidR="00954036" w14:paraId="17D7AEB1" w14:textId="77777777" w:rsidTr="00954036">
        <w:tc>
          <w:tcPr>
            <w:tcW w:w="11340" w:type="dxa"/>
          </w:tcPr>
          <w:p w14:paraId="3CFDF74C" w14:textId="77777777" w:rsidR="00954036" w:rsidRDefault="00954036" w:rsidP="007B2876">
            <w:pPr>
              <w:pStyle w:val="TableText"/>
            </w:pPr>
            <w:r>
              <w:t>Comment: (eg. move standard to a different part, merge with a different standard)</w:t>
            </w:r>
          </w:p>
          <w:p w14:paraId="7604FC6B" w14:textId="77777777" w:rsidR="00954036" w:rsidRDefault="00954036" w:rsidP="00954036">
            <w:pPr>
              <w:pStyle w:val="TableBullet"/>
              <w:spacing w:before="60" w:after="60"/>
              <w:rPr>
                <w:lang w:eastAsia="en-NZ"/>
              </w:rPr>
            </w:pPr>
            <w:r>
              <w:rPr>
                <w:lang w:eastAsia="en-NZ"/>
              </w:rPr>
              <w:t>Could look to combining some aspects eg. Code of Rights and Advocacy</w:t>
            </w:r>
          </w:p>
          <w:p w14:paraId="38547E99" w14:textId="77777777" w:rsidR="00954036" w:rsidRDefault="00954036" w:rsidP="00954036">
            <w:pPr>
              <w:pStyle w:val="TableBullet"/>
              <w:spacing w:before="60" w:after="60"/>
              <w:rPr>
                <w:lang w:eastAsia="en-NZ"/>
              </w:rPr>
            </w:pPr>
            <w:r>
              <w:rPr>
                <w:lang w:eastAsia="en-NZ"/>
              </w:rPr>
              <w:t>Need to ensure the consumer voice/ disability lens is not lost</w:t>
            </w:r>
          </w:p>
          <w:p w14:paraId="1C897273" w14:textId="77777777" w:rsidR="00954036" w:rsidRDefault="00954036" w:rsidP="00954036">
            <w:pPr>
              <w:pStyle w:val="TableBullet"/>
              <w:spacing w:before="60" w:after="60"/>
              <w:rPr>
                <w:lang w:eastAsia="en-NZ"/>
              </w:rPr>
            </w:pPr>
            <w:r>
              <w:rPr>
                <w:lang w:eastAsia="en-NZ"/>
              </w:rPr>
              <w:t>Overarching ‘spirit of care’ statement</w:t>
            </w:r>
          </w:p>
          <w:p w14:paraId="5FF86876" w14:textId="77777777" w:rsidR="00954036" w:rsidRDefault="00954036" w:rsidP="00954036">
            <w:pPr>
              <w:pStyle w:val="TableBullet"/>
              <w:spacing w:before="60" w:after="60"/>
              <w:rPr>
                <w:lang w:eastAsia="en-NZ"/>
              </w:rPr>
            </w:pPr>
            <w:r>
              <w:rPr>
                <w:lang w:eastAsia="en-NZ"/>
              </w:rPr>
              <w:t xml:space="preserve">Individualised funding model discussed – could be covered in ‘relevant modules’. How is monitoring of this type of service managed? </w:t>
            </w:r>
          </w:p>
          <w:p w14:paraId="57CC6A08" w14:textId="77777777" w:rsidR="00954036" w:rsidRDefault="00954036" w:rsidP="00954036">
            <w:pPr>
              <w:pStyle w:val="TableBullet"/>
              <w:spacing w:before="60" w:after="60"/>
              <w:rPr>
                <w:lang w:eastAsia="en-NZ"/>
              </w:rPr>
            </w:pPr>
            <w:r>
              <w:rPr>
                <w:lang w:eastAsia="en-NZ"/>
              </w:rPr>
              <w:t>Consumers need to be aware of standards – language needs to support consumer understanding of same</w:t>
            </w:r>
          </w:p>
          <w:p w14:paraId="580C95B6" w14:textId="77777777" w:rsidR="00954036" w:rsidRDefault="00954036" w:rsidP="00954036">
            <w:pPr>
              <w:pStyle w:val="TableBullet"/>
              <w:spacing w:before="60" w:after="60"/>
              <w:rPr>
                <w:lang w:eastAsia="en-NZ"/>
              </w:rPr>
            </w:pPr>
            <w:r>
              <w:rPr>
                <w:lang w:eastAsia="en-NZ"/>
              </w:rPr>
              <w:t>Transparency of information important</w:t>
            </w:r>
          </w:p>
        </w:tc>
        <w:tc>
          <w:tcPr>
            <w:tcW w:w="1139" w:type="dxa"/>
            <w:vMerge/>
          </w:tcPr>
          <w:p w14:paraId="75D85B07" w14:textId="77777777" w:rsidR="00954036" w:rsidRDefault="00954036" w:rsidP="007B2876"/>
        </w:tc>
        <w:tc>
          <w:tcPr>
            <w:tcW w:w="993" w:type="dxa"/>
            <w:vMerge/>
          </w:tcPr>
          <w:p w14:paraId="08291BAD" w14:textId="77777777" w:rsidR="00954036" w:rsidRDefault="00954036" w:rsidP="007B2876"/>
        </w:tc>
        <w:tc>
          <w:tcPr>
            <w:tcW w:w="987" w:type="dxa"/>
            <w:vMerge/>
          </w:tcPr>
          <w:p w14:paraId="2C176057" w14:textId="77777777" w:rsidR="00954036" w:rsidRDefault="00954036" w:rsidP="007B2876"/>
        </w:tc>
      </w:tr>
      <w:tr w:rsidR="007B2876" w14:paraId="56793875" w14:textId="77777777" w:rsidTr="00954036">
        <w:tc>
          <w:tcPr>
            <w:tcW w:w="11340" w:type="dxa"/>
            <w:shd w:val="clear" w:color="auto" w:fill="F2F2F2" w:themeFill="background1" w:themeFillShade="F2"/>
          </w:tcPr>
          <w:p w14:paraId="485581E9" w14:textId="77777777" w:rsidR="007B2876" w:rsidRPr="007B2876" w:rsidRDefault="007B2876" w:rsidP="007B2876">
            <w:pPr>
              <w:pStyle w:val="TableText"/>
              <w:spacing w:before="60" w:after="60"/>
              <w:rPr>
                <w:rFonts w:eastAsiaTheme="majorEastAsia"/>
                <w:bCs/>
                <w:color w:val="0A6AB4"/>
                <w:szCs w:val="24"/>
              </w:rPr>
            </w:pPr>
            <w:r w:rsidRPr="007B2876">
              <w:rPr>
                <w:b/>
              </w:rPr>
              <w:t>Standard 1.2: Individual Privacy, Dignity and Respect</w:t>
            </w:r>
          </w:p>
        </w:tc>
        <w:tc>
          <w:tcPr>
            <w:tcW w:w="1139" w:type="dxa"/>
            <w:shd w:val="clear" w:color="auto" w:fill="F2F2F2" w:themeFill="background1" w:themeFillShade="F2"/>
          </w:tcPr>
          <w:p w14:paraId="136597AC" w14:textId="77777777" w:rsidR="007B2876" w:rsidRPr="009C2183" w:rsidRDefault="007B2876" w:rsidP="007B2876">
            <w:pPr>
              <w:pStyle w:val="Heading2"/>
              <w:spacing w:before="60" w:after="60"/>
              <w:jc w:val="center"/>
              <w:outlineLvl w:val="1"/>
              <w:rPr>
                <w:rFonts w:ascii="Segoe UI Symbol" w:hAnsi="Segoe UI Symbol"/>
                <w:i/>
                <w:color w:val="auto"/>
                <w:sz w:val="24"/>
                <w:szCs w:val="24"/>
                <w:lang w:eastAsia="en-NZ"/>
              </w:rPr>
            </w:pPr>
          </w:p>
        </w:tc>
        <w:tc>
          <w:tcPr>
            <w:tcW w:w="993" w:type="dxa"/>
            <w:shd w:val="clear" w:color="auto" w:fill="F2F2F2" w:themeFill="background1" w:themeFillShade="F2"/>
          </w:tcPr>
          <w:p w14:paraId="3B7854A9" w14:textId="77777777" w:rsidR="007B2876" w:rsidRPr="009C2183" w:rsidRDefault="007B2876" w:rsidP="007B2876">
            <w:pPr>
              <w:pStyle w:val="Heading2"/>
              <w:spacing w:before="60" w:after="60"/>
              <w:jc w:val="center"/>
              <w:outlineLvl w:val="1"/>
              <w:rPr>
                <w:rFonts w:ascii="Segoe UI Symbol" w:hAnsi="Segoe UI Symbol"/>
                <w:i/>
                <w:color w:val="auto"/>
                <w:sz w:val="24"/>
                <w:szCs w:val="24"/>
                <w:lang w:eastAsia="en-NZ"/>
              </w:rPr>
            </w:pPr>
          </w:p>
        </w:tc>
        <w:tc>
          <w:tcPr>
            <w:tcW w:w="987" w:type="dxa"/>
            <w:shd w:val="clear" w:color="auto" w:fill="F2F2F2" w:themeFill="background1" w:themeFillShade="F2"/>
          </w:tcPr>
          <w:p w14:paraId="1254B38F" w14:textId="77777777" w:rsidR="007B2876" w:rsidRDefault="007B2876" w:rsidP="007B2876">
            <w:pPr>
              <w:spacing w:before="60" w:after="60"/>
            </w:pPr>
          </w:p>
        </w:tc>
      </w:tr>
      <w:tr w:rsidR="00954036" w14:paraId="4E7A2BF1" w14:textId="77777777" w:rsidTr="00954036">
        <w:tc>
          <w:tcPr>
            <w:tcW w:w="11340" w:type="dxa"/>
          </w:tcPr>
          <w:p w14:paraId="0377D399" w14:textId="77777777" w:rsidR="00954036" w:rsidRPr="007B2876" w:rsidRDefault="00954036" w:rsidP="007B2876">
            <w:pPr>
              <w:pStyle w:val="TableText"/>
              <w:rPr>
                <w:rStyle w:val="BodyTextChar"/>
                <w:sz w:val="18"/>
                <w:szCs w:val="21"/>
              </w:rPr>
            </w:pPr>
            <w:r w:rsidRPr="007B2876">
              <w:rPr>
                <w:rStyle w:val="BodyTextChar"/>
                <w:sz w:val="18"/>
                <w:szCs w:val="21"/>
              </w:rPr>
              <w:t>Consumers are treated with respect and receive services in a manner that has regard for their dignity, privacy, confidentiality, and independence.</w:t>
            </w:r>
          </w:p>
          <w:p w14:paraId="26FD480F" w14:textId="77777777" w:rsidR="00954036" w:rsidRPr="007B2876" w:rsidRDefault="00954036" w:rsidP="007B2876">
            <w:pPr>
              <w:pStyle w:val="TableText"/>
              <w:rPr>
                <w:i/>
              </w:rPr>
            </w:pPr>
            <w:r w:rsidRPr="007B2876">
              <w:rPr>
                <w:rStyle w:val="BodyTextChar"/>
                <w:i/>
                <w:sz w:val="18"/>
                <w:szCs w:val="21"/>
              </w:rPr>
              <w:lastRenderedPageBreak/>
              <w:t>[</w:t>
            </w:r>
            <w:r w:rsidRPr="007B2876">
              <w:rPr>
                <w:i/>
              </w:rPr>
              <w:t>Standard 1.1.3: Independence, Personal Privacy, Dignity, And Respect</w:t>
            </w:r>
            <w:r w:rsidRPr="007B2876">
              <w:rPr>
                <w:rStyle w:val="Heading4Char"/>
                <w:rFonts w:eastAsiaTheme="minorHAnsi"/>
                <w:b w:val="0"/>
                <w:i/>
                <w:iCs w:val="0"/>
                <w:color w:val="auto"/>
                <w:szCs w:val="21"/>
              </w:rPr>
              <w:t xml:space="preserve"> (</w:t>
            </w:r>
            <w:r w:rsidRPr="007B2876">
              <w:rPr>
                <w:i/>
              </w:rPr>
              <w:t xml:space="preserve">HDS(C)S.2008:1.1.3): </w:t>
            </w:r>
            <w:r w:rsidRPr="007B2876">
              <w:rPr>
                <w:rStyle w:val="BodyTextChar"/>
                <w:i/>
                <w:sz w:val="18"/>
                <w:szCs w:val="21"/>
              </w:rPr>
              <w:t>Consumers are treated with respect and receive services in a manner that has regard for their dignity, privacy, and independence]</w:t>
            </w:r>
            <w:r w:rsidRPr="007B2876">
              <w:rPr>
                <w:i/>
              </w:rPr>
              <w:tab/>
            </w:r>
          </w:p>
        </w:tc>
        <w:tc>
          <w:tcPr>
            <w:tcW w:w="1139" w:type="dxa"/>
            <w:vMerge w:val="restart"/>
          </w:tcPr>
          <w:p w14:paraId="5DC2391F"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lastRenderedPageBreak/>
              <w:t>✓</w:t>
            </w:r>
          </w:p>
        </w:tc>
        <w:tc>
          <w:tcPr>
            <w:tcW w:w="993" w:type="dxa"/>
            <w:vMerge w:val="restart"/>
          </w:tcPr>
          <w:p w14:paraId="7F1633A6"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vMerge w:val="restart"/>
          </w:tcPr>
          <w:p w14:paraId="11C85BE5" w14:textId="77777777" w:rsidR="00954036" w:rsidRDefault="00954036" w:rsidP="00954036">
            <w:pPr>
              <w:spacing w:before="100" w:beforeAutospacing="1"/>
              <w:jc w:val="center"/>
            </w:pPr>
          </w:p>
        </w:tc>
      </w:tr>
      <w:tr w:rsidR="00954036" w14:paraId="47D415FD" w14:textId="77777777" w:rsidTr="00954036">
        <w:tc>
          <w:tcPr>
            <w:tcW w:w="11340" w:type="dxa"/>
          </w:tcPr>
          <w:p w14:paraId="3FF4AEE4" w14:textId="77777777" w:rsidR="00954036" w:rsidRDefault="00954036" w:rsidP="00CD268F">
            <w:pPr>
              <w:pStyle w:val="TableText"/>
            </w:pPr>
            <w:r>
              <w:t>Comment: (eg. move standard to a different part, merge with a different standard)</w:t>
            </w:r>
          </w:p>
          <w:p w14:paraId="28E641B6" w14:textId="77777777" w:rsidR="00954036" w:rsidRDefault="00954036" w:rsidP="00954036">
            <w:pPr>
              <w:pStyle w:val="TableBullet"/>
              <w:spacing w:before="60" w:after="60"/>
            </w:pPr>
            <w:r w:rsidRPr="007B2876">
              <w:t>Relevant standard</w:t>
            </w:r>
          </w:p>
        </w:tc>
        <w:tc>
          <w:tcPr>
            <w:tcW w:w="1139" w:type="dxa"/>
            <w:vMerge/>
          </w:tcPr>
          <w:p w14:paraId="2473B7A3" w14:textId="77777777" w:rsidR="00954036" w:rsidRDefault="00954036" w:rsidP="00EF435A"/>
        </w:tc>
        <w:tc>
          <w:tcPr>
            <w:tcW w:w="993" w:type="dxa"/>
            <w:vMerge/>
          </w:tcPr>
          <w:p w14:paraId="0658BDDD" w14:textId="77777777" w:rsidR="00954036" w:rsidRDefault="00954036" w:rsidP="00EF435A"/>
        </w:tc>
        <w:tc>
          <w:tcPr>
            <w:tcW w:w="987" w:type="dxa"/>
            <w:vMerge/>
          </w:tcPr>
          <w:p w14:paraId="15786C01" w14:textId="77777777" w:rsidR="00954036" w:rsidRDefault="00954036" w:rsidP="00EF435A"/>
        </w:tc>
      </w:tr>
      <w:tr w:rsidR="007B2876" w:rsidRPr="007B2876" w14:paraId="2A6F4177" w14:textId="77777777" w:rsidTr="00816F90">
        <w:tc>
          <w:tcPr>
            <w:tcW w:w="14459" w:type="dxa"/>
            <w:gridSpan w:val="4"/>
            <w:shd w:val="clear" w:color="auto" w:fill="F2F2F2" w:themeFill="background1" w:themeFillShade="F2"/>
          </w:tcPr>
          <w:p w14:paraId="2E5C6A85" w14:textId="77777777" w:rsidR="007B2876" w:rsidRPr="007B2876" w:rsidRDefault="007B2876" w:rsidP="007B2876">
            <w:pPr>
              <w:pStyle w:val="TableText"/>
              <w:spacing w:before="60" w:after="60"/>
              <w:rPr>
                <w:b/>
              </w:rPr>
            </w:pPr>
            <w:r w:rsidRPr="007B2876">
              <w:rPr>
                <w:b/>
              </w:rPr>
              <w:t>Standard 1.3: Individual Values and Beliefs Respected</w:t>
            </w:r>
          </w:p>
        </w:tc>
      </w:tr>
      <w:tr w:rsidR="00954036" w14:paraId="5E52B43C" w14:textId="77777777" w:rsidTr="00954036">
        <w:tc>
          <w:tcPr>
            <w:tcW w:w="11340" w:type="dxa"/>
          </w:tcPr>
          <w:p w14:paraId="092F4135" w14:textId="77777777" w:rsidR="00954036" w:rsidRPr="007B2876" w:rsidRDefault="00954036" w:rsidP="007B2876">
            <w:pPr>
              <w:pStyle w:val="TableText"/>
              <w:rPr>
                <w:rStyle w:val="BodyTextChar"/>
                <w:sz w:val="18"/>
                <w:szCs w:val="21"/>
              </w:rPr>
            </w:pPr>
            <w:r w:rsidRPr="007B2876">
              <w:rPr>
                <w:rStyle w:val="BodyTextChar"/>
                <w:sz w:val="18"/>
                <w:szCs w:val="21"/>
              </w:rPr>
              <w:t>Consumers receive culturally safe services which recognise and respect their ethnic, cultural, and spiritual values and beliefs.</w:t>
            </w:r>
          </w:p>
          <w:p w14:paraId="74E552F6" w14:textId="77777777" w:rsidR="00954036" w:rsidRPr="007B2876" w:rsidRDefault="00954036" w:rsidP="007B2876">
            <w:pPr>
              <w:pStyle w:val="TableText"/>
              <w:rPr>
                <w:i/>
              </w:rPr>
            </w:pPr>
            <w:r w:rsidRPr="007B2876">
              <w:rPr>
                <w:rStyle w:val="BodyTextChar"/>
                <w:i/>
                <w:sz w:val="18"/>
                <w:szCs w:val="21"/>
              </w:rPr>
              <w:t>[</w:t>
            </w:r>
            <w:r w:rsidRPr="007B2876">
              <w:rPr>
                <w:i/>
              </w:rPr>
              <w:t>Standard 1.1.6: Recognition and Respect Of The Individual's Culture, Values, And Beliefs</w:t>
            </w:r>
            <w:r w:rsidRPr="007B2876">
              <w:rPr>
                <w:rStyle w:val="Heading4Char"/>
                <w:rFonts w:eastAsiaTheme="minorHAnsi"/>
                <w:b w:val="0"/>
                <w:i/>
                <w:iCs w:val="0"/>
                <w:color w:val="auto"/>
                <w:szCs w:val="21"/>
              </w:rPr>
              <w:t xml:space="preserve"> (</w:t>
            </w:r>
            <w:r w:rsidRPr="007B2876">
              <w:rPr>
                <w:i/>
              </w:rPr>
              <w:t xml:space="preserve">HDS(C)S.2008:1.1.6): </w:t>
            </w:r>
            <w:r w:rsidRPr="007B2876">
              <w:rPr>
                <w:rStyle w:val="BodyTextChar"/>
                <w:i/>
                <w:sz w:val="18"/>
                <w:szCs w:val="21"/>
              </w:rPr>
              <w:t>Consumers receive culturally safe services which recognise and respect their ethnic, cultural, spiritual values, and beliefs]</w:t>
            </w:r>
          </w:p>
        </w:tc>
        <w:tc>
          <w:tcPr>
            <w:tcW w:w="1139" w:type="dxa"/>
            <w:vMerge w:val="restart"/>
          </w:tcPr>
          <w:p w14:paraId="1CAC96DD"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vMerge w:val="restart"/>
          </w:tcPr>
          <w:p w14:paraId="24245A8D" w14:textId="77777777" w:rsidR="00954036" w:rsidRPr="00954036" w:rsidRDefault="0095403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vMerge w:val="restart"/>
          </w:tcPr>
          <w:p w14:paraId="21B2AAE4" w14:textId="77777777" w:rsidR="00954036" w:rsidRDefault="00954036" w:rsidP="007B2876"/>
        </w:tc>
      </w:tr>
      <w:tr w:rsidR="00954036" w14:paraId="10823898" w14:textId="77777777" w:rsidTr="00954036">
        <w:tc>
          <w:tcPr>
            <w:tcW w:w="11340" w:type="dxa"/>
          </w:tcPr>
          <w:p w14:paraId="25D93F9C" w14:textId="77777777" w:rsidR="00954036" w:rsidRDefault="00954036" w:rsidP="00CD268F">
            <w:pPr>
              <w:pStyle w:val="TableText"/>
            </w:pPr>
            <w:r>
              <w:t>Comment: (eg. move standard to a different part, merge with a different standard)</w:t>
            </w:r>
          </w:p>
          <w:p w14:paraId="1A6A0709" w14:textId="77777777" w:rsidR="00954036" w:rsidRDefault="00954036" w:rsidP="00954036">
            <w:pPr>
              <w:pStyle w:val="TableBullet"/>
              <w:spacing w:before="60" w:after="60"/>
              <w:rPr>
                <w:lang w:eastAsia="en-NZ"/>
              </w:rPr>
            </w:pPr>
            <w:r>
              <w:rPr>
                <w:lang w:eastAsia="en-NZ"/>
              </w:rPr>
              <w:t>Language of standard to be people centric</w:t>
            </w:r>
          </w:p>
          <w:p w14:paraId="709CA30F" w14:textId="77777777" w:rsidR="00954036" w:rsidRDefault="00954036" w:rsidP="00954036">
            <w:pPr>
              <w:pStyle w:val="TableBullet"/>
              <w:spacing w:before="60" w:after="60"/>
              <w:rPr>
                <w:lang w:eastAsia="en-NZ"/>
              </w:rPr>
            </w:pPr>
            <w:r>
              <w:rPr>
                <w:lang w:eastAsia="en-NZ"/>
              </w:rPr>
              <w:t xml:space="preserve">To include: gender, sexual orientation, </w:t>
            </w:r>
            <w:r>
              <w:rPr>
                <w:i/>
                <w:lang w:eastAsia="en-NZ"/>
              </w:rPr>
              <w:t>age (HCNZ)</w:t>
            </w:r>
            <w:r>
              <w:rPr>
                <w:lang w:eastAsia="en-NZ"/>
              </w:rPr>
              <w:t xml:space="preserve"> diversity: for some specificity is requested, for others a risk when specifying as not future proofing: suggest ‘all forms of diversity (could add: including but not limited to …)</w:t>
            </w:r>
          </w:p>
          <w:p w14:paraId="44285888" w14:textId="77777777" w:rsidR="00954036" w:rsidRDefault="00954036" w:rsidP="00954036">
            <w:pPr>
              <w:pStyle w:val="TableBullet"/>
              <w:spacing w:before="60" w:after="60"/>
              <w:rPr>
                <w:lang w:eastAsia="en-NZ"/>
              </w:rPr>
            </w:pPr>
            <w:r>
              <w:rPr>
                <w:lang w:eastAsia="en-NZ"/>
              </w:rPr>
              <w:t>Need tangible measures – to be designed by consumers</w:t>
            </w:r>
          </w:p>
          <w:p w14:paraId="5AD92A67" w14:textId="77777777" w:rsidR="00954036" w:rsidRDefault="00954036" w:rsidP="00954036">
            <w:pPr>
              <w:pStyle w:val="TableBullet"/>
              <w:spacing w:before="60" w:after="60"/>
            </w:pPr>
            <w:r>
              <w:rPr>
                <w:lang w:eastAsia="en-NZ"/>
              </w:rPr>
              <w:t>“Spirit of Care”</w:t>
            </w:r>
          </w:p>
        </w:tc>
        <w:tc>
          <w:tcPr>
            <w:tcW w:w="1139" w:type="dxa"/>
            <w:vMerge/>
          </w:tcPr>
          <w:p w14:paraId="583C98D1" w14:textId="77777777" w:rsidR="00954036" w:rsidRDefault="00954036" w:rsidP="00EF435A"/>
        </w:tc>
        <w:tc>
          <w:tcPr>
            <w:tcW w:w="993" w:type="dxa"/>
            <w:vMerge/>
          </w:tcPr>
          <w:p w14:paraId="27BF7D3E" w14:textId="77777777" w:rsidR="00954036" w:rsidRDefault="00954036" w:rsidP="00EF435A"/>
        </w:tc>
        <w:tc>
          <w:tcPr>
            <w:tcW w:w="987" w:type="dxa"/>
            <w:vMerge/>
          </w:tcPr>
          <w:p w14:paraId="78347BE7" w14:textId="77777777" w:rsidR="00954036" w:rsidRDefault="00954036" w:rsidP="00EF435A"/>
        </w:tc>
      </w:tr>
      <w:tr w:rsidR="007B2876" w:rsidRPr="007B2876" w14:paraId="29DF59B6" w14:textId="77777777" w:rsidTr="00954036">
        <w:tc>
          <w:tcPr>
            <w:tcW w:w="11340" w:type="dxa"/>
            <w:shd w:val="clear" w:color="auto" w:fill="F2F2F2" w:themeFill="background1" w:themeFillShade="F2"/>
          </w:tcPr>
          <w:p w14:paraId="6EC1D371" w14:textId="77777777" w:rsidR="007B2876" w:rsidRPr="007B2876" w:rsidRDefault="007B2876" w:rsidP="007B2876">
            <w:pPr>
              <w:pStyle w:val="TableText"/>
              <w:spacing w:before="60" w:after="60"/>
              <w:rPr>
                <w:b/>
              </w:rPr>
            </w:pPr>
            <w:r w:rsidRPr="007B2876">
              <w:rPr>
                <w:b/>
              </w:rPr>
              <w:t>Standard 1.4: Recognition of Maori Values and Beliefs</w:t>
            </w:r>
          </w:p>
        </w:tc>
        <w:tc>
          <w:tcPr>
            <w:tcW w:w="1139" w:type="dxa"/>
            <w:shd w:val="clear" w:color="auto" w:fill="F2F2F2" w:themeFill="background1" w:themeFillShade="F2"/>
          </w:tcPr>
          <w:p w14:paraId="1CD9870C"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601E8789"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0E428B1C" w14:textId="77777777" w:rsidR="007B2876" w:rsidRPr="007B2876" w:rsidRDefault="007B2876" w:rsidP="007B2876">
            <w:pPr>
              <w:pStyle w:val="TableText"/>
              <w:spacing w:before="60" w:after="60"/>
              <w:rPr>
                <w:b/>
              </w:rPr>
            </w:pPr>
          </w:p>
        </w:tc>
      </w:tr>
      <w:tr w:rsidR="00A24C96" w14:paraId="281F761C" w14:textId="77777777" w:rsidTr="00954036">
        <w:tc>
          <w:tcPr>
            <w:tcW w:w="11340" w:type="dxa"/>
          </w:tcPr>
          <w:p w14:paraId="788158DB" w14:textId="77777777" w:rsidR="00A24C96" w:rsidRPr="00CD268F" w:rsidRDefault="00A24C96" w:rsidP="00CD268F">
            <w:pPr>
              <w:pStyle w:val="TableText"/>
              <w:rPr>
                <w:rStyle w:val="BodyTextChar"/>
                <w:sz w:val="18"/>
                <w:szCs w:val="21"/>
              </w:rPr>
            </w:pPr>
            <w:r w:rsidRPr="00CD268F">
              <w:rPr>
                <w:rStyle w:val="BodyTextChar"/>
                <w:sz w:val="18"/>
                <w:szCs w:val="21"/>
              </w:rPr>
              <w:t>Māori consumers have their health and disability needs met in a manner that respects and acknowledges their individual and cultural values and beliefs.</w:t>
            </w:r>
          </w:p>
          <w:p w14:paraId="153ABD2D" w14:textId="77777777" w:rsidR="00A24C96" w:rsidRPr="00CD268F" w:rsidRDefault="00A24C96" w:rsidP="00CD268F">
            <w:pPr>
              <w:pStyle w:val="TableText"/>
              <w:rPr>
                <w:i/>
              </w:rPr>
            </w:pPr>
            <w:r w:rsidRPr="00CD268F">
              <w:rPr>
                <w:rStyle w:val="BodyTextChar"/>
                <w:i/>
                <w:sz w:val="18"/>
                <w:szCs w:val="21"/>
              </w:rPr>
              <w:t>[</w:t>
            </w:r>
            <w:r w:rsidRPr="00CD268F">
              <w:rPr>
                <w:i/>
              </w:rPr>
              <w:t xml:space="preserve">Standard 1.1.4: Recognition </w:t>
            </w:r>
            <w:r w:rsidR="00CD268F" w:rsidRPr="00CD268F">
              <w:rPr>
                <w:i/>
              </w:rPr>
              <w:t>of</w:t>
            </w:r>
            <w:r w:rsidRPr="00CD268F">
              <w:rPr>
                <w:i/>
              </w:rPr>
              <w:t xml:space="preserve"> Māori Values And Beliefs</w:t>
            </w:r>
            <w:r w:rsidRPr="00CD268F">
              <w:rPr>
                <w:rStyle w:val="Heading4Char"/>
                <w:rFonts w:eastAsiaTheme="minorHAnsi"/>
                <w:b w:val="0"/>
                <w:i/>
                <w:iCs w:val="0"/>
                <w:color w:val="auto"/>
                <w:szCs w:val="21"/>
              </w:rPr>
              <w:t xml:space="preserve"> (</w:t>
            </w:r>
            <w:r w:rsidRPr="00CD268F">
              <w:rPr>
                <w:i/>
              </w:rPr>
              <w:t xml:space="preserve">HDS(C)S.2008:1.1.4): </w:t>
            </w:r>
            <w:r w:rsidRPr="00CD268F">
              <w:rPr>
                <w:rStyle w:val="BodyTextChar"/>
                <w:i/>
                <w:sz w:val="18"/>
                <w:szCs w:val="21"/>
              </w:rPr>
              <w:t>Consumers who identify as Māori have their health and disability needs met in a manner that respects and acknowledges their individual and cultural, values and beliefs.]</w:t>
            </w:r>
          </w:p>
        </w:tc>
        <w:tc>
          <w:tcPr>
            <w:tcW w:w="1139" w:type="dxa"/>
          </w:tcPr>
          <w:p w14:paraId="09782551"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tcPr>
          <w:p w14:paraId="613C5038"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tcPr>
          <w:p w14:paraId="61DE4C3C" w14:textId="77777777" w:rsidR="00A24C96" w:rsidRDefault="00A24C96" w:rsidP="00A24C96"/>
        </w:tc>
      </w:tr>
      <w:tr w:rsidR="007B2876" w14:paraId="3CE102C0" w14:textId="77777777" w:rsidTr="00954036">
        <w:tc>
          <w:tcPr>
            <w:tcW w:w="11340" w:type="dxa"/>
          </w:tcPr>
          <w:p w14:paraId="5A02E19E" w14:textId="77777777" w:rsidR="00CD268F" w:rsidRDefault="00CD268F" w:rsidP="00CD268F">
            <w:pPr>
              <w:pStyle w:val="TableText"/>
            </w:pPr>
            <w:r>
              <w:t>Comment: (eg. move standard to a different part, merge with a different standard)</w:t>
            </w:r>
          </w:p>
          <w:p w14:paraId="3B96553F" w14:textId="77777777" w:rsidR="00A24C96" w:rsidRDefault="00A24C96" w:rsidP="00954036">
            <w:pPr>
              <w:pStyle w:val="TableBullet"/>
              <w:spacing w:before="60" w:after="60"/>
              <w:rPr>
                <w:lang w:eastAsia="en-NZ"/>
              </w:rPr>
            </w:pPr>
            <w:r>
              <w:rPr>
                <w:lang w:eastAsia="en-NZ"/>
              </w:rPr>
              <w:t>Interest in an overarching standard and then woven throughout</w:t>
            </w:r>
          </w:p>
          <w:p w14:paraId="11512C7A" w14:textId="77777777" w:rsidR="00A24C96" w:rsidRDefault="00A24C96" w:rsidP="00954036">
            <w:pPr>
              <w:pStyle w:val="TableBullet"/>
              <w:spacing w:before="60" w:after="60"/>
              <w:rPr>
                <w:lang w:eastAsia="en-NZ"/>
              </w:rPr>
            </w:pPr>
            <w:r>
              <w:rPr>
                <w:lang w:eastAsia="en-NZ"/>
              </w:rPr>
              <w:t>Outcome needs to be strengthened to reduce variability</w:t>
            </w:r>
          </w:p>
          <w:p w14:paraId="72240EF2" w14:textId="77777777" w:rsidR="00A24C96" w:rsidRDefault="00A24C96" w:rsidP="00954036">
            <w:pPr>
              <w:pStyle w:val="TableBullet"/>
              <w:spacing w:before="60" w:after="60"/>
              <w:rPr>
                <w:lang w:eastAsia="en-NZ"/>
              </w:rPr>
            </w:pPr>
            <w:r>
              <w:rPr>
                <w:lang w:eastAsia="en-NZ"/>
              </w:rPr>
              <w:t>Strengthen for Kaupapa services (noting different care offered/provided) – ACC doing a lot of work re this: principles, language, whanau ora approach</w:t>
            </w:r>
          </w:p>
          <w:p w14:paraId="6C5E56D1" w14:textId="77777777" w:rsidR="00A24C96" w:rsidRDefault="00A24C96" w:rsidP="00954036">
            <w:pPr>
              <w:pStyle w:val="TableBullet"/>
              <w:spacing w:before="60" w:after="60"/>
              <w:rPr>
                <w:lang w:eastAsia="en-NZ"/>
              </w:rPr>
            </w:pPr>
            <w:r>
              <w:rPr>
                <w:lang w:eastAsia="en-NZ"/>
              </w:rPr>
              <w:t xml:space="preserve">No reference to Te Tiriti </w:t>
            </w:r>
            <w:r w:rsidRPr="00064E60">
              <w:rPr>
                <w:i/>
                <w:lang w:eastAsia="en-NZ"/>
              </w:rPr>
              <w:t>or Tino Rangatiratanga</w:t>
            </w:r>
            <w:r>
              <w:rPr>
                <w:i/>
                <w:lang w:eastAsia="en-NZ"/>
              </w:rPr>
              <w:t xml:space="preserve"> (L.Logan HCNZ)</w:t>
            </w:r>
          </w:p>
          <w:p w14:paraId="7A358855" w14:textId="77777777" w:rsidR="00A24C96" w:rsidRDefault="00A24C96" w:rsidP="00954036">
            <w:pPr>
              <w:pStyle w:val="TableBullet"/>
              <w:spacing w:before="60" w:after="60"/>
              <w:rPr>
                <w:lang w:eastAsia="en-NZ"/>
              </w:rPr>
            </w:pPr>
            <w:r>
              <w:rPr>
                <w:lang w:eastAsia="en-NZ"/>
              </w:rPr>
              <w:lastRenderedPageBreak/>
              <w:t xml:space="preserve">National Service Specification discussed </w:t>
            </w:r>
          </w:p>
          <w:p w14:paraId="72BC212F" w14:textId="77777777" w:rsidR="007B2876" w:rsidRDefault="00A24C96" w:rsidP="00954036">
            <w:pPr>
              <w:pStyle w:val="TableBullet"/>
              <w:spacing w:before="60" w:after="60"/>
            </w:pPr>
            <w:r w:rsidRPr="00064E60">
              <w:rPr>
                <w:i/>
                <w:lang w:eastAsia="en-NZ"/>
              </w:rPr>
              <w:t>Equity focus (L.Logan, HCNZ)</w:t>
            </w:r>
          </w:p>
        </w:tc>
        <w:tc>
          <w:tcPr>
            <w:tcW w:w="1139" w:type="dxa"/>
          </w:tcPr>
          <w:p w14:paraId="3651EF1A" w14:textId="77777777" w:rsidR="007B2876" w:rsidRDefault="007B2876" w:rsidP="00EF435A"/>
        </w:tc>
        <w:tc>
          <w:tcPr>
            <w:tcW w:w="993" w:type="dxa"/>
          </w:tcPr>
          <w:p w14:paraId="004E88FF" w14:textId="77777777" w:rsidR="007B2876" w:rsidRDefault="007B2876" w:rsidP="00EF435A"/>
        </w:tc>
        <w:tc>
          <w:tcPr>
            <w:tcW w:w="987" w:type="dxa"/>
          </w:tcPr>
          <w:p w14:paraId="5FEA5C3A" w14:textId="77777777" w:rsidR="007B2876" w:rsidRDefault="007B2876" w:rsidP="00EF435A"/>
        </w:tc>
      </w:tr>
      <w:tr w:rsidR="007B2876" w:rsidRPr="007B2876" w14:paraId="121078DB" w14:textId="77777777" w:rsidTr="00954036">
        <w:tc>
          <w:tcPr>
            <w:tcW w:w="11340" w:type="dxa"/>
            <w:shd w:val="clear" w:color="auto" w:fill="F2F2F2" w:themeFill="background1" w:themeFillShade="F2"/>
          </w:tcPr>
          <w:p w14:paraId="1F335445" w14:textId="77777777" w:rsidR="007B2876" w:rsidRPr="007B2876" w:rsidRDefault="007B2876" w:rsidP="007B2876">
            <w:pPr>
              <w:pStyle w:val="TableText"/>
              <w:spacing w:before="60" w:after="60"/>
              <w:rPr>
                <w:b/>
              </w:rPr>
            </w:pPr>
            <w:r w:rsidRPr="007B2876">
              <w:rPr>
                <w:b/>
              </w:rPr>
              <w:t>Standard 1.5: Recognition of Pacific People’s Values and Beliefs</w:t>
            </w:r>
          </w:p>
        </w:tc>
        <w:tc>
          <w:tcPr>
            <w:tcW w:w="1139" w:type="dxa"/>
            <w:shd w:val="clear" w:color="auto" w:fill="F2F2F2" w:themeFill="background1" w:themeFillShade="F2"/>
          </w:tcPr>
          <w:p w14:paraId="0F34B0B6"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736C0131"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1176B528" w14:textId="77777777" w:rsidR="007B2876" w:rsidRPr="007B2876" w:rsidRDefault="007B2876" w:rsidP="007B2876">
            <w:pPr>
              <w:pStyle w:val="TableText"/>
              <w:spacing w:before="60" w:after="60"/>
              <w:rPr>
                <w:b/>
              </w:rPr>
            </w:pPr>
          </w:p>
        </w:tc>
      </w:tr>
      <w:tr w:rsidR="00A24C96" w14:paraId="253F4F5C" w14:textId="77777777" w:rsidTr="00954036">
        <w:tc>
          <w:tcPr>
            <w:tcW w:w="11340" w:type="dxa"/>
          </w:tcPr>
          <w:p w14:paraId="1CF91B50" w14:textId="77777777" w:rsidR="00A24C96" w:rsidRPr="00A24C96" w:rsidRDefault="00A24C96" w:rsidP="00A24C96">
            <w:pPr>
              <w:pStyle w:val="TableText"/>
              <w:rPr>
                <w:rStyle w:val="BodyTextChar"/>
                <w:sz w:val="18"/>
                <w:szCs w:val="21"/>
              </w:rPr>
            </w:pPr>
            <w:r w:rsidRPr="00A24C96">
              <w:rPr>
                <w:rStyle w:val="BodyTextChar"/>
                <w:sz w:val="18"/>
                <w:szCs w:val="21"/>
              </w:rPr>
              <w:t>Pacific consumers have their health and disability needs met in a manner that respects and acknowledges their individual and cultural values and beliefs.</w:t>
            </w:r>
          </w:p>
          <w:p w14:paraId="1B9996EB" w14:textId="77777777" w:rsidR="00A24C96" w:rsidRPr="00A24C96" w:rsidRDefault="00A24C96" w:rsidP="00A24C96">
            <w:pPr>
              <w:pStyle w:val="TableText"/>
              <w:rPr>
                <w:i/>
              </w:rPr>
            </w:pPr>
            <w:r w:rsidRPr="00A24C96">
              <w:rPr>
                <w:rStyle w:val="BodyTextChar"/>
                <w:i/>
                <w:sz w:val="18"/>
                <w:szCs w:val="21"/>
              </w:rPr>
              <w:t>[</w:t>
            </w:r>
            <w:r w:rsidRPr="00A24C96">
              <w:rPr>
                <w:i/>
              </w:rPr>
              <w:t>Standard 1.1.5: Recognition Of Pacific Values And Beliefs</w:t>
            </w:r>
            <w:r w:rsidRPr="00A24C96">
              <w:rPr>
                <w:rStyle w:val="Heading4Char"/>
                <w:rFonts w:eastAsiaTheme="minorHAnsi"/>
                <w:b w:val="0"/>
                <w:i/>
                <w:iCs w:val="0"/>
                <w:color w:val="auto"/>
                <w:szCs w:val="21"/>
              </w:rPr>
              <w:t xml:space="preserve"> (</w:t>
            </w:r>
            <w:r w:rsidRPr="00A24C96">
              <w:rPr>
                <w:i/>
              </w:rPr>
              <w:t xml:space="preserve">HDS(C)S.2008:1.1.5): </w:t>
            </w:r>
            <w:r w:rsidRPr="00A24C96">
              <w:rPr>
                <w:rStyle w:val="BodyTextChar"/>
                <w:i/>
                <w:sz w:val="18"/>
                <w:szCs w:val="21"/>
              </w:rPr>
              <w:t>Pacific consumers have their health and disability needs met in a manner that respects and acknowledges their individual and cultural, values and beliefs.]</w:t>
            </w:r>
          </w:p>
        </w:tc>
        <w:tc>
          <w:tcPr>
            <w:tcW w:w="1139" w:type="dxa"/>
          </w:tcPr>
          <w:p w14:paraId="6E3F7A74"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tcPr>
          <w:p w14:paraId="1449A01E"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tcPr>
          <w:p w14:paraId="679048A2" w14:textId="77777777" w:rsidR="00A24C96" w:rsidRDefault="00A24C96" w:rsidP="00A24C96"/>
        </w:tc>
      </w:tr>
      <w:tr w:rsidR="007B2876" w14:paraId="068A100F" w14:textId="77777777" w:rsidTr="00954036">
        <w:tc>
          <w:tcPr>
            <w:tcW w:w="11340" w:type="dxa"/>
          </w:tcPr>
          <w:p w14:paraId="08D45477" w14:textId="77777777" w:rsidR="00CD268F" w:rsidRDefault="00CD268F" w:rsidP="00CD268F">
            <w:pPr>
              <w:pStyle w:val="TableText"/>
            </w:pPr>
            <w:r>
              <w:t>Comment: (eg. move standard to a different part, merge with a different standard)</w:t>
            </w:r>
          </w:p>
          <w:p w14:paraId="54B91D1D" w14:textId="77777777" w:rsidR="00A24C96" w:rsidRDefault="00A24C96" w:rsidP="00954036">
            <w:pPr>
              <w:pStyle w:val="TableBullet"/>
              <w:spacing w:before="60" w:after="60"/>
              <w:rPr>
                <w:lang w:eastAsia="en-NZ"/>
              </w:rPr>
            </w:pPr>
            <w:r>
              <w:rPr>
                <w:lang w:eastAsia="en-NZ"/>
              </w:rPr>
              <w:t xml:space="preserve">HCSS framework is specific re Maori &amp; Pacific </w:t>
            </w:r>
          </w:p>
          <w:p w14:paraId="5C9ED11A" w14:textId="77777777" w:rsidR="00A24C96" w:rsidRDefault="00A24C96" w:rsidP="00954036">
            <w:pPr>
              <w:pStyle w:val="TableBullet"/>
              <w:spacing w:before="60" w:after="60"/>
              <w:rPr>
                <w:lang w:eastAsia="en-NZ"/>
              </w:rPr>
            </w:pPr>
            <w:r>
              <w:rPr>
                <w:lang w:eastAsia="en-NZ"/>
              </w:rPr>
              <w:t>Health workforce planning includes specific Pacifica</w:t>
            </w:r>
          </w:p>
          <w:p w14:paraId="53C8BE0B" w14:textId="77777777" w:rsidR="00A24C96" w:rsidRDefault="00A24C96" w:rsidP="00954036">
            <w:pPr>
              <w:pStyle w:val="TableBullet"/>
              <w:spacing w:before="60" w:after="60"/>
              <w:rPr>
                <w:lang w:eastAsia="en-NZ"/>
              </w:rPr>
            </w:pPr>
            <w:r>
              <w:rPr>
                <w:lang w:eastAsia="en-NZ"/>
              </w:rPr>
              <w:t>There are other cultures coming in – could open to all – links back to diversity (refer comments 1.3)</w:t>
            </w:r>
          </w:p>
          <w:p w14:paraId="572F7F8A" w14:textId="77777777" w:rsidR="00A24C96" w:rsidRDefault="00A24C96" w:rsidP="00954036">
            <w:pPr>
              <w:pStyle w:val="TableBullet"/>
              <w:spacing w:before="60" w:after="60"/>
              <w:rPr>
                <w:lang w:eastAsia="en-NZ"/>
              </w:rPr>
            </w:pPr>
            <w:r>
              <w:rPr>
                <w:lang w:eastAsia="en-NZ"/>
              </w:rPr>
              <w:t>Consider areas of deprivation (in respect of cultural responsiveness)</w:t>
            </w:r>
          </w:p>
          <w:p w14:paraId="543CBF47" w14:textId="77777777" w:rsidR="007B2876" w:rsidRDefault="00A24C96" w:rsidP="00954036">
            <w:pPr>
              <w:pStyle w:val="TableBullet"/>
              <w:spacing w:before="60" w:after="60"/>
            </w:pPr>
            <w:r w:rsidRPr="00064E60">
              <w:rPr>
                <w:i/>
                <w:lang w:eastAsia="en-NZ"/>
              </w:rPr>
              <w:t>Co-design approach, Equity focus (L.Logan, HCNZ)</w:t>
            </w:r>
          </w:p>
        </w:tc>
        <w:tc>
          <w:tcPr>
            <w:tcW w:w="1139" w:type="dxa"/>
          </w:tcPr>
          <w:p w14:paraId="3982E115" w14:textId="77777777" w:rsidR="007B2876" w:rsidRDefault="007B2876" w:rsidP="00EF435A"/>
        </w:tc>
        <w:tc>
          <w:tcPr>
            <w:tcW w:w="993" w:type="dxa"/>
          </w:tcPr>
          <w:p w14:paraId="6D01B7BF" w14:textId="77777777" w:rsidR="007B2876" w:rsidRDefault="007B2876" w:rsidP="00EF435A"/>
        </w:tc>
        <w:tc>
          <w:tcPr>
            <w:tcW w:w="987" w:type="dxa"/>
          </w:tcPr>
          <w:p w14:paraId="75F30169" w14:textId="77777777" w:rsidR="007B2876" w:rsidRDefault="007B2876" w:rsidP="00EF435A"/>
        </w:tc>
      </w:tr>
      <w:tr w:rsidR="007B2876" w:rsidRPr="007B2876" w14:paraId="7AF60B26" w14:textId="77777777" w:rsidTr="00954036">
        <w:tc>
          <w:tcPr>
            <w:tcW w:w="11340" w:type="dxa"/>
            <w:shd w:val="clear" w:color="auto" w:fill="F2F2F2" w:themeFill="background1" w:themeFillShade="F2"/>
          </w:tcPr>
          <w:p w14:paraId="7996CD1D" w14:textId="77777777" w:rsidR="007B2876" w:rsidRPr="007B2876" w:rsidRDefault="007B2876" w:rsidP="007B2876">
            <w:pPr>
              <w:pStyle w:val="TableText"/>
              <w:spacing w:before="60" w:after="60"/>
              <w:rPr>
                <w:b/>
              </w:rPr>
            </w:pPr>
            <w:r w:rsidRPr="007B2876">
              <w:rPr>
                <w:b/>
              </w:rPr>
              <w:t>Standard 1.6: Communication in a Manner that the Consumer can understand</w:t>
            </w:r>
          </w:p>
        </w:tc>
        <w:tc>
          <w:tcPr>
            <w:tcW w:w="1139" w:type="dxa"/>
            <w:shd w:val="clear" w:color="auto" w:fill="F2F2F2" w:themeFill="background1" w:themeFillShade="F2"/>
          </w:tcPr>
          <w:p w14:paraId="2947BE2F"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4057D33C"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044F8D8D" w14:textId="77777777" w:rsidR="007B2876" w:rsidRPr="007B2876" w:rsidRDefault="007B2876" w:rsidP="007B2876">
            <w:pPr>
              <w:pStyle w:val="TableText"/>
              <w:spacing w:before="60" w:after="60"/>
              <w:rPr>
                <w:b/>
              </w:rPr>
            </w:pPr>
          </w:p>
        </w:tc>
      </w:tr>
      <w:tr w:rsidR="00A24C96" w14:paraId="0239497B" w14:textId="77777777" w:rsidTr="00954036">
        <w:tc>
          <w:tcPr>
            <w:tcW w:w="11340" w:type="dxa"/>
          </w:tcPr>
          <w:p w14:paraId="4C16A219" w14:textId="77777777" w:rsidR="00A24C96" w:rsidRPr="00A24C96" w:rsidRDefault="00A24C96" w:rsidP="00A24C96">
            <w:pPr>
              <w:pStyle w:val="TableText"/>
              <w:rPr>
                <w:rStyle w:val="BodyTextChar"/>
                <w:sz w:val="18"/>
                <w:szCs w:val="21"/>
              </w:rPr>
            </w:pPr>
            <w:r w:rsidRPr="00A24C96">
              <w:rPr>
                <w:rStyle w:val="BodyTextChar"/>
                <w:sz w:val="18"/>
                <w:szCs w:val="21"/>
              </w:rPr>
              <w:t>Information is communicated to consumers in a manner that the consumer can understand.</w:t>
            </w:r>
          </w:p>
          <w:p w14:paraId="1B556523" w14:textId="77777777" w:rsidR="00A24C96" w:rsidRPr="00A24C96" w:rsidRDefault="00A24C96" w:rsidP="00A24C96">
            <w:pPr>
              <w:pStyle w:val="TableText"/>
              <w:rPr>
                <w:i/>
              </w:rPr>
            </w:pPr>
            <w:r w:rsidRPr="00A24C96">
              <w:rPr>
                <w:i/>
              </w:rPr>
              <w:t>[Standard 1.1.9: Communication</w:t>
            </w:r>
            <w:r w:rsidRPr="00A24C96">
              <w:rPr>
                <w:rStyle w:val="Heading4Char"/>
                <w:rFonts w:eastAsiaTheme="minorHAnsi"/>
                <w:b w:val="0"/>
                <w:i/>
                <w:iCs w:val="0"/>
                <w:color w:val="auto"/>
                <w:szCs w:val="21"/>
              </w:rPr>
              <w:t xml:space="preserve"> (</w:t>
            </w:r>
            <w:r w:rsidRPr="00A24C96">
              <w:rPr>
                <w:i/>
              </w:rPr>
              <w:t xml:space="preserve">HDS(C)S.2008:1.1.9): </w:t>
            </w:r>
            <w:r w:rsidRPr="00A24C96">
              <w:rPr>
                <w:rStyle w:val="BodyTextChar"/>
                <w:i/>
                <w:sz w:val="18"/>
                <w:szCs w:val="21"/>
              </w:rPr>
              <w:t>Service providers communicate effectively with consumers and provide an environment conducive to effective communication.]</w:t>
            </w:r>
          </w:p>
        </w:tc>
        <w:tc>
          <w:tcPr>
            <w:tcW w:w="1139" w:type="dxa"/>
          </w:tcPr>
          <w:p w14:paraId="3615B134"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tcPr>
          <w:p w14:paraId="793BE849"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tcPr>
          <w:p w14:paraId="0A4B34E7" w14:textId="77777777" w:rsidR="00A24C96" w:rsidRDefault="00A24C96" w:rsidP="00A24C96"/>
        </w:tc>
      </w:tr>
      <w:tr w:rsidR="007B2876" w14:paraId="2F09C2F3" w14:textId="77777777" w:rsidTr="00954036">
        <w:tc>
          <w:tcPr>
            <w:tcW w:w="11340" w:type="dxa"/>
          </w:tcPr>
          <w:p w14:paraId="6AC492B4" w14:textId="77777777" w:rsidR="00CD268F" w:rsidRDefault="00CD268F" w:rsidP="00CD268F">
            <w:pPr>
              <w:pStyle w:val="TableText"/>
            </w:pPr>
            <w:r>
              <w:t>Comment: (eg. move standard to a different part, merge with a different standard)</w:t>
            </w:r>
          </w:p>
          <w:p w14:paraId="123CE4E1" w14:textId="77777777" w:rsidR="00A24C96" w:rsidRDefault="00A24C96" w:rsidP="00954036">
            <w:pPr>
              <w:pStyle w:val="TableBullet"/>
              <w:spacing w:before="60" w:after="60"/>
              <w:rPr>
                <w:lang w:eastAsia="en-NZ"/>
              </w:rPr>
            </w:pPr>
            <w:r>
              <w:rPr>
                <w:lang w:eastAsia="en-NZ"/>
              </w:rPr>
              <w:t>Support overarching standard, then woven through (noting a view the standard could be deleted if communication is woven through)</w:t>
            </w:r>
          </w:p>
          <w:p w14:paraId="45253BEB" w14:textId="77777777" w:rsidR="00A24C96" w:rsidRPr="00A72697" w:rsidRDefault="00A24C96" w:rsidP="00954036">
            <w:pPr>
              <w:pStyle w:val="Table2ndBullet"/>
              <w:spacing w:before="60" w:after="60"/>
              <w:rPr>
                <w:lang w:eastAsia="en-NZ"/>
              </w:rPr>
            </w:pPr>
            <w:r w:rsidRPr="00C35338">
              <w:t>I wasn’t in this group but our group discussed communication as an overarching statement because it is a central component in all of the standards</w:t>
            </w:r>
            <w:r>
              <w:t xml:space="preserve"> (L.Russell, Alzheimers NZ)</w:t>
            </w:r>
          </w:p>
          <w:p w14:paraId="40787858" w14:textId="77777777" w:rsidR="00A24C96" w:rsidRPr="00A72697" w:rsidRDefault="00A24C96" w:rsidP="00954036">
            <w:pPr>
              <w:pStyle w:val="Table2ndBullet"/>
              <w:spacing w:before="60" w:after="60"/>
            </w:pPr>
            <w:r w:rsidRPr="00A72697">
              <w:t xml:space="preserve">If we have an overarching standard and it woven through then there is a potential for audit evidence to be repeated rather than streamlined.  Suggest communication is important in all aspects of care then woven within a number </w:t>
            </w:r>
            <w:r>
              <w:t>o</w:t>
            </w:r>
            <w:r w:rsidRPr="00A72697">
              <w:t>f standards at a criterion level would meet the intent</w:t>
            </w:r>
            <w:r>
              <w:t xml:space="preserve"> (L.Cochrane, HDANZ)</w:t>
            </w:r>
          </w:p>
          <w:p w14:paraId="68AD96DE" w14:textId="77777777" w:rsidR="00A24C96" w:rsidRDefault="00A24C96" w:rsidP="00954036">
            <w:pPr>
              <w:pStyle w:val="TableBullet"/>
              <w:spacing w:before="60" w:after="60"/>
              <w:rPr>
                <w:lang w:eastAsia="en-NZ"/>
              </w:rPr>
            </w:pPr>
            <w:r>
              <w:rPr>
                <w:lang w:eastAsia="en-NZ"/>
              </w:rPr>
              <w:t>Communication is a two way flow of information - important to have people’s input into, rather than just listening to</w:t>
            </w:r>
          </w:p>
          <w:p w14:paraId="6681A6C0" w14:textId="77777777" w:rsidR="00A24C96" w:rsidRDefault="00A24C96" w:rsidP="00954036">
            <w:pPr>
              <w:pStyle w:val="TableBullet"/>
              <w:spacing w:before="60" w:after="60"/>
              <w:rPr>
                <w:lang w:eastAsia="en-NZ"/>
              </w:rPr>
            </w:pPr>
            <w:r>
              <w:rPr>
                <w:lang w:eastAsia="en-NZ"/>
              </w:rPr>
              <w:t>Discussion around support workers not turning up (particular note re rural settings) – finding support workers may be a challenge</w:t>
            </w:r>
          </w:p>
          <w:p w14:paraId="16E7075E" w14:textId="77777777" w:rsidR="00A24C96" w:rsidRDefault="00A24C96" w:rsidP="00954036">
            <w:pPr>
              <w:pStyle w:val="TableBullet"/>
              <w:spacing w:before="60" w:after="60"/>
              <w:rPr>
                <w:lang w:eastAsia="en-NZ"/>
              </w:rPr>
            </w:pPr>
            <w:r>
              <w:rPr>
                <w:lang w:eastAsia="en-NZ"/>
              </w:rPr>
              <w:lastRenderedPageBreak/>
              <w:t>Cost/ funding discussed</w:t>
            </w:r>
          </w:p>
          <w:p w14:paraId="38125F0A" w14:textId="77777777" w:rsidR="00A24C96" w:rsidRDefault="00A24C96" w:rsidP="00954036">
            <w:pPr>
              <w:pStyle w:val="TableBullet"/>
              <w:spacing w:before="60" w:after="60"/>
              <w:rPr>
                <w:lang w:eastAsia="en-NZ"/>
              </w:rPr>
            </w:pPr>
            <w:r>
              <w:rPr>
                <w:lang w:eastAsia="en-NZ"/>
              </w:rPr>
              <w:t>Consumer needs to have a voice</w:t>
            </w:r>
          </w:p>
          <w:p w14:paraId="33D4DDD2" w14:textId="77777777" w:rsidR="00A24C96" w:rsidRDefault="00A24C96" w:rsidP="00954036">
            <w:pPr>
              <w:pStyle w:val="TableBullet"/>
              <w:spacing w:before="60" w:after="60"/>
              <w:rPr>
                <w:lang w:eastAsia="en-NZ"/>
              </w:rPr>
            </w:pPr>
            <w:r>
              <w:rPr>
                <w:lang w:eastAsia="en-NZ"/>
              </w:rPr>
              <w:t>Interest in the UNCRPD (United Nations Convention on the Rights of Persons with Disabilities) language/ requirements being included</w:t>
            </w:r>
          </w:p>
          <w:p w14:paraId="084E9D4E" w14:textId="77777777" w:rsidR="00A24C96" w:rsidRPr="00064E60" w:rsidRDefault="00A24C96" w:rsidP="00954036">
            <w:pPr>
              <w:pStyle w:val="TableBullet"/>
              <w:spacing w:before="60" w:after="60"/>
              <w:rPr>
                <w:i/>
              </w:rPr>
            </w:pPr>
            <w:r>
              <w:rPr>
                <w:lang w:eastAsia="en-NZ"/>
              </w:rPr>
              <w:t>Issue of understanding discussed – particularly with cognitive decline (I did understand, but don’t anymore)</w:t>
            </w:r>
          </w:p>
          <w:p w14:paraId="4AF56EE9" w14:textId="77777777" w:rsidR="00A24C96" w:rsidRDefault="00A24C96" w:rsidP="00954036">
            <w:pPr>
              <w:pStyle w:val="TableBullet"/>
              <w:spacing w:before="60" w:after="60"/>
              <w:rPr>
                <w:i/>
              </w:rPr>
            </w:pPr>
            <w:r w:rsidRPr="00064E60">
              <w:rPr>
                <w:i/>
              </w:rPr>
              <w:t>People are supported to communicate their responses – ensuring their voice is heard and their needs are met (L.Logan, HCNZ)</w:t>
            </w:r>
          </w:p>
          <w:p w14:paraId="44ACB59D" w14:textId="77777777" w:rsidR="007B2876" w:rsidRDefault="00A24C96" w:rsidP="00954036">
            <w:pPr>
              <w:pStyle w:val="TableBullet"/>
              <w:spacing w:before="60" w:after="60"/>
            </w:pPr>
            <w:r w:rsidRPr="00892DAD">
              <w:rPr>
                <w:i/>
                <w:lang w:eastAsia="en-NZ"/>
              </w:rPr>
              <w:t>Consider need for non verbal communication or communication that is easily understood for people with cognitive impairment …  DPA – Easy to read guide concepts</w:t>
            </w:r>
            <w:r>
              <w:rPr>
                <w:i/>
                <w:lang w:eastAsia="en-NZ"/>
              </w:rPr>
              <w:t xml:space="preserve"> (V.Russell, Lakes DHB)</w:t>
            </w:r>
          </w:p>
        </w:tc>
        <w:tc>
          <w:tcPr>
            <w:tcW w:w="1139" w:type="dxa"/>
          </w:tcPr>
          <w:p w14:paraId="30C02120" w14:textId="77777777" w:rsidR="007B2876" w:rsidRDefault="007B2876" w:rsidP="00EF435A"/>
        </w:tc>
        <w:tc>
          <w:tcPr>
            <w:tcW w:w="993" w:type="dxa"/>
          </w:tcPr>
          <w:p w14:paraId="55C3A157" w14:textId="77777777" w:rsidR="007B2876" w:rsidRDefault="007B2876" w:rsidP="00EF435A"/>
        </w:tc>
        <w:tc>
          <w:tcPr>
            <w:tcW w:w="987" w:type="dxa"/>
          </w:tcPr>
          <w:p w14:paraId="4D1162D7" w14:textId="77777777" w:rsidR="007B2876" w:rsidRDefault="007B2876" w:rsidP="00EF435A"/>
        </w:tc>
      </w:tr>
      <w:tr w:rsidR="007B2876" w:rsidRPr="007B2876" w14:paraId="26B41853" w14:textId="77777777" w:rsidTr="00954036">
        <w:tc>
          <w:tcPr>
            <w:tcW w:w="11340" w:type="dxa"/>
            <w:shd w:val="clear" w:color="auto" w:fill="F2F2F2" w:themeFill="background1" w:themeFillShade="F2"/>
          </w:tcPr>
          <w:p w14:paraId="2488ACE3" w14:textId="77777777" w:rsidR="007B2876" w:rsidRPr="007B2876" w:rsidRDefault="007B2876" w:rsidP="007B2876">
            <w:pPr>
              <w:pStyle w:val="TableText"/>
              <w:spacing w:before="60" w:after="60"/>
              <w:rPr>
                <w:b/>
              </w:rPr>
            </w:pPr>
            <w:r w:rsidRPr="007B2876">
              <w:rPr>
                <w:b/>
              </w:rPr>
              <w:t>Standard 1.7: Freedom from Abuse or Neglect</w:t>
            </w:r>
          </w:p>
        </w:tc>
        <w:tc>
          <w:tcPr>
            <w:tcW w:w="1139" w:type="dxa"/>
            <w:shd w:val="clear" w:color="auto" w:fill="F2F2F2" w:themeFill="background1" w:themeFillShade="F2"/>
          </w:tcPr>
          <w:p w14:paraId="2A5D3451"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54ACD593"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058A538E" w14:textId="77777777" w:rsidR="007B2876" w:rsidRPr="007B2876" w:rsidRDefault="007B2876" w:rsidP="007B2876">
            <w:pPr>
              <w:pStyle w:val="TableText"/>
              <w:spacing w:before="60" w:after="60"/>
              <w:rPr>
                <w:b/>
              </w:rPr>
            </w:pPr>
          </w:p>
        </w:tc>
      </w:tr>
      <w:tr w:rsidR="00A24C96" w14:paraId="1D6D7B62" w14:textId="77777777" w:rsidTr="00954036">
        <w:tc>
          <w:tcPr>
            <w:tcW w:w="11340" w:type="dxa"/>
          </w:tcPr>
          <w:p w14:paraId="6615E24B" w14:textId="77777777" w:rsidR="00A24C96" w:rsidRPr="00A24C96" w:rsidRDefault="00A24C96" w:rsidP="00A24C96">
            <w:pPr>
              <w:pStyle w:val="TableText"/>
              <w:rPr>
                <w:rStyle w:val="BodyTextChar"/>
                <w:sz w:val="18"/>
                <w:szCs w:val="21"/>
              </w:rPr>
            </w:pPr>
            <w:r w:rsidRPr="00A24C96">
              <w:rPr>
                <w:rStyle w:val="BodyTextChar"/>
                <w:sz w:val="18"/>
                <w:szCs w:val="21"/>
              </w:rPr>
              <w:t>Consumers are free from any discrimination, coercion, harassment, sexual, financial, or other exploitation, abuse (physical, psychological, sexual, or financial), or neglect.</w:t>
            </w:r>
          </w:p>
          <w:p w14:paraId="709755A6" w14:textId="77777777" w:rsidR="00A24C96" w:rsidRPr="00A24C96" w:rsidRDefault="00A24C96" w:rsidP="00A24C96">
            <w:pPr>
              <w:pStyle w:val="TableText"/>
              <w:rPr>
                <w:i/>
              </w:rPr>
            </w:pPr>
            <w:r w:rsidRPr="00A24C96">
              <w:rPr>
                <w:rStyle w:val="BodyTextChar"/>
                <w:i/>
                <w:sz w:val="18"/>
                <w:szCs w:val="21"/>
              </w:rPr>
              <w:t>[</w:t>
            </w:r>
            <w:r w:rsidRPr="00A24C96">
              <w:rPr>
                <w:i/>
              </w:rPr>
              <w:t>Standard 1.1.7: Discrimination</w:t>
            </w:r>
            <w:r w:rsidRPr="00A24C96">
              <w:rPr>
                <w:rStyle w:val="Heading4Char"/>
                <w:rFonts w:eastAsiaTheme="minorHAnsi"/>
                <w:b w:val="0"/>
                <w:i/>
                <w:iCs w:val="0"/>
                <w:color w:val="auto"/>
                <w:szCs w:val="21"/>
              </w:rPr>
              <w:t xml:space="preserve"> (</w:t>
            </w:r>
            <w:r w:rsidRPr="00A24C96">
              <w:rPr>
                <w:i/>
              </w:rPr>
              <w:t xml:space="preserve">HDS(C)S.2008:1.1.7): </w:t>
            </w:r>
            <w:r w:rsidRPr="00A24C96">
              <w:rPr>
                <w:rStyle w:val="BodyTextChar"/>
                <w:i/>
                <w:sz w:val="18"/>
                <w:szCs w:val="21"/>
              </w:rPr>
              <w:t>Consumers are free from any discrimination, coercion, harassment, sexual, financial, or other exploitation]</w:t>
            </w:r>
          </w:p>
        </w:tc>
        <w:tc>
          <w:tcPr>
            <w:tcW w:w="1139" w:type="dxa"/>
          </w:tcPr>
          <w:p w14:paraId="78BDAB8D"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tcPr>
          <w:p w14:paraId="1F6B2FF1"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tcPr>
          <w:p w14:paraId="6E1B03CB"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r>
      <w:tr w:rsidR="007B2876" w14:paraId="1C68B703" w14:textId="77777777" w:rsidTr="00954036">
        <w:tc>
          <w:tcPr>
            <w:tcW w:w="11340" w:type="dxa"/>
          </w:tcPr>
          <w:p w14:paraId="0C23232A" w14:textId="77777777" w:rsidR="00CD268F" w:rsidRDefault="00CD268F" w:rsidP="00CD268F">
            <w:pPr>
              <w:pStyle w:val="TableText"/>
            </w:pPr>
            <w:r>
              <w:t>Comment: (eg. move standard to a different part, merge with a different standard)</w:t>
            </w:r>
          </w:p>
          <w:p w14:paraId="3B08BD74" w14:textId="77777777" w:rsidR="00A24C96" w:rsidRDefault="00A24C96" w:rsidP="00954036">
            <w:pPr>
              <w:pStyle w:val="TableBullet"/>
              <w:spacing w:before="60" w:after="60"/>
              <w:rPr>
                <w:lang w:eastAsia="en-NZ"/>
              </w:rPr>
            </w:pPr>
            <w:r>
              <w:rPr>
                <w:lang w:eastAsia="en-NZ"/>
              </w:rPr>
              <w:t>Retain the financial aspect – financial abuse continues to be a problem</w:t>
            </w:r>
          </w:p>
          <w:p w14:paraId="5958D1A6" w14:textId="77777777" w:rsidR="00A24C96" w:rsidRDefault="00A24C96" w:rsidP="00954036">
            <w:pPr>
              <w:pStyle w:val="TableBullet"/>
              <w:spacing w:before="60" w:after="60"/>
              <w:rPr>
                <w:lang w:eastAsia="en-NZ"/>
              </w:rPr>
            </w:pPr>
            <w:r>
              <w:rPr>
                <w:lang w:eastAsia="en-NZ"/>
              </w:rPr>
              <w:t>Support use of ‘safeguarding’ as term</w:t>
            </w:r>
          </w:p>
          <w:p w14:paraId="3F6FA439" w14:textId="77777777" w:rsidR="00A24C96" w:rsidRDefault="00A24C96" w:rsidP="00954036">
            <w:pPr>
              <w:pStyle w:val="TableBullet"/>
              <w:spacing w:before="60" w:after="60"/>
              <w:rPr>
                <w:lang w:eastAsia="en-NZ"/>
              </w:rPr>
            </w:pPr>
            <w:r>
              <w:rPr>
                <w:lang w:eastAsia="en-NZ"/>
              </w:rPr>
              <w:t>Language to be considered (strengths based, positive)</w:t>
            </w:r>
          </w:p>
          <w:p w14:paraId="38FBED28" w14:textId="77777777" w:rsidR="00A24C96" w:rsidRDefault="00A24C96" w:rsidP="00954036">
            <w:pPr>
              <w:pStyle w:val="TableBullet"/>
              <w:spacing w:before="60" w:after="60"/>
              <w:rPr>
                <w:lang w:eastAsia="en-NZ"/>
              </w:rPr>
            </w:pPr>
            <w:r>
              <w:rPr>
                <w:lang w:eastAsia="en-NZ"/>
              </w:rPr>
              <w:t>Don’t want standard to be too prescriptive – noting old standard very prescriptive</w:t>
            </w:r>
          </w:p>
          <w:p w14:paraId="33C5F831" w14:textId="77777777" w:rsidR="00A24C96" w:rsidRDefault="00A24C96" w:rsidP="00954036">
            <w:pPr>
              <w:pStyle w:val="TableBullet"/>
              <w:spacing w:before="60" w:after="60"/>
              <w:rPr>
                <w:lang w:eastAsia="en-NZ"/>
              </w:rPr>
            </w:pPr>
            <w:r>
              <w:rPr>
                <w:lang w:eastAsia="en-NZ"/>
              </w:rPr>
              <w:t>Want to include safety for staff – how to keep safe, how to escalate</w:t>
            </w:r>
          </w:p>
          <w:p w14:paraId="4CCF2F6A" w14:textId="77777777" w:rsidR="00A24C96" w:rsidRPr="00954036" w:rsidRDefault="00A24C96" w:rsidP="00954036">
            <w:pPr>
              <w:pStyle w:val="TableBullet"/>
              <w:spacing w:before="60" w:after="60"/>
              <w:rPr>
                <w:i/>
                <w:lang w:eastAsia="en-NZ"/>
              </w:rPr>
            </w:pPr>
            <w:r w:rsidRPr="00954036">
              <w:rPr>
                <w:i/>
                <w:lang w:eastAsia="en-NZ"/>
              </w:rPr>
              <w:t>Audit identifies findings around the ‘process shortfalls’ rather than experience of abuse/ neglect (L.Cochrane, HDANZ)</w:t>
            </w:r>
          </w:p>
          <w:p w14:paraId="435AD784" w14:textId="77777777" w:rsidR="00A24C96" w:rsidRDefault="00A24C96" w:rsidP="00954036">
            <w:pPr>
              <w:pStyle w:val="TableBullet"/>
              <w:spacing w:before="60" w:after="60"/>
              <w:rPr>
                <w:lang w:eastAsia="en-NZ"/>
              </w:rPr>
            </w:pPr>
            <w:r>
              <w:rPr>
                <w:lang w:eastAsia="en-NZ"/>
              </w:rPr>
              <w:t>Need guidance for HCSS</w:t>
            </w:r>
          </w:p>
          <w:p w14:paraId="0F0AACE9" w14:textId="77777777" w:rsidR="00A24C96" w:rsidRDefault="00A24C96" w:rsidP="00954036">
            <w:pPr>
              <w:pStyle w:val="TableBullet"/>
              <w:spacing w:before="60" w:after="60"/>
              <w:rPr>
                <w:lang w:eastAsia="en-NZ"/>
              </w:rPr>
            </w:pPr>
            <w:r>
              <w:rPr>
                <w:lang w:eastAsia="en-NZ"/>
              </w:rPr>
              <w:t>Potential to consolidate with 1.8 (NOT merge) – do not loose intent</w:t>
            </w:r>
          </w:p>
          <w:p w14:paraId="279824D6" w14:textId="77777777" w:rsidR="00A24C96" w:rsidRPr="00954036" w:rsidRDefault="00A24C96" w:rsidP="00954036">
            <w:pPr>
              <w:pStyle w:val="TableBullet"/>
              <w:spacing w:before="60" w:after="60"/>
              <w:rPr>
                <w:i/>
                <w:lang w:eastAsia="en-NZ"/>
              </w:rPr>
            </w:pPr>
            <w:r w:rsidRPr="00954036">
              <w:rPr>
                <w:i/>
                <w:lang w:eastAsia="en-NZ"/>
              </w:rPr>
              <w:t>There are other types of abuse and neglect such as medical, educational/vocational – advise not to be so prescriptive in the overarching standard and outline subtypes in the guidelines (L.Logan, HCNZ)</w:t>
            </w:r>
          </w:p>
          <w:p w14:paraId="12C9F671" w14:textId="77777777" w:rsidR="007B2876" w:rsidRPr="00954036" w:rsidRDefault="00A24C96" w:rsidP="00954036">
            <w:pPr>
              <w:pStyle w:val="TableBullet"/>
              <w:spacing w:before="60" w:after="60"/>
            </w:pPr>
            <w:r w:rsidRPr="00954036">
              <w:rPr>
                <w:i/>
                <w:lang w:eastAsia="en-NZ"/>
              </w:rPr>
              <w:t>New WorkSafe : Managing the Risk of Violence in the Health &amp; Disability sector guidance  - will influence need for minimising risk of violence to support workers (V.Russell, Lakes DHB)</w:t>
            </w:r>
          </w:p>
          <w:p w14:paraId="69001894" w14:textId="77777777" w:rsidR="00954036" w:rsidRDefault="00954036" w:rsidP="00954036">
            <w:pPr>
              <w:pStyle w:val="TableBullet"/>
              <w:numPr>
                <w:ilvl w:val="0"/>
                <w:numId w:val="0"/>
              </w:numPr>
              <w:spacing w:before="60" w:after="60"/>
              <w:ind w:left="213" w:hanging="213"/>
              <w:rPr>
                <w:i/>
                <w:lang w:eastAsia="en-NZ"/>
              </w:rPr>
            </w:pPr>
          </w:p>
          <w:p w14:paraId="43BBC334" w14:textId="77777777" w:rsidR="00954036" w:rsidRDefault="00954036" w:rsidP="00954036">
            <w:pPr>
              <w:pStyle w:val="TableBullet"/>
              <w:numPr>
                <w:ilvl w:val="0"/>
                <w:numId w:val="0"/>
              </w:numPr>
              <w:spacing w:before="60" w:after="60"/>
              <w:ind w:left="213" w:hanging="213"/>
              <w:rPr>
                <w:i/>
                <w:lang w:eastAsia="en-NZ"/>
              </w:rPr>
            </w:pPr>
          </w:p>
          <w:p w14:paraId="153C68C7" w14:textId="77777777" w:rsidR="00954036" w:rsidRDefault="00954036" w:rsidP="00954036">
            <w:pPr>
              <w:pStyle w:val="TableBullet"/>
              <w:numPr>
                <w:ilvl w:val="0"/>
                <w:numId w:val="0"/>
              </w:numPr>
              <w:spacing w:before="60" w:after="60"/>
              <w:ind w:left="213" w:hanging="213"/>
            </w:pPr>
          </w:p>
        </w:tc>
        <w:tc>
          <w:tcPr>
            <w:tcW w:w="1139" w:type="dxa"/>
          </w:tcPr>
          <w:p w14:paraId="498C4753" w14:textId="77777777" w:rsidR="007B2876" w:rsidRDefault="007B2876" w:rsidP="00EF435A"/>
        </w:tc>
        <w:tc>
          <w:tcPr>
            <w:tcW w:w="993" w:type="dxa"/>
          </w:tcPr>
          <w:p w14:paraId="25991B5D" w14:textId="77777777" w:rsidR="007B2876" w:rsidRDefault="007B2876" w:rsidP="00EF435A"/>
        </w:tc>
        <w:tc>
          <w:tcPr>
            <w:tcW w:w="987" w:type="dxa"/>
          </w:tcPr>
          <w:p w14:paraId="7DBB7AF3" w14:textId="77777777" w:rsidR="007B2876" w:rsidRDefault="007B2876" w:rsidP="00EF435A"/>
        </w:tc>
      </w:tr>
      <w:tr w:rsidR="007B2876" w:rsidRPr="007B2876" w14:paraId="2FFC353A" w14:textId="77777777" w:rsidTr="00954036">
        <w:tc>
          <w:tcPr>
            <w:tcW w:w="11340" w:type="dxa"/>
            <w:shd w:val="clear" w:color="auto" w:fill="F2F2F2" w:themeFill="background1" w:themeFillShade="F2"/>
          </w:tcPr>
          <w:p w14:paraId="7841B5F1" w14:textId="77777777" w:rsidR="007B2876" w:rsidRPr="007B2876" w:rsidRDefault="007B2876" w:rsidP="007B2876">
            <w:pPr>
              <w:pStyle w:val="TableText"/>
              <w:spacing w:before="60" w:after="60"/>
              <w:rPr>
                <w:b/>
              </w:rPr>
            </w:pPr>
            <w:r w:rsidRPr="007B2876">
              <w:rPr>
                <w:b/>
              </w:rPr>
              <w:lastRenderedPageBreak/>
              <w:t>Standard 1.8: Consumers' Belongings, Property, and Finances are Respected and Protected</w:t>
            </w:r>
          </w:p>
        </w:tc>
        <w:tc>
          <w:tcPr>
            <w:tcW w:w="1139" w:type="dxa"/>
            <w:shd w:val="clear" w:color="auto" w:fill="F2F2F2" w:themeFill="background1" w:themeFillShade="F2"/>
          </w:tcPr>
          <w:p w14:paraId="0BEDE62D"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40A3F722"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6D4CA253" w14:textId="77777777" w:rsidR="007B2876" w:rsidRPr="007B2876" w:rsidRDefault="007B2876" w:rsidP="007B2876">
            <w:pPr>
              <w:pStyle w:val="TableText"/>
              <w:spacing w:before="60" w:after="60"/>
              <w:rPr>
                <w:b/>
              </w:rPr>
            </w:pPr>
          </w:p>
        </w:tc>
      </w:tr>
      <w:tr w:rsidR="007B2876" w14:paraId="30B1D27C" w14:textId="77777777" w:rsidTr="00954036">
        <w:tc>
          <w:tcPr>
            <w:tcW w:w="11340" w:type="dxa"/>
          </w:tcPr>
          <w:p w14:paraId="7992BB46" w14:textId="77777777" w:rsidR="00A24C96" w:rsidRPr="00A24C96" w:rsidRDefault="00A24C96" w:rsidP="00A24C96">
            <w:pPr>
              <w:pStyle w:val="TableText"/>
              <w:rPr>
                <w:rStyle w:val="BodyTextChar"/>
                <w:sz w:val="18"/>
                <w:szCs w:val="21"/>
              </w:rPr>
            </w:pPr>
            <w:r w:rsidRPr="00A24C96">
              <w:rPr>
                <w:rStyle w:val="BodyTextChar"/>
                <w:sz w:val="18"/>
                <w:szCs w:val="21"/>
              </w:rPr>
              <w:t>Consumers’ belongings, property, and finances are respected at all times.</w:t>
            </w:r>
          </w:p>
          <w:p w14:paraId="0D275808" w14:textId="77777777" w:rsidR="007B2876" w:rsidRDefault="00A24C96" w:rsidP="00A24C96">
            <w:pPr>
              <w:pStyle w:val="TableText"/>
            </w:pPr>
            <w:r w:rsidRPr="00A24C96">
              <w:rPr>
                <w:rStyle w:val="BodyTextChar"/>
                <w:sz w:val="18"/>
                <w:szCs w:val="21"/>
              </w:rPr>
              <w:t>[Link 1.1.7]</w:t>
            </w:r>
          </w:p>
        </w:tc>
        <w:tc>
          <w:tcPr>
            <w:tcW w:w="1139" w:type="dxa"/>
          </w:tcPr>
          <w:p w14:paraId="3968D817" w14:textId="77777777" w:rsidR="007B2876" w:rsidRDefault="007B2876" w:rsidP="00EF435A"/>
        </w:tc>
        <w:tc>
          <w:tcPr>
            <w:tcW w:w="993" w:type="dxa"/>
          </w:tcPr>
          <w:p w14:paraId="0636B224" w14:textId="77777777" w:rsidR="007B2876" w:rsidRDefault="007B2876" w:rsidP="00EF435A"/>
        </w:tc>
        <w:tc>
          <w:tcPr>
            <w:tcW w:w="987" w:type="dxa"/>
          </w:tcPr>
          <w:p w14:paraId="7B5CC300" w14:textId="77777777" w:rsidR="007B2876" w:rsidRDefault="00A24C96" w:rsidP="00954036">
            <w:pPr>
              <w:pStyle w:val="NoSpacing"/>
              <w:spacing w:before="240"/>
              <w:jc w:val="center"/>
            </w:pPr>
            <w:r w:rsidRPr="00954036">
              <w:rPr>
                <w:rFonts w:ascii="Segoe UI Symbol" w:hAnsi="Segoe UI Symbol" w:cs="Segoe UI Symbol"/>
                <w:b/>
                <w:sz w:val="24"/>
                <w:szCs w:val="24"/>
                <w:lang w:eastAsia="en-NZ"/>
              </w:rPr>
              <w:t>✓</w:t>
            </w:r>
          </w:p>
        </w:tc>
      </w:tr>
      <w:tr w:rsidR="007B2876" w14:paraId="3437E90A" w14:textId="77777777" w:rsidTr="00954036">
        <w:tc>
          <w:tcPr>
            <w:tcW w:w="11340" w:type="dxa"/>
          </w:tcPr>
          <w:p w14:paraId="30E49FB6" w14:textId="77777777" w:rsidR="007B2876" w:rsidRDefault="00A24C96" w:rsidP="00A24C96">
            <w:pPr>
              <w:pStyle w:val="TableText"/>
            </w:pPr>
            <w:r>
              <w:rPr>
                <w:lang w:eastAsia="en-NZ"/>
              </w:rPr>
              <w:t>Refer comment 1.7 (above)</w:t>
            </w:r>
          </w:p>
        </w:tc>
        <w:tc>
          <w:tcPr>
            <w:tcW w:w="1139" w:type="dxa"/>
          </w:tcPr>
          <w:p w14:paraId="4DCFD997" w14:textId="77777777" w:rsidR="007B2876" w:rsidRDefault="007B2876" w:rsidP="00A24C96">
            <w:pPr>
              <w:pStyle w:val="TableText"/>
            </w:pPr>
          </w:p>
        </w:tc>
        <w:tc>
          <w:tcPr>
            <w:tcW w:w="993" w:type="dxa"/>
          </w:tcPr>
          <w:p w14:paraId="39DB52D8" w14:textId="77777777" w:rsidR="007B2876" w:rsidRDefault="007B2876" w:rsidP="00A24C96">
            <w:pPr>
              <w:pStyle w:val="TableText"/>
            </w:pPr>
          </w:p>
        </w:tc>
        <w:tc>
          <w:tcPr>
            <w:tcW w:w="987" w:type="dxa"/>
          </w:tcPr>
          <w:p w14:paraId="2E05EBE8" w14:textId="77777777" w:rsidR="007B2876" w:rsidRDefault="007B2876" w:rsidP="00A24C96">
            <w:pPr>
              <w:pStyle w:val="TableText"/>
            </w:pPr>
          </w:p>
        </w:tc>
      </w:tr>
      <w:tr w:rsidR="007B2876" w:rsidRPr="007B2876" w14:paraId="721803C6" w14:textId="77777777" w:rsidTr="00954036">
        <w:tc>
          <w:tcPr>
            <w:tcW w:w="11340" w:type="dxa"/>
            <w:shd w:val="clear" w:color="auto" w:fill="F2F2F2" w:themeFill="background1" w:themeFillShade="F2"/>
          </w:tcPr>
          <w:p w14:paraId="5FF40297" w14:textId="77777777" w:rsidR="007B2876" w:rsidRPr="007B2876" w:rsidRDefault="007B2876" w:rsidP="007B2876">
            <w:pPr>
              <w:pStyle w:val="TableText"/>
              <w:spacing w:before="60" w:after="60"/>
              <w:rPr>
                <w:b/>
              </w:rPr>
            </w:pPr>
            <w:r w:rsidRPr="007B2876">
              <w:rPr>
                <w:b/>
              </w:rPr>
              <w:t>Standard 1.9: Complaints</w:t>
            </w:r>
          </w:p>
        </w:tc>
        <w:tc>
          <w:tcPr>
            <w:tcW w:w="1139" w:type="dxa"/>
            <w:shd w:val="clear" w:color="auto" w:fill="F2F2F2" w:themeFill="background1" w:themeFillShade="F2"/>
          </w:tcPr>
          <w:p w14:paraId="2F145284" w14:textId="77777777" w:rsidR="007B2876" w:rsidRPr="007B2876" w:rsidRDefault="007B2876" w:rsidP="007B2876">
            <w:pPr>
              <w:pStyle w:val="TableText"/>
              <w:spacing w:before="60" w:after="60"/>
              <w:rPr>
                <w:b/>
              </w:rPr>
            </w:pPr>
          </w:p>
        </w:tc>
        <w:tc>
          <w:tcPr>
            <w:tcW w:w="993" w:type="dxa"/>
            <w:shd w:val="clear" w:color="auto" w:fill="F2F2F2" w:themeFill="background1" w:themeFillShade="F2"/>
          </w:tcPr>
          <w:p w14:paraId="39AE6EDD" w14:textId="77777777" w:rsidR="007B2876" w:rsidRPr="007B2876" w:rsidRDefault="007B2876" w:rsidP="007B2876">
            <w:pPr>
              <w:pStyle w:val="TableText"/>
              <w:spacing w:before="60" w:after="60"/>
              <w:rPr>
                <w:b/>
              </w:rPr>
            </w:pPr>
          </w:p>
        </w:tc>
        <w:tc>
          <w:tcPr>
            <w:tcW w:w="987" w:type="dxa"/>
            <w:shd w:val="clear" w:color="auto" w:fill="F2F2F2" w:themeFill="background1" w:themeFillShade="F2"/>
          </w:tcPr>
          <w:p w14:paraId="73DFF71D" w14:textId="77777777" w:rsidR="007B2876" w:rsidRPr="007B2876" w:rsidRDefault="007B2876" w:rsidP="007B2876">
            <w:pPr>
              <w:pStyle w:val="TableText"/>
              <w:spacing w:before="60" w:after="60"/>
              <w:rPr>
                <w:b/>
              </w:rPr>
            </w:pPr>
          </w:p>
        </w:tc>
      </w:tr>
      <w:tr w:rsidR="00A24C96" w14:paraId="6C9101FC" w14:textId="77777777" w:rsidTr="00954036">
        <w:tc>
          <w:tcPr>
            <w:tcW w:w="11340" w:type="dxa"/>
          </w:tcPr>
          <w:p w14:paraId="1E55C708" w14:textId="77777777" w:rsidR="00A24C96" w:rsidRPr="00A24C96" w:rsidRDefault="00A24C96" w:rsidP="00A24C96">
            <w:pPr>
              <w:pStyle w:val="TableText"/>
              <w:rPr>
                <w:rStyle w:val="BodyTextChar"/>
                <w:sz w:val="18"/>
                <w:szCs w:val="21"/>
              </w:rPr>
            </w:pPr>
            <w:r w:rsidRPr="00A24C96">
              <w:rPr>
                <w:rStyle w:val="BodyTextChar"/>
                <w:sz w:val="18"/>
                <w:szCs w:val="21"/>
              </w:rPr>
              <w:t>The consumer's right to make a complaint is understood, respected, and upheld.</w:t>
            </w:r>
          </w:p>
          <w:p w14:paraId="5BC13A5F" w14:textId="77777777" w:rsidR="00A24C96" w:rsidRPr="00A24C96" w:rsidRDefault="00A24C96" w:rsidP="00A24C96">
            <w:pPr>
              <w:pStyle w:val="TableText"/>
              <w:rPr>
                <w:i/>
              </w:rPr>
            </w:pPr>
            <w:r w:rsidRPr="00A24C96">
              <w:rPr>
                <w:i/>
              </w:rPr>
              <w:t xml:space="preserve">[Standard 1.1.13: Complaints Management </w:t>
            </w:r>
            <w:r w:rsidRPr="00A24C96">
              <w:rPr>
                <w:rStyle w:val="Heading4Char"/>
                <w:rFonts w:eastAsiaTheme="minorHAnsi"/>
                <w:b w:val="0"/>
                <w:i/>
                <w:iCs w:val="0"/>
                <w:color w:val="auto"/>
                <w:szCs w:val="21"/>
              </w:rPr>
              <w:t xml:space="preserve"> (</w:t>
            </w:r>
            <w:r w:rsidRPr="00A24C96">
              <w:rPr>
                <w:i/>
              </w:rPr>
              <w:t xml:space="preserve">HDS(C)S.2008:1.1.13) </w:t>
            </w:r>
            <w:r w:rsidRPr="00A24C96">
              <w:rPr>
                <w:rStyle w:val="BodyTextChar"/>
                <w:i/>
                <w:sz w:val="18"/>
                <w:szCs w:val="21"/>
              </w:rPr>
              <w:t>The right of the consumer to make a complaint is understood, respected, and upheld</w:t>
            </w:r>
          </w:p>
        </w:tc>
        <w:tc>
          <w:tcPr>
            <w:tcW w:w="1139" w:type="dxa"/>
          </w:tcPr>
          <w:p w14:paraId="1EE93EC2"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93" w:type="dxa"/>
          </w:tcPr>
          <w:p w14:paraId="75194FB2" w14:textId="77777777" w:rsidR="00A24C96" w:rsidRPr="00954036" w:rsidRDefault="00A24C96" w:rsidP="00954036">
            <w:pPr>
              <w:pStyle w:val="NoSpacing"/>
              <w:spacing w:before="240"/>
              <w:jc w:val="center"/>
              <w:rPr>
                <w:rFonts w:ascii="Segoe UI Symbol" w:hAnsi="Segoe UI Symbol" w:cs="Segoe UI Symbol"/>
                <w:b/>
                <w:sz w:val="24"/>
                <w:szCs w:val="24"/>
                <w:lang w:eastAsia="en-NZ"/>
              </w:rPr>
            </w:pPr>
            <w:r w:rsidRPr="00954036">
              <w:rPr>
                <w:rFonts w:ascii="Segoe UI Symbol" w:hAnsi="Segoe UI Symbol" w:cs="Segoe UI Symbol"/>
                <w:b/>
                <w:sz w:val="24"/>
                <w:szCs w:val="24"/>
                <w:lang w:eastAsia="en-NZ"/>
              </w:rPr>
              <w:t>✓</w:t>
            </w:r>
          </w:p>
        </w:tc>
        <w:tc>
          <w:tcPr>
            <w:tcW w:w="987" w:type="dxa"/>
          </w:tcPr>
          <w:p w14:paraId="67135AD8" w14:textId="77777777" w:rsidR="00A24C96" w:rsidRDefault="00A24C96" w:rsidP="00A24C96"/>
        </w:tc>
      </w:tr>
      <w:tr w:rsidR="007B2876" w14:paraId="6D4BEA66" w14:textId="77777777" w:rsidTr="00954036">
        <w:tc>
          <w:tcPr>
            <w:tcW w:w="11340" w:type="dxa"/>
          </w:tcPr>
          <w:p w14:paraId="12060182" w14:textId="77777777" w:rsidR="00CD268F" w:rsidRDefault="00CD268F" w:rsidP="00CD268F">
            <w:pPr>
              <w:pStyle w:val="TableText"/>
            </w:pPr>
            <w:r>
              <w:t>Comment: (eg. move standard to a different part, merge with a different standard)</w:t>
            </w:r>
          </w:p>
          <w:p w14:paraId="0B748D81" w14:textId="77777777" w:rsidR="00A24C96" w:rsidRDefault="00A24C96" w:rsidP="00954036">
            <w:pPr>
              <w:pStyle w:val="TableBullet"/>
              <w:spacing w:before="60" w:after="60"/>
              <w:rPr>
                <w:lang w:eastAsia="en-NZ"/>
              </w:rPr>
            </w:pPr>
            <w:r>
              <w:rPr>
                <w:lang w:eastAsia="en-NZ"/>
              </w:rPr>
              <w:t>Discussion re referencing Complaints Categorisation (date estimate 2014) – general discussion around keeping standards current when documents (that may outdate) are referenced</w:t>
            </w:r>
          </w:p>
          <w:p w14:paraId="116546F6" w14:textId="77777777" w:rsidR="00A24C96" w:rsidRDefault="00A24C96" w:rsidP="00954036">
            <w:pPr>
              <w:pStyle w:val="TableBullet"/>
              <w:spacing w:before="60" w:after="60"/>
              <w:rPr>
                <w:lang w:eastAsia="en-NZ"/>
              </w:rPr>
            </w:pPr>
            <w:r>
              <w:rPr>
                <w:lang w:eastAsia="en-NZ"/>
              </w:rPr>
              <w:t>Benchmarking across the sector may be a reality – rationale for referencing a document such as above</w:t>
            </w:r>
          </w:p>
          <w:p w14:paraId="75600E93" w14:textId="77777777" w:rsidR="00A24C96" w:rsidRDefault="00A24C96" w:rsidP="00954036">
            <w:pPr>
              <w:pStyle w:val="TableBullet"/>
              <w:spacing w:before="60" w:after="60"/>
            </w:pPr>
            <w:r>
              <w:rPr>
                <w:lang w:eastAsia="en-NZ"/>
              </w:rPr>
              <w:t>Support taking quality and risk aspects across to quality &amp; risk, keep a consumer focused standard re complaints</w:t>
            </w:r>
          </w:p>
          <w:p w14:paraId="011C1AFC" w14:textId="77777777" w:rsidR="00A24C96" w:rsidRPr="00954036" w:rsidRDefault="00A24C96" w:rsidP="00954036">
            <w:pPr>
              <w:pStyle w:val="Table2ndBullet"/>
              <w:spacing w:before="60" w:after="60"/>
              <w:rPr>
                <w:i/>
              </w:rPr>
            </w:pPr>
            <w:r w:rsidRPr="00954036">
              <w:rPr>
                <w:i/>
              </w:rPr>
              <w:t>The process of client communication and understanding of the complaint process remain within the consumer rights standard 1.1.  What the service does with complaints and how that links to quality improvements and outcomes could be moved to Part 2 (Quality &amp; Risk) (L.Cochrane, HDANZ)</w:t>
            </w:r>
          </w:p>
          <w:p w14:paraId="2E43F982" w14:textId="77777777" w:rsidR="00A24C96" w:rsidRDefault="00A24C96" w:rsidP="00954036">
            <w:pPr>
              <w:pStyle w:val="TableBullet"/>
              <w:spacing w:before="60" w:after="60"/>
            </w:pPr>
            <w:r>
              <w:rPr>
                <w:lang w:eastAsia="en-NZ"/>
              </w:rPr>
              <w:t xml:space="preserve">Process inclusive of resolving issues and disputes before a complaint is formalised – making a complaint client becomes identified </w:t>
            </w:r>
          </w:p>
          <w:p w14:paraId="00C7C068" w14:textId="77777777" w:rsidR="007B2876" w:rsidRDefault="00A24C96" w:rsidP="00954036">
            <w:pPr>
              <w:pStyle w:val="TableBullet"/>
              <w:spacing w:before="60" w:after="60"/>
            </w:pPr>
            <w:r w:rsidRPr="00064E60">
              <w:rPr>
                <w:i/>
                <w:lang w:eastAsia="en-NZ"/>
              </w:rPr>
              <w:t>Outcome focus (L.Logan, HCNZ)</w:t>
            </w:r>
          </w:p>
        </w:tc>
        <w:tc>
          <w:tcPr>
            <w:tcW w:w="1139" w:type="dxa"/>
          </w:tcPr>
          <w:p w14:paraId="0A2CFC09" w14:textId="77777777" w:rsidR="007B2876" w:rsidRDefault="007B2876" w:rsidP="00EF435A"/>
        </w:tc>
        <w:tc>
          <w:tcPr>
            <w:tcW w:w="993" w:type="dxa"/>
          </w:tcPr>
          <w:p w14:paraId="7ACDA179" w14:textId="77777777" w:rsidR="007B2876" w:rsidRDefault="007B2876" w:rsidP="00EF435A"/>
        </w:tc>
        <w:tc>
          <w:tcPr>
            <w:tcW w:w="987" w:type="dxa"/>
          </w:tcPr>
          <w:p w14:paraId="3DB8957E" w14:textId="77777777" w:rsidR="007B2876" w:rsidRDefault="007B2876" w:rsidP="00EF435A"/>
        </w:tc>
      </w:tr>
    </w:tbl>
    <w:p w14:paraId="146C2CEA" w14:textId="77777777" w:rsidR="00954036" w:rsidRDefault="00954036" w:rsidP="00A24C96">
      <w:pPr>
        <w:pStyle w:val="Heading3"/>
        <w:sectPr w:rsidR="00954036" w:rsidSect="00816F90">
          <w:pgSz w:w="16838" w:h="11906" w:orient="landscape" w:code="9"/>
          <w:pgMar w:top="1418" w:right="1418" w:bottom="1418" w:left="1134" w:header="709" w:footer="709" w:gutter="0"/>
          <w:cols w:space="708"/>
          <w:docGrid w:linePitch="360"/>
        </w:sectPr>
      </w:pPr>
    </w:p>
    <w:p w14:paraId="1503C92E" w14:textId="77777777" w:rsidR="00A24C96" w:rsidRDefault="00954036" w:rsidP="00A24C96">
      <w:pPr>
        <w:pStyle w:val="Heading3"/>
      </w:pPr>
      <w:bookmarkStart w:id="24" w:name="_Toc19179383"/>
      <w:r>
        <w:lastRenderedPageBreak/>
        <w:t>Part 2</w:t>
      </w:r>
      <w:bookmarkEnd w:id="24"/>
    </w:p>
    <w:tbl>
      <w:tblPr>
        <w:tblStyle w:val="TableGrid"/>
        <w:tblW w:w="14459"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482"/>
        <w:gridCol w:w="992"/>
        <w:gridCol w:w="994"/>
        <w:gridCol w:w="991"/>
      </w:tblGrid>
      <w:tr w:rsidR="00A24C96" w14:paraId="31CE88F3" w14:textId="77777777" w:rsidTr="00954036">
        <w:trPr>
          <w:tblHeader/>
        </w:trPr>
        <w:tc>
          <w:tcPr>
            <w:tcW w:w="11482" w:type="dxa"/>
            <w:shd w:val="clear" w:color="auto" w:fill="F2F2F2" w:themeFill="background1" w:themeFillShade="F2"/>
          </w:tcPr>
          <w:p w14:paraId="4D4997B7" w14:textId="77777777" w:rsidR="00A24C96" w:rsidRDefault="00A24C96" w:rsidP="00A24C96">
            <w:pPr>
              <w:spacing w:before="60" w:after="60"/>
            </w:pPr>
          </w:p>
        </w:tc>
        <w:tc>
          <w:tcPr>
            <w:tcW w:w="992" w:type="dxa"/>
            <w:shd w:val="clear" w:color="auto" w:fill="F2F2F2" w:themeFill="background1" w:themeFillShade="F2"/>
          </w:tcPr>
          <w:p w14:paraId="1B4E358D" w14:textId="77777777" w:rsidR="00A24C96" w:rsidRPr="007B2876" w:rsidRDefault="00A24C96" w:rsidP="00954036">
            <w:pPr>
              <w:spacing w:before="60" w:after="60"/>
              <w:jc w:val="center"/>
              <w:rPr>
                <w:b/>
                <w:sz w:val="18"/>
              </w:rPr>
            </w:pPr>
            <w:r w:rsidRPr="007B2876">
              <w:rPr>
                <w:b/>
                <w:sz w:val="18"/>
              </w:rPr>
              <w:t>Relevant</w:t>
            </w:r>
          </w:p>
        </w:tc>
        <w:tc>
          <w:tcPr>
            <w:tcW w:w="994" w:type="dxa"/>
            <w:shd w:val="clear" w:color="auto" w:fill="F2F2F2" w:themeFill="background1" w:themeFillShade="F2"/>
          </w:tcPr>
          <w:p w14:paraId="2269358C" w14:textId="77777777" w:rsidR="00A24C96" w:rsidRPr="007B2876" w:rsidRDefault="00A24C96" w:rsidP="00954036">
            <w:pPr>
              <w:spacing w:before="60" w:after="60"/>
              <w:jc w:val="center"/>
              <w:rPr>
                <w:b/>
                <w:sz w:val="18"/>
              </w:rPr>
            </w:pPr>
            <w:r w:rsidRPr="007B2876">
              <w:rPr>
                <w:b/>
                <w:sz w:val="18"/>
              </w:rPr>
              <w:t>Amend</w:t>
            </w:r>
          </w:p>
        </w:tc>
        <w:tc>
          <w:tcPr>
            <w:tcW w:w="991" w:type="dxa"/>
            <w:shd w:val="clear" w:color="auto" w:fill="F2F2F2" w:themeFill="background1" w:themeFillShade="F2"/>
          </w:tcPr>
          <w:p w14:paraId="3937EEBD" w14:textId="77777777" w:rsidR="00A24C96" w:rsidRPr="007B2876" w:rsidRDefault="00A24C96" w:rsidP="00954036">
            <w:pPr>
              <w:spacing w:before="60" w:after="60"/>
              <w:jc w:val="center"/>
              <w:rPr>
                <w:b/>
                <w:sz w:val="18"/>
              </w:rPr>
            </w:pPr>
            <w:r w:rsidRPr="007B2876">
              <w:rPr>
                <w:b/>
                <w:sz w:val="18"/>
              </w:rPr>
              <w:t>Merge</w:t>
            </w:r>
          </w:p>
        </w:tc>
      </w:tr>
      <w:tr w:rsidR="00A24C96" w:rsidRPr="00954036" w14:paraId="58BF96A8" w14:textId="77777777" w:rsidTr="00954036">
        <w:tc>
          <w:tcPr>
            <w:tcW w:w="14459" w:type="dxa"/>
            <w:gridSpan w:val="4"/>
            <w:shd w:val="clear" w:color="auto" w:fill="D9D9D9" w:themeFill="background1" w:themeFillShade="D9"/>
          </w:tcPr>
          <w:p w14:paraId="5B68A645" w14:textId="77777777" w:rsidR="00A24C96" w:rsidRPr="00954036" w:rsidRDefault="00A24C96" w:rsidP="00A24C96">
            <w:pPr>
              <w:pStyle w:val="TableText"/>
              <w:spacing w:before="60" w:after="60"/>
              <w:rPr>
                <w:b/>
                <w:sz w:val="22"/>
              </w:rPr>
            </w:pPr>
            <w:r w:rsidRPr="00954036">
              <w:rPr>
                <w:b/>
                <w:sz w:val="22"/>
                <w:lang w:eastAsia="en-NZ"/>
              </w:rPr>
              <w:t>Outcome 2: Organisational Management</w:t>
            </w:r>
          </w:p>
        </w:tc>
      </w:tr>
      <w:tr w:rsidR="00CD268F" w14:paraId="7827AB20" w14:textId="77777777" w:rsidTr="00954036">
        <w:tc>
          <w:tcPr>
            <w:tcW w:w="11482" w:type="dxa"/>
          </w:tcPr>
          <w:p w14:paraId="490392F5" w14:textId="77777777" w:rsidR="00CD268F" w:rsidRDefault="00CD268F" w:rsidP="00CD268F">
            <w:pPr>
              <w:pStyle w:val="TableText"/>
            </w:pPr>
            <w:r>
              <w:rPr>
                <w:lang w:eastAsia="en-NZ"/>
              </w:rPr>
              <w:t>Consumers receive services that comply with legislation and are managed in a safe, efficient, and effective manner.</w:t>
            </w:r>
          </w:p>
        </w:tc>
        <w:tc>
          <w:tcPr>
            <w:tcW w:w="992" w:type="dxa"/>
          </w:tcPr>
          <w:p w14:paraId="2929985F" w14:textId="77777777" w:rsidR="00CD268F" w:rsidRDefault="00CD268F" w:rsidP="00CD268F">
            <w:pPr>
              <w:spacing w:before="240" w:after="40"/>
              <w:jc w:val="center"/>
            </w:pPr>
          </w:p>
        </w:tc>
        <w:tc>
          <w:tcPr>
            <w:tcW w:w="994" w:type="dxa"/>
          </w:tcPr>
          <w:p w14:paraId="3BC74669" w14:textId="77777777" w:rsidR="00CD268F" w:rsidRDefault="00CD268F" w:rsidP="00CD268F">
            <w:pPr>
              <w:spacing w:before="240" w:after="40"/>
              <w:jc w:val="center"/>
            </w:pPr>
          </w:p>
        </w:tc>
        <w:tc>
          <w:tcPr>
            <w:tcW w:w="991" w:type="dxa"/>
          </w:tcPr>
          <w:p w14:paraId="66E4F213" w14:textId="77777777" w:rsidR="00CD268F" w:rsidRDefault="00CD268F" w:rsidP="00CD268F"/>
        </w:tc>
      </w:tr>
      <w:tr w:rsidR="00CD268F" w:rsidRPr="00A24C96" w14:paraId="4B926758" w14:textId="77777777" w:rsidTr="00954036">
        <w:tc>
          <w:tcPr>
            <w:tcW w:w="11482" w:type="dxa"/>
            <w:shd w:val="clear" w:color="auto" w:fill="F2F2F2" w:themeFill="background1" w:themeFillShade="F2"/>
          </w:tcPr>
          <w:p w14:paraId="24DCDDDE" w14:textId="77777777" w:rsidR="00CD268F" w:rsidRPr="00A24C96" w:rsidRDefault="00CD268F" w:rsidP="00CD268F">
            <w:pPr>
              <w:pStyle w:val="TableText"/>
              <w:spacing w:before="60" w:after="60"/>
              <w:rPr>
                <w:b/>
              </w:rPr>
            </w:pPr>
            <w:r w:rsidRPr="00A24C96">
              <w:rPr>
                <w:b/>
              </w:rPr>
              <w:t xml:space="preserve">Standard 2.1: Governance </w:t>
            </w:r>
          </w:p>
        </w:tc>
        <w:tc>
          <w:tcPr>
            <w:tcW w:w="992" w:type="dxa"/>
            <w:shd w:val="clear" w:color="auto" w:fill="F2F2F2" w:themeFill="background1" w:themeFillShade="F2"/>
          </w:tcPr>
          <w:p w14:paraId="48384F36" w14:textId="77777777" w:rsidR="00CD268F" w:rsidRPr="00A24C96" w:rsidRDefault="00CD268F" w:rsidP="00CD268F">
            <w:pPr>
              <w:pStyle w:val="TableText"/>
              <w:spacing w:before="60" w:after="60"/>
              <w:rPr>
                <w:b/>
              </w:rPr>
            </w:pPr>
          </w:p>
        </w:tc>
        <w:tc>
          <w:tcPr>
            <w:tcW w:w="994" w:type="dxa"/>
            <w:shd w:val="clear" w:color="auto" w:fill="F2F2F2" w:themeFill="background1" w:themeFillShade="F2"/>
          </w:tcPr>
          <w:p w14:paraId="3343A1FC" w14:textId="77777777" w:rsidR="00CD268F" w:rsidRPr="00A24C96" w:rsidRDefault="00CD268F" w:rsidP="00CD268F">
            <w:pPr>
              <w:pStyle w:val="TableText"/>
              <w:spacing w:before="60" w:after="60"/>
              <w:rPr>
                <w:b/>
              </w:rPr>
            </w:pPr>
          </w:p>
        </w:tc>
        <w:tc>
          <w:tcPr>
            <w:tcW w:w="991" w:type="dxa"/>
            <w:shd w:val="clear" w:color="auto" w:fill="F2F2F2" w:themeFill="background1" w:themeFillShade="F2"/>
          </w:tcPr>
          <w:p w14:paraId="44AA1272" w14:textId="77777777" w:rsidR="00CD268F" w:rsidRPr="00A24C96" w:rsidRDefault="00CD268F" w:rsidP="00CD268F">
            <w:pPr>
              <w:pStyle w:val="TableText"/>
              <w:spacing w:before="60" w:after="60"/>
              <w:rPr>
                <w:b/>
              </w:rPr>
            </w:pPr>
          </w:p>
        </w:tc>
      </w:tr>
      <w:tr w:rsidR="00954036" w14:paraId="720B4AC0" w14:textId="77777777" w:rsidTr="00954036">
        <w:tc>
          <w:tcPr>
            <w:tcW w:w="11482" w:type="dxa"/>
          </w:tcPr>
          <w:p w14:paraId="4A938332" w14:textId="77777777" w:rsidR="00954036" w:rsidRPr="00CD268F" w:rsidRDefault="00954036" w:rsidP="00954036">
            <w:pPr>
              <w:pStyle w:val="TableText"/>
              <w:rPr>
                <w:rStyle w:val="BodyTextChar"/>
                <w:sz w:val="18"/>
                <w:szCs w:val="21"/>
              </w:rPr>
            </w:pPr>
            <w:r w:rsidRPr="00CD268F">
              <w:rPr>
                <w:rStyle w:val="BodyTextChar"/>
                <w:sz w:val="18"/>
                <w:szCs w:val="21"/>
              </w:rPr>
              <w:t>Consumers receive services that are planned, co-ordinated, and appropriate to their needs.</w:t>
            </w:r>
          </w:p>
          <w:p w14:paraId="181CE20B" w14:textId="77777777" w:rsidR="00954036" w:rsidRPr="00CD268F" w:rsidRDefault="00954036" w:rsidP="00954036">
            <w:pPr>
              <w:pStyle w:val="TableText"/>
              <w:rPr>
                <w:i/>
              </w:rPr>
            </w:pPr>
            <w:r w:rsidRPr="00CD268F">
              <w:rPr>
                <w:i/>
              </w:rPr>
              <w:t>[Standard 1.2.1: Governance (HDS(C)S.2008:1.2.1): The governing body of the organisation ensures services are planned, coordinated, and appropriate to the needs of consumers]</w:t>
            </w:r>
          </w:p>
        </w:tc>
        <w:tc>
          <w:tcPr>
            <w:tcW w:w="992" w:type="dxa"/>
            <w:vMerge w:val="restart"/>
          </w:tcPr>
          <w:p w14:paraId="27188169"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72296292"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38B77B8B" w14:textId="77777777" w:rsidR="00954036" w:rsidRDefault="00954036" w:rsidP="00954036"/>
        </w:tc>
      </w:tr>
      <w:tr w:rsidR="00954036" w14:paraId="0149606C" w14:textId="77777777" w:rsidTr="00954036">
        <w:tc>
          <w:tcPr>
            <w:tcW w:w="11482" w:type="dxa"/>
          </w:tcPr>
          <w:p w14:paraId="363F9DFD" w14:textId="77777777" w:rsidR="00954036" w:rsidRDefault="00954036" w:rsidP="00954036">
            <w:pPr>
              <w:pStyle w:val="TableText"/>
            </w:pPr>
            <w:r>
              <w:t>Comment: (eg. move standard to a different part, merge with a different standard)</w:t>
            </w:r>
          </w:p>
          <w:p w14:paraId="419CBEAA" w14:textId="77777777" w:rsidR="00954036" w:rsidRDefault="00954036" w:rsidP="00954036">
            <w:pPr>
              <w:pStyle w:val="TableBullet"/>
              <w:spacing w:before="60" w:after="60"/>
              <w:rPr>
                <w:lang w:eastAsia="en-NZ"/>
              </w:rPr>
            </w:pPr>
            <w:r>
              <w:rPr>
                <w:lang w:eastAsia="en-NZ"/>
              </w:rPr>
              <w:t>Better guidance to assist new providers – as for HDSS</w:t>
            </w:r>
          </w:p>
          <w:p w14:paraId="354B4BBC" w14:textId="77777777" w:rsidR="00954036" w:rsidRDefault="00954036" w:rsidP="00954036">
            <w:pPr>
              <w:pStyle w:val="TableBullet"/>
              <w:spacing w:before="60" w:after="60"/>
            </w:pPr>
            <w:r>
              <w:rPr>
                <w:lang w:eastAsia="en-NZ"/>
              </w:rPr>
              <w:t>Inclusion of consumer and equity at governance/ organisation level</w:t>
            </w:r>
          </w:p>
        </w:tc>
        <w:tc>
          <w:tcPr>
            <w:tcW w:w="992" w:type="dxa"/>
            <w:vMerge/>
          </w:tcPr>
          <w:p w14:paraId="24A54C2E" w14:textId="77777777" w:rsidR="00954036" w:rsidRDefault="00954036" w:rsidP="00954036"/>
        </w:tc>
        <w:tc>
          <w:tcPr>
            <w:tcW w:w="994" w:type="dxa"/>
            <w:vMerge/>
          </w:tcPr>
          <w:p w14:paraId="7468553A" w14:textId="77777777" w:rsidR="00954036" w:rsidRDefault="00954036" w:rsidP="00954036"/>
        </w:tc>
        <w:tc>
          <w:tcPr>
            <w:tcW w:w="991" w:type="dxa"/>
            <w:vMerge/>
          </w:tcPr>
          <w:p w14:paraId="619A8E13" w14:textId="77777777" w:rsidR="00954036" w:rsidRDefault="00954036" w:rsidP="00954036"/>
        </w:tc>
      </w:tr>
      <w:tr w:rsidR="00954036" w:rsidRPr="00A24C96" w14:paraId="31A08864" w14:textId="77777777" w:rsidTr="00954036">
        <w:tc>
          <w:tcPr>
            <w:tcW w:w="11482" w:type="dxa"/>
            <w:shd w:val="clear" w:color="auto" w:fill="F2F2F2" w:themeFill="background1" w:themeFillShade="F2"/>
          </w:tcPr>
          <w:p w14:paraId="7704C9D3" w14:textId="77777777" w:rsidR="00954036" w:rsidRPr="00A24C96" w:rsidRDefault="00954036" w:rsidP="00954036">
            <w:pPr>
              <w:pStyle w:val="TableText"/>
              <w:spacing w:before="60" w:after="60"/>
              <w:rPr>
                <w:b/>
              </w:rPr>
            </w:pPr>
            <w:r w:rsidRPr="00A24C96">
              <w:rPr>
                <w:b/>
              </w:rPr>
              <w:t>Standard 2.2: Service Management</w:t>
            </w:r>
          </w:p>
        </w:tc>
        <w:tc>
          <w:tcPr>
            <w:tcW w:w="992" w:type="dxa"/>
            <w:shd w:val="clear" w:color="auto" w:fill="F2F2F2" w:themeFill="background1" w:themeFillShade="F2"/>
          </w:tcPr>
          <w:p w14:paraId="0DBFA582"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0C3D2301"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20748860" w14:textId="77777777" w:rsidR="00954036" w:rsidRPr="00A24C96" w:rsidRDefault="00954036" w:rsidP="00954036">
            <w:pPr>
              <w:pStyle w:val="TableText"/>
              <w:spacing w:before="60" w:after="60"/>
              <w:rPr>
                <w:b/>
              </w:rPr>
            </w:pPr>
          </w:p>
        </w:tc>
      </w:tr>
      <w:tr w:rsidR="00954036" w14:paraId="5AEDABDA" w14:textId="77777777" w:rsidTr="00954036">
        <w:tc>
          <w:tcPr>
            <w:tcW w:w="11482" w:type="dxa"/>
          </w:tcPr>
          <w:p w14:paraId="769D4309" w14:textId="77777777" w:rsidR="00954036" w:rsidRPr="00CD268F" w:rsidRDefault="00954036" w:rsidP="00954036">
            <w:pPr>
              <w:pStyle w:val="TableText"/>
              <w:rPr>
                <w:rStyle w:val="BodyTextChar"/>
                <w:sz w:val="18"/>
                <w:szCs w:val="21"/>
              </w:rPr>
            </w:pPr>
            <w:r w:rsidRPr="00CD268F">
              <w:rPr>
                <w:rStyle w:val="BodyTextChar"/>
                <w:sz w:val="18"/>
                <w:szCs w:val="21"/>
              </w:rPr>
              <w:t>Consumers receive timely, appropriate, and safe services through efficient and effective service management.</w:t>
            </w:r>
          </w:p>
          <w:p w14:paraId="0A21A0E4" w14:textId="77777777" w:rsidR="00954036" w:rsidRPr="00CD268F" w:rsidRDefault="00954036" w:rsidP="00954036">
            <w:pPr>
              <w:pStyle w:val="TableText"/>
              <w:rPr>
                <w:i/>
              </w:rPr>
            </w:pPr>
            <w:r w:rsidRPr="00CD268F">
              <w:rPr>
                <w:i/>
              </w:rPr>
              <w:t>[Standard 1.2.2: Service Management  (HDS(C)S.2008:1.2.2): The organisation ensures the day-to-day operation of the service is managed in an efficient and effective manner which ensures the provision of timely, appropriate, and safe services to consumers</w:t>
            </w:r>
          </w:p>
          <w:p w14:paraId="4725FE9A" w14:textId="77777777" w:rsidR="00954036" w:rsidRDefault="00954036" w:rsidP="00954036">
            <w:pPr>
              <w:pStyle w:val="TableText"/>
            </w:pPr>
            <w:r w:rsidRPr="00CD268F">
              <w:rPr>
                <w:i/>
              </w:rPr>
              <w:t>Loose link: Standard 1.2.5: Consumer Participation (HDS(C)S.2008:1.2.5): Consumers are involved in the planning, implementation, and evaluation at all levels of the service to ensure services are responsive to the needs of individuals]</w:t>
            </w:r>
          </w:p>
        </w:tc>
        <w:tc>
          <w:tcPr>
            <w:tcW w:w="992" w:type="dxa"/>
            <w:vMerge w:val="restart"/>
          </w:tcPr>
          <w:p w14:paraId="17A5477E"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3AB475AE"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381363EF" w14:textId="77777777" w:rsidR="00954036" w:rsidRDefault="00954036" w:rsidP="00954036"/>
        </w:tc>
      </w:tr>
      <w:tr w:rsidR="00954036" w14:paraId="52097EC8" w14:textId="77777777" w:rsidTr="00954036">
        <w:tc>
          <w:tcPr>
            <w:tcW w:w="11482" w:type="dxa"/>
          </w:tcPr>
          <w:p w14:paraId="6AE6B6D7" w14:textId="77777777" w:rsidR="00954036" w:rsidRDefault="00954036" w:rsidP="00954036">
            <w:pPr>
              <w:pStyle w:val="TableText"/>
            </w:pPr>
            <w:r>
              <w:t>Comment: (eg. move standard to a different part, merge with a different standard)</w:t>
            </w:r>
          </w:p>
          <w:p w14:paraId="30013E7B" w14:textId="77777777" w:rsidR="00954036" w:rsidRDefault="00954036" w:rsidP="00954036">
            <w:pPr>
              <w:pStyle w:val="TableBullet"/>
              <w:spacing w:before="60" w:after="60"/>
            </w:pPr>
            <w:r w:rsidRPr="00041AA2">
              <w:rPr>
                <w:lang w:eastAsia="en-NZ"/>
              </w:rPr>
              <w:t xml:space="preserve">As for HDSS include -delegation process for when manager absent </w:t>
            </w:r>
          </w:p>
          <w:p w14:paraId="3AC6CF92" w14:textId="77777777" w:rsidR="00954036" w:rsidRDefault="00954036" w:rsidP="00954036">
            <w:pPr>
              <w:pStyle w:val="TableBullet"/>
              <w:spacing w:before="60" w:after="60"/>
              <w:rPr>
                <w:i/>
              </w:rPr>
            </w:pPr>
            <w:r w:rsidRPr="00BE46BF">
              <w:rPr>
                <w:i/>
              </w:rPr>
              <w:t>We did discuss this but I’m wondering whether we should be putting in this level of prescription rather than an outcome focused statement around ensuring the management needs of the service are met at all times, or something</w:t>
            </w:r>
            <w:r>
              <w:rPr>
                <w:i/>
              </w:rPr>
              <w:t xml:space="preserve"> (L,Russell, Alzheimers NZ)</w:t>
            </w:r>
          </w:p>
          <w:p w14:paraId="7815FA8A" w14:textId="77777777" w:rsidR="00954036" w:rsidRPr="00954036" w:rsidRDefault="00954036" w:rsidP="00954036">
            <w:pPr>
              <w:pStyle w:val="TableBullet"/>
              <w:spacing w:before="60" w:after="60"/>
            </w:pPr>
            <w:r>
              <w:rPr>
                <w:i/>
              </w:rPr>
              <w:t>Define appropriate as this can be subjective (L.Logan, HCNZ)</w:t>
            </w:r>
          </w:p>
          <w:p w14:paraId="7E396C8D" w14:textId="77777777" w:rsidR="00954036" w:rsidRDefault="00954036" w:rsidP="00954036">
            <w:pPr>
              <w:pStyle w:val="TableBullet"/>
              <w:numPr>
                <w:ilvl w:val="0"/>
                <w:numId w:val="0"/>
              </w:numPr>
              <w:spacing w:before="60" w:after="60"/>
              <w:ind w:left="213"/>
              <w:rPr>
                <w:i/>
              </w:rPr>
            </w:pPr>
          </w:p>
          <w:p w14:paraId="7C065721" w14:textId="77777777" w:rsidR="00954036" w:rsidRDefault="00954036" w:rsidP="00954036">
            <w:pPr>
              <w:pStyle w:val="TableBullet"/>
              <w:numPr>
                <w:ilvl w:val="0"/>
                <w:numId w:val="0"/>
              </w:numPr>
              <w:spacing w:before="60" w:after="60"/>
              <w:ind w:left="213"/>
            </w:pPr>
          </w:p>
        </w:tc>
        <w:tc>
          <w:tcPr>
            <w:tcW w:w="992" w:type="dxa"/>
            <w:vMerge/>
          </w:tcPr>
          <w:p w14:paraId="1A497B36" w14:textId="77777777" w:rsidR="00954036" w:rsidRDefault="00954036" w:rsidP="00954036"/>
        </w:tc>
        <w:tc>
          <w:tcPr>
            <w:tcW w:w="994" w:type="dxa"/>
            <w:vMerge/>
          </w:tcPr>
          <w:p w14:paraId="10088197" w14:textId="77777777" w:rsidR="00954036" w:rsidRDefault="00954036" w:rsidP="00954036"/>
        </w:tc>
        <w:tc>
          <w:tcPr>
            <w:tcW w:w="991" w:type="dxa"/>
            <w:vMerge/>
          </w:tcPr>
          <w:p w14:paraId="31602F76" w14:textId="77777777" w:rsidR="00954036" w:rsidRDefault="00954036" w:rsidP="00954036"/>
        </w:tc>
      </w:tr>
      <w:tr w:rsidR="00954036" w:rsidRPr="00A24C96" w14:paraId="7E6F25AE" w14:textId="77777777" w:rsidTr="00954036">
        <w:tc>
          <w:tcPr>
            <w:tcW w:w="11482" w:type="dxa"/>
            <w:shd w:val="clear" w:color="auto" w:fill="F2F2F2" w:themeFill="background1" w:themeFillShade="F2"/>
          </w:tcPr>
          <w:p w14:paraId="5151B258" w14:textId="77777777" w:rsidR="00954036" w:rsidRPr="00A24C96" w:rsidRDefault="00954036" w:rsidP="00954036">
            <w:pPr>
              <w:pStyle w:val="TableText"/>
              <w:spacing w:before="60" w:after="60"/>
              <w:rPr>
                <w:b/>
              </w:rPr>
            </w:pPr>
            <w:r w:rsidRPr="00A24C96">
              <w:rPr>
                <w:b/>
              </w:rPr>
              <w:lastRenderedPageBreak/>
              <w:t>Standard 2.3: Quality and Risk Management</w:t>
            </w:r>
          </w:p>
        </w:tc>
        <w:tc>
          <w:tcPr>
            <w:tcW w:w="992" w:type="dxa"/>
            <w:shd w:val="clear" w:color="auto" w:fill="F2F2F2" w:themeFill="background1" w:themeFillShade="F2"/>
          </w:tcPr>
          <w:p w14:paraId="4633C531"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4B20BFDE"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26D8409" w14:textId="77777777" w:rsidR="00954036" w:rsidRPr="00A24C96" w:rsidRDefault="00954036" w:rsidP="00954036">
            <w:pPr>
              <w:pStyle w:val="TableText"/>
              <w:spacing w:before="60" w:after="60"/>
              <w:rPr>
                <w:b/>
              </w:rPr>
            </w:pPr>
          </w:p>
        </w:tc>
      </w:tr>
      <w:tr w:rsidR="00954036" w14:paraId="5A1A0E49" w14:textId="77777777" w:rsidTr="00954036">
        <w:tc>
          <w:tcPr>
            <w:tcW w:w="11482" w:type="dxa"/>
          </w:tcPr>
          <w:p w14:paraId="0905914E" w14:textId="77777777" w:rsidR="00954036" w:rsidRPr="00CD268F" w:rsidRDefault="00954036" w:rsidP="00954036">
            <w:pPr>
              <w:pStyle w:val="TableText"/>
              <w:rPr>
                <w:rStyle w:val="BodyTextChar"/>
                <w:sz w:val="18"/>
                <w:szCs w:val="21"/>
              </w:rPr>
            </w:pPr>
            <w:r w:rsidRPr="00CD268F">
              <w:rPr>
                <w:rStyle w:val="BodyTextChar"/>
                <w:sz w:val="18"/>
                <w:szCs w:val="21"/>
              </w:rPr>
              <w:t>Consumers receive services that reflect continuous quality improvement principles through the organisation having an established, documented, and maintained quality and risk management system.</w:t>
            </w:r>
          </w:p>
          <w:p w14:paraId="35A41203" w14:textId="77777777" w:rsidR="00954036" w:rsidRPr="00CD268F" w:rsidRDefault="00954036" w:rsidP="00954036">
            <w:pPr>
              <w:pStyle w:val="TableText"/>
              <w:rPr>
                <w:i/>
              </w:rPr>
            </w:pPr>
            <w:r w:rsidRPr="00CD268F">
              <w:rPr>
                <w:i/>
              </w:rPr>
              <w:t>[Standard 1.2.3: Quality And Risk Management Systems (HDS(C)S.2008:1.2.3): The organisation has an established, documented, and maintained quality and risk management system that reflects continuous quality improvement principles]</w:t>
            </w:r>
          </w:p>
        </w:tc>
        <w:tc>
          <w:tcPr>
            <w:tcW w:w="992" w:type="dxa"/>
            <w:vMerge w:val="restart"/>
          </w:tcPr>
          <w:p w14:paraId="7253CB2A"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13A5EE7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5FB912FB" w14:textId="77777777" w:rsidR="00954036" w:rsidRDefault="00954036" w:rsidP="00954036"/>
        </w:tc>
      </w:tr>
      <w:tr w:rsidR="00954036" w14:paraId="11732BF6" w14:textId="77777777" w:rsidTr="00954036">
        <w:tc>
          <w:tcPr>
            <w:tcW w:w="11482" w:type="dxa"/>
          </w:tcPr>
          <w:p w14:paraId="34A2DDF6" w14:textId="77777777" w:rsidR="00954036" w:rsidRDefault="00954036" w:rsidP="00954036">
            <w:pPr>
              <w:pStyle w:val="TableText"/>
            </w:pPr>
            <w:r>
              <w:t>Comment: (eg. move standard to a different part, merge with a different standard)</w:t>
            </w:r>
          </w:p>
          <w:p w14:paraId="6729FF3B" w14:textId="77777777" w:rsidR="00954036" w:rsidRDefault="00954036" w:rsidP="00954036">
            <w:pPr>
              <w:pStyle w:val="TableBullet"/>
              <w:spacing w:before="60" w:after="60"/>
              <w:rPr>
                <w:lang w:eastAsia="en-NZ"/>
              </w:rPr>
            </w:pPr>
            <w:r>
              <w:rPr>
                <w:lang w:eastAsia="en-NZ"/>
              </w:rPr>
              <w:t xml:space="preserve">Consideration given that complaints or adverse event processes included here rather than unique STDs. </w:t>
            </w:r>
          </w:p>
          <w:p w14:paraId="5131649B" w14:textId="77777777" w:rsidR="00954036" w:rsidRDefault="00954036" w:rsidP="00954036">
            <w:pPr>
              <w:pStyle w:val="TableBullet"/>
              <w:spacing w:before="60" w:after="60"/>
              <w:rPr>
                <w:lang w:eastAsia="en-NZ"/>
              </w:rPr>
            </w:pPr>
            <w:r>
              <w:rPr>
                <w:lang w:eastAsia="en-NZ"/>
              </w:rPr>
              <w:t xml:space="preserve">Consumer experience central to QRM system – clients  should feel they are receiving a quality service.  </w:t>
            </w:r>
          </w:p>
          <w:p w14:paraId="6EED76E8" w14:textId="77777777" w:rsidR="00954036" w:rsidRDefault="00954036" w:rsidP="00954036">
            <w:pPr>
              <w:pStyle w:val="TableBullet"/>
              <w:spacing w:before="60" w:after="60"/>
              <w:rPr>
                <w:lang w:eastAsia="en-NZ"/>
              </w:rPr>
            </w:pPr>
            <w:r>
              <w:rPr>
                <w:lang w:eastAsia="en-NZ"/>
              </w:rPr>
              <w:t>Identification and management of risk is clearly understood by providers, clients and carers</w:t>
            </w:r>
          </w:p>
          <w:p w14:paraId="26F79200" w14:textId="77777777" w:rsidR="00954036" w:rsidRDefault="00954036" w:rsidP="00954036">
            <w:pPr>
              <w:pStyle w:val="TableBullet"/>
              <w:spacing w:before="60" w:after="60"/>
            </w:pPr>
            <w:r>
              <w:rPr>
                <w:lang w:eastAsia="en-NZ"/>
              </w:rPr>
              <w:t>QRM able to measure a participatory and outcome model</w:t>
            </w:r>
          </w:p>
        </w:tc>
        <w:tc>
          <w:tcPr>
            <w:tcW w:w="992" w:type="dxa"/>
            <w:vMerge/>
          </w:tcPr>
          <w:p w14:paraId="02A8DD40" w14:textId="77777777" w:rsidR="00954036" w:rsidRDefault="00954036" w:rsidP="00954036"/>
        </w:tc>
        <w:tc>
          <w:tcPr>
            <w:tcW w:w="994" w:type="dxa"/>
            <w:vMerge/>
          </w:tcPr>
          <w:p w14:paraId="233C8C29" w14:textId="77777777" w:rsidR="00954036" w:rsidRDefault="00954036" w:rsidP="00954036"/>
        </w:tc>
        <w:tc>
          <w:tcPr>
            <w:tcW w:w="991" w:type="dxa"/>
            <w:vMerge/>
          </w:tcPr>
          <w:p w14:paraId="64D9C54E" w14:textId="77777777" w:rsidR="00954036" w:rsidRDefault="00954036" w:rsidP="00954036"/>
        </w:tc>
      </w:tr>
      <w:tr w:rsidR="00954036" w:rsidRPr="00A24C96" w14:paraId="4BF1B4C8" w14:textId="77777777" w:rsidTr="00954036">
        <w:tc>
          <w:tcPr>
            <w:tcW w:w="11482" w:type="dxa"/>
            <w:shd w:val="clear" w:color="auto" w:fill="F2F2F2" w:themeFill="background1" w:themeFillShade="F2"/>
          </w:tcPr>
          <w:p w14:paraId="0A6A420E" w14:textId="77777777" w:rsidR="00954036" w:rsidRPr="00A24C96" w:rsidRDefault="00954036" w:rsidP="00954036">
            <w:pPr>
              <w:pStyle w:val="TableText"/>
              <w:spacing w:before="60" w:after="60"/>
              <w:rPr>
                <w:b/>
              </w:rPr>
            </w:pPr>
            <w:r w:rsidRPr="00A24C96">
              <w:rPr>
                <w:b/>
              </w:rPr>
              <w:t>Standard 2.4: Adverse Event Reporting and Resolution</w:t>
            </w:r>
          </w:p>
        </w:tc>
        <w:tc>
          <w:tcPr>
            <w:tcW w:w="992" w:type="dxa"/>
            <w:shd w:val="clear" w:color="auto" w:fill="F2F2F2" w:themeFill="background1" w:themeFillShade="F2"/>
          </w:tcPr>
          <w:p w14:paraId="2974C3B7"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7F8518E5"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30190C18" w14:textId="77777777" w:rsidR="00954036" w:rsidRPr="00A24C96" w:rsidRDefault="00954036" w:rsidP="00954036">
            <w:pPr>
              <w:pStyle w:val="TableText"/>
              <w:spacing w:before="60" w:after="60"/>
              <w:rPr>
                <w:b/>
              </w:rPr>
            </w:pPr>
          </w:p>
        </w:tc>
      </w:tr>
      <w:tr w:rsidR="00954036" w14:paraId="6EAD2F13" w14:textId="77777777" w:rsidTr="00954036">
        <w:tc>
          <w:tcPr>
            <w:tcW w:w="11482" w:type="dxa"/>
          </w:tcPr>
          <w:p w14:paraId="12B1421D" w14:textId="77777777" w:rsidR="00954036" w:rsidRPr="00CD268F" w:rsidRDefault="00954036" w:rsidP="00954036">
            <w:pPr>
              <w:pStyle w:val="TableText"/>
              <w:rPr>
                <w:rStyle w:val="BodyTextChar"/>
                <w:sz w:val="18"/>
                <w:szCs w:val="21"/>
              </w:rPr>
            </w:pPr>
            <w:r w:rsidRPr="00CD268F">
              <w:rPr>
                <w:rStyle w:val="BodyTextChar"/>
                <w:sz w:val="18"/>
                <w:szCs w:val="21"/>
              </w:rPr>
              <w:t>All adverse unplanned or untoward events are systematically recorded and reported to affected consumers and where appropriate their family/whānau in an open manner.</w:t>
            </w:r>
          </w:p>
          <w:p w14:paraId="354203C4" w14:textId="77777777" w:rsidR="00954036" w:rsidRPr="00CD268F" w:rsidRDefault="00954036" w:rsidP="00954036">
            <w:pPr>
              <w:pStyle w:val="TableText"/>
              <w:rPr>
                <w:i/>
              </w:rPr>
            </w:pPr>
            <w:r w:rsidRPr="00CD268F">
              <w:rPr>
                <w:i/>
              </w:rPr>
              <w:t>[Standard 1.2.4: Adverse Event Reporting  (HDS(C)S.2008:1.2.4): All adverse, unplanned, or untoward events are systematically recorded by the service and reported to affected consumers and where appropriate their family/whānau of choice in an open manner]</w:t>
            </w:r>
          </w:p>
        </w:tc>
        <w:tc>
          <w:tcPr>
            <w:tcW w:w="992" w:type="dxa"/>
            <w:vMerge w:val="restart"/>
          </w:tcPr>
          <w:p w14:paraId="409736A4"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04181383"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2AB14B94" w14:textId="77777777" w:rsidR="00954036" w:rsidRDefault="00954036" w:rsidP="00954036"/>
        </w:tc>
      </w:tr>
      <w:tr w:rsidR="00954036" w14:paraId="1EFBC8E6" w14:textId="77777777" w:rsidTr="00954036">
        <w:tc>
          <w:tcPr>
            <w:tcW w:w="11482" w:type="dxa"/>
          </w:tcPr>
          <w:p w14:paraId="04F3E298" w14:textId="77777777" w:rsidR="00954036" w:rsidRDefault="00954036" w:rsidP="00954036">
            <w:pPr>
              <w:pStyle w:val="TableText"/>
            </w:pPr>
            <w:r>
              <w:t>Comment: (eg. move standard to a different part, merge with a different standard)</w:t>
            </w:r>
          </w:p>
          <w:p w14:paraId="1B4889E8" w14:textId="77777777" w:rsidR="00954036" w:rsidRDefault="00954036" w:rsidP="00954036">
            <w:pPr>
              <w:pStyle w:val="TableBullet"/>
              <w:spacing w:before="60" w:after="60"/>
              <w:rPr>
                <w:lang w:eastAsia="en-NZ"/>
              </w:rPr>
            </w:pPr>
            <w:r>
              <w:rPr>
                <w:lang w:eastAsia="en-NZ"/>
              </w:rPr>
              <w:t xml:space="preserve">Note resolution in the STD – no guidance provided in respect of this.  </w:t>
            </w:r>
          </w:p>
          <w:p w14:paraId="48DF54F5" w14:textId="77777777" w:rsidR="00954036" w:rsidRDefault="00954036" w:rsidP="00954036">
            <w:pPr>
              <w:pStyle w:val="TableBullet"/>
              <w:spacing w:before="60" w:after="60"/>
              <w:rPr>
                <w:lang w:eastAsia="en-NZ"/>
              </w:rPr>
            </w:pPr>
            <w:r>
              <w:rPr>
                <w:lang w:eastAsia="en-NZ"/>
              </w:rPr>
              <w:t>Ensure resolution of event is demonstrated by the provider – inclusive of feedback loop and review inclusive of client and staff.</w:t>
            </w:r>
          </w:p>
          <w:p w14:paraId="3ACB2660" w14:textId="77777777" w:rsidR="00954036" w:rsidRDefault="00954036" w:rsidP="00954036">
            <w:pPr>
              <w:pStyle w:val="TableBullet"/>
              <w:spacing w:before="60" w:after="60"/>
            </w:pPr>
            <w:r>
              <w:rPr>
                <w:lang w:eastAsia="en-NZ"/>
              </w:rPr>
              <w:t>DHB contract has outlines responsibilities for providers also.</w:t>
            </w:r>
            <w:r>
              <w:t xml:space="preserve"> </w:t>
            </w:r>
          </w:p>
          <w:p w14:paraId="1E8C15E1" w14:textId="77777777" w:rsidR="00954036" w:rsidRDefault="00954036" w:rsidP="00954036">
            <w:pPr>
              <w:pStyle w:val="TableBullet"/>
              <w:spacing w:before="60" w:after="60"/>
            </w:pPr>
            <w:r w:rsidRPr="00064E60">
              <w:rPr>
                <w:i/>
              </w:rPr>
              <w:t>Outcomes focus - learnings and strategies to reduce the likelihood of the event reoccurring (L.Logan, HCNZ)</w:t>
            </w:r>
          </w:p>
        </w:tc>
        <w:tc>
          <w:tcPr>
            <w:tcW w:w="992" w:type="dxa"/>
            <w:vMerge/>
          </w:tcPr>
          <w:p w14:paraId="7F302CE1" w14:textId="77777777" w:rsidR="00954036" w:rsidRDefault="00954036" w:rsidP="00954036"/>
        </w:tc>
        <w:tc>
          <w:tcPr>
            <w:tcW w:w="994" w:type="dxa"/>
            <w:vMerge/>
          </w:tcPr>
          <w:p w14:paraId="7636B343" w14:textId="77777777" w:rsidR="00954036" w:rsidRDefault="00954036" w:rsidP="00954036"/>
        </w:tc>
        <w:tc>
          <w:tcPr>
            <w:tcW w:w="991" w:type="dxa"/>
            <w:vMerge/>
          </w:tcPr>
          <w:p w14:paraId="2B88178A" w14:textId="77777777" w:rsidR="00954036" w:rsidRDefault="00954036" w:rsidP="00954036"/>
        </w:tc>
      </w:tr>
      <w:tr w:rsidR="00954036" w:rsidRPr="00A24C96" w14:paraId="1A76FE29" w14:textId="77777777" w:rsidTr="00954036">
        <w:tc>
          <w:tcPr>
            <w:tcW w:w="11482" w:type="dxa"/>
            <w:shd w:val="clear" w:color="auto" w:fill="F2F2F2" w:themeFill="background1" w:themeFillShade="F2"/>
          </w:tcPr>
          <w:p w14:paraId="3C56E923" w14:textId="77777777" w:rsidR="00954036" w:rsidRPr="00A24C96" w:rsidRDefault="00954036" w:rsidP="00954036">
            <w:pPr>
              <w:pStyle w:val="TableText"/>
              <w:spacing w:before="60" w:after="60"/>
              <w:rPr>
                <w:b/>
              </w:rPr>
            </w:pPr>
            <w:r w:rsidRPr="00A24C96">
              <w:rPr>
                <w:b/>
              </w:rPr>
              <w:t>Standard 2.5: Entry to and Exit from Services</w:t>
            </w:r>
          </w:p>
        </w:tc>
        <w:tc>
          <w:tcPr>
            <w:tcW w:w="992" w:type="dxa"/>
            <w:shd w:val="clear" w:color="auto" w:fill="F2F2F2" w:themeFill="background1" w:themeFillShade="F2"/>
          </w:tcPr>
          <w:p w14:paraId="6D3AA56D"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7DE92BE6"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75460692" w14:textId="77777777" w:rsidR="00954036" w:rsidRPr="00A24C96" w:rsidRDefault="00954036" w:rsidP="00954036">
            <w:pPr>
              <w:pStyle w:val="TableText"/>
              <w:spacing w:before="60" w:after="60"/>
              <w:rPr>
                <w:b/>
              </w:rPr>
            </w:pPr>
          </w:p>
        </w:tc>
      </w:tr>
      <w:tr w:rsidR="00954036" w14:paraId="71874D53" w14:textId="77777777" w:rsidTr="00954036">
        <w:tc>
          <w:tcPr>
            <w:tcW w:w="11482" w:type="dxa"/>
          </w:tcPr>
          <w:p w14:paraId="62012CC1" w14:textId="77777777" w:rsidR="00954036" w:rsidRPr="00CD268F" w:rsidRDefault="00954036" w:rsidP="00954036">
            <w:pPr>
              <w:pStyle w:val="TableText"/>
              <w:rPr>
                <w:rStyle w:val="BodyTextChar"/>
                <w:sz w:val="18"/>
                <w:szCs w:val="21"/>
              </w:rPr>
            </w:pPr>
            <w:r w:rsidRPr="00CD268F">
              <w:rPr>
                <w:rStyle w:val="BodyTextChar"/>
                <w:sz w:val="18"/>
                <w:szCs w:val="21"/>
              </w:rPr>
              <w:t>Consumers’ entry into and exit from services is facilitated in an equitable, timely, and respectful manner.</w:t>
            </w:r>
          </w:p>
          <w:p w14:paraId="621EDB5A" w14:textId="77777777" w:rsidR="00954036" w:rsidRPr="00CD268F" w:rsidRDefault="00954036" w:rsidP="00954036">
            <w:pPr>
              <w:pStyle w:val="TableText"/>
              <w:rPr>
                <w:i/>
              </w:rPr>
            </w:pPr>
            <w:r w:rsidRPr="00CD268F">
              <w:rPr>
                <w:i/>
              </w:rPr>
              <w:t>[Standard 1.3.1: Entry To Services (HDS(C)S.2008:1.3.1): Consumers' entry into services is facilitated in a competent, equitable, timely, and respectful manner, when their need for services has been identified</w:t>
            </w:r>
          </w:p>
          <w:p w14:paraId="54D1F378" w14:textId="77777777" w:rsidR="00954036" w:rsidRDefault="00954036" w:rsidP="00954036">
            <w:pPr>
              <w:pStyle w:val="TableText"/>
            </w:pPr>
            <w:r w:rsidRPr="00CD268F">
              <w:rPr>
                <w:i/>
              </w:rPr>
              <w:lastRenderedPageBreak/>
              <w:t>Standard 1.3.10: Transition, Exit, Discharge, Or Transfer (HDS(C)S.2008:1.3.10): Consumers experience a planned and coordinated transition, exit, discharge, or transfer from services]</w:t>
            </w:r>
          </w:p>
        </w:tc>
        <w:tc>
          <w:tcPr>
            <w:tcW w:w="992" w:type="dxa"/>
            <w:vMerge w:val="restart"/>
          </w:tcPr>
          <w:p w14:paraId="15763264"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lastRenderedPageBreak/>
              <w:t>✓</w:t>
            </w:r>
          </w:p>
        </w:tc>
        <w:tc>
          <w:tcPr>
            <w:tcW w:w="994" w:type="dxa"/>
            <w:vMerge w:val="restart"/>
          </w:tcPr>
          <w:p w14:paraId="7277DA1A"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7AF704FD" w14:textId="77777777" w:rsidR="00954036" w:rsidRDefault="00954036" w:rsidP="00954036"/>
        </w:tc>
      </w:tr>
      <w:tr w:rsidR="00954036" w14:paraId="791FA6E3" w14:textId="77777777" w:rsidTr="00954036">
        <w:tc>
          <w:tcPr>
            <w:tcW w:w="11482" w:type="dxa"/>
          </w:tcPr>
          <w:p w14:paraId="6EAE6D40" w14:textId="77777777" w:rsidR="00954036" w:rsidRDefault="00954036" w:rsidP="00954036">
            <w:pPr>
              <w:pStyle w:val="TableText"/>
            </w:pPr>
            <w:r>
              <w:t>Comment: (eg. move standard to a different part, merge with a different standard)</w:t>
            </w:r>
          </w:p>
          <w:p w14:paraId="34A21315" w14:textId="77777777" w:rsidR="00954036" w:rsidRDefault="00954036" w:rsidP="00954036">
            <w:pPr>
              <w:pStyle w:val="TableBullet"/>
              <w:spacing w:before="60" w:after="60"/>
              <w:rPr>
                <w:lang w:eastAsia="en-NZ"/>
              </w:rPr>
            </w:pPr>
            <w:r>
              <w:rPr>
                <w:lang w:eastAsia="en-NZ"/>
              </w:rPr>
              <w:t>Language to be considered – support ‘Access’ as title</w:t>
            </w:r>
          </w:p>
          <w:p w14:paraId="48C2D695" w14:textId="77777777" w:rsidR="00954036" w:rsidRDefault="00954036" w:rsidP="00954036">
            <w:pPr>
              <w:pStyle w:val="TableBullet"/>
              <w:spacing w:before="60" w:after="60"/>
              <w:rPr>
                <w:lang w:eastAsia="en-NZ"/>
              </w:rPr>
            </w:pPr>
            <w:r>
              <w:rPr>
                <w:lang w:eastAsia="en-NZ"/>
              </w:rPr>
              <w:t>Need a standard level of care across all DHB’s – delivery of service should be equal</w:t>
            </w:r>
          </w:p>
          <w:p w14:paraId="75AEF6AE" w14:textId="77777777" w:rsidR="00954036" w:rsidRDefault="00954036" w:rsidP="00954036">
            <w:pPr>
              <w:pStyle w:val="TableBullet"/>
              <w:spacing w:before="60" w:after="60"/>
              <w:rPr>
                <w:lang w:eastAsia="en-NZ"/>
              </w:rPr>
            </w:pPr>
            <w:r>
              <w:rPr>
                <w:lang w:eastAsia="en-NZ"/>
              </w:rPr>
              <w:t>Standard – should be ‘accessible and easy’</w:t>
            </w:r>
          </w:p>
          <w:p w14:paraId="543A6845" w14:textId="77777777" w:rsidR="00954036" w:rsidRDefault="00954036" w:rsidP="00954036">
            <w:pPr>
              <w:pStyle w:val="TableBullet"/>
              <w:spacing w:before="60" w:after="60"/>
              <w:rPr>
                <w:lang w:eastAsia="en-NZ"/>
              </w:rPr>
            </w:pPr>
            <w:r>
              <w:rPr>
                <w:lang w:eastAsia="en-NZ"/>
              </w:rPr>
              <w:t>Consider transition – ie. People may come into a service, discharged and return. Person needs understanding of what the service is that is to be delivered during current episode of care</w:t>
            </w:r>
          </w:p>
          <w:p w14:paraId="5FBF1108" w14:textId="77777777" w:rsidR="00954036" w:rsidRDefault="00954036" w:rsidP="00954036">
            <w:pPr>
              <w:pStyle w:val="TableBullet"/>
              <w:spacing w:before="60" w:after="60"/>
              <w:rPr>
                <w:lang w:eastAsia="en-NZ"/>
              </w:rPr>
            </w:pPr>
            <w:r>
              <w:rPr>
                <w:lang w:eastAsia="en-NZ"/>
              </w:rPr>
              <w:t>Equity lens needs to include</w:t>
            </w:r>
          </w:p>
          <w:p w14:paraId="3FFD444F" w14:textId="77777777" w:rsidR="00954036" w:rsidRDefault="00954036" w:rsidP="00954036">
            <w:pPr>
              <w:pStyle w:val="TableBullet"/>
              <w:spacing w:before="60" w:after="60"/>
              <w:rPr>
                <w:lang w:eastAsia="en-NZ"/>
              </w:rPr>
            </w:pPr>
            <w:r>
              <w:rPr>
                <w:lang w:eastAsia="en-NZ"/>
              </w:rPr>
              <w:t>Standard needs to be ‘high level’ (with contracts specifying timeframes) in order for providers to meet same</w:t>
            </w:r>
          </w:p>
          <w:p w14:paraId="723273D2" w14:textId="77777777" w:rsidR="00954036" w:rsidRDefault="00954036" w:rsidP="00954036">
            <w:pPr>
              <w:pStyle w:val="TableBullet"/>
              <w:spacing w:before="60" w:after="60"/>
              <w:rPr>
                <w:lang w:eastAsia="en-NZ"/>
              </w:rPr>
            </w:pPr>
            <w:r>
              <w:rPr>
                <w:lang w:eastAsia="en-NZ"/>
              </w:rPr>
              <w:t>Standard weighted on providers expectations</w:t>
            </w:r>
          </w:p>
          <w:p w14:paraId="1492396D" w14:textId="77777777" w:rsidR="00954036" w:rsidRDefault="00954036" w:rsidP="00954036">
            <w:pPr>
              <w:pStyle w:val="TableBullet"/>
              <w:spacing w:before="60" w:after="60"/>
              <w:rPr>
                <w:lang w:eastAsia="en-NZ"/>
              </w:rPr>
            </w:pPr>
            <w:r>
              <w:rPr>
                <w:lang w:eastAsia="en-NZ"/>
              </w:rPr>
              <w:t>Some difficulty accessing services in different areas, contingency planning discussed</w:t>
            </w:r>
          </w:p>
          <w:p w14:paraId="48B1C112" w14:textId="77777777" w:rsidR="00954036" w:rsidRDefault="00954036" w:rsidP="00954036">
            <w:pPr>
              <w:pStyle w:val="TableBullet"/>
              <w:spacing w:before="60" w:after="60"/>
              <w:rPr>
                <w:lang w:eastAsia="en-NZ"/>
              </w:rPr>
            </w:pPr>
            <w:r>
              <w:rPr>
                <w:lang w:eastAsia="en-NZ"/>
              </w:rPr>
              <w:t>Q: how much reliance on natural support should there be</w:t>
            </w:r>
          </w:p>
          <w:p w14:paraId="6648AB66" w14:textId="77777777" w:rsidR="00954036" w:rsidRDefault="00954036" w:rsidP="00954036">
            <w:pPr>
              <w:pStyle w:val="TableBullet"/>
              <w:spacing w:before="60" w:after="60"/>
            </w:pPr>
            <w:r>
              <w:rPr>
                <w:lang w:eastAsia="en-NZ"/>
              </w:rPr>
              <w:t>Noted: an ethical framework being developed by CDHB</w:t>
            </w:r>
          </w:p>
          <w:p w14:paraId="0CE45C6C" w14:textId="77777777" w:rsidR="00954036" w:rsidRDefault="00954036" w:rsidP="00954036">
            <w:pPr>
              <w:pStyle w:val="TableBullet"/>
              <w:spacing w:before="60" w:after="60"/>
            </w:pPr>
            <w:r>
              <w:rPr>
                <w:lang w:eastAsia="en-NZ"/>
              </w:rPr>
              <w:t>Support moving to Part 4: Service Delivery – agree</w:t>
            </w:r>
          </w:p>
          <w:p w14:paraId="2FBA5215" w14:textId="77777777" w:rsidR="00954036" w:rsidRDefault="00954036" w:rsidP="00954036">
            <w:pPr>
              <w:pStyle w:val="TableBullet"/>
              <w:spacing w:before="60" w:after="60"/>
            </w:pPr>
            <w:r w:rsidRPr="00064E60">
              <w:rPr>
                <w:i/>
                <w:lang w:eastAsia="en-NZ"/>
              </w:rPr>
              <w:t>Planned and facilitated (L.Logan, HCNZ)</w:t>
            </w:r>
          </w:p>
        </w:tc>
        <w:tc>
          <w:tcPr>
            <w:tcW w:w="992" w:type="dxa"/>
            <w:vMerge/>
          </w:tcPr>
          <w:p w14:paraId="19EBC7F9" w14:textId="77777777" w:rsidR="00954036" w:rsidRDefault="00954036" w:rsidP="00954036"/>
        </w:tc>
        <w:tc>
          <w:tcPr>
            <w:tcW w:w="994" w:type="dxa"/>
            <w:vMerge/>
          </w:tcPr>
          <w:p w14:paraId="056354DB" w14:textId="77777777" w:rsidR="00954036" w:rsidRDefault="00954036" w:rsidP="00954036"/>
        </w:tc>
        <w:tc>
          <w:tcPr>
            <w:tcW w:w="991" w:type="dxa"/>
            <w:vMerge/>
          </w:tcPr>
          <w:p w14:paraId="4EBB0E47" w14:textId="77777777" w:rsidR="00954036" w:rsidRDefault="00954036" w:rsidP="00954036"/>
        </w:tc>
      </w:tr>
      <w:tr w:rsidR="00954036" w:rsidRPr="00A24C96" w14:paraId="5C141536" w14:textId="77777777" w:rsidTr="00954036">
        <w:tc>
          <w:tcPr>
            <w:tcW w:w="11482" w:type="dxa"/>
            <w:shd w:val="clear" w:color="auto" w:fill="F2F2F2" w:themeFill="background1" w:themeFillShade="F2"/>
          </w:tcPr>
          <w:p w14:paraId="4E523E49" w14:textId="77777777" w:rsidR="00954036" w:rsidRPr="00A24C96" w:rsidRDefault="00954036" w:rsidP="00954036">
            <w:pPr>
              <w:pStyle w:val="TableText"/>
              <w:spacing w:before="60" w:after="60"/>
              <w:rPr>
                <w:b/>
              </w:rPr>
            </w:pPr>
            <w:r>
              <w:rPr>
                <w:b/>
              </w:rPr>
              <w:t>S</w:t>
            </w:r>
            <w:r w:rsidRPr="00A24C96">
              <w:rPr>
                <w:b/>
              </w:rPr>
              <w:t>tandard 2.6: Consumer Information Management Systems</w:t>
            </w:r>
          </w:p>
        </w:tc>
        <w:tc>
          <w:tcPr>
            <w:tcW w:w="992" w:type="dxa"/>
            <w:shd w:val="clear" w:color="auto" w:fill="F2F2F2" w:themeFill="background1" w:themeFillShade="F2"/>
          </w:tcPr>
          <w:p w14:paraId="442C5F0B"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754711BE"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280A3AE" w14:textId="77777777" w:rsidR="00954036" w:rsidRPr="00A24C96" w:rsidRDefault="00954036" w:rsidP="00954036">
            <w:pPr>
              <w:pStyle w:val="TableText"/>
              <w:spacing w:before="60" w:after="60"/>
              <w:rPr>
                <w:b/>
              </w:rPr>
            </w:pPr>
          </w:p>
        </w:tc>
      </w:tr>
      <w:tr w:rsidR="00954036" w14:paraId="6BC97EEE" w14:textId="77777777" w:rsidTr="00954036">
        <w:tc>
          <w:tcPr>
            <w:tcW w:w="11482" w:type="dxa"/>
          </w:tcPr>
          <w:p w14:paraId="097EB201" w14:textId="77777777" w:rsidR="00954036" w:rsidRPr="00CD268F" w:rsidRDefault="00954036" w:rsidP="00954036">
            <w:pPr>
              <w:pStyle w:val="TableText"/>
              <w:rPr>
                <w:rStyle w:val="BodyTextChar"/>
                <w:sz w:val="18"/>
                <w:szCs w:val="21"/>
              </w:rPr>
            </w:pPr>
            <w:r w:rsidRPr="00CD268F">
              <w:rPr>
                <w:rStyle w:val="BodyTextChar"/>
                <w:sz w:val="18"/>
                <w:szCs w:val="21"/>
              </w:rPr>
              <w:t>Consumer information is uniquely identifiable, accurately recorded, current, confidential, and accessible when required.</w:t>
            </w:r>
          </w:p>
          <w:p w14:paraId="5C7F8DBA" w14:textId="77777777" w:rsidR="00954036" w:rsidRPr="00CD268F" w:rsidRDefault="00954036" w:rsidP="00954036">
            <w:pPr>
              <w:pStyle w:val="TableText"/>
              <w:rPr>
                <w:i/>
              </w:rPr>
            </w:pPr>
            <w:r w:rsidRPr="00CD268F">
              <w:rPr>
                <w:i/>
              </w:rPr>
              <w:t>[Standard 1.2.9: Consumer Information Management Systems (HDS(C)S.2008:1.2.9): Consumer information is uniquely identifiable, accurately recorded, current, confidential, and accessible when required]</w:t>
            </w:r>
          </w:p>
        </w:tc>
        <w:tc>
          <w:tcPr>
            <w:tcW w:w="992" w:type="dxa"/>
            <w:vMerge w:val="restart"/>
          </w:tcPr>
          <w:p w14:paraId="246D0FB5"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0700654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35392191" w14:textId="77777777" w:rsidR="00954036" w:rsidRDefault="00954036" w:rsidP="00954036"/>
        </w:tc>
      </w:tr>
      <w:tr w:rsidR="00954036" w14:paraId="22D777F2" w14:textId="77777777" w:rsidTr="00954036">
        <w:tc>
          <w:tcPr>
            <w:tcW w:w="11482" w:type="dxa"/>
          </w:tcPr>
          <w:p w14:paraId="2C1766B3" w14:textId="77777777" w:rsidR="00954036" w:rsidRDefault="00954036" w:rsidP="00954036">
            <w:pPr>
              <w:pStyle w:val="TableText"/>
            </w:pPr>
            <w:r>
              <w:t>Comment: (eg. move standard to a different part, merge with a different standard)</w:t>
            </w:r>
          </w:p>
          <w:p w14:paraId="18CBACC8" w14:textId="77777777" w:rsidR="00954036" w:rsidRDefault="00954036" w:rsidP="00954036">
            <w:pPr>
              <w:pStyle w:val="TableBullet"/>
              <w:spacing w:before="60" w:after="60"/>
              <w:rPr>
                <w:lang w:eastAsia="en-NZ"/>
              </w:rPr>
            </w:pPr>
            <w:r>
              <w:rPr>
                <w:lang w:eastAsia="en-NZ"/>
              </w:rPr>
              <w:t>The majority of information should be in client’s home. Challenge to keep updated</w:t>
            </w:r>
          </w:p>
          <w:p w14:paraId="58B040A2" w14:textId="77777777" w:rsidR="00954036" w:rsidRDefault="00954036" w:rsidP="00954036">
            <w:pPr>
              <w:pStyle w:val="TableBullet"/>
              <w:spacing w:before="60" w:after="60"/>
              <w:rPr>
                <w:lang w:eastAsia="en-NZ"/>
              </w:rPr>
            </w:pPr>
            <w:r>
              <w:rPr>
                <w:lang w:eastAsia="en-NZ"/>
              </w:rPr>
              <w:t>Use of paper and electronic reporting.</w:t>
            </w:r>
          </w:p>
          <w:p w14:paraId="7CAC67BB" w14:textId="77777777" w:rsidR="00954036" w:rsidRDefault="00954036" w:rsidP="00954036">
            <w:pPr>
              <w:pStyle w:val="TableBullet"/>
              <w:spacing w:before="60" w:after="60"/>
              <w:rPr>
                <w:lang w:eastAsia="en-NZ"/>
              </w:rPr>
            </w:pPr>
            <w:r>
              <w:rPr>
                <w:lang w:eastAsia="en-NZ"/>
              </w:rPr>
              <w:t>Protection for client and staff member required</w:t>
            </w:r>
          </w:p>
          <w:p w14:paraId="7D146BD0" w14:textId="77777777" w:rsidR="00954036" w:rsidRDefault="00954036" w:rsidP="00954036">
            <w:pPr>
              <w:pStyle w:val="TableBullet"/>
              <w:spacing w:before="60" w:after="60"/>
              <w:rPr>
                <w:lang w:eastAsia="en-NZ"/>
              </w:rPr>
            </w:pPr>
            <w:r>
              <w:rPr>
                <w:lang w:eastAsia="en-NZ"/>
              </w:rPr>
              <w:t>Issues when provider not supplying IT/phones for client information</w:t>
            </w:r>
          </w:p>
          <w:p w14:paraId="13790692" w14:textId="77777777" w:rsidR="00954036" w:rsidRPr="00CD268F" w:rsidRDefault="00954036" w:rsidP="00954036">
            <w:pPr>
              <w:pStyle w:val="Table2ndBullet"/>
              <w:spacing w:before="60" w:after="60"/>
              <w:rPr>
                <w:i/>
                <w:lang w:eastAsia="en-NZ"/>
              </w:rPr>
            </w:pPr>
            <w:r w:rsidRPr="00CD268F">
              <w:rPr>
                <w:i/>
              </w:rPr>
              <w:lastRenderedPageBreak/>
              <w:t>Discussed but not, I think, an issue for standards review- another input rather than outcome. The standard I think should be about uniquely identifiable, factual, objective, available, accessible, maintenance of privacy</w:t>
            </w:r>
            <w:r>
              <w:rPr>
                <w:i/>
              </w:rPr>
              <w:t xml:space="preserve">, </w:t>
            </w:r>
            <w:r w:rsidRPr="00CD268F">
              <w:rPr>
                <w:i/>
              </w:rPr>
              <w:t>etc rather than defining the whats and hows (L.Russell, Alzheimers NZ)</w:t>
            </w:r>
          </w:p>
          <w:p w14:paraId="24FDDA32" w14:textId="77777777" w:rsidR="00954036" w:rsidRDefault="00954036" w:rsidP="00954036">
            <w:pPr>
              <w:pStyle w:val="TableBullet"/>
              <w:spacing w:before="60" w:after="60"/>
              <w:rPr>
                <w:lang w:eastAsia="en-NZ"/>
              </w:rPr>
            </w:pPr>
            <w:r>
              <w:rPr>
                <w:lang w:eastAsia="en-NZ"/>
              </w:rPr>
              <w:t xml:space="preserve">Security, sharing and privacy of client information a concern. </w:t>
            </w:r>
          </w:p>
          <w:p w14:paraId="39A86AC2" w14:textId="77777777" w:rsidR="00954036" w:rsidRDefault="00954036" w:rsidP="00954036">
            <w:pPr>
              <w:pStyle w:val="TableBullet"/>
              <w:spacing w:before="60" w:after="60"/>
            </w:pPr>
            <w:r>
              <w:rPr>
                <w:lang w:eastAsia="en-NZ"/>
              </w:rPr>
              <w:t>Use and management of photographs</w:t>
            </w:r>
          </w:p>
          <w:p w14:paraId="0D146FF8" w14:textId="77777777" w:rsidR="00954036" w:rsidRPr="00CD268F" w:rsidRDefault="00954036" w:rsidP="00954036">
            <w:pPr>
              <w:pStyle w:val="TableBullet"/>
              <w:spacing w:before="60" w:after="60"/>
              <w:rPr>
                <w:i/>
              </w:rPr>
            </w:pPr>
            <w:r w:rsidRPr="00CD268F">
              <w:rPr>
                <w:i/>
              </w:rPr>
              <w:t>Secure storage of information and greater ability for consumers to decide what information is held and accessed by who (L.Logan, HCNZ)</w:t>
            </w:r>
          </w:p>
        </w:tc>
        <w:tc>
          <w:tcPr>
            <w:tcW w:w="992" w:type="dxa"/>
            <w:vMerge/>
          </w:tcPr>
          <w:p w14:paraId="64182840" w14:textId="77777777" w:rsidR="00954036" w:rsidRDefault="00954036" w:rsidP="00954036"/>
        </w:tc>
        <w:tc>
          <w:tcPr>
            <w:tcW w:w="994" w:type="dxa"/>
            <w:vMerge/>
          </w:tcPr>
          <w:p w14:paraId="0DCD1112" w14:textId="77777777" w:rsidR="00954036" w:rsidRDefault="00954036" w:rsidP="00954036"/>
        </w:tc>
        <w:tc>
          <w:tcPr>
            <w:tcW w:w="991" w:type="dxa"/>
            <w:vMerge/>
          </w:tcPr>
          <w:p w14:paraId="0F148FA5" w14:textId="77777777" w:rsidR="00954036" w:rsidRDefault="00954036" w:rsidP="00954036"/>
        </w:tc>
      </w:tr>
      <w:tr w:rsidR="00954036" w:rsidRPr="00A24C96" w14:paraId="4ABC9C6D" w14:textId="77777777" w:rsidTr="00954036">
        <w:tc>
          <w:tcPr>
            <w:tcW w:w="11482" w:type="dxa"/>
            <w:shd w:val="clear" w:color="auto" w:fill="F2F2F2" w:themeFill="background1" w:themeFillShade="F2"/>
          </w:tcPr>
          <w:p w14:paraId="3F2151EF" w14:textId="77777777" w:rsidR="00954036" w:rsidRPr="00A24C96" w:rsidRDefault="00954036" w:rsidP="00954036">
            <w:pPr>
              <w:pStyle w:val="TableText"/>
              <w:spacing w:before="60" w:after="60"/>
              <w:rPr>
                <w:b/>
              </w:rPr>
            </w:pPr>
            <w:r w:rsidRPr="00A24C96">
              <w:rPr>
                <w:b/>
              </w:rPr>
              <w:t>Standard 2.7: Essential and Emergency System</w:t>
            </w:r>
          </w:p>
        </w:tc>
        <w:tc>
          <w:tcPr>
            <w:tcW w:w="992" w:type="dxa"/>
            <w:shd w:val="clear" w:color="auto" w:fill="F2F2F2" w:themeFill="background1" w:themeFillShade="F2"/>
          </w:tcPr>
          <w:p w14:paraId="7C51218D"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4F81155C"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261D3D12" w14:textId="77777777" w:rsidR="00954036" w:rsidRPr="00A24C96" w:rsidRDefault="00954036" w:rsidP="00954036">
            <w:pPr>
              <w:pStyle w:val="TableText"/>
              <w:spacing w:before="60" w:after="60"/>
              <w:rPr>
                <w:b/>
              </w:rPr>
            </w:pPr>
          </w:p>
        </w:tc>
      </w:tr>
      <w:tr w:rsidR="00954036" w14:paraId="390C5B07" w14:textId="77777777" w:rsidTr="00954036">
        <w:tc>
          <w:tcPr>
            <w:tcW w:w="11482" w:type="dxa"/>
          </w:tcPr>
          <w:p w14:paraId="40C9E6FA" w14:textId="77777777" w:rsidR="00954036" w:rsidRPr="00CD268F" w:rsidRDefault="00954036" w:rsidP="00954036">
            <w:pPr>
              <w:pStyle w:val="TableText"/>
              <w:rPr>
                <w:rStyle w:val="BodyTextChar"/>
                <w:sz w:val="18"/>
                <w:szCs w:val="21"/>
              </w:rPr>
            </w:pPr>
            <w:r w:rsidRPr="00CD268F">
              <w:rPr>
                <w:rStyle w:val="BodyTextChar"/>
                <w:sz w:val="18"/>
                <w:szCs w:val="21"/>
              </w:rPr>
              <w:t>Consumers receive an appropriate and timely response during emergency and security situations.</w:t>
            </w:r>
          </w:p>
          <w:p w14:paraId="1CAED572" w14:textId="77777777" w:rsidR="00954036" w:rsidRPr="00CD268F" w:rsidRDefault="00954036" w:rsidP="00954036">
            <w:pPr>
              <w:pStyle w:val="TableText"/>
              <w:rPr>
                <w:i/>
              </w:rPr>
            </w:pPr>
            <w:r w:rsidRPr="00CD268F">
              <w:rPr>
                <w:i/>
              </w:rPr>
              <w:t>[Standard 1.4.7: Essential, Emergency, And Security Systems (HDS(C)S.2008:1.4.7): Consumers receive an appropriate and timely response during emergency and security situations]</w:t>
            </w:r>
          </w:p>
        </w:tc>
        <w:tc>
          <w:tcPr>
            <w:tcW w:w="992" w:type="dxa"/>
            <w:vMerge w:val="restart"/>
          </w:tcPr>
          <w:p w14:paraId="7A3F3AF8"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66C64403"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5F2C141C" w14:textId="77777777" w:rsidR="00954036" w:rsidRDefault="00954036" w:rsidP="00954036"/>
        </w:tc>
      </w:tr>
      <w:tr w:rsidR="00954036" w14:paraId="1BECD0B7" w14:textId="77777777" w:rsidTr="00954036">
        <w:tc>
          <w:tcPr>
            <w:tcW w:w="11482" w:type="dxa"/>
          </w:tcPr>
          <w:p w14:paraId="2A0CE1C1" w14:textId="77777777" w:rsidR="00954036" w:rsidRDefault="00954036" w:rsidP="00954036">
            <w:pPr>
              <w:pStyle w:val="TableText"/>
            </w:pPr>
            <w:r>
              <w:t>Comment: (eg. move standard to a different part, merge with a different standard)</w:t>
            </w:r>
          </w:p>
          <w:p w14:paraId="4B3D6428" w14:textId="77777777" w:rsidR="00954036" w:rsidRDefault="00954036" w:rsidP="00954036">
            <w:pPr>
              <w:pStyle w:val="TableBullet"/>
              <w:spacing w:before="60" w:after="60"/>
              <w:rPr>
                <w:lang w:eastAsia="en-NZ"/>
              </w:rPr>
            </w:pPr>
            <w:r>
              <w:rPr>
                <w:lang w:eastAsia="en-NZ"/>
              </w:rPr>
              <w:t>Holding and sharing of information with DHB/Civil Defence in emergency.</w:t>
            </w:r>
          </w:p>
          <w:p w14:paraId="0D383178" w14:textId="77777777" w:rsidR="00954036" w:rsidRDefault="00954036" w:rsidP="00954036">
            <w:pPr>
              <w:pStyle w:val="TableBullet"/>
              <w:spacing w:before="60" w:after="60"/>
              <w:rPr>
                <w:lang w:eastAsia="en-NZ"/>
              </w:rPr>
            </w:pPr>
            <w:r>
              <w:rPr>
                <w:lang w:eastAsia="en-NZ"/>
              </w:rPr>
              <w:t>Consider home environment in emergency, client and staff caring is in isolation – health and safety aspects</w:t>
            </w:r>
          </w:p>
          <w:p w14:paraId="3FCE8164" w14:textId="77777777" w:rsidR="00954036" w:rsidRDefault="00954036" w:rsidP="00954036">
            <w:pPr>
              <w:pStyle w:val="TableBullet"/>
              <w:spacing w:before="60" w:after="60"/>
              <w:rPr>
                <w:lang w:eastAsia="en-NZ"/>
              </w:rPr>
            </w:pPr>
            <w:r>
              <w:rPr>
                <w:lang w:eastAsia="en-NZ"/>
              </w:rPr>
              <w:t>Equipment required for client needs is available.</w:t>
            </w:r>
          </w:p>
          <w:p w14:paraId="7046A707" w14:textId="77777777" w:rsidR="00954036" w:rsidRDefault="00954036" w:rsidP="00954036">
            <w:pPr>
              <w:pStyle w:val="TableBullet"/>
              <w:spacing w:before="60" w:after="60"/>
            </w:pPr>
            <w:r>
              <w:rPr>
                <w:lang w:eastAsia="en-NZ"/>
              </w:rPr>
              <w:t>Provider has details on at risk clients – alerts inclusive of staffing and supplies</w:t>
            </w:r>
            <w:r>
              <w:t xml:space="preserve">  </w:t>
            </w:r>
          </w:p>
          <w:p w14:paraId="61829F3E" w14:textId="77777777" w:rsidR="00954036" w:rsidRDefault="00954036" w:rsidP="00954036">
            <w:pPr>
              <w:pStyle w:val="TableBullet"/>
              <w:spacing w:before="60" w:after="60"/>
            </w:pPr>
            <w:r w:rsidRPr="00064E60">
              <w:rPr>
                <w:i/>
              </w:rPr>
              <w:t>Integrated response with Civil Defence (L.Logan, HCNZ)</w:t>
            </w:r>
          </w:p>
        </w:tc>
        <w:tc>
          <w:tcPr>
            <w:tcW w:w="992" w:type="dxa"/>
            <w:vMerge/>
          </w:tcPr>
          <w:p w14:paraId="6B23F659" w14:textId="77777777" w:rsidR="00954036" w:rsidRDefault="00954036" w:rsidP="00954036"/>
        </w:tc>
        <w:tc>
          <w:tcPr>
            <w:tcW w:w="994" w:type="dxa"/>
            <w:vMerge/>
          </w:tcPr>
          <w:p w14:paraId="5DAE9297" w14:textId="77777777" w:rsidR="00954036" w:rsidRDefault="00954036" w:rsidP="00954036"/>
        </w:tc>
        <w:tc>
          <w:tcPr>
            <w:tcW w:w="991" w:type="dxa"/>
            <w:vMerge/>
          </w:tcPr>
          <w:p w14:paraId="0D3A982E" w14:textId="77777777" w:rsidR="00954036" w:rsidRDefault="00954036" w:rsidP="00954036"/>
        </w:tc>
      </w:tr>
      <w:tr w:rsidR="00954036" w:rsidRPr="00954036" w14:paraId="4BE7C5C9" w14:textId="77777777" w:rsidTr="00954036">
        <w:tc>
          <w:tcPr>
            <w:tcW w:w="11482" w:type="dxa"/>
            <w:shd w:val="clear" w:color="auto" w:fill="D9D9D9" w:themeFill="background1" w:themeFillShade="D9"/>
          </w:tcPr>
          <w:p w14:paraId="670FB234" w14:textId="77777777" w:rsidR="00954036" w:rsidRPr="00954036" w:rsidRDefault="00954036" w:rsidP="00954036">
            <w:pPr>
              <w:pStyle w:val="TableText"/>
              <w:spacing w:before="40" w:after="40"/>
              <w:rPr>
                <w:b/>
                <w:sz w:val="22"/>
              </w:rPr>
            </w:pPr>
            <w:r w:rsidRPr="00954036">
              <w:rPr>
                <w:b/>
                <w:sz w:val="22"/>
                <w:lang w:eastAsia="en-NZ"/>
              </w:rPr>
              <w:t>Outcome 3: Human Resources</w:t>
            </w:r>
          </w:p>
        </w:tc>
        <w:tc>
          <w:tcPr>
            <w:tcW w:w="992" w:type="dxa"/>
            <w:shd w:val="clear" w:color="auto" w:fill="D9D9D9" w:themeFill="background1" w:themeFillShade="D9"/>
          </w:tcPr>
          <w:p w14:paraId="603457CB" w14:textId="77777777" w:rsidR="00954036" w:rsidRPr="00954036" w:rsidRDefault="00954036" w:rsidP="00954036">
            <w:pPr>
              <w:spacing w:before="40" w:after="40"/>
              <w:rPr>
                <w:sz w:val="22"/>
              </w:rPr>
            </w:pPr>
          </w:p>
        </w:tc>
        <w:tc>
          <w:tcPr>
            <w:tcW w:w="994" w:type="dxa"/>
            <w:shd w:val="clear" w:color="auto" w:fill="D9D9D9" w:themeFill="background1" w:themeFillShade="D9"/>
          </w:tcPr>
          <w:p w14:paraId="5318FDF5" w14:textId="77777777" w:rsidR="00954036" w:rsidRPr="00954036" w:rsidRDefault="00954036" w:rsidP="00954036">
            <w:pPr>
              <w:spacing w:before="40" w:after="40"/>
              <w:rPr>
                <w:sz w:val="22"/>
              </w:rPr>
            </w:pPr>
          </w:p>
        </w:tc>
        <w:tc>
          <w:tcPr>
            <w:tcW w:w="991" w:type="dxa"/>
            <w:shd w:val="clear" w:color="auto" w:fill="D9D9D9" w:themeFill="background1" w:themeFillShade="D9"/>
          </w:tcPr>
          <w:p w14:paraId="00D37979" w14:textId="77777777" w:rsidR="00954036" w:rsidRPr="00954036" w:rsidRDefault="00954036" w:rsidP="00954036">
            <w:pPr>
              <w:spacing w:before="40" w:after="40"/>
              <w:rPr>
                <w:sz w:val="22"/>
              </w:rPr>
            </w:pPr>
          </w:p>
        </w:tc>
      </w:tr>
      <w:tr w:rsidR="00954036" w14:paraId="11E59C98" w14:textId="77777777" w:rsidTr="00954036">
        <w:tc>
          <w:tcPr>
            <w:tcW w:w="11482" w:type="dxa"/>
          </w:tcPr>
          <w:p w14:paraId="159B9E05" w14:textId="77777777" w:rsidR="00954036" w:rsidRDefault="00954036" w:rsidP="00954036">
            <w:pPr>
              <w:pStyle w:val="TableText"/>
            </w:pPr>
            <w:r w:rsidRPr="003F6526">
              <w:t>Consumers receive safe, efficient, and effective services from an organisation that is a good employer and follows accepted human resource practices.</w:t>
            </w:r>
          </w:p>
        </w:tc>
        <w:tc>
          <w:tcPr>
            <w:tcW w:w="992" w:type="dxa"/>
          </w:tcPr>
          <w:p w14:paraId="0E09D746" w14:textId="77777777" w:rsidR="00954036" w:rsidRDefault="00954036" w:rsidP="00954036">
            <w:pPr>
              <w:spacing w:before="240" w:after="40"/>
              <w:jc w:val="center"/>
            </w:pPr>
          </w:p>
        </w:tc>
        <w:tc>
          <w:tcPr>
            <w:tcW w:w="994" w:type="dxa"/>
          </w:tcPr>
          <w:p w14:paraId="2A944769" w14:textId="77777777" w:rsidR="00954036" w:rsidRDefault="00954036" w:rsidP="00954036">
            <w:pPr>
              <w:spacing w:before="240" w:after="40"/>
              <w:jc w:val="center"/>
            </w:pPr>
          </w:p>
        </w:tc>
        <w:tc>
          <w:tcPr>
            <w:tcW w:w="991" w:type="dxa"/>
          </w:tcPr>
          <w:p w14:paraId="15845CB7" w14:textId="77777777" w:rsidR="00954036" w:rsidRDefault="00954036" w:rsidP="00954036"/>
        </w:tc>
      </w:tr>
      <w:tr w:rsidR="00954036" w14:paraId="1FDA780E" w14:textId="77777777" w:rsidTr="00954036">
        <w:tc>
          <w:tcPr>
            <w:tcW w:w="11482" w:type="dxa"/>
            <w:shd w:val="clear" w:color="auto" w:fill="F2F2F2" w:themeFill="background1" w:themeFillShade="F2"/>
          </w:tcPr>
          <w:p w14:paraId="30B52AF7" w14:textId="77777777" w:rsidR="00954036" w:rsidRPr="00A24C96" w:rsidRDefault="00954036" w:rsidP="00954036">
            <w:pPr>
              <w:pStyle w:val="TableText"/>
              <w:spacing w:before="60" w:after="60"/>
              <w:rPr>
                <w:b/>
              </w:rPr>
            </w:pPr>
            <w:r w:rsidRPr="00C346F9">
              <w:rPr>
                <w:b/>
              </w:rPr>
              <w:t>Standard 3.1: Recruitment</w:t>
            </w:r>
          </w:p>
        </w:tc>
        <w:tc>
          <w:tcPr>
            <w:tcW w:w="992" w:type="dxa"/>
            <w:shd w:val="clear" w:color="auto" w:fill="F2F2F2" w:themeFill="background1" w:themeFillShade="F2"/>
          </w:tcPr>
          <w:p w14:paraId="313E24F7"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381CEC66"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8A5E8A2" w14:textId="77777777" w:rsidR="00954036" w:rsidRPr="00A24C96" w:rsidRDefault="00954036" w:rsidP="00954036">
            <w:pPr>
              <w:pStyle w:val="TableText"/>
              <w:spacing w:before="60" w:after="60"/>
              <w:rPr>
                <w:b/>
              </w:rPr>
            </w:pPr>
          </w:p>
        </w:tc>
      </w:tr>
      <w:tr w:rsidR="00954036" w14:paraId="2D832C5E" w14:textId="77777777" w:rsidTr="00954036">
        <w:tc>
          <w:tcPr>
            <w:tcW w:w="11482" w:type="dxa"/>
          </w:tcPr>
          <w:p w14:paraId="1B3C6577" w14:textId="77777777" w:rsidR="00954036" w:rsidRPr="00C346F9" w:rsidRDefault="00954036" w:rsidP="00954036">
            <w:pPr>
              <w:pStyle w:val="TableText"/>
              <w:rPr>
                <w:rStyle w:val="BodyTextChar"/>
                <w:sz w:val="18"/>
                <w:szCs w:val="21"/>
              </w:rPr>
            </w:pPr>
            <w:r w:rsidRPr="00C346F9">
              <w:rPr>
                <w:rStyle w:val="BodyTextChar"/>
                <w:sz w:val="18"/>
                <w:szCs w:val="21"/>
              </w:rPr>
              <w:t>Consumers receive services that are based on good employment practices and relevant legislation.</w:t>
            </w:r>
          </w:p>
          <w:p w14:paraId="770D386E" w14:textId="77777777" w:rsidR="00954036" w:rsidRPr="00C346F9" w:rsidRDefault="00954036" w:rsidP="00954036">
            <w:pPr>
              <w:pStyle w:val="TableText"/>
              <w:rPr>
                <w:i/>
              </w:rPr>
            </w:pPr>
            <w:r w:rsidRPr="00C346F9">
              <w:rPr>
                <w:i/>
              </w:rPr>
              <w:t>[Standard 1.2.7: Human Resource Management  (HDS(C)S.2008:1.2.7): Human resource management processes are conducted in accordance with good employment practice and meet the requirements of legislation</w:t>
            </w:r>
          </w:p>
          <w:p w14:paraId="513AC8A0" w14:textId="77777777" w:rsidR="00954036" w:rsidRPr="00CD268F" w:rsidRDefault="00954036" w:rsidP="00954036">
            <w:pPr>
              <w:pStyle w:val="TableText"/>
              <w:rPr>
                <w:i/>
              </w:rPr>
            </w:pPr>
            <w:r w:rsidRPr="00C346F9">
              <w:rPr>
                <w:i/>
              </w:rPr>
              <w:t>Loose link: Standard 1.2.8: Service Provider Availability (HDS(C)S.2008:1.2.8): Consumers receive timely, appropriate, and safe service from suitably qualified/skilled and/or experienced service providers.</w:t>
            </w:r>
          </w:p>
        </w:tc>
        <w:tc>
          <w:tcPr>
            <w:tcW w:w="992" w:type="dxa"/>
            <w:vMerge w:val="restart"/>
          </w:tcPr>
          <w:p w14:paraId="572F74EB"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52A5508F"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2B105B16" w14:textId="77777777" w:rsidR="00954036" w:rsidRDefault="00954036" w:rsidP="00954036"/>
        </w:tc>
      </w:tr>
      <w:tr w:rsidR="00954036" w14:paraId="4C6F571C" w14:textId="77777777" w:rsidTr="00954036">
        <w:tc>
          <w:tcPr>
            <w:tcW w:w="11482" w:type="dxa"/>
          </w:tcPr>
          <w:p w14:paraId="1C49CFAB" w14:textId="77777777" w:rsidR="00954036" w:rsidRDefault="00954036" w:rsidP="00954036">
            <w:pPr>
              <w:pStyle w:val="TableText"/>
            </w:pPr>
            <w:r>
              <w:lastRenderedPageBreak/>
              <w:t>Comment: (eg. move standard to a different part, merge with a different standard)</w:t>
            </w:r>
          </w:p>
          <w:p w14:paraId="56B08B77" w14:textId="77777777" w:rsidR="00954036" w:rsidRDefault="00954036" w:rsidP="00954036">
            <w:pPr>
              <w:pStyle w:val="TableBullet"/>
              <w:spacing w:before="60" w:after="60"/>
            </w:pPr>
            <w:r>
              <w:t>Role of family/whanau carers in the client/provider relationship –recognition of prior learning.  Management of skill shortages</w:t>
            </w:r>
          </w:p>
          <w:p w14:paraId="4DE344D9" w14:textId="77777777" w:rsidR="00954036" w:rsidRDefault="00954036" w:rsidP="00954036">
            <w:pPr>
              <w:pStyle w:val="TableBullet"/>
              <w:spacing w:before="60" w:after="60"/>
            </w:pPr>
            <w:r>
              <w:t xml:space="preserve">Staff to be skilled at the first engagement with client – client should have expectation of this. </w:t>
            </w:r>
          </w:p>
          <w:p w14:paraId="22D512E6" w14:textId="77777777" w:rsidR="00954036" w:rsidRDefault="00954036" w:rsidP="00954036">
            <w:pPr>
              <w:pStyle w:val="TableBullet"/>
              <w:spacing w:before="60" w:after="60"/>
            </w:pPr>
            <w:r>
              <w:t>Individual client funding aspects – client the employer, ensure processes are flexible.  Employment and allocation of support workers to clients – required engagement of both parties.</w:t>
            </w:r>
          </w:p>
          <w:p w14:paraId="6342C1C4" w14:textId="77777777" w:rsidR="00954036" w:rsidRPr="00C346F9" w:rsidRDefault="00954036" w:rsidP="00954036">
            <w:pPr>
              <w:pStyle w:val="TableBullet"/>
              <w:spacing w:before="60" w:after="60"/>
              <w:rPr>
                <w:i/>
              </w:rPr>
            </w:pPr>
            <w:r w:rsidRPr="00C346F9">
              <w:rPr>
                <w:i/>
              </w:rPr>
              <w:t>Need to consider family carers are paid at same rate as non family employed carers therefore would expect similar levels of employment requirements and safe work practices.   Seems to be an assumption that family carers already know how to look after family member – but this overlooks that there can be gaps in what is best practice, use of other disciplines etc. (V.Russell, Lakes DHB)</w:t>
            </w:r>
          </w:p>
        </w:tc>
        <w:tc>
          <w:tcPr>
            <w:tcW w:w="992" w:type="dxa"/>
            <w:vMerge/>
          </w:tcPr>
          <w:p w14:paraId="13106F99" w14:textId="77777777" w:rsidR="00954036" w:rsidRDefault="00954036" w:rsidP="00954036"/>
        </w:tc>
        <w:tc>
          <w:tcPr>
            <w:tcW w:w="994" w:type="dxa"/>
            <w:vMerge/>
          </w:tcPr>
          <w:p w14:paraId="7895E991" w14:textId="77777777" w:rsidR="00954036" w:rsidRDefault="00954036" w:rsidP="00954036"/>
        </w:tc>
        <w:tc>
          <w:tcPr>
            <w:tcW w:w="991" w:type="dxa"/>
            <w:vMerge/>
          </w:tcPr>
          <w:p w14:paraId="2A2E473A" w14:textId="77777777" w:rsidR="00954036" w:rsidRDefault="00954036" w:rsidP="00954036"/>
        </w:tc>
      </w:tr>
      <w:tr w:rsidR="00954036" w14:paraId="7747C836" w14:textId="77777777" w:rsidTr="00954036">
        <w:tc>
          <w:tcPr>
            <w:tcW w:w="11482" w:type="dxa"/>
            <w:shd w:val="clear" w:color="auto" w:fill="F2F2F2" w:themeFill="background1" w:themeFillShade="F2"/>
          </w:tcPr>
          <w:p w14:paraId="666D9B3F" w14:textId="77777777" w:rsidR="00954036" w:rsidRPr="00A24C96" w:rsidRDefault="00954036" w:rsidP="00954036">
            <w:pPr>
              <w:pStyle w:val="TableText"/>
              <w:spacing w:before="60" w:after="60"/>
              <w:rPr>
                <w:b/>
              </w:rPr>
            </w:pPr>
            <w:r w:rsidRPr="00C346F9">
              <w:rPr>
                <w:b/>
              </w:rPr>
              <w:t>Standard 3.2: Orientation, Induction, Ongoing Development, and Competency</w:t>
            </w:r>
          </w:p>
        </w:tc>
        <w:tc>
          <w:tcPr>
            <w:tcW w:w="992" w:type="dxa"/>
            <w:shd w:val="clear" w:color="auto" w:fill="F2F2F2" w:themeFill="background1" w:themeFillShade="F2"/>
          </w:tcPr>
          <w:p w14:paraId="15E9A412"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3F47F465"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677A6D3" w14:textId="77777777" w:rsidR="00954036" w:rsidRPr="00A24C96" w:rsidRDefault="00954036" w:rsidP="00954036">
            <w:pPr>
              <w:pStyle w:val="TableText"/>
              <w:spacing w:before="60" w:after="60"/>
              <w:rPr>
                <w:b/>
              </w:rPr>
            </w:pPr>
          </w:p>
        </w:tc>
      </w:tr>
      <w:tr w:rsidR="00954036" w14:paraId="400FE579" w14:textId="77777777" w:rsidTr="00954036">
        <w:tc>
          <w:tcPr>
            <w:tcW w:w="11482" w:type="dxa"/>
          </w:tcPr>
          <w:p w14:paraId="17D8BE79" w14:textId="77777777" w:rsidR="00954036" w:rsidRDefault="00954036" w:rsidP="00954036">
            <w:pPr>
              <w:pStyle w:val="TableText"/>
            </w:pPr>
            <w:r>
              <w:t>Consumers receive services from service providers who are trained and assessed as competent to provide services.</w:t>
            </w:r>
          </w:p>
          <w:p w14:paraId="710FEF5C" w14:textId="77777777" w:rsidR="00954036" w:rsidRPr="00C346F9" w:rsidRDefault="00954036" w:rsidP="00954036">
            <w:pPr>
              <w:pStyle w:val="TableText"/>
              <w:rPr>
                <w:i/>
              </w:rPr>
            </w:pPr>
            <w:r w:rsidRPr="00C346F9">
              <w:rPr>
                <w:i/>
              </w:rPr>
              <w:t>[Standard 1.2.7: Human Resource Management (HDS(C)S.2008:1.2.7): Human resource management processes are conducted in accordance with good employment practice and meet the requirements of legislation]</w:t>
            </w:r>
          </w:p>
        </w:tc>
        <w:tc>
          <w:tcPr>
            <w:tcW w:w="992" w:type="dxa"/>
            <w:vMerge w:val="restart"/>
          </w:tcPr>
          <w:p w14:paraId="0B5EA099"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4843D0F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6CB392B4" w14:textId="77777777" w:rsidR="00954036" w:rsidRDefault="00954036" w:rsidP="00954036"/>
        </w:tc>
      </w:tr>
      <w:tr w:rsidR="00954036" w14:paraId="6A7C251B" w14:textId="77777777" w:rsidTr="00954036">
        <w:tc>
          <w:tcPr>
            <w:tcW w:w="11482" w:type="dxa"/>
          </w:tcPr>
          <w:p w14:paraId="3CE323F4" w14:textId="77777777" w:rsidR="00954036" w:rsidRDefault="00954036" w:rsidP="00954036">
            <w:pPr>
              <w:pStyle w:val="TableText"/>
            </w:pPr>
            <w:r>
              <w:t>Comment: (eg. move standard to a different part, merge with a different standard)</w:t>
            </w:r>
          </w:p>
          <w:p w14:paraId="70E72F0A" w14:textId="77777777" w:rsidR="00954036" w:rsidRDefault="00954036" w:rsidP="00954036">
            <w:pPr>
              <w:pStyle w:val="TableBullet"/>
              <w:spacing w:before="60" w:after="60"/>
            </w:pPr>
            <w:r>
              <w:t>Clear requirements for care giver training established and accessible.</w:t>
            </w:r>
          </w:p>
          <w:p w14:paraId="700485F2" w14:textId="77777777" w:rsidR="00954036" w:rsidRDefault="00954036" w:rsidP="00954036">
            <w:pPr>
              <w:pStyle w:val="TableBullet"/>
              <w:spacing w:before="60" w:after="60"/>
            </w:pPr>
            <w:r>
              <w:t>Client feedback in respect of care giver performance, allocation and appraisal</w:t>
            </w:r>
          </w:p>
          <w:p w14:paraId="789383BB" w14:textId="77777777" w:rsidR="00954036" w:rsidRPr="00C346F9" w:rsidRDefault="00954036" w:rsidP="00954036">
            <w:pPr>
              <w:pStyle w:val="Table2ndBullet"/>
              <w:spacing w:before="60" w:after="60"/>
              <w:rPr>
                <w:i/>
              </w:rPr>
            </w:pPr>
            <w:r w:rsidRPr="00C346F9">
              <w:rPr>
                <w:i/>
              </w:rPr>
              <w:t>Suggest not using the word care giver, change to support worker as used in this environment (L.Cochrane, HDANZ)</w:t>
            </w:r>
          </w:p>
          <w:p w14:paraId="4E318FA6" w14:textId="77777777" w:rsidR="00954036" w:rsidRDefault="00954036" w:rsidP="00954036">
            <w:pPr>
              <w:pStyle w:val="TableBullet"/>
              <w:spacing w:before="60" w:after="60"/>
            </w:pPr>
            <w:r>
              <w:t>Guidance inclusive of new employment legislation. Good access to specialist when required</w:t>
            </w:r>
          </w:p>
          <w:p w14:paraId="5E60B0BD" w14:textId="77777777" w:rsidR="00954036" w:rsidRPr="00C346F9" w:rsidRDefault="00954036" w:rsidP="00954036">
            <w:pPr>
              <w:pStyle w:val="TableBullet"/>
              <w:spacing w:before="60" w:after="60"/>
              <w:rPr>
                <w:i/>
              </w:rPr>
            </w:pPr>
            <w:r w:rsidRPr="00C346F9">
              <w:rPr>
                <w:i/>
              </w:rPr>
              <w:t>Lots of issues around family/friend caregivers etc. Is there a legal position on where providers/ funders sit in relation to this? If not, should there be? (L.Russell, Alzheimers NZ)</w:t>
            </w:r>
          </w:p>
          <w:p w14:paraId="3E692FE8" w14:textId="77777777" w:rsidR="00954036" w:rsidRPr="00C346F9" w:rsidRDefault="00954036" w:rsidP="00954036">
            <w:pPr>
              <w:pStyle w:val="TableBullet"/>
              <w:spacing w:before="60" w:after="60"/>
              <w:rPr>
                <w:i/>
              </w:rPr>
            </w:pPr>
            <w:r w:rsidRPr="00C346F9">
              <w:rPr>
                <w:i/>
              </w:rPr>
              <w:t>Consider competency reassessment timeframes (L.Logan, HCNZ)</w:t>
            </w:r>
          </w:p>
          <w:p w14:paraId="645FAAAD" w14:textId="77777777" w:rsidR="00954036" w:rsidRPr="00954036" w:rsidRDefault="00954036" w:rsidP="00954036">
            <w:pPr>
              <w:pStyle w:val="TableBullet"/>
              <w:spacing w:before="60" w:after="60"/>
            </w:pPr>
            <w:r w:rsidRPr="00C346F9">
              <w:rPr>
                <w:i/>
              </w:rPr>
              <w:t>Clear requirements for care givers to be orientated to role, skills required, client need before responsible for providing care to a client independently -  employer responsibility to mitigate risk of harm to self or others / client does not seem to be well understood in service (V.Russell, Lakes DHB)</w:t>
            </w:r>
          </w:p>
          <w:p w14:paraId="45238F0E" w14:textId="77777777" w:rsidR="00954036" w:rsidRDefault="00954036" w:rsidP="00954036">
            <w:pPr>
              <w:pStyle w:val="TableBullet"/>
              <w:numPr>
                <w:ilvl w:val="0"/>
                <w:numId w:val="0"/>
              </w:numPr>
              <w:spacing w:before="60" w:after="60"/>
              <w:rPr>
                <w:i/>
              </w:rPr>
            </w:pPr>
          </w:p>
          <w:p w14:paraId="0033EE9F" w14:textId="77777777" w:rsidR="00954036" w:rsidRDefault="00954036" w:rsidP="00954036">
            <w:pPr>
              <w:pStyle w:val="TableBullet"/>
              <w:numPr>
                <w:ilvl w:val="0"/>
                <w:numId w:val="0"/>
              </w:numPr>
              <w:spacing w:before="60" w:after="60"/>
              <w:rPr>
                <w:i/>
              </w:rPr>
            </w:pPr>
          </w:p>
          <w:p w14:paraId="6355F7C4" w14:textId="77777777" w:rsidR="00954036" w:rsidRDefault="00954036" w:rsidP="00954036">
            <w:pPr>
              <w:pStyle w:val="TableBullet"/>
              <w:numPr>
                <w:ilvl w:val="0"/>
                <w:numId w:val="0"/>
              </w:numPr>
              <w:spacing w:before="60" w:after="60"/>
              <w:rPr>
                <w:i/>
              </w:rPr>
            </w:pPr>
          </w:p>
          <w:p w14:paraId="740F0845" w14:textId="77777777" w:rsidR="00954036" w:rsidRDefault="00954036" w:rsidP="00954036">
            <w:pPr>
              <w:pStyle w:val="TableBullet"/>
              <w:numPr>
                <w:ilvl w:val="0"/>
                <w:numId w:val="0"/>
              </w:numPr>
              <w:spacing w:before="60" w:after="60"/>
            </w:pPr>
          </w:p>
        </w:tc>
        <w:tc>
          <w:tcPr>
            <w:tcW w:w="992" w:type="dxa"/>
            <w:vMerge/>
          </w:tcPr>
          <w:p w14:paraId="7FBD4722" w14:textId="77777777" w:rsidR="00954036" w:rsidRDefault="00954036" w:rsidP="00954036"/>
        </w:tc>
        <w:tc>
          <w:tcPr>
            <w:tcW w:w="994" w:type="dxa"/>
            <w:vMerge/>
          </w:tcPr>
          <w:p w14:paraId="1B5EDE29" w14:textId="77777777" w:rsidR="00954036" w:rsidRDefault="00954036" w:rsidP="00954036"/>
        </w:tc>
        <w:tc>
          <w:tcPr>
            <w:tcW w:w="991" w:type="dxa"/>
            <w:vMerge/>
          </w:tcPr>
          <w:p w14:paraId="217D99A5" w14:textId="77777777" w:rsidR="00954036" w:rsidRDefault="00954036" w:rsidP="00954036"/>
        </w:tc>
      </w:tr>
      <w:tr w:rsidR="00954036" w14:paraId="449DC7BF" w14:textId="77777777" w:rsidTr="00954036">
        <w:tc>
          <w:tcPr>
            <w:tcW w:w="11482" w:type="dxa"/>
            <w:shd w:val="clear" w:color="auto" w:fill="F2F2F2" w:themeFill="background1" w:themeFillShade="F2"/>
          </w:tcPr>
          <w:p w14:paraId="37A878AA" w14:textId="77777777" w:rsidR="00954036" w:rsidRPr="00A24C96" w:rsidRDefault="00954036" w:rsidP="00954036">
            <w:pPr>
              <w:pStyle w:val="TableText"/>
              <w:spacing w:before="60" w:after="60"/>
              <w:rPr>
                <w:b/>
              </w:rPr>
            </w:pPr>
            <w:r w:rsidRPr="00C346F9">
              <w:rPr>
                <w:b/>
              </w:rPr>
              <w:lastRenderedPageBreak/>
              <w:t>Standard 3.2: Orientation, Induction, Ongoing Development, and Competency</w:t>
            </w:r>
          </w:p>
        </w:tc>
        <w:tc>
          <w:tcPr>
            <w:tcW w:w="992" w:type="dxa"/>
            <w:shd w:val="clear" w:color="auto" w:fill="F2F2F2" w:themeFill="background1" w:themeFillShade="F2"/>
          </w:tcPr>
          <w:p w14:paraId="5529F543"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45B2ED92"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7C50D8E5" w14:textId="77777777" w:rsidR="00954036" w:rsidRPr="00A24C96" w:rsidRDefault="00954036" w:rsidP="00954036">
            <w:pPr>
              <w:pStyle w:val="TableText"/>
              <w:spacing w:before="60" w:after="60"/>
              <w:rPr>
                <w:b/>
              </w:rPr>
            </w:pPr>
          </w:p>
        </w:tc>
      </w:tr>
      <w:tr w:rsidR="00954036" w14:paraId="5AB4393C" w14:textId="77777777" w:rsidTr="00954036">
        <w:tc>
          <w:tcPr>
            <w:tcW w:w="11482" w:type="dxa"/>
          </w:tcPr>
          <w:p w14:paraId="7404BC48" w14:textId="77777777" w:rsidR="00954036" w:rsidRPr="00C346F9" w:rsidRDefault="00954036" w:rsidP="00954036">
            <w:pPr>
              <w:pStyle w:val="TableText"/>
            </w:pPr>
            <w:r w:rsidRPr="00C346F9">
              <w:t>Consumers receive services that promote the health and safety of the consumer and service providers.</w:t>
            </w:r>
          </w:p>
          <w:p w14:paraId="74B80473" w14:textId="77777777" w:rsidR="00954036" w:rsidRPr="00C346F9" w:rsidRDefault="00954036" w:rsidP="00954036">
            <w:pPr>
              <w:pStyle w:val="TableText"/>
              <w:rPr>
                <w:i/>
              </w:rPr>
            </w:pPr>
            <w:r w:rsidRPr="00C346F9">
              <w:rPr>
                <w:i/>
              </w:rPr>
              <w:t xml:space="preserve">[Standard 1.2.3: Quality and Risk Management Systems (HDS(C)S.2008:1.2.3): The organisation has an established, documented, and maintained quality and risk management system that reflects continuous quality improvement principles: </w:t>
            </w:r>
          </w:p>
          <w:p w14:paraId="528F9800" w14:textId="77777777" w:rsidR="00954036" w:rsidRPr="00C346F9" w:rsidRDefault="00954036" w:rsidP="00954036">
            <w:pPr>
              <w:pStyle w:val="TableText"/>
              <w:rPr>
                <w:i/>
              </w:rPr>
            </w:pPr>
            <w:r w:rsidRPr="00C346F9">
              <w:rPr>
                <w:i/>
              </w:rPr>
              <w:t>Criterion – 1.2.3.9: Actual and potential risks are identified, documented and where appropriate communicated to consumers, their family/whānau of choice, visitors, and those commonly associated with providing services. This shall include:</w:t>
            </w:r>
          </w:p>
          <w:p w14:paraId="69C72B50" w14:textId="77777777" w:rsidR="00954036" w:rsidRPr="00C346F9" w:rsidRDefault="00954036" w:rsidP="00954036">
            <w:pPr>
              <w:pStyle w:val="TableText"/>
              <w:rPr>
                <w:i/>
              </w:rPr>
            </w:pPr>
            <w:r w:rsidRPr="00C346F9">
              <w:rPr>
                <w:i/>
              </w:rPr>
              <w:t>(a) Identified risks are monitored, analysed, evaluated, and reviewed at a frequency determined by the severity of the risk and the probability of change in the status of that risk;</w:t>
            </w:r>
          </w:p>
          <w:p w14:paraId="18D58ACF" w14:textId="77777777" w:rsidR="00954036" w:rsidRPr="00CD268F" w:rsidRDefault="00954036" w:rsidP="00954036">
            <w:pPr>
              <w:pStyle w:val="TableText"/>
              <w:rPr>
                <w:i/>
              </w:rPr>
            </w:pPr>
            <w:r w:rsidRPr="00C346F9">
              <w:rPr>
                <w:i/>
              </w:rPr>
              <w:t>(b) A process that addresses/treats the risks associated with service provision is developed and implemented]</w:t>
            </w:r>
          </w:p>
        </w:tc>
        <w:tc>
          <w:tcPr>
            <w:tcW w:w="992" w:type="dxa"/>
            <w:vMerge w:val="restart"/>
          </w:tcPr>
          <w:p w14:paraId="533AEC82"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169011BE"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300569AF" w14:textId="77777777" w:rsidR="00954036" w:rsidRDefault="00954036" w:rsidP="00954036"/>
        </w:tc>
      </w:tr>
      <w:tr w:rsidR="00954036" w14:paraId="6A856044" w14:textId="77777777" w:rsidTr="00954036">
        <w:tc>
          <w:tcPr>
            <w:tcW w:w="11482" w:type="dxa"/>
          </w:tcPr>
          <w:p w14:paraId="4F04AAC2" w14:textId="77777777" w:rsidR="00954036" w:rsidRDefault="00954036" w:rsidP="00954036">
            <w:pPr>
              <w:pStyle w:val="TableText"/>
            </w:pPr>
            <w:r>
              <w:t>Comment: (eg. move standard to a different part, merge with a different standard)</w:t>
            </w:r>
          </w:p>
          <w:p w14:paraId="0117A6E7" w14:textId="77777777" w:rsidR="00954036" w:rsidRDefault="00954036" w:rsidP="00954036">
            <w:pPr>
              <w:pStyle w:val="TableBullet"/>
              <w:spacing w:before="60" w:after="60"/>
            </w:pPr>
            <w:r>
              <w:t>Health and safety is inclusive at governance, environment and care giver and client relationships.  Clear understanding of all parties on health and safety risks and management. Any shared risk is clearly stated.</w:t>
            </w:r>
          </w:p>
          <w:p w14:paraId="036A97E8" w14:textId="77777777" w:rsidR="00954036" w:rsidRDefault="00954036" w:rsidP="00954036">
            <w:pPr>
              <w:pStyle w:val="TableBullet"/>
              <w:spacing w:before="60" w:after="60"/>
            </w:pPr>
            <w:r>
              <w:t xml:space="preserve">Health Safety pathways go up and down from governance to the client home. </w:t>
            </w:r>
          </w:p>
          <w:p w14:paraId="2B52444C" w14:textId="77777777" w:rsidR="00954036" w:rsidRDefault="00954036" w:rsidP="00954036">
            <w:pPr>
              <w:pStyle w:val="TableBullet"/>
              <w:spacing w:before="60" w:after="60"/>
            </w:pPr>
            <w:r>
              <w:t xml:space="preserve">Needs to “light touch” – home is not an institution. </w:t>
            </w:r>
          </w:p>
          <w:p w14:paraId="0E12F29C" w14:textId="77777777" w:rsidR="00954036" w:rsidRPr="00C346F9" w:rsidRDefault="00954036" w:rsidP="00954036">
            <w:pPr>
              <w:pStyle w:val="Table2ndBullet"/>
              <w:spacing w:before="60" w:after="60"/>
              <w:rPr>
                <w:i/>
              </w:rPr>
            </w:pPr>
            <w:r w:rsidRPr="00C346F9">
              <w:rPr>
                <w:i/>
              </w:rPr>
              <w:t>However, identified risks/hazards need to be identified for the safety of the support worker going into the home ie: dogs, slippery steps.  H&amp;S needs to be identified at both the home and organisational level (L.Cochrane, HDANZ</w:t>
            </w:r>
          </w:p>
        </w:tc>
        <w:tc>
          <w:tcPr>
            <w:tcW w:w="992" w:type="dxa"/>
            <w:vMerge/>
          </w:tcPr>
          <w:p w14:paraId="07F1FA71" w14:textId="77777777" w:rsidR="00954036" w:rsidRDefault="00954036" w:rsidP="00954036"/>
        </w:tc>
        <w:tc>
          <w:tcPr>
            <w:tcW w:w="994" w:type="dxa"/>
            <w:vMerge/>
          </w:tcPr>
          <w:p w14:paraId="69217FE0" w14:textId="77777777" w:rsidR="00954036" w:rsidRDefault="00954036" w:rsidP="00954036"/>
        </w:tc>
        <w:tc>
          <w:tcPr>
            <w:tcW w:w="991" w:type="dxa"/>
            <w:vMerge/>
          </w:tcPr>
          <w:p w14:paraId="4533AD1F" w14:textId="77777777" w:rsidR="00954036" w:rsidRDefault="00954036" w:rsidP="00954036"/>
        </w:tc>
      </w:tr>
      <w:tr w:rsidR="00954036" w:rsidRPr="00954036" w14:paraId="36B819E1" w14:textId="77777777" w:rsidTr="00954036">
        <w:tc>
          <w:tcPr>
            <w:tcW w:w="11482" w:type="dxa"/>
            <w:shd w:val="clear" w:color="auto" w:fill="D9D9D9" w:themeFill="background1" w:themeFillShade="D9"/>
          </w:tcPr>
          <w:p w14:paraId="19CB0106" w14:textId="77777777" w:rsidR="00954036" w:rsidRPr="00954036" w:rsidRDefault="00954036" w:rsidP="00954036">
            <w:pPr>
              <w:pStyle w:val="TableText"/>
              <w:spacing w:before="60" w:after="60"/>
              <w:rPr>
                <w:b/>
                <w:sz w:val="22"/>
              </w:rPr>
            </w:pPr>
            <w:r w:rsidRPr="00954036">
              <w:rPr>
                <w:b/>
                <w:sz w:val="22"/>
              </w:rPr>
              <w:t>Outcome 4: Service Delivery</w:t>
            </w:r>
          </w:p>
        </w:tc>
        <w:tc>
          <w:tcPr>
            <w:tcW w:w="992" w:type="dxa"/>
            <w:shd w:val="clear" w:color="auto" w:fill="D9D9D9" w:themeFill="background1" w:themeFillShade="D9"/>
          </w:tcPr>
          <w:p w14:paraId="1BF3015F" w14:textId="77777777" w:rsidR="00954036" w:rsidRPr="00954036" w:rsidRDefault="00954036" w:rsidP="00954036">
            <w:pPr>
              <w:pStyle w:val="TableText"/>
              <w:spacing w:before="60" w:after="60"/>
              <w:rPr>
                <w:b/>
                <w:sz w:val="22"/>
              </w:rPr>
            </w:pPr>
          </w:p>
        </w:tc>
        <w:tc>
          <w:tcPr>
            <w:tcW w:w="994" w:type="dxa"/>
            <w:shd w:val="clear" w:color="auto" w:fill="D9D9D9" w:themeFill="background1" w:themeFillShade="D9"/>
          </w:tcPr>
          <w:p w14:paraId="54886A35" w14:textId="77777777" w:rsidR="00954036" w:rsidRPr="00954036" w:rsidRDefault="00954036" w:rsidP="00954036">
            <w:pPr>
              <w:pStyle w:val="TableText"/>
              <w:spacing w:before="60" w:after="60"/>
              <w:rPr>
                <w:b/>
                <w:sz w:val="22"/>
              </w:rPr>
            </w:pPr>
          </w:p>
        </w:tc>
        <w:tc>
          <w:tcPr>
            <w:tcW w:w="991" w:type="dxa"/>
            <w:shd w:val="clear" w:color="auto" w:fill="D9D9D9" w:themeFill="background1" w:themeFillShade="D9"/>
          </w:tcPr>
          <w:p w14:paraId="105F6526" w14:textId="77777777" w:rsidR="00954036" w:rsidRPr="00954036" w:rsidRDefault="00954036" w:rsidP="00954036">
            <w:pPr>
              <w:pStyle w:val="TableText"/>
              <w:spacing w:before="60" w:after="60"/>
              <w:rPr>
                <w:b/>
                <w:sz w:val="22"/>
              </w:rPr>
            </w:pPr>
          </w:p>
        </w:tc>
      </w:tr>
      <w:tr w:rsidR="00954036" w14:paraId="3642012C" w14:textId="77777777" w:rsidTr="00954036">
        <w:tc>
          <w:tcPr>
            <w:tcW w:w="11482" w:type="dxa"/>
          </w:tcPr>
          <w:p w14:paraId="4FC5939F" w14:textId="77777777" w:rsidR="00954036" w:rsidRPr="00C346F9" w:rsidRDefault="00954036" w:rsidP="00954036">
            <w:pPr>
              <w:pStyle w:val="TableText"/>
            </w:pPr>
            <w:r w:rsidRPr="00C346F9">
              <w:t>Consumers receive services that contribute to their agreed outcomes, and that support their independence, safety and well-being.</w:t>
            </w:r>
          </w:p>
        </w:tc>
        <w:tc>
          <w:tcPr>
            <w:tcW w:w="992" w:type="dxa"/>
          </w:tcPr>
          <w:p w14:paraId="69BD0E28" w14:textId="77777777" w:rsidR="00954036" w:rsidRDefault="00954036" w:rsidP="00954036">
            <w:pPr>
              <w:spacing w:before="240" w:after="40"/>
              <w:jc w:val="center"/>
            </w:pPr>
          </w:p>
        </w:tc>
        <w:tc>
          <w:tcPr>
            <w:tcW w:w="994" w:type="dxa"/>
          </w:tcPr>
          <w:p w14:paraId="14D4F4BE" w14:textId="77777777" w:rsidR="00954036" w:rsidRDefault="00954036" w:rsidP="00954036">
            <w:pPr>
              <w:spacing w:before="240" w:after="40"/>
              <w:jc w:val="center"/>
            </w:pPr>
          </w:p>
        </w:tc>
        <w:tc>
          <w:tcPr>
            <w:tcW w:w="991" w:type="dxa"/>
          </w:tcPr>
          <w:p w14:paraId="48BDD931" w14:textId="77777777" w:rsidR="00954036" w:rsidRDefault="00954036" w:rsidP="00954036"/>
        </w:tc>
      </w:tr>
      <w:tr w:rsidR="00954036" w14:paraId="17AB76AA" w14:textId="77777777" w:rsidTr="00954036">
        <w:tc>
          <w:tcPr>
            <w:tcW w:w="11482" w:type="dxa"/>
            <w:shd w:val="clear" w:color="auto" w:fill="F2F2F2" w:themeFill="background1" w:themeFillShade="F2"/>
          </w:tcPr>
          <w:p w14:paraId="1D33BCB1" w14:textId="77777777" w:rsidR="00954036" w:rsidRPr="00A24C96" w:rsidRDefault="00954036" w:rsidP="00954036">
            <w:pPr>
              <w:pStyle w:val="TableText"/>
              <w:spacing w:before="60" w:after="60"/>
              <w:rPr>
                <w:b/>
              </w:rPr>
            </w:pPr>
            <w:r w:rsidRPr="00C346F9">
              <w:rPr>
                <w:b/>
              </w:rPr>
              <w:t>Standard 4.1: Service Agreement</w:t>
            </w:r>
          </w:p>
        </w:tc>
        <w:tc>
          <w:tcPr>
            <w:tcW w:w="992" w:type="dxa"/>
            <w:shd w:val="clear" w:color="auto" w:fill="F2F2F2" w:themeFill="background1" w:themeFillShade="F2"/>
          </w:tcPr>
          <w:p w14:paraId="64DAA59E"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33109E01"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1F8A4CA7" w14:textId="77777777" w:rsidR="00954036" w:rsidRPr="00A24C96" w:rsidRDefault="00954036" w:rsidP="00954036">
            <w:pPr>
              <w:pStyle w:val="TableText"/>
              <w:spacing w:before="60" w:after="60"/>
              <w:rPr>
                <w:b/>
              </w:rPr>
            </w:pPr>
          </w:p>
        </w:tc>
      </w:tr>
      <w:tr w:rsidR="00954036" w14:paraId="58F01BD4" w14:textId="77777777" w:rsidTr="00954036">
        <w:tc>
          <w:tcPr>
            <w:tcW w:w="11482" w:type="dxa"/>
          </w:tcPr>
          <w:p w14:paraId="27F422FD" w14:textId="77777777" w:rsidR="00954036" w:rsidRDefault="00954036" w:rsidP="00954036">
            <w:pPr>
              <w:pStyle w:val="TableText"/>
            </w:pPr>
            <w:r>
              <w:t>The consumer, organisation, and service provider have a full understanding of and agree to the services to be provided.</w:t>
            </w:r>
          </w:p>
          <w:p w14:paraId="5BEF0579" w14:textId="77777777" w:rsidR="00954036" w:rsidRPr="00E921FC" w:rsidRDefault="00954036" w:rsidP="00954036">
            <w:pPr>
              <w:pStyle w:val="TableText"/>
              <w:rPr>
                <w:i/>
              </w:rPr>
            </w:pPr>
            <w:r w:rsidRPr="00E921FC">
              <w:rPr>
                <w:i/>
              </w:rPr>
              <w:t>[Loose link: Standard 1.3.3: Service Provision Requirements (HDS(C)S.2008:1.3.3): Consumers receive timely, competent, and appropriate services in order to meet their assessed needs and desired outcome/goals</w:t>
            </w:r>
          </w:p>
          <w:p w14:paraId="7BB1CA52" w14:textId="77777777" w:rsidR="00954036" w:rsidRDefault="00954036" w:rsidP="00954036">
            <w:pPr>
              <w:pStyle w:val="TableText"/>
            </w:pPr>
            <w:r w:rsidRPr="00E921FC">
              <w:rPr>
                <w:i/>
              </w:rPr>
              <w:t>Standard 1.3.4: Assessment (HDS(C)S.2008:1.3.4): Consumers' needs, support requirements, and preferences are gathered and recorded in a timely manner.]</w:t>
            </w:r>
          </w:p>
        </w:tc>
        <w:tc>
          <w:tcPr>
            <w:tcW w:w="992" w:type="dxa"/>
            <w:vMerge w:val="restart"/>
          </w:tcPr>
          <w:p w14:paraId="6EABA40C"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49C14EBA"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17F624D7" w14:textId="77777777" w:rsidR="00954036" w:rsidRDefault="00954036" w:rsidP="00954036"/>
        </w:tc>
      </w:tr>
      <w:tr w:rsidR="00954036" w14:paraId="39D29C01" w14:textId="77777777" w:rsidTr="00954036">
        <w:tc>
          <w:tcPr>
            <w:tcW w:w="11482" w:type="dxa"/>
          </w:tcPr>
          <w:p w14:paraId="0E68780C" w14:textId="77777777" w:rsidR="00954036" w:rsidRDefault="00954036" w:rsidP="00954036">
            <w:pPr>
              <w:pStyle w:val="TableText"/>
            </w:pPr>
            <w:r>
              <w:lastRenderedPageBreak/>
              <w:t>Comment: (eg. move standard to a different part, merge with a different standard)</w:t>
            </w:r>
          </w:p>
          <w:p w14:paraId="58D22AA4" w14:textId="77777777" w:rsidR="00954036" w:rsidRPr="00E921FC" w:rsidRDefault="00954036" w:rsidP="00954036">
            <w:pPr>
              <w:pStyle w:val="TableBullet"/>
              <w:spacing w:before="60" w:after="60"/>
            </w:pPr>
            <w:r w:rsidRPr="00E921FC">
              <w:t>Language – simplify – ‘What matters to you”…</w:t>
            </w:r>
          </w:p>
          <w:p w14:paraId="11BABDF5" w14:textId="77777777" w:rsidR="00954036" w:rsidRPr="00E921FC" w:rsidRDefault="00954036" w:rsidP="00954036">
            <w:pPr>
              <w:pStyle w:val="TableBullet"/>
              <w:spacing w:before="60" w:after="60"/>
            </w:pPr>
            <w:r w:rsidRPr="00E921FC">
              <w:t xml:space="preserve">Communication important </w:t>
            </w:r>
          </w:p>
          <w:p w14:paraId="44161474" w14:textId="77777777" w:rsidR="00954036" w:rsidRPr="00E921FC" w:rsidRDefault="00954036" w:rsidP="00954036">
            <w:pPr>
              <w:pStyle w:val="TableBullet"/>
              <w:spacing w:before="60" w:after="60"/>
            </w:pPr>
            <w:r w:rsidRPr="00E921FC">
              <w:t>Prescriptive standard at the moment – with a lot aligning with contract – which align</w:t>
            </w:r>
          </w:p>
          <w:p w14:paraId="1E1B85AD" w14:textId="77777777" w:rsidR="00954036" w:rsidRPr="00E921FC" w:rsidRDefault="00954036" w:rsidP="00954036">
            <w:pPr>
              <w:pStyle w:val="TableBullet"/>
              <w:spacing w:before="60" w:after="60"/>
            </w:pPr>
            <w:r w:rsidRPr="00E921FC">
              <w:t>Ensure consent is included</w:t>
            </w:r>
          </w:p>
          <w:p w14:paraId="20E40807" w14:textId="77777777" w:rsidR="00954036" w:rsidRPr="00E921FC" w:rsidRDefault="00954036" w:rsidP="00954036">
            <w:pPr>
              <w:pStyle w:val="TableBullet"/>
              <w:spacing w:before="60" w:after="60"/>
            </w:pPr>
            <w:r w:rsidRPr="00E921FC">
              <w:t>Level of risk mitigation to be considered</w:t>
            </w:r>
          </w:p>
          <w:p w14:paraId="6714C7A3" w14:textId="77777777" w:rsidR="00954036" w:rsidRPr="00E921FC" w:rsidRDefault="00954036" w:rsidP="00954036">
            <w:pPr>
              <w:pStyle w:val="TableBullet"/>
              <w:spacing w:before="60" w:after="60"/>
            </w:pPr>
            <w:r w:rsidRPr="00E921FC">
              <w:t>Service availability – be clear</w:t>
            </w:r>
          </w:p>
          <w:p w14:paraId="233BA2EA" w14:textId="77777777" w:rsidR="00954036" w:rsidRPr="00E921FC" w:rsidRDefault="00954036" w:rsidP="00954036">
            <w:pPr>
              <w:pStyle w:val="TableBullet"/>
              <w:spacing w:before="60" w:after="60"/>
            </w:pPr>
            <w:r w:rsidRPr="00E921FC">
              <w:t>A lot of detail in service agreement – people often ‘zone out’</w:t>
            </w:r>
          </w:p>
          <w:p w14:paraId="41E5B7A9" w14:textId="77777777" w:rsidR="00954036" w:rsidRPr="00E921FC" w:rsidRDefault="00954036" w:rsidP="00954036">
            <w:pPr>
              <w:pStyle w:val="TableBullet"/>
              <w:spacing w:before="60" w:after="60"/>
              <w:rPr>
                <w:i/>
              </w:rPr>
            </w:pPr>
            <w:r w:rsidRPr="00E921FC">
              <w:rPr>
                <w:i/>
              </w:rPr>
              <w:t>I think a service agreement is where “I” language could/should be used for more understandable information – “ I can expect”….”I will receive”…… (L.Russell, Alzheimers NZ)</w:t>
            </w:r>
          </w:p>
          <w:p w14:paraId="24C3A144" w14:textId="77777777" w:rsidR="00954036" w:rsidRDefault="00954036" w:rsidP="00954036">
            <w:pPr>
              <w:pStyle w:val="TableBullet"/>
              <w:spacing w:before="60" w:after="60"/>
            </w:pPr>
            <w:r w:rsidRPr="00E921FC">
              <w:rPr>
                <w:i/>
              </w:rPr>
              <w:t xml:space="preserve"> Clarity to consumer on what included &amp; excluded  in service delivery – management of consumer / family expectations – tasks vs supporting health ageing approach, including recognising provider need for flexibility around when service delivered / by whom in light of changing workforce availability / increasing client volumes / increasing complexity of client need (V.Russell, Lakes DHB)</w:t>
            </w:r>
          </w:p>
        </w:tc>
        <w:tc>
          <w:tcPr>
            <w:tcW w:w="992" w:type="dxa"/>
            <w:vMerge/>
          </w:tcPr>
          <w:p w14:paraId="000E8380" w14:textId="77777777" w:rsidR="00954036" w:rsidRDefault="00954036" w:rsidP="00954036"/>
        </w:tc>
        <w:tc>
          <w:tcPr>
            <w:tcW w:w="994" w:type="dxa"/>
            <w:vMerge/>
          </w:tcPr>
          <w:p w14:paraId="47D77827" w14:textId="77777777" w:rsidR="00954036" w:rsidRDefault="00954036" w:rsidP="00954036"/>
        </w:tc>
        <w:tc>
          <w:tcPr>
            <w:tcW w:w="991" w:type="dxa"/>
            <w:vMerge/>
          </w:tcPr>
          <w:p w14:paraId="302941EB" w14:textId="77777777" w:rsidR="00954036" w:rsidRDefault="00954036" w:rsidP="00954036"/>
        </w:tc>
      </w:tr>
      <w:tr w:rsidR="00954036" w14:paraId="02F962BC" w14:textId="77777777" w:rsidTr="00954036">
        <w:tc>
          <w:tcPr>
            <w:tcW w:w="11482" w:type="dxa"/>
            <w:shd w:val="clear" w:color="auto" w:fill="F2F2F2" w:themeFill="background1" w:themeFillShade="F2"/>
          </w:tcPr>
          <w:p w14:paraId="5FB79EB7" w14:textId="77777777" w:rsidR="00954036" w:rsidRPr="00A24C96" w:rsidRDefault="00954036" w:rsidP="00954036">
            <w:pPr>
              <w:pStyle w:val="TableText"/>
              <w:spacing w:before="60" w:after="60"/>
              <w:rPr>
                <w:b/>
              </w:rPr>
            </w:pPr>
            <w:r w:rsidRPr="00C346F9">
              <w:rPr>
                <w:b/>
              </w:rPr>
              <w:t>Standard 4.2: Promoting and Supporting Independence</w:t>
            </w:r>
          </w:p>
        </w:tc>
        <w:tc>
          <w:tcPr>
            <w:tcW w:w="992" w:type="dxa"/>
            <w:shd w:val="clear" w:color="auto" w:fill="F2F2F2" w:themeFill="background1" w:themeFillShade="F2"/>
          </w:tcPr>
          <w:p w14:paraId="2250AFD8"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0C76B163"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07FD41E" w14:textId="77777777" w:rsidR="00954036" w:rsidRPr="00A24C96" w:rsidRDefault="00954036" w:rsidP="00954036">
            <w:pPr>
              <w:pStyle w:val="TableText"/>
              <w:spacing w:before="60" w:after="60"/>
              <w:rPr>
                <w:b/>
              </w:rPr>
            </w:pPr>
          </w:p>
        </w:tc>
      </w:tr>
      <w:tr w:rsidR="00954036" w14:paraId="46B7E14F" w14:textId="77777777" w:rsidTr="00954036">
        <w:tc>
          <w:tcPr>
            <w:tcW w:w="11482" w:type="dxa"/>
          </w:tcPr>
          <w:p w14:paraId="344D85FD" w14:textId="77777777" w:rsidR="00954036" w:rsidRPr="00E921FC" w:rsidRDefault="00954036" w:rsidP="00954036">
            <w:pPr>
              <w:pStyle w:val="TableText"/>
            </w:pPr>
            <w:r w:rsidRPr="00E921FC">
              <w:t>Consumers maintain their independence during the course of service delivery by being supported to exercise choice and control over their lives.</w:t>
            </w:r>
          </w:p>
          <w:p w14:paraId="1D19FD87" w14:textId="77777777" w:rsidR="00954036" w:rsidRPr="00CD268F" w:rsidRDefault="00954036" w:rsidP="00954036">
            <w:pPr>
              <w:pStyle w:val="TableText"/>
              <w:rPr>
                <w:i/>
              </w:rPr>
            </w:pPr>
            <w:r w:rsidRPr="00C346F9">
              <w:rPr>
                <w:i/>
              </w:rPr>
              <w:t>No immediate link</w:t>
            </w:r>
          </w:p>
        </w:tc>
        <w:tc>
          <w:tcPr>
            <w:tcW w:w="992" w:type="dxa"/>
            <w:vMerge w:val="restart"/>
          </w:tcPr>
          <w:p w14:paraId="091FDA85"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260ED5D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222D80EE" w14:textId="77777777" w:rsidR="00954036" w:rsidRDefault="00954036" w:rsidP="00954036"/>
        </w:tc>
      </w:tr>
      <w:tr w:rsidR="00954036" w14:paraId="237A4251" w14:textId="77777777" w:rsidTr="00954036">
        <w:tc>
          <w:tcPr>
            <w:tcW w:w="11482" w:type="dxa"/>
          </w:tcPr>
          <w:p w14:paraId="174B6C0B" w14:textId="77777777" w:rsidR="00954036" w:rsidRDefault="00954036" w:rsidP="00954036">
            <w:pPr>
              <w:pStyle w:val="TableText"/>
            </w:pPr>
            <w:r>
              <w:t>Comment: (eg. move standard to a different part, merge with a different standard)</w:t>
            </w:r>
          </w:p>
          <w:p w14:paraId="437C9B64" w14:textId="77777777" w:rsidR="00954036" w:rsidRDefault="00954036" w:rsidP="00954036">
            <w:pPr>
              <w:pStyle w:val="TableBullet"/>
              <w:spacing w:before="60" w:after="60"/>
              <w:rPr>
                <w:lang w:eastAsia="en-NZ"/>
              </w:rPr>
            </w:pPr>
            <w:r>
              <w:rPr>
                <w:lang w:eastAsia="en-NZ"/>
              </w:rPr>
              <w:t>Language to align with – empowerment and autonomy</w:t>
            </w:r>
          </w:p>
          <w:p w14:paraId="1E622A6A" w14:textId="77777777" w:rsidR="00954036" w:rsidRDefault="00954036" w:rsidP="00954036">
            <w:pPr>
              <w:pStyle w:val="TableBullet"/>
              <w:spacing w:before="60" w:after="60"/>
              <w:rPr>
                <w:lang w:eastAsia="en-NZ"/>
              </w:rPr>
            </w:pPr>
            <w:r>
              <w:rPr>
                <w:lang w:eastAsia="en-NZ"/>
              </w:rPr>
              <w:t>Suggested: ‘living well’</w:t>
            </w:r>
          </w:p>
          <w:p w14:paraId="3701EB3E" w14:textId="77777777" w:rsidR="00954036" w:rsidRDefault="00954036" w:rsidP="00954036">
            <w:pPr>
              <w:pStyle w:val="TableBullet"/>
              <w:spacing w:before="60" w:after="60"/>
              <w:rPr>
                <w:lang w:eastAsia="en-NZ"/>
              </w:rPr>
            </w:pPr>
            <w:r>
              <w:rPr>
                <w:lang w:eastAsia="en-NZ"/>
              </w:rPr>
              <w:t>Choice &amp; control are ‘old’ terms</w:t>
            </w:r>
          </w:p>
          <w:p w14:paraId="5FAA6EFB" w14:textId="77777777" w:rsidR="00954036" w:rsidRDefault="00954036" w:rsidP="00954036">
            <w:pPr>
              <w:pStyle w:val="TableBullet"/>
              <w:spacing w:before="60" w:after="60"/>
            </w:pPr>
            <w:r>
              <w:rPr>
                <w:lang w:eastAsia="en-NZ"/>
              </w:rPr>
              <w:t>Whanau missing – need to be evident throughout – need concept as an outcome (not only words</w:t>
            </w:r>
            <w:r>
              <w:t>)</w:t>
            </w:r>
          </w:p>
          <w:p w14:paraId="28707BA3" w14:textId="77777777" w:rsidR="00954036" w:rsidRDefault="00954036" w:rsidP="00954036">
            <w:pPr>
              <w:pStyle w:val="TableBullet"/>
              <w:spacing w:before="60" w:after="60"/>
              <w:rPr>
                <w:i/>
              </w:rPr>
            </w:pPr>
            <w:r w:rsidRPr="008E77E6">
              <w:rPr>
                <w:i/>
              </w:rPr>
              <w:t>As for previous comment. “I” statements here makes it clearer where responsibility sits acknowledging that supporting independence cannot be passive on the part of the client (L.Russell, Alzheimers NZ)</w:t>
            </w:r>
          </w:p>
          <w:p w14:paraId="7E43D7A1" w14:textId="77777777" w:rsidR="00954036" w:rsidRPr="00CD268F" w:rsidRDefault="00954036" w:rsidP="00954036">
            <w:pPr>
              <w:pStyle w:val="TableBullet"/>
              <w:spacing w:before="60" w:after="60"/>
              <w:rPr>
                <w:i/>
              </w:rPr>
            </w:pPr>
            <w:r>
              <w:rPr>
                <w:i/>
              </w:rPr>
              <w:t>Supported to develop and maintain independence (L.Logan, HCNZ)</w:t>
            </w:r>
          </w:p>
        </w:tc>
        <w:tc>
          <w:tcPr>
            <w:tcW w:w="992" w:type="dxa"/>
            <w:vMerge/>
          </w:tcPr>
          <w:p w14:paraId="0BB43D45" w14:textId="77777777" w:rsidR="00954036" w:rsidRDefault="00954036" w:rsidP="00954036"/>
        </w:tc>
        <w:tc>
          <w:tcPr>
            <w:tcW w:w="994" w:type="dxa"/>
            <w:vMerge/>
          </w:tcPr>
          <w:p w14:paraId="1C9F2442" w14:textId="77777777" w:rsidR="00954036" w:rsidRDefault="00954036" w:rsidP="00954036"/>
        </w:tc>
        <w:tc>
          <w:tcPr>
            <w:tcW w:w="991" w:type="dxa"/>
            <w:vMerge/>
          </w:tcPr>
          <w:p w14:paraId="203EC78D" w14:textId="77777777" w:rsidR="00954036" w:rsidRDefault="00954036" w:rsidP="00954036"/>
        </w:tc>
      </w:tr>
      <w:tr w:rsidR="00954036" w14:paraId="0BE99780" w14:textId="77777777" w:rsidTr="00954036">
        <w:tc>
          <w:tcPr>
            <w:tcW w:w="11482" w:type="dxa"/>
            <w:shd w:val="clear" w:color="auto" w:fill="F2F2F2" w:themeFill="background1" w:themeFillShade="F2"/>
          </w:tcPr>
          <w:p w14:paraId="244EEBF4" w14:textId="77777777" w:rsidR="00954036" w:rsidRPr="00A24C96" w:rsidRDefault="00954036" w:rsidP="00954036">
            <w:pPr>
              <w:pStyle w:val="TableText"/>
              <w:spacing w:before="60" w:after="60"/>
              <w:rPr>
                <w:b/>
              </w:rPr>
            </w:pPr>
            <w:r w:rsidRPr="00C346F9">
              <w:rPr>
                <w:b/>
              </w:rPr>
              <w:t>Standard 4.3: Links with Other Groups</w:t>
            </w:r>
          </w:p>
        </w:tc>
        <w:tc>
          <w:tcPr>
            <w:tcW w:w="992" w:type="dxa"/>
            <w:shd w:val="clear" w:color="auto" w:fill="F2F2F2" w:themeFill="background1" w:themeFillShade="F2"/>
          </w:tcPr>
          <w:p w14:paraId="02BEB0E8"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68956FC6"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7EDE150" w14:textId="77777777" w:rsidR="00954036" w:rsidRPr="00A24C96" w:rsidRDefault="00954036" w:rsidP="00954036">
            <w:pPr>
              <w:pStyle w:val="TableText"/>
              <w:spacing w:before="60" w:after="60"/>
              <w:rPr>
                <w:b/>
              </w:rPr>
            </w:pPr>
          </w:p>
        </w:tc>
      </w:tr>
      <w:tr w:rsidR="00954036" w14:paraId="1CB53138" w14:textId="77777777" w:rsidTr="00954036">
        <w:tc>
          <w:tcPr>
            <w:tcW w:w="11482" w:type="dxa"/>
          </w:tcPr>
          <w:p w14:paraId="1B65D062" w14:textId="77777777" w:rsidR="00954036" w:rsidRPr="00E921FC" w:rsidRDefault="00954036" w:rsidP="00954036">
            <w:pPr>
              <w:pStyle w:val="TableText"/>
              <w:rPr>
                <w:rStyle w:val="BodyTextChar"/>
                <w:sz w:val="18"/>
                <w:szCs w:val="21"/>
              </w:rPr>
            </w:pPr>
            <w:r w:rsidRPr="00E921FC">
              <w:rPr>
                <w:rStyle w:val="BodyTextChar"/>
                <w:sz w:val="18"/>
                <w:szCs w:val="21"/>
              </w:rPr>
              <w:lastRenderedPageBreak/>
              <w:t>Consumers receive continuity of service through effective links with other groups.</w:t>
            </w:r>
          </w:p>
          <w:p w14:paraId="2BF81300" w14:textId="77777777" w:rsidR="00954036" w:rsidRPr="00E921FC" w:rsidRDefault="00954036" w:rsidP="00954036">
            <w:pPr>
              <w:pStyle w:val="TableText"/>
              <w:rPr>
                <w:i/>
              </w:rPr>
            </w:pPr>
            <w:r w:rsidRPr="00E921FC">
              <w:rPr>
                <w:rFonts w:ascii="Arial" w:hAnsi="Arial" w:cs="Arial"/>
                <w:i/>
                <w:szCs w:val="18"/>
              </w:rPr>
              <w:t>[</w:t>
            </w:r>
            <w:r w:rsidRPr="00E921FC">
              <w:rPr>
                <w:rFonts w:ascii="Arial" w:hAnsi="Arial" w:cs="Arial"/>
                <w:i/>
                <w:szCs w:val="18"/>
                <w:u w:val="single"/>
              </w:rPr>
              <w:t>Loose link</w:t>
            </w:r>
            <w:r w:rsidRPr="00E921FC">
              <w:rPr>
                <w:rFonts w:ascii="Arial" w:hAnsi="Arial" w:cs="Arial"/>
                <w:i/>
                <w:szCs w:val="18"/>
              </w:rPr>
              <w:t xml:space="preserve">: Standard 1.3.9: Referral To Other Health And Disability Services (Internal And External) (HDS(C)S.2008:1.3.9): </w:t>
            </w:r>
            <w:r w:rsidRPr="00E921FC">
              <w:rPr>
                <w:rFonts w:cs="Arial"/>
                <w:i/>
                <w:szCs w:val="18"/>
              </w:rPr>
              <w:t>Consumer support for access or referral to other health and/or disability service providers is appropriately facilitated, or provided to meet consumer choice/needs]</w:t>
            </w:r>
          </w:p>
        </w:tc>
        <w:tc>
          <w:tcPr>
            <w:tcW w:w="992" w:type="dxa"/>
            <w:vMerge w:val="restart"/>
          </w:tcPr>
          <w:p w14:paraId="66FDA0D8"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2B106100"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2E66115F" w14:textId="77777777" w:rsidR="00954036" w:rsidRDefault="00954036" w:rsidP="00954036"/>
        </w:tc>
      </w:tr>
      <w:tr w:rsidR="00954036" w14:paraId="3CF4A258" w14:textId="77777777" w:rsidTr="00954036">
        <w:tc>
          <w:tcPr>
            <w:tcW w:w="11482" w:type="dxa"/>
          </w:tcPr>
          <w:p w14:paraId="6E2E04A9" w14:textId="77777777" w:rsidR="00954036" w:rsidRDefault="00954036" w:rsidP="00954036">
            <w:pPr>
              <w:pStyle w:val="TableText"/>
            </w:pPr>
            <w:r>
              <w:t>Comment: (eg. move standard to a different part, merge with a different standard)</w:t>
            </w:r>
          </w:p>
          <w:p w14:paraId="7675C6FF" w14:textId="77777777" w:rsidR="00954036" w:rsidRDefault="00954036" w:rsidP="00954036">
            <w:pPr>
              <w:pStyle w:val="TableBullet"/>
              <w:spacing w:before="60" w:after="60"/>
              <w:rPr>
                <w:lang w:eastAsia="en-NZ"/>
              </w:rPr>
            </w:pPr>
            <w:r>
              <w:rPr>
                <w:lang w:eastAsia="en-NZ"/>
              </w:rPr>
              <w:t>Discussion about consolidating with 4.2 mixed view – concern this may ‘water down’ importance of supporting independence</w:t>
            </w:r>
          </w:p>
          <w:p w14:paraId="1F600B5E" w14:textId="77777777" w:rsidR="00954036" w:rsidRDefault="00954036" w:rsidP="00954036">
            <w:pPr>
              <w:pStyle w:val="TableBullet"/>
              <w:spacing w:before="60" w:after="60"/>
              <w:rPr>
                <w:lang w:eastAsia="en-NZ"/>
              </w:rPr>
            </w:pPr>
            <w:r>
              <w:rPr>
                <w:lang w:eastAsia="en-NZ"/>
              </w:rPr>
              <w:t>‘effective’ subjective – should be determined by the individual, however isn’t necessarily the case</w:t>
            </w:r>
          </w:p>
          <w:p w14:paraId="42A0C9D3" w14:textId="77777777" w:rsidR="00954036" w:rsidRDefault="00954036" w:rsidP="00954036">
            <w:pPr>
              <w:pStyle w:val="TableBullet"/>
              <w:spacing w:before="60" w:after="60"/>
              <w:rPr>
                <w:lang w:eastAsia="en-NZ"/>
              </w:rPr>
            </w:pPr>
            <w:r>
              <w:rPr>
                <w:lang w:eastAsia="en-NZ"/>
              </w:rPr>
              <w:t>Looking for better integration across services – could be strengthened</w:t>
            </w:r>
          </w:p>
          <w:p w14:paraId="2D6B71BB" w14:textId="77777777" w:rsidR="00954036" w:rsidRDefault="00954036" w:rsidP="00954036">
            <w:pPr>
              <w:pStyle w:val="TableBullet"/>
              <w:spacing w:before="60" w:after="60"/>
            </w:pPr>
            <w:r>
              <w:rPr>
                <w:lang w:eastAsia="en-NZ"/>
              </w:rPr>
              <w:t xml:space="preserve">Language move from health system language to person focused </w:t>
            </w:r>
          </w:p>
          <w:p w14:paraId="0DF6D0C1" w14:textId="77777777" w:rsidR="00954036" w:rsidRDefault="00954036" w:rsidP="00954036">
            <w:pPr>
              <w:pStyle w:val="TableBullet"/>
              <w:spacing w:before="60" w:after="60"/>
            </w:pPr>
            <w:r w:rsidRPr="00064E60">
              <w:rPr>
                <w:i/>
              </w:rPr>
              <w:t>Consider connections rather than links, and connections with their community (this encompasses a range of services and organisations)</w:t>
            </w:r>
            <w:r>
              <w:rPr>
                <w:i/>
              </w:rPr>
              <w:t xml:space="preserve"> (L.Logan, HCNZ)</w:t>
            </w:r>
          </w:p>
        </w:tc>
        <w:tc>
          <w:tcPr>
            <w:tcW w:w="992" w:type="dxa"/>
            <w:vMerge/>
          </w:tcPr>
          <w:p w14:paraId="50B329F8" w14:textId="77777777" w:rsidR="00954036" w:rsidRDefault="00954036" w:rsidP="00954036"/>
        </w:tc>
        <w:tc>
          <w:tcPr>
            <w:tcW w:w="994" w:type="dxa"/>
            <w:vMerge/>
          </w:tcPr>
          <w:p w14:paraId="045DEF3B" w14:textId="77777777" w:rsidR="00954036" w:rsidRDefault="00954036" w:rsidP="00954036"/>
        </w:tc>
        <w:tc>
          <w:tcPr>
            <w:tcW w:w="991" w:type="dxa"/>
            <w:vMerge/>
          </w:tcPr>
          <w:p w14:paraId="22AF5FA3" w14:textId="77777777" w:rsidR="00954036" w:rsidRDefault="00954036" w:rsidP="00954036"/>
        </w:tc>
      </w:tr>
      <w:tr w:rsidR="00954036" w:rsidRPr="00A24C96" w14:paraId="102AC78E" w14:textId="77777777" w:rsidTr="00954036">
        <w:tc>
          <w:tcPr>
            <w:tcW w:w="11482" w:type="dxa"/>
            <w:shd w:val="clear" w:color="auto" w:fill="F2F2F2" w:themeFill="background1" w:themeFillShade="F2"/>
          </w:tcPr>
          <w:p w14:paraId="1004D14E" w14:textId="77777777" w:rsidR="00954036" w:rsidRPr="00A24C96" w:rsidRDefault="00954036" w:rsidP="00954036">
            <w:pPr>
              <w:pStyle w:val="TableText"/>
              <w:spacing w:before="60" w:after="60"/>
              <w:rPr>
                <w:b/>
              </w:rPr>
            </w:pPr>
            <w:r w:rsidRPr="00C346F9">
              <w:rPr>
                <w:b/>
              </w:rPr>
              <w:t>Standard 4.4: Service Delivery Planning</w:t>
            </w:r>
          </w:p>
        </w:tc>
        <w:tc>
          <w:tcPr>
            <w:tcW w:w="992" w:type="dxa"/>
            <w:shd w:val="clear" w:color="auto" w:fill="F2F2F2" w:themeFill="background1" w:themeFillShade="F2"/>
          </w:tcPr>
          <w:p w14:paraId="23DE4DD1"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225C1269"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413B048F" w14:textId="77777777" w:rsidR="00954036" w:rsidRPr="00A24C96" w:rsidRDefault="00954036" w:rsidP="00954036">
            <w:pPr>
              <w:pStyle w:val="TableText"/>
              <w:spacing w:before="60" w:after="60"/>
              <w:rPr>
                <w:b/>
              </w:rPr>
            </w:pPr>
          </w:p>
        </w:tc>
      </w:tr>
      <w:tr w:rsidR="00954036" w14:paraId="7C3F5738" w14:textId="77777777" w:rsidTr="00954036">
        <w:tc>
          <w:tcPr>
            <w:tcW w:w="11482" w:type="dxa"/>
          </w:tcPr>
          <w:p w14:paraId="543651C0" w14:textId="77777777" w:rsidR="00954036" w:rsidRPr="00E921FC" w:rsidRDefault="00954036" w:rsidP="00954036">
            <w:pPr>
              <w:pStyle w:val="TableText"/>
              <w:rPr>
                <w:rStyle w:val="BodyTextChar"/>
                <w:sz w:val="18"/>
                <w:szCs w:val="21"/>
              </w:rPr>
            </w:pPr>
            <w:r w:rsidRPr="00E921FC">
              <w:rPr>
                <w:rStyle w:val="BodyTextChar"/>
                <w:sz w:val="18"/>
                <w:szCs w:val="21"/>
              </w:rPr>
              <w:t>Consumers have an individual service plan that describes their goals, support needs, and requirements.</w:t>
            </w:r>
          </w:p>
          <w:p w14:paraId="42EB114F" w14:textId="77777777" w:rsidR="00954036" w:rsidRPr="00E921FC" w:rsidRDefault="00954036" w:rsidP="00954036">
            <w:pPr>
              <w:pStyle w:val="TableText"/>
              <w:rPr>
                <w:i/>
              </w:rPr>
            </w:pPr>
            <w:r w:rsidRPr="00E921FC">
              <w:rPr>
                <w:i/>
              </w:rPr>
              <w:t>[Standard 1.3.5: Planning (HDS(C)S.2008:1.3.5): Consumers' service delivery plans are consumer focused, integrated, and promote continuity of service delivery.]</w:t>
            </w:r>
          </w:p>
        </w:tc>
        <w:tc>
          <w:tcPr>
            <w:tcW w:w="992" w:type="dxa"/>
            <w:vMerge w:val="restart"/>
          </w:tcPr>
          <w:p w14:paraId="4F03E66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63A9F98B"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0AD72F54" w14:textId="77777777" w:rsidR="00954036" w:rsidRDefault="00954036" w:rsidP="00954036"/>
        </w:tc>
      </w:tr>
      <w:tr w:rsidR="00954036" w14:paraId="225905AD" w14:textId="77777777" w:rsidTr="00954036">
        <w:tc>
          <w:tcPr>
            <w:tcW w:w="11482" w:type="dxa"/>
          </w:tcPr>
          <w:p w14:paraId="2501F7E8" w14:textId="77777777" w:rsidR="00954036" w:rsidRDefault="00954036" w:rsidP="00954036">
            <w:pPr>
              <w:pStyle w:val="TableText"/>
            </w:pPr>
            <w:r>
              <w:t>Comment: (eg. move standard to a different part, merge with a different standard)</w:t>
            </w:r>
          </w:p>
          <w:p w14:paraId="57903CCC" w14:textId="77777777" w:rsidR="00954036" w:rsidRDefault="00954036" w:rsidP="00954036">
            <w:pPr>
              <w:pStyle w:val="TableBullet"/>
              <w:spacing w:before="60" w:after="60"/>
              <w:rPr>
                <w:lang w:eastAsia="en-NZ"/>
              </w:rPr>
            </w:pPr>
            <w:r>
              <w:rPr>
                <w:lang w:eastAsia="en-NZ"/>
              </w:rPr>
              <w:t>Discussed consolidating planning (4.4), implementation (4.5), review (4.11) – little perceived benefit, prefer leaving as separate standards</w:t>
            </w:r>
          </w:p>
          <w:p w14:paraId="53793CD1" w14:textId="77777777" w:rsidR="00954036" w:rsidRDefault="00954036" w:rsidP="00954036">
            <w:pPr>
              <w:pStyle w:val="TableBullet"/>
              <w:spacing w:before="60" w:after="60"/>
              <w:rPr>
                <w:lang w:eastAsia="en-NZ"/>
              </w:rPr>
            </w:pPr>
            <w:r>
              <w:rPr>
                <w:lang w:eastAsia="en-NZ"/>
              </w:rPr>
              <w:t>Language – goal/service plan to ‘My plan..’</w:t>
            </w:r>
          </w:p>
          <w:p w14:paraId="6D1F0E8A" w14:textId="77777777" w:rsidR="00954036" w:rsidRPr="00E921FC" w:rsidRDefault="00954036" w:rsidP="00954036">
            <w:pPr>
              <w:pStyle w:val="TableBullet"/>
              <w:spacing w:before="60" w:after="60"/>
              <w:rPr>
                <w:i/>
              </w:rPr>
            </w:pPr>
            <w:r w:rsidRPr="00E921FC">
              <w:rPr>
                <w:i/>
                <w:lang w:eastAsia="en-NZ"/>
              </w:rPr>
              <w:t>Consider pathways for clients receiving personal cares in comparison to household chores (L.Cochrane, HDANZ)</w:t>
            </w:r>
          </w:p>
        </w:tc>
        <w:tc>
          <w:tcPr>
            <w:tcW w:w="992" w:type="dxa"/>
            <w:vMerge/>
          </w:tcPr>
          <w:p w14:paraId="5B7DC48F" w14:textId="77777777" w:rsidR="00954036" w:rsidRDefault="00954036" w:rsidP="00954036"/>
        </w:tc>
        <w:tc>
          <w:tcPr>
            <w:tcW w:w="994" w:type="dxa"/>
            <w:vMerge/>
          </w:tcPr>
          <w:p w14:paraId="02EA88AE" w14:textId="77777777" w:rsidR="00954036" w:rsidRDefault="00954036" w:rsidP="00954036"/>
        </w:tc>
        <w:tc>
          <w:tcPr>
            <w:tcW w:w="991" w:type="dxa"/>
            <w:vMerge/>
          </w:tcPr>
          <w:p w14:paraId="7A8A2FCF" w14:textId="77777777" w:rsidR="00954036" w:rsidRDefault="00954036" w:rsidP="00954036"/>
        </w:tc>
      </w:tr>
      <w:tr w:rsidR="00954036" w:rsidRPr="00A24C96" w14:paraId="13CA2009" w14:textId="77777777" w:rsidTr="00954036">
        <w:tc>
          <w:tcPr>
            <w:tcW w:w="11482" w:type="dxa"/>
            <w:shd w:val="clear" w:color="auto" w:fill="F2F2F2" w:themeFill="background1" w:themeFillShade="F2"/>
          </w:tcPr>
          <w:p w14:paraId="4C3B706D" w14:textId="77777777" w:rsidR="00954036" w:rsidRPr="00A24C96" w:rsidRDefault="00954036" w:rsidP="00954036">
            <w:pPr>
              <w:pStyle w:val="TableText"/>
              <w:spacing w:before="60" w:after="60"/>
              <w:rPr>
                <w:b/>
              </w:rPr>
            </w:pPr>
            <w:r w:rsidRPr="00C346F9">
              <w:rPr>
                <w:b/>
              </w:rPr>
              <w:t>Standard 4.5: Implementation of Individual Service Plan</w:t>
            </w:r>
          </w:p>
        </w:tc>
        <w:tc>
          <w:tcPr>
            <w:tcW w:w="992" w:type="dxa"/>
            <w:shd w:val="clear" w:color="auto" w:fill="F2F2F2" w:themeFill="background1" w:themeFillShade="F2"/>
          </w:tcPr>
          <w:p w14:paraId="1F54D061" w14:textId="77777777" w:rsidR="00954036" w:rsidRPr="00A24C96" w:rsidRDefault="00954036" w:rsidP="00954036">
            <w:pPr>
              <w:pStyle w:val="TableText"/>
              <w:spacing w:before="60" w:after="60"/>
              <w:rPr>
                <w:b/>
              </w:rPr>
            </w:pPr>
          </w:p>
        </w:tc>
        <w:tc>
          <w:tcPr>
            <w:tcW w:w="994" w:type="dxa"/>
            <w:shd w:val="clear" w:color="auto" w:fill="F2F2F2" w:themeFill="background1" w:themeFillShade="F2"/>
          </w:tcPr>
          <w:p w14:paraId="13CAD75B" w14:textId="77777777" w:rsidR="00954036" w:rsidRPr="00A24C96" w:rsidRDefault="00954036" w:rsidP="00954036">
            <w:pPr>
              <w:pStyle w:val="TableText"/>
              <w:spacing w:before="60" w:after="60"/>
              <w:rPr>
                <w:b/>
              </w:rPr>
            </w:pPr>
          </w:p>
        </w:tc>
        <w:tc>
          <w:tcPr>
            <w:tcW w:w="991" w:type="dxa"/>
            <w:shd w:val="clear" w:color="auto" w:fill="F2F2F2" w:themeFill="background1" w:themeFillShade="F2"/>
          </w:tcPr>
          <w:p w14:paraId="67B487C9" w14:textId="77777777" w:rsidR="00954036" w:rsidRPr="00A24C96" w:rsidRDefault="00954036" w:rsidP="00954036">
            <w:pPr>
              <w:pStyle w:val="TableText"/>
              <w:spacing w:before="60" w:after="60"/>
              <w:rPr>
                <w:b/>
              </w:rPr>
            </w:pPr>
          </w:p>
        </w:tc>
      </w:tr>
      <w:tr w:rsidR="00954036" w14:paraId="39B95D8A" w14:textId="77777777" w:rsidTr="00954036">
        <w:tc>
          <w:tcPr>
            <w:tcW w:w="11482" w:type="dxa"/>
            <w:tcBorders>
              <w:bottom w:val="single" w:sz="4" w:space="0" w:color="808080" w:themeColor="background1" w:themeShade="80"/>
            </w:tcBorders>
          </w:tcPr>
          <w:p w14:paraId="4C3BAFF7" w14:textId="77777777" w:rsidR="00954036" w:rsidRPr="00E921FC" w:rsidRDefault="00954036" w:rsidP="00954036">
            <w:pPr>
              <w:pStyle w:val="TableText"/>
              <w:rPr>
                <w:rStyle w:val="BodyTextChar"/>
                <w:sz w:val="18"/>
                <w:szCs w:val="21"/>
              </w:rPr>
            </w:pPr>
            <w:r w:rsidRPr="00E921FC">
              <w:rPr>
                <w:rStyle w:val="BodyTextChar"/>
                <w:sz w:val="18"/>
                <w:szCs w:val="21"/>
              </w:rPr>
              <w:t>Consumers’ goals and support requirements are met through provision of services.</w:t>
            </w:r>
          </w:p>
          <w:p w14:paraId="28DA8780" w14:textId="77777777" w:rsidR="00954036" w:rsidRPr="00E921FC" w:rsidRDefault="00954036" w:rsidP="00954036">
            <w:pPr>
              <w:pStyle w:val="TableText"/>
              <w:rPr>
                <w:i/>
              </w:rPr>
            </w:pPr>
            <w:r w:rsidRPr="00E921FC">
              <w:rPr>
                <w:i/>
              </w:rPr>
              <w:t>[Standard 1.3.6: Service Delivery/Interventions  (HDS(C)S.2008:1.3.6): Consumers receive adequate and appropriate services in order to meet their assessed needs and desired outcomes</w:t>
            </w:r>
          </w:p>
          <w:p w14:paraId="628CFB23" w14:textId="77777777" w:rsidR="00954036" w:rsidRPr="00CD268F" w:rsidRDefault="00954036" w:rsidP="00954036">
            <w:pPr>
              <w:pStyle w:val="TableText"/>
              <w:rPr>
                <w:i/>
              </w:rPr>
            </w:pPr>
            <w:r w:rsidRPr="00E921FC">
              <w:rPr>
                <w:i/>
              </w:rPr>
              <w:t>Standard 1.2.8: Service Provider Availability (HDS(C)S.2008:1.2.8): Consumers receive timely, appropriate, and safe service from suitably qualified/skilled and/or experienced service providers.]</w:t>
            </w:r>
          </w:p>
        </w:tc>
        <w:tc>
          <w:tcPr>
            <w:tcW w:w="992" w:type="dxa"/>
            <w:vMerge w:val="restart"/>
          </w:tcPr>
          <w:p w14:paraId="558B4C0C"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Pr>
          <w:p w14:paraId="5BF15C7F"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Pr>
          <w:p w14:paraId="557662CE" w14:textId="77777777" w:rsidR="00954036" w:rsidRDefault="00954036" w:rsidP="00954036"/>
        </w:tc>
      </w:tr>
      <w:tr w:rsidR="00954036" w14:paraId="7E9F74E1" w14:textId="77777777" w:rsidTr="00954036">
        <w:tc>
          <w:tcPr>
            <w:tcW w:w="11482" w:type="dxa"/>
          </w:tcPr>
          <w:p w14:paraId="174655C5" w14:textId="77777777" w:rsidR="00954036" w:rsidRPr="00E921FC" w:rsidRDefault="00954036" w:rsidP="00954036">
            <w:pPr>
              <w:pStyle w:val="TableText"/>
            </w:pPr>
            <w:r w:rsidRPr="00E921FC">
              <w:lastRenderedPageBreak/>
              <w:t>Comment: (eg. move standard to a different part, merge with a different standard)</w:t>
            </w:r>
          </w:p>
          <w:p w14:paraId="005529DB" w14:textId="77777777" w:rsidR="00954036" w:rsidRDefault="00954036" w:rsidP="00954036">
            <w:pPr>
              <w:pStyle w:val="TableBullet"/>
              <w:spacing w:before="60" w:after="60"/>
              <w:rPr>
                <w:lang w:eastAsia="en-NZ"/>
              </w:rPr>
            </w:pPr>
            <w:r>
              <w:rPr>
                <w:lang w:eastAsia="en-NZ"/>
              </w:rPr>
              <w:t>Skills of support worker discussed – perhaps strengthen and break down by levels of care</w:t>
            </w:r>
          </w:p>
          <w:p w14:paraId="5E336E61" w14:textId="77777777" w:rsidR="00954036" w:rsidRPr="00E921FC" w:rsidRDefault="00954036" w:rsidP="00954036">
            <w:pPr>
              <w:pStyle w:val="Table2ndBullet"/>
              <w:spacing w:before="60" w:after="60"/>
              <w:rPr>
                <w:i/>
                <w:lang w:eastAsia="en-NZ"/>
              </w:rPr>
            </w:pPr>
            <w:r w:rsidRPr="00E921FC">
              <w:rPr>
                <w:i/>
              </w:rPr>
              <w:t>Approaching issues around regulation, support re health professional input. Lots more discussion/thought around this required. We hardly touched on this yesterday but it is a significant issue for home and community groups who are now managing more complex clients in these situations (L.Russell, Alzheimers NZ)</w:t>
            </w:r>
          </w:p>
          <w:p w14:paraId="761E6570" w14:textId="77777777" w:rsidR="00954036" w:rsidRDefault="00954036" w:rsidP="00681608">
            <w:pPr>
              <w:pStyle w:val="TableBullet"/>
              <w:spacing w:before="60" w:after="60"/>
            </w:pPr>
            <w:r>
              <w:rPr>
                <w:lang w:eastAsia="en-NZ"/>
              </w:rPr>
              <w:t>Refer comments against 4.4</w:t>
            </w:r>
          </w:p>
        </w:tc>
        <w:tc>
          <w:tcPr>
            <w:tcW w:w="992" w:type="dxa"/>
            <w:vMerge/>
          </w:tcPr>
          <w:p w14:paraId="07267EFD" w14:textId="77777777" w:rsidR="00954036" w:rsidRDefault="00954036" w:rsidP="00954036"/>
        </w:tc>
        <w:tc>
          <w:tcPr>
            <w:tcW w:w="994" w:type="dxa"/>
            <w:vMerge/>
          </w:tcPr>
          <w:p w14:paraId="6AE268C7" w14:textId="77777777" w:rsidR="00954036" w:rsidRDefault="00954036" w:rsidP="00954036"/>
        </w:tc>
        <w:tc>
          <w:tcPr>
            <w:tcW w:w="991" w:type="dxa"/>
            <w:vMerge/>
          </w:tcPr>
          <w:p w14:paraId="0ADA9554" w14:textId="77777777" w:rsidR="00954036" w:rsidRDefault="00954036" w:rsidP="00954036"/>
        </w:tc>
      </w:tr>
      <w:tr w:rsidR="00954036" w:rsidRPr="00A24C96" w14:paraId="3B7BAA36"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653D2E0" w14:textId="77777777" w:rsidR="00954036" w:rsidRPr="00A24C96" w:rsidRDefault="00954036" w:rsidP="00954036">
            <w:pPr>
              <w:pStyle w:val="TableText"/>
              <w:spacing w:before="60" w:after="60"/>
              <w:rPr>
                <w:b/>
              </w:rPr>
            </w:pPr>
            <w:r w:rsidRPr="00C346F9">
              <w:rPr>
                <w:b/>
              </w:rPr>
              <w:t>Standard 4.6: Medicine Management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CDAE06"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99DD12" w14:textId="77777777" w:rsidR="00954036" w:rsidRPr="00A24C96" w:rsidRDefault="00954036" w:rsidP="00954036">
            <w:pPr>
              <w:pStyle w:val="TableText"/>
              <w:spacing w:before="60" w:after="60"/>
              <w:rPr>
                <w:b/>
              </w:rPr>
            </w:pP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AC2BA8E" w14:textId="77777777" w:rsidR="00954036" w:rsidRPr="00A24C96" w:rsidRDefault="00954036" w:rsidP="00954036">
            <w:pPr>
              <w:pStyle w:val="TableText"/>
              <w:spacing w:before="60" w:after="60"/>
              <w:rPr>
                <w:b/>
              </w:rPr>
            </w:pPr>
          </w:p>
        </w:tc>
      </w:tr>
      <w:tr w:rsidR="00954036" w14:paraId="6D58CAE4"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23D9E2E" w14:textId="77777777" w:rsidR="00954036" w:rsidRPr="00E921FC" w:rsidRDefault="00954036" w:rsidP="00954036">
            <w:pPr>
              <w:pStyle w:val="TableText"/>
              <w:rPr>
                <w:rStyle w:val="BodyTextChar"/>
                <w:sz w:val="18"/>
                <w:szCs w:val="21"/>
              </w:rPr>
            </w:pPr>
            <w:r w:rsidRPr="00E921FC">
              <w:rPr>
                <w:rStyle w:val="BodyTextChar"/>
                <w:sz w:val="18"/>
                <w:szCs w:val="21"/>
              </w:rPr>
              <w:t>Consumers receive medicines in a safe and timely manner that complies with current legislative requirements and safe practice guidelines.</w:t>
            </w:r>
          </w:p>
          <w:p w14:paraId="60EA05E7" w14:textId="77777777" w:rsidR="00954036" w:rsidRPr="00E921FC" w:rsidRDefault="00954036" w:rsidP="00954036">
            <w:pPr>
              <w:pStyle w:val="TableText"/>
              <w:rPr>
                <w:i/>
              </w:rPr>
            </w:pPr>
            <w:r w:rsidRPr="00E921FC">
              <w:rPr>
                <w:i/>
              </w:rPr>
              <w:t>[Standard 1.3.12: Medicine Management  (HDS(C)S.2008:1.3.12): Consumers receive medicines in a safe and timely manner that complies with current legislative requirements and safe practice guidelines]</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F15BCB"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25B2B4D"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1E98F76D" w14:textId="77777777" w:rsidR="00954036" w:rsidRDefault="00954036" w:rsidP="00954036"/>
        </w:tc>
      </w:tr>
      <w:tr w:rsidR="00954036" w14:paraId="1990F843"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6C72CF" w14:textId="77777777" w:rsidR="00954036" w:rsidRDefault="00954036" w:rsidP="00954036">
            <w:pPr>
              <w:pStyle w:val="TableText"/>
            </w:pPr>
            <w:r>
              <w:t>Comment: (eg. move standard to a different part, merge with a different standard)</w:t>
            </w:r>
          </w:p>
          <w:p w14:paraId="157D2AEC" w14:textId="77777777" w:rsidR="00954036" w:rsidRDefault="00954036" w:rsidP="00954036">
            <w:pPr>
              <w:pStyle w:val="TableBullet"/>
              <w:spacing w:before="60" w:after="60"/>
              <w:rPr>
                <w:lang w:eastAsia="en-NZ"/>
              </w:rPr>
            </w:pPr>
            <w:r>
              <w:rPr>
                <w:lang w:eastAsia="en-NZ"/>
              </w:rPr>
              <w:t>Agreed standard relevant</w:t>
            </w:r>
          </w:p>
          <w:p w14:paraId="7DE44A4B" w14:textId="77777777" w:rsidR="00954036" w:rsidRDefault="00954036" w:rsidP="00954036">
            <w:pPr>
              <w:pStyle w:val="TableBullet"/>
              <w:spacing w:before="60" w:after="60"/>
              <w:rPr>
                <w:lang w:eastAsia="en-NZ"/>
              </w:rPr>
            </w:pPr>
            <w:r>
              <w:rPr>
                <w:lang w:eastAsia="en-NZ"/>
              </w:rPr>
              <w:t>Discussion around reconciliation – is it the role of the provider to reconcile medications, or the GP (as primary prescriber)</w:t>
            </w:r>
          </w:p>
          <w:p w14:paraId="3A0316AF" w14:textId="77777777" w:rsidR="00954036" w:rsidRPr="00A72697" w:rsidRDefault="00954036" w:rsidP="00954036">
            <w:pPr>
              <w:pStyle w:val="Table2ndBullet"/>
              <w:spacing w:before="60" w:after="60"/>
              <w:rPr>
                <w:lang w:eastAsia="en-NZ"/>
              </w:rPr>
            </w:pPr>
            <w:r w:rsidRPr="00A72697">
              <w:t>The RN completing the care plan must also reconcile what is prescribed against what medication in the home before they can direct a support worker in the care plan to administer medication. I think it very risky to only put this on the GP (L.Cochrane, HDANZ)</w:t>
            </w:r>
          </w:p>
          <w:p w14:paraId="2389FFBB" w14:textId="77777777" w:rsidR="00954036" w:rsidRDefault="00954036" w:rsidP="00954036">
            <w:pPr>
              <w:pStyle w:val="TableBullet"/>
              <w:spacing w:before="60" w:after="60"/>
              <w:rPr>
                <w:lang w:eastAsia="en-NZ"/>
              </w:rPr>
            </w:pPr>
            <w:r>
              <w:rPr>
                <w:lang w:eastAsia="en-NZ"/>
              </w:rPr>
              <w:t>Interest in e-prescribing to be implemented</w:t>
            </w:r>
          </w:p>
          <w:p w14:paraId="00247FB4" w14:textId="77777777" w:rsidR="00954036" w:rsidRDefault="00954036" w:rsidP="00954036">
            <w:pPr>
              <w:pStyle w:val="TableBullet"/>
              <w:spacing w:before="60" w:after="60"/>
              <w:rPr>
                <w:lang w:eastAsia="en-NZ"/>
              </w:rPr>
            </w:pPr>
            <w:r>
              <w:rPr>
                <w:lang w:eastAsia="en-NZ"/>
              </w:rPr>
              <w:t>Arrangement for transition of care discussed – eg. DHB to community</w:t>
            </w:r>
          </w:p>
          <w:p w14:paraId="1343DCE8" w14:textId="77777777" w:rsidR="00954036" w:rsidRDefault="00954036" w:rsidP="00954036">
            <w:pPr>
              <w:pStyle w:val="TableBullet"/>
              <w:spacing w:before="60" w:after="60"/>
            </w:pPr>
            <w:r>
              <w:rPr>
                <w:lang w:eastAsia="en-NZ"/>
              </w:rPr>
              <w:t>Agreed complex area requiring further discussion</w:t>
            </w:r>
          </w:p>
          <w:p w14:paraId="2D7E72D2" w14:textId="77777777" w:rsidR="00954036" w:rsidRDefault="00954036" w:rsidP="00954036">
            <w:pPr>
              <w:pStyle w:val="TableBullet"/>
              <w:spacing w:before="60" w:after="60"/>
              <w:rPr>
                <w:i/>
              </w:rPr>
            </w:pPr>
            <w:r w:rsidRPr="008E77E6">
              <w:rPr>
                <w:i/>
              </w:rPr>
              <w:t>And more outcome based statements rather than inputs which reduce innovation and individuality (L.Russell, Alzheimers NZ)</w:t>
            </w:r>
          </w:p>
          <w:p w14:paraId="6707AF85" w14:textId="77777777" w:rsidR="00954036" w:rsidRDefault="00954036" w:rsidP="00954036">
            <w:pPr>
              <w:pStyle w:val="TableBullet"/>
              <w:spacing w:before="60" w:after="60"/>
              <w:rPr>
                <w:i/>
              </w:rPr>
            </w:pPr>
            <w:r>
              <w:rPr>
                <w:i/>
              </w:rPr>
              <w:t>Refer to new Medication Guidelines for the HCSS (L.Logan, HCNZ)</w:t>
            </w:r>
          </w:p>
          <w:p w14:paraId="2CE56D70" w14:textId="77777777" w:rsidR="00954036" w:rsidRDefault="00954036" w:rsidP="00954036">
            <w:pPr>
              <w:pStyle w:val="TableBullet"/>
              <w:spacing w:before="60" w:after="60"/>
            </w:pPr>
            <w:r w:rsidRPr="00892DAD">
              <w:rPr>
                <w:i/>
              </w:rPr>
              <w:t>Medication reconciliation requires someone to match what is prescribed,  with what is dispensed and what the person actually takes.    HBSS provider is in no position to do this – whereas GP &amp; pharmacists are. Providers probably should be encouraged to raise any concerns about client medication to GP or pharmacist</w:t>
            </w:r>
            <w:r>
              <w:rPr>
                <w:i/>
              </w:rPr>
              <w:t xml:space="preserve"> (V.Russell, Lakes DHB)</w:t>
            </w: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8A43FA5"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02A949A"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0C93B4EF" w14:textId="77777777" w:rsidR="00954036" w:rsidRDefault="00954036" w:rsidP="00954036"/>
        </w:tc>
      </w:tr>
      <w:tr w:rsidR="00954036" w:rsidRPr="00A24C96" w14:paraId="218A1B3C"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990E819" w14:textId="77777777" w:rsidR="00954036" w:rsidRPr="00A24C96" w:rsidRDefault="00954036" w:rsidP="00954036">
            <w:pPr>
              <w:pStyle w:val="TableText"/>
              <w:spacing w:before="60" w:after="60"/>
              <w:rPr>
                <w:b/>
              </w:rPr>
            </w:pPr>
            <w:r w:rsidRPr="00C346F9">
              <w:rPr>
                <w:b/>
              </w:rPr>
              <w:t>Standard 4.7: Infection Prevention and Control</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24E50A"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73A84B" w14:textId="77777777" w:rsidR="00954036" w:rsidRPr="00A24C96" w:rsidRDefault="00954036" w:rsidP="00954036">
            <w:pPr>
              <w:pStyle w:val="TableText"/>
              <w:spacing w:before="60" w:after="60"/>
              <w:rPr>
                <w:b/>
              </w:rPr>
            </w:pP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90C223C" w14:textId="77777777" w:rsidR="00954036" w:rsidRPr="00A24C96" w:rsidRDefault="00954036" w:rsidP="00954036">
            <w:pPr>
              <w:pStyle w:val="TableText"/>
              <w:spacing w:before="60" w:after="60"/>
              <w:rPr>
                <w:b/>
              </w:rPr>
            </w:pPr>
          </w:p>
        </w:tc>
      </w:tr>
      <w:tr w:rsidR="00954036" w14:paraId="00C894EC"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A43928E" w14:textId="77777777" w:rsidR="00954036" w:rsidRPr="00C346F9" w:rsidRDefault="00954036" w:rsidP="00954036">
            <w:pPr>
              <w:pStyle w:val="TableText"/>
              <w:rPr>
                <w:rStyle w:val="BodyTextChar"/>
                <w:sz w:val="18"/>
                <w:szCs w:val="21"/>
              </w:rPr>
            </w:pPr>
            <w:r w:rsidRPr="00C346F9">
              <w:rPr>
                <w:rStyle w:val="BodyTextChar"/>
                <w:sz w:val="18"/>
                <w:szCs w:val="21"/>
              </w:rPr>
              <w:t>Consumers and service providers are protected from infection through promotion and implementation of current infection prevention and control practices.</w:t>
            </w:r>
          </w:p>
          <w:p w14:paraId="1D5A2F8C" w14:textId="77777777" w:rsidR="00954036" w:rsidRPr="00C346F9" w:rsidRDefault="00954036" w:rsidP="00954036">
            <w:pPr>
              <w:pStyle w:val="TableText"/>
              <w:rPr>
                <w:i/>
              </w:rPr>
            </w:pPr>
            <w:r w:rsidRPr="00C346F9">
              <w:rPr>
                <w:i/>
              </w:rPr>
              <w:lastRenderedPageBreak/>
              <w:t>[Standard 3.1: Infection control management (HDS(IPC)S.2008:3.1): There is a managed environment, which minimises the risk of infection to consumers, service providers, and visitors. This shall be appropriate to the size and scope of the service.</w:t>
            </w:r>
          </w:p>
          <w:p w14:paraId="27DEDF29" w14:textId="77777777" w:rsidR="00954036" w:rsidRPr="00CD268F" w:rsidRDefault="00954036" w:rsidP="00954036">
            <w:pPr>
              <w:pStyle w:val="TableText"/>
              <w:rPr>
                <w:i/>
              </w:rPr>
            </w:pPr>
            <w:r w:rsidRPr="00C346F9">
              <w:rPr>
                <w:i/>
              </w:rPr>
              <w:t>Standard 3.3: Policies and procedures (HDS(IPC)S.2008:3.3): 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C23DE72"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lastRenderedPageBreak/>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71977E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2718E2FC" w14:textId="77777777" w:rsidR="00954036" w:rsidRDefault="00954036" w:rsidP="00954036"/>
        </w:tc>
      </w:tr>
      <w:tr w:rsidR="00954036" w14:paraId="6D4E5395"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05DE21" w14:textId="77777777" w:rsidR="00954036" w:rsidRDefault="00954036" w:rsidP="00954036">
            <w:pPr>
              <w:pStyle w:val="TableText"/>
            </w:pPr>
            <w:r>
              <w:t>Comment: (eg. move standard to a different part, merge with a different standard)</w:t>
            </w:r>
          </w:p>
          <w:p w14:paraId="3E275AE7" w14:textId="77777777" w:rsidR="00954036" w:rsidRDefault="00954036" w:rsidP="00954036">
            <w:pPr>
              <w:pStyle w:val="TableBullet"/>
              <w:spacing w:before="60" w:after="60"/>
              <w:rPr>
                <w:lang w:eastAsia="en-NZ"/>
              </w:rPr>
            </w:pPr>
            <w:r>
              <w:rPr>
                <w:lang w:eastAsia="en-NZ"/>
              </w:rPr>
              <w:t>Err on side of caution – regularly review IPC needs don’t set them and forget them</w:t>
            </w:r>
          </w:p>
          <w:p w14:paraId="06D716C4" w14:textId="77777777" w:rsidR="00954036" w:rsidRDefault="00954036" w:rsidP="00954036">
            <w:pPr>
              <w:pStyle w:val="TableBullet"/>
              <w:spacing w:before="60" w:after="60"/>
              <w:rPr>
                <w:lang w:eastAsia="en-NZ"/>
              </w:rPr>
            </w:pPr>
            <w:r>
              <w:rPr>
                <w:lang w:eastAsia="en-NZ"/>
              </w:rPr>
              <w:t>Availability of equipment in the home client and caregivers understand requirement to use it.</w:t>
            </w:r>
          </w:p>
          <w:p w14:paraId="049119E6" w14:textId="77777777" w:rsidR="00954036" w:rsidRDefault="00954036" w:rsidP="00954036">
            <w:pPr>
              <w:pStyle w:val="TableBullet"/>
              <w:spacing w:before="60" w:after="60"/>
              <w:rPr>
                <w:lang w:eastAsia="en-NZ"/>
              </w:rPr>
            </w:pPr>
            <w:r>
              <w:rPr>
                <w:lang w:eastAsia="en-NZ"/>
              </w:rPr>
              <w:t>Communicable diseases challenges to monitor and track – need good system.</w:t>
            </w:r>
          </w:p>
          <w:p w14:paraId="4D9B44FA" w14:textId="77777777" w:rsidR="00954036" w:rsidRDefault="00954036" w:rsidP="00954036">
            <w:pPr>
              <w:pStyle w:val="TableBullet"/>
              <w:spacing w:before="60" w:after="60"/>
            </w:pPr>
            <w:r>
              <w:rPr>
                <w:lang w:eastAsia="en-NZ"/>
              </w:rPr>
              <w:t>Training and education essential for care giver and client.</w:t>
            </w: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B1FC0B"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F07F0"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24806924" w14:textId="77777777" w:rsidR="00954036" w:rsidRDefault="00954036" w:rsidP="00954036"/>
        </w:tc>
      </w:tr>
      <w:tr w:rsidR="00954036" w:rsidRPr="00A24C96" w14:paraId="7C3A79D9"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70E95C3C" w14:textId="77777777" w:rsidR="00954036" w:rsidRPr="00A24C96" w:rsidRDefault="00954036" w:rsidP="00954036">
            <w:pPr>
              <w:pStyle w:val="TableText"/>
              <w:spacing w:before="60" w:after="60"/>
              <w:rPr>
                <w:b/>
              </w:rPr>
            </w:pPr>
            <w:r w:rsidRPr="00C346F9">
              <w:rPr>
                <w:b/>
              </w:rPr>
              <w:t>Standard 4.8: Equipment, Aids and Enablers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845339"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797B10" w14:textId="77777777" w:rsidR="00954036" w:rsidRPr="00A24C96" w:rsidRDefault="00954036" w:rsidP="00954036">
            <w:pPr>
              <w:pStyle w:val="TableText"/>
              <w:spacing w:before="60" w:after="60"/>
              <w:rPr>
                <w:b/>
              </w:rPr>
            </w:pP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D72E7FC" w14:textId="77777777" w:rsidR="00954036" w:rsidRPr="00A24C96" w:rsidRDefault="00954036" w:rsidP="00954036">
            <w:pPr>
              <w:pStyle w:val="TableText"/>
              <w:spacing w:before="60" w:after="60"/>
              <w:rPr>
                <w:b/>
              </w:rPr>
            </w:pPr>
          </w:p>
        </w:tc>
      </w:tr>
      <w:tr w:rsidR="00954036" w14:paraId="56102BF3"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6168B9" w14:textId="77777777" w:rsidR="00954036" w:rsidRPr="00C346F9" w:rsidRDefault="00954036" w:rsidP="00954036">
            <w:pPr>
              <w:pStyle w:val="TableText"/>
              <w:rPr>
                <w:rStyle w:val="BodyTextChar"/>
                <w:sz w:val="18"/>
                <w:szCs w:val="21"/>
              </w:rPr>
            </w:pPr>
            <w:r w:rsidRPr="00C346F9">
              <w:rPr>
                <w:rStyle w:val="BodyTextChar"/>
                <w:sz w:val="18"/>
                <w:szCs w:val="21"/>
              </w:rPr>
              <w:t>Consumers are supported to safely use any required or prescribed equipment, aids, or enablers.</w:t>
            </w:r>
          </w:p>
          <w:p w14:paraId="35FB7AD1" w14:textId="77777777" w:rsidR="00954036" w:rsidRPr="00C346F9" w:rsidRDefault="00954036" w:rsidP="00954036">
            <w:pPr>
              <w:pStyle w:val="TableText"/>
              <w:rPr>
                <w:i/>
              </w:rPr>
            </w:pPr>
            <w:r w:rsidRPr="00C346F9">
              <w:rPr>
                <w:i/>
              </w:rPr>
              <w:t>[Standard 1.4.2: Facility Specifications  (HDS(C)S.2008:1.4.2): Consumers are provided with an appropriate, accessible physical environment and facilities that are fit for their purpose]</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BA37633" w14:textId="77777777" w:rsidR="00954036" w:rsidRDefault="00954036" w:rsidP="00954036">
            <w:pPr>
              <w:spacing w:before="240" w:after="40"/>
              <w:jc w:val="center"/>
            </w:pP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8FA46F1" w14:textId="77777777" w:rsidR="00954036" w:rsidRDefault="00954036" w:rsidP="00954036">
            <w:pPr>
              <w:spacing w:before="240" w:after="40"/>
              <w:jc w:val="center"/>
            </w:pPr>
          </w:p>
        </w:tc>
        <w:tc>
          <w:tcPr>
            <w:tcW w:w="991" w:type="dxa"/>
            <w:vMerge w:val="restart"/>
            <w:tcBorders>
              <w:top w:val="single" w:sz="4" w:space="0" w:color="808080" w:themeColor="background1" w:themeShade="80"/>
              <w:left w:val="single" w:sz="4" w:space="0" w:color="808080" w:themeColor="background1" w:themeShade="80"/>
              <w:right w:val="nil"/>
            </w:tcBorders>
          </w:tcPr>
          <w:p w14:paraId="548038CE" w14:textId="77777777" w:rsidR="00954036" w:rsidRDefault="00954036" w:rsidP="00954036"/>
        </w:tc>
      </w:tr>
      <w:tr w:rsidR="00954036" w14:paraId="5BFFCB6A"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572DF72" w14:textId="77777777" w:rsidR="00954036" w:rsidRPr="00C346F9" w:rsidRDefault="00954036" w:rsidP="00954036">
            <w:pPr>
              <w:pStyle w:val="TableText"/>
            </w:pPr>
            <w:r w:rsidRPr="00C346F9">
              <w:rPr>
                <w:rStyle w:val="TableTextChar"/>
              </w:rPr>
              <w:t>Comment: (eg. move standard to a different part, merge with a different standard</w:t>
            </w:r>
            <w:r w:rsidRPr="00C346F9">
              <w:t>)</w:t>
            </w:r>
          </w:p>
          <w:p w14:paraId="62F2EDE8" w14:textId="77777777" w:rsidR="00954036" w:rsidRDefault="00954036" w:rsidP="00954036">
            <w:pPr>
              <w:pStyle w:val="TableBullet"/>
              <w:spacing w:before="60" w:after="60"/>
              <w:rPr>
                <w:lang w:eastAsia="en-NZ"/>
              </w:rPr>
            </w:pPr>
            <w:r>
              <w:rPr>
                <w:lang w:eastAsia="en-NZ"/>
              </w:rPr>
              <w:t>Ensure equipment is safe tested and monitored.</w:t>
            </w:r>
          </w:p>
          <w:p w14:paraId="1C9DC0CA" w14:textId="77777777" w:rsidR="00954036" w:rsidRDefault="00954036" w:rsidP="00954036">
            <w:pPr>
              <w:pStyle w:val="TableBullet"/>
              <w:spacing w:before="60" w:after="60"/>
              <w:rPr>
                <w:lang w:eastAsia="en-NZ"/>
              </w:rPr>
            </w:pPr>
            <w:r>
              <w:rPr>
                <w:lang w:eastAsia="en-NZ"/>
              </w:rPr>
              <w:t>Client and care giver both can safely use within prescribed thresholds</w:t>
            </w:r>
          </w:p>
          <w:p w14:paraId="6AF9C140" w14:textId="77777777" w:rsidR="00954036" w:rsidRDefault="00954036" w:rsidP="00954036">
            <w:pPr>
              <w:pStyle w:val="TableBullet"/>
              <w:spacing w:before="60" w:after="60"/>
            </w:pPr>
            <w:r>
              <w:rPr>
                <w:lang w:eastAsia="en-NZ"/>
              </w:rPr>
              <w:t>Access to training – competencies.</w:t>
            </w: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A77931D"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8537184"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24368E5A" w14:textId="77777777" w:rsidR="00954036" w:rsidRDefault="00954036" w:rsidP="00954036"/>
        </w:tc>
      </w:tr>
      <w:tr w:rsidR="00954036" w:rsidRPr="00A24C96" w14:paraId="76D37114"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7F2B8E9A" w14:textId="77777777" w:rsidR="00954036" w:rsidRPr="00A24C96" w:rsidRDefault="00954036" w:rsidP="00954036">
            <w:pPr>
              <w:pStyle w:val="TableText"/>
              <w:spacing w:before="60" w:after="60"/>
              <w:rPr>
                <w:b/>
              </w:rPr>
            </w:pPr>
            <w:r w:rsidRPr="00C346F9">
              <w:rPr>
                <w:b/>
              </w:rPr>
              <w:t>Standard 4.9: Nutrition and Safe Food Management</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0A95C4"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2068BA" w14:textId="77777777" w:rsidR="00954036" w:rsidRPr="00A24C96" w:rsidRDefault="00954036" w:rsidP="00954036">
            <w:pPr>
              <w:pStyle w:val="TableText"/>
              <w:spacing w:before="60" w:after="60"/>
              <w:rPr>
                <w:b/>
              </w:rPr>
            </w:pPr>
            <w:r>
              <w:rPr>
                <w:b/>
              </w:rPr>
              <w:t>Delete</w:t>
            </w: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05E9051" w14:textId="77777777" w:rsidR="00954036" w:rsidRPr="00A24C96" w:rsidRDefault="00954036" w:rsidP="00954036">
            <w:pPr>
              <w:pStyle w:val="TableText"/>
              <w:spacing w:before="60" w:after="60"/>
              <w:rPr>
                <w:b/>
              </w:rPr>
            </w:pPr>
          </w:p>
        </w:tc>
      </w:tr>
      <w:tr w:rsidR="00954036" w14:paraId="6CC93049"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5FDA2" w14:textId="77777777" w:rsidR="00954036" w:rsidRPr="00C346F9" w:rsidRDefault="00954036" w:rsidP="00954036">
            <w:pPr>
              <w:pStyle w:val="TableText"/>
              <w:rPr>
                <w:rStyle w:val="BodyTextChar"/>
                <w:sz w:val="18"/>
                <w:szCs w:val="21"/>
              </w:rPr>
            </w:pPr>
            <w:r w:rsidRPr="00C346F9">
              <w:rPr>
                <w:rStyle w:val="BodyTextChar"/>
                <w:sz w:val="18"/>
                <w:szCs w:val="21"/>
              </w:rPr>
              <w:t>The consumer’s nutrition and hydration is supported by service delivery.</w:t>
            </w:r>
          </w:p>
          <w:p w14:paraId="030002F3" w14:textId="77777777" w:rsidR="00954036" w:rsidRPr="00C346F9" w:rsidRDefault="00954036" w:rsidP="00954036">
            <w:pPr>
              <w:pStyle w:val="TableText"/>
              <w:rPr>
                <w:i/>
              </w:rPr>
            </w:pPr>
            <w:r w:rsidRPr="00C346F9">
              <w:rPr>
                <w:i/>
              </w:rPr>
              <w:t>[Standard 1.3.13: Nutrition, Safe Food, And Fluid Management (HDS(C)S.2008:1.3.13): A consumer's individual food, fluids and nutritional needs are met where this service is a component of service delivery]</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27DE89D"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3519BB1"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0CCE98D1" w14:textId="77777777" w:rsidR="00954036" w:rsidRDefault="00954036" w:rsidP="00954036"/>
        </w:tc>
      </w:tr>
      <w:tr w:rsidR="00954036" w14:paraId="2B671DDA"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D4E60B8" w14:textId="77777777" w:rsidR="00954036" w:rsidRPr="00C346F9" w:rsidRDefault="00954036" w:rsidP="00954036">
            <w:pPr>
              <w:pStyle w:val="TableText"/>
            </w:pPr>
            <w:r w:rsidRPr="00C346F9">
              <w:t>Comment: (eg. move standard to a different part, merge with a different standard)</w:t>
            </w:r>
          </w:p>
          <w:p w14:paraId="42E16AF4" w14:textId="77777777" w:rsidR="00954036" w:rsidRDefault="00954036" w:rsidP="00954036">
            <w:pPr>
              <w:pStyle w:val="TableBullet"/>
              <w:spacing w:before="60" w:after="60"/>
              <w:rPr>
                <w:lang w:eastAsia="en-NZ"/>
              </w:rPr>
            </w:pPr>
            <w:r>
              <w:rPr>
                <w:lang w:eastAsia="en-NZ"/>
              </w:rPr>
              <w:t>Discussion as to whether this needs to sit in general care plan.</w:t>
            </w:r>
          </w:p>
          <w:p w14:paraId="5CD0F312" w14:textId="77777777" w:rsidR="00954036" w:rsidRDefault="00954036" w:rsidP="00954036">
            <w:pPr>
              <w:pStyle w:val="TableBullet"/>
              <w:spacing w:before="60" w:after="60"/>
              <w:rPr>
                <w:lang w:eastAsia="en-NZ"/>
              </w:rPr>
            </w:pPr>
            <w:r>
              <w:rPr>
                <w:lang w:eastAsia="en-NZ"/>
              </w:rPr>
              <w:t xml:space="preserve">Often only used if there is a specific need required of care givers </w:t>
            </w:r>
          </w:p>
          <w:p w14:paraId="5709F0F9" w14:textId="77777777" w:rsidR="00954036" w:rsidRPr="00954036" w:rsidRDefault="00954036" w:rsidP="00954036">
            <w:pPr>
              <w:pStyle w:val="TableBullet"/>
              <w:spacing w:before="60" w:after="60"/>
            </w:pPr>
            <w:r w:rsidRPr="00064E60">
              <w:rPr>
                <w:i/>
                <w:lang w:eastAsia="en-NZ"/>
              </w:rPr>
              <w:lastRenderedPageBreak/>
              <w:t>Supported by service delivery based on a person’s needs</w:t>
            </w:r>
            <w:r>
              <w:rPr>
                <w:i/>
                <w:lang w:eastAsia="en-NZ"/>
              </w:rPr>
              <w:t xml:space="preserve"> (L.Logan, HCNZ)</w:t>
            </w:r>
          </w:p>
          <w:p w14:paraId="336E6ED4" w14:textId="77777777" w:rsidR="00954036" w:rsidRDefault="00954036" w:rsidP="00954036">
            <w:pPr>
              <w:pStyle w:val="TableBullet"/>
              <w:numPr>
                <w:ilvl w:val="0"/>
                <w:numId w:val="0"/>
              </w:numPr>
              <w:spacing w:before="60" w:after="60"/>
              <w:ind w:left="213"/>
            </w:pP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E9E83D9"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234E497"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123236A5" w14:textId="77777777" w:rsidR="00954036" w:rsidRDefault="00954036" w:rsidP="00954036"/>
        </w:tc>
      </w:tr>
      <w:tr w:rsidR="00954036" w:rsidRPr="00A24C96" w14:paraId="3822660C"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2DF0F9BB" w14:textId="77777777" w:rsidR="00954036" w:rsidRPr="00A24C96" w:rsidRDefault="00954036" w:rsidP="00954036">
            <w:pPr>
              <w:pStyle w:val="TableText"/>
              <w:spacing w:before="60" w:after="60"/>
              <w:rPr>
                <w:b/>
              </w:rPr>
            </w:pPr>
            <w:r w:rsidRPr="00C346F9">
              <w:rPr>
                <w:b/>
              </w:rPr>
              <w:t>Standard 4.10: Skin Integrity</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A943FE"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A21E92" w14:textId="77777777" w:rsidR="00954036" w:rsidRPr="00A24C96" w:rsidRDefault="00954036" w:rsidP="00954036">
            <w:pPr>
              <w:pStyle w:val="TableText"/>
              <w:spacing w:before="60" w:after="60"/>
              <w:rPr>
                <w:b/>
              </w:rPr>
            </w:pP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0E7BA2D4" w14:textId="77777777" w:rsidR="00954036" w:rsidRPr="00A24C96" w:rsidRDefault="00954036" w:rsidP="00954036">
            <w:pPr>
              <w:pStyle w:val="TableText"/>
              <w:spacing w:before="60" w:after="60"/>
              <w:rPr>
                <w:b/>
              </w:rPr>
            </w:pPr>
          </w:p>
        </w:tc>
      </w:tr>
      <w:tr w:rsidR="00954036" w14:paraId="49D175DE"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1BBB2" w14:textId="77777777" w:rsidR="00954036" w:rsidRPr="00C346F9" w:rsidRDefault="00954036" w:rsidP="00954036">
            <w:pPr>
              <w:pStyle w:val="TableText"/>
              <w:rPr>
                <w:rStyle w:val="BodyTextChar"/>
                <w:sz w:val="18"/>
                <w:szCs w:val="21"/>
              </w:rPr>
            </w:pPr>
            <w:r w:rsidRPr="00C346F9">
              <w:rPr>
                <w:rStyle w:val="BodyTextChar"/>
                <w:sz w:val="18"/>
                <w:szCs w:val="21"/>
              </w:rPr>
              <w:t>Consumers’ skin integrity is maintained.</w:t>
            </w:r>
          </w:p>
          <w:p w14:paraId="2F7A4D45" w14:textId="77777777" w:rsidR="00954036" w:rsidRPr="00CD268F" w:rsidRDefault="00954036" w:rsidP="00954036">
            <w:pPr>
              <w:pStyle w:val="TableText"/>
              <w:rPr>
                <w:i/>
              </w:rPr>
            </w:pPr>
            <w:r w:rsidRPr="00C346F9">
              <w:rPr>
                <w:rStyle w:val="BodyTextChar"/>
                <w:sz w:val="18"/>
                <w:szCs w:val="21"/>
              </w:rPr>
              <w:t>No direct link: for ARRC contract requirement</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1F30CFD"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445ECDF"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699D123C" w14:textId="77777777" w:rsidR="00954036" w:rsidRDefault="00954036" w:rsidP="00954036"/>
        </w:tc>
      </w:tr>
      <w:tr w:rsidR="00954036" w14:paraId="29631FA2"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A398F9" w14:textId="77777777" w:rsidR="00954036" w:rsidRDefault="00954036" w:rsidP="00954036">
            <w:pPr>
              <w:pStyle w:val="TableText"/>
            </w:pPr>
            <w:r>
              <w:t>Comment: (eg. move standard to a different part, merge with a different standard)</w:t>
            </w:r>
          </w:p>
          <w:p w14:paraId="36303B56" w14:textId="77777777" w:rsidR="00954036" w:rsidRDefault="00954036" w:rsidP="00954036">
            <w:pPr>
              <w:pStyle w:val="TableBullet"/>
              <w:spacing w:before="60" w:after="60"/>
              <w:rPr>
                <w:lang w:eastAsia="en-NZ"/>
              </w:rPr>
            </w:pPr>
            <w:r>
              <w:rPr>
                <w:lang w:eastAsia="en-NZ"/>
              </w:rPr>
              <w:t>Big component of care – retain</w:t>
            </w:r>
          </w:p>
          <w:p w14:paraId="73611287" w14:textId="77777777" w:rsidR="00954036" w:rsidRDefault="00954036" w:rsidP="00954036">
            <w:pPr>
              <w:pStyle w:val="TableBullet"/>
              <w:spacing w:before="60" w:after="60"/>
              <w:rPr>
                <w:lang w:eastAsia="en-NZ"/>
              </w:rPr>
            </w:pPr>
            <w:r>
              <w:rPr>
                <w:lang w:eastAsia="en-NZ"/>
              </w:rPr>
              <w:t>Particularly in respect of pressure injury management</w:t>
            </w:r>
          </w:p>
          <w:p w14:paraId="6E10BF66" w14:textId="77777777" w:rsidR="00954036" w:rsidRDefault="00954036" w:rsidP="00954036">
            <w:pPr>
              <w:pStyle w:val="TableBullet"/>
              <w:spacing w:before="60" w:after="60"/>
            </w:pPr>
            <w:r>
              <w:rPr>
                <w:lang w:eastAsia="en-NZ"/>
              </w:rPr>
              <w:t>Need stronger guidance</w:t>
            </w:r>
          </w:p>
          <w:p w14:paraId="138B9DB9" w14:textId="77777777" w:rsidR="00954036" w:rsidRDefault="00954036" w:rsidP="00954036">
            <w:pPr>
              <w:pStyle w:val="TableBullet"/>
              <w:spacing w:before="60" w:after="60"/>
            </w:pPr>
            <w:r>
              <w:rPr>
                <w:lang w:eastAsia="en-NZ"/>
              </w:rPr>
              <w:t>This (plus 4.12) important aspects of service – ‘hot topic’</w:t>
            </w:r>
          </w:p>
          <w:p w14:paraId="6E2E8ACF" w14:textId="77777777" w:rsidR="00954036" w:rsidRDefault="00954036" w:rsidP="00954036">
            <w:pPr>
              <w:pStyle w:val="TableBullet"/>
              <w:spacing w:before="60" w:after="60"/>
            </w:pPr>
            <w:r>
              <w:rPr>
                <w:lang w:eastAsia="en-NZ"/>
              </w:rPr>
              <w:t>Looking for positive strengths based language</w:t>
            </w:r>
          </w:p>
          <w:p w14:paraId="0A9027C8" w14:textId="77777777" w:rsidR="00954036" w:rsidRDefault="00954036" w:rsidP="00954036">
            <w:pPr>
              <w:pStyle w:val="TableBullet"/>
              <w:spacing w:before="60" w:after="60"/>
            </w:pPr>
            <w:r w:rsidRPr="00064E60">
              <w:rPr>
                <w:i/>
              </w:rPr>
              <w:t>Consumer/family/whānau education focus</w:t>
            </w:r>
            <w:r>
              <w:rPr>
                <w:i/>
              </w:rPr>
              <w:t xml:space="preserve"> (L.Logan, HCNZ)</w:t>
            </w: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752CB71"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E539933"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082909A1" w14:textId="77777777" w:rsidR="00954036" w:rsidRDefault="00954036" w:rsidP="00954036"/>
        </w:tc>
      </w:tr>
      <w:tr w:rsidR="00954036" w:rsidRPr="00A24C96" w14:paraId="4EDEB858"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AC161E4" w14:textId="77777777" w:rsidR="00954036" w:rsidRPr="00A24C96" w:rsidRDefault="00954036" w:rsidP="00954036">
            <w:pPr>
              <w:pStyle w:val="TableText"/>
              <w:spacing w:before="60" w:after="60"/>
              <w:rPr>
                <w:b/>
              </w:rPr>
            </w:pPr>
            <w:r w:rsidRPr="00C346F9">
              <w:rPr>
                <w:b/>
              </w:rPr>
              <w:t>Standard 4.11: Review of Service Delivery</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D55214"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BA9278" w14:textId="77777777" w:rsidR="00954036" w:rsidRPr="00A24C96" w:rsidRDefault="00954036" w:rsidP="00954036">
            <w:pPr>
              <w:pStyle w:val="TableText"/>
              <w:spacing w:before="60" w:after="60"/>
              <w:rPr>
                <w:b/>
              </w:rPr>
            </w:pPr>
            <w:r>
              <w:rPr>
                <w:b/>
              </w:rPr>
              <w:t>Amend/ Delete</w:t>
            </w: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5991F131" w14:textId="77777777" w:rsidR="00954036" w:rsidRPr="00A24C96" w:rsidRDefault="00954036" w:rsidP="00954036">
            <w:pPr>
              <w:pStyle w:val="TableText"/>
              <w:spacing w:before="60" w:after="60"/>
              <w:rPr>
                <w:b/>
              </w:rPr>
            </w:pPr>
          </w:p>
        </w:tc>
      </w:tr>
      <w:tr w:rsidR="00954036" w14:paraId="32DDD970"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152F61D" w14:textId="77777777" w:rsidR="00954036" w:rsidRPr="00C346F9" w:rsidRDefault="00954036" w:rsidP="00954036">
            <w:pPr>
              <w:pStyle w:val="TableText"/>
              <w:rPr>
                <w:rStyle w:val="BodyTextChar"/>
                <w:sz w:val="18"/>
                <w:szCs w:val="21"/>
              </w:rPr>
            </w:pPr>
            <w:r w:rsidRPr="00C346F9">
              <w:rPr>
                <w:rStyle w:val="BodyTextChar"/>
                <w:sz w:val="18"/>
                <w:szCs w:val="21"/>
              </w:rPr>
              <w:t>Consumers are supported to achieve their goals through regular monitoring and review of service delivery.</w:t>
            </w:r>
          </w:p>
          <w:p w14:paraId="76B890D2" w14:textId="77777777" w:rsidR="00954036" w:rsidRPr="00C346F9" w:rsidRDefault="00954036" w:rsidP="00954036">
            <w:pPr>
              <w:pStyle w:val="TableText"/>
              <w:rPr>
                <w:i/>
              </w:rPr>
            </w:pPr>
            <w:r w:rsidRPr="00C346F9">
              <w:rPr>
                <w:i/>
              </w:rPr>
              <w:t>[Standard 1.3.8: Evaluation (HDS(C)S.2008:1.3.8): Consumers' service delivery plans are evaluated in a comprehensive and timely manner]</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198C3C6"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C9B4397"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6B7CEEB0" w14:textId="77777777" w:rsidR="00954036" w:rsidRDefault="00954036" w:rsidP="00954036"/>
        </w:tc>
      </w:tr>
      <w:tr w:rsidR="00954036" w14:paraId="7C790DED"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EB6F23" w14:textId="77777777" w:rsidR="00954036" w:rsidRDefault="00954036" w:rsidP="00954036">
            <w:pPr>
              <w:pStyle w:val="TableText"/>
            </w:pPr>
            <w:r>
              <w:t>Comment: (eg. move standard to a different part, merge with a different standard)</w:t>
            </w:r>
          </w:p>
          <w:p w14:paraId="7A135632" w14:textId="77777777" w:rsidR="00954036" w:rsidRDefault="00954036" w:rsidP="00954036">
            <w:pPr>
              <w:pStyle w:val="TableBullet"/>
              <w:spacing w:before="60" w:after="60"/>
              <w:rPr>
                <w:lang w:eastAsia="en-NZ"/>
              </w:rPr>
            </w:pPr>
            <w:r>
              <w:rPr>
                <w:lang w:eastAsia="en-NZ"/>
              </w:rPr>
              <w:t>Having a review is mutually beneficial</w:t>
            </w:r>
          </w:p>
          <w:p w14:paraId="52DEBD1D" w14:textId="77777777" w:rsidR="00954036" w:rsidRDefault="00954036" w:rsidP="00954036">
            <w:pPr>
              <w:pStyle w:val="TableBullet"/>
              <w:spacing w:before="60" w:after="60"/>
              <w:rPr>
                <w:lang w:eastAsia="en-NZ"/>
              </w:rPr>
            </w:pPr>
            <w:r>
              <w:rPr>
                <w:lang w:eastAsia="en-NZ"/>
              </w:rPr>
              <w:t>Increased focus on goals being met in partnership with person: ‘I will …’</w:t>
            </w:r>
          </w:p>
          <w:p w14:paraId="4609F29A" w14:textId="77777777" w:rsidR="00954036" w:rsidRDefault="00954036" w:rsidP="00954036">
            <w:pPr>
              <w:pStyle w:val="TableBullet"/>
              <w:spacing w:before="60" w:after="60"/>
              <w:rPr>
                <w:lang w:eastAsia="en-NZ"/>
              </w:rPr>
            </w:pPr>
            <w:r>
              <w:rPr>
                <w:lang w:eastAsia="en-NZ"/>
              </w:rPr>
              <w:t>This standard results in the most findings at audit – as managing timeframe expectation (contractual) can be difficult</w:t>
            </w:r>
          </w:p>
          <w:p w14:paraId="06ACDB76" w14:textId="77777777" w:rsidR="00954036" w:rsidRDefault="00954036" w:rsidP="00954036">
            <w:pPr>
              <w:pStyle w:val="TableBullet"/>
              <w:spacing w:before="60" w:after="60"/>
            </w:pPr>
            <w:r>
              <w:rPr>
                <w:lang w:eastAsia="en-NZ"/>
              </w:rPr>
              <w:t>Partnership design</w:t>
            </w:r>
          </w:p>
          <w:p w14:paraId="306BE55B" w14:textId="77777777" w:rsidR="00954036" w:rsidRPr="00954036" w:rsidRDefault="00954036" w:rsidP="00954036">
            <w:pPr>
              <w:pStyle w:val="TableBullet"/>
              <w:spacing w:before="60" w:after="60"/>
            </w:pPr>
            <w:r w:rsidRPr="003F739C">
              <w:rPr>
                <w:i/>
              </w:rPr>
              <w:t>?evaluation in this standard statement also, poss instead of review</w:t>
            </w:r>
            <w:r>
              <w:rPr>
                <w:i/>
              </w:rPr>
              <w:t xml:space="preserve"> (L.Russell, Alzheimers NZ)</w:t>
            </w:r>
          </w:p>
          <w:p w14:paraId="364AA355" w14:textId="77777777" w:rsidR="00954036" w:rsidRDefault="00954036" w:rsidP="00954036">
            <w:pPr>
              <w:pStyle w:val="TableBullet"/>
              <w:numPr>
                <w:ilvl w:val="0"/>
                <w:numId w:val="0"/>
              </w:numPr>
              <w:spacing w:before="60" w:after="60"/>
              <w:ind w:left="213" w:hanging="213"/>
            </w:pPr>
          </w:p>
          <w:p w14:paraId="6868D476" w14:textId="77777777" w:rsidR="00954036" w:rsidRDefault="00954036" w:rsidP="00954036">
            <w:pPr>
              <w:pStyle w:val="TableBullet"/>
              <w:numPr>
                <w:ilvl w:val="0"/>
                <w:numId w:val="0"/>
              </w:numPr>
              <w:spacing w:before="60" w:after="60"/>
              <w:ind w:left="213" w:hanging="213"/>
            </w:pPr>
          </w:p>
          <w:p w14:paraId="18AB91E1" w14:textId="77777777" w:rsidR="00954036" w:rsidRDefault="00954036" w:rsidP="00954036">
            <w:pPr>
              <w:pStyle w:val="TableBullet"/>
              <w:numPr>
                <w:ilvl w:val="0"/>
                <w:numId w:val="0"/>
              </w:numPr>
              <w:spacing w:before="60" w:after="60"/>
              <w:ind w:left="213" w:hanging="213"/>
            </w:pP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9082482"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86D3272"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30350121" w14:textId="77777777" w:rsidR="00954036" w:rsidRDefault="00954036" w:rsidP="00954036"/>
        </w:tc>
      </w:tr>
      <w:tr w:rsidR="00954036" w:rsidRPr="00A24C96" w14:paraId="2384ADCE"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B182D1D" w14:textId="77777777" w:rsidR="00954036" w:rsidRPr="00A24C96" w:rsidRDefault="00954036" w:rsidP="00954036">
            <w:pPr>
              <w:pStyle w:val="TableText"/>
              <w:spacing w:before="60" w:after="60"/>
              <w:rPr>
                <w:b/>
              </w:rPr>
            </w:pPr>
            <w:r w:rsidRPr="00C346F9">
              <w:rPr>
                <w:b/>
              </w:rPr>
              <w:lastRenderedPageBreak/>
              <w:t>Standard 4.12: Challenging Behaviours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87A0A7" w14:textId="77777777" w:rsidR="00954036" w:rsidRPr="00A24C96" w:rsidRDefault="00954036" w:rsidP="00954036">
            <w:pPr>
              <w:pStyle w:val="TableText"/>
              <w:spacing w:before="60" w:after="60"/>
              <w:rPr>
                <w:b/>
              </w:rPr>
            </w:pPr>
          </w:p>
        </w:tc>
        <w:tc>
          <w:tcPr>
            <w:tcW w:w="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2B0ED1" w14:textId="77777777" w:rsidR="00954036" w:rsidRPr="00A24C96" w:rsidRDefault="00954036" w:rsidP="00954036">
            <w:pPr>
              <w:pStyle w:val="TableText"/>
              <w:spacing w:before="60" w:after="60"/>
              <w:rPr>
                <w:b/>
              </w:rPr>
            </w:pPr>
            <w:r>
              <w:rPr>
                <w:b/>
              </w:rPr>
              <w:t>Delete?</w:t>
            </w:r>
          </w:p>
        </w:tc>
        <w:tc>
          <w:tcPr>
            <w:tcW w:w="9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05E4545A" w14:textId="77777777" w:rsidR="00954036" w:rsidRPr="00A24C96" w:rsidRDefault="00954036" w:rsidP="00954036">
            <w:pPr>
              <w:pStyle w:val="TableText"/>
              <w:spacing w:before="60" w:after="60"/>
              <w:rPr>
                <w:b/>
              </w:rPr>
            </w:pPr>
          </w:p>
        </w:tc>
      </w:tr>
      <w:tr w:rsidR="00954036" w14:paraId="4324936A"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40C78A6" w14:textId="77777777" w:rsidR="00954036" w:rsidRPr="00C346F9" w:rsidRDefault="00954036" w:rsidP="00954036">
            <w:pPr>
              <w:pStyle w:val="TableText"/>
              <w:rPr>
                <w:rStyle w:val="BodyTextChar"/>
                <w:sz w:val="18"/>
                <w:szCs w:val="21"/>
              </w:rPr>
            </w:pPr>
            <w:r w:rsidRPr="00C346F9">
              <w:rPr>
                <w:rStyle w:val="BodyTextChar"/>
                <w:sz w:val="18"/>
                <w:szCs w:val="21"/>
              </w:rPr>
              <w:t>Consumers with behaviours that challenge are treated with respect and receive services in a manner that has regard for their safety, dignity, privacy, and independence.</w:t>
            </w:r>
          </w:p>
          <w:p w14:paraId="5D7D56B6" w14:textId="77777777" w:rsidR="00954036" w:rsidRPr="00C346F9" w:rsidRDefault="00954036" w:rsidP="00954036">
            <w:pPr>
              <w:pStyle w:val="TableText"/>
              <w:rPr>
                <w:i/>
              </w:rPr>
            </w:pPr>
            <w:r w:rsidRPr="00C346F9">
              <w:rPr>
                <w:i/>
              </w:rPr>
              <w:t>[Linked to RMSP standard]</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C747F3A"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419842" w14:textId="77777777" w:rsidR="00954036" w:rsidRDefault="00954036" w:rsidP="00954036">
            <w:pPr>
              <w:spacing w:before="240" w:after="40"/>
              <w:jc w:val="center"/>
            </w:pPr>
            <w:r w:rsidRPr="00F57027">
              <w:rPr>
                <w:rFonts w:ascii="Segoe UI Symbol" w:eastAsiaTheme="majorEastAsia" w:hAnsi="Segoe UI Symbol"/>
                <w:b/>
                <w:i/>
                <w:sz w:val="24"/>
                <w:szCs w:val="24"/>
                <w:lang w:eastAsia="en-NZ"/>
              </w:rPr>
              <w:t>✓</w:t>
            </w:r>
          </w:p>
        </w:tc>
        <w:tc>
          <w:tcPr>
            <w:tcW w:w="991" w:type="dxa"/>
            <w:vMerge w:val="restart"/>
            <w:tcBorders>
              <w:top w:val="single" w:sz="4" w:space="0" w:color="808080" w:themeColor="background1" w:themeShade="80"/>
              <w:left w:val="single" w:sz="4" w:space="0" w:color="808080" w:themeColor="background1" w:themeShade="80"/>
              <w:right w:val="nil"/>
            </w:tcBorders>
          </w:tcPr>
          <w:p w14:paraId="4B7ADAB1" w14:textId="77777777" w:rsidR="00954036" w:rsidRDefault="00954036" w:rsidP="00954036"/>
        </w:tc>
      </w:tr>
      <w:tr w:rsidR="00954036" w14:paraId="71F2D08A" w14:textId="77777777" w:rsidTr="0095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8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D381E8D" w14:textId="77777777" w:rsidR="00954036" w:rsidRDefault="00954036" w:rsidP="00954036">
            <w:pPr>
              <w:pStyle w:val="TableText"/>
            </w:pPr>
            <w:r>
              <w:t>Comment: (eg. move standard to a different part, merge with a different standard)</w:t>
            </w:r>
          </w:p>
          <w:p w14:paraId="1CF8E749" w14:textId="77777777" w:rsidR="00954036" w:rsidRDefault="00954036" w:rsidP="00954036">
            <w:pPr>
              <w:pStyle w:val="TableBullet"/>
              <w:spacing w:before="60" w:after="60"/>
              <w:rPr>
                <w:lang w:eastAsia="en-NZ"/>
              </w:rPr>
            </w:pPr>
            <w:r>
              <w:rPr>
                <w:lang w:eastAsia="en-NZ"/>
              </w:rPr>
              <w:t>Don’t like title - change to positive behaviour support – cognition</w:t>
            </w:r>
          </w:p>
          <w:p w14:paraId="13CD89E7" w14:textId="77777777" w:rsidR="00954036" w:rsidRPr="00C346F9" w:rsidRDefault="00954036" w:rsidP="00954036">
            <w:pPr>
              <w:pStyle w:val="Table2ndBullet"/>
              <w:spacing w:before="60" w:after="60"/>
              <w:rPr>
                <w:i/>
                <w:lang w:eastAsia="en-NZ"/>
              </w:rPr>
            </w:pPr>
            <w:r w:rsidRPr="00C346F9">
              <w:rPr>
                <w:i/>
                <w:lang w:eastAsia="en-NZ"/>
              </w:rPr>
              <w:t>Could possible just be called ‘Behaviour Support’ (L.Logan, HCNZ)</w:t>
            </w:r>
          </w:p>
          <w:p w14:paraId="4F30271A" w14:textId="77777777" w:rsidR="00954036" w:rsidRDefault="00954036" w:rsidP="00954036">
            <w:pPr>
              <w:pStyle w:val="TableBullet"/>
              <w:spacing w:before="60" w:after="60"/>
              <w:rPr>
                <w:lang w:eastAsia="en-NZ"/>
              </w:rPr>
            </w:pPr>
            <w:r>
              <w:rPr>
                <w:lang w:eastAsia="en-NZ"/>
              </w:rPr>
              <w:t xml:space="preserve">Once again could be included in other standards. </w:t>
            </w:r>
          </w:p>
          <w:p w14:paraId="0558F587" w14:textId="77777777" w:rsidR="00954036" w:rsidRDefault="00954036" w:rsidP="00954036">
            <w:pPr>
              <w:pStyle w:val="TableBullet"/>
              <w:spacing w:before="60" w:after="60"/>
              <w:rPr>
                <w:lang w:eastAsia="en-NZ"/>
              </w:rPr>
            </w:pPr>
            <w:r>
              <w:rPr>
                <w:lang w:eastAsia="en-NZ"/>
              </w:rPr>
              <w:t xml:space="preserve">Wonder why it is separate due to changes in home and community care there are a lot of clients that issues with cognition. </w:t>
            </w:r>
          </w:p>
          <w:p w14:paraId="40CFF0CB" w14:textId="77777777" w:rsidR="00954036" w:rsidRPr="00C346F9" w:rsidRDefault="00954036" w:rsidP="00954036">
            <w:pPr>
              <w:pStyle w:val="TableBullet"/>
              <w:spacing w:before="60" w:after="60"/>
              <w:rPr>
                <w:i/>
                <w:lang w:eastAsia="en-NZ"/>
              </w:rPr>
            </w:pPr>
            <w:r w:rsidRPr="00C346F9">
              <w:rPr>
                <w:i/>
                <w:lang w:eastAsia="en-NZ"/>
              </w:rPr>
              <w:t>Ensuring staff receive training and education based on positive behaviour support principles – improving people’s quality of life, understanding of why the behaviour occurs, teaching alternative skills for ensuring people’s needs are met through positive approaches (L.Logan, HCNZ)</w:t>
            </w:r>
          </w:p>
          <w:p w14:paraId="045570CB" w14:textId="77777777" w:rsidR="00954036" w:rsidRDefault="00954036" w:rsidP="00954036">
            <w:pPr>
              <w:pStyle w:val="TableBullet"/>
              <w:spacing w:before="60" w:after="60"/>
            </w:pPr>
            <w:r w:rsidRPr="00C346F9">
              <w:rPr>
                <w:i/>
                <w:lang w:eastAsia="en-NZ"/>
              </w:rPr>
              <w:t>Purpose is to see provider staff understand what is important for the client, how they prefer support to be provided, what difficulties they may have in communicating their views / preferences and therefore what staff need to know to avoid creating stress, anxiety or anger. A separate section is not unreasonable considering cognitive impairment / memory loss / changes in reasoning, understanding, communication is relevant to range of HCSS settings / funders and balance common perception that support is only required for those who have  a physical impairment. Work behaviour should be avoided  -  is not disability friendly and reflects medical / institutional  model of health (V.Russell, Lakes DHB)</w:t>
            </w: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CD4D570" w14:textId="77777777" w:rsidR="00954036" w:rsidRDefault="00954036" w:rsidP="00954036"/>
        </w:tc>
        <w:tc>
          <w:tcPr>
            <w:tcW w:w="9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C0D24A4" w14:textId="77777777" w:rsidR="00954036" w:rsidRDefault="00954036" w:rsidP="00954036"/>
        </w:tc>
        <w:tc>
          <w:tcPr>
            <w:tcW w:w="991" w:type="dxa"/>
            <w:vMerge/>
            <w:tcBorders>
              <w:left w:val="single" w:sz="4" w:space="0" w:color="808080" w:themeColor="background1" w:themeShade="80"/>
              <w:bottom w:val="single" w:sz="4" w:space="0" w:color="808080" w:themeColor="background1" w:themeShade="80"/>
              <w:right w:val="nil"/>
            </w:tcBorders>
          </w:tcPr>
          <w:p w14:paraId="4F43AA8D" w14:textId="77777777" w:rsidR="00954036" w:rsidRDefault="00954036" w:rsidP="00954036"/>
        </w:tc>
      </w:tr>
    </w:tbl>
    <w:p w14:paraId="0B373EDD" w14:textId="77777777" w:rsidR="00C346F9" w:rsidRPr="00C346F9" w:rsidRDefault="00C346F9" w:rsidP="00C346F9">
      <w:pPr>
        <w:sectPr w:rsidR="00C346F9" w:rsidRPr="00C346F9" w:rsidSect="00816F90">
          <w:pgSz w:w="16838" w:h="11906" w:orient="landscape" w:code="9"/>
          <w:pgMar w:top="1418" w:right="1418" w:bottom="1418" w:left="1134" w:header="709" w:footer="709" w:gutter="0"/>
          <w:cols w:space="708"/>
          <w:docGrid w:linePitch="360"/>
        </w:sectPr>
      </w:pPr>
    </w:p>
    <w:p w14:paraId="61735A28" w14:textId="77777777" w:rsidR="001132F5" w:rsidRPr="00FA00FF" w:rsidRDefault="001132F5" w:rsidP="00954036"/>
    <w:sectPr w:rsidR="001132F5" w:rsidRPr="00FA00FF" w:rsidSect="00EF435A">
      <w:pgSz w:w="11906" w:h="16838" w:code="9"/>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1DF81" w16cid:durableId="212279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A9BD6" w14:textId="77777777" w:rsidR="00681608" w:rsidRDefault="00681608" w:rsidP="00EF435A">
      <w:r>
        <w:separator/>
      </w:r>
    </w:p>
  </w:endnote>
  <w:endnote w:type="continuationSeparator" w:id="0">
    <w:p w14:paraId="04A5E2CE" w14:textId="77777777" w:rsidR="00681608" w:rsidRDefault="00681608" w:rsidP="00EF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9E85" w14:textId="77777777" w:rsidR="0007242D" w:rsidRDefault="00072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C77F" w14:textId="77777777" w:rsidR="0007242D" w:rsidRDefault="000724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572F8" w14:textId="77777777" w:rsidR="0007242D" w:rsidRDefault="000724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084173548"/>
      <w:docPartObj>
        <w:docPartGallery w:val="Page Numbers (Bottom of Page)"/>
        <w:docPartUnique/>
      </w:docPartObj>
    </w:sdtPr>
    <w:sdtEndPr>
      <w:rPr>
        <w:color w:val="7F7F7F" w:themeColor="background1" w:themeShade="7F"/>
        <w:spacing w:val="60"/>
        <w:sz w:val="16"/>
        <w:szCs w:val="16"/>
      </w:rPr>
    </w:sdtEndPr>
    <w:sdtContent>
      <w:p w14:paraId="4942046B" w14:textId="77777777" w:rsidR="003F6526" w:rsidRPr="000A4A67" w:rsidRDefault="003F6526" w:rsidP="00EF435A">
        <w:pPr>
          <w:pStyle w:val="Footer"/>
          <w:rPr>
            <w:b/>
            <w:bCs/>
            <w:sz w:val="16"/>
            <w:szCs w:val="16"/>
          </w:rPr>
        </w:pPr>
        <w:r w:rsidRPr="00DF5A28">
          <w:rPr>
            <w:b/>
            <w:sz w:val="16"/>
            <w:szCs w:val="16"/>
          </w:rPr>
          <w:fldChar w:fldCharType="begin"/>
        </w:r>
        <w:r w:rsidRPr="00DF5A28">
          <w:rPr>
            <w:b/>
            <w:sz w:val="16"/>
            <w:szCs w:val="16"/>
          </w:rPr>
          <w:instrText xml:space="preserve"> PAGE   \* MERGEFORMAT </w:instrText>
        </w:r>
        <w:r w:rsidRPr="00DF5A28">
          <w:rPr>
            <w:b/>
            <w:sz w:val="16"/>
            <w:szCs w:val="16"/>
          </w:rPr>
          <w:fldChar w:fldCharType="separate"/>
        </w:r>
        <w:r w:rsidR="000B310E">
          <w:rPr>
            <w:b/>
            <w:noProof/>
            <w:sz w:val="16"/>
            <w:szCs w:val="16"/>
          </w:rPr>
          <w:t>34</w:t>
        </w:r>
        <w:r w:rsidRPr="00DF5A28">
          <w:rPr>
            <w:b/>
            <w:bCs/>
            <w:noProof/>
            <w:sz w:val="16"/>
            <w:szCs w:val="16"/>
          </w:rPr>
          <w:fldChar w:fldCharType="end"/>
        </w:r>
        <w:r w:rsidRPr="00DF5A28">
          <w:rPr>
            <w:b/>
            <w:bCs/>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ADB2C" w14:textId="77777777" w:rsidR="00681608" w:rsidRDefault="00681608" w:rsidP="00EF435A">
      <w:r>
        <w:separator/>
      </w:r>
    </w:p>
  </w:footnote>
  <w:footnote w:type="continuationSeparator" w:id="0">
    <w:p w14:paraId="0BBA2F17" w14:textId="77777777" w:rsidR="00681608" w:rsidRDefault="00681608" w:rsidP="00EF435A">
      <w:r>
        <w:continuationSeparator/>
      </w:r>
    </w:p>
  </w:footnote>
  <w:footnote w:id="1">
    <w:p w14:paraId="3F1C5D4F" w14:textId="77777777" w:rsidR="003F6526" w:rsidRPr="000A4A67" w:rsidRDefault="003F6526" w:rsidP="00954036">
      <w:pPr>
        <w:pStyle w:val="FootnoteText"/>
        <w:spacing w:before="60"/>
      </w:pPr>
      <w:r w:rsidRPr="000A4A67">
        <w:rPr>
          <w:rStyle w:val="FootnoteReference"/>
          <w:vertAlign w:val="baseline"/>
        </w:rPr>
        <w:footnoteRef/>
      </w:r>
      <w:r w:rsidRPr="000A4A67">
        <w:t xml:space="preserve"> The working groups will be tasked with amending/ writing the standards.</w:t>
      </w:r>
    </w:p>
  </w:footnote>
  <w:footnote w:id="2">
    <w:p w14:paraId="3E34703F" w14:textId="77777777" w:rsidR="003F6526" w:rsidRPr="000A4A67" w:rsidRDefault="003F6526" w:rsidP="00954036">
      <w:pPr>
        <w:pStyle w:val="FootnoteText"/>
        <w:spacing w:before="60"/>
      </w:pPr>
      <w:r w:rsidRPr="000A4A67">
        <w:rPr>
          <w:rStyle w:val="FootnoteReference"/>
          <w:vertAlign w:val="baseline"/>
        </w:rPr>
        <w:footnoteRef/>
      </w:r>
      <w:r w:rsidRPr="000A4A67">
        <w:t xml:space="preserve"> The relevant standards are the Health and Disability Services Standards (NZS 8134: 2008) and the Fertility Services Standard (NZS 8181:2007).</w:t>
      </w:r>
    </w:p>
  </w:footnote>
  <w:footnote w:id="3">
    <w:p w14:paraId="7CC304D6" w14:textId="77777777" w:rsidR="003F6526" w:rsidRPr="000A4A67" w:rsidRDefault="003F6526" w:rsidP="00954036">
      <w:pPr>
        <w:pStyle w:val="FootnoteText"/>
        <w:spacing w:before="60"/>
      </w:pPr>
      <w:r w:rsidRPr="000A4A67">
        <w:rPr>
          <w:rStyle w:val="FootnoteReference"/>
          <w:vertAlign w:val="baseline"/>
        </w:rPr>
        <w:footnoteRef/>
      </w:r>
      <w:r w:rsidRPr="000A4A67">
        <w:t xml:space="preserve"> For the purpose of this document ‘the standards’ means the Fertility Services Standard (NZS 8181:2007), Health and Disability Services Standards (NZS 8134: 2008) and the Home and community support services standard (NZS 8158: 2012). </w:t>
      </w:r>
    </w:p>
  </w:footnote>
  <w:footnote w:id="4">
    <w:p w14:paraId="609D91C8" w14:textId="77777777" w:rsidR="003F6526" w:rsidRPr="00D31F89" w:rsidRDefault="003F6526" w:rsidP="00954036">
      <w:pPr>
        <w:pStyle w:val="FootnoteText"/>
        <w:spacing w:before="60"/>
      </w:pPr>
      <w:r w:rsidRPr="000A4A67">
        <w:rPr>
          <w:rStyle w:val="FootnoteReference"/>
          <w:vertAlign w:val="baseline"/>
        </w:rPr>
        <w:footnoteRef/>
      </w:r>
      <w:r w:rsidRPr="000A4A67">
        <w:t xml:space="preserve"> Referenced in the remaining document as: DHB.</w:t>
      </w:r>
    </w:p>
  </w:footnote>
  <w:footnote w:id="5">
    <w:p w14:paraId="17EE923B" w14:textId="77777777" w:rsidR="003F6526" w:rsidRPr="000A4A67" w:rsidRDefault="003F6526" w:rsidP="000A4A67">
      <w:pPr>
        <w:pStyle w:val="FootnoteText"/>
      </w:pPr>
      <w:r w:rsidRPr="000A4A67">
        <w:rPr>
          <w:rStyle w:val="FootnoteReference"/>
          <w:vertAlign w:val="baseline"/>
        </w:rPr>
        <w:footnoteRef/>
      </w:r>
      <w:r w:rsidRPr="000A4A67">
        <w:t xml:space="preserve"> The purpose of the Code is to promote continuous improvement, provide a framework and set criteria for the auditing process, and to ensure the auditing process is carried out independently.</w:t>
      </w:r>
    </w:p>
  </w:footnote>
  <w:footnote w:id="6">
    <w:p w14:paraId="366C9C7A" w14:textId="77777777" w:rsidR="003F6526" w:rsidRPr="00954036" w:rsidRDefault="003F6526" w:rsidP="00954036">
      <w:pPr>
        <w:pStyle w:val="FootnoteText"/>
      </w:pPr>
      <w:r w:rsidRPr="00954036">
        <w:rPr>
          <w:rStyle w:val="FootnoteReference"/>
          <w:vertAlign w:val="baseline"/>
        </w:rPr>
        <w:footnoteRef/>
      </w:r>
      <w:r w:rsidRPr="00954036">
        <w:t xml:space="preserve"> The term ‘consumer’ is yet to be agreed.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92F5" w14:textId="77777777" w:rsidR="0007242D" w:rsidRDefault="00072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6573" w14:textId="77777777" w:rsidR="003F6526" w:rsidRDefault="003F6526" w:rsidP="00EF435A">
    <w:pPr>
      <w:pStyle w:val="Header"/>
    </w:pPr>
    <w:r>
      <w:rPr>
        <w:noProof/>
        <w:lang w:eastAsia="en-NZ"/>
      </w:rPr>
      <w:drawing>
        <wp:inline distT="0" distB="0" distL="0" distR="0" wp14:anchorId="668F7AB2" wp14:editId="2962F32E">
          <wp:extent cx="5731510" cy="373436"/>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373436"/>
                  </a:xfrm>
                  <a:prstGeom prst="rect">
                    <a:avLst/>
                  </a:prstGeom>
                  <a:noFill/>
                  <a:ln>
                    <a:noFill/>
                  </a:ln>
                </pic:spPr>
              </pic:pic>
            </a:graphicData>
          </a:graphic>
        </wp:inline>
      </w:drawing>
    </w:r>
  </w:p>
  <w:p w14:paraId="4F64B109" w14:textId="77777777" w:rsidR="003F6526" w:rsidRDefault="003F6526" w:rsidP="00EF4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405A" w14:textId="77777777" w:rsidR="0007242D" w:rsidRDefault="000724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1BD6A" w14:textId="77777777" w:rsidR="003F6526" w:rsidRDefault="003F6526" w:rsidP="00EF43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8A157" w14:textId="77777777" w:rsidR="003F6526" w:rsidRDefault="003F6526" w:rsidP="00EF435A">
    <w:pPr>
      <w:pStyle w:val="Header"/>
    </w:pPr>
    <w:r>
      <w:rPr>
        <w:noProof/>
        <w:lang w:eastAsia="en-NZ"/>
      </w:rPr>
      <w:drawing>
        <wp:inline distT="0" distB="0" distL="0" distR="0" wp14:anchorId="5BC02B32" wp14:editId="764613B3">
          <wp:extent cx="5731510" cy="373436"/>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373436"/>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4BF4" w14:textId="77777777" w:rsidR="003F6526" w:rsidRDefault="003F6526" w:rsidP="00EF4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F91"/>
    <w:multiLevelType w:val="hybridMultilevel"/>
    <w:tmpl w:val="2B9A3B0A"/>
    <w:lvl w:ilvl="0" w:tplc="14090001">
      <w:start w:val="1"/>
      <w:numFmt w:val="bullet"/>
      <w:lvlText w:val=""/>
      <w:lvlJc w:val="left"/>
      <w:pPr>
        <w:ind w:left="360" w:hanging="360"/>
      </w:pPr>
      <w:rPr>
        <w:rFonts w:ascii="Symbol" w:hAnsi="Symbol" w:hint="default"/>
      </w:rPr>
    </w:lvl>
    <w:lvl w:ilvl="1" w:tplc="5F6AF288">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6C1660"/>
    <w:multiLevelType w:val="hybridMultilevel"/>
    <w:tmpl w:val="90FA7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8E6B53"/>
    <w:multiLevelType w:val="hybridMultilevel"/>
    <w:tmpl w:val="74E2A0BA"/>
    <w:lvl w:ilvl="0" w:tplc="9BCA1ED2">
      <w:start w:val="1"/>
      <w:numFmt w:val="bullet"/>
      <w:pStyle w:val="Bullet"/>
      <w:lvlText w:val=""/>
      <w:lvlJc w:val="left"/>
      <w:pPr>
        <w:ind w:left="360" w:hanging="360"/>
      </w:pPr>
      <w:rPr>
        <w:rFonts w:ascii="Symbol" w:hAnsi="Symbol" w:hint="default"/>
      </w:rPr>
    </w:lvl>
    <w:lvl w:ilvl="1" w:tplc="9336FA7E">
      <w:start w:val="1"/>
      <w:numFmt w:val="bullet"/>
      <w:pStyle w:val="Table2nd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FAF237A"/>
    <w:multiLevelType w:val="hybridMultilevel"/>
    <w:tmpl w:val="BAD29EF8"/>
    <w:lvl w:ilvl="0" w:tplc="14090001">
      <w:start w:val="1"/>
      <w:numFmt w:val="bullet"/>
      <w:lvlText w:val=""/>
      <w:lvlJc w:val="left"/>
      <w:pPr>
        <w:ind w:left="360" w:hanging="360"/>
      </w:pPr>
      <w:rPr>
        <w:rFonts w:ascii="Symbol" w:hAnsi="Symbol" w:hint="default"/>
      </w:rPr>
    </w:lvl>
    <w:lvl w:ilvl="1" w:tplc="313E650E">
      <w:start w:val="1"/>
      <w:numFmt w:val="bullet"/>
      <w:pStyle w:val="2nd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6C33A37"/>
    <w:multiLevelType w:val="hybridMultilevel"/>
    <w:tmpl w:val="025A8728"/>
    <w:lvl w:ilvl="0" w:tplc="14090001">
      <w:start w:val="1"/>
      <w:numFmt w:val="bullet"/>
      <w:lvlText w:val=""/>
      <w:lvlJc w:val="left"/>
      <w:pPr>
        <w:ind w:left="360" w:hanging="360"/>
      </w:pPr>
      <w:rPr>
        <w:rFonts w:ascii="Symbol" w:hAnsi="Symbol" w:hint="default"/>
      </w:rPr>
    </w:lvl>
    <w:lvl w:ilvl="1" w:tplc="5F6AF288">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A3D7600"/>
    <w:multiLevelType w:val="hybridMultilevel"/>
    <w:tmpl w:val="4852EAF6"/>
    <w:lvl w:ilvl="0" w:tplc="14090001">
      <w:start w:val="1"/>
      <w:numFmt w:val="bullet"/>
      <w:lvlText w:val=""/>
      <w:lvlJc w:val="left"/>
      <w:pPr>
        <w:ind w:left="360" w:hanging="360"/>
      </w:pPr>
      <w:rPr>
        <w:rFonts w:ascii="Symbol" w:hAnsi="Symbol" w:hint="default"/>
      </w:rPr>
    </w:lvl>
    <w:lvl w:ilvl="1" w:tplc="5F6AF288">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CC97B00"/>
    <w:multiLevelType w:val="hybridMultilevel"/>
    <w:tmpl w:val="0FB88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DD73C1C"/>
    <w:multiLevelType w:val="hybridMultilevel"/>
    <w:tmpl w:val="6BE2141E"/>
    <w:lvl w:ilvl="0" w:tplc="C5CA7EA2">
      <w:start w:val="1"/>
      <w:numFmt w:val="bullet"/>
      <w:lvlText w:val=""/>
      <w:lvlJc w:val="left"/>
      <w:pPr>
        <w:ind w:left="360" w:hanging="360"/>
      </w:pPr>
      <w:rPr>
        <w:rFonts w:ascii="Symbol" w:hAnsi="Symbol" w:hint="default"/>
      </w:rPr>
    </w:lvl>
    <w:lvl w:ilvl="1" w:tplc="5F6AF288">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E006A43"/>
    <w:multiLevelType w:val="hybridMultilevel"/>
    <w:tmpl w:val="764CE32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6B8B7B97"/>
    <w:multiLevelType w:val="hybridMultilevel"/>
    <w:tmpl w:val="63F064A0"/>
    <w:lvl w:ilvl="0" w:tplc="14090001">
      <w:start w:val="1"/>
      <w:numFmt w:val="bullet"/>
      <w:lvlText w:val=""/>
      <w:lvlJc w:val="left"/>
      <w:pPr>
        <w:ind w:left="360" w:hanging="360"/>
      </w:pPr>
      <w:rPr>
        <w:rFonts w:ascii="Symbol" w:hAnsi="Symbol" w:hint="default"/>
      </w:rPr>
    </w:lvl>
    <w:lvl w:ilvl="1" w:tplc="5F6AF288">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6"/>
  </w:num>
  <w:num w:numId="6">
    <w:abstractNumId w:val="7"/>
  </w:num>
  <w:num w:numId="7">
    <w:abstractNumId w:val="5"/>
  </w:num>
  <w:num w:numId="8">
    <w:abstractNumId w:val="0"/>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07952"/>
    <w:rsid w:val="00030B57"/>
    <w:rsid w:val="00035938"/>
    <w:rsid w:val="000421CD"/>
    <w:rsid w:val="00050A54"/>
    <w:rsid w:val="000559F0"/>
    <w:rsid w:val="00055EF6"/>
    <w:rsid w:val="00070ACE"/>
    <w:rsid w:val="0007242D"/>
    <w:rsid w:val="00074E8E"/>
    <w:rsid w:val="00074FA7"/>
    <w:rsid w:val="0007636E"/>
    <w:rsid w:val="000821E0"/>
    <w:rsid w:val="000A4A67"/>
    <w:rsid w:val="000A5B8F"/>
    <w:rsid w:val="000B310E"/>
    <w:rsid w:val="000C1966"/>
    <w:rsid w:val="000C4EF6"/>
    <w:rsid w:val="000E30F3"/>
    <w:rsid w:val="000F756C"/>
    <w:rsid w:val="00107825"/>
    <w:rsid w:val="001132F5"/>
    <w:rsid w:val="00142E0E"/>
    <w:rsid w:val="001536CF"/>
    <w:rsid w:val="00186633"/>
    <w:rsid w:val="00192421"/>
    <w:rsid w:val="00193439"/>
    <w:rsid w:val="001B6BC5"/>
    <w:rsid w:val="001E1757"/>
    <w:rsid w:val="001E6EA5"/>
    <w:rsid w:val="001E7374"/>
    <w:rsid w:val="001F0026"/>
    <w:rsid w:val="001F0302"/>
    <w:rsid w:val="001F408D"/>
    <w:rsid w:val="00200C84"/>
    <w:rsid w:val="00237DF8"/>
    <w:rsid w:val="002805D0"/>
    <w:rsid w:val="002B5F4C"/>
    <w:rsid w:val="002C151E"/>
    <w:rsid w:val="002D6528"/>
    <w:rsid w:val="002E644F"/>
    <w:rsid w:val="002E7BAC"/>
    <w:rsid w:val="002F79C1"/>
    <w:rsid w:val="00303978"/>
    <w:rsid w:val="00320D31"/>
    <w:rsid w:val="00321B77"/>
    <w:rsid w:val="00321EB4"/>
    <w:rsid w:val="00325574"/>
    <w:rsid w:val="00341959"/>
    <w:rsid w:val="00342B27"/>
    <w:rsid w:val="0036440C"/>
    <w:rsid w:val="00366013"/>
    <w:rsid w:val="00366FDD"/>
    <w:rsid w:val="003866F3"/>
    <w:rsid w:val="0039345A"/>
    <w:rsid w:val="0039419C"/>
    <w:rsid w:val="003A088D"/>
    <w:rsid w:val="003A1698"/>
    <w:rsid w:val="003C414C"/>
    <w:rsid w:val="003D35EF"/>
    <w:rsid w:val="003F6526"/>
    <w:rsid w:val="003F7501"/>
    <w:rsid w:val="00404178"/>
    <w:rsid w:val="0043603A"/>
    <w:rsid w:val="00436561"/>
    <w:rsid w:val="00445F94"/>
    <w:rsid w:val="00460FDC"/>
    <w:rsid w:val="00473CFA"/>
    <w:rsid w:val="004970D4"/>
    <w:rsid w:val="004E7FFA"/>
    <w:rsid w:val="00502272"/>
    <w:rsid w:val="00503604"/>
    <w:rsid w:val="00516AEF"/>
    <w:rsid w:val="0053172F"/>
    <w:rsid w:val="00571499"/>
    <w:rsid w:val="00575C4D"/>
    <w:rsid w:val="0057795D"/>
    <w:rsid w:val="005A1706"/>
    <w:rsid w:val="005F2CBD"/>
    <w:rsid w:val="006149C4"/>
    <w:rsid w:val="00616869"/>
    <w:rsid w:val="00625106"/>
    <w:rsid w:val="00646E7D"/>
    <w:rsid w:val="0065095F"/>
    <w:rsid w:val="00655259"/>
    <w:rsid w:val="00660745"/>
    <w:rsid w:val="00665746"/>
    <w:rsid w:val="006805FF"/>
    <w:rsid w:val="00681608"/>
    <w:rsid w:val="006879AA"/>
    <w:rsid w:val="006D5FE4"/>
    <w:rsid w:val="006F45B0"/>
    <w:rsid w:val="00716CC2"/>
    <w:rsid w:val="007235B4"/>
    <w:rsid w:val="007273FA"/>
    <w:rsid w:val="007341AA"/>
    <w:rsid w:val="00750C94"/>
    <w:rsid w:val="00760FAC"/>
    <w:rsid w:val="0076190C"/>
    <w:rsid w:val="007650E2"/>
    <w:rsid w:val="00766994"/>
    <w:rsid w:val="00773C84"/>
    <w:rsid w:val="00775054"/>
    <w:rsid w:val="00782B73"/>
    <w:rsid w:val="0079616F"/>
    <w:rsid w:val="007A0C7E"/>
    <w:rsid w:val="007A4D7F"/>
    <w:rsid w:val="007A7079"/>
    <w:rsid w:val="007B2876"/>
    <w:rsid w:val="007B583A"/>
    <w:rsid w:val="007D5D6E"/>
    <w:rsid w:val="007E7084"/>
    <w:rsid w:val="007F39BF"/>
    <w:rsid w:val="00805E27"/>
    <w:rsid w:val="00816F90"/>
    <w:rsid w:val="00831851"/>
    <w:rsid w:val="00841AB3"/>
    <w:rsid w:val="0085031A"/>
    <w:rsid w:val="00861930"/>
    <w:rsid w:val="00864761"/>
    <w:rsid w:val="00867F5A"/>
    <w:rsid w:val="00891D9F"/>
    <w:rsid w:val="008A0462"/>
    <w:rsid w:val="008A3AAD"/>
    <w:rsid w:val="008E2350"/>
    <w:rsid w:val="008E5BF3"/>
    <w:rsid w:val="008E703D"/>
    <w:rsid w:val="008E7324"/>
    <w:rsid w:val="008F5A53"/>
    <w:rsid w:val="00910889"/>
    <w:rsid w:val="009138C8"/>
    <w:rsid w:val="00913CCD"/>
    <w:rsid w:val="00915737"/>
    <w:rsid w:val="00916502"/>
    <w:rsid w:val="00926EF0"/>
    <w:rsid w:val="00954036"/>
    <w:rsid w:val="00955879"/>
    <w:rsid w:val="00957612"/>
    <w:rsid w:val="009640F1"/>
    <w:rsid w:val="009866FE"/>
    <w:rsid w:val="00993C6F"/>
    <w:rsid w:val="009B547E"/>
    <w:rsid w:val="009B5DC5"/>
    <w:rsid w:val="009C631C"/>
    <w:rsid w:val="009D5D8B"/>
    <w:rsid w:val="009E0AAD"/>
    <w:rsid w:val="009E64CA"/>
    <w:rsid w:val="00A24C96"/>
    <w:rsid w:val="00A2664D"/>
    <w:rsid w:val="00A2752A"/>
    <w:rsid w:val="00A40138"/>
    <w:rsid w:val="00A42586"/>
    <w:rsid w:val="00A43CC9"/>
    <w:rsid w:val="00A60673"/>
    <w:rsid w:val="00A85298"/>
    <w:rsid w:val="00A90CDB"/>
    <w:rsid w:val="00AA40C1"/>
    <w:rsid w:val="00AA7BE9"/>
    <w:rsid w:val="00AA7E28"/>
    <w:rsid w:val="00AB272E"/>
    <w:rsid w:val="00AE2936"/>
    <w:rsid w:val="00AF3065"/>
    <w:rsid w:val="00B14F0A"/>
    <w:rsid w:val="00B257F2"/>
    <w:rsid w:val="00B433E6"/>
    <w:rsid w:val="00B47AB9"/>
    <w:rsid w:val="00B54702"/>
    <w:rsid w:val="00B72B71"/>
    <w:rsid w:val="00B81F1B"/>
    <w:rsid w:val="00B8248A"/>
    <w:rsid w:val="00B82B54"/>
    <w:rsid w:val="00B90BE2"/>
    <w:rsid w:val="00B94D3C"/>
    <w:rsid w:val="00BA3435"/>
    <w:rsid w:val="00BC4E62"/>
    <w:rsid w:val="00BC7CE6"/>
    <w:rsid w:val="00BE7218"/>
    <w:rsid w:val="00BF2491"/>
    <w:rsid w:val="00C04F23"/>
    <w:rsid w:val="00C179F9"/>
    <w:rsid w:val="00C22720"/>
    <w:rsid w:val="00C346F9"/>
    <w:rsid w:val="00C52CDA"/>
    <w:rsid w:val="00C65222"/>
    <w:rsid w:val="00C6649C"/>
    <w:rsid w:val="00C84EE9"/>
    <w:rsid w:val="00C95DE0"/>
    <w:rsid w:val="00CC275D"/>
    <w:rsid w:val="00CD268F"/>
    <w:rsid w:val="00CF3DC2"/>
    <w:rsid w:val="00D06E1F"/>
    <w:rsid w:val="00D2015B"/>
    <w:rsid w:val="00D3090C"/>
    <w:rsid w:val="00D31F89"/>
    <w:rsid w:val="00D34957"/>
    <w:rsid w:val="00D42CD6"/>
    <w:rsid w:val="00D6475C"/>
    <w:rsid w:val="00D67100"/>
    <w:rsid w:val="00D70AC6"/>
    <w:rsid w:val="00D728ED"/>
    <w:rsid w:val="00D77965"/>
    <w:rsid w:val="00D96278"/>
    <w:rsid w:val="00DB59DA"/>
    <w:rsid w:val="00DD69A8"/>
    <w:rsid w:val="00DE398D"/>
    <w:rsid w:val="00DE7235"/>
    <w:rsid w:val="00DE768F"/>
    <w:rsid w:val="00DE7937"/>
    <w:rsid w:val="00DF6014"/>
    <w:rsid w:val="00E248B2"/>
    <w:rsid w:val="00E401BD"/>
    <w:rsid w:val="00E420B2"/>
    <w:rsid w:val="00E52DBE"/>
    <w:rsid w:val="00E5306C"/>
    <w:rsid w:val="00E55C98"/>
    <w:rsid w:val="00E80E85"/>
    <w:rsid w:val="00E921FC"/>
    <w:rsid w:val="00EA2AD0"/>
    <w:rsid w:val="00EB4BFA"/>
    <w:rsid w:val="00EC5B52"/>
    <w:rsid w:val="00ED42DB"/>
    <w:rsid w:val="00EE52EC"/>
    <w:rsid w:val="00EF435A"/>
    <w:rsid w:val="00EF5409"/>
    <w:rsid w:val="00F01F4D"/>
    <w:rsid w:val="00F02AC5"/>
    <w:rsid w:val="00F05147"/>
    <w:rsid w:val="00F13653"/>
    <w:rsid w:val="00F209FE"/>
    <w:rsid w:val="00F37258"/>
    <w:rsid w:val="00F42029"/>
    <w:rsid w:val="00F62321"/>
    <w:rsid w:val="00F751E0"/>
    <w:rsid w:val="00FA00FF"/>
    <w:rsid w:val="00FA1C6E"/>
    <w:rsid w:val="00FC14A0"/>
    <w:rsid w:val="00FC539C"/>
    <w:rsid w:val="00FD2131"/>
    <w:rsid w:val="00FD227B"/>
    <w:rsid w:val="00FD7334"/>
    <w:rsid w:val="00FE3097"/>
    <w:rsid w:val="00FE4395"/>
    <w:rsid w:val="00FF1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9B3FD"/>
  <w15:docId w15:val="{2E1B2211-EE03-4774-A2B7-A5E7146D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36"/>
    <w:pPr>
      <w:spacing w:before="120" w:after="180" w:line="240" w:lineRule="auto"/>
    </w:pPr>
    <w:rPr>
      <w:rFonts w:ascii="Segoe UI" w:hAnsi="Segoe UI" w:cs="Segoe UI"/>
      <w:sz w:val="21"/>
      <w:szCs w:val="21"/>
    </w:rPr>
  </w:style>
  <w:style w:type="paragraph" w:styleId="Heading1">
    <w:name w:val="heading 1"/>
    <w:basedOn w:val="Normal"/>
    <w:next w:val="Normal"/>
    <w:link w:val="Heading1Char"/>
    <w:uiPriority w:val="9"/>
    <w:qFormat/>
    <w:rsid w:val="00FE3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Outcome"/>
    <w:basedOn w:val="Normal"/>
    <w:next w:val="Normal"/>
    <w:link w:val="Heading2Char"/>
    <w:uiPriority w:val="9"/>
    <w:unhideWhenUsed/>
    <w:qFormat/>
    <w:rsid w:val="00EF435A"/>
    <w:pPr>
      <w:keepNext/>
      <w:keepLines/>
      <w:spacing w:before="240" w:after="120"/>
      <w:outlineLvl w:val="1"/>
    </w:pPr>
    <w:rPr>
      <w:rFonts w:eastAsiaTheme="majorEastAsia"/>
      <w:b/>
      <w:color w:val="0A6AB4"/>
      <w:sz w:val="48"/>
      <w:szCs w:val="48"/>
    </w:rPr>
  </w:style>
  <w:style w:type="paragraph" w:styleId="Heading3">
    <w:name w:val="heading 3"/>
    <w:basedOn w:val="Normal"/>
    <w:next w:val="Normal"/>
    <w:link w:val="Heading3Char"/>
    <w:uiPriority w:val="9"/>
    <w:unhideWhenUsed/>
    <w:qFormat/>
    <w:rsid w:val="00A90CDB"/>
    <w:pPr>
      <w:keepNext/>
      <w:keepLines/>
      <w:spacing w:before="240" w:after="120"/>
      <w:outlineLvl w:val="2"/>
    </w:pPr>
    <w:rPr>
      <w:rFonts w:eastAsiaTheme="majorEastAsia"/>
      <w:b/>
      <w:color w:val="0A6AB4"/>
      <w:sz w:val="32"/>
      <w:szCs w:val="32"/>
    </w:rPr>
  </w:style>
  <w:style w:type="paragraph" w:styleId="Heading4">
    <w:name w:val="heading 4"/>
    <w:aliases w:val="Standard"/>
    <w:basedOn w:val="Normal"/>
    <w:next w:val="Normal"/>
    <w:link w:val="Heading4Char"/>
    <w:uiPriority w:val="9"/>
    <w:unhideWhenUsed/>
    <w:qFormat/>
    <w:rsid w:val="00A90CDB"/>
    <w:pPr>
      <w:keepNext/>
      <w:keepLines/>
      <w:spacing w:before="40" w:after="0"/>
      <w:outlineLvl w:val="3"/>
    </w:pPr>
    <w:rPr>
      <w:rFonts w:eastAsiaTheme="majorEastAsia"/>
      <w:b/>
      <w:iCs/>
      <w:color w:val="0A6AB4"/>
      <w:sz w:val="24"/>
      <w:szCs w:val="24"/>
    </w:rPr>
  </w:style>
  <w:style w:type="paragraph" w:styleId="Heading5">
    <w:name w:val="heading 5"/>
    <w:basedOn w:val="Normal"/>
    <w:next w:val="Normal"/>
    <w:link w:val="Heading5Char"/>
    <w:uiPriority w:val="9"/>
    <w:unhideWhenUsed/>
    <w:qFormat/>
    <w:rsid w:val="00074E8E"/>
    <w:pPr>
      <w:keepNext/>
      <w:keepLines/>
      <w:spacing w:before="40" w:after="0"/>
      <w:outlineLvl w:val="4"/>
    </w:pPr>
    <w:rPr>
      <w:rFonts w:eastAsiaTheme="majorEastAsia"/>
      <w:color w:val="0A6AB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97"/>
    <w:pPr>
      <w:tabs>
        <w:tab w:val="center" w:pos="4513"/>
        <w:tab w:val="right" w:pos="9026"/>
      </w:tabs>
      <w:spacing w:after="0"/>
    </w:pPr>
  </w:style>
  <w:style w:type="character" w:customStyle="1" w:styleId="HeaderChar">
    <w:name w:val="Header Char"/>
    <w:basedOn w:val="DefaultParagraphFont"/>
    <w:link w:val="Header"/>
    <w:uiPriority w:val="99"/>
    <w:rsid w:val="00FE3097"/>
  </w:style>
  <w:style w:type="paragraph" w:styleId="Footer">
    <w:name w:val="footer"/>
    <w:basedOn w:val="Normal"/>
    <w:link w:val="FooterChar"/>
    <w:uiPriority w:val="99"/>
    <w:unhideWhenUsed/>
    <w:rsid w:val="00FE3097"/>
    <w:pPr>
      <w:tabs>
        <w:tab w:val="center" w:pos="4513"/>
        <w:tab w:val="right" w:pos="9026"/>
      </w:tabs>
      <w:spacing w:after="0"/>
    </w:pPr>
  </w:style>
  <w:style w:type="character" w:customStyle="1" w:styleId="FooterChar">
    <w:name w:val="Footer Char"/>
    <w:basedOn w:val="DefaultParagraphFont"/>
    <w:link w:val="Footer"/>
    <w:uiPriority w:val="99"/>
    <w:rsid w:val="00FE3097"/>
  </w:style>
  <w:style w:type="character" w:customStyle="1" w:styleId="Heading1Char">
    <w:name w:val="Heading 1 Char"/>
    <w:basedOn w:val="DefaultParagraphFont"/>
    <w:link w:val="Heading1"/>
    <w:uiPriority w:val="9"/>
    <w:rsid w:val="00FE309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E3097"/>
    <w:pPr>
      <w:ind w:left="720"/>
      <w:contextualSpacing/>
    </w:pPr>
    <w:rPr>
      <w:szCs w:val="24"/>
    </w:rPr>
  </w:style>
  <w:style w:type="character" w:styleId="IntenseReference">
    <w:name w:val="Intense Reference"/>
    <w:basedOn w:val="DefaultParagraphFont"/>
    <w:uiPriority w:val="32"/>
    <w:qFormat/>
    <w:rsid w:val="00FE3097"/>
    <w:rPr>
      <w:b/>
      <w:bCs/>
      <w:smallCaps/>
      <w:color w:val="4F81BD" w:themeColor="accent1"/>
      <w:spacing w:val="5"/>
    </w:rPr>
  </w:style>
  <w:style w:type="paragraph" w:styleId="FootnoteText">
    <w:name w:val="footnote text"/>
    <w:basedOn w:val="Normal"/>
    <w:link w:val="FootnoteTextChar"/>
    <w:uiPriority w:val="99"/>
    <w:unhideWhenUsed/>
    <w:rsid w:val="000A4A67"/>
    <w:pPr>
      <w:spacing w:after="0"/>
      <w:ind w:left="322" w:hanging="180"/>
    </w:pPr>
    <w:rPr>
      <w:sz w:val="16"/>
      <w:szCs w:val="20"/>
    </w:rPr>
  </w:style>
  <w:style w:type="character" w:customStyle="1" w:styleId="FootnoteTextChar">
    <w:name w:val="Footnote Text Char"/>
    <w:basedOn w:val="DefaultParagraphFont"/>
    <w:link w:val="FootnoteText"/>
    <w:uiPriority w:val="99"/>
    <w:rsid w:val="000A4A67"/>
    <w:rPr>
      <w:rFonts w:ascii="Segoe UI" w:hAnsi="Segoe UI" w:cs="Segoe UI"/>
      <w:sz w:val="16"/>
      <w:szCs w:val="20"/>
    </w:rPr>
  </w:style>
  <w:style w:type="character" w:styleId="FootnoteReference">
    <w:name w:val="footnote reference"/>
    <w:basedOn w:val="DefaultParagraphFont"/>
    <w:uiPriority w:val="99"/>
    <w:semiHidden/>
    <w:unhideWhenUsed/>
    <w:rsid w:val="00FE3097"/>
    <w:rPr>
      <w:vertAlign w:val="superscript"/>
    </w:rPr>
  </w:style>
  <w:style w:type="table" w:styleId="TableGrid">
    <w:name w:val="Table Grid"/>
    <w:basedOn w:val="TableNormal"/>
    <w:uiPriority w:val="59"/>
    <w:rsid w:val="00FE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AC5"/>
    <w:pPr>
      <w:autoSpaceDE w:val="0"/>
      <w:autoSpaceDN w:val="0"/>
      <w:adjustRightInd w:val="0"/>
      <w:spacing w:after="0" w:line="240" w:lineRule="auto"/>
    </w:pPr>
    <w:rPr>
      <w:rFonts w:cs="Arial"/>
      <w:color w:val="000000"/>
      <w:szCs w:val="24"/>
    </w:rPr>
  </w:style>
  <w:style w:type="paragraph" w:customStyle="1" w:styleId="subprov1">
    <w:name w:val="subprov1"/>
    <w:basedOn w:val="Normal"/>
    <w:rsid w:val="00F02AC5"/>
    <w:pPr>
      <w:spacing w:before="83" w:after="216" w:line="288" w:lineRule="atLeast"/>
    </w:pPr>
    <w:rPr>
      <w:rFonts w:ascii="Times New Roman" w:eastAsia="Times New Roman" w:hAnsi="Times New Roman" w:cs="Times New Roman"/>
      <w:szCs w:val="24"/>
      <w:lang w:eastAsia="en-NZ"/>
    </w:rPr>
  </w:style>
  <w:style w:type="character" w:customStyle="1" w:styleId="Heading3Char">
    <w:name w:val="Heading 3 Char"/>
    <w:basedOn w:val="DefaultParagraphFont"/>
    <w:link w:val="Heading3"/>
    <w:uiPriority w:val="9"/>
    <w:rsid w:val="00A90CDB"/>
    <w:rPr>
      <w:rFonts w:ascii="Segoe UI" w:eastAsiaTheme="majorEastAsia" w:hAnsi="Segoe UI" w:cs="Segoe UI"/>
      <w:b/>
      <w:color w:val="0A6AB4"/>
      <w:sz w:val="32"/>
      <w:szCs w:val="32"/>
    </w:rPr>
  </w:style>
  <w:style w:type="paragraph" w:styleId="BodyText">
    <w:name w:val="Body Text"/>
    <w:basedOn w:val="Normal"/>
    <w:link w:val="BodyTextChar"/>
    <w:uiPriority w:val="99"/>
    <w:unhideWhenUsed/>
    <w:rsid w:val="00C6649C"/>
    <w:pPr>
      <w:spacing w:after="0"/>
    </w:pPr>
    <w:rPr>
      <w:sz w:val="20"/>
      <w:szCs w:val="24"/>
    </w:rPr>
  </w:style>
  <w:style w:type="character" w:customStyle="1" w:styleId="BodyTextChar">
    <w:name w:val="Body Text Char"/>
    <w:basedOn w:val="DefaultParagraphFont"/>
    <w:link w:val="BodyText"/>
    <w:uiPriority w:val="99"/>
    <w:rsid w:val="00C6649C"/>
    <w:rPr>
      <w:sz w:val="20"/>
      <w:szCs w:val="24"/>
    </w:rPr>
  </w:style>
  <w:style w:type="paragraph" w:styleId="BalloonText">
    <w:name w:val="Balloon Text"/>
    <w:basedOn w:val="Normal"/>
    <w:link w:val="BalloonTextChar"/>
    <w:uiPriority w:val="99"/>
    <w:semiHidden/>
    <w:unhideWhenUsed/>
    <w:rsid w:val="00445F94"/>
    <w:pPr>
      <w:spacing w:after="0"/>
    </w:pPr>
    <w:rPr>
      <w:sz w:val="18"/>
      <w:szCs w:val="18"/>
    </w:rPr>
  </w:style>
  <w:style w:type="character" w:customStyle="1" w:styleId="BalloonTextChar">
    <w:name w:val="Balloon Text Char"/>
    <w:basedOn w:val="DefaultParagraphFont"/>
    <w:link w:val="BalloonText"/>
    <w:uiPriority w:val="99"/>
    <w:semiHidden/>
    <w:rsid w:val="00445F94"/>
    <w:rPr>
      <w:rFonts w:ascii="Segoe UI" w:hAnsi="Segoe UI" w:cs="Segoe UI"/>
      <w:sz w:val="18"/>
      <w:szCs w:val="18"/>
    </w:rPr>
  </w:style>
  <w:style w:type="character" w:customStyle="1" w:styleId="Heading2Char">
    <w:name w:val="Heading 2 Char"/>
    <w:aliases w:val="Outcome Char"/>
    <w:basedOn w:val="DefaultParagraphFont"/>
    <w:link w:val="Heading2"/>
    <w:uiPriority w:val="9"/>
    <w:rsid w:val="00EF435A"/>
    <w:rPr>
      <w:rFonts w:ascii="Segoe UI" w:eastAsiaTheme="majorEastAsia" w:hAnsi="Segoe UI" w:cs="Segoe UI"/>
      <w:b/>
      <w:color w:val="0A6AB4"/>
      <w:sz w:val="48"/>
      <w:szCs w:val="48"/>
    </w:rPr>
  </w:style>
  <w:style w:type="character" w:customStyle="1" w:styleId="Heading4Char">
    <w:name w:val="Heading 4 Char"/>
    <w:aliases w:val="Standard Char"/>
    <w:basedOn w:val="DefaultParagraphFont"/>
    <w:link w:val="Heading4"/>
    <w:uiPriority w:val="9"/>
    <w:rsid w:val="00A90CDB"/>
    <w:rPr>
      <w:rFonts w:ascii="Segoe UI" w:eastAsiaTheme="majorEastAsia" w:hAnsi="Segoe UI" w:cs="Segoe UI"/>
      <w:b/>
      <w:iCs/>
      <w:color w:val="0A6AB4"/>
      <w:szCs w:val="24"/>
    </w:rPr>
  </w:style>
  <w:style w:type="character" w:customStyle="1" w:styleId="Heading5Char">
    <w:name w:val="Heading 5 Char"/>
    <w:basedOn w:val="DefaultParagraphFont"/>
    <w:link w:val="Heading5"/>
    <w:uiPriority w:val="9"/>
    <w:rsid w:val="00074E8E"/>
    <w:rPr>
      <w:rFonts w:ascii="Segoe UI" w:eastAsiaTheme="majorEastAsia" w:hAnsi="Segoe UI" w:cs="Segoe UI"/>
      <w:color w:val="0A6AB4"/>
      <w:szCs w:val="21"/>
    </w:rPr>
  </w:style>
  <w:style w:type="paragraph" w:customStyle="1" w:styleId="OutcomeDescription">
    <w:name w:val="Outcome Description"/>
    <w:basedOn w:val="Normal"/>
    <w:qFormat/>
    <w:rsid w:val="00FA00FF"/>
    <w:pPr>
      <w:spacing w:after="240"/>
    </w:pPr>
    <w:rPr>
      <w:sz w:val="20"/>
      <w:szCs w:val="20"/>
    </w:rPr>
  </w:style>
  <w:style w:type="paragraph" w:styleId="CommentText">
    <w:name w:val="annotation text"/>
    <w:basedOn w:val="Normal"/>
    <w:link w:val="CommentTextChar"/>
    <w:uiPriority w:val="99"/>
    <w:unhideWhenUsed/>
    <w:rsid w:val="001132F5"/>
    <w:rPr>
      <w:sz w:val="20"/>
      <w:szCs w:val="20"/>
    </w:rPr>
  </w:style>
  <w:style w:type="character" w:customStyle="1" w:styleId="CommentTextChar">
    <w:name w:val="Comment Text Char"/>
    <w:basedOn w:val="DefaultParagraphFont"/>
    <w:link w:val="CommentText"/>
    <w:uiPriority w:val="99"/>
    <w:rsid w:val="001132F5"/>
    <w:rPr>
      <w:sz w:val="20"/>
      <w:szCs w:val="20"/>
    </w:rPr>
  </w:style>
  <w:style w:type="paragraph" w:styleId="Title">
    <w:name w:val="Title"/>
    <w:basedOn w:val="Normal"/>
    <w:next w:val="Normal"/>
    <w:link w:val="TitleChar"/>
    <w:uiPriority w:val="10"/>
    <w:qFormat/>
    <w:rsid w:val="00EF435A"/>
    <w:pPr>
      <w:spacing w:after="0"/>
      <w:contextualSpacing/>
    </w:pPr>
    <w:rPr>
      <w:rFonts w:eastAsiaTheme="majorEastAsia"/>
      <w:b/>
      <w:color w:val="23305D"/>
      <w:spacing w:val="-10"/>
      <w:kern w:val="28"/>
      <w:sz w:val="72"/>
      <w:szCs w:val="72"/>
    </w:rPr>
  </w:style>
  <w:style w:type="character" w:customStyle="1" w:styleId="TitleChar">
    <w:name w:val="Title Char"/>
    <w:basedOn w:val="DefaultParagraphFont"/>
    <w:link w:val="Title"/>
    <w:uiPriority w:val="10"/>
    <w:rsid w:val="00EF435A"/>
    <w:rPr>
      <w:rFonts w:ascii="Segoe UI" w:eastAsiaTheme="majorEastAsia" w:hAnsi="Segoe UI" w:cs="Segoe UI"/>
      <w:b/>
      <w:color w:val="23305D"/>
      <w:spacing w:val="-10"/>
      <w:kern w:val="28"/>
      <w:sz w:val="72"/>
      <w:szCs w:val="72"/>
    </w:rPr>
  </w:style>
  <w:style w:type="paragraph" w:styleId="Subtitle">
    <w:name w:val="Subtitle"/>
    <w:basedOn w:val="Normal"/>
    <w:next w:val="Normal"/>
    <w:link w:val="SubtitleChar"/>
    <w:uiPriority w:val="11"/>
    <w:qFormat/>
    <w:rsid w:val="00EF435A"/>
    <w:pPr>
      <w:numPr>
        <w:ilvl w:val="1"/>
      </w:numPr>
      <w:spacing w:after="160"/>
    </w:pPr>
    <w:rPr>
      <w:rFonts w:eastAsiaTheme="minorEastAsia"/>
      <w:b/>
      <w:color w:val="0A6AB4"/>
      <w:spacing w:val="15"/>
      <w:sz w:val="28"/>
      <w:szCs w:val="28"/>
    </w:rPr>
  </w:style>
  <w:style w:type="character" w:customStyle="1" w:styleId="SubtitleChar">
    <w:name w:val="Subtitle Char"/>
    <w:basedOn w:val="DefaultParagraphFont"/>
    <w:link w:val="Subtitle"/>
    <w:uiPriority w:val="11"/>
    <w:rsid w:val="00EF435A"/>
    <w:rPr>
      <w:rFonts w:ascii="Segoe UI" w:eastAsiaTheme="minorEastAsia" w:hAnsi="Segoe UI" w:cs="Segoe UI"/>
      <w:b/>
      <w:color w:val="0A6AB4"/>
      <w:spacing w:val="15"/>
      <w:sz w:val="28"/>
      <w:szCs w:val="28"/>
    </w:rPr>
  </w:style>
  <w:style w:type="paragraph" w:styleId="TOC2">
    <w:name w:val="toc 2"/>
    <w:basedOn w:val="Normal"/>
    <w:next w:val="Normal"/>
    <w:uiPriority w:val="39"/>
    <w:qFormat/>
    <w:rsid w:val="00EF435A"/>
    <w:pPr>
      <w:tabs>
        <w:tab w:val="right" w:pos="8080"/>
      </w:tabs>
      <w:spacing w:before="60" w:after="0"/>
      <w:ind w:left="284" w:right="567"/>
    </w:pPr>
    <w:rPr>
      <w:rFonts w:eastAsia="Times New Roman" w:cs="Times New Roman"/>
      <w:sz w:val="22"/>
      <w:szCs w:val="20"/>
      <w:lang w:eastAsia="en-GB"/>
    </w:rPr>
  </w:style>
  <w:style w:type="paragraph" w:customStyle="1" w:styleId="IntroHead">
    <w:name w:val="IntroHead"/>
    <w:basedOn w:val="Heading1"/>
    <w:next w:val="Normal"/>
    <w:qFormat/>
    <w:rsid w:val="00EF435A"/>
    <w:pPr>
      <w:keepNext w:val="0"/>
      <w:keepLines w:val="0"/>
      <w:pageBreakBefore/>
      <w:spacing w:before="0" w:after="360"/>
      <w:outlineLvl w:val="9"/>
    </w:pPr>
    <w:rPr>
      <w:rFonts w:ascii="Segoe UI" w:eastAsia="Times New Roman" w:hAnsi="Segoe UI" w:cs="Times New Roman"/>
      <w:b/>
      <w:color w:val="23305D"/>
      <w:spacing w:val="-10"/>
      <w:sz w:val="72"/>
      <w:szCs w:val="20"/>
      <w:lang w:eastAsia="en-GB"/>
    </w:rPr>
  </w:style>
  <w:style w:type="character" w:styleId="Hyperlink">
    <w:name w:val="Hyperlink"/>
    <w:uiPriority w:val="99"/>
    <w:rsid w:val="00EF435A"/>
    <w:rPr>
      <w:b/>
      <w:color w:val="595959" w:themeColor="text1" w:themeTint="A6"/>
      <w:u w:val="none"/>
    </w:rPr>
  </w:style>
  <w:style w:type="paragraph" w:customStyle="1" w:styleId="Bullet">
    <w:name w:val="Bullet"/>
    <w:basedOn w:val="ListParagraph"/>
    <w:qFormat/>
    <w:rsid w:val="000A4A67"/>
    <w:pPr>
      <w:numPr>
        <w:numId w:val="2"/>
      </w:numPr>
      <w:spacing w:after="120"/>
      <w:contextualSpacing w:val="0"/>
    </w:pPr>
  </w:style>
  <w:style w:type="paragraph" w:styleId="Caption">
    <w:name w:val="caption"/>
    <w:basedOn w:val="Normal"/>
    <w:next w:val="Normal"/>
    <w:uiPriority w:val="35"/>
    <w:unhideWhenUsed/>
    <w:qFormat/>
    <w:rsid w:val="000A4A67"/>
    <w:pPr>
      <w:spacing w:before="0" w:after="200"/>
    </w:pPr>
    <w:rPr>
      <w:b/>
      <w:iCs/>
      <w:sz w:val="18"/>
      <w:szCs w:val="18"/>
    </w:rPr>
  </w:style>
  <w:style w:type="paragraph" w:customStyle="1" w:styleId="TableText">
    <w:name w:val="Table Text"/>
    <w:basedOn w:val="Normal"/>
    <w:link w:val="TableTextChar"/>
    <w:qFormat/>
    <w:rsid w:val="007B2876"/>
    <w:pPr>
      <w:spacing w:after="120"/>
    </w:pPr>
    <w:rPr>
      <w:sz w:val="18"/>
    </w:rPr>
  </w:style>
  <w:style w:type="character" w:customStyle="1" w:styleId="TableTextChar">
    <w:name w:val="Table Text Char"/>
    <w:basedOn w:val="DefaultParagraphFont"/>
    <w:link w:val="TableText"/>
    <w:rsid w:val="007B2876"/>
    <w:rPr>
      <w:rFonts w:ascii="Segoe UI" w:hAnsi="Segoe UI" w:cs="Segoe UI"/>
      <w:sz w:val="18"/>
      <w:szCs w:val="21"/>
    </w:rPr>
  </w:style>
  <w:style w:type="paragraph" w:customStyle="1" w:styleId="TableBullet">
    <w:name w:val="Table Bullet"/>
    <w:basedOn w:val="Bullet"/>
    <w:qFormat/>
    <w:rsid w:val="00B257F2"/>
    <w:pPr>
      <w:spacing w:before="40" w:after="40"/>
      <w:ind w:left="213" w:hanging="213"/>
    </w:pPr>
    <w:rPr>
      <w:sz w:val="18"/>
      <w:szCs w:val="20"/>
    </w:rPr>
  </w:style>
  <w:style w:type="paragraph" w:customStyle="1" w:styleId="Table2ndBullet">
    <w:name w:val="Table 2nd Bullet"/>
    <w:basedOn w:val="TableBullet"/>
    <w:qFormat/>
    <w:rsid w:val="0036440C"/>
    <w:pPr>
      <w:numPr>
        <w:ilvl w:val="1"/>
      </w:numPr>
      <w:ind w:left="604" w:hanging="283"/>
    </w:pPr>
  </w:style>
  <w:style w:type="paragraph" w:customStyle="1" w:styleId="2ndBullet">
    <w:name w:val="2nd Bullet"/>
    <w:basedOn w:val="ListParagraph"/>
    <w:qFormat/>
    <w:rsid w:val="007A7079"/>
    <w:pPr>
      <w:numPr>
        <w:ilvl w:val="1"/>
        <w:numId w:val="3"/>
      </w:numPr>
      <w:spacing w:after="120"/>
      <w:ind w:left="1077" w:hanging="357"/>
      <w:contextualSpacing w:val="0"/>
    </w:pPr>
  </w:style>
  <w:style w:type="character" w:styleId="CommentReference">
    <w:name w:val="annotation reference"/>
    <w:basedOn w:val="DefaultParagraphFont"/>
    <w:uiPriority w:val="99"/>
    <w:semiHidden/>
    <w:unhideWhenUsed/>
    <w:rsid w:val="00954036"/>
    <w:rPr>
      <w:sz w:val="16"/>
      <w:szCs w:val="16"/>
    </w:rPr>
  </w:style>
  <w:style w:type="paragraph" w:styleId="CommentSubject">
    <w:name w:val="annotation subject"/>
    <w:basedOn w:val="CommentText"/>
    <w:next w:val="CommentText"/>
    <w:link w:val="CommentSubjectChar"/>
    <w:uiPriority w:val="99"/>
    <w:semiHidden/>
    <w:unhideWhenUsed/>
    <w:rsid w:val="00954036"/>
    <w:rPr>
      <w:b/>
      <w:bCs/>
    </w:rPr>
  </w:style>
  <w:style w:type="character" w:customStyle="1" w:styleId="CommentSubjectChar">
    <w:name w:val="Comment Subject Char"/>
    <w:basedOn w:val="CommentTextChar"/>
    <w:link w:val="CommentSubject"/>
    <w:uiPriority w:val="99"/>
    <w:semiHidden/>
    <w:rsid w:val="00954036"/>
    <w:rPr>
      <w:rFonts w:ascii="Segoe UI" w:hAnsi="Segoe UI" w:cs="Segoe UI"/>
      <w:b/>
      <w:bCs/>
      <w:sz w:val="20"/>
      <w:szCs w:val="20"/>
    </w:rPr>
  </w:style>
  <w:style w:type="paragraph" w:styleId="NoSpacing">
    <w:name w:val="No Spacing"/>
    <w:uiPriority w:val="1"/>
    <w:qFormat/>
    <w:rsid w:val="00954036"/>
    <w:pPr>
      <w:spacing w:after="0" w:line="240" w:lineRule="auto"/>
    </w:pPr>
    <w:rPr>
      <w:rFonts w:ascii="Segoe UI" w:hAnsi="Segoe UI" w:cs="Segoe UI"/>
      <w:sz w:val="21"/>
      <w:szCs w:val="21"/>
    </w:rPr>
  </w:style>
  <w:style w:type="paragraph" w:styleId="TOC3">
    <w:name w:val="toc 3"/>
    <w:basedOn w:val="Normal"/>
    <w:next w:val="Normal"/>
    <w:autoRedefine/>
    <w:uiPriority w:val="39"/>
    <w:unhideWhenUsed/>
    <w:rsid w:val="0007242D"/>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1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CCBB-E14C-4732-8183-CA356ED4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BC5E3FE9</Template>
  <TotalTime>2</TotalTime>
  <Pages>81</Pages>
  <Words>25136</Words>
  <Characters>143281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Health</dc:creator>
  <cp:keywords/>
  <dc:description/>
  <cp:lastModifiedBy>Geneva Ruppert-Wise</cp:lastModifiedBy>
  <cp:revision>4</cp:revision>
  <cp:lastPrinted>2019-09-11T23:24:00Z</cp:lastPrinted>
  <dcterms:created xsi:type="dcterms:W3CDTF">2019-09-11T23:16:00Z</dcterms:created>
  <dcterms:modified xsi:type="dcterms:W3CDTF">2019-09-11T23:24:00Z</dcterms:modified>
</cp:coreProperties>
</file>